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1FAB">
      <w:pPr>
        <w:spacing w:line="360" w:lineRule="auto"/>
        <w:jc w:val="center"/>
        <w:rPr>
          <w:rFonts w:ascii="宋体" w:hAnsi="宋体" w:cs="宋体"/>
          <w:b/>
          <w:color w:val="auto"/>
          <w:sz w:val="24"/>
          <w:highlight w:val="none"/>
        </w:rPr>
      </w:pPr>
    </w:p>
    <w:p w14:paraId="547DEE25">
      <w:pPr>
        <w:spacing w:line="360" w:lineRule="auto"/>
        <w:jc w:val="center"/>
        <w:rPr>
          <w:rFonts w:ascii="宋体" w:hAnsi="宋体" w:cs="宋体"/>
          <w:b/>
          <w:color w:val="auto"/>
          <w:sz w:val="24"/>
          <w:highlight w:val="none"/>
        </w:rPr>
      </w:pPr>
    </w:p>
    <w:p w14:paraId="2B2FDCD3">
      <w:pPr>
        <w:adjustRightInd/>
        <w:spacing w:line="360" w:lineRule="auto"/>
        <w:jc w:val="center"/>
        <w:rPr>
          <w:rFonts w:ascii="宋体" w:hAnsi="宋体" w:cs="宋体"/>
          <w:b/>
          <w:color w:val="auto"/>
          <w:sz w:val="44"/>
          <w:szCs w:val="44"/>
          <w:highlight w:val="none"/>
        </w:rPr>
      </w:pPr>
    </w:p>
    <w:p w14:paraId="0BBC72F7">
      <w:pPr>
        <w:spacing w:line="360" w:lineRule="auto"/>
        <w:jc w:val="center"/>
        <w:rPr>
          <w:rFonts w:ascii="宋体" w:hAnsi="宋体" w:cs="宋体"/>
          <w:b/>
          <w:color w:val="auto"/>
          <w:sz w:val="44"/>
          <w:szCs w:val="44"/>
          <w:highlight w:val="none"/>
        </w:rPr>
      </w:pPr>
    </w:p>
    <w:p w14:paraId="3A2AD890">
      <w:pPr>
        <w:adjustRightInd/>
        <w:spacing w:line="360" w:lineRule="auto"/>
        <w:jc w:val="center"/>
        <w:rPr>
          <w:rFonts w:ascii="宋体" w:hAnsi="宋体" w:cs="宋体"/>
          <w:b/>
          <w:color w:val="auto"/>
          <w:sz w:val="48"/>
          <w:szCs w:val="48"/>
          <w:highlight w:val="none"/>
        </w:rPr>
      </w:pPr>
    </w:p>
    <w:p w14:paraId="6F905ADD">
      <w:pPr>
        <w:adjustRightInd/>
        <w:spacing w:line="360" w:lineRule="auto"/>
        <w:jc w:val="center"/>
        <w:outlineLvl w:val="0"/>
        <w:rPr>
          <w:rFonts w:ascii="宋体" w:hAnsi="宋体" w:cs="宋体"/>
          <w:color w:val="auto"/>
          <w:sz w:val="48"/>
          <w:szCs w:val="48"/>
          <w:highlight w:val="none"/>
        </w:rPr>
      </w:pPr>
      <w:bookmarkStart w:id="0" w:name="_Toc22007"/>
      <w:bookmarkStart w:id="1" w:name="_Toc3678"/>
      <w:bookmarkStart w:id="2" w:name="_Toc20930"/>
      <w:bookmarkStart w:id="3" w:name="_Toc17415"/>
      <w:r>
        <w:rPr>
          <w:rFonts w:hint="eastAsia" w:ascii="宋体" w:hAnsi="宋体" w:cs="宋体"/>
          <w:color w:val="auto"/>
          <w:sz w:val="48"/>
          <w:szCs w:val="48"/>
          <w:highlight w:val="none"/>
          <w:lang w:eastAsia="zh-CN"/>
        </w:rPr>
        <w:t>合浦县第五人民医院门诊医技综合楼改扩建项目医疗配套设施采购</w:t>
      </w:r>
      <w:r>
        <w:rPr>
          <w:rFonts w:hint="eastAsia" w:ascii="宋体" w:hAnsi="宋体" w:cs="宋体"/>
          <w:color w:val="auto"/>
          <w:sz w:val="48"/>
          <w:szCs w:val="48"/>
          <w:highlight w:val="none"/>
        </w:rPr>
        <w:t>招标文件</w:t>
      </w:r>
      <w:bookmarkEnd w:id="0"/>
      <w:bookmarkEnd w:id="1"/>
      <w:bookmarkEnd w:id="2"/>
      <w:bookmarkEnd w:id="3"/>
    </w:p>
    <w:p w14:paraId="75B4206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BA63985">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hAnsi="宋体" w:cs="宋体"/>
          <w:b/>
          <w:color w:val="auto"/>
          <w:sz w:val="28"/>
          <w:szCs w:val="28"/>
          <w:highlight w:val="none"/>
          <w:lang w:eastAsia="zh-CN"/>
        </w:rPr>
        <w:t>BHZC2025-G1-210007-CGZX</w:t>
      </w:r>
      <w:r>
        <w:rPr>
          <w:rFonts w:hint="eastAsia" w:ascii="宋体" w:hAnsi="宋体" w:cs="宋体"/>
          <w:color w:val="auto"/>
          <w:sz w:val="30"/>
          <w:szCs w:val="30"/>
          <w:highlight w:val="none"/>
        </w:rPr>
        <w:t>）</w:t>
      </w:r>
    </w:p>
    <w:p w14:paraId="6A473819">
      <w:pPr>
        <w:adjustRightInd/>
        <w:spacing w:line="360" w:lineRule="auto"/>
        <w:rPr>
          <w:rFonts w:ascii="宋体" w:hAnsi="宋体" w:cs="宋体"/>
          <w:color w:val="auto"/>
          <w:sz w:val="28"/>
          <w:szCs w:val="20"/>
          <w:highlight w:val="none"/>
        </w:rPr>
      </w:pPr>
    </w:p>
    <w:p w14:paraId="25EB625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292F4D5">
      <w:pPr>
        <w:spacing w:line="360" w:lineRule="auto"/>
        <w:jc w:val="center"/>
        <w:rPr>
          <w:rFonts w:hint="eastAsia" w:ascii="宋体" w:hAnsi="宋体" w:cs="宋体"/>
          <w:b/>
          <w:color w:val="auto"/>
          <w:sz w:val="44"/>
          <w:szCs w:val="44"/>
          <w:highlight w:val="none"/>
        </w:rPr>
      </w:pPr>
    </w:p>
    <w:p w14:paraId="357CD7CF">
      <w:pPr>
        <w:spacing w:line="360" w:lineRule="auto"/>
        <w:jc w:val="center"/>
        <w:rPr>
          <w:rFonts w:hint="eastAsia" w:ascii="宋体" w:hAnsi="宋体" w:cs="宋体"/>
          <w:b/>
          <w:color w:val="auto"/>
          <w:sz w:val="44"/>
          <w:szCs w:val="44"/>
          <w:highlight w:val="none"/>
        </w:rPr>
      </w:pPr>
    </w:p>
    <w:p w14:paraId="04A2C9AF">
      <w:pPr>
        <w:spacing w:line="360" w:lineRule="auto"/>
        <w:jc w:val="center"/>
        <w:rPr>
          <w:rFonts w:hint="eastAsia" w:ascii="宋体" w:hAnsi="宋体" w:cs="宋体"/>
          <w:b/>
          <w:color w:val="auto"/>
          <w:sz w:val="44"/>
          <w:szCs w:val="44"/>
          <w:highlight w:val="none"/>
        </w:rPr>
      </w:pPr>
    </w:p>
    <w:p w14:paraId="74B8A108">
      <w:pPr>
        <w:spacing w:line="360" w:lineRule="auto"/>
        <w:jc w:val="center"/>
        <w:rPr>
          <w:rFonts w:hint="eastAsia" w:ascii="宋体" w:hAnsi="宋体" w:cs="宋体"/>
          <w:b/>
          <w:color w:val="auto"/>
          <w:sz w:val="44"/>
          <w:szCs w:val="44"/>
          <w:highlight w:val="none"/>
        </w:rPr>
      </w:pPr>
    </w:p>
    <w:p w14:paraId="27E13393">
      <w:pPr>
        <w:spacing w:line="360" w:lineRule="auto"/>
        <w:jc w:val="center"/>
        <w:rPr>
          <w:rFonts w:ascii="宋体" w:hAnsi="宋体" w:cs="宋体"/>
          <w:b/>
          <w:color w:val="auto"/>
          <w:sz w:val="44"/>
          <w:szCs w:val="44"/>
          <w:highlight w:val="none"/>
        </w:rPr>
      </w:pPr>
    </w:p>
    <w:p w14:paraId="1DF526CC">
      <w:pPr>
        <w:spacing w:line="360" w:lineRule="auto"/>
        <w:jc w:val="center"/>
        <w:rPr>
          <w:rFonts w:ascii="宋体" w:hAnsi="宋体" w:cs="宋体"/>
          <w:color w:val="auto"/>
          <w:sz w:val="24"/>
          <w:highlight w:val="none"/>
        </w:rPr>
      </w:pPr>
    </w:p>
    <w:p w14:paraId="2D38D348">
      <w:pPr>
        <w:spacing w:line="360" w:lineRule="auto"/>
        <w:rPr>
          <w:rFonts w:ascii="宋体" w:hAnsi="宋体" w:cs="宋体"/>
          <w:color w:val="auto"/>
          <w:sz w:val="32"/>
          <w:szCs w:val="32"/>
          <w:highlight w:val="none"/>
        </w:rPr>
      </w:pPr>
    </w:p>
    <w:p w14:paraId="3A17EB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32"/>
          <w:szCs w:val="32"/>
          <w:highlight w:val="none"/>
          <w:lang w:eastAsia="zh-CN"/>
        </w:rPr>
      </w:pPr>
      <w:bookmarkStart w:id="4" w:name="_Toc2883"/>
      <w:bookmarkStart w:id="5" w:name="_Toc20148"/>
      <w:bookmarkStart w:id="6" w:name="_Toc23726"/>
      <w:bookmarkStart w:id="7" w:name="_Toc26758"/>
      <w:r>
        <w:rPr>
          <w:rFonts w:hint="eastAsia" w:ascii="宋体" w:hAnsi="宋体" w:cs="宋体"/>
          <w:color w:val="auto"/>
          <w:sz w:val="32"/>
          <w:szCs w:val="32"/>
          <w:highlight w:val="none"/>
          <w:lang w:eastAsia="zh-CN"/>
        </w:rPr>
        <w:t>合浦县公馆镇中心卫生院</w:t>
      </w:r>
      <w:bookmarkEnd w:id="4"/>
      <w:bookmarkEnd w:id="5"/>
      <w:bookmarkEnd w:id="6"/>
      <w:bookmarkEnd w:id="7"/>
    </w:p>
    <w:p w14:paraId="6397316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bCs/>
          <w:color w:val="auto"/>
          <w:sz w:val="32"/>
          <w:szCs w:val="32"/>
          <w:highlight w:val="none"/>
        </w:rPr>
      </w:pPr>
      <w:r>
        <w:rPr>
          <w:rFonts w:hint="eastAsia" w:ascii="宋体" w:hAnsi="宋体" w:cs="宋体"/>
          <w:bCs/>
          <w:color w:val="auto"/>
          <w:sz w:val="32"/>
          <w:szCs w:val="32"/>
          <w:highlight w:val="none"/>
        </w:rPr>
        <w:t>北海市政府采购中心</w:t>
      </w:r>
    </w:p>
    <w:p w14:paraId="5A566F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color w:val="auto"/>
          <w:sz w:val="32"/>
          <w:szCs w:val="32"/>
          <w:highlight w:val="none"/>
        </w:rPr>
      </w:pPr>
      <w:bookmarkStart w:id="8" w:name="_Toc27649"/>
      <w:bookmarkStart w:id="9" w:name="_Toc24701"/>
      <w:bookmarkStart w:id="10" w:name="_Toc7526"/>
      <w:bookmarkStart w:id="11" w:name="_Toc28934"/>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日</w:t>
      </w:r>
      <w:bookmarkEnd w:id="8"/>
      <w:bookmarkEnd w:id="9"/>
      <w:bookmarkEnd w:id="10"/>
      <w:bookmarkEnd w:id="11"/>
    </w:p>
    <w:p w14:paraId="5EC1ED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2" w:name="_Hlt67893495"/>
      <w:bookmarkEnd w:id="12"/>
    </w:p>
    <w:p w14:paraId="3B4F923D">
      <w:pPr>
        <w:spacing w:line="360" w:lineRule="auto"/>
        <w:jc w:val="center"/>
        <w:rPr>
          <w:rFonts w:ascii="宋体" w:hAnsi="宋体" w:cs="宋体"/>
          <w:color w:val="auto"/>
          <w:sz w:val="24"/>
          <w:highlight w:val="none"/>
        </w:rPr>
      </w:pPr>
    </w:p>
    <w:p w14:paraId="31D9472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EFD3288">
      <w:pPr>
        <w:spacing w:line="360" w:lineRule="auto"/>
        <w:rPr>
          <w:rFonts w:ascii="宋体" w:hAnsi="宋体" w:cs="宋体"/>
          <w:color w:val="auto"/>
          <w:sz w:val="32"/>
          <w:szCs w:val="32"/>
          <w:highlight w:val="none"/>
        </w:rPr>
      </w:pPr>
    </w:p>
    <w:p w14:paraId="4D1934AE">
      <w:pPr>
        <w:spacing w:line="360" w:lineRule="auto"/>
        <w:rPr>
          <w:rFonts w:ascii="宋体" w:hAnsi="宋体" w:cs="宋体"/>
          <w:color w:val="auto"/>
          <w:sz w:val="32"/>
          <w:szCs w:val="32"/>
          <w:highlight w:val="none"/>
        </w:rPr>
      </w:pPr>
    </w:p>
    <w:p w14:paraId="4F202EA2">
      <w:pPr>
        <w:spacing w:before="0" w:after="0" w:line="240" w:lineRule="auto"/>
        <w:ind w:left="0" w:leftChars="0" w:right="0" w:rightChars="0" w:firstLine="0" w:firstLineChars="0"/>
        <w:jc w:val="center"/>
        <w:rPr>
          <w:color w:val="auto"/>
          <w:highlight w:val="none"/>
        </w:rPr>
      </w:pPr>
      <w:bookmarkStart w:id="13" w:name="_Hlt91233176"/>
      <w:bookmarkEnd w:id="13"/>
      <w:bookmarkStart w:id="14" w:name="_Toc91899869"/>
    </w:p>
    <w:p w14:paraId="0606F051">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2"/>
          <w:sz w:val="28"/>
          <w:szCs w:val="28"/>
          <w:highlight w:val="none"/>
          <w:lang w:val="en-US" w:eastAsia="zh-CN" w:bidi="ar-SA"/>
        </w:rPr>
        <w:t>第一部分</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45A1B76">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_Toc30780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_Toc30780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0AD7EC">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_Toc7196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_Toc7196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D1B1946">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B930138">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_Toc703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A1142D3">
      <w:pPr>
        <w:pStyle w:val="963"/>
        <w:keepNext w:val="0"/>
        <w:keepLines w:val="0"/>
        <w:pageBreakBefore w:val="0"/>
        <w:tabs>
          <w:tab w:val="right" w:leader="dot" w:pos="9639"/>
        </w:tabs>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_Toc29013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_Toc29013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4658AFE">
      <w:pPr>
        <w:keepNext w:val="0"/>
        <w:keepLines w:val="0"/>
        <w:pageBreakBefore w:val="0"/>
        <w:kinsoku/>
        <w:wordWrap/>
        <w:overflowPunct/>
        <w:topLinePunct w:val="0"/>
        <w:autoSpaceDE/>
        <w:autoSpaceDN/>
        <w:bidi w:val="0"/>
        <w:snapToGrid/>
        <w:spacing w:line="360" w:lineRule="auto"/>
        <w:ind w:firstLine="641" w:firstLineChars="229"/>
        <w:textAlignment w:val="auto"/>
        <w:rPr>
          <w:rFonts w:ascii="宋体" w:hAnsi="宋体" w:eastAsia="宋体" w:cs="宋体"/>
          <w:color w:val="auto"/>
          <w:kern w:val="2"/>
          <w:sz w:val="21"/>
          <w:szCs w:val="32"/>
          <w:highlight w:val="none"/>
          <w:lang w:val="en-US" w:eastAsia="zh-CN" w:bidi="ar-SA"/>
        </w:rPr>
      </w:pPr>
      <w:r>
        <w:rPr>
          <w:rFonts w:hint="eastAsia" w:ascii="宋体" w:hAnsi="宋体" w:eastAsia="宋体" w:cs="宋体"/>
          <w:color w:val="auto"/>
          <w:sz w:val="28"/>
          <w:szCs w:val="28"/>
          <w:highlight w:val="none"/>
        </w:rPr>
        <w:fldChar w:fldCharType="end"/>
      </w:r>
    </w:p>
    <w:p w14:paraId="05322205">
      <w:pPr>
        <w:spacing w:line="360" w:lineRule="auto"/>
        <w:ind w:firstLine="480" w:firstLineChars="229"/>
        <w:rPr>
          <w:rFonts w:ascii="宋体" w:hAnsi="宋体" w:eastAsia="宋体" w:cs="宋体"/>
          <w:color w:val="auto"/>
          <w:kern w:val="2"/>
          <w:sz w:val="21"/>
          <w:szCs w:val="32"/>
          <w:highlight w:val="none"/>
          <w:lang w:val="en-US" w:eastAsia="zh-CN" w:bidi="ar-SA"/>
        </w:rPr>
      </w:pPr>
    </w:p>
    <w:p w14:paraId="0C7D8066">
      <w:pPr>
        <w:spacing w:line="360" w:lineRule="auto"/>
        <w:ind w:firstLine="549" w:firstLineChars="229"/>
        <w:rPr>
          <w:rFonts w:ascii="宋体" w:hAnsi="宋体" w:cs="宋体"/>
          <w:color w:val="auto"/>
          <w:sz w:val="24"/>
          <w:highlight w:val="none"/>
        </w:rPr>
      </w:pPr>
    </w:p>
    <w:p w14:paraId="1E0DF504">
      <w:pPr>
        <w:spacing w:line="360" w:lineRule="auto"/>
        <w:ind w:firstLine="549" w:firstLineChars="229"/>
        <w:rPr>
          <w:rFonts w:ascii="宋体" w:hAnsi="宋体" w:cs="宋体"/>
          <w:color w:val="auto"/>
          <w:sz w:val="24"/>
          <w:highlight w:val="none"/>
        </w:rPr>
      </w:pPr>
    </w:p>
    <w:p w14:paraId="062AF1A3">
      <w:pPr>
        <w:spacing w:line="360" w:lineRule="auto"/>
        <w:ind w:firstLine="549" w:firstLineChars="229"/>
        <w:rPr>
          <w:rFonts w:ascii="宋体" w:hAnsi="宋体" w:cs="宋体"/>
          <w:color w:val="auto"/>
          <w:sz w:val="24"/>
          <w:highlight w:val="none"/>
        </w:rPr>
      </w:pPr>
    </w:p>
    <w:p w14:paraId="476C5025">
      <w:pPr>
        <w:spacing w:line="360" w:lineRule="auto"/>
        <w:ind w:firstLine="549" w:firstLineChars="229"/>
        <w:rPr>
          <w:rFonts w:ascii="宋体" w:hAnsi="宋体" w:cs="宋体"/>
          <w:color w:val="auto"/>
          <w:sz w:val="24"/>
          <w:highlight w:val="none"/>
        </w:rPr>
      </w:pPr>
    </w:p>
    <w:p w14:paraId="7624DB39">
      <w:pPr>
        <w:spacing w:line="360" w:lineRule="auto"/>
        <w:ind w:firstLine="549" w:firstLineChars="229"/>
        <w:rPr>
          <w:rFonts w:ascii="宋体" w:hAnsi="宋体" w:cs="宋体"/>
          <w:color w:val="auto"/>
          <w:sz w:val="24"/>
          <w:highlight w:val="none"/>
        </w:rPr>
      </w:pPr>
    </w:p>
    <w:p w14:paraId="1E020E3B">
      <w:pPr>
        <w:spacing w:line="360" w:lineRule="auto"/>
        <w:ind w:firstLine="549" w:firstLineChars="229"/>
        <w:rPr>
          <w:rFonts w:ascii="宋体" w:hAnsi="宋体" w:cs="宋体"/>
          <w:color w:val="auto"/>
          <w:sz w:val="24"/>
          <w:highlight w:val="none"/>
        </w:rPr>
      </w:pPr>
    </w:p>
    <w:p w14:paraId="159BF7D8">
      <w:pPr>
        <w:spacing w:line="360" w:lineRule="auto"/>
        <w:ind w:firstLine="549" w:firstLineChars="229"/>
        <w:rPr>
          <w:rFonts w:ascii="宋体" w:hAnsi="宋体" w:cs="宋体"/>
          <w:color w:val="auto"/>
          <w:sz w:val="24"/>
          <w:highlight w:val="none"/>
        </w:rPr>
      </w:pPr>
    </w:p>
    <w:p w14:paraId="41104593">
      <w:pPr>
        <w:spacing w:line="360" w:lineRule="auto"/>
        <w:ind w:firstLine="549" w:firstLineChars="229"/>
        <w:rPr>
          <w:rFonts w:ascii="宋体" w:hAnsi="宋体" w:cs="宋体"/>
          <w:color w:val="auto"/>
          <w:sz w:val="24"/>
          <w:highlight w:val="none"/>
        </w:rPr>
      </w:pPr>
    </w:p>
    <w:p w14:paraId="62BF6D91">
      <w:pPr>
        <w:spacing w:line="360" w:lineRule="auto"/>
        <w:ind w:firstLine="549" w:firstLineChars="229"/>
        <w:rPr>
          <w:rFonts w:ascii="宋体" w:hAnsi="宋体" w:cs="宋体"/>
          <w:color w:val="auto"/>
          <w:sz w:val="24"/>
          <w:highlight w:val="none"/>
        </w:rPr>
      </w:pPr>
    </w:p>
    <w:p w14:paraId="109A7BE1">
      <w:pPr>
        <w:spacing w:line="360" w:lineRule="auto"/>
        <w:ind w:firstLine="549" w:firstLineChars="229"/>
        <w:rPr>
          <w:rFonts w:ascii="宋体" w:hAnsi="宋体" w:cs="宋体"/>
          <w:color w:val="auto"/>
          <w:sz w:val="24"/>
          <w:highlight w:val="none"/>
        </w:rPr>
      </w:pPr>
    </w:p>
    <w:p w14:paraId="7310D6BB">
      <w:pPr>
        <w:spacing w:line="360" w:lineRule="auto"/>
        <w:ind w:firstLine="549" w:firstLineChars="229"/>
        <w:rPr>
          <w:rFonts w:ascii="宋体" w:hAnsi="宋体" w:cs="宋体"/>
          <w:color w:val="auto"/>
          <w:sz w:val="24"/>
          <w:highlight w:val="none"/>
        </w:rPr>
      </w:pPr>
    </w:p>
    <w:p w14:paraId="4E1BF681">
      <w:pPr>
        <w:spacing w:line="360" w:lineRule="auto"/>
        <w:rPr>
          <w:rFonts w:ascii="宋体" w:hAnsi="宋体" w:cs="宋体"/>
          <w:color w:val="auto"/>
          <w:sz w:val="24"/>
          <w:highlight w:val="none"/>
        </w:rPr>
      </w:pPr>
    </w:p>
    <w:bookmarkEnd w:id="14"/>
    <w:p w14:paraId="2E8E2FF8">
      <w:pPr>
        <w:adjustRightInd/>
        <w:spacing w:line="360" w:lineRule="auto"/>
        <w:jc w:val="center"/>
        <w:outlineLvl w:val="9"/>
        <w:rPr>
          <w:rFonts w:hint="eastAsia" w:ascii="宋体" w:hAnsi="宋体" w:cs="宋体"/>
          <w:b/>
          <w:color w:val="auto"/>
          <w:sz w:val="36"/>
          <w:szCs w:val="20"/>
          <w:highlight w:val="none"/>
        </w:rPr>
        <w:sectPr>
          <w:headerReference r:id="rId4" w:type="first"/>
          <w:headerReference r:id="rId3" w:type="default"/>
          <w:pgSz w:w="11906" w:h="16838"/>
          <w:pgMar w:top="1247" w:right="849" w:bottom="1247" w:left="1418" w:header="851" w:footer="907" w:gutter="0"/>
          <w:cols w:space="720" w:num="1"/>
          <w:titlePg/>
          <w:docGrid w:type="lines" w:linePitch="312" w:charSpace="0"/>
        </w:sectPr>
      </w:pPr>
      <w:bookmarkStart w:id="15" w:name="_Hlt74707423"/>
      <w:bookmarkEnd w:id="15"/>
      <w:bookmarkStart w:id="16" w:name="_Hlt74728647"/>
      <w:bookmarkEnd w:id="16"/>
      <w:bookmarkStart w:id="17" w:name="_Hlt74649545"/>
      <w:bookmarkEnd w:id="17"/>
      <w:bookmarkStart w:id="18" w:name="_Hlt74729822"/>
      <w:bookmarkEnd w:id="18"/>
      <w:bookmarkStart w:id="19" w:name="_Toc176185119"/>
      <w:bookmarkStart w:id="20" w:name="_Toc176343848"/>
      <w:bookmarkStart w:id="21" w:name="第二部分"/>
      <w:bookmarkStart w:id="22" w:name="_Toc91899870"/>
      <w:bookmarkStart w:id="23" w:name="_Toc91899871"/>
    </w:p>
    <w:p w14:paraId="1BF1B92A">
      <w:pPr>
        <w:numPr>
          <w:ilvl w:val="0"/>
          <w:numId w:val="0"/>
        </w:numPr>
        <w:adjustRightInd/>
        <w:spacing w:line="360" w:lineRule="auto"/>
        <w:jc w:val="center"/>
        <w:outlineLvl w:val="9"/>
        <w:rPr>
          <w:rFonts w:hint="eastAsia" w:ascii="宋体" w:hAnsi="宋体" w:eastAsia="宋体" w:cs="宋体"/>
          <w:b/>
          <w:color w:val="auto"/>
          <w:kern w:val="2"/>
          <w:sz w:val="36"/>
          <w:szCs w:val="20"/>
          <w:highlight w:val="none"/>
          <w:lang w:val="en-US" w:eastAsia="zh-CN" w:bidi="ar-SA"/>
        </w:rPr>
      </w:pPr>
      <w:bookmarkStart w:id="24" w:name="_Toc7567"/>
    </w:p>
    <w:p w14:paraId="6EE15E93">
      <w:pPr>
        <w:numPr>
          <w:ilvl w:val="0"/>
          <w:numId w:val="0"/>
        </w:numPr>
        <w:adjustRightInd/>
        <w:spacing w:line="360" w:lineRule="auto"/>
        <w:jc w:val="center"/>
        <w:outlineLvl w:val="0"/>
        <w:rPr>
          <w:rFonts w:hint="eastAsia" w:ascii="宋体" w:hAnsi="宋体" w:cs="宋体"/>
          <w:b/>
          <w:color w:val="auto"/>
          <w:sz w:val="36"/>
          <w:szCs w:val="20"/>
          <w:highlight w:val="none"/>
        </w:rPr>
      </w:pPr>
      <w:bookmarkStart w:id="25" w:name="_Toc12533"/>
      <w:bookmarkStart w:id="26" w:name="_Toc13480"/>
      <w:bookmarkStart w:id="27" w:name="_Toc5559"/>
      <w:bookmarkStart w:id="28" w:name="_Toc16619"/>
      <w:r>
        <w:rPr>
          <w:rFonts w:hint="eastAsia" w:ascii="宋体" w:hAnsi="宋体" w:eastAsia="宋体" w:cs="宋体"/>
          <w:b/>
          <w:color w:val="auto"/>
          <w:kern w:val="2"/>
          <w:sz w:val="36"/>
          <w:szCs w:val="20"/>
          <w:highlight w:val="none"/>
          <w:lang w:val="en-US" w:eastAsia="zh-CN" w:bidi="ar-SA"/>
        </w:rPr>
        <w:t>第一部分</w:t>
      </w:r>
      <w:r>
        <w:rPr>
          <w:rFonts w:hint="eastAsia" w:ascii="宋体" w:hAnsi="宋体" w:cs="宋体"/>
          <w:b/>
          <w:color w:val="auto"/>
          <w:sz w:val="36"/>
          <w:szCs w:val="20"/>
          <w:highlight w:val="none"/>
        </w:rPr>
        <w:t xml:space="preserve"> 招标公告</w:t>
      </w:r>
      <w:bookmarkEnd w:id="19"/>
      <w:bookmarkEnd w:id="20"/>
      <w:bookmarkEnd w:id="24"/>
      <w:bookmarkEnd w:id="25"/>
      <w:bookmarkEnd w:id="26"/>
      <w:bookmarkEnd w:id="27"/>
      <w:bookmarkEnd w:id="28"/>
    </w:p>
    <w:p w14:paraId="6582F3D5">
      <w:pPr>
        <w:pStyle w:val="40"/>
        <w:numPr>
          <w:ilvl w:val="0"/>
          <w:numId w:val="0"/>
        </w:numPr>
        <w:jc w:val="center"/>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北海市政府采购中心关于</w:t>
      </w:r>
      <w:r>
        <w:rPr>
          <w:rFonts w:hint="eastAsia" w:ascii="宋体" w:hAnsi="宋体" w:cs="宋体"/>
          <w:b/>
          <w:color w:val="auto"/>
          <w:kern w:val="2"/>
          <w:sz w:val="30"/>
          <w:szCs w:val="30"/>
          <w:highlight w:val="none"/>
          <w:lang w:val="en-US" w:eastAsia="zh-CN" w:bidi="ar-SA"/>
        </w:rPr>
        <w:t>合浦县第五人民医院门诊医技综合楼改扩建项目医疗配套设施采购</w:t>
      </w:r>
      <w:r>
        <w:rPr>
          <w:rFonts w:hint="eastAsia" w:ascii="宋体" w:hAnsi="宋体" w:eastAsia="宋体" w:cs="宋体"/>
          <w:b/>
          <w:color w:val="auto"/>
          <w:kern w:val="2"/>
          <w:sz w:val="30"/>
          <w:szCs w:val="30"/>
          <w:highlight w:val="none"/>
          <w:lang w:val="en-US" w:eastAsia="zh-CN" w:bidi="ar-SA"/>
        </w:rPr>
        <w:t>(</w:t>
      </w:r>
      <w:r>
        <w:rPr>
          <w:rFonts w:hint="eastAsia" w:ascii="宋体" w:hAnsi="宋体" w:cs="宋体"/>
          <w:b/>
          <w:color w:val="auto"/>
          <w:kern w:val="2"/>
          <w:sz w:val="30"/>
          <w:szCs w:val="30"/>
          <w:highlight w:val="none"/>
          <w:lang w:val="en-US" w:eastAsia="zh-CN" w:bidi="ar-SA"/>
        </w:rPr>
        <w:t>BHZC2025-G1-210007-CGZX</w:t>
      </w:r>
      <w:r>
        <w:rPr>
          <w:rFonts w:hint="eastAsia" w:ascii="宋体" w:hAnsi="宋体" w:eastAsia="宋体" w:cs="宋体"/>
          <w:b/>
          <w:color w:val="auto"/>
          <w:kern w:val="2"/>
          <w:sz w:val="30"/>
          <w:szCs w:val="30"/>
          <w:highlight w:val="none"/>
          <w:lang w:val="en-US" w:eastAsia="zh-CN" w:bidi="ar-SA"/>
        </w:rPr>
        <w:t>)公开招标公告</w:t>
      </w:r>
    </w:p>
    <w:p w14:paraId="36298DC9">
      <w:pPr>
        <w:pStyle w:val="40"/>
        <w:numPr>
          <w:ilvl w:val="0"/>
          <w:numId w:val="0"/>
        </w:numPr>
        <w:jc w:val="center"/>
        <w:outlineLvl w:val="1"/>
        <w:rPr>
          <w:rFonts w:hint="eastAsia" w:ascii="宋体" w:hAnsi="宋体" w:eastAsia="宋体" w:cs="宋体"/>
          <w:b/>
          <w:color w:val="auto"/>
          <w:kern w:val="2"/>
          <w:sz w:val="36"/>
          <w:szCs w:val="20"/>
          <w:highlight w:val="none"/>
          <w:lang w:val="en-US" w:eastAsia="zh-CN" w:bidi="ar-SA"/>
        </w:rPr>
      </w:pPr>
      <w:r>
        <w:rPr>
          <w:rFonts w:hint="eastAsia" w:ascii="宋体" w:hAnsi="宋体" w:cs="宋体"/>
          <w:b/>
          <w:color w:val="auto"/>
          <w:kern w:val="2"/>
          <w:sz w:val="30"/>
          <w:szCs w:val="30"/>
          <w:highlight w:val="none"/>
          <w:lang w:val="en-US" w:eastAsia="zh-CN" w:bidi="ar-SA"/>
        </w:rPr>
        <w:t>（远程异地评标）</w:t>
      </w:r>
    </w:p>
    <w:p w14:paraId="1B265635">
      <w:pPr>
        <w:pStyle w:val="40"/>
        <w:numPr>
          <w:ilvl w:val="0"/>
          <w:numId w:val="0"/>
        </w:numPr>
        <w:jc w:val="center"/>
        <w:rPr>
          <w:rFonts w:hint="eastAsia" w:ascii="宋体" w:hAnsi="宋体" w:eastAsia="宋体" w:cs="宋体"/>
          <w:b/>
          <w:color w:val="auto"/>
          <w:kern w:val="2"/>
          <w:sz w:val="36"/>
          <w:szCs w:val="20"/>
          <w:highlight w:val="none"/>
          <w:lang w:val="en-US" w:eastAsia="zh-CN" w:bidi="ar-SA"/>
        </w:rPr>
      </w:pPr>
    </w:p>
    <w:p w14:paraId="72A1F53F">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42CBCF0">
      <w:pPr>
        <w:pBdr>
          <w:top w:val="single" w:color="auto" w:sz="4" w:space="1"/>
          <w:left w:val="single" w:color="auto" w:sz="4" w:space="4"/>
          <w:bottom w:val="single" w:color="auto" w:sz="4" w:space="2"/>
          <w:right w:val="single" w:color="auto" w:sz="4" w:space="4"/>
        </w:pBd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合浦县第五人民医院门诊医技综合楼改扩建项目医疗配套设施采购</w:t>
      </w:r>
      <w:r>
        <w:rPr>
          <w:rFonts w:hint="eastAsia" w:ascii="宋体" w:hAnsi="宋体" w:eastAsia="宋体" w:cs="宋体"/>
          <w:color w:val="auto"/>
          <w:sz w:val="21"/>
          <w:szCs w:val="21"/>
          <w:highlight w:val="none"/>
        </w:rPr>
        <w:t>招标项目的潜在投标人应在广西政府采购云平台（https://www.gcy.zfcg.gxzf.gov.cn/）获取（下载）招标文件，并于2025年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日9点0分00秒</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68FE13A9">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523A391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项目编号：</w:t>
      </w:r>
      <w:r>
        <w:rPr>
          <w:rFonts w:hint="eastAsia" w:ascii="宋体" w:hAnsi="宋体" w:cs="宋体"/>
          <w:color w:val="auto"/>
          <w:sz w:val="21"/>
          <w:szCs w:val="21"/>
          <w:highlight w:val="none"/>
          <w:lang w:eastAsia="zh-CN"/>
        </w:rPr>
        <w:t>BHZC2025-G1-210007-CGZX</w:t>
      </w:r>
    </w:p>
    <w:p w14:paraId="4EF4BC8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项目名称：</w:t>
      </w:r>
      <w:r>
        <w:rPr>
          <w:rFonts w:hint="eastAsia" w:ascii="宋体" w:hAnsi="宋体" w:eastAsia="宋体" w:cs="宋体"/>
          <w:color w:val="auto"/>
          <w:sz w:val="21"/>
          <w:szCs w:val="21"/>
          <w:highlight w:val="none"/>
          <w:lang w:eastAsia="zh-CN"/>
        </w:rPr>
        <w:t>合浦县第五人民医院门诊医技综合楼改扩建项目医疗配套设施采购</w:t>
      </w:r>
    </w:p>
    <w:p w14:paraId="4C7F205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预算金额（元）：</w:t>
      </w:r>
      <w:r>
        <w:rPr>
          <w:rFonts w:hint="eastAsia" w:ascii="宋体" w:hAnsi="宋体" w:eastAsia="宋体" w:cs="宋体"/>
          <w:color w:val="auto"/>
          <w:sz w:val="21"/>
          <w:szCs w:val="21"/>
          <w:highlight w:val="none"/>
          <w:lang w:eastAsia="zh-CN"/>
        </w:rPr>
        <w:t>3,461,443.81元</w:t>
      </w:r>
    </w:p>
    <w:p w14:paraId="78EDBB96">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w:t>
      </w:r>
    </w:p>
    <w:p w14:paraId="0421EBDE">
      <w:pPr>
        <w:pStyle w:val="5"/>
        <w:spacing w:line="360" w:lineRule="auto"/>
        <w:ind w:firstLine="480"/>
        <w:rPr>
          <w:rFonts w:hint="eastAsia" w:ascii="宋体" w:hAnsi="宋体" w:eastAsia="宋体" w:cs="宋体"/>
          <w:color w:val="auto"/>
          <w:kern w:val="0"/>
          <w:sz w:val="21"/>
          <w:szCs w:val="21"/>
          <w:highlight w:val="none"/>
        </w:rPr>
      </w:pPr>
    </w:p>
    <w:p w14:paraId="1BA0AA95">
      <w:pPr>
        <w:pStyle w:val="5"/>
        <w:spacing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标项名称:</w:t>
      </w:r>
      <w:r>
        <w:rPr>
          <w:rFonts w:hint="eastAsia" w:ascii="宋体" w:hAnsi="宋体" w:eastAsia="宋体" w:cs="宋体"/>
          <w:color w:val="auto"/>
          <w:kern w:val="0"/>
          <w:sz w:val="21"/>
          <w:szCs w:val="21"/>
          <w:highlight w:val="none"/>
          <w:lang w:val="en-US" w:eastAsia="zh-CN"/>
        </w:rPr>
        <w:t>合浦县第五人民医院门诊医技综合楼改扩建项目医疗配套设施采购</w:t>
      </w:r>
    </w:p>
    <w:p w14:paraId="58F72DA8">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数量:1批</w:t>
      </w:r>
    </w:p>
    <w:p w14:paraId="318B3D4E">
      <w:pPr>
        <w:pStyle w:val="5"/>
        <w:spacing w:line="360" w:lineRule="auto"/>
        <w:ind w:firstLine="48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eastAsia="zh-CN"/>
        </w:rPr>
        <w:t>3,461,443.81元</w:t>
      </w:r>
    </w:p>
    <w:p w14:paraId="5E65DB31">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简要规格描述或项目基本概况介绍、用途：采购内容包括医用护士站、医用发药台 、医用收费台、医用挂衣板、医用操作柜、医用百子中药柜、医用百子中药矮柜、医用中药调剂台、医用双面药架、医用无门药柜、医用单面西药调剂柜、医用配药吊柜、医用配药地柜、医用转角配药地柜、医用配药分类垃圾柜、医用配药洗消柜、医用人造石、医用肌注台、医用肌注椅、医用控制台、医用诊桌、医用诊查床、医用工作台、 医用资料柜、医用茶水柜、医生值班床、医用储物柜、医用货架、定制演讲台、定制主席台、定制会议椅、定制条桌、医用四人位排椅、医用办公椅、医用病人椅、医用操作椅、定制三人位沙发、定制会议桌、定制礼堂椅、医用病房衣柜、医用雾化桌、医用雾化凳、医用资料柜、定制主任办公桌、定制长茶几、医用牙科单元操作柜等77项内容，具体详见招标文件。</w:t>
      </w:r>
    </w:p>
    <w:p w14:paraId="32FABDA4">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最高限价（如有）：/</w:t>
      </w:r>
    </w:p>
    <w:p w14:paraId="4AE9F86C">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合同履约期限：自合同签订之日起至项目验收合格。</w:t>
      </w:r>
    </w:p>
    <w:p w14:paraId="1A31F543">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本标项（否）接受联合体投标</w:t>
      </w:r>
    </w:p>
    <w:p w14:paraId="005DE2F2">
      <w:pPr>
        <w:pStyle w:val="5"/>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p w14:paraId="168CF483">
      <w:pPr>
        <w:rPr>
          <w:rFonts w:hint="eastAsia" w:ascii="宋体" w:hAnsi="宋体" w:eastAsia="宋体" w:cs="宋体"/>
          <w:sz w:val="21"/>
          <w:szCs w:val="21"/>
        </w:rPr>
      </w:pPr>
    </w:p>
    <w:p w14:paraId="4BAE1560">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29" w:name="_Hlk101132948"/>
      <w:r>
        <w:rPr>
          <w:rFonts w:hint="eastAsia" w:ascii="宋体" w:hAnsi="宋体" w:eastAsia="宋体" w:cs="宋体"/>
          <w:b/>
          <w:color w:val="auto"/>
          <w:sz w:val="21"/>
          <w:szCs w:val="21"/>
          <w:highlight w:val="none"/>
        </w:rPr>
        <w:t>申请人的资格要求</w:t>
      </w:r>
      <w:bookmarkEnd w:id="29"/>
      <w:r>
        <w:rPr>
          <w:rFonts w:hint="eastAsia" w:ascii="宋体" w:hAnsi="宋体" w:eastAsia="宋体" w:cs="宋体"/>
          <w:b/>
          <w:color w:val="auto"/>
          <w:sz w:val="21"/>
          <w:szCs w:val="21"/>
          <w:highlight w:val="none"/>
        </w:rPr>
        <w:t>：</w:t>
      </w:r>
    </w:p>
    <w:p w14:paraId="5D60557A">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D8461C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2.落实政府采购政策需满足的资格要求：无；</w:t>
      </w:r>
    </w:p>
    <w:p w14:paraId="2EEB5923">
      <w:pPr>
        <w:pStyle w:val="5"/>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eastAsia="zh-CN"/>
        </w:rPr>
        <w:t>无。</w:t>
      </w:r>
    </w:p>
    <w:p w14:paraId="7E3D5039">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0C9D6E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，下午12:00至23:59（北京时间，法定节假日除外）</w:t>
      </w:r>
    </w:p>
    <w:p w14:paraId="230CB9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地点（网址）：广西政府采购云平台（https://www.gcy.zfcg.gxzf.gov.cn/） </w:t>
      </w:r>
    </w:p>
    <w:p w14:paraId="7F5902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方式：供应商登录广西政府采购云平台（https://www.gcy.zfcg.gxzf.gov.cn/）在线申请获取采购文件（进入“项目采购”应用，在获取采购文件菜单中选择项目，申请获取采购文件）。 </w:t>
      </w:r>
    </w:p>
    <w:p w14:paraId="636D87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售价（元）：0 </w:t>
      </w:r>
      <w:r>
        <w:rPr>
          <w:rFonts w:hint="eastAsia" w:ascii="宋体" w:hAnsi="宋体" w:eastAsia="宋体" w:cs="宋体"/>
          <w:color w:val="auto"/>
          <w:sz w:val="21"/>
          <w:szCs w:val="21"/>
          <w:highlight w:val="none"/>
        </w:rPr>
        <w:tab/>
      </w:r>
    </w:p>
    <w:p w14:paraId="0EA96A17">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124232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提交投标文件截止时间：</w:t>
      </w:r>
      <w:r>
        <w:rPr>
          <w:rFonts w:hint="eastAsia" w:ascii="宋体" w:hAnsi="宋体" w:eastAsia="宋体" w:cs="宋体"/>
          <w:color w:val="auto"/>
          <w:sz w:val="21"/>
          <w:szCs w:val="21"/>
          <w:highlight w:val="none"/>
          <w:u w:val="single"/>
        </w:rPr>
        <w:t>2025年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日9点0分00秒</w:t>
      </w:r>
      <w:r>
        <w:rPr>
          <w:rFonts w:hint="eastAsia" w:ascii="宋体" w:hAnsi="宋体" w:eastAsia="宋体" w:cs="宋体"/>
          <w:color w:val="auto"/>
          <w:sz w:val="21"/>
          <w:szCs w:val="21"/>
          <w:highlight w:val="none"/>
        </w:rPr>
        <w:t>（北京时间）</w:t>
      </w:r>
    </w:p>
    <w:p w14:paraId="7FEFC2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投标地点（网址）：广西政府采购云平台（https://www.gcy.zfcg.gxzf.gov.cn/） </w:t>
      </w:r>
    </w:p>
    <w:p w14:paraId="6518B3CC">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2025年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日9点0分00秒</w:t>
      </w:r>
    </w:p>
    <w:p w14:paraId="50CA92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开标地点（网址）：广西政府采购云平台（https://www.gcy.zfcg.gxzf.gov.cn/）</w:t>
      </w:r>
    </w:p>
    <w:p w14:paraId="3C309705">
      <w:pPr>
        <w:spacing w:line="360" w:lineRule="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3F0943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C3185E5">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F8BA7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1.本项目不收取投标保证金。</w:t>
      </w:r>
    </w:p>
    <w:p w14:paraId="640F00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2.本项目需要落实的政府采购政策：</w:t>
      </w:r>
    </w:p>
    <w:p w14:paraId="76E9B2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（1）落实强制采购节能产品、鼓励节能政策：对国家公布的节能产品政府采购品目清单中属于强制采购的产品，予以强制采购。属于非强制采购的产品，在技术、服务等指标同等条件下，予以优先采购。</w:t>
      </w:r>
    </w:p>
    <w:p w14:paraId="3CD8FB8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（2）鼓励环保政策：在性能、技术、服务等指标同等条件下，优先采购国家公布的属于环境标志产品政府采购品目清单中产品。</w:t>
      </w:r>
    </w:p>
    <w:p w14:paraId="514E62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（3）扶持中小企业政策：评审时小型和微型企业产品的价格给予20%的扣除。监狱企业、残疾人福利性单位视同小型和微型企业，其产品在评审时给予相同的价格扣除。</w:t>
      </w:r>
    </w:p>
    <w:p w14:paraId="7FAD11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3.网上公告媒体查询：中国政府采购网、广西政府采购网、全国公共资源交易平台（广西•北海）、北海市政府采购监管网、北海市人民政府网-北海市政府采购中心网站。</w:t>
      </w:r>
    </w:p>
    <w:p w14:paraId="0C2C55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供应商通过新平台（广西政府采购云平台）参与政府采购项目投标需下载使用新版客户端（广西政府采购云平台客户端），新版客户端下载路径：广西政府采购网（访问地址http://zfcg.gxzf.gov.cn/）—办事服务—下载专区。原在政采云平台注册的临时供应商需在新平台启用后重新注册登记。</w:t>
      </w:r>
    </w:p>
    <w:p w14:paraId="6805AA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广西政府采购云平台客户端”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14:paraId="2ECF98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6.广西政府采购云平台与政采云平台操作流程一致，首次登录新平台账号密码与政采云账号密码一致，新旧平台数据相互独立，后续修改新平台密码不会影响政采云平台密码。</w:t>
      </w:r>
    </w:p>
    <w:p w14:paraId="089F84DD">
      <w:pPr>
        <w:spacing w:line="360" w:lineRule="auto"/>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7.本项目采用远程异地评标。</w:t>
      </w:r>
    </w:p>
    <w:p w14:paraId="43E7859F">
      <w:pPr>
        <w:spacing w:line="360"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187B9903">
      <w:pPr>
        <w:spacing w:line="360" w:lineRule="auto"/>
        <w:ind w:firstLine="48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2B73537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合浦县公馆镇中心卫生院</w:t>
      </w:r>
    </w:p>
    <w:p w14:paraId="7DE5986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址：合浦县公馆镇盐田路36号</w:t>
      </w:r>
    </w:p>
    <w:p w14:paraId="4EAEA76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项目联系人：苏汉芳  </w:t>
      </w:r>
    </w:p>
    <w:p w14:paraId="404E850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项目联系方式：1302599058</w:t>
      </w:r>
    </w:p>
    <w:p w14:paraId="44AB002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2.采购代理机构信息            </w:t>
      </w:r>
    </w:p>
    <w:p w14:paraId="107B5F3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称：北海市政府采购中心             </w:t>
      </w:r>
    </w:p>
    <w:p w14:paraId="7208D42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址：北海市海城区陈文村北路7号市直机关第三办公区2号楼一层          </w:t>
      </w:r>
    </w:p>
    <w:p w14:paraId="4B598D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项目联系人(询问)：张文敏。              </w:t>
      </w:r>
    </w:p>
    <w:p w14:paraId="322E80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项目联系方式(询问)：0779-3056122。</w:t>
      </w:r>
    </w:p>
    <w:p w14:paraId="41FBD939">
      <w:pPr>
        <w:spacing w:line="360" w:lineRule="auto"/>
        <w:ind w:firstLine="420" w:firstLineChars="200"/>
        <w:rPr>
          <w:rFonts w:ascii="宋体" w:hAnsi="宋体" w:cs="宋体"/>
          <w:color w:val="auto"/>
          <w:sz w:val="24"/>
          <w:highlight w:val="none"/>
        </w:rPr>
      </w:pPr>
      <w:r>
        <w:rPr>
          <w:rFonts w:hint="eastAsia" w:ascii="宋体" w:hAnsi="宋体" w:eastAsia="宋体" w:cs="宋体"/>
          <w:color w:val="auto"/>
          <w:sz w:val="21"/>
          <w:szCs w:val="21"/>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0D6F49D4">
      <w:pPr>
        <w:spacing w:line="360" w:lineRule="auto"/>
        <w:ind w:firstLine="480" w:firstLineChars="200"/>
        <w:rPr>
          <w:rFonts w:ascii="宋体" w:hAnsi="宋体" w:cs="宋体"/>
          <w:color w:val="auto"/>
          <w:sz w:val="24"/>
          <w:highlight w:val="none"/>
        </w:rPr>
      </w:pPr>
    </w:p>
    <w:p w14:paraId="530AC54E">
      <w:pPr>
        <w:pStyle w:val="82"/>
        <w:rPr>
          <w:rFonts w:hint="eastAsia" w:hAnsi="宋体" w:cs="宋体"/>
          <w:color w:val="auto"/>
          <w:sz w:val="24"/>
          <w:highlight w:val="none"/>
        </w:rPr>
      </w:pPr>
      <w:r>
        <w:rPr>
          <w:rFonts w:hint="eastAsia" w:hAnsi="宋体" w:cs="宋体"/>
          <w:color w:val="auto"/>
          <w:sz w:val="24"/>
          <w:highlight w:val="none"/>
        </w:rPr>
        <w:t xml:space="preserve">              </w:t>
      </w:r>
    </w:p>
    <w:p w14:paraId="6D2FB83A">
      <w:pPr>
        <w:pStyle w:val="82"/>
        <w:rPr>
          <w:rFonts w:hint="eastAsia" w:hAnsi="宋体" w:cs="宋体"/>
          <w:color w:val="auto"/>
          <w:sz w:val="24"/>
          <w:highlight w:val="none"/>
        </w:rPr>
      </w:pPr>
    </w:p>
    <w:p w14:paraId="5A03A8E4">
      <w:pPr>
        <w:pStyle w:val="82"/>
        <w:rPr>
          <w:rFonts w:hint="eastAsia" w:hAnsi="宋体" w:cs="宋体"/>
          <w:color w:val="auto"/>
          <w:sz w:val="24"/>
          <w:highlight w:val="none"/>
        </w:rPr>
      </w:pPr>
    </w:p>
    <w:p w14:paraId="1A3750D6">
      <w:pPr>
        <w:pStyle w:val="82"/>
        <w:rPr>
          <w:rFonts w:hint="eastAsia" w:hAnsi="宋体" w:cs="宋体"/>
          <w:color w:val="auto"/>
          <w:sz w:val="24"/>
          <w:highlight w:val="none"/>
        </w:rPr>
      </w:pPr>
    </w:p>
    <w:p w14:paraId="416D7FBB">
      <w:pPr>
        <w:pStyle w:val="82"/>
        <w:rPr>
          <w:rFonts w:hint="eastAsia" w:hAnsi="宋体" w:cs="宋体"/>
          <w:color w:val="auto"/>
          <w:sz w:val="24"/>
          <w:highlight w:val="none"/>
        </w:rPr>
      </w:pPr>
    </w:p>
    <w:p w14:paraId="4C953785">
      <w:pPr>
        <w:pStyle w:val="82"/>
        <w:rPr>
          <w:rFonts w:hint="eastAsia" w:hAnsi="宋体" w:cs="宋体"/>
          <w:color w:val="auto"/>
          <w:sz w:val="24"/>
          <w:highlight w:val="none"/>
        </w:rPr>
      </w:pPr>
    </w:p>
    <w:p w14:paraId="4783220B">
      <w:pPr>
        <w:pStyle w:val="82"/>
        <w:rPr>
          <w:rFonts w:hint="eastAsia" w:hAnsi="宋体" w:cs="宋体"/>
          <w:color w:val="auto"/>
          <w:sz w:val="24"/>
          <w:highlight w:val="none"/>
        </w:rPr>
      </w:pPr>
    </w:p>
    <w:p w14:paraId="09F44A27">
      <w:pPr>
        <w:pStyle w:val="82"/>
        <w:rPr>
          <w:rFonts w:hint="eastAsia" w:hAnsi="宋体" w:cs="宋体"/>
          <w:color w:val="auto"/>
          <w:sz w:val="24"/>
          <w:highlight w:val="none"/>
        </w:rPr>
      </w:pPr>
    </w:p>
    <w:p w14:paraId="62553862">
      <w:pPr>
        <w:pStyle w:val="82"/>
        <w:rPr>
          <w:rFonts w:hint="eastAsia" w:hAnsi="宋体" w:cs="宋体"/>
          <w:color w:val="auto"/>
          <w:sz w:val="24"/>
          <w:highlight w:val="none"/>
        </w:rPr>
      </w:pPr>
    </w:p>
    <w:p w14:paraId="0BD89EBB">
      <w:pPr>
        <w:pStyle w:val="82"/>
        <w:rPr>
          <w:rFonts w:hint="eastAsia" w:hAnsi="宋体" w:cs="宋体"/>
          <w:color w:val="auto"/>
          <w:sz w:val="24"/>
          <w:highlight w:val="none"/>
        </w:rPr>
      </w:pPr>
    </w:p>
    <w:p w14:paraId="22E92CD8">
      <w:pPr>
        <w:pStyle w:val="82"/>
        <w:rPr>
          <w:rFonts w:hint="eastAsia" w:hAnsi="宋体" w:cs="宋体"/>
          <w:color w:val="auto"/>
          <w:sz w:val="24"/>
          <w:highlight w:val="none"/>
        </w:rPr>
      </w:pPr>
    </w:p>
    <w:p w14:paraId="3D2BB9ED">
      <w:pPr>
        <w:pStyle w:val="82"/>
        <w:rPr>
          <w:rFonts w:hint="eastAsia" w:hAnsi="宋体" w:cs="宋体"/>
          <w:color w:val="auto"/>
          <w:sz w:val="24"/>
          <w:highlight w:val="none"/>
        </w:rPr>
      </w:pPr>
    </w:p>
    <w:p w14:paraId="70D74010">
      <w:pPr>
        <w:pStyle w:val="82"/>
        <w:jc w:val="center"/>
        <w:outlineLvl w:val="0"/>
        <w:rPr>
          <w:rFonts w:ascii="宋体" w:hAnsi="宋体" w:cs="宋体"/>
          <w:b/>
          <w:color w:val="auto"/>
          <w:sz w:val="36"/>
          <w:szCs w:val="20"/>
          <w:highlight w:val="none"/>
        </w:rPr>
      </w:pPr>
      <w:bookmarkStart w:id="30" w:name="_Toc21567"/>
      <w:bookmarkStart w:id="31" w:name="_Toc176185120"/>
      <w:bookmarkStart w:id="32" w:name="_Toc30780"/>
      <w:bookmarkStart w:id="33" w:name="_Toc29572"/>
      <w:bookmarkStart w:id="34" w:name="_Toc8730"/>
      <w:bookmarkStart w:id="35" w:name="_Toc12522"/>
      <w:bookmarkStart w:id="36" w:name="_Toc176343849"/>
      <w:r>
        <w:rPr>
          <w:rFonts w:hint="eastAsia" w:ascii="宋体" w:hAnsi="宋体" w:cs="宋体"/>
          <w:b/>
          <w:color w:val="auto"/>
          <w:sz w:val="36"/>
          <w:szCs w:val="20"/>
          <w:highlight w:val="none"/>
        </w:rPr>
        <w:t>第二部分</w:t>
      </w:r>
      <w:bookmarkEnd w:id="21"/>
      <w:r>
        <w:rPr>
          <w:rFonts w:hint="eastAsia" w:ascii="宋体" w:hAnsi="宋体" w:cs="宋体"/>
          <w:b/>
          <w:color w:val="auto"/>
          <w:sz w:val="36"/>
          <w:szCs w:val="20"/>
          <w:highlight w:val="none"/>
        </w:rPr>
        <w:t xml:space="preserve">  投标人须知</w:t>
      </w:r>
      <w:bookmarkEnd w:id="22"/>
      <w:bookmarkEnd w:id="30"/>
      <w:bookmarkEnd w:id="31"/>
      <w:bookmarkEnd w:id="32"/>
      <w:bookmarkEnd w:id="33"/>
      <w:bookmarkEnd w:id="34"/>
      <w:bookmarkEnd w:id="35"/>
      <w:bookmarkEnd w:id="36"/>
    </w:p>
    <w:p w14:paraId="324FBA6E">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01"/>
        <w:gridCol w:w="2460"/>
        <w:gridCol w:w="6615"/>
      </w:tblGrid>
      <w:tr w14:paraId="69A21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3"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723CDABD">
            <w:pPr>
              <w:bidi w:val="0"/>
              <w:jc w:val="center"/>
              <w:rPr>
                <w:rFonts w:hint="eastAsia"/>
                <w:b/>
                <w:bCs/>
              </w:rPr>
            </w:pPr>
            <w:r>
              <w:rPr>
                <w:rFonts w:hint="eastAsia"/>
                <w:b/>
                <w:bCs/>
              </w:rPr>
              <w:t>序号</w:t>
            </w:r>
          </w:p>
        </w:tc>
        <w:tc>
          <w:tcPr>
            <w:tcW w:w="2460" w:type="dxa"/>
            <w:tcBorders>
              <w:top w:val="single" w:color="000000" w:sz="8" w:space="0"/>
              <w:left w:val="single" w:color="auto" w:sz="4" w:space="0"/>
              <w:bottom w:val="single" w:color="000000" w:sz="8" w:space="0"/>
              <w:right w:val="single" w:color="000000" w:sz="8" w:space="0"/>
            </w:tcBorders>
            <w:vAlign w:val="center"/>
          </w:tcPr>
          <w:p w14:paraId="23CF8F41">
            <w:pPr>
              <w:bidi w:val="0"/>
              <w:jc w:val="center"/>
              <w:rPr>
                <w:rFonts w:hint="eastAsia"/>
                <w:b/>
                <w:bCs/>
              </w:rPr>
            </w:pPr>
            <w:r>
              <w:rPr>
                <w:rFonts w:hint="eastAsia"/>
                <w:b/>
                <w:bCs/>
              </w:rPr>
              <w:t>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3A3294EA">
            <w:pPr>
              <w:bidi w:val="0"/>
              <w:jc w:val="center"/>
              <w:rPr>
                <w:rFonts w:hint="eastAsia"/>
                <w:b/>
                <w:bCs/>
              </w:rPr>
            </w:pPr>
            <w:r>
              <w:rPr>
                <w:rFonts w:hint="eastAsia"/>
                <w:b/>
                <w:bCs/>
              </w:rPr>
              <w:t>本项目的特别规定</w:t>
            </w:r>
          </w:p>
        </w:tc>
      </w:tr>
      <w:tr w14:paraId="08F5A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0DA10D6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tcBorders>
              <w:top w:val="single" w:color="000000" w:sz="8" w:space="0"/>
              <w:left w:val="single" w:color="auto" w:sz="4" w:space="0"/>
              <w:bottom w:val="single" w:color="000000" w:sz="8" w:space="0"/>
              <w:right w:val="single" w:color="000000" w:sz="8" w:space="0"/>
            </w:tcBorders>
            <w:vAlign w:val="center"/>
          </w:tcPr>
          <w:p w14:paraId="598323F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项目属性与核心产品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06E4171D">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货物类，</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kern w:val="0"/>
                <w:sz w:val="21"/>
                <w:szCs w:val="21"/>
                <w:highlight w:val="none"/>
              </w:rPr>
              <w:t>核心</w:t>
            </w:r>
            <w:r>
              <w:rPr>
                <w:rFonts w:hint="eastAsia" w:ascii="宋体" w:hAnsi="宋体" w:eastAsia="宋体" w:cs="宋体"/>
                <w:color w:val="auto"/>
                <w:sz w:val="21"/>
                <w:szCs w:val="21"/>
                <w:highlight w:val="none"/>
              </w:rPr>
              <w:t>产品为：</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技术参数要求表</w:t>
            </w:r>
            <w:r>
              <w:rPr>
                <w:rFonts w:hint="eastAsia" w:ascii="宋体" w:hAnsi="宋体" w:eastAsia="宋体" w:cs="宋体"/>
                <w:color w:val="auto"/>
                <w:sz w:val="21"/>
                <w:szCs w:val="21"/>
                <w:highlight w:val="none"/>
                <w:u w:val="single"/>
                <w:lang w:val="en-US" w:eastAsia="zh-CN"/>
              </w:rPr>
              <w:t>》序号1</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医用护士站和</w:t>
            </w:r>
            <w:r>
              <w:rPr>
                <w:rFonts w:hint="eastAsia" w:ascii="宋体" w:hAnsi="宋体" w:cs="宋体"/>
                <w:color w:val="auto"/>
                <w:sz w:val="21"/>
                <w:szCs w:val="21"/>
                <w:highlight w:val="none"/>
                <w:u w:val="single"/>
                <w:lang w:val="en-US" w:eastAsia="zh-CN"/>
              </w:rPr>
              <w:t>序号27、</w:t>
            </w:r>
            <w:r>
              <w:rPr>
                <w:rFonts w:hint="eastAsia" w:ascii="宋体" w:hAnsi="宋体" w:eastAsia="宋体" w:cs="宋体"/>
                <w:color w:val="auto"/>
                <w:sz w:val="21"/>
                <w:szCs w:val="21"/>
                <w:highlight w:val="none"/>
                <w:u w:val="single"/>
                <w:lang w:val="en-US" w:eastAsia="zh-CN"/>
              </w:rPr>
              <w:t xml:space="preserve">医用配药地柜 </w:t>
            </w:r>
            <w:r>
              <w:rPr>
                <w:rFonts w:hint="eastAsia" w:ascii="宋体" w:hAnsi="宋体" w:eastAsia="宋体" w:cs="宋体"/>
                <w:color w:val="auto"/>
                <w:sz w:val="21"/>
                <w:szCs w:val="21"/>
                <w:highlight w:val="none"/>
                <w:u w:val="single"/>
              </w:rPr>
              <w:t>。</w:t>
            </w:r>
          </w:p>
        </w:tc>
      </w:tr>
      <w:tr w14:paraId="72D1D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651B0B71">
            <w:pPr>
              <w:snapToGrid w:val="0"/>
              <w:spacing w:line="360" w:lineRule="auto"/>
              <w:jc w:val="center"/>
              <w:rPr>
                <w:rFonts w:hint="eastAsia" w:ascii="宋体" w:hAnsi="宋体" w:eastAsia="宋体" w:cs="宋体"/>
                <w:color w:val="auto"/>
                <w:sz w:val="21"/>
                <w:szCs w:val="21"/>
                <w:highlight w:val="none"/>
              </w:rPr>
            </w:pPr>
          </w:p>
          <w:p w14:paraId="5D44800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60" w:type="dxa"/>
            <w:tcBorders>
              <w:top w:val="single" w:color="000000" w:sz="8" w:space="0"/>
              <w:left w:val="single" w:color="auto" w:sz="4" w:space="0"/>
              <w:bottom w:val="single" w:color="000000" w:sz="8" w:space="0"/>
              <w:right w:val="single" w:color="000000" w:sz="8" w:space="0"/>
            </w:tcBorders>
            <w:vAlign w:val="center"/>
          </w:tcPr>
          <w:p w14:paraId="1E69DE1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6615" w:type="dxa"/>
            <w:tcBorders>
              <w:top w:val="single" w:color="000000" w:sz="8" w:space="0"/>
              <w:left w:val="single" w:color="000000" w:sz="2" w:space="0"/>
              <w:bottom w:val="single" w:color="000000" w:sz="8" w:space="0"/>
              <w:right w:val="single" w:color="000000" w:sz="8" w:space="0"/>
            </w:tcBorders>
            <w:vAlign w:val="center"/>
          </w:tcPr>
          <w:p w14:paraId="499B6E3C">
            <w:pPr>
              <w:keepNext w:val="0"/>
              <w:keepLines w:val="0"/>
              <w:pageBreakBefore w:val="0"/>
              <w:widowControl w:val="0"/>
              <w:kinsoku/>
              <w:wordWrap/>
              <w:overflowPunct/>
              <w:topLinePunct w:val="0"/>
              <w:autoSpaceDE/>
              <w:autoSpaceDN/>
              <w:bidi w:val="0"/>
              <w:adjustRightInd w:val="0"/>
              <w:snapToGrid w:val="0"/>
              <w:spacing w:line="320" w:lineRule="exact"/>
              <w:ind w:left="0" w:firstLine="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标的：</w:t>
            </w:r>
            <w:r>
              <w:rPr>
                <w:rFonts w:hint="eastAsia" w:ascii="宋体" w:hAnsi="宋体" w:eastAsia="宋体" w:cs="宋体"/>
                <w:color w:val="auto"/>
                <w:kern w:val="0"/>
                <w:sz w:val="21"/>
                <w:szCs w:val="21"/>
                <w:highlight w:val="none"/>
                <w:u w:val="single"/>
                <w:lang w:eastAsia="zh-CN"/>
              </w:rPr>
              <w:t>合浦县第五人民医院门诊医技综合楼改扩建项目医疗配套设施采购</w:t>
            </w:r>
            <w:r>
              <w:rPr>
                <w:rFonts w:hint="eastAsia" w:ascii="宋体" w:hAnsi="宋体" w:eastAsia="宋体" w:cs="宋体"/>
                <w:color w:val="auto"/>
                <w:kern w:val="0"/>
                <w:sz w:val="21"/>
                <w:szCs w:val="21"/>
                <w:highlight w:val="none"/>
                <w:u w:val="single"/>
                <w:lang w:val="en-US" w:eastAsia="zh-CN"/>
              </w:rPr>
              <w:t>涵盖的所有货物</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工业</w:t>
            </w:r>
            <w:r>
              <w:rPr>
                <w:rFonts w:hint="eastAsia" w:ascii="宋体" w:hAnsi="宋体" w:eastAsia="宋体" w:cs="宋体"/>
                <w:color w:val="auto"/>
                <w:kern w:val="0"/>
                <w:sz w:val="21"/>
                <w:szCs w:val="21"/>
                <w:highlight w:val="none"/>
              </w:rPr>
              <w:t>行业；</w:t>
            </w:r>
          </w:p>
        </w:tc>
      </w:tr>
      <w:tr w14:paraId="7DBEB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605F161B">
            <w:pPr>
              <w:snapToGrid w:val="0"/>
              <w:spacing w:line="360" w:lineRule="auto"/>
              <w:jc w:val="center"/>
              <w:rPr>
                <w:rFonts w:hint="eastAsia" w:ascii="宋体" w:hAnsi="宋体" w:eastAsia="宋体" w:cs="宋体"/>
                <w:color w:val="auto"/>
                <w:sz w:val="21"/>
                <w:szCs w:val="21"/>
                <w:highlight w:val="none"/>
              </w:rPr>
            </w:pPr>
          </w:p>
          <w:p w14:paraId="4BD41FA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60" w:type="dxa"/>
            <w:tcBorders>
              <w:top w:val="single" w:color="000000" w:sz="8" w:space="0"/>
              <w:left w:val="single" w:color="auto" w:sz="4" w:space="0"/>
              <w:bottom w:val="single" w:color="000000" w:sz="8" w:space="0"/>
              <w:right w:val="single" w:color="000000" w:sz="8" w:space="0"/>
            </w:tcBorders>
            <w:vAlign w:val="center"/>
          </w:tcPr>
          <w:p w14:paraId="40E74BD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1EEACE74">
            <w:pPr>
              <w:keepNext w:val="0"/>
              <w:keepLines w:val="0"/>
              <w:pageBreakBefore w:val="0"/>
              <w:widowControl w:val="0"/>
              <w:tabs>
                <w:tab w:val="left" w:pos="1387"/>
              </w:tabs>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不允许采购进口产品。</w:t>
            </w:r>
          </w:p>
        </w:tc>
      </w:tr>
      <w:tr w14:paraId="4FE4B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27232A6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60" w:type="dxa"/>
            <w:tcBorders>
              <w:top w:val="single" w:color="000000" w:sz="8" w:space="0"/>
              <w:left w:val="single" w:color="auto" w:sz="4" w:space="0"/>
              <w:bottom w:val="single" w:color="000000" w:sz="8" w:space="0"/>
              <w:right w:val="single" w:color="000000" w:sz="8" w:space="0"/>
            </w:tcBorders>
            <w:vAlign w:val="center"/>
          </w:tcPr>
          <w:p w14:paraId="0B820444">
            <w:pPr>
              <w:keepNext w:val="0"/>
              <w:keepLines w:val="0"/>
              <w:pageBreakBefore w:val="0"/>
              <w:widowControl w:val="0"/>
              <w:kinsoku/>
              <w:wordWrap/>
              <w:overflowPunct/>
              <w:topLinePunct w:val="0"/>
              <w:autoSpaceDE/>
              <w:autoSpaceDN/>
              <w:bidi w:val="0"/>
              <w:adjustRightInd w:val="0"/>
              <w:snapToGrid w:val="0"/>
              <w:spacing w:line="32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15" w:type="dxa"/>
            <w:tcBorders>
              <w:top w:val="single" w:color="000000" w:sz="8" w:space="0"/>
              <w:left w:val="single" w:color="000000" w:sz="2" w:space="0"/>
              <w:bottom w:val="single" w:color="000000" w:sz="8" w:space="0"/>
              <w:right w:val="single" w:color="000000" w:sz="8" w:space="0"/>
            </w:tcBorders>
            <w:vAlign w:val="center"/>
          </w:tcPr>
          <w:p w14:paraId="63056670">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r>
              <w:rPr>
                <w:rFonts w:hint="eastAsia" w:ascii="宋体" w:hAnsi="宋体" w:eastAsia="宋体" w:cs="宋体"/>
                <w:color w:val="auto"/>
                <w:sz w:val="21"/>
                <w:szCs w:val="21"/>
                <w:highlight w:val="none"/>
                <w:lang w:eastAsia="zh-CN"/>
              </w:rPr>
              <w:t>。</w:t>
            </w:r>
          </w:p>
          <w:p w14:paraId="5C461B91">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sym w:font="Wingdings" w:char="F0FE"/>
            </w:r>
            <w:r>
              <w:rPr>
                <w:rFonts w:hint="eastAsia" w:ascii="宋体" w:hAnsi="宋体" w:eastAsia="宋体" w:cs="宋体"/>
                <w:b/>
                <w:bCs/>
                <w:color w:val="auto"/>
                <w:kern w:val="0"/>
                <w:sz w:val="21"/>
                <w:szCs w:val="21"/>
                <w:highlight w:val="none"/>
              </w:rPr>
              <w:t xml:space="preserve"> B</w:t>
            </w:r>
            <w:r>
              <w:rPr>
                <w:rFonts w:hint="eastAsia" w:ascii="宋体" w:hAnsi="宋体" w:eastAsia="宋体" w:cs="宋体"/>
                <w:b/>
                <w:bCs/>
                <w:color w:val="auto"/>
                <w:sz w:val="21"/>
                <w:szCs w:val="21"/>
                <w:highlight w:val="none"/>
              </w:rPr>
              <w:t>不同意分包</w:t>
            </w:r>
            <w:r>
              <w:rPr>
                <w:rFonts w:hint="eastAsia" w:ascii="宋体" w:hAnsi="宋体" w:eastAsia="宋体" w:cs="宋体"/>
                <w:color w:val="auto"/>
                <w:sz w:val="21"/>
                <w:szCs w:val="21"/>
                <w:highlight w:val="none"/>
              </w:rPr>
              <w:t>。</w:t>
            </w:r>
          </w:p>
          <w:p w14:paraId="53925679">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2616F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4D63ADE8">
            <w:pPr>
              <w:snapToGrid w:val="0"/>
              <w:spacing w:line="360" w:lineRule="auto"/>
              <w:jc w:val="center"/>
              <w:rPr>
                <w:rFonts w:hint="eastAsia" w:ascii="宋体" w:hAnsi="宋体" w:eastAsia="宋体" w:cs="宋体"/>
                <w:color w:val="auto"/>
                <w:sz w:val="21"/>
                <w:szCs w:val="21"/>
                <w:highlight w:val="none"/>
              </w:rPr>
            </w:pPr>
          </w:p>
          <w:p w14:paraId="56D5F769">
            <w:pPr>
              <w:snapToGrid w:val="0"/>
              <w:spacing w:line="360" w:lineRule="auto"/>
              <w:jc w:val="center"/>
              <w:rPr>
                <w:rFonts w:hint="eastAsia" w:ascii="宋体" w:hAnsi="宋体" w:eastAsia="宋体" w:cs="宋体"/>
                <w:color w:val="auto"/>
                <w:sz w:val="21"/>
                <w:szCs w:val="21"/>
                <w:highlight w:val="none"/>
              </w:rPr>
            </w:pPr>
          </w:p>
          <w:p w14:paraId="4A321A42">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60" w:type="dxa"/>
            <w:tcBorders>
              <w:top w:val="single" w:color="000000" w:sz="8" w:space="0"/>
              <w:left w:val="single" w:color="auto" w:sz="4" w:space="0"/>
              <w:bottom w:val="single" w:color="000000" w:sz="8" w:space="0"/>
              <w:right w:val="single" w:color="000000" w:sz="8" w:space="0"/>
            </w:tcBorders>
            <w:vAlign w:val="center"/>
          </w:tcPr>
          <w:p w14:paraId="2439D8A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6615" w:type="dxa"/>
            <w:tcBorders>
              <w:top w:val="single" w:color="000000" w:sz="8" w:space="0"/>
              <w:left w:val="single" w:color="000000" w:sz="2" w:space="0"/>
              <w:bottom w:val="single" w:color="000000" w:sz="8" w:space="0"/>
              <w:right w:val="single" w:color="000000" w:sz="8" w:space="0"/>
            </w:tcBorders>
            <w:vAlign w:val="center"/>
          </w:tcPr>
          <w:p w14:paraId="351437F8">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sym w:font="Wingdings" w:char="F0FE"/>
            </w:r>
            <w:r>
              <w:rPr>
                <w:rFonts w:hint="eastAsia" w:ascii="宋体" w:hAnsi="宋体" w:eastAsia="宋体" w:cs="宋体"/>
                <w:b/>
                <w:bCs/>
                <w:color w:val="auto"/>
                <w:kern w:val="0"/>
                <w:sz w:val="21"/>
                <w:szCs w:val="21"/>
                <w:highlight w:val="none"/>
              </w:rPr>
              <w:t>A</w:t>
            </w:r>
            <w:r>
              <w:rPr>
                <w:rFonts w:hint="eastAsia" w:ascii="宋体" w:hAnsi="宋体" w:eastAsia="宋体" w:cs="宋体"/>
                <w:b/>
                <w:bCs/>
                <w:color w:val="auto"/>
                <w:sz w:val="21"/>
                <w:szCs w:val="21"/>
                <w:highlight w:val="none"/>
              </w:rPr>
              <w:t>不组织。</w:t>
            </w:r>
          </w:p>
          <w:p w14:paraId="37702342">
            <w:pPr>
              <w:keepNext w:val="0"/>
              <w:keepLines w:val="0"/>
              <w:pageBreakBefore w:val="0"/>
              <w:widowControl w:val="0"/>
              <w:kinsoku/>
              <w:wordWrap/>
              <w:overflowPunct/>
              <w:topLinePunct w:val="0"/>
              <w:autoSpaceDE/>
              <w:autoSpaceDN/>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4E16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179DF186">
            <w:pPr>
              <w:snapToGrid w:val="0"/>
              <w:spacing w:line="360" w:lineRule="auto"/>
              <w:jc w:val="center"/>
              <w:rPr>
                <w:rFonts w:hint="eastAsia" w:ascii="宋体" w:hAnsi="宋体" w:eastAsia="宋体" w:cs="宋体"/>
                <w:color w:val="auto"/>
                <w:sz w:val="21"/>
                <w:szCs w:val="21"/>
                <w:highlight w:val="none"/>
              </w:rPr>
            </w:pPr>
          </w:p>
          <w:p w14:paraId="4DB17112">
            <w:pPr>
              <w:snapToGrid w:val="0"/>
              <w:spacing w:line="360" w:lineRule="auto"/>
              <w:jc w:val="center"/>
              <w:rPr>
                <w:rFonts w:hint="eastAsia" w:ascii="宋体" w:hAnsi="宋体" w:eastAsia="宋体" w:cs="宋体"/>
                <w:color w:val="auto"/>
                <w:sz w:val="21"/>
                <w:szCs w:val="21"/>
                <w:highlight w:val="none"/>
              </w:rPr>
            </w:pPr>
          </w:p>
          <w:p w14:paraId="3417F9C0">
            <w:pPr>
              <w:snapToGrid w:val="0"/>
              <w:spacing w:line="360" w:lineRule="auto"/>
              <w:jc w:val="center"/>
              <w:rPr>
                <w:rFonts w:hint="eastAsia" w:ascii="宋体" w:hAnsi="宋体" w:eastAsia="宋体" w:cs="宋体"/>
                <w:color w:val="auto"/>
                <w:sz w:val="21"/>
                <w:szCs w:val="21"/>
                <w:highlight w:val="none"/>
              </w:rPr>
            </w:pPr>
          </w:p>
          <w:p w14:paraId="5603B7EB">
            <w:pPr>
              <w:snapToGrid w:val="0"/>
              <w:spacing w:line="360" w:lineRule="auto"/>
              <w:jc w:val="center"/>
              <w:rPr>
                <w:rFonts w:hint="eastAsia" w:ascii="宋体" w:hAnsi="宋体" w:eastAsia="宋体" w:cs="宋体"/>
                <w:color w:val="auto"/>
                <w:sz w:val="21"/>
                <w:szCs w:val="21"/>
                <w:highlight w:val="none"/>
              </w:rPr>
            </w:pPr>
          </w:p>
          <w:p w14:paraId="76B550E1">
            <w:pPr>
              <w:snapToGrid w:val="0"/>
              <w:spacing w:line="360" w:lineRule="auto"/>
              <w:jc w:val="center"/>
              <w:rPr>
                <w:rFonts w:hint="eastAsia" w:ascii="宋体" w:hAnsi="宋体" w:eastAsia="宋体" w:cs="宋体"/>
                <w:color w:val="auto"/>
                <w:sz w:val="21"/>
                <w:szCs w:val="21"/>
                <w:highlight w:val="none"/>
              </w:rPr>
            </w:pPr>
          </w:p>
          <w:p w14:paraId="1406FB0E">
            <w:pPr>
              <w:snapToGrid w:val="0"/>
              <w:spacing w:line="360" w:lineRule="auto"/>
              <w:jc w:val="center"/>
              <w:rPr>
                <w:rFonts w:hint="eastAsia" w:ascii="宋体" w:hAnsi="宋体" w:eastAsia="宋体" w:cs="宋体"/>
                <w:color w:val="auto"/>
                <w:sz w:val="21"/>
                <w:szCs w:val="21"/>
                <w:highlight w:val="none"/>
              </w:rPr>
            </w:pPr>
          </w:p>
          <w:p w14:paraId="1DF0FCAF">
            <w:pPr>
              <w:snapToGrid w:val="0"/>
              <w:spacing w:line="360" w:lineRule="auto"/>
              <w:jc w:val="center"/>
              <w:rPr>
                <w:rFonts w:hint="eastAsia" w:ascii="宋体" w:hAnsi="宋体" w:eastAsia="宋体" w:cs="宋体"/>
                <w:color w:val="auto"/>
                <w:sz w:val="21"/>
                <w:szCs w:val="21"/>
                <w:highlight w:val="none"/>
              </w:rPr>
            </w:pPr>
          </w:p>
          <w:p w14:paraId="473861D3">
            <w:pPr>
              <w:snapToGrid w:val="0"/>
              <w:spacing w:line="360" w:lineRule="auto"/>
              <w:jc w:val="center"/>
              <w:rPr>
                <w:rFonts w:hint="eastAsia" w:ascii="宋体" w:hAnsi="宋体" w:eastAsia="宋体" w:cs="宋体"/>
                <w:color w:val="auto"/>
                <w:sz w:val="21"/>
                <w:szCs w:val="21"/>
                <w:highlight w:val="none"/>
              </w:rPr>
            </w:pPr>
          </w:p>
          <w:p w14:paraId="6ED27E49">
            <w:pPr>
              <w:snapToGrid w:val="0"/>
              <w:spacing w:line="360" w:lineRule="auto"/>
              <w:jc w:val="center"/>
              <w:rPr>
                <w:rFonts w:hint="eastAsia" w:ascii="宋体" w:hAnsi="宋体" w:eastAsia="宋体" w:cs="宋体"/>
                <w:color w:val="auto"/>
                <w:sz w:val="21"/>
                <w:szCs w:val="21"/>
                <w:highlight w:val="none"/>
              </w:rPr>
            </w:pPr>
          </w:p>
          <w:p w14:paraId="3A3906C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60" w:type="dxa"/>
            <w:tcBorders>
              <w:top w:val="single" w:color="000000" w:sz="8" w:space="0"/>
              <w:left w:val="single" w:color="auto" w:sz="4" w:space="0"/>
              <w:bottom w:val="single" w:color="000000" w:sz="8" w:space="0"/>
              <w:right w:val="single" w:color="000000" w:sz="8" w:space="0"/>
            </w:tcBorders>
            <w:vAlign w:val="center"/>
          </w:tcPr>
          <w:p w14:paraId="082448F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15" w:type="dxa"/>
            <w:tcBorders>
              <w:top w:val="single" w:color="000000" w:sz="8" w:space="0"/>
              <w:left w:val="single" w:color="000000" w:sz="2" w:space="0"/>
              <w:bottom w:val="single" w:color="000000" w:sz="8" w:space="0"/>
              <w:right w:val="single" w:color="000000" w:sz="8" w:space="0"/>
            </w:tcBorders>
            <w:vAlign w:val="center"/>
          </w:tcPr>
          <w:p w14:paraId="26CFD55A">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6195BF2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☐B要求提供，</w:t>
            </w:r>
          </w:p>
          <w:p w14:paraId="6EC570EA">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C7538AD">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68905D1">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362E5248">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243C7FC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000E28E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CB2A0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154C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01" w:type="dxa"/>
            <w:tcBorders>
              <w:top w:val="single" w:color="auto" w:sz="4" w:space="0"/>
              <w:left w:val="single" w:color="auto" w:sz="4" w:space="0"/>
              <w:bottom w:val="single" w:color="auto" w:sz="4" w:space="0"/>
              <w:right w:val="single" w:color="auto" w:sz="4" w:space="0"/>
            </w:tcBorders>
          </w:tcPr>
          <w:p w14:paraId="083CDBF5">
            <w:pPr>
              <w:snapToGrid w:val="0"/>
              <w:spacing w:line="360" w:lineRule="auto"/>
              <w:jc w:val="center"/>
              <w:rPr>
                <w:rFonts w:hint="eastAsia" w:ascii="宋体" w:hAnsi="宋体" w:eastAsia="宋体" w:cs="宋体"/>
                <w:color w:val="auto"/>
                <w:sz w:val="21"/>
                <w:szCs w:val="21"/>
                <w:highlight w:val="none"/>
              </w:rPr>
            </w:pPr>
          </w:p>
          <w:p w14:paraId="25BA023D">
            <w:pPr>
              <w:snapToGrid w:val="0"/>
              <w:spacing w:line="360" w:lineRule="auto"/>
              <w:jc w:val="center"/>
              <w:rPr>
                <w:rFonts w:hint="eastAsia" w:ascii="宋体" w:hAnsi="宋体" w:eastAsia="宋体" w:cs="宋体"/>
                <w:color w:val="auto"/>
                <w:sz w:val="21"/>
                <w:szCs w:val="21"/>
                <w:highlight w:val="none"/>
              </w:rPr>
            </w:pPr>
          </w:p>
          <w:p w14:paraId="07893A1D">
            <w:pPr>
              <w:snapToGrid w:val="0"/>
              <w:spacing w:line="360" w:lineRule="auto"/>
              <w:jc w:val="center"/>
              <w:rPr>
                <w:rFonts w:hint="eastAsia" w:ascii="宋体" w:hAnsi="宋体" w:eastAsia="宋体" w:cs="宋体"/>
                <w:color w:val="auto"/>
                <w:sz w:val="21"/>
                <w:szCs w:val="21"/>
                <w:highlight w:val="none"/>
              </w:rPr>
            </w:pPr>
          </w:p>
          <w:p w14:paraId="47FAC0BE">
            <w:pPr>
              <w:snapToGrid w:val="0"/>
              <w:spacing w:line="360" w:lineRule="auto"/>
              <w:jc w:val="center"/>
              <w:rPr>
                <w:rFonts w:hint="eastAsia" w:ascii="宋体" w:hAnsi="宋体" w:eastAsia="宋体" w:cs="宋体"/>
                <w:color w:val="auto"/>
                <w:sz w:val="21"/>
                <w:szCs w:val="21"/>
                <w:highlight w:val="none"/>
              </w:rPr>
            </w:pPr>
          </w:p>
          <w:p w14:paraId="710D1A30">
            <w:pPr>
              <w:snapToGrid w:val="0"/>
              <w:spacing w:line="360" w:lineRule="auto"/>
              <w:jc w:val="center"/>
              <w:rPr>
                <w:rFonts w:hint="eastAsia" w:ascii="宋体" w:hAnsi="宋体" w:eastAsia="宋体" w:cs="宋体"/>
                <w:color w:val="auto"/>
                <w:sz w:val="21"/>
                <w:szCs w:val="21"/>
                <w:highlight w:val="none"/>
              </w:rPr>
            </w:pPr>
          </w:p>
          <w:p w14:paraId="0F38E640">
            <w:pPr>
              <w:snapToGrid w:val="0"/>
              <w:spacing w:line="360" w:lineRule="auto"/>
              <w:jc w:val="center"/>
              <w:rPr>
                <w:rFonts w:hint="eastAsia" w:ascii="宋体" w:hAnsi="宋体" w:eastAsia="宋体" w:cs="宋体"/>
                <w:color w:val="auto"/>
                <w:sz w:val="21"/>
                <w:szCs w:val="21"/>
                <w:highlight w:val="none"/>
              </w:rPr>
            </w:pPr>
          </w:p>
          <w:p w14:paraId="64B76F08">
            <w:pPr>
              <w:snapToGrid w:val="0"/>
              <w:spacing w:line="360" w:lineRule="auto"/>
              <w:jc w:val="center"/>
              <w:rPr>
                <w:rFonts w:hint="eastAsia" w:ascii="宋体" w:hAnsi="宋体" w:eastAsia="宋体" w:cs="宋体"/>
                <w:color w:val="auto"/>
                <w:sz w:val="21"/>
                <w:szCs w:val="21"/>
                <w:highlight w:val="none"/>
              </w:rPr>
            </w:pPr>
          </w:p>
          <w:p w14:paraId="096F6308">
            <w:pPr>
              <w:snapToGrid w:val="0"/>
              <w:spacing w:line="360" w:lineRule="auto"/>
              <w:jc w:val="center"/>
              <w:rPr>
                <w:rFonts w:hint="eastAsia" w:ascii="宋体" w:hAnsi="宋体" w:eastAsia="宋体" w:cs="宋体"/>
                <w:color w:val="auto"/>
                <w:sz w:val="21"/>
                <w:szCs w:val="21"/>
                <w:highlight w:val="none"/>
              </w:rPr>
            </w:pPr>
          </w:p>
          <w:p w14:paraId="3E15EFD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60" w:type="dxa"/>
            <w:tcBorders>
              <w:top w:val="single" w:color="000000" w:sz="8" w:space="0"/>
              <w:left w:val="single" w:color="auto" w:sz="4" w:space="0"/>
              <w:bottom w:val="single" w:color="000000" w:sz="8" w:space="0"/>
              <w:right w:val="single" w:color="000000" w:sz="8" w:space="0"/>
            </w:tcBorders>
            <w:vAlign w:val="center"/>
          </w:tcPr>
          <w:p w14:paraId="36916CE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15" w:type="dxa"/>
            <w:tcBorders>
              <w:top w:val="single" w:color="000000" w:sz="8" w:space="0"/>
              <w:left w:val="single" w:color="000000" w:sz="2" w:space="0"/>
              <w:bottom w:val="single" w:color="000000" w:sz="8" w:space="0"/>
              <w:right w:val="single" w:color="000000" w:sz="8" w:space="0"/>
            </w:tcBorders>
            <w:vAlign w:val="center"/>
          </w:tcPr>
          <w:p w14:paraId="49719621">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1D076AEA">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7E74DC52">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20（编制时可根据项目情况进行调整）</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3（编制时可根据项目情况进行调整）</w:t>
            </w:r>
            <w:r>
              <w:rPr>
                <w:rFonts w:hint="eastAsia" w:ascii="宋体" w:hAnsi="宋体" w:eastAsia="宋体" w:cs="宋体"/>
                <w:color w:val="auto"/>
                <w:kern w:val="0"/>
                <w:sz w:val="21"/>
                <w:szCs w:val="21"/>
                <w:highlight w:val="none"/>
              </w:rPr>
              <w:t>人。讲解演示结束后按要求解答评标委员会提问。</w:t>
            </w:r>
          </w:p>
          <w:p w14:paraId="7EB55F3E">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4648630D">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方式一：广西政府采购云平台在线讲解演示。广西政府采购云平台在线讲解需投标人根据广西政府采购云平台操作要求做好准备工作，提前完善软硬件配置环境。</w:t>
            </w:r>
          </w:p>
          <w:p w14:paraId="29E988AA">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方式二：评审现场讲解演示。现场讲解地点为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02571D0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注：因投标人自身原因导致无法演示或者演示效果不理想的，责任自负。因平台原因导致本项目方案讲解演示环节无法顺利开展，按照相关规定执行。</w:t>
            </w:r>
          </w:p>
        </w:tc>
      </w:tr>
      <w:tr w14:paraId="7E8F1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4" w:hRule="atLeast"/>
          <w:tblHeader/>
          <w:jc w:val="center"/>
        </w:trPr>
        <w:tc>
          <w:tcPr>
            <w:tcW w:w="601" w:type="dxa"/>
            <w:tcBorders>
              <w:top w:val="single" w:color="auto" w:sz="4" w:space="0"/>
              <w:left w:val="single" w:color="auto" w:sz="4" w:space="0"/>
              <w:right w:val="single" w:color="auto" w:sz="4" w:space="0"/>
            </w:tcBorders>
          </w:tcPr>
          <w:p w14:paraId="7D746D03">
            <w:pPr>
              <w:snapToGrid w:val="0"/>
              <w:spacing w:line="360" w:lineRule="auto"/>
              <w:jc w:val="center"/>
              <w:rPr>
                <w:rFonts w:hint="eastAsia" w:ascii="宋体" w:hAnsi="宋体" w:eastAsia="宋体" w:cs="宋体"/>
                <w:color w:val="auto"/>
                <w:sz w:val="21"/>
                <w:szCs w:val="21"/>
                <w:highlight w:val="none"/>
              </w:rPr>
            </w:pPr>
          </w:p>
          <w:p w14:paraId="244FB106">
            <w:pPr>
              <w:snapToGrid w:val="0"/>
              <w:spacing w:line="360" w:lineRule="auto"/>
              <w:jc w:val="center"/>
              <w:rPr>
                <w:rFonts w:hint="eastAsia" w:ascii="宋体" w:hAnsi="宋体" w:eastAsia="宋体" w:cs="宋体"/>
                <w:color w:val="auto"/>
                <w:sz w:val="21"/>
                <w:szCs w:val="21"/>
                <w:highlight w:val="none"/>
              </w:rPr>
            </w:pPr>
          </w:p>
          <w:p w14:paraId="43D1FE1E">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60" w:type="dxa"/>
            <w:tcBorders>
              <w:top w:val="single" w:color="000000" w:sz="8" w:space="0"/>
              <w:left w:val="single" w:color="auto" w:sz="4" w:space="0"/>
              <w:right w:val="single" w:color="000000" w:sz="8" w:space="0"/>
            </w:tcBorders>
            <w:vAlign w:val="center"/>
          </w:tcPr>
          <w:p w14:paraId="3C0DF6E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6615" w:type="dxa"/>
            <w:tcBorders>
              <w:top w:val="single" w:color="000000" w:sz="8" w:space="0"/>
              <w:left w:val="single" w:color="000000" w:sz="2" w:space="0"/>
              <w:bottom w:val="single" w:color="000000" w:sz="8" w:space="0"/>
              <w:right w:val="single" w:color="000000" w:sz="8" w:space="0"/>
            </w:tcBorders>
            <w:vAlign w:val="center"/>
          </w:tcPr>
          <w:p w14:paraId="2EB5C71D">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1A4ABCCE">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p w14:paraId="466FB71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719BE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01" w:type="dxa"/>
            <w:tcBorders>
              <w:top w:val="single" w:color="auto" w:sz="4" w:space="0"/>
              <w:left w:val="single" w:color="000000" w:sz="8" w:space="0"/>
              <w:bottom w:val="single" w:color="auto" w:sz="4" w:space="0"/>
              <w:right w:val="single" w:color="000000" w:sz="2" w:space="0"/>
            </w:tcBorders>
          </w:tcPr>
          <w:p w14:paraId="13268B1B">
            <w:pPr>
              <w:snapToGrid w:val="0"/>
              <w:spacing w:line="360" w:lineRule="auto"/>
              <w:jc w:val="center"/>
              <w:rPr>
                <w:rFonts w:hint="eastAsia" w:ascii="宋体" w:hAnsi="宋体" w:eastAsia="宋体" w:cs="宋体"/>
                <w:color w:val="auto"/>
                <w:sz w:val="21"/>
                <w:szCs w:val="21"/>
                <w:highlight w:val="none"/>
              </w:rPr>
            </w:pPr>
          </w:p>
          <w:p w14:paraId="0CD9ED41">
            <w:pPr>
              <w:snapToGrid w:val="0"/>
              <w:spacing w:line="360" w:lineRule="auto"/>
              <w:jc w:val="center"/>
              <w:rPr>
                <w:rFonts w:hint="eastAsia" w:ascii="宋体" w:hAnsi="宋体" w:eastAsia="宋体" w:cs="宋体"/>
                <w:color w:val="auto"/>
                <w:sz w:val="21"/>
                <w:szCs w:val="21"/>
                <w:highlight w:val="none"/>
              </w:rPr>
            </w:pPr>
          </w:p>
          <w:p w14:paraId="5ED2B73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60" w:type="dxa"/>
            <w:tcBorders>
              <w:top w:val="single" w:color="000000" w:sz="8" w:space="0"/>
              <w:left w:val="single" w:color="000000" w:sz="2" w:space="0"/>
              <w:bottom w:val="single" w:color="000000" w:sz="8" w:space="0"/>
              <w:right w:val="single" w:color="000000" w:sz="8" w:space="0"/>
            </w:tcBorders>
            <w:vAlign w:val="center"/>
          </w:tcPr>
          <w:p w14:paraId="228519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2456B1C7">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741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01" w:type="dxa"/>
            <w:tcBorders>
              <w:top w:val="single" w:color="auto" w:sz="4" w:space="0"/>
              <w:left w:val="single" w:color="000000" w:sz="8" w:space="0"/>
              <w:bottom w:val="single" w:color="auto" w:sz="4" w:space="0"/>
              <w:right w:val="single" w:color="000000" w:sz="2" w:space="0"/>
            </w:tcBorders>
          </w:tcPr>
          <w:p w14:paraId="79578690">
            <w:pPr>
              <w:snapToGrid w:val="0"/>
              <w:spacing w:line="360" w:lineRule="auto"/>
              <w:jc w:val="center"/>
              <w:rPr>
                <w:rFonts w:hint="eastAsia" w:ascii="宋体" w:hAnsi="宋体" w:eastAsia="宋体" w:cs="宋体"/>
                <w:color w:val="auto"/>
                <w:sz w:val="21"/>
                <w:szCs w:val="21"/>
                <w:highlight w:val="none"/>
              </w:rPr>
            </w:pPr>
          </w:p>
          <w:p w14:paraId="11D2CA91">
            <w:pPr>
              <w:snapToGrid w:val="0"/>
              <w:spacing w:line="360" w:lineRule="auto"/>
              <w:jc w:val="center"/>
              <w:rPr>
                <w:rFonts w:hint="eastAsia" w:ascii="宋体" w:hAnsi="宋体" w:eastAsia="宋体" w:cs="宋体"/>
                <w:color w:val="auto"/>
                <w:sz w:val="21"/>
                <w:szCs w:val="21"/>
                <w:highlight w:val="none"/>
              </w:rPr>
            </w:pPr>
          </w:p>
          <w:p w14:paraId="420E05EC">
            <w:pPr>
              <w:snapToGrid w:val="0"/>
              <w:spacing w:line="360" w:lineRule="auto"/>
              <w:jc w:val="center"/>
              <w:rPr>
                <w:rFonts w:hint="eastAsia" w:ascii="宋体" w:hAnsi="宋体" w:eastAsia="宋体" w:cs="宋体"/>
                <w:color w:val="auto"/>
                <w:sz w:val="21"/>
                <w:szCs w:val="21"/>
                <w:highlight w:val="none"/>
              </w:rPr>
            </w:pPr>
          </w:p>
          <w:p w14:paraId="2D0A2C7B">
            <w:pPr>
              <w:snapToGrid w:val="0"/>
              <w:spacing w:line="360" w:lineRule="auto"/>
              <w:jc w:val="center"/>
              <w:rPr>
                <w:rFonts w:hint="eastAsia" w:ascii="宋体" w:hAnsi="宋体" w:eastAsia="宋体" w:cs="宋体"/>
                <w:color w:val="auto"/>
                <w:sz w:val="21"/>
                <w:szCs w:val="21"/>
                <w:highlight w:val="none"/>
              </w:rPr>
            </w:pPr>
          </w:p>
          <w:p w14:paraId="5F2933AA">
            <w:pPr>
              <w:snapToGrid w:val="0"/>
              <w:spacing w:line="360" w:lineRule="auto"/>
              <w:jc w:val="center"/>
              <w:rPr>
                <w:rFonts w:hint="eastAsia" w:ascii="宋体" w:hAnsi="宋体" w:eastAsia="宋体" w:cs="宋体"/>
                <w:color w:val="auto"/>
                <w:sz w:val="21"/>
                <w:szCs w:val="21"/>
                <w:highlight w:val="none"/>
              </w:rPr>
            </w:pPr>
          </w:p>
          <w:p w14:paraId="3F02EDB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60" w:type="dxa"/>
            <w:tcBorders>
              <w:top w:val="single" w:color="000000" w:sz="8" w:space="0"/>
              <w:left w:val="single" w:color="000000" w:sz="2" w:space="0"/>
              <w:bottom w:val="single" w:color="000000" w:sz="8" w:space="0"/>
              <w:right w:val="single" w:color="000000" w:sz="8" w:space="0"/>
            </w:tcBorders>
            <w:vAlign w:val="center"/>
          </w:tcPr>
          <w:p w14:paraId="2B9D07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15" w:type="dxa"/>
            <w:tcBorders>
              <w:top w:val="single" w:color="000000" w:sz="8" w:space="0"/>
              <w:left w:val="single" w:color="000000" w:sz="2" w:space="0"/>
              <w:bottom w:val="single" w:color="000000" w:sz="8" w:space="0"/>
              <w:right w:val="single" w:color="000000" w:sz="8" w:space="0"/>
            </w:tcBorders>
            <w:vAlign w:val="center"/>
          </w:tcPr>
          <w:p w14:paraId="26B6AF1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Cs/>
                <w:color w:val="auto"/>
                <w:kern w:val="0"/>
                <w:sz w:val="21"/>
                <w:szCs w:val="21"/>
                <w:highlight w:val="none"/>
                <w:lang w:val="zh-CN"/>
              </w:rPr>
              <w:t>投标文件</w:t>
            </w:r>
            <w:r>
              <w:rPr>
                <w:rFonts w:hint="eastAsia" w:ascii="宋体" w:hAnsi="宋体" w:eastAsia="宋体" w:cs="宋体"/>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投标文件中价格全部采用人民币报价。招标文件未列明，而投标人认为必需的费用也需列入报价。提醒：验收时检测费用由采购人承担，不包含在投标总价中。</w:t>
            </w:r>
          </w:p>
          <w:p w14:paraId="2A5B6DA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投标报价出现下列情形的，投标无效：</w:t>
            </w:r>
          </w:p>
          <w:p w14:paraId="4DE0B42D">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投标文件出现不是唯一的、有选择性投标报价的；</w:t>
            </w:r>
          </w:p>
          <w:p w14:paraId="36F9E4D0">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color w:val="auto"/>
                <w:sz w:val="21"/>
                <w:szCs w:val="21"/>
                <w:highlight w:val="none"/>
              </w:rPr>
              <w:t>;</w:t>
            </w:r>
          </w:p>
          <w:p w14:paraId="275B5633">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投标人对根据修正原则修正后的报价不确认的</w:t>
            </w:r>
            <w:r>
              <w:rPr>
                <w:rFonts w:hint="eastAsia" w:ascii="宋体" w:hAnsi="宋体" w:eastAsia="宋体" w:cs="宋体"/>
                <w:color w:val="auto"/>
                <w:sz w:val="21"/>
                <w:szCs w:val="21"/>
                <w:highlight w:val="none"/>
              </w:rPr>
              <w:t>。</w:t>
            </w:r>
          </w:p>
        </w:tc>
      </w:tr>
      <w:tr w14:paraId="770F5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01" w:type="dxa"/>
            <w:tcBorders>
              <w:top w:val="single" w:color="auto" w:sz="4" w:space="0"/>
              <w:left w:val="single" w:color="000000" w:sz="8" w:space="0"/>
              <w:right w:val="single" w:color="000000" w:sz="2" w:space="0"/>
            </w:tcBorders>
            <w:vAlign w:val="center"/>
          </w:tcPr>
          <w:p w14:paraId="5CE1739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60" w:type="dxa"/>
            <w:tcBorders>
              <w:top w:val="single" w:color="000000" w:sz="8" w:space="0"/>
              <w:left w:val="single" w:color="000000" w:sz="2" w:space="0"/>
              <w:right w:val="single" w:color="000000" w:sz="8" w:space="0"/>
            </w:tcBorders>
            <w:vAlign w:val="center"/>
          </w:tcPr>
          <w:p w14:paraId="6B59A8C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15" w:type="dxa"/>
            <w:tcBorders>
              <w:top w:val="single" w:color="000000" w:sz="8" w:space="0"/>
              <w:left w:val="single" w:color="000000" w:sz="2" w:space="0"/>
              <w:right w:val="single" w:color="000000" w:sz="8" w:space="0"/>
            </w:tcBorders>
            <w:vAlign w:val="center"/>
          </w:tcPr>
          <w:p w14:paraId="2156C3F6">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4B7C06A">
            <w:pPr>
              <w:keepNext w:val="0"/>
              <w:keepLines w:val="0"/>
              <w:pageBreakBefore w:val="0"/>
              <w:widowControl w:val="0"/>
              <w:kinsoku/>
              <w:wordWrap/>
              <w:overflowPunct/>
              <w:topLinePunct w:val="0"/>
              <w:autoSpaceDE/>
              <w:autoSpaceDN/>
              <w:bidi w:val="0"/>
              <w:adjustRightIn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供应商中标后也可在“广西政府采购云”平台申请政采贷：操作路径：登录广西政府采购云平台-金融服务中心-【融资服务】，可在热门申请中选择产品直接申请。</w:t>
            </w:r>
          </w:p>
        </w:tc>
      </w:tr>
      <w:tr w14:paraId="76475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01" w:type="dxa"/>
            <w:tcBorders>
              <w:top w:val="single" w:color="auto" w:sz="4" w:space="0"/>
              <w:left w:val="single" w:color="000000" w:sz="8" w:space="0"/>
              <w:bottom w:val="single" w:color="auto" w:sz="4" w:space="0"/>
              <w:right w:val="single" w:color="000000" w:sz="2" w:space="0"/>
            </w:tcBorders>
            <w:vAlign w:val="center"/>
          </w:tcPr>
          <w:p w14:paraId="6947574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60" w:type="dxa"/>
            <w:tcBorders>
              <w:top w:val="single" w:color="000000" w:sz="8" w:space="0"/>
              <w:left w:val="single" w:color="000000" w:sz="2" w:space="0"/>
              <w:bottom w:val="single" w:color="auto" w:sz="4" w:space="0"/>
              <w:right w:val="single" w:color="000000" w:sz="8" w:space="0"/>
            </w:tcBorders>
            <w:vAlign w:val="center"/>
          </w:tcPr>
          <w:p w14:paraId="4263F15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6615" w:type="dxa"/>
            <w:tcBorders>
              <w:top w:val="single" w:color="000000" w:sz="8" w:space="0"/>
              <w:left w:val="single" w:color="000000" w:sz="2" w:space="0"/>
              <w:bottom w:val="single" w:color="auto" w:sz="4" w:space="0"/>
              <w:right w:val="single" w:color="000000" w:sz="8" w:space="0"/>
            </w:tcBorders>
            <w:vAlign w:val="center"/>
          </w:tcPr>
          <w:p w14:paraId="05E915D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p w14:paraId="7C5F7F89">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。采购人、采购代理机构不强制或变相强制投标人提交备份投标文件。</w:t>
            </w:r>
          </w:p>
        </w:tc>
      </w:tr>
      <w:tr w14:paraId="6CCBD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01" w:type="dxa"/>
            <w:vMerge w:val="restart"/>
            <w:tcBorders>
              <w:top w:val="single" w:color="auto" w:sz="4" w:space="0"/>
              <w:left w:val="single" w:color="auto" w:sz="4" w:space="0"/>
              <w:bottom w:val="single" w:color="auto" w:sz="4" w:space="0"/>
              <w:right w:val="single" w:color="auto" w:sz="4" w:space="0"/>
            </w:tcBorders>
            <w:vAlign w:val="center"/>
          </w:tcPr>
          <w:p w14:paraId="3628256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460" w:type="dxa"/>
            <w:vMerge w:val="restart"/>
            <w:tcBorders>
              <w:top w:val="single" w:color="auto" w:sz="4" w:space="0"/>
              <w:left w:val="single" w:color="auto" w:sz="4" w:space="0"/>
              <w:bottom w:val="single" w:color="auto" w:sz="4" w:space="0"/>
              <w:right w:val="single" w:color="auto" w:sz="4" w:space="0"/>
            </w:tcBorders>
            <w:vAlign w:val="center"/>
          </w:tcPr>
          <w:p w14:paraId="76ED6CC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6615" w:type="dxa"/>
            <w:tcBorders>
              <w:top w:val="single" w:color="auto" w:sz="4" w:space="0"/>
              <w:left w:val="single" w:color="auto" w:sz="4" w:space="0"/>
              <w:bottom w:val="single" w:color="auto" w:sz="4" w:space="0"/>
              <w:right w:val="single" w:color="auto" w:sz="4" w:space="0"/>
            </w:tcBorders>
            <w:vAlign w:val="center"/>
          </w:tcPr>
          <w:p w14:paraId="6D971D3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366C5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01" w:type="dxa"/>
            <w:vMerge w:val="continue"/>
            <w:tcBorders>
              <w:top w:val="single" w:color="auto" w:sz="4" w:space="0"/>
              <w:left w:val="single" w:color="auto" w:sz="4" w:space="0"/>
              <w:bottom w:val="single" w:color="auto" w:sz="4" w:space="0"/>
              <w:right w:val="single" w:color="auto" w:sz="4" w:space="0"/>
            </w:tcBorders>
          </w:tcPr>
          <w:p w14:paraId="18C4664D">
            <w:pPr>
              <w:snapToGrid w:val="0"/>
              <w:spacing w:line="360" w:lineRule="auto"/>
              <w:jc w:val="center"/>
              <w:rPr>
                <w:rFonts w:hint="eastAsia" w:ascii="宋体" w:hAnsi="宋体" w:eastAsia="宋体" w:cs="宋体"/>
                <w:color w:val="auto"/>
                <w:sz w:val="21"/>
                <w:szCs w:val="21"/>
                <w:highlight w:val="none"/>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14:paraId="0219BA0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p>
        </w:tc>
        <w:tc>
          <w:tcPr>
            <w:tcW w:w="6615" w:type="dxa"/>
            <w:tcBorders>
              <w:top w:val="single" w:color="auto" w:sz="4" w:space="0"/>
              <w:left w:val="single" w:color="auto" w:sz="4" w:space="0"/>
              <w:bottom w:val="single" w:color="auto" w:sz="4" w:space="0"/>
              <w:right w:val="single" w:color="auto" w:sz="4" w:space="0"/>
            </w:tcBorders>
            <w:vAlign w:val="center"/>
          </w:tcPr>
          <w:p w14:paraId="1FE8B308">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58A541F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801D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01" w:type="dxa"/>
            <w:tcBorders>
              <w:top w:val="single" w:color="auto" w:sz="4" w:space="0"/>
              <w:left w:val="single" w:color="auto" w:sz="4" w:space="0"/>
              <w:bottom w:val="single" w:color="auto" w:sz="4" w:space="0"/>
              <w:right w:val="single" w:color="auto" w:sz="4" w:space="0"/>
            </w:tcBorders>
            <w:vAlign w:val="center"/>
          </w:tcPr>
          <w:p w14:paraId="678337D9">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460" w:type="dxa"/>
            <w:tcBorders>
              <w:top w:val="single" w:color="auto" w:sz="4" w:space="0"/>
              <w:left w:val="single" w:color="auto" w:sz="4" w:space="0"/>
              <w:bottom w:val="single" w:color="auto" w:sz="4" w:space="0"/>
              <w:right w:val="single" w:color="auto" w:sz="4" w:space="0"/>
            </w:tcBorders>
            <w:vAlign w:val="center"/>
          </w:tcPr>
          <w:p w14:paraId="7317E79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6615" w:type="dxa"/>
            <w:tcBorders>
              <w:top w:val="single" w:color="auto" w:sz="4" w:space="0"/>
              <w:left w:val="single" w:color="auto" w:sz="4" w:space="0"/>
              <w:bottom w:val="single" w:color="auto" w:sz="4" w:space="0"/>
              <w:right w:val="single" w:color="auto" w:sz="4" w:space="0"/>
            </w:tcBorders>
            <w:vAlign w:val="center"/>
          </w:tcPr>
          <w:p w14:paraId="55E0EE9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本招标文件解释权属采购人及代理机构。</w:t>
            </w:r>
          </w:p>
        </w:tc>
      </w:tr>
    </w:tbl>
    <w:p w14:paraId="02FEF086">
      <w:pPr>
        <w:snapToGrid w:val="0"/>
        <w:spacing w:line="360" w:lineRule="auto"/>
        <w:jc w:val="center"/>
        <w:rPr>
          <w:rFonts w:ascii="宋体" w:hAnsi="宋体" w:cs="宋体"/>
          <w:b/>
          <w:color w:val="auto"/>
          <w:sz w:val="32"/>
          <w:szCs w:val="20"/>
          <w:highlight w:val="none"/>
        </w:rPr>
      </w:pPr>
    </w:p>
    <w:bookmarkEnd w:id="23"/>
    <w:p w14:paraId="2ECD0921">
      <w:pPr>
        <w:adjustRightInd/>
        <w:spacing w:line="360" w:lineRule="auto"/>
        <w:ind w:firstLine="3845" w:firstLineChars="1197"/>
        <w:outlineLvl w:val="9"/>
        <w:rPr>
          <w:rFonts w:hint="eastAsia" w:ascii="宋体" w:hAnsi="宋体" w:cs="宋体"/>
          <w:b/>
          <w:color w:val="auto"/>
          <w:sz w:val="32"/>
          <w:szCs w:val="20"/>
          <w:highlight w:val="none"/>
        </w:rPr>
      </w:pPr>
      <w:bookmarkStart w:id="37" w:name="_Toc164416483"/>
      <w:bookmarkStart w:id="38" w:name="第三部分"/>
    </w:p>
    <w:p w14:paraId="0D80D6BE">
      <w:pPr>
        <w:adjustRightInd/>
        <w:spacing w:line="360" w:lineRule="auto"/>
        <w:ind w:firstLine="3845" w:firstLineChars="1197"/>
        <w:outlineLvl w:val="9"/>
        <w:rPr>
          <w:rFonts w:hint="eastAsia" w:ascii="宋体" w:hAnsi="宋体" w:cs="宋体"/>
          <w:b/>
          <w:color w:val="auto"/>
          <w:sz w:val="32"/>
          <w:szCs w:val="20"/>
          <w:highlight w:val="none"/>
        </w:rPr>
      </w:pPr>
    </w:p>
    <w:p w14:paraId="1268B186">
      <w:pPr>
        <w:adjustRightInd/>
        <w:spacing w:line="360" w:lineRule="auto"/>
        <w:ind w:firstLine="3845" w:firstLineChars="1197"/>
        <w:outlineLvl w:val="9"/>
        <w:rPr>
          <w:rFonts w:hint="eastAsia" w:ascii="宋体" w:hAnsi="宋体" w:cs="宋体"/>
          <w:b/>
          <w:color w:val="auto"/>
          <w:sz w:val="32"/>
          <w:szCs w:val="20"/>
          <w:highlight w:val="none"/>
        </w:rPr>
      </w:pPr>
    </w:p>
    <w:p w14:paraId="41389CD8">
      <w:pPr>
        <w:adjustRightInd/>
        <w:spacing w:line="360" w:lineRule="auto"/>
        <w:ind w:firstLine="3845" w:firstLineChars="1197"/>
        <w:outlineLvl w:val="9"/>
        <w:rPr>
          <w:rFonts w:hint="eastAsia" w:ascii="宋体" w:hAnsi="宋体" w:cs="宋体"/>
          <w:b/>
          <w:color w:val="auto"/>
          <w:sz w:val="32"/>
          <w:szCs w:val="20"/>
          <w:highlight w:val="none"/>
        </w:rPr>
      </w:pPr>
    </w:p>
    <w:p w14:paraId="3AEF8D44">
      <w:pPr>
        <w:adjustRightInd/>
        <w:spacing w:line="360" w:lineRule="auto"/>
        <w:ind w:firstLine="3845" w:firstLineChars="1197"/>
        <w:outlineLvl w:val="9"/>
        <w:rPr>
          <w:rFonts w:hint="eastAsia" w:ascii="宋体" w:hAnsi="宋体" w:cs="宋体"/>
          <w:b/>
          <w:color w:val="auto"/>
          <w:sz w:val="32"/>
          <w:szCs w:val="20"/>
          <w:highlight w:val="none"/>
        </w:rPr>
      </w:pPr>
    </w:p>
    <w:p w14:paraId="30679A98">
      <w:pPr>
        <w:adjustRightInd/>
        <w:spacing w:line="360" w:lineRule="auto"/>
        <w:ind w:firstLine="3845" w:firstLineChars="1197"/>
        <w:outlineLvl w:val="9"/>
        <w:rPr>
          <w:rFonts w:hint="eastAsia" w:ascii="宋体" w:hAnsi="宋体" w:cs="宋体"/>
          <w:b/>
          <w:color w:val="auto"/>
          <w:sz w:val="32"/>
          <w:szCs w:val="20"/>
          <w:highlight w:val="none"/>
        </w:rPr>
      </w:pPr>
    </w:p>
    <w:p w14:paraId="0E5D44D7">
      <w:pPr>
        <w:adjustRightInd/>
        <w:spacing w:line="360" w:lineRule="auto"/>
        <w:ind w:firstLine="3845" w:firstLineChars="1197"/>
        <w:outlineLvl w:val="9"/>
        <w:rPr>
          <w:rFonts w:hint="eastAsia" w:ascii="宋体" w:hAnsi="宋体" w:cs="宋体"/>
          <w:b/>
          <w:color w:val="auto"/>
          <w:sz w:val="32"/>
          <w:szCs w:val="20"/>
          <w:highlight w:val="none"/>
        </w:rPr>
      </w:pPr>
    </w:p>
    <w:p w14:paraId="4A010AB7">
      <w:pPr>
        <w:adjustRightInd/>
        <w:spacing w:line="360" w:lineRule="auto"/>
        <w:ind w:firstLine="3845" w:firstLineChars="1197"/>
        <w:outlineLvl w:val="9"/>
        <w:rPr>
          <w:rFonts w:hint="eastAsia" w:ascii="宋体" w:hAnsi="宋体" w:cs="宋体"/>
          <w:b/>
          <w:color w:val="auto"/>
          <w:sz w:val="32"/>
          <w:szCs w:val="20"/>
          <w:highlight w:val="none"/>
        </w:rPr>
      </w:pPr>
    </w:p>
    <w:p w14:paraId="42748586">
      <w:pPr>
        <w:adjustRightInd/>
        <w:spacing w:line="360" w:lineRule="auto"/>
        <w:ind w:firstLine="3845" w:firstLineChars="1197"/>
        <w:outlineLvl w:val="9"/>
        <w:rPr>
          <w:rFonts w:hint="eastAsia" w:ascii="宋体" w:hAnsi="宋体" w:cs="宋体"/>
          <w:b/>
          <w:color w:val="auto"/>
          <w:sz w:val="32"/>
          <w:szCs w:val="20"/>
          <w:highlight w:val="none"/>
        </w:rPr>
      </w:pPr>
    </w:p>
    <w:p w14:paraId="71A57A4F">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8FDE283">
      <w:pPr>
        <w:snapToGrid w:val="0"/>
        <w:spacing w:line="360" w:lineRule="auto"/>
        <w:jc w:val="left"/>
        <w:outlineLvl w:val="2"/>
        <w:rPr>
          <w:rFonts w:ascii="宋体" w:hAnsi="宋体" w:cs="宋体"/>
          <w:b/>
          <w:color w:val="auto"/>
          <w:sz w:val="24"/>
          <w:highlight w:val="none"/>
        </w:rPr>
      </w:pPr>
      <w:r>
        <w:rPr>
          <w:rFonts w:hint="eastAsia" w:ascii="宋体" w:hAnsi="宋体" w:cs="宋体"/>
          <w:b/>
          <w:color w:val="auto"/>
          <w:sz w:val="24"/>
          <w:highlight w:val="none"/>
        </w:rPr>
        <w:t>1. 适用范围</w:t>
      </w:r>
    </w:p>
    <w:p w14:paraId="396AE6B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C58915">
      <w:pPr>
        <w:adjustRightInd/>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2.定义</w:t>
      </w:r>
    </w:p>
    <w:p w14:paraId="10ABB5B4">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6229C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91D0C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5E7A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5B5866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3B5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033CA1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195DE9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107B9B33">
      <w:pPr>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40B35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ADBAF53">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3.2 支持绿色发展</w:t>
      </w:r>
    </w:p>
    <w:p w14:paraId="7A3783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134264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02EDF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D3CF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9"/>
    </w:p>
    <w:p w14:paraId="036DEE7A">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3.3支持中小企业发展</w:t>
      </w:r>
    </w:p>
    <w:p w14:paraId="695080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D69D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964BF06">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DC51E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26710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40" w:name="_Hlk101132181"/>
      <w:r>
        <w:rPr>
          <w:rFonts w:hint="eastAsia" w:ascii="宋体" w:hAnsi="宋体" w:cs="宋体"/>
          <w:color w:val="auto"/>
          <w:sz w:val="24"/>
          <w:highlight w:val="none"/>
        </w:rPr>
        <w:t>联合协议或者分包意向协议约定小微企业的合同份额占到合同总金额30%以上的</w:t>
      </w:r>
      <w:bookmarkEnd w:id="40"/>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F50C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7BA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778E5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D3C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0F9C0A9">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E4E1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FC33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A0B7FF1">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3.5平等对待内外资企业</w:t>
      </w:r>
    </w:p>
    <w:p w14:paraId="37DC23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20B33368">
      <w:pPr>
        <w:pStyle w:val="82"/>
        <w:outlineLvl w:val="3"/>
        <w:rPr>
          <w:bCs/>
          <w:color w:val="auto"/>
          <w:highlight w:val="none"/>
        </w:rPr>
      </w:pPr>
      <w:r>
        <w:rPr>
          <w:rFonts w:hint="eastAsia"/>
          <w:color w:val="auto"/>
          <w:highlight w:val="none"/>
        </w:rPr>
        <w:t>3.6平等对待符合条件的破产重整企业</w:t>
      </w:r>
    </w:p>
    <w:p w14:paraId="405DA1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6AEBE12E">
      <w:pPr>
        <w:spacing w:line="360" w:lineRule="auto"/>
        <w:ind w:firstLine="482" w:firstLineChars="200"/>
        <w:outlineLvl w:val="2"/>
        <w:rPr>
          <w:rFonts w:ascii="宋体" w:hAnsi="宋体" w:eastAsia="宋体"/>
          <w:b/>
          <w:color w:val="auto"/>
          <w:highlight w:val="none"/>
        </w:rPr>
      </w:pPr>
      <w:r>
        <w:rPr>
          <w:rFonts w:hint="eastAsia" w:ascii="宋体" w:hAnsi="宋体"/>
          <w:b/>
          <w:color w:val="auto"/>
          <w:sz w:val="24"/>
          <w:highlight w:val="none"/>
        </w:rPr>
        <w:t>4. 询问、质疑、投诉</w:t>
      </w:r>
    </w:p>
    <w:p w14:paraId="5BE5542C">
      <w:pPr>
        <w:spacing w:line="360" w:lineRule="auto"/>
        <w:ind w:firstLine="480" w:firstLineChars="200"/>
        <w:outlineLvl w:val="3"/>
        <w:rPr>
          <w:rFonts w:ascii="宋体" w:hAnsi="宋体" w:eastAsia="宋体"/>
          <w:color w:val="auto"/>
          <w:sz w:val="24"/>
          <w:highlight w:val="none"/>
          <w:lang w:val="zh-CN"/>
        </w:rPr>
      </w:pPr>
      <w:r>
        <w:rPr>
          <w:rFonts w:hint="eastAsia" w:ascii="宋体" w:hAnsi="宋体" w:eastAsia="宋体"/>
          <w:color w:val="auto"/>
          <w:sz w:val="24"/>
          <w:highlight w:val="none"/>
          <w:lang w:val="zh-CN"/>
        </w:rPr>
        <w:t>4.1在线询问、质疑、投诉</w:t>
      </w:r>
    </w:p>
    <w:p w14:paraId="3A2D9497">
      <w:pPr>
        <w:spacing w:line="360" w:lineRule="auto"/>
        <w:ind w:firstLine="480" w:firstLineChars="200"/>
        <w:rPr>
          <w:rFonts w:ascii="宋体" w:hAnsi="宋体" w:eastAsia="宋体"/>
          <w:color w:val="auto"/>
          <w:sz w:val="24"/>
          <w:highlight w:val="none"/>
          <w:lang w:val="zh-CN"/>
        </w:rPr>
      </w:pPr>
      <w:r>
        <w:rPr>
          <w:rFonts w:hint="eastAsia" w:ascii="宋体" w:hAnsi="宋体" w:eastAsia="宋体"/>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6F30D0DD">
      <w:pPr>
        <w:pStyle w:val="82"/>
        <w:rPr>
          <w:rFonts w:hint="eastAsia"/>
          <w:color w:val="auto"/>
          <w:highlight w:val="none"/>
        </w:rPr>
      </w:pPr>
      <w:r>
        <w:rPr>
          <w:rFonts w:hint="eastAsia"/>
          <w:color w:val="auto"/>
          <w:highlight w:val="none"/>
        </w:rPr>
        <w:t>询问联系部门：北海市政府采购中心采购</w:t>
      </w:r>
      <w:r>
        <w:rPr>
          <w:rFonts w:hint="eastAsia"/>
          <w:color w:val="auto"/>
          <w:highlight w:val="none"/>
          <w:lang w:eastAsia="zh-CN"/>
        </w:rPr>
        <w:t>一</w:t>
      </w:r>
      <w:r>
        <w:rPr>
          <w:rFonts w:hint="eastAsia"/>
          <w:color w:val="auto"/>
          <w:highlight w:val="none"/>
        </w:rPr>
        <w:t>科   联系电话：</w:t>
      </w:r>
      <w:r>
        <w:rPr>
          <w:rFonts w:hint="eastAsia"/>
          <w:color w:val="auto"/>
          <w:highlight w:val="none"/>
          <w:lang w:eastAsia="zh-CN"/>
        </w:rPr>
        <w:t>0779-3056122</w:t>
      </w:r>
      <w:r>
        <w:rPr>
          <w:rFonts w:hint="eastAsia"/>
          <w:color w:val="auto"/>
          <w:highlight w:val="none"/>
        </w:rPr>
        <w:t xml:space="preserve">  </w:t>
      </w:r>
    </w:p>
    <w:p w14:paraId="0581FBEC">
      <w:pPr>
        <w:pStyle w:val="82"/>
        <w:rPr>
          <w:color w:val="auto"/>
          <w:highlight w:val="none"/>
        </w:rPr>
      </w:pPr>
      <w:r>
        <w:rPr>
          <w:rFonts w:hint="eastAsia"/>
          <w:color w:val="auto"/>
          <w:highlight w:val="none"/>
        </w:rPr>
        <w:t>地址：</w:t>
      </w:r>
      <w:r>
        <w:rPr>
          <w:rFonts w:hint="eastAsia" w:cs="宋体"/>
          <w:color w:val="auto"/>
          <w:highlight w:val="none"/>
        </w:rPr>
        <w:t>北海市海城区陈文村北路7号市直机关第三办公区</w:t>
      </w:r>
    </w:p>
    <w:p w14:paraId="09BB0488">
      <w:pPr>
        <w:pStyle w:val="82"/>
        <w:rPr>
          <w:rFonts w:hint="eastAsia"/>
          <w:color w:val="auto"/>
          <w:highlight w:val="none"/>
        </w:rPr>
      </w:pPr>
      <w:r>
        <w:rPr>
          <w:rFonts w:hint="eastAsia"/>
          <w:color w:val="auto"/>
          <w:highlight w:val="none"/>
        </w:rPr>
        <w:t>质疑联系部门：北海市政府采购中心监督科   联系电话：</w:t>
      </w:r>
      <w:r>
        <w:rPr>
          <w:color w:val="auto"/>
          <w:highlight w:val="none"/>
        </w:rPr>
        <w:t>0779-3960826</w:t>
      </w:r>
      <w:r>
        <w:rPr>
          <w:rFonts w:hint="eastAsia"/>
          <w:color w:val="auto"/>
          <w:highlight w:val="none"/>
        </w:rPr>
        <w:t xml:space="preserve">    </w:t>
      </w:r>
    </w:p>
    <w:p w14:paraId="0E2B8572">
      <w:pPr>
        <w:pStyle w:val="82"/>
        <w:rPr>
          <w:color w:val="auto"/>
          <w:highlight w:val="none"/>
        </w:rPr>
      </w:pPr>
      <w:r>
        <w:rPr>
          <w:rFonts w:hint="eastAsia"/>
          <w:color w:val="auto"/>
          <w:highlight w:val="none"/>
        </w:rPr>
        <w:t>地址：</w:t>
      </w:r>
      <w:r>
        <w:rPr>
          <w:rFonts w:hint="eastAsia" w:cs="宋体"/>
          <w:color w:val="auto"/>
          <w:highlight w:val="none"/>
        </w:rPr>
        <w:t>北海市海城区陈文村北路7号市直机关第三办公区</w:t>
      </w:r>
    </w:p>
    <w:p w14:paraId="687CA16D">
      <w:pPr>
        <w:pStyle w:val="82"/>
        <w:rPr>
          <w:color w:val="auto"/>
          <w:highlight w:val="none"/>
        </w:rPr>
      </w:pPr>
      <w:r>
        <w:rPr>
          <w:rFonts w:hint="eastAsia"/>
          <w:color w:val="auto"/>
          <w:highlight w:val="none"/>
        </w:rPr>
        <w:t>投诉联系部门：</w:t>
      </w:r>
      <w:r>
        <w:rPr>
          <w:rFonts w:hint="eastAsia"/>
          <w:color w:val="auto"/>
          <w:highlight w:val="none"/>
          <w:lang w:val="en-US" w:eastAsia="zh-CN"/>
        </w:rPr>
        <w:t>合浦县</w:t>
      </w:r>
      <w:r>
        <w:rPr>
          <w:rFonts w:hint="eastAsia"/>
          <w:color w:val="auto"/>
          <w:highlight w:val="none"/>
        </w:rPr>
        <w:t>财政局        联系电话：</w:t>
      </w:r>
      <w:r>
        <w:rPr>
          <w:color w:val="auto"/>
          <w:highlight w:val="none"/>
        </w:rPr>
        <w:t>0779-</w:t>
      </w:r>
      <w:r>
        <w:rPr>
          <w:rFonts w:hint="eastAsia"/>
          <w:color w:val="auto"/>
          <w:highlight w:val="none"/>
          <w:lang w:val="en-US" w:eastAsia="zh-CN"/>
        </w:rPr>
        <w:t>7213187</w:t>
      </w:r>
      <w:r>
        <w:rPr>
          <w:rFonts w:hint="eastAsia"/>
          <w:color w:val="auto"/>
          <w:highlight w:val="none"/>
        </w:rPr>
        <w:t xml:space="preserve">     </w:t>
      </w:r>
    </w:p>
    <w:p w14:paraId="20FE22FE">
      <w:pPr>
        <w:pStyle w:val="82"/>
        <w:ind w:firstLine="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地址：北海市合浦县廉州镇明园南路50号</w:t>
      </w:r>
      <w:r>
        <w:rPr>
          <w:rFonts w:ascii="MS Mincho" w:hAnsi="MS Mincho" w:cs="MS Mincho"/>
          <w:color w:val="auto"/>
          <w:highlight w:val="none"/>
        </w:rPr>
        <w:t>‌</w:t>
      </w:r>
    </w:p>
    <w:p w14:paraId="47D8260E">
      <w:pPr>
        <w:pStyle w:val="82"/>
        <w:ind w:firstLine="0"/>
        <w:rPr>
          <w:color w:val="auto"/>
          <w:highlight w:val="none"/>
          <w:lang w:val="zh-CN"/>
        </w:rPr>
      </w:pPr>
      <w:r>
        <w:rPr>
          <w:rFonts w:hint="eastAsia"/>
          <w:color w:val="auto"/>
          <w:highlight w:val="none"/>
          <w:lang w:val="zh-CN"/>
        </w:rPr>
        <w:t>4.2供应商询问</w:t>
      </w:r>
    </w:p>
    <w:p w14:paraId="3D537FC2">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817B24">
      <w:pPr>
        <w:autoSpaceDE w:val="0"/>
        <w:autoSpaceDN w:val="0"/>
        <w:spacing w:line="360" w:lineRule="auto"/>
        <w:ind w:firstLine="480" w:firstLineChars="200"/>
        <w:jc w:val="left"/>
        <w:outlineLvl w:val="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144B44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E3997AC">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C495FD">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834FA8D">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A45E0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5B9627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D5755E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D487CC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E2FB54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90F4BF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B2F4FD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D41AB25">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22059FC">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5637B77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7ED43EA">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788329D">
      <w:pPr>
        <w:pStyle w:val="32"/>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4.3.6根据采购人与采购代理机构签订的采购委托协议，质疑答复责任主体如下：</w:t>
      </w:r>
      <w:r>
        <w:rPr>
          <w:rFonts w:ascii="宋体" w:hAnsi="宋体" w:eastAsia="宋体"/>
          <w:color w:val="auto"/>
          <w:sz w:val="24"/>
          <w:highlight w:val="none"/>
        </w:rPr>
        <w:t xml:space="preserve"> </w:t>
      </w:r>
    </w:p>
    <w:p w14:paraId="24A7B625">
      <w:pPr>
        <w:widowControl/>
        <w:adjustRightInd/>
        <w:spacing w:line="360" w:lineRule="auto"/>
        <w:jc w:val="center"/>
        <w:outlineLvl w:val="4"/>
        <w:rPr>
          <w:rFonts w:ascii="宋体" w:hAnsi="宋体" w:eastAsia="宋体"/>
          <w:b/>
          <w:color w:val="auto"/>
          <w:sz w:val="28"/>
          <w:szCs w:val="28"/>
          <w:highlight w:val="none"/>
        </w:rPr>
      </w:pPr>
      <w:r>
        <w:rPr>
          <w:rFonts w:hint="eastAsia" w:ascii="宋体" w:hAnsi="宋体" w:eastAsia="宋体"/>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25A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478ADE43">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67902A3F">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质疑答复责任主体</w:t>
            </w:r>
          </w:p>
        </w:tc>
      </w:tr>
      <w:tr w14:paraId="670A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16BA7406">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690B472">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7BFB833">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786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67E7EC">
            <w:pPr>
              <w:widowControl/>
              <w:adjustRightInd/>
              <w:spacing w:line="360" w:lineRule="auto"/>
              <w:jc w:val="left"/>
              <w:rPr>
                <w:rFonts w:ascii="宋体" w:hAnsi="宋体" w:eastAsia="宋体"/>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7B982FEA">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721E850">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采购代理机构</w:t>
            </w:r>
          </w:p>
        </w:tc>
      </w:tr>
      <w:tr w14:paraId="6F7F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5E3BC2ED">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3D1EEEA">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B49B654">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采购人</w:t>
            </w:r>
          </w:p>
        </w:tc>
      </w:tr>
      <w:tr w14:paraId="45F4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AF1195">
            <w:pPr>
              <w:widowControl/>
              <w:adjustRightInd/>
              <w:spacing w:line="360" w:lineRule="auto"/>
              <w:jc w:val="left"/>
              <w:rPr>
                <w:rFonts w:ascii="宋体" w:hAnsi="宋体" w:eastAsia="宋体"/>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1D3F4377">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8DE9124">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采购代理机构</w:t>
            </w:r>
          </w:p>
        </w:tc>
      </w:tr>
      <w:tr w14:paraId="4053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38F44D1D">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E321420">
            <w:pPr>
              <w:pStyle w:val="32"/>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760687E">
            <w:pPr>
              <w:pStyle w:val="32"/>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采购代理机构</w:t>
            </w:r>
          </w:p>
        </w:tc>
      </w:tr>
    </w:tbl>
    <w:p w14:paraId="46D6B2C4">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宋体" w:hAnsi="宋体" w:eastAsia="宋体"/>
          <w:color w:val="auto"/>
          <w:highlight w:val="none"/>
        </w:rPr>
        <w:t>采购人或代理机构应当协助质疑答复责任主体及时答复</w:t>
      </w:r>
      <w:r>
        <w:rPr>
          <w:rFonts w:hint="eastAsia"/>
          <w:color w:val="auto"/>
          <w:highlight w:val="none"/>
        </w:rPr>
        <w:t>供应商的书面质疑。</w:t>
      </w:r>
    </w:p>
    <w:p w14:paraId="5493CEED">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6D1D77ED">
      <w:pPr>
        <w:pStyle w:val="886"/>
        <w:shd w:val="clear" w:color="auto" w:fill="FFFFFF"/>
        <w:snapToGrid w:val="0"/>
        <w:spacing w:after="240" w:afterAutospacing="0" w:line="360" w:lineRule="auto"/>
        <w:ind w:firstLine="480" w:firstLineChars="200"/>
        <w:contextualSpacing/>
        <w:outlineLvl w:val="3"/>
        <w:rPr>
          <w:color w:val="auto"/>
          <w:highlight w:val="none"/>
          <w:lang w:val="zh-CN"/>
        </w:rPr>
      </w:pPr>
      <w:r>
        <w:rPr>
          <w:rFonts w:hint="eastAsia"/>
          <w:color w:val="auto"/>
          <w:highlight w:val="none"/>
          <w:lang w:val="zh-CN"/>
        </w:rPr>
        <w:t>4.4供应商投诉</w:t>
      </w:r>
    </w:p>
    <w:p w14:paraId="51BEAA7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CCB6096">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40B4EB5">
      <w:pPr>
        <w:pStyle w:val="886"/>
        <w:shd w:val="clear" w:color="auto" w:fill="FFFFFF"/>
        <w:snapToGrid w:val="0"/>
        <w:spacing w:after="240" w:afterAutospacing="0" w:line="360" w:lineRule="auto"/>
        <w:ind w:firstLine="480" w:firstLineChars="200"/>
        <w:contextualSpacing/>
        <w:outlineLvl w:val="4"/>
        <w:rPr>
          <w:color w:val="auto"/>
          <w:highlight w:val="none"/>
        </w:rPr>
      </w:pPr>
      <w:r>
        <w:rPr>
          <w:rFonts w:hint="eastAsia"/>
          <w:color w:val="auto"/>
          <w:highlight w:val="none"/>
        </w:rPr>
        <w:t>4.4.3供应商投诉应当有明确的请求和必要的证明材料。</w:t>
      </w:r>
    </w:p>
    <w:p w14:paraId="255FD77A">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77A5BA3">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6609CF9">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5．招标文件的构成</w:t>
      </w:r>
    </w:p>
    <w:p w14:paraId="6C969C15">
      <w:pPr>
        <w:pStyle w:val="32"/>
        <w:spacing w:line="360" w:lineRule="auto"/>
        <w:ind w:firstLine="480" w:firstLineChars="200"/>
        <w:outlineLvl w:val="3"/>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036E425">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219A828B">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40C96616">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3977FDE9">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63FD4EC8">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045238ED">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FE20B2">
      <w:pPr>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E12BB0E">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F79AFED">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176C663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0AC88B">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26A8E31">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D2C2041">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7. 招标文件的获取</w:t>
      </w:r>
    </w:p>
    <w:p w14:paraId="42C9B77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7B4EFE8">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487433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E82E6C">
      <w:pPr>
        <w:pStyle w:val="32"/>
        <w:spacing w:line="360" w:lineRule="auto"/>
        <w:outlineLvl w:val="2"/>
        <w:rPr>
          <w:rFonts w:hAnsi="宋体" w:cs="宋体"/>
          <w:b/>
          <w:color w:val="auto"/>
          <w:szCs w:val="24"/>
          <w:highlight w:val="none"/>
        </w:rPr>
      </w:pPr>
      <w:r>
        <w:rPr>
          <w:rFonts w:hint="eastAsia" w:hAnsi="宋体" w:cs="宋体"/>
          <w:b/>
          <w:color w:val="auto"/>
          <w:kern w:val="28"/>
          <w:sz w:val="24"/>
          <w:szCs w:val="24"/>
          <w:highlight w:val="none"/>
        </w:rPr>
        <w:t>9.投标保证金</w:t>
      </w:r>
    </w:p>
    <w:p w14:paraId="5056A02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本项目不收取投标保证金。</w:t>
      </w:r>
    </w:p>
    <w:p w14:paraId="27A7E7CA">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10. 投标文件的语言</w:t>
      </w:r>
    </w:p>
    <w:p w14:paraId="29F7EFE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25979B1">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11. 投标文件的组成</w:t>
      </w:r>
    </w:p>
    <w:p w14:paraId="03A8169B">
      <w:pPr>
        <w:snapToGrid w:val="0"/>
        <w:spacing w:line="360" w:lineRule="auto"/>
        <w:ind w:firstLine="480" w:firstLineChars="200"/>
        <w:outlineLvl w:val="3"/>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1D79E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16600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41" w:name="_Hlk101259339"/>
      <w:r>
        <w:rPr>
          <w:rFonts w:hint="eastAsia" w:ascii="宋体" w:hAnsi="宋体" w:cs="宋体"/>
          <w:snapToGrid w:val="0"/>
          <w:color w:val="auto"/>
          <w:kern w:val="28"/>
          <w:sz w:val="24"/>
          <w:szCs w:val="20"/>
          <w:highlight w:val="none"/>
        </w:rPr>
        <w:t>联合协议</w:t>
      </w:r>
      <w:bookmarkEnd w:id="41"/>
      <w:r>
        <w:rPr>
          <w:rFonts w:hint="eastAsia" w:ascii="宋体" w:hAnsi="宋体" w:cs="宋体"/>
          <w:snapToGrid w:val="0"/>
          <w:color w:val="auto"/>
          <w:kern w:val="28"/>
          <w:sz w:val="24"/>
          <w:szCs w:val="20"/>
          <w:highlight w:val="none"/>
        </w:rPr>
        <w:t>（如果有)；</w:t>
      </w:r>
    </w:p>
    <w:p w14:paraId="203C19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8C205E">
      <w:pPr>
        <w:snapToGrid w:val="0"/>
        <w:spacing w:line="360" w:lineRule="auto"/>
        <w:ind w:firstLine="480" w:firstLineChars="200"/>
        <w:rPr>
          <w:rFonts w:ascii="宋体" w:hAnsi="宋体" w:cs="宋体"/>
          <w:color w:val="auto"/>
          <w:sz w:val="24"/>
          <w:highlight w:val="none"/>
        </w:rPr>
      </w:pPr>
      <w:bookmarkStart w:id="496" w:name="_GoBack"/>
      <w:bookmarkEnd w:id="496"/>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3408524">
      <w:pPr>
        <w:snapToGrid w:val="0"/>
        <w:spacing w:line="360" w:lineRule="auto"/>
        <w:ind w:firstLine="482" w:firstLineChars="200"/>
        <w:outlineLvl w:val="3"/>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380B8C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952A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639F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48D4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8A2DE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5DA22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B92DA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BC328E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2FA043C">
      <w:pPr>
        <w:pStyle w:val="82"/>
        <w:rPr>
          <w:color w:val="auto"/>
          <w:highlight w:val="none"/>
        </w:rPr>
      </w:pPr>
      <w:r>
        <w:rPr>
          <w:rFonts w:hint="eastAsia"/>
          <w:color w:val="auto"/>
          <w:highlight w:val="none"/>
        </w:rPr>
        <w:t>▲11.2.9承诺函。</w:t>
      </w:r>
    </w:p>
    <w:p w14:paraId="7C61AAA4">
      <w:pPr>
        <w:snapToGrid w:val="0"/>
        <w:spacing w:line="360" w:lineRule="auto"/>
        <w:ind w:firstLine="482" w:firstLineChars="200"/>
        <w:outlineLvl w:val="3"/>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9A860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38611C8E">
      <w:pP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11.3.2中小企业声明函。</w:t>
      </w:r>
    </w:p>
    <w:p w14:paraId="71E1C5B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BC4ACCB">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5DC2A21">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03CF1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C53FA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34F755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16BDA8CE">
      <w:p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55BF032">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FA1CBE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0E6FF4FC">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6C931F29">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2C10DC7">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B6EDB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B02F061">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A2F11F">
      <w:pPr>
        <w:pStyle w:val="32"/>
        <w:spacing w:line="360" w:lineRule="auto"/>
        <w:outlineLvl w:val="2"/>
        <w:rPr>
          <w:rFonts w:hAnsi="宋体" w:cs="宋体"/>
          <w:b/>
          <w:color w:val="auto"/>
          <w:sz w:val="24"/>
          <w:szCs w:val="24"/>
          <w:highlight w:val="none"/>
        </w:rPr>
      </w:pPr>
      <w:r>
        <w:rPr>
          <w:rFonts w:hint="eastAsia" w:hAnsi="宋体" w:cs="宋体"/>
          <w:b/>
          <w:color w:val="auto"/>
          <w:sz w:val="24"/>
          <w:szCs w:val="24"/>
          <w:highlight w:val="none"/>
        </w:rPr>
        <w:t>15.备份投标文件</w:t>
      </w:r>
    </w:p>
    <w:p w14:paraId="1398C3AA">
      <w:pPr>
        <w:pStyle w:val="32"/>
        <w:spacing w:line="360" w:lineRule="auto"/>
        <w:ind w:firstLine="477" w:firstLineChars="199"/>
        <w:rPr>
          <w:rFonts w:hAnsi="宋体" w:cs="宋体"/>
          <w:b/>
          <w:color w:val="auto"/>
          <w:sz w:val="24"/>
          <w:szCs w:val="24"/>
          <w:highlight w:val="none"/>
        </w:rPr>
      </w:pPr>
      <w:r>
        <w:rPr>
          <w:rFonts w:hint="eastAsia" w:hAnsi="宋体" w:cs="宋体"/>
          <w:color w:val="auto"/>
          <w:sz w:val="24"/>
          <w:szCs w:val="24"/>
          <w:highlight w:val="none"/>
        </w:rPr>
        <w:t>本项目为全流程电子化项目，不接收备份文件。</w:t>
      </w:r>
    </w:p>
    <w:p w14:paraId="7C80EB88">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DBECA89">
      <w:pPr>
        <w:pStyle w:val="24"/>
        <w:spacing w:line="360" w:lineRule="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43CB014">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17.投标有效期</w:t>
      </w:r>
    </w:p>
    <w:p w14:paraId="5AD877B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65C64A0">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EAB287C">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B50F55">
      <w:pPr>
        <w:pStyle w:val="128"/>
        <w:spacing w:before="0"/>
        <w:ind w:firstLine="643"/>
        <w:rPr>
          <w:rFonts w:ascii="宋体" w:hAnsi="宋体" w:cs="宋体"/>
          <w:b/>
          <w:color w:val="auto"/>
          <w:sz w:val="32"/>
          <w:highlight w:val="none"/>
        </w:rPr>
      </w:pPr>
    </w:p>
    <w:p w14:paraId="17205784">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F7DF58">
      <w:pPr>
        <w:pStyle w:val="554"/>
        <w:spacing w:before="0" w:line="360" w:lineRule="auto"/>
        <w:ind w:left="0" w:firstLine="0"/>
        <w:contextualSpacing/>
        <w:outlineLvl w:val="2"/>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5BF9AE9">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FDAE90E">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9305AFA">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035C956">
      <w:pPr>
        <w:widowControl/>
        <w:spacing w:line="360" w:lineRule="auto"/>
        <w:jc w:val="left"/>
        <w:outlineLvl w:val="2"/>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576FC9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5375CF5">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FD100F9">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1100AF8">
      <w:pPr>
        <w:pStyle w:val="128"/>
        <w:spacing w:before="0"/>
        <w:ind w:firstLine="480"/>
        <w:outlineLvl w:val="3"/>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94539C1">
      <w:pPr>
        <w:pStyle w:val="128"/>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BC8411">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2A7D58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EF548D6">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4C3948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690D08F">
      <w:pPr>
        <w:pStyle w:val="128"/>
        <w:spacing w:before="0"/>
        <w:ind w:firstLine="0" w:firstLineChars="0"/>
        <w:rPr>
          <w:rFonts w:ascii="宋体" w:hAnsi="宋体" w:cs="宋体"/>
          <w:color w:val="auto"/>
          <w:kern w:val="0"/>
          <w:szCs w:val="24"/>
          <w:highlight w:val="none"/>
        </w:rPr>
      </w:pPr>
    </w:p>
    <w:p w14:paraId="21052C5F">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ECC198D">
      <w:pPr>
        <w:spacing w:line="360" w:lineRule="auto"/>
        <w:outlineLvl w:val="2"/>
        <w:rPr>
          <w:rFonts w:ascii="宋体" w:hAnsi="宋体" w:cs="宋体"/>
          <w:b/>
          <w:color w:val="auto"/>
          <w:sz w:val="24"/>
          <w:highlight w:val="none"/>
        </w:rPr>
      </w:pPr>
      <w:bookmarkStart w:id="42" w:name="_Toc91899903"/>
      <w:r>
        <w:rPr>
          <w:rFonts w:hint="eastAsia" w:ascii="宋体" w:hAnsi="宋体" w:cs="宋体"/>
          <w:b/>
          <w:color w:val="auto"/>
          <w:sz w:val="24"/>
          <w:highlight w:val="none"/>
        </w:rPr>
        <w:t>21.评标</w:t>
      </w:r>
    </w:p>
    <w:p w14:paraId="6359244B">
      <w:pPr>
        <w:pStyle w:val="82"/>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7BEA01E">
      <w:pPr>
        <w:pStyle w:val="82"/>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2600EB43">
      <w:pPr>
        <w:pStyle w:val="82"/>
        <w:rPr>
          <w:color w:val="auto"/>
          <w:highlight w:val="none"/>
        </w:rPr>
      </w:pPr>
    </w:p>
    <w:p w14:paraId="4257B6FE">
      <w:pPr>
        <w:spacing w:line="360" w:lineRule="auto"/>
        <w:rPr>
          <w:rFonts w:ascii="宋体" w:hAnsi="宋体" w:cs="宋体"/>
          <w:b/>
          <w:color w:val="auto"/>
          <w:sz w:val="24"/>
          <w:highlight w:val="none"/>
        </w:rPr>
      </w:pPr>
    </w:p>
    <w:p w14:paraId="5C856EBE">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77BB7C0">
      <w:pPr>
        <w:pStyle w:val="24"/>
        <w:spacing w:line="360" w:lineRule="auto"/>
        <w:ind w:left="479" w:hanging="479" w:hangingChars="199"/>
        <w:outlineLvl w:val="2"/>
        <w:rPr>
          <w:rFonts w:cs="宋体"/>
          <w:b/>
          <w:color w:val="auto"/>
          <w:highlight w:val="none"/>
        </w:rPr>
      </w:pPr>
      <w:r>
        <w:rPr>
          <w:rFonts w:hint="eastAsia" w:cs="宋体"/>
          <w:b/>
          <w:color w:val="auto"/>
          <w:highlight w:val="none"/>
        </w:rPr>
        <w:t>22. 确定中标供应商</w:t>
      </w:r>
    </w:p>
    <w:p w14:paraId="252A244C">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5240FEA7">
      <w:pPr>
        <w:pStyle w:val="128"/>
        <w:snapToGrid w:val="0"/>
        <w:spacing w:before="0"/>
        <w:ind w:firstLine="0" w:firstLineChars="0"/>
        <w:outlineLvl w:val="2"/>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CDD1EF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5607ED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6D924C05">
      <w:pPr>
        <w:widowControl/>
        <w:shd w:val="clear" w:color="auto" w:fill="FFFFFF"/>
        <w:spacing w:line="360" w:lineRule="auto"/>
        <w:ind w:firstLine="480"/>
        <w:jc w:val="left"/>
        <w:outlineLvl w:val="3"/>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5E6AB3E">
      <w:pPr>
        <w:snapToGrid w:val="0"/>
        <w:spacing w:line="360" w:lineRule="auto"/>
        <w:ind w:left="120" w:leftChars="57" w:firstLine="482" w:firstLineChars="150"/>
        <w:jc w:val="center"/>
        <w:rPr>
          <w:rFonts w:ascii="宋体" w:hAnsi="宋体" w:cs="宋体"/>
          <w:b/>
          <w:color w:val="auto"/>
          <w:sz w:val="32"/>
          <w:highlight w:val="none"/>
        </w:rPr>
      </w:pPr>
    </w:p>
    <w:p w14:paraId="6C03E9AF">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5F508930">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1B09935">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36615411">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9D5EDE8">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26313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8C1A6B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5EB65BD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FAD9732">
      <w:pPr>
        <w:pStyle w:val="128"/>
        <w:snapToGrid w:val="0"/>
        <w:spacing w:before="0"/>
        <w:ind w:firstLine="480"/>
        <w:outlineLvl w:val="2"/>
        <w:rPr>
          <w:rFonts w:ascii="宋体" w:hAnsi="宋体" w:cs="宋体"/>
          <w:color w:val="auto"/>
          <w:highlight w:val="none"/>
        </w:rPr>
      </w:pPr>
      <w:r>
        <w:rPr>
          <w:rFonts w:hint="eastAsia" w:ascii="宋体" w:hAnsi="宋体" w:cs="宋体"/>
          <w:color w:val="auto"/>
          <w:highlight w:val="none"/>
        </w:rPr>
        <w:t>25.6政采贷</w:t>
      </w:r>
    </w:p>
    <w:p w14:paraId="5E75F15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6436259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3B2DA83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0CCB0153">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652F09B">
      <w:pPr>
        <w:pStyle w:val="128"/>
        <w:snapToGrid w:val="0"/>
        <w:spacing w:before="0"/>
        <w:ind w:firstLine="480"/>
        <w:outlineLvl w:val="3"/>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781FC34A">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4B5EB5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22F78F5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1BA7A8A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35AD6E2E">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6C4BA185">
      <w:pPr>
        <w:pStyle w:val="82"/>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099F2FEE">
      <w:pPr>
        <w:pStyle w:val="82"/>
        <w:rPr>
          <w:rFonts w:hint="eastAsia"/>
          <w:color w:val="auto"/>
          <w:highlight w:val="none"/>
        </w:rPr>
      </w:pPr>
    </w:p>
    <w:p w14:paraId="4880F09F">
      <w:pPr>
        <w:pStyle w:val="82"/>
        <w:rPr>
          <w:rFonts w:hint="eastAsia"/>
          <w:color w:val="auto"/>
          <w:highlight w:val="none"/>
        </w:rPr>
      </w:pPr>
    </w:p>
    <w:p w14:paraId="3456BA98">
      <w:pPr>
        <w:pStyle w:val="82"/>
        <w:outlineLvl w:val="4"/>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14AA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B7C7D8A">
            <w:pPr>
              <w:pStyle w:val="82"/>
              <w:ind w:firstLine="0"/>
              <w:jc w:val="center"/>
              <w:rPr>
                <w:color w:val="auto"/>
                <w:sz w:val="21"/>
                <w:szCs w:val="21"/>
                <w:highlight w:val="none"/>
              </w:rPr>
            </w:pPr>
            <w:r>
              <w:rPr>
                <w:rFonts w:hint="eastAsia"/>
                <w:color w:val="auto"/>
                <w:sz w:val="21"/>
                <w:szCs w:val="21"/>
                <w:highlight w:val="none"/>
              </w:rPr>
              <w:t>银行名称</w:t>
            </w:r>
          </w:p>
        </w:tc>
        <w:tc>
          <w:tcPr>
            <w:tcW w:w="1134" w:type="dxa"/>
            <w:vAlign w:val="center"/>
          </w:tcPr>
          <w:p w14:paraId="4F5B2353">
            <w:pPr>
              <w:pStyle w:val="82"/>
              <w:ind w:firstLine="0"/>
              <w:jc w:val="center"/>
              <w:rPr>
                <w:color w:val="auto"/>
                <w:sz w:val="21"/>
                <w:szCs w:val="21"/>
                <w:highlight w:val="none"/>
              </w:rPr>
            </w:pPr>
            <w:r>
              <w:rPr>
                <w:rFonts w:hint="eastAsia"/>
                <w:color w:val="auto"/>
                <w:sz w:val="21"/>
                <w:szCs w:val="21"/>
                <w:highlight w:val="none"/>
              </w:rPr>
              <w:t>联系电话</w:t>
            </w:r>
          </w:p>
        </w:tc>
        <w:tc>
          <w:tcPr>
            <w:tcW w:w="1701" w:type="dxa"/>
            <w:vAlign w:val="center"/>
          </w:tcPr>
          <w:p w14:paraId="0AF86507">
            <w:pPr>
              <w:pStyle w:val="82"/>
              <w:ind w:firstLine="0"/>
              <w:jc w:val="center"/>
              <w:rPr>
                <w:color w:val="auto"/>
                <w:sz w:val="21"/>
                <w:szCs w:val="21"/>
                <w:highlight w:val="none"/>
              </w:rPr>
            </w:pPr>
            <w:r>
              <w:rPr>
                <w:rFonts w:hint="eastAsia"/>
                <w:color w:val="auto"/>
                <w:sz w:val="21"/>
                <w:szCs w:val="21"/>
                <w:highlight w:val="none"/>
              </w:rPr>
              <w:t>最高授信金额</w:t>
            </w:r>
          </w:p>
        </w:tc>
        <w:tc>
          <w:tcPr>
            <w:tcW w:w="993" w:type="dxa"/>
            <w:vAlign w:val="center"/>
          </w:tcPr>
          <w:p w14:paraId="7C974A66">
            <w:pPr>
              <w:pStyle w:val="82"/>
              <w:ind w:firstLine="0"/>
              <w:jc w:val="center"/>
              <w:rPr>
                <w:color w:val="auto"/>
                <w:sz w:val="21"/>
                <w:szCs w:val="21"/>
                <w:highlight w:val="none"/>
              </w:rPr>
            </w:pPr>
            <w:r>
              <w:rPr>
                <w:rFonts w:hint="eastAsia"/>
                <w:color w:val="auto"/>
                <w:sz w:val="21"/>
                <w:szCs w:val="21"/>
                <w:highlight w:val="none"/>
              </w:rPr>
              <w:t>最长授信期限</w:t>
            </w:r>
          </w:p>
        </w:tc>
        <w:tc>
          <w:tcPr>
            <w:tcW w:w="850" w:type="dxa"/>
            <w:vAlign w:val="center"/>
          </w:tcPr>
          <w:p w14:paraId="1E5C96D4">
            <w:pPr>
              <w:pStyle w:val="82"/>
              <w:ind w:firstLine="0"/>
              <w:jc w:val="center"/>
              <w:rPr>
                <w:color w:val="auto"/>
                <w:sz w:val="21"/>
                <w:szCs w:val="21"/>
                <w:highlight w:val="none"/>
              </w:rPr>
            </w:pPr>
            <w:r>
              <w:rPr>
                <w:rFonts w:hint="eastAsia"/>
                <w:color w:val="auto"/>
                <w:sz w:val="21"/>
                <w:szCs w:val="21"/>
                <w:highlight w:val="none"/>
              </w:rPr>
              <w:t>最低利率</w:t>
            </w:r>
          </w:p>
        </w:tc>
        <w:tc>
          <w:tcPr>
            <w:tcW w:w="3366" w:type="dxa"/>
            <w:vAlign w:val="center"/>
          </w:tcPr>
          <w:p w14:paraId="6EECD46F">
            <w:pPr>
              <w:pStyle w:val="82"/>
              <w:ind w:firstLine="0"/>
              <w:jc w:val="center"/>
              <w:rPr>
                <w:color w:val="auto"/>
                <w:sz w:val="21"/>
                <w:szCs w:val="21"/>
                <w:highlight w:val="none"/>
              </w:rPr>
            </w:pPr>
            <w:r>
              <w:rPr>
                <w:rFonts w:hint="eastAsia"/>
                <w:color w:val="auto"/>
                <w:sz w:val="21"/>
                <w:szCs w:val="21"/>
                <w:highlight w:val="none"/>
              </w:rPr>
              <w:t>流程简介</w:t>
            </w:r>
          </w:p>
        </w:tc>
      </w:tr>
      <w:tr w14:paraId="4A29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83477B3">
            <w:pPr>
              <w:pStyle w:val="82"/>
              <w:ind w:firstLine="0"/>
              <w:jc w:val="center"/>
              <w:rPr>
                <w:color w:val="auto"/>
                <w:sz w:val="21"/>
                <w:szCs w:val="21"/>
                <w:highlight w:val="none"/>
              </w:rPr>
            </w:pPr>
            <w:r>
              <w:rPr>
                <w:rFonts w:hint="eastAsia"/>
                <w:color w:val="auto"/>
                <w:sz w:val="21"/>
                <w:szCs w:val="21"/>
                <w:highlight w:val="none"/>
              </w:rPr>
              <w:t>建设银行</w:t>
            </w:r>
          </w:p>
        </w:tc>
        <w:tc>
          <w:tcPr>
            <w:tcW w:w="1134" w:type="dxa"/>
            <w:vAlign w:val="center"/>
          </w:tcPr>
          <w:p w14:paraId="30A6F592">
            <w:pPr>
              <w:pStyle w:val="82"/>
              <w:ind w:firstLine="0"/>
              <w:jc w:val="center"/>
              <w:rPr>
                <w:color w:val="auto"/>
                <w:sz w:val="21"/>
                <w:szCs w:val="21"/>
                <w:highlight w:val="none"/>
              </w:rPr>
            </w:pPr>
            <w:r>
              <w:rPr>
                <w:rFonts w:hint="eastAsia"/>
                <w:color w:val="auto"/>
                <w:sz w:val="21"/>
                <w:szCs w:val="21"/>
                <w:highlight w:val="none"/>
              </w:rPr>
              <w:t>13077729988</w:t>
            </w:r>
          </w:p>
        </w:tc>
        <w:tc>
          <w:tcPr>
            <w:tcW w:w="1701" w:type="dxa"/>
            <w:vAlign w:val="center"/>
          </w:tcPr>
          <w:p w14:paraId="76E14C6C">
            <w:pPr>
              <w:pStyle w:val="82"/>
              <w:ind w:firstLine="0"/>
              <w:rPr>
                <w:color w:val="auto"/>
                <w:sz w:val="21"/>
                <w:szCs w:val="21"/>
                <w:highlight w:val="none"/>
              </w:rPr>
            </w:pPr>
            <w:r>
              <w:rPr>
                <w:rFonts w:hint="eastAsia"/>
                <w:color w:val="auto"/>
                <w:sz w:val="21"/>
                <w:szCs w:val="21"/>
                <w:highlight w:val="none"/>
              </w:rPr>
              <w:t>最高3千万</w:t>
            </w:r>
          </w:p>
        </w:tc>
        <w:tc>
          <w:tcPr>
            <w:tcW w:w="993" w:type="dxa"/>
            <w:vAlign w:val="center"/>
          </w:tcPr>
          <w:p w14:paraId="1F801FBC">
            <w:pPr>
              <w:pStyle w:val="82"/>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1C05B6F7">
            <w:pPr>
              <w:pStyle w:val="82"/>
              <w:ind w:firstLine="0"/>
              <w:jc w:val="center"/>
              <w:rPr>
                <w:color w:val="auto"/>
                <w:sz w:val="21"/>
                <w:szCs w:val="21"/>
                <w:highlight w:val="none"/>
              </w:rPr>
            </w:pPr>
            <w:r>
              <w:rPr>
                <w:rFonts w:hint="eastAsia"/>
                <w:color w:val="auto"/>
                <w:sz w:val="21"/>
                <w:szCs w:val="21"/>
                <w:highlight w:val="none"/>
              </w:rPr>
              <w:t>4%</w:t>
            </w:r>
          </w:p>
        </w:tc>
        <w:tc>
          <w:tcPr>
            <w:tcW w:w="3366" w:type="dxa"/>
            <w:vAlign w:val="center"/>
          </w:tcPr>
          <w:p w14:paraId="21325EB8">
            <w:pPr>
              <w:pStyle w:val="82"/>
              <w:ind w:firstLine="0"/>
              <w:rPr>
                <w:color w:val="auto"/>
                <w:sz w:val="21"/>
                <w:szCs w:val="21"/>
                <w:highlight w:val="none"/>
              </w:rPr>
            </w:pPr>
            <w:r>
              <w:rPr>
                <w:rFonts w:hint="eastAsia"/>
                <w:color w:val="auto"/>
                <w:sz w:val="21"/>
                <w:szCs w:val="21"/>
                <w:highlight w:val="none"/>
              </w:rPr>
              <w:t>开设账号，线下提供申请材料，进入贷款审批流程，贷款审批通过后可自主用款，银行官方网银可自主还款。</w:t>
            </w:r>
          </w:p>
        </w:tc>
      </w:tr>
      <w:tr w14:paraId="0787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3A545C5">
            <w:pPr>
              <w:pStyle w:val="82"/>
              <w:ind w:firstLine="0"/>
              <w:jc w:val="center"/>
              <w:rPr>
                <w:color w:val="auto"/>
                <w:sz w:val="21"/>
                <w:szCs w:val="21"/>
                <w:highlight w:val="none"/>
              </w:rPr>
            </w:pPr>
            <w:r>
              <w:rPr>
                <w:rFonts w:hint="eastAsia"/>
                <w:color w:val="auto"/>
                <w:sz w:val="21"/>
                <w:szCs w:val="21"/>
                <w:highlight w:val="none"/>
              </w:rPr>
              <w:t>中国银行</w:t>
            </w:r>
          </w:p>
        </w:tc>
        <w:tc>
          <w:tcPr>
            <w:tcW w:w="1134" w:type="dxa"/>
            <w:vAlign w:val="center"/>
          </w:tcPr>
          <w:p w14:paraId="007E28AF">
            <w:pPr>
              <w:pStyle w:val="82"/>
              <w:ind w:firstLine="0"/>
              <w:jc w:val="center"/>
              <w:rPr>
                <w:color w:val="auto"/>
                <w:sz w:val="21"/>
                <w:szCs w:val="21"/>
                <w:highlight w:val="none"/>
              </w:rPr>
            </w:pPr>
            <w:r>
              <w:rPr>
                <w:rFonts w:hint="eastAsia"/>
                <w:color w:val="auto"/>
                <w:sz w:val="21"/>
                <w:szCs w:val="21"/>
                <w:highlight w:val="none"/>
              </w:rPr>
              <w:t>0779-3997084</w:t>
            </w:r>
          </w:p>
        </w:tc>
        <w:tc>
          <w:tcPr>
            <w:tcW w:w="1701" w:type="dxa"/>
            <w:vAlign w:val="center"/>
          </w:tcPr>
          <w:p w14:paraId="2592C04C">
            <w:pPr>
              <w:pStyle w:val="82"/>
              <w:ind w:firstLine="0"/>
              <w:rPr>
                <w:color w:val="auto"/>
                <w:sz w:val="21"/>
                <w:szCs w:val="21"/>
                <w:highlight w:val="none"/>
              </w:rPr>
            </w:pPr>
            <w:r>
              <w:rPr>
                <w:rFonts w:hint="eastAsia"/>
                <w:color w:val="auto"/>
                <w:sz w:val="21"/>
                <w:szCs w:val="21"/>
                <w:highlight w:val="none"/>
              </w:rPr>
              <w:t>最高1千万</w:t>
            </w:r>
          </w:p>
        </w:tc>
        <w:tc>
          <w:tcPr>
            <w:tcW w:w="993" w:type="dxa"/>
            <w:vAlign w:val="center"/>
          </w:tcPr>
          <w:p w14:paraId="12CC7266">
            <w:pPr>
              <w:pStyle w:val="82"/>
              <w:ind w:firstLine="0"/>
              <w:jc w:val="center"/>
              <w:rPr>
                <w:color w:val="auto"/>
                <w:sz w:val="21"/>
                <w:szCs w:val="21"/>
                <w:highlight w:val="none"/>
              </w:rPr>
            </w:pPr>
            <w:r>
              <w:rPr>
                <w:rFonts w:hint="eastAsia"/>
                <w:color w:val="auto"/>
                <w:sz w:val="21"/>
                <w:szCs w:val="21"/>
                <w:highlight w:val="none"/>
              </w:rPr>
              <w:t>3年</w:t>
            </w:r>
          </w:p>
        </w:tc>
        <w:tc>
          <w:tcPr>
            <w:tcW w:w="850" w:type="dxa"/>
            <w:vAlign w:val="center"/>
          </w:tcPr>
          <w:p w14:paraId="7568A548">
            <w:pPr>
              <w:pStyle w:val="82"/>
              <w:ind w:firstLine="0"/>
              <w:jc w:val="center"/>
              <w:rPr>
                <w:color w:val="auto"/>
                <w:sz w:val="21"/>
                <w:szCs w:val="21"/>
                <w:highlight w:val="none"/>
              </w:rPr>
            </w:pPr>
            <w:r>
              <w:rPr>
                <w:rFonts w:hint="eastAsia"/>
                <w:color w:val="auto"/>
                <w:sz w:val="21"/>
                <w:szCs w:val="21"/>
                <w:highlight w:val="none"/>
              </w:rPr>
              <w:t>1.93%</w:t>
            </w:r>
          </w:p>
        </w:tc>
        <w:tc>
          <w:tcPr>
            <w:tcW w:w="3366" w:type="dxa"/>
            <w:vAlign w:val="center"/>
          </w:tcPr>
          <w:p w14:paraId="7ABBAF55">
            <w:pPr>
              <w:pStyle w:val="82"/>
              <w:ind w:firstLine="0"/>
              <w:rPr>
                <w:color w:val="auto"/>
                <w:sz w:val="21"/>
                <w:szCs w:val="21"/>
                <w:highlight w:val="none"/>
              </w:rPr>
            </w:pPr>
            <w:r>
              <w:rPr>
                <w:rFonts w:hint="eastAsia"/>
                <w:color w:val="auto"/>
                <w:sz w:val="21"/>
                <w:szCs w:val="21"/>
                <w:highlight w:val="none"/>
              </w:rPr>
              <w:t>在银行开户，线上申请，上传所需材料，等待审批，审批通过后可直接在手机银行提款。</w:t>
            </w:r>
          </w:p>
        </w:tc>
      </w:tr>
      <w:tr w14:paraId="7D9D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044F3E0">
            <w:pPr>
              <w:pStyle w:val="82"/>
              <w:ind w:firstLine="0"/>
              <w:jc w:val="center"/>
              <w:rPr>
                <w:color w:val="auto"/>
                <w:sz w:val="21"/>
                <w:szCs w:val="21"/>
                <w:highlight w:val="none"/>
              </w:rPr>
            </w:pPr>
            <w:r>
              <w:rPr>
                <w:rFonts w:hint="eastAsia"/>
                <w:color w:val="auto"/>
                <w:sz w:val="21"/>
                <w:szCs w:val="21"/>
                <w:highlight w:val="none"/>
              </w:rPr>
              <w:t>兴业银行</w:t>
            </w:r>
          </w:p>
        </w:tc>
        <w:tc>
          <w:tcPr>
            <w:tcW w:w="1134" w:type="dxa"/>
            <w:vAlign w:val="center"/>
          </w:tcPr>
          <w:p w14:paraId="77FAB1D8">
            <w:pPr>
              <w:pStyle w:val="82"/>
              <w:ind w:firstLine="0"/>
              <w:jc w:val="center"/>
              <w:rPr>
                <w:color w:val="auto"/>
                <w:sz w:val="21"/>
                <w:szCs w:val="21"/>
                <w:highlight w:val="none"/>
              </w:rPr>
            </w:pPr>
            <w:r>
              <w:rPr>
                <w:rFonts w:hint="eastAsia"/>
                <w:color w:val="auto"/>
                <w:sz w:val="21"/>
                <w:szCs w:val="21"/>
                <w:highlight w:val="none"/>
              </w:rPr>
              <w:t>0779-3158330</w:t>
            </w:r>
          </w:p>
        </w:tc>
        <w:tc>
          <w:tcPr>
            <w:tcW w:w="1701" w:type="dxa"/>
            <w:vAlign w:val="center"/>
          </w:tcPr>
          <w:p w14:paraId="4DE8D84D">
            <w:pPr>
              <w:pStyle w:val="82"/>
              <w:ind w:firstLine="0"/>
              <w:rPr>
                <w:color w:val="auto"/>
                <w:sz w:val="21"/>
                <w:szCs w:val="21"/>
                <w:highlight w:val="none"/>
              </w:rPr>
            </w:pPr>
            <w:r>
              <w:rPr>
                <w:rFonts w:hint="eastAsia"/>
                <w:color w:val="auto"/>
                <w:sz w:val="21"/>
                <w:szCs w:val="21"/>
                <w:highlight w:val="none"/>
              </w:rPr>
              <w:t>最高1千万（单笔提款金额达合同金额70%）</w:t>
            </w:r>
          </w:p>
        </w:tc>
        <w:tc>
          <w:tcPr>
            <w:tcW w:w="993" w:type="dxa"/>
            <w:vAlign w:val="center"/>
          </w:tcPr>
          <w:p w14:paraId="1DCFB16F">
            <w:pPr>
              <w:pStyle w:val="82"/>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22067435">
            <w:pPr>
              <w:pStyle w:val="82"/>
              <w:ind w:firstLine="0"/>
              <w:jc w:val="center"/>
              <w:rPr>
                <w:color w:val="auto"/>
                <w:sz w:val="21"/>
                <w:szCs w:val="21"/>
                <w:highlight w:val="none"/>
              </w:rPr>
            </w:pPr>
            <w:r>
              <w:rPr>
                <w:rFonts w:hint="eastAsia"/>
                <w:color w:val="auto"/>
                <w:sz w:val="21"/>
                <w:szCs w:val="21"/>
                <w:highlight w:val="none"/>
              </w:rPr>
              <w:t>3.70%</w:t>
            </w:r>
          </w:p>
        </w:tc>
        <w:tc>
          <w:tcPr>
            <w:tcW w:w="3366" w:type="dxa"/>
            <w:vAlign w:val="center"/>
          </w:tcPr>
          <w:p w14:paraId="2E9FEBDD">
            <w:pPr>
              <w:pStyle w:val="82"/>
              <w:ind w:firstLine="0"/>
              <w:rPr>
                <w:color w:val="auto"/>
                <w:sz w:val="21"/>
                <w:szCs w:val="21"/>
                <w:highlight w:val="none"/>
              </w:rPr>
            </w:pPr>
            <w:r>
              <w:rPr>
                <w:rFonts w:hint="eastAsia"/>
                <w:color w:val="auto"/>
                <w:sz w:val="21"/>
                <w:szCs w:val="21"/>
                <w:highlight w:val="none"/>
              </w:rPr>
              <w:t>全流程线上，初次申请开立账户，提供营业执照、采购合同、信用材料等，申请复审，签订合同，提交单笔贷款使用需求，贷款到账后受托使用。</w:t>
            </w:r>
          </w:p>
        </w:tc>
      </w:tr>
      <w:tr w14:paraId="13DD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BC414D4">
            <w:pPr>
              <w:pStyle w:val="82"/>
              <w:ind w:firstLine="0"/>
              <w:jc w:val="center"/>
              <w:rPr>
                <w:color w:val="auto"/>
                <w:sz w:val="21"/>
                <w:szCs w:val="21"/>
                <w:highlight w:val="none"/>
              </w:rPr>
            </w:pPr>
            <w:r>
              <w:rPr>
                <w:rFonts w:hint="eastAsia"/>
                <w:color w:val="auto"/>
                <w:sz w:val="21"/>
                <w:szCs w:val="21"/>
                <w:highlight w:val="none"/>
              </w:rPr>
              <w:t>工商银行</w:t>
            </w:r>
          </w:p>
        </w:tc>
        <w:tc>
          <w:tcPr>
            <w:tcW w:w="1134" w:type="dxa"/>
            <w:vAlign w:val="center"/>
          </w:tcPr>
          <w:p w14:paraId="243F9CC6">
            <w:pPr>
              <w:pStyle w:val="82"/>
              <w:ind w:firstLine="0"/>
              <w:jc w:val="center"/>
              <w:rPr>
                <w:color w:val="auto"/>
                <w:sz w:val="21"/>
                <w:szCs w:val="21"/>
                <w:highlight w:val="none"/>
              </w:rPr>
            </w:pPr>
            <w:r>
              <w:rPr>
                <w:rFonts w:hint="eastAsia"/>
                <w:color w:val="auto"/>
                <w:sz w:val="21"/>
                <w:szCs w:val="21"/>
                <w:highlight w:val="none"/>
              </w:rPr>
              <w:t>0779-3050645</w:t>
            </w:r>
          </w:p>
        </w:tc>
        <w:tc>
          <w:tcPr>
            <w:tcW w:w="1701" w:type="dxa"/>
            <w:vAlign w:val="center"/>
          </w:tcPr>
          <w:p w14:paraId="48DE8F65">
            <w:pPr>
              <w:pStyle w:val="82"/>
              <w:ind w:firstLine="0"/>
              <w:rPr>
                <w:color w:val="auto"/>
                <w:sz w:val="21"/>
                <w:szCs w:val="21"/>
                <w:highlight w:val="none"/>
              </w:rPr>
            </w:pPr>
            <w:r>
              <w:rPr>
                <w:rFonts w:hint="eastAsia"/>
                <w:color w:val="auto"/>
                <w:sz w:val="21"/>
                <w:szCs w:val="21"/>
                <w:highlight w:val="none"/>
              </w:rPr>
              <w:t>最高1千万且不超过合同金额70%</w:t>
            </w:r>
          </w:p>
        </w:tc>
        <w:tc>
          <w:tcPr>
            <w:tcW w:w="993" w:type="dxa"/>
            <w:vAlign w:val="center"/>
          </w:tcPr>
          <w:p w14:paraId="4C720184">
            <w:pPr>
              <w:pStyle w:val="82"/>
              <w:ind w:firstLine="0"/>
              <w:jc w:val="center"/>
              <w:rPr>
                <w:color w:val="auto"/>
                <w:sz w:val="21"/>
                <w:szCs w:val="21"/>
                <w:highlight w:val="none"/>
              </w:rPr>
            </w:pPr>
            <w:r>
              <w:rPr>
                <w:rFonts w:hint="eastAsia"/>
                <w:color w:val="auto"/>
                <w:sz w:val="21"/>
                <w:szCs w:val="21"/>
                <w:highlight w:val="none"/>
              </w:rPr>
              <w:t>货物类1年</w:t>
            </w:r>
          </w:p>
          <w:p w14:paraId="379DDDBC">
            <w:pPr>
              <w:pStyle w:val="82"/>
              <w:ind w:firstLine="0"/>
              <w:jc w:val="center"/>
              <w:rPr>
                <w:color w:val="auto"/>
                <w:sz w:val="21"/>
                <w:szCs w:val="21"/>
                <w:highlight w:val="none"/>
              </w:rPr>
            </w:pPr>
            <w:r>
              <w:rPr>
                <w:rFonts w:hint="eastAsia"/>
                <w:color w:val="auto"/>
                <w:sz w:val="21"/>
                <w:szCs w:val="21"/>
                <w:highlight w:val="none"/>
              </w:rPr>
              <w:t>服务类3年</w:t>
            </w:r>
          </w:p>
          <w:p w14:paraId="40B97F3E">
            <w:pPr>
              <w:pStyle w:val="82"/>
              <w:ind w:firstLine="0"/>
              <w:jc w:val="center"/>
              <w:rPr>
                <w:color w:val="auto"/>
                <w:sz w:val="21"/>
                <w:szCs w:val="21"/>
                <w:highlight w:val="none"/>
              </w:rPr>
            </w:pPr>
            <w:r>
              <w:rPr>
                <w:rFonts w:hint="eastAsia"/>
                <w:color w:val="auto"/>
                <w:sz w:val="21"/>
                <w:szCs w:val="21"/>
                <w:highlight w:val="none"/>
              </w:rPr>
              <w:t>工程类5年</w:t>
            </w:r>
          </w:p>
        </w:tc>
        <w:tc>
          <w:tcPr>
            <w:tcW w:w="850" w:type="dxa"/>
            <w:vAlign w:val="center"/>
          </w:tcPr>
          <w:p w14:paraId="03286DF8">
            <w:pPr>
              <w:pStyle w:val="82"/>
              <w:ind w:firstLine="0"/>
              <w:jc w:val="center"/>
              <w:rPr>
                <w:color w:val="auto"/>
                <w:sz w:val="21"/>
                <w:szCs w:val="21"/>
                <w:highlight w:val="none"/>
              </w:rPr>
            </w:pPr>
            <w:r>
              <w:rPr>
                <w:rFonts w:hint="eastAsia"/>
                <w:color w:val="auto"/>
                <w:sz w:val="21"/>
                <w:szCs w:val="21"/>
                <w:highlight w:val="none"/>
              </w:rPr>
              <w:t>3.45%</w:t>
            </w:r>
          </w:p>
        </w:tc>
        <w:tc>
          <w:tcPr>
            <w:tcW w:w="3366" w:type="dxa"/>
            <w:vAlign w:val="center"/>
          </w:tcPr>
          <w:p w14:paraId="248FDFB2">
            <w:pPr>
              <w:pStyle w:val="82"/>
              <w:ind w:firstLine="0"/>
              <w:rPr>
                <w:color w:val="auto"/>
                <w:sz w:val="21"/>
                <w:szCs w:val="21"/>
                <w:highlight w:val="none"/>
              </w:rPr>
            </w:pPr>
            <w:r>
              <w:rPr>
                <w:rFonts w:hint="eastAsia"/>
                <w:color w:val="auto"/>
                <w:sz w:val="21"/>
                <w:szCs w:val="21"/>
                <w:highlight w:val="none"/>
              </w:rPr>
              <w:t>为中征系统白名单企业，提供相关要求材料，内部审批后放款自主借还。</w:t>
            </w:r>
          </w:p>
        </w:tc>
      </w:tr>
      <w:tr w14:paraId="1078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2E97195">
            <w:pPr>
              <w:pStyle w:val="82"/>
              <w:ind w:firstLine="0"/>
              <w:jc w:val="center"/>
              <w:rPr>
                <w:color w:val="auto"/>
                <w:sz w:val="21"/>
                <w:szCs w:val="21"/>
                <w:highlight w:val="none"/>
              </w:rPr>
            </w:pPr>
            <w:r>
              <w:rPr>
                <w:rFonts w:hint="eastAsia"/>
                <w:color w:val="auto"/>
                <w:sz w:val="21"/>
                <w:szCs w:val="21"/>
                <w:highlight w:val="none"/>
              </w:rPr>
              <w:t>国民村镇银行</w:t>
            </w:r>
          </w:p>
        </w:tc>
        <w:tc>
          <w:tcPr>
            <w:tcW w:w="1134" w:type="dxa"/>
            <w:vAlign w:val="center"/>
          </w:tcPr>
          <w:p w14:paraId="776392D8">
            <w:pPr>
              <w:pStyle w:val="82"/>
              <w:ind w:firstLine="0"/>
              <w:jc w:val="center"/>
              <w:rPr>
                <w:color w:val="auto"/>
                <w:sz w:val="21"/>
                <w:szCs w:val="21"/>
                <w:highlight w:val="none"/>
              </w:rPr>
            </w:pPr>
            <w:r>
              <w:rPr>
                <w:rFonts w:hint="eastAsia"/>
                <w:color w:val="auto"/>
                <w:sz w:val="21"/>
                <w:szCs w:val="21"/>
                <w:highlight w:val="none"/>
              </w:rPr>
              <w:t>0779-2668801</w:t>
            </w:r>
          </w:p>
        </w:tc>
        <w:tc>
          <w:tcPr>
            <w:tcW w:w="1701" w:type="dxa"/>
            <w:vAlign w:val="center"/>
          </w:tcPr>
          <w:p w14:paraId="4E627103">
            <w:pPr>
              <w:pStyle w:val="82"/>
              <w:ind w:firstLine="0"/>
              <w:rPr>
                <w:color w:val="auto"/>
                <w:sz w:val="21"/>
                <w:szCs w:val="21"/>
                <w:highlight w:val="none"/>
              </w:rPr>
            </w:pPr>
            <w:r>
              <w:rPr>
                <w:rFonts w:hint="eastAsia"/>
                <w:color w:val="auto"/>
                <w:sz w:val="21"/>
                <w:szCs w:val="21"/>
                <w:highlight w:val="none"/>
              </w:rPr>
              <w:t>最高500万</w:t>
            </w:r>
          </w:p>
        </w:tc>
        <w:tc>
          <w:tcPr>
            <w:tcW w:w="993" w:type="dxa"/>
            <w:vAlign w:val="center"/>
          </w:tcPr>
          <w:p w14:paraId="6A684E3D">
            <w:pPr>
              <w:pStyle w:val="82"/>
              <w:ind w:firstLine="0"/>
              <w:jc w:val="center"/>
              <w:rPr>
                <w:color w:val="auto"/>
                <w:sz w:val="21"/>
                <w:szCs w:val="21"/>
                <w:highlight w:val="none"/>
              </w:rPr>
            </w:pPr>
            <w:r>
              <w:rPr>
                <w:rFonts w:hint="eastAsia"/>
                <w:color w:val="auto"/>
                <w:sz w:val="21"/>
                <w:szCs w:val="21"/>
                <w:highlight w:val="none"/>
              </w:rPr>
              <w:t>5年</w:t>
            </w:r>
          </w:p>
        </w:tc>
        <w:tc>
          <w:tcPr>
            <w:tcW w:w="850" w:type="dxa"/>
            <w:vAlign w:val="center"/>
          </w:tcPr>
          <w:p w14:paraId="29699FCE">
            <w:pPr>
              <w:pStyle w:val="82"/>
              <w:ind w:firstLine="0"/>
              <w:jc w:val="center"/>
              <w:rPr>
                <w:color w:val="auto"/>
                <w:sz w:val="21"/>
                <w:szCs w:val="21"/>
                <w:highlight w:val="none"/>
              </w:rPr>
            </w:pPr>
            <w:r>
              <w:rPr>
                <w:rFonts w:hint="eastAsia"/>
                <w:color w:val="auto"/>
                <w:sz w:val="21"/>
                <w:szCs w:val="21"/>
                <w:highlight w:val="none"/>
              </w:rPr>
              <w:t>2.80%</w:t>
            </w:r>
          </w:p>
        </w:tc>
        <w:tc>
          <w:tcPr>
            <w:tcW w:w="3366" w:type="dxa"/>
            <w:vAlign w:val="center"/>
          </w:tcPr>
          <w:p w14:paraId="0CAF6B32">
            <w:pPr>
              <w:pStyle w:val="82"/>
              <w:ind w:firstLine="0"/>
              <w:rPr>
                <w:color w:val="auto"/>
                <w:sz w:val="21"/>
                <w:szCs w:val="21"/>
                <w:highlight w:val="none"/>
              </w:rPr>
            </w:pPr>
            <w:r>
              <w:rPr>
                <w:rFonts w:hint="eastAsia"/>
                <w:color w:val="auto"/>
                <w:sz w:val="21"/>
                <w:szCs w:val="21"/>
                <w:highlight w:val="none"/>
              </w:rPr>
              <w:t>银行开户，线下申请并提供材料，信用良好企业最快1天获批即可提款</w:t>
            </w:r>
          </w:p>
        </w:tc>
      </w:tr>
      <w:tr w14:paraId="13A7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8A9F03C">
            <w:pPr>
              <w:pStyle w:val="82"/>
              <w:ind w:firstLine="0"/>
              <w:jc w:val="center"/>
              <w:rPr>
                <w:color w:val="auto"/>
                <w:sz w:val="21"/>
                <w:szCs w:val="21"/>
                <w:highlight w:val="none"/>
              </w:rPr>
            </w:pPr>
            <w:r>
              <w:rPr>
                <w:rFonts w:hint="eastAsia"/>
                <w:color w:val="auto"/>
                <w:sz w:val="21"/>
                <w:szCs w:val="21"/>
                <w:highlight w:val="none"/>
              </w:rPr>
              <w:t>桂林银行</w:t>
            </w:r>
          </w:p>
        </w:tc>
        <w:tc>
          <w:tcPr>
            <w:tcW w:w="1134" w:type="dxa"/>
            <w:vAlign w:val="center"/>
          </w:tcPr>
          <w:p w14:paraId="3E1978D6">
            <w:pPr>
              <w:pStyle w:val="82"/>
              <w:ind w:firstLine="0"/>
              <w:jc w:val="center"/>
              <w:rPr>
                <w:color w:val="auto"/>
                <w:sz w:val="21"/>
                <w:szCs w:val="21"/>
                <w:highlight w:val="none"/>
              </w:rPr>
            </w:pPr>
            <w:r>
              <w:rPr>
                <w:rFonts w:hint="eastAsia"/>
                <w:color w:val="auto"/>
                <w:sz w:val="21"/>
                <w:szCs w:val="21"/>
                <w:highlight w:val="none"/>
              </w:rPr>
              <w:t>18577993959</w:t>
            </w:r>
          </w:p>
        </w:tc>
        <w:tc>
          <w:tcPr>
            <w:tcW w:w="1701" w:type="dxa"/>
            <w:vAlign w:val="center"/>
          </w:tcPr>
          <w:p w14:paraId="7EC98612">
            <w:pPr>
              <w:pStyle w:val="82"/>
              <w:ind w:firstLine="0"/>
              <w:rPr>
                <w:color w:val="auto"/>
                <w:sz w:val="21"/>
                <w:szCs w:val="21"/>
                <w:highlight w:val="none"/>
              </w:rPr>
            </w:pPr>
            <w:r>
              <w:rPr>
                <w:rFonts w:hint="eastAsia"/>
                <w:color w:val="auto"/>
                <w:sz w:val="21"/>
                <w:szCs w:val="21"/>
                <w:highlight w:val="none"/>
              </w:rPr>
              <w:t>最高1千万</w:t>
            </w:r>
          </w:p>
        </w:tc>
        <w:tc>
          <w:tcPr>
            <w:tcW w:w="993" w:type="dxa"/>
            <w:vAlign w:val="center"/>
          </w:tcPr>
          <w:p w14:paraId="15AFE1F5">
            <w:pPr>
              <w:pStyle w:val="82"/>
              <w:ind w:firstLine="0"/>
              <w:jc w:val="center"/>
              <w:rPr>
                <w:color w:val="auto"/>
                <w:sz w:val="21"/>
                <w:szCs w:val="21"/>
                <w:highlight w:val="none"/>
              </w:rPr>
            </w:pPr>
            <w:r>
              <w:rPr>
                <w:rFonts w:hint="eastAsia"/>
                <w:color w:val="auto"/>
                <w:sz w:val="21"/>
                <w:szCs w:val="21"/>
                <w:highlight w:val="none"/>
              </w:rPr>
              <w:t>1年</w:t>
            </w:r>
          </w:p>
        </w:tc>
        <w:tc>
          <w:tcPr>
            <w:tcW w:w="850" w:type="dxa"/>
            <w:vAlign w:val="center"/>
          </w:tcPr>
          <w:p w14:paraId="0841F051">
            <w:pPr>
              <w:pStyle w:val="82"/>
              <w:ind w:firstLine="0"/>
              <w:jc w:val="center"/>
              <w:rPr>
                <w:color w:val="auto"/>
                <w:sz w:val="21"/>
                <w:szCs w:val="21"/>
                <w:highlight w:val="none"/>
              </w:rPr>
            </w:pPr>
            <w:r>
              <w:rPr>
                <w:rFonts w:hint="eastAsia"/>
                <w:color w:val="auto"/>
                <w:sz w:val="21"/>
                <w:szCs w:val="21"/>
                <w:highlight w:val="none"/>
              </w:rPr>
              <w:t>3.45%</w:t>
            </w:r>
          </w:p>
        </w:tc>
        <w:tc>
          <w:tcPr>
            <w:tcW w:w="3366" w:type="dxa"/>
            <w:vAlign w:val="center"/>
          </w:tcPr>
          <w:p w14:paraId="48B8C854">
            <w:pPr>
              <w:pStyle w:val="82"/>
              <w:ind w:firstLine="0"/>
              <w:rPr>
                <w:color w:val="auto"/>
                <w:sz w:val="21"/>
                <w:szCs w:val="21"/>
                <w:highlight w:val="none"/>
              </w:rPr>
            </w:pPr>
            <w:r>
              <w:rPr>
                <w:rFonts w:hint="eastAsia"/>
                <w:color w:val="auto"/>
                <w:sz w:val="21"/>
                <w:szCs w:val="21"/>
                <w:highlight w:val="none"/>
              </w:rPr>
              <w:t>线下申请，材料齐全最快1周内即可放款。</w:t>
            </w:r>
          </w:p>
        </w:tc>
      </w:tr>
      <w:tr w14:paraId="415A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6213908">
            <w:pPr>
              <w:pStyle w:val="82"/>
              <w:ind w:firstLine="0"/>
              <w:jc w:val="center"/>
              <w:rPr>
                <w:color w:val="auto"/>
                <w:sz w:val="21"/>
                <w:szCs w:val="21"/>
                <w:highlight w:val="none"/>
              </w:rPr>
            </w:pPr>
            <w:r>
              <w:rPr>
                <w:rFonts w:hint="eastAsia"/>
                <w:color w:val="auto"/>
                <w:sz w:val="21"/>
                <w:szCs w:val="21"/>
                <w:highlight w:val="none"/>
              </w:rPr>
              <w:t>中小微商务服务公司</w:t>
            </w:r>
          </w:p>
        </w:tc>
        <w:tc>
          <w:tcPr>
            <w:tcW w:w="1134" w:type="dxa"/>
            <w:vAlign w:val="center"/>
          </w:tcPr>
          <w:p w14:paraId="60713CC7">
            <w:pPr>
              <w:pStyle w:val="82"/>
              <w:ind w:firstLine="0"/>
              <w:jc w:val="center"/>
              <w:rPr>
                <w:color w:val="auto"/>
                <w:sz w:val="21"/>
                <w:szCs w:val="21"/>
                <w:highlight w:val="none"/>
              </w:rPr>
            </w:pPr>
            <w:r>
              <w:rPr>
                <w:rFonts w:hint="eastAsia"/>
                <w:color w:val="auto"/>
                <w:sz w:val="21"/>
                <w:szCs w:val="21"/>
                <w:highlight w:val="none"/>
              </w:rPr>
              <w:t>19907799988</w:t>
            </w:r>
          </w:p>
        </w:tc>
        <w:tc>
          <w:tcPr>
            <w:tcW w:w="1701" w:type="dxa"/>
            <w:vAlign w:val="center"/>
          </w:tcPr>
          <w:p w14:paraId="3F5E003A">
            <w:pPr>
              <w:pStyle w:val="82"/>
              <w:ind w:firstLine="0"/>
              <w:rPr>
                <w:color w:val="auto"/>
                <w:sz w:val="21"/>
                <w:szCs w:val="21"/>
                <w:highlight w:val="none"/>
              </w:rPr>
            </w:pPr>
          </w:p>
        </w:tc>
        <w:tc>
          <w:tcPr>
            <w:tcW w:w="993" w:type="dxa"/>
            <w:vAlign w:val="center"/>
          </w:tcPr>
          <w:p w14:paraId="5A95633F">
            <w:pPr>
              <w:pStyle w:val="82"/>
              <w:ind w:firstLine="0"/>
              <w:jc w:val="center"/>
              <w:rPr>
                <w:color w:val="auto"/>
                <w:sz w:val="21"/>
                <w:szCs w:val="21"/>
                <w:highlight w:val="none"/>
              </w:rPr>
            </w:pPr>
          </w:p>
        </w:tc>
        <w:tc>
          <w:tcPr>
            <w:tcW w:w="850" w:type="dxa"/>
            <w:vAlign w:val="center"/>
          </w:tcPr>
          <w:p w14:paraId="6E9DBD96">
            <w:pPr>
              <w:pStyle w:val="82"/>
              <w:ind w:firstLine="0"/>
              <w:jc w:val="center"/>
              <w:rPr>
                <w:color w:val="auto"/>
                <w:sz w:val="21"/>
                <w:szCs w:val="21"/>
                <w:highlight w:val="none"/>
              </w:rPr>
            </w:pPr>
          </w:p>
        </w:tc>
        <w:tc>
          <w:tcPr>
            <w:tcW w:w="3366" w:type="dxa"/>
            <w:vAlign w:val="center"/>
          </w:tcPr>
          <w:p w14:paraId="7C655363">
            <w:pPr>
              <w:pStyle w:val="82"/>
              <w:ind w:firstLine="0"/>
              <w:rPr>
                <w:color w:val="auto"/>
                <w:sz w:val="21"/>
                <w:szCs w:val="21"/>
                <w:highlight w:val="none"/>
              </w:rPr>
            </w:pPr>
            <w:r>
              <w:rPr>
                <w:rFonts w:hint="eastAsia"/>
                <w:color w:val="auto"/>
                <w:sz w:val="21"/>
                <w:szCs w:val="21"/>
                <w:highlight w:val="none"/>
              </w:rPr>
              <w:t>具体业务可电话咨询。</w:t>
            </w:r>
          </w:p>
        </w:tc>
      </w:tr>
    </w:tbl>
    <w:p w14:paraId="61862FC0">
      <w:pPr>
        <w:pStyle w:val="82"/>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2BBF7E1F">
      <w:pPr>
        <w:pStyle w:val="24"/>
        <w:spacing w:line="360" w:lineRule="auto"/>
        <w:ind w:left="479" w:hanging="479" w:hangingChars="199"/>
        <w:outlineLvl w:val="4"/>
        <w:rPr>
          <w:rFonts w:cs="宋体"/>
          <w:b/>
          <w:color w:val="auto"/>
          <w:highlight w:val="none"/>
        </w:rPr>
      </w:pPr>
      <w:r>
        <w:rPr>
          <w:rFonts w:hint="eastAsia" w:cs="宋体"/>
          <w:b/>
          <w:color w:val="auto"/>
          <w:highlight w:val="none"/>
        </w:rPr>
        <w:t>26. 履约保证金</w:t>
      </w:r>
    </w:p>
    <w:p w14:paraId="5287600F">
      <w:pPr>
        <w:pStyle w:val="24"/>
        <w:spacing w:line="360" w:lineRule="auto"/>
        <w:ind w:left="315" w:leftChars="150" w:firstLine="120" w:firstLineChars="50"/>
        <w:rPr>
          <w:rFonts w:cs="宋体"/>
          <w:color w:val="auto"/>
          <w:highlight w:val="none"/>
        </w:rPr>
      </w:pPr>
      <w:r>
        <w:rPr>
          <w:rFonts w:cs="宋体"/>
          <w:color w:val="auto"/>
          <w:kern w:val="28"/>
          <w:highlight w:val="none"/>
        </w:rPr>
        <w:t>本项目不收取</w:t>
      </w:r>
      <w:r>
        <w:rPr>
          <w:rFonts w:hint="eastAsia" w:cs="宋体"/>
          <w:color w:val="auto"/>
          <w:kern w:val="28"/>
          <w:highlight w:val="none"/>
        </w:rPr>
        <w:t>。</w:t>
      </w:r>
    </w:p>
    <w:p w14:paraId="4F5274F9">
      <w:pPr>
        <w:pStyle w:val="24"/>
        <w:spacing w:line="360" w:lineRule="auto"/>
        <w:ind w:left="479" w:hanging="479" w:hangingChars="199"/>
        <w:rPr>
          <w:rFonts w:cs="宋体"/>
          <w:b/>
          <w:color w:val="auto"/>
          <w:highlight w:val="none"/>
        </w:rPr>
      </w:pPr>
    </w:p>
    <w:p w14:paraId="22831A22">
      <w:pPr>
        <w:pStyle w:val="24"/>
        <w:spacing w:line="360" w:lineRule="auto"/>
        <w:ind w:left="479" w:hanging="479" w:hangingChars="199"/>
        <w:outlineLvl w:val="4"/>
        <w:rPr>
          <w:rFonts w:cs="宋体"/>
          <w:b/>
          <w:color w:val="auto"/>
          <w:highlight w:val="none"/>
        </w:rPr>
      </w:pPr>
      <w:r>
        <w:rPr>
          <w:rFonts w:cs="宋体"/>
          <w:b/>
          <w:color w:val="auto"/>
          <w:highlight w:val="none"/>
        </w:rPr>
        <w:t>27.预付款</w:t>
      </w:r>
    </w:p>
    <w:p w14:paraId="433B0D06">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详见第三部分 采购需求。</w:t>
      </w:r>
    </w:p>
    <w:p w14:paraId="607558DB">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50DEE29F">
      <w:pPr>
        <w:snapToGrid w:val="0"/>
        <w:spacing w:line="360" w:lineRule="auto"/>
        <w:ind w:firstLine="3357" w:firstLineChars="1045"/>
        <w:rPr>
          <w:rFonts w:ascii="宋体" w:hAnsi="宋体" w:cs="宋体"/>
          <w:b/>
          <w:color w:val="auto"/>
          <w:sz w:val="32"/>
          <w:highlight w:val="none"/>
        </w:rPr>
      </w:pPr>
    </w:p>
    <w:p w14:paraId="246F8DDA">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A63BCFB">
      <w:pPr>
        <w:pStyle w:val="128"/>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3F8150D">
      <w:pPr>
        <w:pStyle w:val="128"/>
        <w:snapToGrid w:val="0"/>
        <w:spacing w:before="0"/>
        <w:ind w:firstLine="480"/>
        <w:outlineLvl w:val="2"/>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2F8929C">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CA46B3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D16C32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C5CBD1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7B324FF">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542EA1">
      <w:pPr>
        <w:tabs>
          <w:tab w:val="left" w:pos="0"/>
        </w:tabs>
        <w:spacing w:line="360" w:lineRule="auto"/>
        <w:ind w:firstLine="480"/>
        <w:rPr>
          <w:rFonts w:ascii="宋体" w:hAnsi="宋体" w:cs="宋体"/>
          <w:color w:val="auto"/>
          <w:sz w:val="24"/>
          <w:highlight w:val="none"/>
        </w:rPr>
      </w:pPr>
    </w:p>
    <w:p w14:paraId="7C126B86">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4723DA57">
      <w:pPr>
        <w:pStyle w:val="24"/>
        <w:spacing w:line="360" w:lineRule="auto"/>
        <w:ind w:firstLine="0" w:firstLineChars="0"/>
        <w:outlineLvl w:val="2"/>
        <w:rPr>
          <w:rFonts w:cs="宋体"/>
          <w:b/>
          <w:color w:val="auto"/>
          <w:highlight w:val="none"/>
        </w:rPr>
      </w:pPr>
      <w:r>
        <w:rPr>
          <w:rFonts w:hint="eastAsia" w:cs="宋体"/>
          <w:b/>
          <w:color w:val="auto"/>
          <w:highlight w:val="none"/>
        </w:rPr>
        <w:t>30.验收</w:t>
      </w:r>
    </w:p>
    <w:p w14:paraId="78FE2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8A682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0A653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5E096">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2"/>
    <w:p w14:paraId="57B49950">
      <w:pPr>
        <w:tabs>
          <w:tab w:val="left" w:pos="0"/>
        </w:tabs>
        <w:spacing w:line="360" w:lineRule="auto"/>
        <w:ind w:firstLine="480"/>
        <w:rPr>
          <w:rFonts w:ascii="宋体" w:hAnsi="宋体" w:cs="宋体"/>
          <w:color w:val="auto"/>
          <w:kern w:val="0"/>
          <w:sz w:val="24"/>
          <w:highlight w:val="none"/>
        </w:rPr>
      </w:pPr>
      <w:bookmarkStart w:id="43" w:name="_Hlt68072998"/>
      <w:bookmarkEnd w:id="43"/>
      <w:bookmarkStart w:id="44" w:name="_Hlt75236011"/>
      <w:bookmarkEnd w:id="44"/>
      <w:bookmarkStart w:id="45" w:name="_Hlt68073093"/>
      <w:bookmarkEnd w:id="45"/>
      <w:bookmarkStart w:id="46" w:name="_Hlt75236101"/>
      <w:bookmarkEnd w:id="46"/>
      <w:bookmarkStart w:id="47" w:name="_Hlt74714665"/>
      <w:bookmarkEnd w:id="47"/>
      <w:bookmarkStart w:id="48" w:name="_Hlt68403820"/>
      <w:bookmarkEnd w:id="48"/>
      <w:bookmarkStart w:id="49" w:name="_Hlt68072990"/>
      <w:bookmarkEnd w:id="49"/>
      <w:bookmarkStart w:id="50" w:name="_Hlt74729768"/>
      <w:bookmarkEnd w:id="50"/>
      <w:bookmarkStart w:id="51" w:name="_Hlt74730295"/>
      <w:bookmarkEnd w:id="51"/>
      <w:bookmarkStart w:id="52" w:name="_Hlt75236290"/>
      <w:bookmarkEnd w:id="52"/>
      <w:bookmarkStart w:id="53" w:name="_Hlt68057669"/>
      <w:bookmarkEnd w:id="53"/>
      <w:bookmarkStart w:id="54" w:name="_Hlt74707468"/>
      <w:bookmarkEnd w:id="54"/>
    </w:p>
    <w:bookmarkEnd w:id="37"/>
    <w:bookmarkEnd w:id="38"/>
    <w:p w14:paraId="615726C0">
      <w:pPr>
        <w:spacing w:line="360" w:lineRule="auto"/>
        <w:jc w:val="center"/>
        <w:rPr>
          <w:rFonts w:ascii="宋体" w:hAnsi="宋体" w:cs="宋体"/>
          <w:b/>
          <w:color w:val="auto"/>
          <w:sz w:val="32"/>
          <w:highlight w:val="none"/>
        </w:rPr>
      </w:pPr>
      <w:bookmarkStart w:id="55" w:name="_Toc176343850"/>
      <w:bookmarkStart w:id="56" w:name="_Toc176185121"/>
      <w:bookmarkStart w:id="57" w:name="第四部分"/>
    </w:p>
    <w:p w14:paraId="74804D6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A07D333">
      <w:pPr>
        <w:spacing w:line="360" w:lineRule="auto"/>
        <w:jc w:val="center"/>
        <w:outlineLvl w:val="0"/>
        <w:rPr>
          <w:rFonts w:hint="eastAsia" w:ascii="宋体" w:hAnsi="宋体" w:eastAsia="宋体" w:cs="宋体"/>
          <w:b/>
          <w:color w:val="auto"/>
          <w:sz w:val="36"/>
          <w:szCs w:val="36"/>
          <w:highlight w:val="none"/>
          <w:lang w:eastAsia="zh-CN"/>
        </w:rPr>
      </w:pPr>
      <w:bookmarkStart w:id="58" w:name="_Toc7196"/>
      <w:bookmarkStart w:id="59" w:name="_Toc15755"/>
      <w:bookmarkStart w:id="60" w:name="_Toc32671"/>
      <w:bookmarkStart w:id="61" w:name="_Toc383"/>
      <w:bookmarkStart w:id="62" w:name="_Toc30769"/>
      <w:r>
        <w:rPr>
          <w:rFonts w:hint="eastAsia" w:ascii="宋体" w:hAnsi="宋体" w:cs="宋体"/>
          <w:b/>
          <w:color w:val="auto"/>
          <w:sz w:val="36"/>
          <w:szCs w:val="36"/>
          <w:highlight w:val="none"/>
        </w:rPr>
        <w:t>第三部分  采购需求</w:t>
      </w:r>
      <w:bookmarkEnd w:id="55"/>
      <w:bookmarkEnd w:id="56"/>
      <w:bookmarkEnd w:id="58"/>
      <w:bookmarkEnd w:id="59"/>
      <w:bookmarkEnd w:id="60"/>
      <w:bookmarkEnd w:id="61"/>
      <w:bookmarkEnd w:id="62"/>
    </w:p>
    <w:p w14:paraId="3707DC4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说明:</w:t>
      </w:r>
    </w:p>
    <w:p w14:paraId="0F83481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0B448AE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按财政部发展改革委生态环境部市场监管总局《关于调整优化节能产品、环境标志产品政府采购执行机制的通知》财库〔2019〕9号文件要求，如发布有政府采购节能产品品目清单中规定为政府强制采购的节能产品，（品目清单请从中国政府采购网www.ccgp.gov.cn查询），投标产品必须满足文件的相关规定。投标时须提供国家确定的认证机构出具的、处于有效期之内的有效的节能产品认证证书复印件并加盖投标人公章，不提供视为无效投标处理。</w:t>
      </w:r>
    </w:p>
    <w:p w14:paraId="462C4B1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投标产品属于《市场监管总局关于发布强制性产品认证目录描述与界定表的公告》（2023年第36号）规定的《强制性产品认证目录》及《强制性产品认证目录描述与界定表（2023年修订）》规定范围内的，供应商应提供该产品相关的强制性产品认证证书，不提供视为无效投标处理。</w:t>
      </w:r>
    </w:p>
    <w:p w14:paraId="1412877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投标产品属于《国务院关于调整完善工业产品生产许可证管理目录的决定》（国发〔2024〕11号）规定的《实施工业产品生产许可证管理的产品目录》规定范围内的，供应商应提供该产品相关的《工业产品生产许可证证书</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，不提供视为无效投标处理。</w:t>
      </w:r>
    </w:p>
    <w:p w14:paraId="1C8D554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宋体" w:hAnsi="宋体" w:eastAsia="宋体" w:cs="宋体"/>
          <w:bCs/>
          <w:color w:val="auto"/>
          <w:sz w:val="21"/>
          <w:szCs w:val="21"/>
          <w:highlight w:val="yellow"/>
          <w:lang w:val="en-US" w:eastAsia="zh-CN"/>
        </w:rPr>
      </w:pPr>
      <w:r>
        <w:rPr>
          <w:rFonts w:hint="eastAsia" w:ascii="宋体" w:hAnsi="宋体" w:cs="宋体"/>
          <w:bCs/>
          <w:color w:val="auto"/>
          <w:sz w:val="21"/>
          <w:szCs w:val="21"/>
          <w:highlight w:val="yellow"/>
          <w:lang w:val="en-US" w:eastAsia="zh-CN"/>
        </w:rPr>
        <w:t>5</w:t>
      </w:r>
      <w:r>
        <w:rPr>
          <w:rFonts w:hint="eastAsia" w:ascii="宋体" w:hAnsi="宋体" w:cs="宋体"/>
          <w:bCs/>
          <w:color w:val="auto"/>
          <w:sz w:val="21"/>
          <w:szCs w:val="21"/>
          <w:highlight w:val="yellow"/>
        </w:rPr>
        <w:t>.本项目核心产品为：</w:t>
      </w:r>
      <w:r>
        <w:rPr>
          <w:rFonts w:hint="eastAsia" w:ascii="宋体" w:hAnsi="宋体" w:cs="宋体"/>
          <w:bCs/>
          <w:color w:val="auto"/>
          <w:sz w:val="21"/>
          <w:szCs w:val="21"/>
          <w:highlight w:val="yellow"/>
          <w:u w:val="single"/>
        </w:rPr>
        <w:t xml:space="preserve">序号1、医用护士站和序号27、医用配药地柜 </w:t>
      </w:r>
      <w:r>
        <w:rPr>
          <w:rFonts w:hint="eastAsia" w:ascii="宋体" w:hAnsi="宋体" w:cs="宋体"/>
          <w:bCs/>
          <w:color w:val="auto"/>
          <w:sz w:val="21"/>
          <w:szCs w:val="21"/>
          <w:highlight w:val="yellow"/>
        </w:rPr>
        <w:t>。</w:t>
      </w:r>
      <w:r>
        <w:rPr>
          <w:rFonts w:hint="eastAsia" w:ascii="宋体" w:hAnsi="宋体" w:cs="宋体"/>
          <w:bCs/>
          <w:color w:val="auto"/>
          <w:sz w:val="21"/>
          <w:szCs w:val="21"/>
          <w:highlight w:val="yellow"/>
          <w:lang w:val="en-US" w:eastAsia="zh-CN"/>
        </w:rPr>
        <w:t>核心产品的技术参数</w:t>
      </w:r>
      <w:r>
        <w:rPr>
          <w:rFonts w:hint="eastAsia" w:ascii="宋体" w:hAnsi="宋体" w:eastAsia="宋体" w:cs="宋体"/>
          <w:sz w:val="21"/>
          <w:szCs w:val="21"/>
          <w:highlight w:val="yellow"/>
          <w:lang w:val="en-US" w:eastAsia="zh-CN"/>
        </w:rPr>
        <w:t>及配备要求</w:t>
      </w:r>
      <w:r>
        <w:rPr>
          <w:rFonts w:hint="eastAsia" w:ascii="宋体" w:hAnsi="宋体" w:cs="宋体"/>
          <w:bCs/>
          <w:color w:val="auto"/>
          <w:sz w:val="21"/>
          <w:szCs w:val="21"/>
          <w:highlight w:val="yellow"/>
          <w:lang w:val="en-US" w:eastAsia="zh-CN"/>
        </w:rPr>
        <w:t>必须满足，否则投标无效。</w:t>
      </w:r>
    </w:p>
    <w:p w14:paraId="7FF836F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采购需求一览表中标注“▲”的技术参数或要求必须满足，否则投标无效。</w:t>
      </w:r>
    </w:p>
    <w:tbl>
      <w:tblPr>
        <w:tblStyle w:val="62"/>
        <w:tblW w:w="10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485"/>
        <w:gridCol w:w="1709"/>
        <w:gridCol w:w="441"/>
        <w:gridCol w:w="717"/>
        <w:gridCol w:w="860"/>
        <w:gridCol w:w="4195"/>
      </w:tblGrid>
      <w:tr w14:paraId="180A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157" w:type="dxa"/>
            <w:gridSpan w:val="7"/>
            <w:tcBorders>
              <w:top w:val="single" w:color="000000" w:sz="4" w:space="0"/>
              <w:left w:val="single" w:color="000000" w:sz="4" w:space="0"/>
              <w:bottom w:val="single" w:color="000000" w:sz="4" w:space="0"/>
              <w:right w:val="single" w:color="000000" w:sz="4" w:space="0"/>
            </w:tcBorders>
            <w:vAlign w:val="center"/>
          </w:tcPr>
          <w:p w14:paraId="4F9A92BB">
            <w:pPr>
              <w:pStyle w:val="32"/>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color w:val="auto"/>
                <w:kern w:val="0"/>
                <w:sz w:val="24"/>
                <w:highlight w:val="none"/>
              </w:rPr>
              <w:t>技术参数要求表</w:t>
            </w:r>
          </w:p>
        </w:tc>
      </w:tr>
      <w:tr w14:paraId="67E4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5A95453E">
            <w:pPr>
              <w:pStyle w:val="32"/>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序号</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14:paraId="44C1C091">
            <w:pPr>
              <w:pStyle w:val="32"/>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项目名称</w:t>
            </w:r>
          </w:p>
        </w:tc>
        <w:tc>
          <w:tcPr>
            <w:tcW w:w="1709" w:type="dxa"/>
            <w:vMerge w:val="restart"/>
            <w:tcBorders>
              <w:top w:val="single" w:color="000000" w:sz="4" w:space="0"/>
              <w:left w:val="single" w:color="000000" w:sz="4" w:space="0"/>
              <w:bottom w:val="single" w:color="000000" w:sz="4" w:space="0"/>
              <w:right w:val="single" w:color="000000" w:sz="4" w:space="0"/>
            </w:tcBorders>
            <w:vAlign w:val="center"/>
          </w:tcPr>
          <w:p w14:paraId="39C8A395">
            <w:pPr>
              <w:pStyle w:val="32"/>
              <w:keepNext w:val="0"/>
              <w:keepLines w:val="0"/>
              <w:pageBreakBefore w:val="0"/>
              <w:kinsoku/>
              <w:wordWrap/>
              <w:overflowPunct/>
              <w:topLinePunct w:val="0"/>
              <w:autoSpaceDE/>
              <w:autoSpaceDN/>
              <w:bidi w:val="0"/>
              <w:adjustRightInd w:val="0"/>
              <w:snapToGrid/>
              <w:spacing w:line="320" w:lineRule="exact"/>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规格</w:t>
            </w:r>
            <w:r>
              <w:rPr>
                <w:rFonts w:hint="eastAsia" w:hAnsi="宋体" w:cs="宋体"/>
                <w:sz w:val="21"/>
                <w:szCs w:val="21"/>
                <w:highlight w:val="none"/>
                <w:lang w:val="en-US" w:eastAsia="zh-CN"/>
              </w:rPr>
              <w:t>尺寸</w:t>
            </w:r>
          </w:p>
        </w:tc>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47068715">
            <w:pPr>
              <w:pStyle w:val="32"/>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单位</w:t>
            </w:r>
          </w:p>
        </w:tc>
        <w:tc>
          <w:tcPr>
            <w:tcW w:w="717" w:type="dxa"/>
            <w:vMerge w:val="restart"/>
            <w:tcBorders>
              <w:top w:val="single" w:color="000000" w:sz="4" w:space="0"/>
              <w:left w:val="single" w:color="000000" w:sz="4" w:space="0"/>
              <w:bottom w:val="single" w:color="000000" w:sz="4" w:space="0"/>
              <w:right w:val="single" w:color="000000" w:sz="4" w:space="0"/>
            </w:tcBorders>
            <w:vAlign w:val="center"/>
          </w:tcPr>
          <w:p w14:paraId="471B7816">
            <w:pPr>
              <w:pStyle w:val="32"/>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数量</w:t>
            </w: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14:paraId="557B1637">
            <w:pPr>
              <w:pStyle w:val="32"/>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是否标准配置</w:t>
            </w:r>
          </w:p>
        </w:tc>
        <w:tc>
          <w:tcPr>
            <w:tcW w:w="4195" w:type="dxa"/>
            <w:vMerge w:val="restart"/>
            <w:tcBorders>
              <w:top w:val="single" w:color="000000" w:sz="4" w:space="0"/>
              <w:left w:val="single" w:color="000000" w:sz="4" w:space="0"/>
              <w:bottom w:val="single" w:color="000000" w:sz="4" w:space="0"/>
              <w:right w:val="single" w:color="000000" w:sz="4" w:space="0"/>
            </w:tcBorders>
            <w:vAlign w:val="center"/>
          </w:tcPr>
          <w:p w14:paraId="7B7904D3">
            <w:pPr>
              <w:pStyle w:val="32"/>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详细技术参数及配备要求</w:t>
            </w:r>
          </w:p>
        </w:tc>
      </w:tr>
      <w:tr w14:paraId="06DF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68655E6">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b/>
                <w:bCs/>
                <w:i w:val="0"/>
                <w:iCs w:val="0"/>
                <w:color w:val="000000"/>
                <w:sz w:val="21"/>
                <w:szCs w:val="21"/>
                <w:highlight w:val="none"/>
                <w:u w:val="none"/>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14:paraId="3B573276">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b/>
                <w:bCs/>
                <w:i w:val="0"/>
                <w:iCs w:val="0"/>
                <w:color w:val="000000"/>
                <w:sz w:val="21"/>
                <w:szCs w:val="21"/>
                <w:highlight w:val="none"/>
                <w:u w:val="none"/>
              </w:rPr>
            </w:pPr>
          </w:p>
        </w:tc>
        <w:tc>
          <w:tcPr>
            <w:tcW w:w="1709" w:type="dxa"/>
            <w:vMerge w:val="continue"/>
            <w:tcBorders>
              <w:top w:val="single" w:color="000000" w:sz="4" w:space="0"/>
              <w:left w:val="single" w:color="000000" w:sz="4" w:space="0"/>
              <w:bottom w:val="single" w:color="000000" w:sz="4" w:space="0"/>
              <w:right w:val="single" w:color="000000" w:sz="4" w:space="0"/>
            </w:tcBorders>
            <w:vAlign w:val="center"/>
          </w:tcPr>
          <w:p w14:paraId="60339E23">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b/>
                <w:bCs/>
                <w:i w:val="0"/>
                <w:iCs w:val="0"/>
                <w:color w:val="000000"/>
                <w:sz w:val="21"/>
                <w:szCs w:val="21"/>
                <w:highlight w:val="none"/>
                <w:u w:val="none"/>
              </w:rPr>
            </w:pPr>
          </w:p>
        </w:tc>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24FCD41B">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b/>
                <w:bCs/>
                <w:i w:val="0"/>
                <w:iCs w:val="0"/>
                <w:color w:val="000000"/>
                <w:sz w:val="21"/>
                <w:szCs w:val="21"/>
                <w:highlight w:val="none"/>
                <w:u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14:paraId="4CFA7E84">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b/>
                <w:bCs/>
                <w:i w:val="0"/>
                <w:iCs w:val="0"/>
                <w:color w:val="000000"/>
                <w:sz w:val="21"/>
                <w:szCs w:val="21"/>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14:paraId="089A368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b/>
                <w:bCs/>
                <w:i w:val="0"/>
                <w:iCs w:val="0"/>
                <w:color w:val="000000"/>
                <w:sz w:val="21"/>
                <w:szCs w:val="21"/>
                <w:highlight w:val="none"/>
                <w:u w:val="none"/>
              </w:rPr>
            </w:pPr>
          </w:p>
        </w:tc>
        <w:tc>
          <w:tcPr>
            <w:tcW w:w="4195" w:type="dxa"/>
            <w:vMerge w:val="continue"/>
            <w:tcBorders>
              <w:top w:val="single" w:color="000000" w:sz="4" w:space="0"/>
              <w:left w:val="single" w:color="000000" w:sz="4" w:space="0"/>
              <w:bottom w:val="single" w:color="000000" w:sz="4" w:space="0"/>
              <w:right w:val="single" w:color="000000" w:sz="4" w:space="0"/>
            </w:tcBorders>
            <w:vAlign w:val="center"/>
          </w:tcPr>
          <w:p w14:paraId="324AD03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b/>
                <w:bCs/>
                <w:i w:val="0"/>
                <w:iCs w:val="0"/>
                <w:color w:val="000000"/>
                <w:sz w:val="21"/>
                <w:szCs w:val="21"/>
                <w:highlight w:val="none"/>
                <w:u w:val="none"/>
              </w:rPr>
            </w:pPr>
          </w:p>
        </w:tc>
      </w:tr>
      <w:tr w14:paraId="7288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nil"/>
              <w:left w:val="single" w:color="000000" w:sz="4" w:space="0"/>
              <w:bottom w:val="single" w:color="000000" w:sz="4" w:space="0"/>
              <w:right w:val="single" w:color="000000" w:sz="4" w:space="0"/>
            </w:tcBorders>
            <w:vAlign w:val="center"/>
          </w:tcPr>
          <w:p w14:paraId="53D110C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1485" w:type="dxa"/>
            <w:tcBorders>
              <w:top w:val="nil"/>
              <w:left w:val="single" w:color="000000" w:sz="4" w:space="0"/>
              <w:bottom w:val="single" w:color="000000" w:sz="4" w:space="0"/>
              <w:right w:val="single" w:color="000000" w:sz="4" w:space="0"/>
            </w:tcBorders>
            <w:vAlign w:val="center"/>
          </w:tcPr>
          <w:p w14:paraId="234F802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医用护士站</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AEF572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5300*700*750mm</w:t>
            </w:r>
          </w:p>
        </w:tc>
        <w:tc>
          <w:tcPr>
            <w:tcW w:w="441" w:type="dxa"/>
            <w:tcBorders>
              <w:top w:val="nil"/>
              <w:left w:val="single" w:color="000000" w:sz="4" w:space="0"/>
              <w:bottom w:val="single" w:color="000000" w:sz="4" w:space="0"/>
              <w:right w:val="single" w:color="000000" w:sz="4" w:space="0"/>
            </w:tcBorders>
            <w:vAlign w:val="center"/>
          </w:tcPr>
          <w:p w14:paraId="0EFBBD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nil"/>
              <w:left w:val="single" w:color="000000" w:sz="4" w:space="0"/>
              <w:bottom w:val="single" w:color="000000" w:sz="4" w:space="0"/>
              <w:right w:val="single" w:color="000000" w:sz="4" w:space="0"/>
            </w:tcBorders>
            <w:vAlign w:val="center"/>
          </w:tcPr>
          <w:p w14:paraId="411D494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nil"/>
              <w:left w:val="single" w:color="000000" w:sz="4" w:space="0"/>
              <w:bottom w:val="single" w:color="000000" w:sz="4" w:space="0"/>
              <w:right w:val="single" w:color="000000" w:sz="4" w:space="0"/>
            </w:tcBorders>
            <w:vAlign w:val="center"/>
          </w:tcPr>
          <w:p w14:paraId="2478228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nil"/>
              <w:left w:val="single" w:color="000000" w:sz="4" w:space="0"/>
              <w:bottom w:val="single" w:color="000000" w:sz="4" w:space="0"/>
              <w:right w:val="single" w:color="000000" w:sz="4" w:space="0"/>
            </w:tcBorders>
            <w:vAlign w:val="center"/>
          </w:tcPr>
          <w:p w14:paraId="05191CD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一、主要材料及厚度说明：                                    1、生态夹板：挡板骨架和底座采用木纹色E1级多层实芯环保生态夹板，面贴3mm中纤板和木纹色防火板；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2、实木颗粒板：外侧板、面板、看台板为木纹色E1级实木颗粒板；                                       3、厚度：外侧板、面板、看台板厚度为25mm；                              二、结构/配置：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1、结构：挡板采用双层加厚型结构内部带走线功能，分段制造，带隐藏式自锁结构；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2、配置：主台+高看台+石面</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不含</w:t>
            </w:r>
            <w:r>
              <w:rPr>
                <w:rFonts w:hint="eastAsia" w:ascii="宋体" w:hAnsi="宋体" w:eastAsia="宋体" w:cs="宋体"/>
                <w:i w:val="0"/>
                <w:iCs w:val="0"/>
                <w:color w:val="000000"/>
                <w:kern w:val="0"/>
                <w:sz w:val="21"/>
                <w:szCs w:val="21"/>
                <w:highlight w:val="none"/>
                <w:u w:val="none"/>
                <w:lang w:val="en-US" w:eastAsia="zh-CN" w:bidi="ar"/>
              </w:rPr>
              <w:t xml:space="preserve">石面） </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四、工艺/其它：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32BE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FCFF23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7F0AE64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医用护士站</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632C842">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（2200+2600）*700（250）*1050（750）mm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2B07A6A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920863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28712EC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529D30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1、材质：挡板骨架和底座采用木纹色E1级多层实芯环保生态板，面贴3mm中纤板和木纹色防火板；柜体为木纹色E1级多层实芯环保生态板；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2、厚度：面板、看台板厚度为25mm；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3、台面板、外侧板采用人造石；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1、结构：挡板采用双层加厚型结构内部带走线功能，分段制造，带隐藏式自锁结构；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2、配置：护士站主框架+高台框架+三抽柜+主机柜+人造石面；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1005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2CFD89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5B8A186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医用护士站</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079FF039">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（3000+3800）*700*750mm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ED7E7D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5E30B23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860" w:type="dxa"/>
            <w:tcBorders>
              <w:top w:val="single" w:color="000000" w:sz="4" w:space="0"/>
              <w:left w:val="single" w:color="000000" w:sz="4" w:space="0"/>
              <w:bottom w:val="single" w:color="000000" w:sz="4" w:space="0"/>
              <w:right w:val="single" w:color="000000" w:sz="4" w:space="0"/>
            </w:tcBorders>
            <w:vAlign w:val="center"/>
          </w:tcPr>
          <w:p w14:paraId="43AD695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3276F1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1、材质：挡板骨架和底座采用木纹色E1级多层实芯环保生态板，面贴3mm中纤板和木纹色防火板；柜体为木纹色E1级多层实芯环保生态板；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2、厚度：面板、看台板厚度为25mm；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3、台面板、外侧板采用人造石</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不含</w:t>
            </w:r>
            <w:r>
              <w:rPr>
                <w:rFonts w:hint="eastAsia" w:ascii="宋体" w:hAnsi="宋体" w:eastAsia="宋体" w:cs="宋体"/>
                <w:i w:val="0"/>
                <w:iCs w:val="0"/>
                <w:color w:val="000000"/>
                <w:kern w:val="0"/>
                <w:sz w:val="21"/>
                <w:szCs w:val="21"/>
                <w:highlight w:val="none"/>
                <w:u w:val="none"/>
                <w:lang w:val="en-US" w:eastAsia="zh-CN"/>
              </w:rPr>
              <w:t>人造石</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1、结构：挡板采用双层加厚型结构内部带走线功能，分段制造，带隐藏式自锁结构；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2、配置：护士站主框架+高台框架+三抽柜+主机柜+人造石面</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不含人造</w:t>
            </w:r>
            <w:r>
              <w:rPr>
                <w:rFonts w:hint="eastAsia" w:ascii="宋体" w:hAnsi="宋体" w:eastAsia="宋体" w:cs="宋体"/>
                <w:i w:val="0"/>
                <w:iCs w:val="0"/>
                <w:color w:val="000000"/>
                <w:kern w:val="0"/>
                <w:sz w:val="21"/>
                <w:szCs w:val="21"/>
                <w:highlight w:val="none"/>
                <w:u w:val="none"/>
                <w:lang w:val="en-US" w:eastAsia="zh-CN" w:bidi="ar"/>
              </w:rPr>
              <w:t>石面）</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7D77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3B575F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1485" w:type="dxa"/>
            <w:tcBorders>
              <w:top w:val="single" w:color="000000" w:sz="4" w:space="0"/>
              <w:left w:val="single" w:color="000000" w:sz="4" w:space="0"/>
              <w:bottom w:val="single" w:color="000000" w:sz="4" w:space="0"/>
              <w:right w:val="single" w:color="000000" w:sz="4" w:space="0"/>
            </w:tcBorders>
            <w:vAlign w:val="center"/>
          </w:tcPr>
          <w:p w14:paraId="3EB268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医用护士站</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5C1E6FD4">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（1600+1600+5200）*700（250）*1050（750）mm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DBCE9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70F56B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08E160B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5722DB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一、主要材料及厚度说明：                                    1、生态夹板：挡板骨架和底座采用木纹色E1级多层实芯环保生态夹板，面贴3mm中纤板和木纹色防火板；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2、实木颗粒板：外侧板、面板、看台板为木纹色E1级实木颗粒板；                                       3、厚度：外侧板、面板、看台板厚度为25mm；                              二、结构/配置：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1、结构：挡板采用双层加厚型结构内部带走线功能，分段制造，带隐藏式自锁结构；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2、配置：主台+高看台+石面</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不含</w:t>
            </w:r>
            <w:r>
              <w:rPr>
                <w:rFonts w:hint="eastAsia" w:ascii="宋体" w:hAnsi="宋体" w:eastAsia="宋体" w:cs="宋体"/>
                <w:i w:val="0"/>
                <w:iCs w:val="0"/>
                <w:color w:val="000000"/>
                <w:kern w:val="0"/>
                <w:sz w:val="21"/>
                <w:szCs w:val="21"/>
                <w:highlight w:val="none"/>
                <w:u w:val="none"/>
                <w:lang w:val="en-US" w:eastAsia="zh-CN" w:bidi="ar"/>
              </w:rPr>
              <w:t>石面）</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四、工艺/其它：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7714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6AF62E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w:t>
            </w:r>
          </w:p>
        </w:tc>
        <w:tc>
          <w:tcPr>
            <w:tcW w:w="1485" w:type="dxa"/>
            <w:tcBorders>
              <w:top w:val="single" w:color="000000" w:sz="4" w:space="0"/>
              <w:left w:val="single" w:color="000000" w:sz="4" w:space="0"/>
              <w:bottom w:val="single" w:color="000000" w:sz="4" w:space="0"/>
              <w:right w:val="single" w:color="000000" w:sz="4" w:space="0"/>
            </w:tcBorders>
            <w:vAlign w:val="center"/>
          </w:tcPr>
          <w:p w14:paraId="2C4C751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医用护士站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73E7144">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（1800+6500）*700（250）*1050（750）mm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B7C76A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4204D61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569A5C4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2F19DB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一、主要材料及厚度说明：                                    1、生态夹板：挡板骨架和底座采用木纹色E1级多层实芯环保生态夹板，面贴3mm中纤板和木纹色防火板；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2、实木颗粒板：外侧板、面板、看台板为木纹色E1级实木颗粒板；                                       3、厚度：外侧板、面板、看台板厚度为25mm；                              二、结构/配置：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1、结构：挡板采用双层加厚型结构内部带走线功能，分段制造，带隐藏式自锁结构；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2、配置：主台+高看台+石面</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不含</w:t>
            </w:r>
            <w:r>
              <w:rPr>
                <w:rFonts w:hint="eastAsia" w:ascii="宋体" w:hAnsi="宋体" w:eastAsia="宋体" w:cs="宋体"/>
                <w:i w:val="0"/>
                <w:iCs w:val="0"/>
                <w:color w:val="000000"/>
                <w:kern w:val="0"/>
                <w:sz w:val="21"/>
                <w:szCs w:val="21"/>
                <w:highlight w:val="none"/>
                <w:u w:val="none"/>
                <w:lang w:val="en-US" w:eastAsia="zh-CN" w:bidi="ar"/>
              </w:rPr>
              <w:t>石面）</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四、工艺/其它：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1291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E96531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1485" w:type="dxa"/>
            <w:tcBorders>
              <w:top w:val="single" w:color="000000" w:sz="4" w:space="0"/>
              <w:left w:val="single" w:color="000000" w:sz="4" w:space="0"/>
              <w:bottom w:val="single" w:color="000000" w:sz="4" w:space="0"/>
              <w:right w:val="single" w:color="000000" w:sz="4" w:space="0"/>
            </w:tcBorders>
            <w:vAlign w:val="center"/>
          </w:tcPr>
          <w:p w14:paraId="45EDEC4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医用护士站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EEA41A8">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（1600+5200）*700（250）*1050（750）mm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EEDFB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DDDA0A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0AA357C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C98EE5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一、主要材料及厚度说明：                                    1、生态夹板：挡板骨架和底座采用木纹色E1级多层实芯环保生态夹板，面贴3mm中纤板和木纹色防火板；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2、实木颗粒板：外侧板、面板、看台板为木纹色E1级实木颗粒板；                                       3、厚度：外侧板、面板、看台板厚度为25mm；                              二、结构/配置：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1、结构：挡板采用双层加厚型结构内部带走线功能，分段制造，带隐藏式自锁结构；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2、配置：主台+高看台+石面</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不含</w:t>
            </w:r>
            <w:r>
              <w:rPr>
                <w:rFonts w:hint="eastAsia" w:ascii="宋体" w:hAnsi="宋体" w:eastAsia="宋体" w:cs="宋体"/>
                <w:i w:val="0"/>
                <w:iCs w:val="0"/>
                <w:color w:val="000000"/>
                <w:kern w:val="0"/>
                <w:sz w:val="21"/>
                <w:szCs w:val="21"/>
                <w:highlight w:val="none"/>
                <w:u w:val="none"/>
                <w:lang w:val="en-US" w:eastAsia="zh-CN" w:bidi="ar"/>
              </w:rPr>
              <w:t>石面）</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四、工艺/其它：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4B89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198F5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1485" w:type="dxa"/>
            <w:tcBorders>
              <w:top w:val="single" w:color="000000" w:sz="4" w:space="0"/>
              <w:left w:val="single" w:color="000000" w:sz="4" w:space="0"/>
              <w:bottom w:val="single" w:color="000000" w:sz="4" w:space="0"/>
              <w:right w:val="single" w:color="000000" w:sz="4" w:space="0"/>
            </w:tcBorders>
            <w:vAlign w:val="center"/>
          </w:tcPr>
          <w:p w14:paraId="7BB1F9C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医用发药台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7B2111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654241F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66F35C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860" w:type="dxa"/>
            <w:tcBorders>
              <w:top w:val="single" w:color="000000" w:sz="4" w:space="0"/>
              <w:left w:val="single" w:color="000000" w:sz="4" w:space="0"/>
              <w:bottom w:val="single" w:color="000000" w:sz="4" w:space="0"/>
              <w:right w:val="single" w:color="000000" w:sz="4" w:space="0"/>
            </w:tcBorders>
            <w:vAlign w:val="center"/>
          </w:tcPr>
          <w:p w14:paraId="7DDA550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353276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1、材质：所有板材均采用的木纹色E1级多层实芯环保生态板；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2、厚度：面板厚度为25mm，层板、侧板、背板、抽面厚度为16mm；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1、配置：主台为电脑工作位+空格柜+人造石面；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31D2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AA73B3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1485" w:type="dxa"/>
            <w:tcBorders>
              <w:top w:val="single" w:color="000000" w:sz="4" w:space="0"/>
              <w:left w:val="single" w:color="000000" w:sz="4" w:space="0"/>
              <w:bottom w:val="single" w:color="000000" w:sz="4" w:space="0"/>
              <w:right w:val="single" w:color="000000" w:sz="4" w:space="0"/>
            </w:tcBorders>
            <w:vAlign w:val="center"/>
          </w:tcPr>
          <w:p w14:paraId="3D4613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医用发药台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B84CF98">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3335E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4C0A435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79B58C1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E49564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2、厚度：面板厚度为25mm，层板、侧板、背板、抽面厚度为16mm；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1、配置：主台为电脑工作位+空格柜+人造石面；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387F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BB364C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w:t>
            </w:r>
          </w:p>
        </w:tc>
        <w:tc>
          <w:tcPr>
            <w:tcW w:w="1485" w:type="dxa"/>
            <w:tcBorders>
              <w:top w:val="single" w:color="000000" w:sz="4" w:space="0"/>
              <w:left w:val="single" w:color="000000" w:sz="4" w:space="0"/>
              <w:bottom w:val="single" w:color="000000" w:sz="4" w:space="0"/>
              <w:right w:val="single" w:color="000000" w:sz="4" w:space="0"/>
            </w:tcBorders>
            <w:vAlign w:val="center"/>
          </w:tcPr>
          <w:p w14:paraId="3D1AF51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医用收费台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0EDFB4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D85B5C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04EBCB4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w:t>
            </w:r>
          </w:p>
        </w:tc>
        <w:tc>
          <w:tcPr>
            <w:tcW w:w="860" w:type="dxa"/>
            <w:tcBorders>
              <w:top w:val="single" w:color="000000" w:sz="4" w:space="0"/>
              <w:left w:val="single" w:color="000000" w:sz="4" w:space="0"/>
              <w:bottom w:val="single" w:color="000000" w:sz="4" w:space="0"/>
              <w:right w:val="single" w:color="000000" w:sz="4" w:space="0"/>
            </w:tcBorders>
            <w:vAlign w:val="center"/>
          </w:tcPr>
          <w:p w14:paraId="358F7FE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1F25AB0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2、厚度：主台面板、侧脚板、打印机柜面板厚度为25mm，层板、侧板、挡板、抽面厚度为16mm；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1、配置：主台（带三抽立柜）+现金存放抽屉+键盘架+钢管主机架+打印机柜；</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5113C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E2436E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w:t>
            </w:r>
          </w:p>
        </w:tc>
        <w:tc>
          <w:tcPr>
            <w:tcW w:w="1485" w:type="dxa"/>
            <w:tcBorders>
              <w:top w:val="single" w:color="000000" w:sz="4" w:space="0"/>
              <w:left w:val="single" w:color="000000" w:sz="4" w:space="0"/>
              <w:bottom w:val="single" w:color="000000" w:sz="4" w:space="0"/>
              <w:right w:val="single" w:color="000000" w:sz="4" w:space="0"/>
            </w:tcBorders>
            <w:vAlign w:val="center"/>
          </w:tcPr>
          <w:p w14:paraId="241B7C9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医用挂衣板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881372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600*16*1800mm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719701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4076A0F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w:t>
            </w:r>
          </w:p>
        </w:tc>
        <w:tc>
          <w:tcPr>
            <w:tcW w:w="860" w:type="dxa"/>
            <w:tcBorders>
              <w:top w:val="single" w:color="000000" w:sz="4" w:space="0"/>
              <w:left w:val="single" w:color="000000" w:sz="4" w:space="0"/>
              <w:bottom w:val="single" w:color="000000" w:sz="4" w:space="0"/>
              <w:right w:val="single" w:color="000000" w:sz="4" w:space="0"/>
            </w:tcBorders>
            <w:vAlign w:val="center"/>
          </w:tcPr>
          <w:p w14:paraId="7AFFD95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A91290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1、材质：采用16mm厚木纹色E1级多层实芯环保生态板；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1、配置：主板+双层挂钩+镜钉；</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2、平方数按正立面投影面积计算。</w:t>
            </w:r>
          </w:p>
        </w:tc>
      </w:tr>
      <w:tr w14:paraId="0BAB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9E0383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w:t>
            </w:r>
          </w:p>
        </w:tc>
        <w:tc>
          <w:tcPr>
            <w:tcW w:w="1485" w:type="dxa"/>
            <w:tcBorders>
              <w:top w:val="single" w:color="000000" w:sz="4" w:space="0"/>
              <w:left w:val="single" w:color="000000" w:sz="4" w:space="0"/>
              <w:bottom w:val="single" w:color="000000" w:sz="4" w:space="0"/>
              <w:right w:val="single" w:color="000000" w:sz="4" w:space="0"/>
            </w:tcBorders>
            <w:vAlign w:val="center"/>
          </w:tcPr>
          <w:p w14:paraId="4CC22A9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医用操作柜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EA51CA2">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800*600*2000mm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10BDCBA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159E7E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860" w:type="dxa"/>
            <w:tcBorders>
              <w:top w:val="single" w:color="000000" w:sz="4" w:space="0"/>
              <w:left w:val="single" w:color="000000" w:sz="4" w:space="0"/>
              <w:bottom w:val="single" w:color="000000" w:sz="4" w:space="0"/>
              <w:right w:val="single" w:color="000000" w:sz="4" w:space="0"/>
            </w:tcBorders>
            <w:vAlign w:val="center"/>
          </w:tcPr>
          <w:p w14:paraId="449A75A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6D8CAE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2、厚度：顶板、活动层板厚度为25mm，面板、侧板、门板、背板、抽面厚度为16mm；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1、配置：上柜（木框玻璃门+2件25mm活动层板）+下柜（上抽下门+1件活动层板）+人造石面。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59AE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E8FB1F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w:t>
            </w:r>
          </w:p>
        </w:tc>
        <w:tc>
          <w:tcPr>
            <w:tcW w:w="1485" w:type="dxa"/>
            <w:tcBorders>
              <w:top w:val="single" w:color="000000" w:sz="4" w:space="0"/>
              <w:left w:val="single" w:color="000000" w:sz="4" w:space="0"/>
              <w:bottom w:val="single" w:color="000000" w:sz="4" w:space="0"/>
              <w:right w:val="single" w:color="000000" w:sz="4" w:space="0"/>
            </w:tcBorders>
            <w:vAlign w:val="center"/>
          </w:tcPr>
          <w:p w14:paraId="2374CDD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医用百子中药柜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41B3C98">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1000*450*2000mm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282A70B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2B2176A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860" w:type="dxa"/>
            <w:tcBorders>
              <w:top w:val="single" w:color="000000" w:sz="4" w:space="0"/>
              <w:left w:val="single" w:color="000000" w:sz="4" w:space="0"/>
              <w:bottom w:val="single" w:color="000000" w:sz="4" w:space="0"/>
              <w:right w:val="single" w:color="000000" w:sz="4" w:space="0"/>
            </w:tcBorders>
            <w:vAlign w:val="center"/>
          </w:tcPr>
          <w:p w14:paraId="5E18B27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8564CD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2、侧板、门板、抽面板、层板、顶板、底板用国标0.8mm；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1、整柜分为两大部分，上部分为对开掩门，门内无层板，可存放大包的中草药或大件的物品；</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2、下部分为横向10排，每排4个抽屉，共40个抽屉，抽屉装胶轮导轨；3、配置：主柜（上对开掩门，下40个抽屉）；</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5EF4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5C76D1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13</w:t>
            </w:r>
          </w:p>
        </w:tc>
        <w:tc>
          <w:tcPr>
            <w:tcW w:w="1485" w:type="dxa"/>
            <w:tcBorders>
              <w:top w:val="single" w:color="000000" w:sz="4" w:space="0"/>
              <w:left w:val="single" w:color="000000" w:sz="4" w:space="0"/>
              <w:bottom w:val="single" w:color="000000" w:sz="4" w:space="0"/>
              <w:right w:val="single" w:color="000000" w:sz="4" w:space="0"/>
            </w:tcBorders>
            <w:vAlign w:val="center"/>
          </w:tcPr>
          <w:p w14:paraId="0C46D2F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医用百子中药柜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0AF3CA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650*450*2000mm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2154461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2DCD336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466CA7E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567A0D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2、侧板、门板、抽面板、层板、顶板、底板用国标0.8mm；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1、整柜分为两大部分，上部分为对开掩门，门内无层板，可存放大包的中草药或大件的物品；</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2、下部分为横向10排，每排4个抽屉，共40个抽屉，抽屉装胶轮导轨；3、配置：主柜（上对开掩门，下40个抽屉）；</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6C76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B8C97E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w:t>
            </w:r>
          </w:p>
        </w:tc>
        <w:tc>
          <w:tcPr>
            <w:tcW w:w="1485" w:type="dxa"/>
            <w:tcBorders>
              <w:top w:val="single" w:color="000000" w:sz="4" w:space="0"/>
              <w:left w:val="single" w:color="000000" w:sz="4" w:space="0"/>
              <w:bottom w:val="single" w:color="000000" w:sz="4" w:space="0"/>
              <w:right w:val="single" w:color="000000" w:sz="4" w:space="0"/>
            </w:tcBorders>
            <w:vAlign w:val="center"/>
          </w:tcPr>
          <w:p w14:paraId="18C7652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医用百子中药矮柜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ECB793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900*450*900mm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F2A0FF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4F75842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w:t>
            </w:r>
          </w:p>
        </w:tc>
        <w:tc>
          <w:tcPr>
            <w:tcW w:w="860" w:type="dxa"/>
            <w:tcBorders>
              <w:top w:val="single" w:color="000000" w:sz="4" w:space="0"/>
              <w:left w:val="single" w:color="000000" w:sz="4" w:space="0"/>
              <w:bottom w:val="single" w:color="000000" w:sz="4" w:space="0"/>
              <w:right w:val="single" w:color="000000" w:sz="4" w:space="0"/>
            </w:tcBorders>
            <w:vAlign w:val="center"/>
          </w:tcPr>
          <w:p w14:paraId="00CF2C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E2D2F5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2、侧板、门板、抽面板、上柜顶板、底板、层板用国标0.8mm，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1、整柜分上下柜组合，下柜高900mm,上柜高1050mm，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上柜底层为200mm高的空位，中间配有一块隔板，方便抽屉抽出时摆放在下面，不占用台面空位，中层为4排8例小抽屉，共32个抽屉，抽屉可前后对通抽拉，无导轨装托条，顶层为两对掩门，中间有一块隔板，门内对通，上柜为双面使用，前后一样；</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3、下柜由两台多抽地柜背靠背组合，每个地柜为5排7例小抽屉，共分35个小抽屉，两地柜共：70个抽屉，抽屉装胶轮导轨，两台地柜前后对称一样；</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4、台面用T1.0mm304不锈钢内加12mm夹板，再用管加强；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5、配置：上柜（上2对掩门，中32个抽屉，下为空格）+2台下柜（共70个抽屉）+SUS304不锈钢台面；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093F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A31F25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15</w:t>
            </w:r>
          </w:p>
        </w:tc>
        <w:tc>
          <w:tcPr>
            <w:tcW w:w="1485" w:type="dxa"/>
            <w:tcBorders>
              <w:top w:val="single" w:color="000000" w:sz="4" w:space="0"/>
              <w:left w:val="single" w:color="000000" w:sz="4" w:space="0"/>
              <w:bottom w:val="single" w:color="000000" w:sz="4" w:space="0"/>
              <w:right w:val="single" w:color="000000" w:sz="4" w:space="0"/>
            </w:tcBorders>
            <w:vAlign w:val="center"/>
          </w:tcPr>
          <w:p w14:paraId="6CF81FD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医用百子中药矮柜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05DD03EE">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550*450*900mm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B7F889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55D7707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3ECA808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E5C75D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2、侧板、门板、抽面板、上柜顶板、底板、层板用国标0.8mm，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1、整柜分上下柜组合，下柜高900mm,上柜高1050mm，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上柜底层为200mm高的空位，中间配有一块隔板，方便抽屉抽出时摆放在下面，不占用台面空位，中层为4排8例小抽屉，共32个抽屉，抽屉可前后对通抽拉，无导轨装托条，顶层为两对掩门，中间有一块隔板，门内对通，上柜为双面使用，前后一样；</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3、下柜由两台多抽地柜背靠背组合，每个地柜为5排7例小抽屉，共分35个小抽屉，两地柜共：70个抽屉，抽屉装胶轮导轨，两台地柜前后对称一样；</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4、台面用T1.0mm304不锈钢内加12mm夹板，再用管加强；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5、配置：上柜（上2对掩门，中32个抽屉，下为空格）+2台下柜（共70个抽屉）+SUS304不锈钢台面；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7BF1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18D4C9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w:t>
            </w:r>
          </w:p>
        </w:tc>
        <w:tc>
          <w:tcPr>
            <w:tcW w:w="1485" w:type="dxa"/>
            <w:tcBorders>
              <w:top w:val="single" w:color="000000" w:sz="4" w:space="0"/>
              <w:left w:val="single" w:color="000000" w:sz="4" w:space="0"/>
              <w:bottom w:val="single" w:color="000000" w:sz="4" w:space="0"/>
              <w:right w:val="single" w:color="000000" w:sz="4" w:space="0"/>
            </w:tcBorders>
            <w:vAlign w:val="center"/>
          </w:tcPr>
          <w:p w14:paraId="6ABB175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医用中药调剂台</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52BF364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2000*1000*900mm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D52B18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7DCC23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0F51E11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45B0E1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2、侧板、门板、抽面板、上柜顶板、底板、层板用国标0.8mm，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1、台面用T1.0mm304不锈钢内加12mm夹板，再用管加强；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5、配置：2对掩门+SUS304不锈钢台面；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590A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F5DBBD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17</w:t>
            </w:r>
          </w:p>
        </w:tc>
        <w:tc>
          <w:tcPr>
            <w:tcW w:w="1485" w:type="dxa"/>
            <w:tcBorders>
              <w:top w:val="single" w:color="000000" w:sz="4" w:space="0"/>
              <w:left w:val="single" w:color="000000" w:sz="4" w:space="0"/>
              <w:bottom w:val="single" w:color="000000" w:sz="4" w:space="0"/>
              <w:right w:val="single" w:color="000000" w:sz="4" w:space="0"/>
            </w:tcBorders>
            <w:vAlign w:val="center"/>
          </w:tcPr>
          <w:p w14:paraId="4D6E37F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医用双面药架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6B8B853">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900*900*2000mm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F055E5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5615B32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3B96D64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192E13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2、立柱用国标60*40*1.5mm扁管激光割孔成型；</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3、底架、可调挂板用国标2.0mm；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4、药盘、顶板用国标0.8mm；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5、加强管料用国标1.0mm；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1、药架分为双向结构，每向配6个药盘，共配12个药盘，每层药盘层距可上下调节，药盘可斜挂或平挂，使用时轻便灵活；</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2、药盘内配有活动隔板，可根据药量自行调节，使药品分类有序，一目了然；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3、药盘正面配有标签插卡槽，方便更换药品标签；</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4、所有药盘只能上下调节斜挂或平挂，不能前后抽拉；5、配置：主柜（共配12个活动药盘，每个药盘内标配3块活动格板）；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30FE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D983D0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w:t>
            </w:r>
          </w:p>
        </w:tc>
        <w:tc>
          <w:tcPr>
            <w:tcW w:w="1485" w:type="dxa"/>
            <w:tcBorders>
              <w:top w:val="single" w:color="000000" w:sz="4" w:space="0"/>
              <w:left w:val="single" w:color="000000" w:sz="4" w:space="0"/>
              <w:bottom w:val="single" w:color="000000" w:sz="4" w:space="0"/>
              <w:right w:val="single" w:color="000000" w:sz="4" w:space="0"/>
            </w:tcBorders>
            <w:vAlign w:val="center"/>
          </w:tcPr>
          <w:p w14:paraId="0948790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医用无门药柜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5383FB7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900*400*2000mm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14DA886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30392E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17</w:t>
            </w:r>
          </w:p>
        </w:tc>
        <w:tc>
          <w:tcPr>
            <w:tcW w:w="860" w:type="dxa"/>
            <w:tcBorders>
              <w:top w:val="single" w:color="000000" w:sz="4" w:space="0"/>
              <w:left w:val="single" w:color="000000" w:sz="4" w:space="0"/>
              <w:bottom w:val="single" w:color="000000" w:sz="4" w:space="0"/>
              <w:right w:val="single" w:color="000000" w:sz="4" w:space="0"/>
            </w:tcBorders>
            <w:vAlign w:val="center"/>
          </w:tcPr>
          <w:p w14:paraId="05782D5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B0BA74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2、侧板、层板、顶板、底板用国标0.8mm；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1、药柜均分为6层，共5块层板；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2、层板正面配有标签插槽，方便更换药品标签；</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3、整柜储药量大，主要可储存瓶装药、中成药、中草药；4、配置：主柜（5块固定层板）；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159A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452492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19</w:t>
            </w:r>
          </w:p>
        </w:tc>
        <w:tc>
          <w:tcPr>
            <w:tcW w:w="1485" w:type="dxa"/>
            <w:tcBorders>
              <w:top w:val="single" w:color="000000" w:sz="4" w:space="0"/>
              <w:left w:val="single" w:color="000000" w:sz="4" w:space="0"/>
              <w:bottom w:val="single" w:color="000000" w:sz="4" w:space="0"/>
              <w:right w:val="single" w:color="000000" w:sz="4" w:space="0"/>
            </w:tcBorders>
            <w:vAlign w:val="center"/>
          </w:tcPr>
          <w:p w14:paraId="6158FFE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医用单面西药调剂柜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5A50053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2000*600*2000mm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6A4E079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37E0E2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0074D56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01A98D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2、侧板、层板、梯级、底板、抽面板、门板用国标0.8mm；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3、加强管料用国标1.0mm；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1、整柜分上下柜组合，下柜高900mm,上柜高1050mm；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2、上柜中间有一隔板使整柜左右均分，台面上是两层梯级；每层梯级分三级梯台，便于分类放瓶装药品；上层梯级上方是两块层板；便于存放盒装中成药品；整个上柜为双面使用，两边对称一样；</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3、下柜由两台地柜背靠背组合，台面下是四个大抽屉带锁，抽屉装三折导轨，抽屉下柜体往内缩入70mm，便于医护人员在操作时好放脚；抽屉下是两对掩门带锁，掩门内有一块层板，两台地柜前后对称一样；</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4、台面用T1.0mm304不锈钢内加12mm夹板，再用管加强；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5、配置：上柜（2块固定层板，2层梯台）+2台下柜(上共8个抽屉，下4对掩门，内各含1块活动层板)+SUS304不锈钢台面；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38F4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CE433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w:t>
            </w:r>
          </w:p>
        </w:tc>
        <w:tc>
          <w:tcPr>
            <w:tcW w:w="1485" w:type="dxa"/>
            <w:tcBorders>
              <w:top w:val="single" w:color="000000" w:sz="4" w:space="0"/>
              <w:left w:val="single" w:color="000000" w:sz="4" w:space="0"/>
              <w:bottom w:val="single" w:color="000000" w:sz="4" w:space="0"/>
              <w:right w:val="single" w:color="000000" w:sz="4" w:space="0"/>
            </w:tcBorders>
            <w:vAlign w:val="center"/>
          </w:tcPr>
          <w:p w14:paraId="3BD9684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医用配药吊柜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BBD8EBB">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400*350*800mm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4704A7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1CEE3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6A29174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402D81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2、厚度：层板、底板厚度为25mm，顶板、侧板、门板厚度为16mm；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1、配置：主柜（木框玻璃门，内含1层活动层板）+阶梯药架（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阶梯药架）；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4639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EACF83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21</w:t>
            </w:r>
          </w:p>
        </w:tc>
        <w:tc>
          <w:tcPr>
            <w:tcW w:w="1485" w:type="dxa"/>
            <w:tcBorders>
              <w:top w:val="single" w:color="000000" w:sz="4" w:space="0"/>
              <w:left w:val="single" w:color="000000" w:sz="4" w:space="0"/>
              <w:bottom w:val="single" w:color="000000" w:sz="4" w:space="0"/>
              <w:right w:val="single" w:color="000000" w:sz="4" w:space="0"/>
            </w:tcBorders>
            <w:vAlign w:val="center"/>
          </w:tcPr>
          <w:p w14:paraId="0592462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医用配药吊柜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87646A3">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450*350*800mm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A4E673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77469DA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70453BE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17786FD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2、厚度：层板、底板厚度为25mm，顶板、侧板、门板厚度为16mm；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1、配置：主柜（木框玻璃门，内含1层活动层板）+阶梯药架（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阶梯药架）；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44A6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9B4D7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22</w:t>
            </w:r>
          </w:p>
        </w:tc>
        <w:tc>
          <w:tcPr>
            <w:tcW w:w="1485" w:type="dxa"/>
            <w:tcBorders>
              <w:top w:val="single" w:color="000000" w:sz="4" w:space="0"/>
              <w:left w:val="single" w:color="000000" w:sz="4" w:space="0"/>
              <w:bottom w:val="single" w:color="000000" w:sz="4" w:space="0"/>
              <w:right w:val="single" w:color="000000" w:sz="4" w:space="0"/>
            </w:tcBorders>
            <w:vAlign w:val="center"/>
          </w:tcPr>
          <w:p w14:paraId="6FEDC08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医用配药吊柜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145E693">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500*350*800mm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21E69E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223C34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7D4D317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6138B2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2、厚度：层板、底板厚度为25mm，顶板、侧板、门板厚度为16mm；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1、配置：主柜（木框玻璃门，内含1层活动层板）+阶梯药架（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阶梯药架）；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261F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796A67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23</w:t>
            </w:r>
          </w:p>
        </w:tc>
        <w:tc>
          <w:tcPr>
            <w:tcW w:w="1485" w:type="dxa"/>
            <w:tcBorders>
              <w:top w:val="single" w:color="000000" w:sz="4" w:space="0"/>
              <w:left w:val="single" w:color="000000" w:sz="4" w:space="0"/>
              <w:bottom w:val="single" w:color="000000" w:sz="4" w:space="0"/>
              <w:right w:val="single" w:color="000000" w:sz="4" w:space="0"/>
            </w:tcBorders>
            <w:vAlign w:val="center"/>
          </w:tcPr>
          <w:p w14:paraId="03877FD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医用配药吊柜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E856D06">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550*350*800mm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1DCD87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B29E6D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860" w:type="dxa"/>
            <w:tcBorders>
              <w:top w:val="single" w:color="000000" w:sz="4" w:space="0"/>
              <w:left w:val="single" w:color="000000" w:sz="4" w:space="0"/>
              <w:bottom w:val="single" w:color="000000" w:sz="4" w:space="0"/>
              <w:right w:val="single" w:color="000000" w:sz="4" w:space="0"/>
            </w:tcBorders>
            <w:vAlign w:val="center"/>
          </w:tcPr>
          <w:p w14:paraId="15C9B3B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0FD04D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2、厚度：层板、底板厚度为25mm，顶板、侧板、门板厚度为16mm；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1、配置：主柜（木框玻璃门，内含1层活动层板）+阶梯药架（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阶梯药架）；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2FC6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CEC5F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24</w:t>
            </w:r>
          </w:p>
        </w:tc>
        <w:tc>
          <w:tcPr>
            <w:tcW w:w="1485" w:type="dxa"/>
            <w:tcBorders>
              <w:top w:val="single" w:color="000000" w:sz="4" w:space="0"/>
              <w:left w:val="single" w:color="000000" w:sz="4" w:space="0"/>
              <w:bottom w:val="single" w:color="000000" w:sz="4" w:space="0"/>
              <w:right w:val="single" w:color="000000" w:sz="4" w:space="0"/>
            </w:tcBorders>
            <w:vAlign w:val="center"/>
          </w:tcPr>
          <w:p w14:paraId="3DD7042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医用配药吊柜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F1CABB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800*350*800mm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9B54F4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CC5549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51</w:t>
            </w:r>
          </w:p>
        </w:tc>
        <w:tc>
          <w:tcPr>
            <w:tcW w:w="860" w:type="dxa"/>
            <w:tcBorders>
              <w:top w:val="single" w:color="000000" w:sz="4" w:space="0"/>
              <w:left w:val="single" w:color="000000" w:sz="4" w:space="0"/>
              <w:bottom w:val="single" w:color="000000" w:sz="4" w:space="0"/>
              <w:right w:val="single" w:color="000000" w:sz="4" w:space="0"/>
            </w:tcBorders>
            <w:vAlign w:val="center"/>
          </w:tcPr>
          <w:p w14:paraId="49EA8D4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4FE447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2、厚度：层板、底板厚度为25mm，顶板、侧板、门板厚度为16mm；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1、配置：主柜（木框玻璃门，内含1层活动层板）+阶梯药架（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阶梯药架）；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6CAD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536DF4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w:t>
            </w:r>
          </w:p>
        </w:tc>
        <w:tc>
          <w:tcPr>
            <w:tcW w:w="1485" w:type="dxa"/>
            <w:tcBorders>
              <w:top w:val="single" w:color="000000" w:sz="4" w:space="0"/>
              <w:left w:val="single" w:color="000000" w:sz="4" w:space="0"/>
              <w:bottom w:val="single" w:color="000000" w:sz="4" w:space="0"/>
              <w:right w:val="single" w:color="000000" w:sz="4" w:space="0"/>
            </w:tcBorders>
            <w:vAlign w:val="center"/>
          </w:tcPr>
          <w:p w14:paraId="1CA0A86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医用配药吊柜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DDF2E2C">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900*350*800mm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09B9F3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4FD5DA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860" w:type="dxa"/>
            <w:tcBorders>
              <w:top w:val="single" w:color="000000" w:sz="4" w:space="0"/>
              <w:left w:val="single" w:color="000000" w:sz="4" w:space="0"/>
              <w:bottom w:val="single" w:color="000000" w:sz="4" w:space="0"/>
              <w:right w:val="single" w:color="000000" w:sz="4" w:space="0"/>
            </w:tcBorders>
            <w:vAlign w:val="center"/>
          </w:tcPr>
          <w:p w14:paraId="35CDD2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91D5D6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2、厚度：层板、底板厚度为25mm，顶板、侧板、门板厚度为16mm；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1、配置：主柜（木框玻璃门，内含1层活动层板）+阶梯药架（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阶梯药架）；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10DE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0BF947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w:t>
            </w:r>
          </w:p>
        </w:tc>
        <w:tc>
          <w:tcPr>
            <w:tcW w:w="1485" w:type="dxa"/>
            <w:tcBorders>
              <w:top w:val="single" w:color="000000" w:sz="4" w:space="0"/>
              <w:left w:val="single" w:color="000000" w:sz="4" w:space="0"/>
              <w:bottom w:val="single" w:color="000000" w:sz="4" w:space="0"/>
              <w:right w:val="single" w:color="000000" w:sz="4" w:space="0"/>
            </w:tcBorders>
            <w:vAlign w:val="center"/>
          </w:tcPr>
          <w:p w14:paraId="7C0C67B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医用配药吊柜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2A27D97">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950*350*800mm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9EF51E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D90165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07D09D1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1B14B8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2、厚度：层板、底板厚度为25mm，顶板、侧板、门板厚度为16mm；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1、配置：主柜（木框玻璃门，内含1层活动层板）+阶梯药架（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阶梯药架）；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43EE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4A6B1E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27</w:t>
            </w:r>
          </w:p>
        </w:tc>
        <w:tc>
          <w:tcPr>
            <w:tcW w:w="1485" w:type="dxa"/>
            <w:tcBorders>
              <w:top w:val="single" w:color="000000" w:sz="4" w:space="0"/>
              <w:left w:val="single" w:color="000000" w:sz="4" w:space="0"/>
              <w:bottom w:val="single" w:color="000000" w:sz="4" w:space="0"/>
              <w:right w:val="single" w:color="000000" w:sz="4" w:space="0"/>
            </w:tcBorders>
            <w:vAlign w:val="center"/>
          </w:tcPr>
          <w:p w14:paraId="1E4CD42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C7CB948">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400*600*850mm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6F8888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F67F3F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64FD13C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C1CCBE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6CBA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9E7C7D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28</w:t>
            </w:r>
          </w:p>
        </w:tc>
        <w:tc>
          <w:tcPr>
            <w:tcW w:w="1485" w:type="dxa"/>
            <w:tcBorders>
              <w:top w:val="single" w:color="000000" w:sz="4" w:space="0"/>
              <w:left w:val="single" w:color="000000" w:sz="4" w:space="0"/>
              <w:bottom w:val="single" w:color="000000" w:sz="4" w:space="0"/>
              <w:right w:val="single" w:color="000000" w:sz="4" w:space="0"/>
            </w:tcBorders>
            <w:vAlign w:val="center"/>
          </w:tcPr>
          <w:p w14:paraId="7A61DF9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205A17E">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450*600*850mm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FD942A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5FA3407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4DCE97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5353A5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3FA3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BC76B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29</w:t>
            </w:r>
          </w:p>
        </w:tc>
        <w:tc>
          <w:tcPr>
            <w:tcW w:w="1485" w:type="dxa"/>
            <w:tcBorders>
              <w:top w:val="single" w:color="000000" w:sz="4" w:space="0"/>
              <w:left w:val="single" w:color="000000" w:sz="4" w:space="0"/>
              <w:bottom w:val="single" w:color="000000" w:sz="4" w:space="0"/>
              <w:right w:val="single" w:color="000000" w:sz="4" w:space="0"/>
            </w:tcBorders>
            <w:vAlign w:val="center"/>
          </w:tcPr>
          <w:p w14:paraId="36CFFCC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A4E136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500*600*850mm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6A24166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4481C9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36DE31B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5A89C7C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3A5E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47B2B9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30</w:t>
            </w:r>
          </w:p>
        </w:tc>
        <w:tc>
          <w:tcPr>
            <w:tcW w:w="1485" w:type="dxa"/>
            <w:tcBorders>
              <w:top w:val="single" w:color="000000" w:sz="4" w:space="0"/>
              <w:left w:val="single" w:color="000000" w:sz="4" w:space="0"/>
              <w:bottom w:val="single" w:color="000000" w:sz="4" w:space="0"/>
              <w:right w:val="single" w:color="000000" w:sz="4" w:space="0"/>
            </w:tcBorders>
            <w:vAlign w:val="center"/>
          </w:tcPr>
          <w:p w14:paraId="52C919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F70F3A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550*600*850mm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1743E15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56F6551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860" w:type="dxa"/>
            <w:tcBorders>
              <w:top w:val="single" w:color="000000" w:sz="4" w:space="0"/>
              <w:left w:val="single" w:color="000000" w:sz="4" w:space="0"/>
              <w:bottom w:val="single" w:color="000000" w:sz="4" w:space="0"/>
              <w:right w:val="single" w:color="000000" w:sz="4" w:space="0"/>
            </w:tcBorders>
            <w:vAlign w:val="center"/>
          </w:tcPr>
          <w:p w14:paraId="713278D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C3D731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0CBF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A391A5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31</w:t>
            </w:r>
          </w:p>
        </w:tc>
        <w:tc>
          <w:tcPr>
            <w:tcW w:w="1485" w:type="dxa"/>
            <w:tcBorders>
              <w:top w:val="single" w:color="000000" w:sz="4" w:space="0"/>
              <w:left w:val="single" w:color="000000" w:sz="4" w:space="0"/>
              <w:bottom w:val="single" w:color="000000" w:sz="4" w:space="0"/>
              <w:right w:val="single" w:color="000000" w:sz="4" w:space="0"/>
            </w:tcBorders>
            <w:vAlign w:val="center"/>
          </w:tcPr>
          <w:p w14:paraId="15A3841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34B5102">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650*600*850mm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1695855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2DB6D44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762EEDA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DA6A0F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622F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59E84A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32</w:t>
            </w:r>
          </w:p>
        </w:tc>
        <w:tc>
          <w:tcPr>
            <w:tcW w:w="1485" w:type="dxa"/>
            <w:tcBorders>
              <w:top w:val="single" w:color="000000" w:sz="4" w:space="0"/>
              <w:left w:val="single" w:color="000000" w:sz="4" w:space="0"/>
              <w:bottom w:val="single" w:color="000000" w:sz="4" w:space="0"/>
              <w:right w:val="single" w:color="000000" w:sz="4" w:space="0"/>
            </w:tcBorders>
            <w:vAlign w:val="center"/>
          </w:tcPr>
          <w:p w14:paraId="085021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FABB4A9">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E583E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050B14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66</w:t>
            </w:r>
          </w:p>
        </w:tc>
        <w:tc>
          <w:tcPr>
            <w:tcW w:w="860" w:type="dxa"/>
            <w:tcBorders>
              <w:top w:val="single" w:color="000000" w:sz="4" w:space="0"/>
              <w:left w:val="single" w:color="000000" w:sz="4" w:space="0"/>
              <w:bottom w:val="single" w:color="000000" w:sz="4" w:space="0"/>
              <w:right w:val="single" w:color="000000" w:sz="4" w:space="0"/>
            </w:tcBorders>
            <w:vAlign w:val="center"/>
          </w:tcPr>
          <w:p w14:paraId="0FFB84F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1DDC7A0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1344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148D8B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w:t>
            </w:r>
          </w:p>
        </w:tc>
        <w:tc>
          <w:tcPr>
            <w:tcW w:w="1485" w:type="dxa"/>
            <w:tcBorders>
              <w:top w:val="single" w:color="000000" w:sz="4" w:space="0"/>
              <w:left w:val="single" w:color="000000" w:sz="4" w:space="0"/>
              <w:bottom w:val="single" w:color="000000" w:sz="4" w:space="0"/>
              <w:right w:val="single" w:color="000000" w:sz="4" w:space="0"/>
            </w:tcBorders>
            <w:vAlign w:val="center"/>
          </w:tcPr>
          <w:p w14:paraId="7AC37DF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5A695A0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7BAA03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516AA2D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7A3CFFC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12D34E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791A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B9171B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34</w:t>
            </w:r>
          </w:p>
        </w:tc>
        <w:tc>
          <w:tcPr>
            <w:tcW w:w="1485" w:type="dxa"/>
            <w:tcBorders>
              <w:top w:val="single" w:color="000000" w:sz="4" w:space="0"/>
              <w:left w:val="single" w:color="000000" w:sz="4" w:space="0"/>
              <w:bottom w:val="single" w:color="000000" w:sz="4" w:space="0"/>
              <w:right w:val="single" w:color="000000" w:sz="4" w:space="0"/>
            </w:tcBorders>
            <w:vAlign w:val="center"/>
          </w:tcPr>
          <w:p w14:paraId="5441F28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医用配药地柜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F8F0D2D">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950*600*850mm</w:t>
            </w:r>
          </w:p>
        </w:tc>
        <w:tc>
          <w:tcPr>
            <w:tcW w:w="441" w:type="dxa"/>
            <w:tcBorders>
              <w:top w:val="single" w:color="000000" w:sz="4" w:space="0"/>
              <w:left w:val="single" w:color="000000" w:sz="4" w:space="0"/>
              <w:bottom w:val="single" w:color="000000" w:sz="4" w:space="0"/>
              <w:right w:val="single" w:color="000000" w:sz="4" w:space="0"/>
            </w:tcBorders>
            <w:noWrap/>
            <w:vAlign w:val="center"/>
          </w:tcPr>
          <w:p w14:paraId="0C75B8A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noWrap/>
            <w:vAlign w:val="center"/>
          </w:tcPr>
          <w:p w14:paraId="5BD623F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27A2028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5D7CBDA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2、厚度：层板厚度为25mm，面板、侧板、门板、抽面厚度为16mm；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1、结构：底板面离地高度200mm，保证无菌存放要求；抽屉内可设置物品分类格；柜底安装调节脚和踢脚板；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2、配置：主柜（上抽下门，内含1层活动层板）+铝合金踢脚板+ABS塑料调节脚+人造石面+抽内物品分类格；</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7EDD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3972E5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35</w:t>
            </w:r>
          </w:p>
        </w:tc>
        <w:tc>
          <w:tcPr>
            <w:tcW w:w="1485" w:type="dxa"/>
            <w:tcBorders>
              <w:top w:val="single" w:color="000000" w:sz="4" w:space="0"/>
              <w:left w:val="single" w:color="000000" w:sz="4" w:space="0"/>
              <w:bottom w:val="single" w:color="000000" w:sz="4" w:space="0"/>
              <w:right w:val="single" w:color="000000" w:sz="4" w:space="0"/>
            </w:tcBorders>
            <w:vAlign w:val="center"/>
          </w:tcPr>
          <w:p w14:paraId="0DE022F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医用转角配药地柜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1D08253">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600*900*850mm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2A8BB7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6DF100E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6191F45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7D95D9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1、材质：全部采用木纹色E1级多层实芯环保生态板，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2、厚度：面板、底板、侧板、背板厚度为16mm；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1、配置：主柜+铝合金踢脚板（100H）+ABS塑料调节脚+人造石面+人造石洗手盆带不锈钢下水器+水龙头（</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水龙头）；</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13EB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0A272F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36</w:t>
            </w:r>
          </w:p>
        </w:tc>
        <w:tc>
          <w:tcPr>
            <w:tcW w:w="1485" w:type="dxa"/>
            <w:tcBorders>
              <w:top w:val="single" w:color="000000" w:sz="4" w:space="0"/>
              <w:left w:val="single" w:color="000000" w:sz="4" w:space="0"/>
              <w:bottom w:val="single" w:color="000000" w:sz="4" w:space="0"/>
              <w:right w:val="single" w:color="000000" w:sz="4" w:space="0"/>
            </w:tcBorders>
            <w:vAlign w:val="center"/>
          </w:tcPr>
          <w:p w14:paraId="141B7C7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医用转角配药地柜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9692831">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900*900*850mm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63D451E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7EC2435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860" w:type="dxa"/>
            <w:tcBorders>
              <w:top w:val="single" w:color="000000" w:sz="4" w:space="0"/>
              <w:left w:val="single" w:color="000000" w:sz="4" w:space="0"/>
              <w:bottom w:val="single" w:color="000000" w:sz="4" w:space="0"/>
              <w:right w:val="single" w:color="000000" w:sz="4" w:space="0"/>
            </w:tcBorders>
            <w:vAlign w:val="center"/>
          </w:tcPr>
          <w:p w14:paraId="21323E7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2E2392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1、材质：全部采用木纹色E1级多层实芯环保生态板，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2、厚度：面板、底板、侧板、背板厚度为16mm；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1、配置：主柜+铝合金踢脚板（100H）+ABS塑料调节脚+人造石面+人造石洗手盆带不锈钢下水器+水龙头（</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水龙头）；</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1D46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7"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C7C2C6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37</w:t>
            </w:r>
          </w:p>
        </w:tc>
        <w:tc>
          <w:tcPr>
            <w:tcW w:w="1485" w:type="dxa"/>
            <w:tcBorders>
              <w:top w:val="single" w:color="000000" w:sz="4" w:space="0"/>
              <w:left w:val="single" w:color="000000" w:sz="4" w:space="0"/>
              <w:bottom w:val="single" w:color="000000" w:sz="4" w:space="0"/>
              <w:right w:val="single" w:color="000000" w:sz="4" w:space="0"/>
            </w:tcBorders>
            <w:vAlign w:val="center"/>
          </w:tcPr>
          <w:p w14:paraId="0D55027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医用配药分类垃圾柜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ABED20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400*600*850mm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1C73DC5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D664D8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070A0C0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9FECA5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2、厚度：面板、侧板、底板、背板、门板厚度为16mm；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1、结构：台面开孔，柜内安装连动式脚踏翻转系统，开关免手触，避免操作过程中的二次感染或交叉感染；</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2、配置：主柜+铝合金踢脚板（100H）+ABS塑料调节脚+脚踏翻转系统+人造台面+垃圾桶（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垃圾桶）；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6D02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B22A54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38</w:t>
            </w:r>
          </w:p>
        </w:tc>
        <w:tc>
          <w:tcPr>
            <w:tcW w:w="1485" w:type="dxa"/>
            <w:tcBorders>
              <w:top w:val="single" w:color="000000" w:sz="4" w:space="0"/>
              <w:left w:val="single" w:color="000000" w:sz="4" w:space="0"/>
              <w:bottom w:val="single" w:color="000000" w:sz="4" w:space="0"/>
              <w:right w:val="single" w:color="000000" w:sz="4" w:space="0"/>
            </w:tcBorders>
            <w:vAlign w:val="center"/>
          </w:tcPr>
          <w:p w14:paraId="4C04AC4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医用配药分类垃圾柜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E2C389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450*600*850mm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D282BD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6EA58FF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34</w:t>
            </w:r>
          </w:p>
        </w:tc>
        <w:tc>
          <w:tcPr>
            <w:tcW w:w="860" w:type="dxa"/>
            <w:tcBorders>
              <w:top w:val="single" w:color="000000" w:sz="4" w:space="0"/>
              <w:left w:val="single" w:color="000000" w:sz="4" w:space="0"/>
              <w:bottom w:val="single" w:color="000000" w:sz="4" w:space="0"/>
              <w:right w:val="single" w:color="000000" w:sz="4" w:space="0"/>
            </w:tcBorders>
            <w:vAlign w:val="center"/>
          </w:tcPr>
          <w:p w14:paraId="6E0771D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95B153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2、厚度：面板、侧板、底板、背板、门板厚度为16mm；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1、结构：台面开孔，柜内安装连动式脚踏翻转系统，开关免手触，避免操作过程中的二次感染或交叉感染；</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2、配置：主柜+铝合金踢脚板（100H）+ABS塑料调节脚+脚踏翻转系统+人造台面+垃圾桶（</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垃圾桶）；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0546C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41C9C2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39</w:t>
            </w:r>
          </w:p>
        </w:tc>
        <w:tc>
          <w:tcPr>
            <w:tcW w:w="1485" w:type="dxa"/>
            <w:tcBorders>
              <w:top w:val="single" w:color="000000" w:sz="4" w:space="0"/>
              <w:left w:val="single" w:color="000000" w:sz="4" w:space="0"/>
              <w:bottom w:val="single" w:color="000000" w:sz="4" w:space="0"/>
              <w:right w:val="single" w:color="000000" w:sz="4" w:space="0"/>
            </w:tcBorders>
            <w:vAlign w:val="center"/>
          </w:tcPr>
          <w:p w14:paraId="35F7854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医用配药洗消柜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13577D1">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800*600*800mm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0755AD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4A16EC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860" w:type="dxa"/>
            <w:tcBorders>
              <w:top w:val="single" w:color="000000" w:sz="4" w:space="0"/>
              <w:left w:val="single" w:color="000000" w:sz="4" w:space="0"/>
              <w:bottom w:val="single" w:color="000000" w:sz="4" w:space="0"/>
              <w:right w:val="single" w:color="000000" w:sz="4" w:space="0"/>
            </w:tcBorders>
            <w:vAlign w:val="center"/>
          </w:tcPr>
          <w:p w14:paraId="70250A5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4D23F0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1、材质：全部采用木纹色E1级多层实芯环保生态板，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2、厚度：面板、底板、侧板、背板厚度为16mm；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3、台面采用人造石；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1、配置：主柜+铝合金踢脚板（100H）+ABS塑料调节脚+人造石面+人造石洗手盆带不锈钢下水器+水龙头（</w:t>
            </w:r>
            <w:r>
              <w:rPr>
                <w:rFonts w:hint="eastAsia" w:ascii="宋体" w:hAnsi="宋体" w:cs="宋体"/>
                <w:i w:val="0"/>
                <w:iCs w:val="0"/>
                <w:color w:val="000000"/>
                <w:kern w:val="0"/>
                <w:sz w:val="21"/>
                <w:szCs w:val="21"/>
                <w:highlight w:val="none"/>
                <w:u w:val="none"/>
                <w:lang w:val="en-US" w:eastAsia="zh-CN"/>
              </w:rPr>
              <w:t>不含水龙头</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1、见光面为2.0mm厚全自动封边工艺。</w:t>
            </w:r>
          </w:p>
        </w:tc>
      </w:tr>
      <w:tr w14:paraId="3C16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002AC9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40</w:t>
            </w:r>
          </w:p>
        </w:tc>
        <w:tc>
          <w:tcPr>
            <w:tcW w:w="1485" w:type="dxa"/>
            <w:tcBorders>
              <w:top w:val="single" w:color="000000" w:sz="4" w:space="0"/>
              <w:left w:val="single" w:color="000000" w:sz="4" w:space="0"/>
              <w:bottom w:val="single" w:color="000000" w:sz="4" w:space="0"/>
              <w:right w:val="single" w:color="000000" w:sz="4" w:space="0"/>
            </w:tcBorders>
            <w:vAlign w:val="center"/>
          </w:tcPr>
          <w:p w14:paraId="56460E8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医用人造石</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B459B2D">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W*600*12mm</w:t>
            </w:r>
          </w:p>
        </w:tc>
        <w:tc>
          <w:tcPr>
            <w:tcW w:w="441" w:type="dxa"/>
            <w:tcBorders>
              <w:top w:val="single" w:color="000000" w:sz="4" w:space="0"/>
              <w:left w:val="single" w:color="000000" w:sz="4" w:space="0"/>
              <w:bottom w:val="single" w:color="000000" w:sz="4" w:space="0"/>
              <w:right w:val="single" w:color="000000" w:sz="4" w:space="0"/>
            </w:tcBorders>
            <w:vAlign w:val="center"/>
          </w:tcPr>
          <w:p w14:paraId="7F4E5C7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m</w:t>
            </w:r>
          </w:p>
        </w:tc>
        <w:tc>
          <w:tcPr>
            <w:tcW w:w="717" w:type="dxa"/>
            <w:tcBorders>
              <w:top w:val="single" w:color="000000" w:sz="4" w:space="0"/>
              <w:left w:val="single" w:color="000000" w:sz="4" w:space="0"/>
              <w:bottom w:val="single" w:color="000000" w:sz="4" w:space="0"/>
              <w:right w:val="single" w:color="000000" w:sz="4" w:space="0"/>
            </w:tcBorders>
            <w:vAlign w:val="center"/>
          </w:tcPr>
          <w:p w14:paraId="594B073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349.462</w:t>
            </w:r>
          </w:p>
        </w:tc>
        <w:tc>
          <w:tcPr>
            <w:tcW w:w="860" w:type="dxa"/>
            <w:tcBorders>
              <w:top w:val="single" w:color="000000" w:sz="4" w:space="0"/>
              <w:left w:val="single" w:color="000000" w:sz="4" w:space="0"/>
              <w:bottom w:val="single" w:color="000000" w:sz="4" w:space="0"/>
              <w:right w:val="single" w:color="000000" w:sz="4" w:space="0"/>
            </w:tcBorders>
            <w:vAlign w:val="center"/>
          </w:tcPr>
          <w:p w14:paraId="71DA022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007AFE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1、采用铝粉成份人造石；</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2、厚度11-12mm；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1、现场拼接而成；</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四、工艺/其他说明：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1、需一体化浇注而成，用同色胶水接驳，做到无缝效果；</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2、前端线型厚度42mm，后挡水高50mm；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3、按延米计算，大于或小于标准宽度乘以相应系数；</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4、常规包装为拉伸膜缠纠包装，打木架包装需加收包装费，按石面延米计算。</w:t>
            </w:r>
          </w:p>
        </w:tc>
      </w:tr>
      <w:tr w14:paraId="19ED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6196D1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41</w:t>
            </w:r>
          </w:p>
        </w:tc>
        <w:tc>
          <w:tcPr>
            <w:tcW w:w="1485" w:type="dxa"/>
            <w:tcBorders>
              <w:top w:val="single" w:color="000000" w:sz="4" w:space="0"/>
              <w:left w:val="single" w:color="000000" w:sz="4" w:space="0"/>
              <w:bottom w:val="single" w:color="000000" w:sz="4" w:space="0"/>
              <w:right w:val="single" w:color="000000" w:sz="4" w:space="0"/>
            </w:tcBorders>
            <w:vAlign w:val="center"/>
          </w:tcPr>
          <w:p w14:paraId="431B133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医用肌注台</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3976B1B">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6446493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4538CB8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7643FD3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1C8A92E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1、材质：台面板、柜身采用木纹色E1级多层实芯环保生态板；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2、材质：整个垃圾抽屉和其它3个抽面为木纹色E1级多层实芯环保生态板；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3、厚度：台面板、侧脚板厚度为25mm，侧板、挡板、背板、底板、抽面厚度为16mm；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1、配置：台面板+2个抽屉+1个垃圾抽屉+50mm厚西皮软包垫。</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4125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A63764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42</w:t>
            </w:r>
          </w:p>
        </w:tc>
        <w:tc>
          <w:tcPr>
            <w:tcW w:w="1485" w:type="dxa"/>
            <w:tcBorders>
              <w:top w:val="single" w:color="000000" w:sz="4" w:space="0"/>
              <w:left w:val="single" w:color="000000" w:sz="4" w:space="0"/>
              <w:bottom w:val="single" w:color="000000" w:sz="4" w:space="0"/>
              <w:right w:val="single" w:color="000000" w:sz="4" w:space="0"/>
            </w:tcBorders>
            <w:vAlign w:val="center"/>
          </w:tcPr>
          <w:p w14:paraId="5DA8F37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医用肌注椅</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A2C3F50">
            <w:pPr>
              <w:keepNext w:val="0"/>
              <w:keepLines w:val="0"/>
              <w:pageBreakBefore w:val="0"/>
              <w:kinsoku/>
              <w:wordWrap/>
              <w:overflowPunct/>
              <w:topLinePunct w:val="0"/>
              <w:autoSpaceDE/>
              <w:autoSpaceDN/>
              <w:bidi w:val="0"/>
              <w:adjustRightInd w:val="0"/>
              <w:snapToGrid/>
              <w:spacing w:line="320" w:lineRule="exact"/>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kern w:val="0"/>
                <w:sz w:val="21"/>
                <w:szCs w:val="21"/>
                <w:highlight w:val="none"/>
                <w:u w:val="none"/>
                <w:lang w:val="en-US" w:eastAsia="zh-CN"/>
              </w:rPr>
              <w:t>400</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cs="宋体"/>
                <w:i w:val="0"/>
                <w:iCs w:val="0"/>
                <w:color w:val="000000"/>
                <w:kern w:val="0"/>
                <w:sz w:val="21"/>
                <w:szCs w:val="21"/>
                <w:highlight w:val="none"/>
                <w:u w:val="none"/>
                <w:lang w:val="en-US" w:eastAsia="zh-CN"/>
              </w:rPr>
              <w:t>400</w:t>
            </w:r>
            <w:r>
              <w:rPr>
                <w:rFonts w:hint="eastAsia" w:ascii="宋体" w:hAnsi="宋体" w:eastAsia="宋体" w:cs="宋体"/>
                <w:i w:val="0"/>
                <w:iCs w:val="0"/>
                <w:color w:val="000000"/>
                <w:kern w:val="0"/>
                <w:sz w:val="21"/>
                <w:szCs w:val="21"/>
                <w:highlight w:val="none"/>
                <w:u w:val="none"/>
                <w:lang w:val="en-US" w:eastAsia="zh-CN"/>
              </w:rPr>
              <w:t>*750mm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C577F6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4990C6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4A0B15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6D70FF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1、采用橡胶木实木材料，自然木纹，保留天然特性；</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2、四腿落地，榫卯结构；油漆经过净味环保喷漆处理，5层底油及3层面漆，在无尘的面漆房喷涂处理,达到国际E1级环保标准；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p>
        </w:tc>
      </w:tr>
      <w:tr w14:paraId="7898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AEBBD4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43</w:t>
            </w:r>
          </w:p>
        </w:tc>
        <w:tc>
          <w:tcPr>
            <w:tcW w:w="1485" w:type="dxa"/>
            <w:tcBorders>
              <w:top w:val="single" w:color="000000" w:sz="4" w:space="0"/>
              <w:left w:val="single" w:color="000000" w:sz="4" w:space="0"/>
              <w:bottom w:val="single" w:color="000000" w:sz="4" w:space="0"/>
              <w:right w:val="single" w:color="000000" w:sz="4" w:space="0"/>
            </w:tcBorders>
            <w:vAlign w:val="center"/>
          </w:tcPr>
          <w:p w14:paraId="1A8B8D7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医用控制台</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8A1954B">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AE365C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34AC294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1F76D8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23EA86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2、厚度：台面板厚度为25mm；侧封板厚度为16mm；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1、配置：台面板+2个塑料键盘架+2个钢管主机架+C形钢脚架；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0911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640224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44</w:t>
            </w:r>
          </w:p>
        </w:tc>
        <w:tc>
          <w:tcPr>
            <w:tcW w:w="1485" w:type="dxa"/>
            <w:tcBorders>
              <w:top w:val="single" w:color="000000" w:sz="4" w:space="0"/>
              <w:left w:val="single" w:color="000000" w:sz="4" w:space="0"/>
              <w:bottom w:val="single" w:color="000000" w:sz="4" w:space="0"/>
              <w:right w:val="single" w:color="000000" w:sz="4" w:space="0"/>
            </w:tcBorders>
            <w:vAlign w:val="center"/>
          </w:tcPr>
          <w:p w14:paraId="0F1E66E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医用诊桌</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F5FFA08">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1400*1400*750mm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D86B42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20E5A06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w:t>
            </w:r>
          </w:p>
        </w:tc>
        <w:tc>
          <w:tcPr>
            <w:tcW w:w="860" w:type="dxa"/>
            <w:tcBorders>
              <w:top w:val="single" w:color="000000" w:sz="4" w:space="0"/>
              <w:left w:val="single" w:color="000000" w:sz="4" w:space="0"/>
              <w:bottom w:val="single" w:color="000000" w:sz="4" w:space="0"/>
              <w:right w:val="single" w:color="000000" w:sz="4" w:space="0"/>
            </w:tcBorders>
            <w:vAlign w:val="center"/>
          </w:tcPr>
          <w:p w14:paraId="5E2ACC3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EF9724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2、厚度：面板、副柜面板厚度为25mm，侧板、背板、抽面、门板厚度为16mm；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1、配置：主台+异形钢脚架+弧形钢吊挡板+副柜（上单据格下1带锁抽屉+主机柜+单门柜）+Φ60</w:t>
            </w:r>
            <w:r>
              <w:rPr>
                <w:rFonts w:hint="eastAsia" w:ascii="宋体" w:hAnsi="宋体" w:cs="宋体"/>
                <w:i w:val="0"/>
                <w:iCs w:val="0"/>
                <w:color w:val="000000"/>
                <w:kern w:val="0"/>
                <w:sz w:val="21"/>
                <w:szCs w:val="21"/>
                <w:highlight w:val="none"/>
                <w:u w:val="none"/>
                <w:lang w:val="en-US" w:eastAsia="zh-CN"/>
              </w:rPr>
              <w:t>mm</w:t>
            </w:r>
            <w:r>
              <w:rPr>
                <w:rFonts w:hint="eastAsia" w:ascii="宋体" w:hAnsi="宋体" w:eastAsia="宋体" w:cs="宋体"/>
                <w:i w:val="0"/>
                <w:iCs w:val="0"/>
                <w:color w:val="000000"/>
                <w:kern w:val="0"/>
                <w:sz w:val="21"/>
                <w:szCs w:val="21"/>
                <w:highlight w:val="none"/>
                <w:u w:val="none"/>
                <w:lang w:val="en-US" w:eastAsia="zh-CN"/>
              </w:rPr>
              <w:t>金属圆柱支撑+塑料键盘架。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1、三节路轨、锁具均采用产品；</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4DE9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351105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45</w:t>
            </w:r>
          </w:p>
        </w:tc>
        <w:tc>
          <w:tcPr>
            <w:tcW w:w="1485" w:type="dxa"/>
            <w:tcBorders>
              <w:top w:val="single" w:color="000000" w:sz="4" w:space="0"/>
              <w:left w:val="single" w:color="000000" w:sz="4" w:space="0"/>
              <w:bottom w:val="single" w:color="000000" w:sz="4" w:space="0"/>
              <w:right w:val="single" w:color="000000" w:sz="4" w:space="0"/>
            </w:tcBorders>
            <w:vAlign w:val="center"/>
          </w:tcPr>
          <w:p w14:paraId="78338AD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医用诊查床</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90D9281">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1900*600*680mm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A853F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7E9BD15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17</w:t>
            </w:r>
          </w:p>
        </w:tc>
        <w:tc>
          <w:tcPr>
            <w:tcW w:w="860" w:type="dxa"/>
            <w:tcBorders>
              <w:top w:val="single" w:color="000000" w:sz="4" w:space="0"/>
              <w:left w:val="single" w:color="000000" w:sz="4" w:space="0"/>
              <w:bottom w:val="single" w:color="000000" w:sz="4" w:space="0"/>
              <w:right w:val="single" w:color="000000" w:sz="4" w:space="0"/>
            </w:tcBorders>
            <w:vAlign w:val="center"/>
          </w:tcPr>
          <w:p w14:paraId="19FFD77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41E088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2、厚度：面板厚度为25mm，侧板、门板、背板、抽面、挡板厚度为16mm；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1、配置：床架（左右为单抽单门柜）+双挡板+50mm厚西皮软包垫；</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14F8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51AB18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46</w:t>
            </w:r>
          </w:p>
        </w:tc>
        <w:tc>
          <w:tcPr>
            <w:tcW w:w="1485" w:type="dxa"/>
            <w:tcBorders>
              <w:top w:val="single" w:color="000000" w:sz="4" w:space="0"/>
              <w:left w:val="single" w:color="000000" w:sz="4" w:space="0"/>
              <w:bottom w:val="single" w:color="000000" w:sz="4" w:space="0"/>
              <w:right w:val="single" w:color="000000" w:sz="4" w:space="0"/>
            </w:tcBorders>
            <w:vAlign w:val="center"/>
          </w:tcPr>
          <w:p w14:paraId="51215A0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医用工作台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DF0EA5D">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EC6E6D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3CE680D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15</w:t>
            </w:r>
          </w:p>
        </w:tc>
        <w:tc>
          <w:tcPr>
            <w:tcW w:w="860" w:type="dxa"/>
            <w:tcBorders>
              <w:top w:val="single" w:color="000000" w:sz="4" w:space="0"/>
              <w:left w:val="single" w:color="000000" w:sz="4" w:space="0"/>
              <w:bottom w:val="single" w:color="000000" w:sz="4" w:space="0"/>
              <w:right w:val="single" w:color="000000" w:sz="4" w:space="0"/>
            </w:tcBorders>
            <w:vAlign w:val="center"/>
          </w:tcPr>
          <w:p w14:paraId="0E00FEA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0AEBDE4">
            <w:pPr>
              <w:keepNext w:val="0"/>
              <w:keepLines w:val="0"/>
              <w:pageBreakBefore w:val="0"/>
              <w:widowControl/>
              <w:numPr>
                <w:ilvl w:val="0"/>
                <w:numId w:val="1"/>
              </w:numPr>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2、厚度：台面板厚度为25mm，侧板、背板、抽面、底板厚度为16mm；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1、配置：主台+50*50mm</w:t>
            </w:r>
            <w:r>
              <w:rPr>
                <w:rFonts w:hint="eastAsia" w:ascii="宋体" w:hAnsi="宋体" w:eastAsia="宋体" w:cs="宋体"/>
                <w:i w:val="0"/>
                <w:iCs w:val="0"/>
                <w:color w:val="000000"/>
                <w:kern w:val="0"/>
                <w:sz w:val="21"/>
                <w:szCs w:val="21"/>
                <w:highlight w:val="none"/>
                <w:u w:val="none"/>
                <w:lang w:val="en-US" w:eastAsia="zh-CN"/>
              </w:rPr>
              <w:t>钢脚架+三抽立柜+塑料键盘架+吊木挡板+钢管主机架+Φ60mm</w:t>
            </w:r>
            <w:r>
              <w:rPr>
                <w:rFonts w:hint="eastAsia" w:ascii="宋体" w:hAnsi="宋体" w:eastAsia="宋体" w:cs="宋体"/>
                <w:i w:val="0"/>
                <w:iCs w:val="0"/>
                <w:color w:val="000000"/>
                <w:kern w:val="0"/>
                <w:sz w:val="21"/>
                <w:szCs w:val="21"/>
                <w:highlight w:val="none"/>
                <w:u w:val="none"/>
                <w:lang w:val="en-US" w:eastAsia="zh-CN"/>
              </w:rPr>
              <w:t>金属线盒；</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p>
          <w:p w14:paraId="5C152181">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2F01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64F7F3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47</w:t>
            </w:r>
          </w:p>
        </w:tc>
        <w:tc>
          <w:tcPr>
            <w:tcW w:w="1485" w:type="dxa"/>
            <w:tcBorders>
              <w:top w:val="single" w:color="000000" w:sz="4" w:space="0"/>
              <w:left w:val="single" w:color="000000" w:sz="4" w:space="0"/>
              <w:bottom w:val="single" w:color="000000" w:sz="4" w:space="0"/>
              <w:right w:val="single" w:color="000000" w:sz="4" w:space="0"/>
            </w:tcBorders>
            <w:vAlign w:val="center"/>
          </w:tcPr>
          <w:p w14:paraId="58EBF4F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医用工作台</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0F039FD8">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2BB694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1467F2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860" w:type="dxa"/>
            <w:tcBorders>
              <w:top w:val="single" w:color="000000" w:sz="4" w:space="0"/>
              <w:left w:val="single" w:color="000000" w:sz="4" w:space="0"/>
              <w:bottom w:val="single" w:color="000000" w:sz="4" w:space="0"/>
              <w:right w:val="single" w:color="000000" w:sz="4" w:space="0"/>
            </w:tcBorders>
            <w:vAlign w:val="center"/>
          </w:tcPr>
          <w:p w14:paraId="7B596A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78722E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2、厚度：台面板厚度为25mm，侧板、背板、抽面、底板厚度为16mm；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1、配置：主台+50*50</w:t>
            </w:r>
            <w:r>
              <w:rPr>
                <w:rFonts w:hint="eastAsia" w:ascii="宋体" w:hAnsi="宋体" w:cs="宋体"/>
                <w:i w:val="0"/>
                <w:iCs w:val="0"/>
                <w:color w:val="000000"/>
                <w:kern w:val="0"/>
                <w:sz w:val="21"/>
                <w:szCs w:val="21"/>
                <w:highlight w:val="none"/>
                <w:u w:val="none"/>
                <w:lang w:val="en-US" w:eastAsia="zh-CN"/>
              </w:rPr>
              <w:t>mm</w:t>
            </w:r>
            <w:r>
              <w:rPr>
                <w:rFonts w:hint="eastAsia" w:ascii="宋体" w:hAnsi="宋体" w:eastAsia="宋体" w:cs="宋体"/>
                <w:i w:val="0"/>
                <w:iCs w:val="0"/>
                <w:color w:val="000000"/>
                <w:kern w:val="0"/>
                <w:sz w:val="21"/>
                <w:szCs w:val="21"/>
                <w:highlight w:val="none"/>
                <w:u w:val="none"/>
                <w:lang w:val="en-US" w:eastAsia="zh-CN"/>
              </w:rPr>
              <w:t>钢脚架+三抽立柜+塑料键盘架+吊木挡板+钢管主机架+Φ60</w:t>
            </w:r>
            <w:r>
              <w:rPr>
                <w:rFonts w:hint="eastAsia" w:ascii="宋体" w:hAnsi="宋体" w:cs="宋体"/>
                <w:i w:val="0"/>
                <w:iCs w:val="0"/>
                <w:color w:val="000000"/>
                <w:kern w:val="0"/>
                <w:sz w:val="21"/>
                <w:szCs w:val="21"/>
                <w:highlight w:val="none"/>
                <w:u w:val="none"/>
                <w:lang w:val="en-US" w:eastAsia="zh-CN"/>
              </w:rPr>
              <w:t>mm</w:t>
            </w:r>
            <w:r>
              <w:rPr>
                <w:rFonts w:hint="eastAsia" w:ascii="宋体" w:hAnsi="宋体" w:eastAsia="宋体" w:cs="宋体"/>
                <w:i w:val="0"/>
                <w:iCs w:val="0"/>
                <w:color w:val="000000"/>
                <w:kern w:val="0"/>
                <w:sz w:val="21"/>
                <w:szCs w:val="21"/>
                <w:highlight w:val="none"/>
                <w:u w:val="none"/>
                <w:lang w:val="en-US" w:eastAsia="zh-CN"/>
              </w:rPr>
              <w:t>金属线盒；</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014A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205EAC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48</w:t>
            </w:r>
          </w:p>
        </w:tc>
        <w:tc>
          <w:tcPr>
            <w:tcW w:w="1485" w:type="dxa"/>
            <w:tcBorders>
              <w:top w:val="single" w:color="000000" w:sz="4" w:space="0"/>
              <w:left w:val="single" w:color="000000" w:sz="4" w:space="0"/>
              <w:bottom w:val="single" w:color="000000" w:sz="4" w:space="0"/>
              <w:right w:val="single" w:color="000000" w:sz="4" w:space="0"/>
            </w:tcBorders>
            <w:vAlign w:val="center"/>
          </w:tcPr>
          <w:p w14:paraId="7FD524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医用资料柜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CC06EDC">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800*400*2000mm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6278E1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48D2FC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w:t>
            </w:r>
          </w:p>
        </w:tc>
        <w:tc>
          <w:tcPr>
            <w:tcW w:w="860" w:type="dxa"/>
            <w:tcBorders>
              <w:top w:val="single" w:color="000000" w:sz="4" w:space="0"/>
              <w:left w:val="single" w:color="000000" w:sz="4" w:space="0"/>
              <w:bottom w:val="single" w:color="000000" w:sz="4" w:space="0"/>
              <w:right w:val="single" w:color="000000" w:sz="4" w:space="0"/>
            </w:tcBorders>
            <w:vAlign w:val="center"/>
          </w:tcPr>
          <w:p w14:paraId="6307263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6AC019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2、厚度：顶板、层板厚度为25mm，侧板、门板、底板厚度为16mm；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1、配置：主柜（上下均为对开门，上木框玻璃门+2件活层，下木门+1件活层；带锁）；</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312D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6820AB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49</w:t>
            </w:r>
          </w:p>
        </w:tc>
        <w:tc>
          <w:tcPr>
            <w:tcW w:w="1485" w:type="dxa"/>
            <w:tcBorders>
              <w:top w:val="single" w:color="000000" w:sz="4" w:space="0"/>
              <w:left w:val="single" w:color="000000" w:sz="4" w:space="0"/>
              <w:bottom w:val="single" w:color="000000" w:sz="4" w:space="0"/>
              <w:right w:val="single" w:color="000000" w:sz="4" w:space="0"/>
            </w:tcBorders>
            <w:vAlign w:val="center"/>
          </w:tcPr>
          <w:p w14:paraId="30DBDEF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医用茶水柜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06D39CC">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900*420*900mm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1CA481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7E218B6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17A91AA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83B122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2、厚度：面板、活动层板厚度为25mm，侧板、底板、门板、抽面厚度为16mm；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1、配置：主柜（上抽下门）+1件活动层板；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09B7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003C95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50</w:t>
            </w:r>
          </w:p>
        </w:tc>
        <w:tc>
          <w:tcPr>
            <w:tcW w:w="1485" w:type="dxa"/>
            <w:tcBorders>
              <w:top w:val="single" w:color="000000" w:sz="4" w:space="0"/>
              <w:left w:val="single" w:color="000000" w:sz="4" w:space="0"/>
              <w:bottom w:val="single" w:color="000000" w:sz="4" w:space="0"/>
              <w:right w:val="single" w:color="000000" w:sz="4" w:space="0"/>
            </w:tcBorders>
            <w:vAlign w:val="center"/>
          </w:tcPr>
          <w:p w14:paraId="565400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医生值班床</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2E22A0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详见技术参数及性能配置要求</w:t>
            </w:r>
          </w:p>
        </w:tc>
        <w:tc>
          <w:tcPr>
            <w:tcW w:w="441" w:type="dxa"/>
            <w:tcBorders>
              <w:top w:val="single" w:color="000000" w:sz="4" w:space="0"/>
              <w:left w:val="single" w:color="000000" w:sz="4" w:space="0"/>
              <w:bottom w:val="single" w:color="000000" w:sz="4" w:space="0"/>
              <w:right w:val="single" w:color="000000" w:sz="4" w:space="0"/>
            </w:tcBorders>
            <w:vAlign w:val="center"/>
          </w:tcPr>
          <w:p w14:paraId="65B1B8E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56F2301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860" w:type="dxa"/>
            <w:tcBorders>
              <w:top w:val="single" w:color="000000" w:sz="4" w:space="0"/>
              <w:left w:val="single" w:color="000000" w:sz="4" w:space="0"/>
              <w:bottom w:val="single" w:color="000000" w:sz="4" w:space="0"/>
              <w:right w:val="single" w:color="000000" w:sz="4" w:space="0"/>
            </w:tcBorders>
            <w:vAlign w:val="center"/>
          </w:tcPr>
          <w:p w14:paraId="0D93893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5B9773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1、所有板材均采用松木；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2、床架立柱100*40*4mm条；床头床尾枋95*40mm，床侧枋120*20mm，护栏横枋条60*20mm，护栏竖枋条80*20mm；梯子枋85*25mm；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3、床板底架采用38*19mm杉木枋，床板面约70*13mm杉木枋；</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1、四腿落地，榫卯结构，颜色为松木本色；</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2、实木枋床板2件，不配蚊帐架；(含床垫）</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四、工艺/其他说明：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1、板件经喷环保漆处理，达到国际E1级环保标准。</w:t>
            </w:r>
          </w:p>
        </w:tc>
      </w:tr>
      <w:tr w14:paraId="5D51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489ACB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51</w:t>
            </w:r>
          </w:p>
        </w:tc>
        <w:tc>
          <w:tcPr>
            <w:tcW w:w="1485" w:type="dxa"/>
            <w:tcBorders>
              <w:top w:val="single" w:color="000000" w:sz="4" w:space="0"/>
              <w:left w:val="single" w:color="000000" w:sz="4" w:space="0"/>
              <w:bottom w:val="single" w:color="000000" w:sz="4" w:space="0"/>
              <w:right w:val="single" w:color="000000" w:sz="4" w:space="0"/>
            </w:tcBorders>
            <w:vAlign w:val="center"/>
          </w:tcPr>
          <w:p w14:paraId="3FB262B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医用储物柜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6CA14F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900*600*2000mm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D3F387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3EF9E44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860" w:type="dxa"/>
            <w:tcBorders>
              <w:top w:val="single" w:color="000000" w:sz="4" w:space="0"/>
              <w:left w:val="single" w:color="000000" w:sz="4" w:space="0"/>
              <w:bottom w:val="single" w:color="000000" w:sz="4" w:space="0"/>
              <w:right w:val="single" w:color="000000" w:sz="4" w:space="0"/>
            </w:tcBorders>
            <w:vAlign w:val="center"/>
          </w:tcPr>
          <w:p w14:paraId="281DD8E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193F349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2、厚度：顶板、层板厚度为25mm，侧板、门板、底板厚度为16mm；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1、配置：主柜（上下各分二层，对开门）+标签牌（</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标签牌）；</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2、平方数按正立面投影面积计算。</w:t>
            </w:r>
          </w:p>
        </w:tc>
      </w:tr>
      <w:tr w14:paraId="052E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36F28D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52</w:t>
            </w:r>
          </w:p>
        </w:tc>
        <w:tc>
          <w:tcPr>
            <w:tcW w:w="1485" w:type="dxa"/>
            <w:tcBorders>
              <w:top w:val="single" w:color="000000" w:sz="4" w:space="0"/>
              <w:left w:val="single" w:color="000000" w:sz="4" w:space="0"/>
              <w:bottom w:val="single" w:color="000000" w:sz="4" w:space="0"/>
              <w:right w:val="single" w:color="000000" w:sz="4" w:space="0"/>
            </w:tcBorders>
            <w:vAlign w:val="center"/>
          </w:tcPr>
          <w:p w14:paraId="448279F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医用储物柜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7D4A158">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800*600*2000mm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9BAA85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6266BC8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40</w:t>
            </w:r>
          </w:p>
        </w:tc>
        <w:tc>
          <w:tcPr>
            <w:tcW w:w="860" w:type="dxa"/>
            <w:tcBorders>
              <w:top w:val="single" w:color="000000" w:sz="4" w:space="0"/>
              <w:left w:val="single" w:color="000000" w:sz="4" w:space="0"/>
              <w:bottom w:val="single" w:color="000000" w:sz="4" w:space="0"/>
              <w:right w:val="single" w:color="000000" w:sz="4" w:space="0"/>
            </w:tcBorders>
            <w:vAlign w:val="center"/>
          </w:tcPr>
          <w:p w14:paraId="6D3A036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2F2513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2、厚度：顶板、层板厚度为25mm，侧板、门板、底板厚度为16mm；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1、配置：主柜（上下各分二层，对开门）+标签牌（</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标签牌）；</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2、平方数按正立面投影面积计算。</w:t>
            </w:r>
          </w:p>
        </w:tc>
      </w:tr>
      <w:tr w14:paraId="2350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1CF2BB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53</w:t>
            </w:r>
          </w:p>
        </w:tc>
        <w:tc>
          <w:tcPr>
            <w:tcW w:w="1485" w:type="dxa"/>
            <w:tcBorders>
              <w:top w:val="single" w:color="000000" w:sz="4" w:space="0"/>
              <w:left w:val="single" w:color="000000" w:sz="4" w:space="0"/>
              <w:bottom w:val="single" w:color="000000" w:sz="4" w:space="0"/>
              <w:right w:val="single" w:color="000000" w:sz="4" w:space="0"/>
            </w:tcBorders>
            <w:vAlign w:val="center"/>
          </w:tcPr>
          <w:p w14:paraId="24DC06F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医用货架</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1AABF3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1200*500*2000mm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49C1AC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769BF0F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32</w:t>
            </w:r>
          </w:p>
        </w:tc>
        <w:tc>
          <w:tcPr>
            <w:tcW w:w="860" w:type="dxa"/>
            <w:tcBorders>
              <w:top w:val="single" w:color="000000" w:sz="4" w:space="0"/>
              <w:left w:val="single" w:color="000000" w:sz="4" w:space="0"/>
              <w:bottom w:val="single" w:color="000000" w:sz="4" w:space="0"/>
              <w:right w:val="single" w:color="000000" w:sz="4" w:space="0"/>
            </w:tcBorders>
            <w:vAlign w:val="center"/>
          </w:tcPr>
          <w:p w14:paraId="083FC88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86EA98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1、采用冷轧钢板；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2、立柱用国标50X50XT1.5mm冷轧钢方管；</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3、挂板和托臂用国标2.0mm；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4、层板用国标0.8mm；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1、货架整体可以拆装，整架共分四层，每层节距可以自由调节，这样可以满足摆放不同大小的物品；</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2、配置：主架（配双侧立柱+层板挂板+顶底层板+顶底前后连接管+中3块活动层板）；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1、所有工件经数控激光切割、模具冲压、数控折弯、焊接、机器打磨而成，再经表洗、彩磷、清洗、烘干、静电喷涂、高温固化、安装而成。</w:t>
            </w:r>
          </w:p>
        </w:tc>
      </w:tr>
      <w:tr w14:paraId="6089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43FA79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54</w:t>
            </w:r>
          </w:p>
        </w:tc>
        <w:tc>
          <w:tcPr>
            <w:tcW w:w="1485" w:type="dxa"/>
            <w:tcBorders>
              <w:top w:val="single" w:color="000000" w:sz="4" w:space="0"/>
              <w:left w:val="single" w:color="000000" w:sz="4" w:space="0"/>
              <w:bottom w:val="single" w:color="000000" w:sz="4" w:space="0"/>
              <w:right w:val="single" w:color="000000" w:sz="4" w:space="0"/>
            </w:tcBorders>
            <w:vAlign w:val="center"/>
          </w:tcPr>
          <w:p w14:paraId="3C1CFF3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定制演讲台</w:t>
            </w:r>
          </w:p>
          <w:p w14:paraId="76C066D6">
            <w:pPr>
              <w:rPr>
                <w:highlight w:val="none"/>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DD573D7">
            <w:pPr>
              <w:keepNext w:val="0"/>
              <w:keepLines w:val="0"/>
              <w:pageBreakBefore w:val="0"/>
              <w:kinsoku/>
              <w:wordWrap/>
              <w:overflowPunct/>
              <w:topLinePunct w:val="0"/>
              <w:autoSpaceDE/>
              <w:autoSpaceDN/>
              <w:bidi w:val="0"/>
              <w:adjustRightInd w:val="0"/>
              <w:snapToGrid/>
              <w:spacing w:line="320" w:lineRule="exact"/>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700*600*1200mm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FD216F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05D2EE3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1D69597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11DB6B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（1）所有板材采用中密度纤维板基材，台面板、附柜顶板面贴AAA级胡桃木皮，木皮厚度为0.6mm，经过净味环保油漆处理，5层底油及3层面漆，在无尘的面漆房喷涂面漆,达到国际E1级环保标准；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（1）拼接结构；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4、工艺/其他说明：/</w:t>
            </w:r>
          </w:p>
        </w:tc>
      </w:tr>
      <w:tr w14:paraId="2887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E02AF5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55</w:t>
            </w:r>
          </w:p>
        </w:tc>
        <w:tc>
          <w:tcPr>
            <w:tcW w:w="1485" w:type="dxa"/>
            <w:tcBorders>
              <w:top w:val="single" w:color="000000" w:sz="4" w:space="0"/>
              <w:left w:val="single" w:color="000000" w:sz="4" w:space="0"/>
              <w:bottom w:val="single" w:color="000000" w:sz="4" w:space="0"/>
              <w:right w:val="single" w:color="000000" w:sz="4" w:space="0"/>
            </w:tcBorders>
            <w:vAlign w:val="center"/>
          </w:tcPr>
          <w:p w14:paraId="24E3518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定制主席台</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0DA61089">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1870*600*780mm</w:t>
            </w:r>
          </w:p>
        </w:tc>
        <w:tc>
          <w:tcPr>
            <w:tcW w:w="441" w:type="dxa"/>
            <w:tcBorders>
              <w:top w:val="single" w:color="000000" w:sz="4" w:space="0"/>
              <w:left w:val="single" w:color="000000" w:sz="4" w:space="0"/>
              <w:bottom w:val="single" w:color="000000" w:sz="4" w:space="0"/>
              <w:right w:val="single" w:color="000000" w:sz="4" w:space="0"/>
            </w:tcBorders>
            <w:vAlign w:val="center"/>
          </w:tcPr>
          <w:p w14:paraId="2840740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7EB40D9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860" w:type="dxa"/>
            <w:tcBorders>
              <w:top w:val="single" w:color="000000" w:sz="4" w:space="0"/>
              <w:left w:val="single" w:color="000000" w:sz="4" w:space="0"/>
              <w:bottom w:val="single" w:color="000000" w:sz="4" w:space="0"/>
              <w:right w:val="single" w:color="000000" w:sz="4" w:space="0"/>
            </w:tcBorders>
            <w:vAlign w:val="center"/>
          </w:tcPr>
          <w:p w14:paraId="7A3B354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26D4DF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（1）所有板材采用中密度纤维板基材，台面板、附柜顶板面贴AAA级胡桃木皮，木皮厚度为0.6mm，经过净味环保油漆处理，5层底油及3层面漆，在无尘的面漆房喷涂面漆,达到国际E1级环保标准；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2、结构/配置：拼接结构；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4、工艺/其他说明：/</w:t>
            </w:r>
          </w:p>
        </w:tc>
      </w:tr>
      <w:tr w14:paraId="646A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A12980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56</w:t>
            </w:r>
          </w:p>
        </w:tc>
        <w:tc>
          <w:tcPr>
            <w:tcW w:w="1485" w:type="dxa"/>
            <w:tcBorders>
              <w:top w:val="single" w:color="000000" w:sz="4" w:space="0"/>
              <w:left w:val="single" w:color="000000" w:sz="4" w:space="0"/>
              <w:bottom w:val="single" w:color="000000" w:sz="4" w:space="0"/>
              <w:right w:val="single" w:color="000000" w:sz="4" w:space="0"/>
            </w:tcBorders>
            <w:vAlign w:val="center"/>
          </w:tcPr>
          <w:p w14:paraId="1BCEDD0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定制会议椅</w:t>
            </w:r>
          </w:p>
          <w:p w14:paraId="496134ED">
            <w:pPr>
              <w:rPr>
                <w:highlight w:val="none"/>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6625730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color w:val="auto"/>
                <w:kern w:val="0"/>
                <w:sz w:val="21"/>
                <w:szCs w:val="21"/>
                <w:highlight w:val="none"/>
                <w:lang w:bidi="ar"/>
              </w:rPr>
              <w:t>580×620×920</w:t>
            </w:r>
            <w:r>
              <w:rPr>
                <w:rFonts w:hint="eastAsia" w:ascii="宋体" w:hAnsi="宋体" w:eastAsia="宋体" w:cs="宋体"/>
                <w:i w:val="0"/>
                <w:iCs w:val="0"/>
                <w:color w:val="000000"/>
                <w:kern w:val="0"/>
                <w:sz w:val="21"/>
                <w:szCs w:val="21"/>
                <w:highlight w:val="none"/>
                <w:u w:val="none"/>
                <w:lang w:val="en-US" w:eastAsia="zh-CN"/>
              </w:rPr>
              <w:t>mm</w:t>
            </w:r>
          </w:p>
        </w:tc>
        <w:tc>
          <w:tcPr>
            <w:tcW w:w="441" w:type="dxa"/>
            <w:tcBorders>
              <w:top w:val="single" w:color="000000" w:sz="4" w:space="0"/>
              <w:left w:val="single" w:color="000000" w:sz="4" w:space="0"/>
              <w:bottom w:val="single" w:color="000000" w:sz="4" w:space="0"/>
              <w:right w:val="single" w:color="000000" w:sz="4" w:space="0"/>
            </w:tcBorders>
            <w:vAlign w:val="center"/>
          </w:tcPr>
          <w:p w14:paraId="40B744A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0DB7E4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27</w:t>
            </w:r>
          </w:p>
        </w:tc>
        <w:tc>
          <w:tcPr>
            <w:tcW w:w="860" w:type="dxa"/>
            <w:tcBorders>
              <w:top w:val="single" w:color="000000" w:sz="4" w:space="0"/>
              <w:left w:val="single" w:color="000000" w:sz="4" w:space="0"/>
              <w:bottom w:val="single" w:color="000000" w:sz="4" w:space="0"/>
              <w:right w:val="single" w:color="000000" w:sz="4" w:space="0"/>
            </w:tcBorders>
            <w:vAlign w:val="center"/>
          </w:tcPr>
          <w:p w14:paraId="061141D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6A1DB9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1、座垫、靠背为高级西皮；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2、海绵采用高密度回弹海绵；</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3、实木喷漆脚架；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二、结构/配置：配实木喷漆脚架；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p>
        </w:tc>
      </w:tr>
      <w:tr w14:paraId="1E9C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1914A47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57</w:t>
            </w:r>
          </w:p>
        </w:tc>
        <w:tc>
          <w:tcPr>
            <w:tcW w:w="1485" w:type="dxa"/>
            <w:tcBorders>
              <w:top w:val="single" w:color="000000" w:sz="4" w:space="0"/>
              <w:left w:val="single" w:color="000000" w:sz="4" w:space="0"/>
              <w:bottom w:val="single" w:color="000000" w:sz="4" w:space="0"/>
              <w:right w:val="single" w:color="000000" w:sz="4" w:space="0"/>
            </w:tcBorders>
            <w:vAlign w:val="center"/>
          </w:tcPr>
          <w:p w14:paraId="64FC44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定制条桌</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7201D9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1490*400*780mm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131E78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5E570C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23DACD1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5042974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（1）所有板材采用中密度纤维板基材，台面板、附柜顶板面贴AAA级胡桃木皮，木皮厚度为0.6mm，经过净味环保油漆处理，5层底油及3层面漆，在无尘的面漆房喷涂面漆,达到国际E1级环保标准；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2、结构/配置：拼接结构；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4、工艺/其他说明：/</w:t>
            </w:r>
          </w:p>
        </w:tc>
      </w:tr>
      <w:tr w14:paraId="32BC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65B324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58</w:t>
            </w:r>
          </w:p>
        </w:tc>
        <w:tc>
          <w:tcPr>
            <w:tcW w:w="1485" w:type="dxa"/>
            <w:tcBorders>
              <w:top w:val="single" w:color="000000" w:sz="4" w:space="0"/>
              <w:left w:val="single" w:color="000000" w:sz="4" w:space="0"/>
              <w:bottom w:val="single" w:color="000000" w:sz="4" w:space="0"/>
              <w:right w:val="single" w:color="000000" w:sz="4" w:space="0"/>
            </w:tcBorders>
            <w:vAlign w:val="center"/>
          </w:tcPr>
          <w:p w14:paraId="789EC1B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定制条桌</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264B2E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2070*400*780mm</w:t>
            </w:r>
          </w:p>
        </w:tc>
        <w:tc>
          <w:tcPr>
            <w:tcW w:w="441" w:type="dxa"/>
            <w:tcBorders>
              <w:top w:val="single" w:color="000000" w:sz="4" w:space="0"/>
              <w:left w:val="single" w:color="000000" w:sz="4" w:space="0"/>
              <w:bottom w:val="single" w:color="000000" w:sz="4" w:space="0"/>
              <w:right w:val="single" w:color="000000" w:sz="4" w:space="0"/>
            </w:tcBorders>
            <w:vAlign w:val="center"/>
          </w:tcPr>
          <w:p w14:paraId="7E993D9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1B13B71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49D0439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2FE256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（1）所有板材采用中密度纤维板基材，台面板、附柜顶板面贴AAA级胡桃木皮，木皮厚度为0.6mm，经过净味环保油漆处理，5层底油及3层面漆，在无尘的面漆房喷涂面漆,达到国际E1级环保标准；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2、结构/配置：拼接结构；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4、工艺/其他说明：/</w:t>
            </w:r>
          </w:p>
        </w:tc>
      </w:tr>
      <w:tr w14:paraId="039E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2F2193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59</w:t>
            </w:r>
          </w:p>
        </w:tc>
        <w:tc>
          <w:tcPr>
            <w:tcW w:w="1485" w:type="dxa"/>
            <w:tcBorders>
              <w:top w:val="single" w:color="000000" w:sz="4" w:space="0"/>
              <w:left w:val="single" w:color="000000" w:sz="4" w:space="0"/>
              <w:bottom w:val="single" w:color="000000" w:sz="4" w:space="0"/>
              <w:right w:val="single" w:color="000000" w:sz="4" w:space="0"/>
            </w:tcBorders>
            <w:vAlign w:val="center"/>
          </w:tcPr>
          <w:p w14:paraId="7A8CFF5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医用四人位排椅</w:t>
            </w:r>
          </w:p>
          <w:p w14:paraId="409B1467">
            <w:pPr>
              <w:rPr>
                <w:highlight w:val="none"/>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4290A7F0">
            <w:pPr>
              <w:keepNext w:val="0"/>
              <w:keepLines w:val="0"/>
              <w:pageBreakBefore w:val="0"/>
              <w:kinsoku/>
              <w:wordWrap/>
              <w:overflowPunct/>
              <w:topLinePunct w:val="0"/>
              <w:autoSpaceDE/>
              <w:autoSpaceDN/>
              <w:bidi w:val="0"/>
              <w:adjustRightInd w:val="0"/>
              <w:snapToGrid/>
              <w:spacing w:line="320" w:lineRule="exact"/>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2320*680*800mm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524F32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260A9E1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49</w:t>
            </w:r>
          </w:p>
        </w:tc>
        <w:tc>
          <w:tcPr>
            <w:tcW w:w="860" w:type="dxa"/>
            <w:tcBorders>
              <w:top w:val="single" w:color="000000" w:sz="4" w:space="0"/>
              <w:left w:val="single" w:color="000000" w:sz="4" w:space="0"/>
              <w:bottom w:val="single" w:color="000000" w:sz="4" w:space="0"/>
              <w:right w:val="single" w:color="000000" w:sz="4" w:space="0"/>
            </w:tcBorders>
            <w:vAlign w:val="center"/>
          </w:tcPr>
          <w:p w14:paraId="5CEE7E3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5540C9E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1、材质：座板、背板采用高密度自结皮（PU）模塑成型，内置高强度钢板金属以及方管制成的铁架，使用专用精密发泡模具，配合成型座背铁板，采用高速压力PU机器一体发泡成型；</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2、扶手，站脚采用实心铝合金材料，经大型模具压铸成型后直接抛光，脚底部带橡胶防滑脚垫；</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3、横梁：采用三角形钢管，厚度1.5mm；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1、配置：配铝合金扶手+铝合金站脚+防滑脚垫；每两个座位之间配1个扶手；可选配边几或中间茶几（</w:t>
            </w:r>
            <w:r>
              <w:rPr>
                <w:rFonts w:hint="eastAsia" w:ascii="宋体" w:hAnsi="宋体" w:cs="宋体"/>
                <w:i w:val="0"/>
                <w:iCs w:val="0"/>
                <w:color w:val="000000"/>
                <w:kern w:val="0"/>
                <w:sz w:val="21"/>
                <w:szCs w:val="21"/>
                <w:highlight w:val="none"/>
                <w:u w:val="none"/>
                <w:lang w:val="en-US" w:eastAsia="zh-CN"/>
              </w:rPr>
              <w:t>不含</w:t>
            </w:r>
            <w:r>
              <w:rPr>
                <w:rFonts w:hint="eastAsia" w:ascii="宋体" w:hAnsi="宋体" w:eastAsia="宋体" w:cs="宋体"/>
                <w:i w:val="0"/>
                <w:iCs w:val="0"/>
                <w:color w:val="000000"/>
                <w:kern w:val="0"/>
                <w:sz w:val="21"/>
                <w:szCs w:val="21"/>
                <w:highlight w:val="none"/>
                <w:u w:val="none"/>
                <w:lang w:val="en-US" w:eastAsia="zh-CN"/>
              </w:rPr>
              <w:t>），茶几可做钢板面料或PU面料；</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四、工艺/其他说明：/</w:t>
            </w:r>
          </w:p>
        </w:tc>
      </w:tr>
      <w:tr w14:paraId="108E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2F153C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60</w:t>
            </w:r>
          </w:p>
        </w:tc>
        <w:tc>
          <w:tcPr>
            <w:tcW w:w="1485" w:type="dxa"/>
            <w:tcBorders>
              <w:top w:val="single" w:color="000000" w:sz="4" w:space="0"/>
              <w:left w:val="single" w:color="000000" w:sz="4" w:space="0"/>
              <w:bottom w:val="single" w:color="000000" w:sz="4" w:space="0"/>
              <w:right w:val="single" w:color="000000" w:sz="4" w:space="0"/>
            </w:tcBorders>
            <w:vAlign w:val="center"/>
          </w:tcPr>
          <w:p w14:paraId="492DCD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医用办公椅</w:t>
            </w:r>
          </w:p>
          <w:p w14:paraId="300EECB6">
            <w:pPr>
              <w:rPr>
                <w:highlight w:val="none"/>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9D0D708">
            <w:pPr>
              <w:keepNext w:val="0"/>
              <w:keepLines w:val="0"/>
              <w:pageBreakBefore w:val="0"/>
              <w:kinsoku/>
              <w:wordWrap/>
              <w:overflowPunct/>
              <w:topLinePunct w:val="0"/>
              <w:autoSpaceDE/>
              <w:autoSpaceDN/>
              <w:bidi w:val="0"/>
              <w:adjustRightInd w:val="0"/>
              <w:snapToGrid/>
              <w:spacing w:line="320" w:lineRule="exact"/>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600*620*920mm</w:t>
            </w:r>
          </w:p>
        </w:tc>
        <w:tc>
          <w:tcPr>
            <w:tcW w:w="441" w:type="dxa"/>
            <w:tcBorders>
              <w:top w:val="single" w:color="000000" w:sz="4" w:space="0"/>
              <w:left w:val="single" w:color="000000" w:sz="4" w:space="0"/>
              <w:bottom w:val="single" w:color="000000" w:sz="4" w:space="0"/>
              <w:right w:val="single" w:color="000000" w:sz="4" w:space="0"/>
            </w:tcBorders>
            <w:vAlign w:val="center"/>
          </w:tcPr>
          <w:p w14:paraId="6C22C44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27A1E2C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117</w:t>
            </w:r>
          </w:p>
        </w:tc>
        <w:tc>
          <w:tcPr>
            <w:tcW w:w="860" w:type="dxa"/>
            <w:tcBorders>
              <w:top w:val="single" w:color="000000" w:sz="4" w:space="0"/>
              <w:left w:val="single" w:color="000000" w:sz="4" w:space="0"/>
              <w:bottom w:val="single" w:color="000000" w:sz="4" w:space="0"/>
              <w:right w:val="single" w:color="000000" w:sz="4" w:space="0"/>
            </w:tcBorders>
            <w:vAlign w:val="center"/>
          </w:tcPr>
          <w:p w14:paraId="5D7E212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182A9B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1、靠背面料采用高级双层网布，座垫为高级西皮；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2、高密度定型海绵；</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3、尼龙+玻璃纤维背架；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4、中置倾仰原位锁定功能底盘；</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5、SGS认证三级汽杆；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1、PP固定扶手；</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2、配320mm尼龙脚及55mm尼龙轮；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p>
        </w:tc>
      </w:tr>
      <w:tr w14:paraId="31D6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E659DD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61</w:t>
            </w:r>
          </w:p>
        </w:tc>
        <w:tc>
          <w:tcPr>
            <w:tcW w:w="1485" w:type="dxa"/>
            <w:tcBorders>
              <w:top w:val="single" w:color="000000" w:sz="4" w:space="0"/>
              <w:left w:val="single" w:color="000000" w:sz="4" w:space="0"/>
              <w:bottom w:val="single" w:color="000000" w:sz="4" w:space="0"/>
              <w:right w:val="single" w:color="000000" w:sz="4" w:space="0"/>
            </w:tcBorders>
            <w:vAlign w:val="center"/>
          </w:tcPr>
          <w:p w14:paraId="1F7E684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医用病人椅</w:t>
            </w:r>
          </w:p>
          <w:p w14:paraId="749023E5">
            <w:pPr>
              <w:rPr>
                <w:highlight w:val="none"/>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03A29334">
            <w:pPr>
              <w:keepNext w:val="0"/>
              <w:keepLines w:val="0"/>
              <w:pageBreakBefore w:val="0"/>
              <w:kinsoku/>
              <w:wordWrap/>
              <w:overflowPunct/>
              <w:topLinePunct w:val="0"/>
              <w:autoSpaceDE/>
              <w:autoSpaceDN/>
              <w:bidi w:val="0"/>
              <w:adjustRightInd w:val="0"/>
              <w:snapToGrid/>
              <w:spacing w:line="320" w:lineRule="exact"/>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580*620*920</w:t>
            </w:r>
          </w:p>
        </w:tc>
        <w:tc>
          <w:tcPr>
            <w:tcW w:w="441" w:type="dxa"/>
            <w:tcBorders>
              <w:top w:val="single" w:color="000000" w:sz="4" w:space="0"/>
              <w:left w:val="single" w:color="000000" w:sz="4" w:space="0"/>
              <w:bottom w:val="single" w:color="000000" w:sz="4" w:space="0"/>
              <w:right w:val="single" w:color="000000" w:sz="4" w:space="0"/>
            </w:tcBorders>
            <w:vAlign w:val="center"/>
          </w:tcPr>
          <w:p w14:paraId="493CCBA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37BDA8B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32</w:t>
            </w:r>
          </w:p>
        </w:tc>
        <w:tc>
          <w:tcPr>
            <w:tcW w:w="860" w:type="dxa"/>
            <w:tcBorders>
              <w:top w:val="single" w:color="000000" w:sz="4" w:space="0"/>
              <w:left w:val="single" w:color="000000" w:sz="4" w:space="0"/>
              <w:bottom w:val="single" w:color="000000" w:sz="4" w:space="0"/>
              <w:right w:val="single" w:color="000000" w:sz="4" w:space="0"/>
            </w:tcBorders>
            <w:vAlign w:val="center"/>
          </w:tcPr>
          <w:p w14:paraId="10636D0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70A52F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1、采用橡胶木实木材料，自然木纹，保留天然特性；</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2、四腿落地，榫卯结构；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3、油漆经过净味环保喷漆处理，5层底油及3层面漆，在无尘的面漆房喷涂面漆,达到国际E1级环保标准；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p>
        </w:tc>
      </w:tr>
      <w:tr w14:paraId="2C26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A23B4D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62</w:t>
            </w:r>
          </w:p>
        </w:tc>
        <w:tc>
          <w:tcPr>
            <w:tcW w:w="1485" w:type="dxa"/>
            <w:tcBorders>
              <w:top w:val="single" w:color="000000" w:sz="4" w:space="0"/>
              <w:left w:val="single" w:color="000000" w:sz="4" w:space="0"/>
              <w:bottom w:val="single" w:color="000000" w:sz="4" w:space="0"/>
              <w:right w:val="single" w:color="000000" w:sz="4" w:space="0"/>
            </w:tcBorders>
            <w:vAlign w:val="center"/>
          </w:tcPr>
          <w:p w14:paraId="5A58F9C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医用操作椅</w:t>
            </w:r>
          </w:p>
          <w:p w14:paraId="35A7DF01">
            <w:pPr>
              <w:rPr>
                <w:highlight w:val="none"/>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E4ACE6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600*620*920mm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6A44FF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17DE056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w:t>
            </w:r>
          </w:p>
        </w:tc>
        <w:tc>
          <w:tcPr>
            <w:tcW w:w="860" w:type="dxa"/>
            <w:tcBorders>
              <w:top w:val="single" w:color="000000" w:sz="4" w:space="0"/>
              <w:left w:val="single" w:color="000000" w:sz="4" w:space="0"/>
              <w:bottom w:val="single" w:color="000000" w:sz="4" w:space="0"/>
              <w:right w:val="single" w:color="000000" w:sz="4" w:space="0"/>
            </w:tcBorders>
            <w:vAlign w:val="center"/>
          </w:tcPr>
          <w:p w14:paraId="7113D2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EF4CCF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1、凳面为一次成型玻璃钢；</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2、汽动式升降电镀脚架，可配固定脚或万向活动轮；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1、汽动式升降；</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三、五金配件：电镀气压杆，电镀脚圈，尼龙万向轮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四、工艺/其他说明：/</w:t>
            </w:r>
          </w:p>
        </w:tc>
      </w:tr>
      <w:tr w14:paraId="4D70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3C8340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63</w:t>
            </w:r>
          </w:p>
        </w:tc>
        <w:tc>
          <w:tcPr>
            <w:tcW w:w="1485" w:type="dxa"/>
            <w:tcBorders>
              <w:top w:val="single" w:color="000000" w:sz="4" w:space="0"/>
              <w:left w:val="single" w:color="000000" w:sz="4" w:space="0"/>
              <w:bottom w:val="single" w:color="000000" w:sz="4" w:space="0"/>
              <w:right w:val="single" w:color="000000" w:sz="4" w:space="0"/>
            </w:tcBorders>
            <w:vAlign w:val="center"/>
          </w:tcPr>
          <w:p w14:paraId="2397EA7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定制三人位沙发</w:t>
            </w:r>
          </w:p>
          <w:p w14:paraId="4A767906">
            <w:pPr>
              <w:rPr>
                <w:highlight w:val="none"/>
              </w:rPr>
            </w:pP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964BD64">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2100*830*880</w:t>
            </w:r>
          </w:p>
        </w:tc>
        <w:tc>
          <w:tcPr>
            <w:tcW w:w="441" w:type="dxa"/>
            <w:tcBorders>
              <w:top w:val="single" w:color="000000" w:sz="4" w:space="0"/>
              <w:left w:val="single" w:color="000000" w:sz="4" w:space="0"/>
              <w:bottom w:val="single" w:color="000000" w:sz="4" w:space="0"/>
              <w:right w:val="single" w:color="000000" w:sz="4" w:space="0"/>
            </w:tcBorders>
            <w:vAlign w:val="center"/>
          </w:tcPr>
          <w:p w14:paraId="7786423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7FC978C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3708DA3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7CAFC2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1、面料为高级西皮；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2、高密度回弹海绵；</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3、内框架为木架，落地为木脚架；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p>
        </w:tc>
      </w:tr>
      <w:tr w14:paraId="6A40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0B8589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64</w:t>
            </w:r>
          </w:p>
        </w:tc>
        <w:tc>
          <w:tcPr>
            <w:tcW w:w="1485" w:type="dxa"/>
            <w:tcBorders>
              <w:top w:val="single" w:color="000000" w:sz="4" w:space="0"/>
              <w:left w:val="single" w:color="000000" w:sz="4" w:space="0"/>
              <w:bottom w:val="single" w:color="000000" w:sz="4" w:space="0"/>
              <w:right w:val="single" w:color="000000" w:sz="4" w:space="0"/>
            </w:tcBorders>
            <w:vAlign w:val="center"/>
          </w:tcPr>
          <w:p w14:paraId="7BF5C3E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定制会议桌</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419A34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5400*2000*750mm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6217762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4EC8134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28393A0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D56055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（1）所有板材采用中密度纤维板基材，台面板、附柜顶板面贴AAA级胡桃木皮，木皮厚度为0.6mm，经过净味环保油漆处理，5层底油及3层面漆，在无尘的面漆房喷涂面漆,达到国际E1级环保标准；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（1）拼接结构；</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4、工艺/其他说明：/</w:t>
            </w:r>
          </w:p>
        </w:tc>
      </w:tr>
      <w:tr w14:paraId="13A5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E4CFFC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65</w:t>
            </w:r>
          </w:p>
        </w:tc>
        <w:tc>
          <w:tcPr>
            <w:tcW w:w="1485" w:type="dxa"/>
            <w:tcBorders>
              <w:top w:val="single" w:color="000000" w:sz="4" w:space="0"/>
              <w:left w:val="single" w:color="000000" w:sz="4" w:space="0"/>
              <w:bottom w:val="single" w:color="000000" w:sz="4" w:space="0"/>
              <w:right w:val="single" w:color="000000" w:sz="4" w:space="0"/>
            </w:tcBorders>
            <w:vAlign w:val="center"/>
          </w:tcPr>
          <w:p w14:paraId="36C8A2C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定制礼堂椅</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087203B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cs="宋体"/>
                <w:color w:val="auto"/>
                <w:kern w:val="0"/>
                <w:szCs w:val="21"/>
                <w:highlight w:val="none"/>
              </w:rPr>
              <w:t>620×620×980</w:t>
            </w:r>
            <w:r>
              <w:rPr>
                <w:rFonts w:hint="eastAsia" w:ascii="宋体" w:hAnsi="宋体" w:eastAsia="宋体" w:cs="宋体"/>
                <w:i w:val="0"/>
                <w:iCs w:val="0"/>
                <w:color w:val="000000"/>
                <w:kern w:val="0"/>
                <w:sz w:val="21"/>
                <w:szCs w:val="21"/>
                <w:highlight w:val="none"/>
                <w:u w:val="none"/>
                <w:lang w:val="en-US" w:eastAsia="zh-CN"/>
              </w:rPr>
              <w:t>mm</w:t>
            </w:r>
          </w:p>
        </w:tc>
        <w:tc>
          <w:tcPr>
            <w:tcW w:w="441" w:type="dxa"/>
            <w:tcBorders>
              <w:top w:val="single" w:color="000000" w:sz="4" w:space="0"/>
              <w:left w:val="single" w:color="000000" w:sz="4" w:space="0"/>
              <w:bottom w:val="single" w:color="000000" w:sz="4" w:space="0"/>
              <w:right w:val="single" w:color="000000" w:sz="4" w:space="0"/>
            </w:tcBorders>
            <w:vAlign w:val="center"/>
          </w:tcPr>
          <w:p w14:paraId="4778B7C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位</w:t>
            </w:r>
          </w:p>
        </w:tc>
        <w:tc>
          <w:tcPr>
            <w:tcW w:w="717" w:type="dxa"/>
            <w:tcBorders>
              <w:top w:val="single" w:color="000000" w:sz="4" w:space="0"/>
              <w:left w:val="single" w:color="000000" w:sz="4" w:space="0"/>
              <w:bottom w:val="single" w:color="000000" w:sz="4" w:space="0"/>
              <w:right w:val="single" w:color="000000" w:sz="4" w:space="0"/>
            </w:tcBorders>
            <w:vAlign w:val="center"/>
          </w:tcPr>
          <w:p w14:paraId="060FA5E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272</w:t>
            </w:r>
          </w:p>
        </w:tc>
        <w:tc>
          <w:tcPr>
            <w:tcW w:w="860" w:type="dxa"/>
            <w:tcBorders>
              <w:top w:val="single" w:color="000000" w:sz="4" w:space="0"/>
              <w:left w:val="single" w:color="000000" w:sz="4" w:space="0"/>
              <w:bottom w:val="single" w:color="000000" w:sz="4" w:space="0"/>
              <w:right w:val="single" w:color="000000" w:sz="4" w:space="0"/>
            </w:tcBorders>
            <w:vAlign w:val="center"/>
          </w:tcPr>
          <w:p w14:paraId="4305A59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423D43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(1)规格尺寸：中心距宽55(±5)cm*深73(±5)cm*高98.5(±2)cm，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座位上设有杯架。                                                                                                                                          (2)座椅：座椅坐感舒适，符合人体工程学原理，安装、维修方便。材料为高档柔性面料和高密度超软PU冷发泡定型海绵，座椅整体造型外观饱满，精致大方。                                                                                                                                             (3)椅背：①背海绵材料为高密度冷发泡PU定型海绵，背海棉长度为640±5mm，宽度为450±5mm，高度为120±5mm，海绵密度为47±5Kg/m3.②背内板：采用夹板经模具压制成型。尺寸规格：长度为620±2mm，宽度为430±2mm，厚度为2mm。。③背外板：采用高密度硬木多层板经模具冷压成型，尺寸规格：长度为710±2mm，宽度为480±2mm，厚度为14±1mm。                                                                (4)座海绵：①座海绵长度为490±5mm，宽度为410±5mm，高度为135±</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5mm，海绵密度为47±5Kg/m。②座内板采用多层板高温热压而成，长408固定软座椅±5mm，宽378±5mm，厚度7±1mm。③座外板采用多层板高温热压而成，长470±5mm，宽390±5mm，厚度14±1mm，座外板采用4条宽度大于等于10mm槽消音设计。                                                                (5)脚架：扶手框架采用T2.0mm热轧板，底脚板采用2mm热轧板冲压成型，脚管采用80*40*T1.8mm</w:t>
            </w:r>
            <w:r>
              <w:rPr>
                <w:rFonts w:hint="eastAsia" w:ascii="宋体" w:hAnsi="宋体" w:eastAsia="宋体" w:cs="宋体"/>
                <w:i w:val="0"/>
                <w:iCs w:val="0"/>
                <w:color w:val="000000"/>
                <w:kern w:val="0"/>
                <w:sz w:val="21"/>
                <w:szCs w:val="21"/>
                <w:highlight w:val="none"/>
                <w:u w:val="none"/>
                <w:lang w:val="en-US" w:eastAsia="zh-CN"/>
              </w:rPr>
              <w:t>方管经二氧化碳焊接成型，表面采用防锈静电喷亚光黑处理。                                                                            (6)侧板：内藏在脚架里，采用高宽度中纤板(厚度为5.0mm)贴棉+面料。                                                                                        (7)紧固螺丝：采用隐藏式防锈静电喷涂内六角膨胀螺丝，不易生锈。                                                                                             (8)回位功能：采用双弹簧回位结构，轻巧而耐用。                                                                                                        (9)风格款式与整体风格、色调协调。</w:t>
            </w:r>
          </w:p>
        </w:tc>
      </w:tr>
      <w:tr w14:paraId="77AB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70D963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66</w:t>
            </w:r>
          </w:p>
        </w:tc>
        <w:tc>
          <w:tcPr>
            <w:tcW w:w="1485" w:type="dxa"/>
            <w:tcBorders>
              <w:top w:val="single" w:color="000000" w:sz="4" w:space="0"/>
              <w:left w:val="single" w:color="000000" w:sz="4" w:space="0"/>
              <w:bottom w:val="single" w:color="000000" w:sz="4" w:space="0"/>
              <w:right w:val="single" w:color="000000" w:sz="4" w:space="0"/>
            </w:tcBorders>
            <w:vAlign w:val="center"/>
          </w:tcPr>
          <w:p w14:paraId="0885A82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医用病房衣柜 </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23756E6">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800*400*2400mm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311D0D1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0A31BDC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w:t>
            </w:r>
          </w:p>
        </w:tc>
        <w:tc>
          <w:tcPr>
            <w:tcW w:w="860" w:type="dxa"/>
            <w:tcBorders>
              <w:top w:val="single" w:color="000000" w:sz="4" w:space="0"/>
              <w:left w:val="single" w:color="000000" w:sz="4" w:space="0"/>
              <w:bottom w:val="single" w:color="000000" w:sz="4" w:space="0"/>
              <w:right w:val="single" w:color="000000" w:sz="4" w:space="0"/>
            </w:tcBorders>
            <w:vAlign w:val="center"/>
          </w:tcPr>
          <w:p w14:paraId="45EF9B0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426378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2、厚度：顶板、侧板、层板、门板、底板、封板厚度为16mm；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1、配置：主柜（顺开门，上层为挂衣杆，下层为活动层板）+顶柜（对开门）；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2、平方数按正立面投影面积计算。</w:t>
            </w:r>
          </w:p>
        </w:tc>
      </w:tr>
      <w:tr w14:paraId="08DB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45FC92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67</w:t>
            </w:r>
          </w:p>
        </w:tc>
        <w:tc>
          <w:tcPr>
            <w:tcW w:w="1485" w:type="dxa"/>
            <w:tcBorders>
              <w:top w:val="single" w:color="000000" w:sz="4" w:space="0"/>
              <w:left w:val="single" w:color="000000" w:sz="4" w:space="0"/>
              <w:bottom w:val="single" w:color="000000" w:sz="4" w:space="0"/>
              <w:right w:val="single" w:color="000000" w:sz="4" w:space="0"/>
            </w:tcBorders>
            <w:vAlign w:val="center"/>
          </w:tcPr>
          <w:p w14:paraId="11BE941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医用病房衣柜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799148F3">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1200*400*2400mm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2D1410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3FB28A5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23</w:t>
            </w:r>
          </w:p>
        </w:tc>
        <w:tc>
          <w:tcPr>
            <w:tcW w:w="860" w:type="dxa"/>
            <w:tcBorders>
              <w:top w:val="single" w:color="000000" w:sz="4" w:space="0"/>
              <w:left w:val="single" w:color="000000" w:sz="4" w:space="0"/>
              <w:bottom w:val="single" w:color="000000" w:sz="4" w:space="0"/>
              <w:right w:val="single" w:color="000000" w:sz="4" w:space="0"/>
            </w:tcBorders>
            <w:vAlign w:val="center"/>
          </w:tcPr>
          <w:p w14:paraId="5EF75BD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34991A9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2、厚度：顶板、侧板、层板、门板、底板、封板厚度为16mm；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1、配置：主柜（顺开门，上层为挂衣杆，下层为活动层板）+顶柜（对开门）；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2、平方数按正立面投影面积计算。</w:t>
            </w:r>
          </w:p>
        </w:tc>
      </w:tr>
      <w:tr w14:paraId="3EA5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021726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68</w:t>
            </w:r>
          </w:p>
        </w:tc>
        <w:tc>
          <w:tcPr>
            <w:tcW w:w="1485" w:type="dxa"/>
            <w:tcBorders>
              <w:top w:val="single" w:color="000000" w:sz="4" w:space="0"/>
              <w:left w:val="single" w:color="000000" w:sz="4" w:space="0"/>
              <w:bottom w:val="single" w:color="000000" w:sz="4" w:space="0"/>
              <w:right w:val="single" w:color="000000" w:sz="4" w:space="0"/>
            </w:tcBorders>
            <w:vAlign w:val="center"/>
          </w:tcPr>
          <w:p w14:paraId="3A86B8D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医用病房衣柜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3C8BC440">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1600*400*2400mm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704794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0098BFD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49</w:t>
            </w:r>
          </w:p>
        </w:tc>
        <w:tc>
          <w:tcPr>
            <w:tcW w:w="860" w:type="dxa"/>
            <w:tcBorders>
              <w:top w:val="single" w:color="000000" w:sz="4" w:space="0"/>
              <w:left w:val="single" w:color="000000" w:sz="4" w:space="0"/>
              <w:bottom w:val="single" w:color="000000" w:sz="4" w:space="0"/>
              <w:right w:val="single" w:color="000000" w:sz="4" w:space="0"/>
            </w:tcBorders>
            <w:vAlign w:val="center"/>
          </w:tcPr>
          <w:p w14:paraId="5BFA7AF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F20D63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2、厚度：顶板、侧板、层板、门板、底板、封板厚度为16mm；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1、配置：主柜（顺开门，上层为挂衣杆，下层为活动层板）+顶柜（对开门）；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2、平方数按正立面投影面积计算。</w:t>
            </w:r>
          </w:p>
        </w:tc>
      </w:tr>
      <w:tr w14:paraId="19CE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38D9998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69</w:t>
            </w:r>
          </w:p>
        </w:tc>
        <w:tc>
          <w:tcPr>
            <w:tcW w:w="1485" w:type="dxa"/>
            <w:tcBorders>
              <w:top w:val="single" w:color="000000" w:sz="4" w:space="0"/>
              <w:left w:val="single" w:color="000000" w:sz="4" w:space="0"/>
              <w:bottom w:val="single" w:color="000000" w:sz="4" w:space="0"/>
              <w:right w:val="single" w:color="000000" w:sz="4" w:space="0"/>
            </w:tcBorders>
            <w:vAlign w:val="center"/>
          </w:tcPr>
          <w:p w14:paraId="6776934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医用雾化桌</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2712D0C">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800*600*1800mm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5A0F6D1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00CBC6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3CBD983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166DC21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2、厚度：顶板、层板、侧板、门板、底板厚度为16mm；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1、配置：主台+数码播放器+背胶卡通喷画</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3886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A1F96B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70</w:t>
            </w:r>
          </w:p>
        </w:tc>
        <w:tc>
          <w:tcPr>
            <w:tcW w:w="1485" w:type="dxa"/>
            <w:tcBorders>
              <w:top w:val="single" w:color="000000" w:sz="4" w:space="0"/>
              <w:left w:val="single" w:color="000000" w:sz="4" w:space="0"/>
              <w:bottom w:val="single" w:color="000000" w:sz="4" w:space="0"/>
              <w:right w:val="single" w:color="000000" w:sz="4" w:space="0"/>
            </w:tcBorders>
            <w:vAlign w:val="center"/>
          </w:tcPr>
          <w:p w14:paraId="7C65DD7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医用雾化凳</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267C8ED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600*600*750mm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18065F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000000" w:sz="4" w:space="0"/>
              <w:right w:val="single" w:color="000000" w:sz="4" w:space="0"/>
            </w:tcBorders>
            <w:vAlign w:val="center"/>
          </w:tcPr>
          <w:p w14:paraId="68DA4C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860" w:type="dxa"/>
            <w:tcBorders>
              <w:top w:val="single" w:color="000000" w:sz="4" w:space="0"/>
              <w:left w:val="single" w:color="000000" w:sz="4" w:space="0"/>
              <w:bottom w:val="single" w:color="000000" w:sz="4" w:space="0"/>
              <w:right w:val="single" w:color="000000" w:sz="4" w:space="0"/>
            </w:tcBorders>
            <w:vAlign w:val="center"/>
          </w:tcPr>
          <w:p w14:paraId="7A12643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437EE7B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1、座垫为高级西皮，厚度≥1.0mm；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2、内框架为木架；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3、海绵采用高密度原生态回弹海绵，密度为D40；</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4、黑色PP脚；</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p>
        </w:tc>
      </w:tr>
      <w:tr w14:paraId="1AF1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A9FC1C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71</w:t>
            </w:r>
          </w:p>
        </w:tc>
        <w:tc>
          <w:tcPr>
            <w:tcW w:w="1485" w:type="dxa"/>
            <w:tcBorders>
              <w:top w:val="single" w:color="000000" w:sz="4" w:space="0"/>
              <w:left w:val="single" w:color="000000" w:sz="4" w:space="0"/>
              <w:bottom w:val="single" w:color="000000" w:sz="4" w:space="0"/>
              <w:right w:val="single" w:color="000000" w:sz="4" w:space="0"/>
            </w:tcBorders>
            <w:vAlign w:val="center"/>
          </w:tcPr>
          <w:p w14:paraId="4C5FAF5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医用资料柜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09BD86A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800*400*2000mm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7E238B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0CB6318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860" w:type="dxa"/>
            <w:tcBorders>
              <w:top w:val="single" w:color="000000" w:sz="4" w:space="0"/>
              <w:left w:val="single" w:color="000000" w:sz="4" w:space="0"/>
              <w:bottom w:val="single" w:color="000000" w:sz="4" w:space="0"/>
              <w:right w:val="single" w:color="000000" w:sz="4" w:space="0"/>
            </w:tcBorders>
            <w:vAlign w:val="center"/>
          </w:tcPr>
          <w:p w14:paraId="7A39DDB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25431E8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材质：采用冷轧钢板；侧板、门板、顶板、底板、层板用国标0.8mm；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1、结构：6个单开掩门，内各配1块活动层板和1根挂衣杆；门板带锁、标签插槽和透气孔；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 xml:space="preserve">2、配置：主柜+普通锁，(可选密码锁、指纹锁、IC磁卡锁，单价另计)； </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四、工艺/其它说明：金属表面抑菌粉末静电喷涂。</w:t>
            </w:r>
          </w:p>
        </w:tc>
      </w:tr>
      <w:tr w14:paraId="22C5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506355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72</w:t>
            </w:r>
          </w:p>
        </w:tc>
        <w:tc>
          <w:tcPr>
            <w:tcW w:w="1485" w:type="dxa"/>
            <w:tcBorders>
              <w:top w:val="single" w:color="000000" w:sz="4" w:space="0"/>
              <w:left w:val="single" w:color="000000" w:sz="4" w:space="0"/>
              <w:bottom w:val="single" w:color="000000" w:sz="4" w:space="0"/>
              <w:right w:val="single" w:color="000000" w:sz="4" w:space="0"/>
            </w:tcBorders>
            <w:vAlign w:val="center"/>
          </w:tcPr>
          <w:p w14:paraId="71ADBF3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医用资料柜</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589A3CC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800*400*2000mm</w:t>
            </w:r>
          </w:p>
        </w:tc>
        <w:tc>
          <w:tcPr>
            <w:tcW w:w="441" w:type="dxa"/>
            <w:tcBorders>
              <w:top w:val="single" w:color="000000" w:sz="4" w:space="0"/>
              <w:left w:val="single" w:color="000000" w:sz="4" w:space="0"/>
              <w:bottom w:val="single" w:color="000000" w:sz="4" w:space="0"/>
              <w:right w:val="single" w:color="000000" w:sz="4" w:space="0"/>
            </w:tcBorders>
            <w:vAlign w:val="center"/>
          </w:tcPr>
          <w:p w14:paraId="1EB35B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6992C94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30</w:t>
            </w:r>
          </w:p>
        </w:tc>
        <w:tc>
          <w:tcPr>
            <w:tcW w:w="860" w:type="dxa"/>
            <w:tcBorders>
              <w:top w:val="single" w:color="000000" w:sz="4" w:space="0"/>
              <w:left w:val="single" w:color="000000" w:sz="4" w:space="0"/>
              <w:bottom w:val="single" w:color="000000" w:sz="4" w:space="0"/>
              <w:right w:val="single" w:color="000000" w:sz="4" w:space="0"/>
            </w:tcBorders>
            <w:vAlign w:val="center"/>
          </w:tcPr>
          <w:p w14:paraId="528C9C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0AAC01F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2、厚度：顶板、侧板、层板、门板、底板、封板厚度为16mm；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1、配置：主柜（顺开门，上层为挂衣杆，下层为活动层板）+顶柜（对开门）；</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2、平方数按正立面投影面积计算。</w:t>
            </w:r>
          </w:p>
        </w:tc>
      </w:tr>
      <w:tr w14:paraId="5695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556177E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73</w:t>
            </w:r>
          </w:p>
        </w:tc>
        <w:tc>
          <w:tcPr>
            <w:tcW w:w="1485" w:type="dxa"/>
            <w:tcBorders>
              <w:top w:val="single" w:color="000000" w:sz="4" w:space="0"/>
              <w:left w:val="single" w:color="000000" w:sz="4" w:space="0"/>
              <w:bottom w:val="single" w:color="000000" w:sz="4" w:space="0"/>
              <w:right w:val="single" w:color="000000" w:sz="4" w:space="0"/>
            </w:tcBorders>
            <w:vAlign w:val="center"/>
          </w:tcPr>
          <w:p w14:paraId="7F8BCD9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定制主任办公桌</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1DDBA72A">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1800*1800*750mm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4FB8B43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张</w:t>
            </w:r>
          </w:p>
        </w:tc>
        <w:tc>
          <w:tcPr>
            <w:tcW w:w="717" w:type="dxa"/>
            <w:tcBorders>
              <w:top w:val="single" w:color="000000" w:sz="4" w:space="0"/>
              <w:left w:val="single" w:color="000000" w:sz="4" w:space="0"/>
              <w:bottom w:val="single" w:color="000000" w:sz="4" w:space="0"/>
              <w:right w:val="single" w:color="000000" w:sz="4" w:space="0"/>
            </w:tcBorders>
            <w:vAlign w:val="center"/>
          </w:tcPr>
          <w:p w14:paraId="457DD64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155E01B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6BD7E9A4">
            <w:pPr>
              <w:keepNext w:val="0"/>
              <w:keepLines w:val="0"/>
              <w:pageBreakBefore w:val="0"/>
              <w:widowControl/>
              <w:numPr>
                <w:ilvl w:val="0"/>
                <w:numId w:val="2"/>
              </w:numPr>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1、材质：所有板材均采用木纹色E1级多层实芯环保生态板；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2、厚度：台面板、副柜面板厚度为25mm，侧板、背板、层板、抽面、门板厚度为16mm；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1、配置：主台+副柜（内含三抽柜、单门柜）+塑料键盘架+吊木挡板+50*50钢脚架+钢管主机架+铝合金毛刷线盖；</w:t>
            </w:r>
          </w:p>
          <w:p w14:paraId="56DC4BE3">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5947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44B3117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74</w:t>
            </w:r>
          </w:p>
        </w:tc>
        <w:tc>
          <w:tcPr>
            <w:tcW w:w="1485" w:type="dxa"/>
            <w:tcBorders>
              <w:top w:val="single" w:color="000000" w:sz="4" w:space="0"/>
              <w:left w:val="single" w:color="000000" w:sz="4" w:space="0"/>
              <w:bottom w:val="single" w:color="000000" w:sz="4" w:space="0"/>
              <w:right w:val="single" w:color="000000" w:sz="4" w:space="0"/>
            </w:tcBorders>
            <w:vAlign w:val="center"/>
          </w:tcPr>
          <w:p w14:paraId="7834B72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定制长茶几</w:t>
            </w:r>
          </w:p>
        </w:tc>
        <w:tc>
          <w:tcPr>
            <w:tcW w:w="1709" w:type="dxa"/>
            <w:tcBorders>
              <w:top w:val="single" w:color="000000" w:sz="4" w:space="0"/>
              <w:left w:val="single" w:color="000000" w:sz="4" w:space="0"/>
              <w:bottom w:val="single" w:color="000000" w:sz="4" w:space="0"/>
              <w:right w:val="single" w:color="000000" w:sz="4" w:space="0"/>
            </w:tcBorders>
            <w:noWrap/>
            <w:vAlign w:val="center"/>
          </w:tcPr>
          <w:p w14:paraId="54D7C2A5">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1200*600*450mm</w:t>
            </w:r>
          </w:p>
        </w:tc>
        <w:tc>
          <w:tcPr>
            <w:tcW w:w="441" w:type="dxa"/>
            <w:tcBorders>
              <w:top w:val="single" w:color="000000" w:sz="4" w:space="0"/>
              <w:left w:val="single" w:color="000000" w:sz="4" w:space="0"/>
              <w:bottom w:val="single" w:color="000000" w:sz="4" w:space="0"/>
              <w:right w:val="single" w:color="000000" w:sz="4" w:space="0"/>
            </w:tcBorders>
            <w:vAlign w:val="center"/>
          </w:tcPr>
          <w:p w14:paraId="0FE5CC5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w:t>
            </w:r>
          </w:p>
        </w:tc>
        <w:tc>
          <w:tcPr>
            <w:tcW w:w="717" w:type="dxa"/>
            <w:tcBorders>
              <w:top w:val="single" w:color="000000" w:sz="4" w:space="0"/>
              <w:left w:val="single" w:color="000000" w:sz="4" w:space="0"/>
              <w:bottom w:val="single" w:color="000000" w:sz="4" w:space="0"/>
              <w:right w:val="single" w:color="000000" w:sz="4" w:space="0"/>
            </w:tcBorders>
            <w:vAlign w:val="center"/>
          </w:tcPr>
          <w:p w14:paraId="227AF19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860" w:type="dxa"/>
            <w:tcBorders>
              <w:top w:val="single" w:color="000000" w:sz="4" w:space="0"/>
              <w:left w:val="single" w:color="000000" w:sz="4" w:space="0"/>
              <w:bottom w:val="single" w:color="000000" w:sz="4" w:space="0"/>
              <w:right w:val="single" w:color="000000" w:sz="4" w:space="0"/>
            </w:tcBorders>
            <w:vAlign w:val="center"/>
          </w:tcPr>
          <w:p w14:paraId="00E0B9A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000000" w:sz="4" w:space="0"/>
              <w:right w:val="single" w:color="000000" w:sz="4" w:space="0"/>
            </w:tcBorders>
            <w:vAlign w:val="center"/>
          </w:tcPr>
          <w:p w14:paraId="7AEEE2F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1、面板采用环保密度板贴胡桃木皮，经净味环保5层底油及3层面漆处理，达E1级环保标准；</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2、采用金属脚架；</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三、五金配件：钢质螺帽、螺丝，表面镀镍。</w:t>
            </w:r>
          </w:p>
        </w:tc>
      </w:tr>
      <w:tr w14:paraId="1A54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000000" w:sz="4" w:space="0"/>
              <w:left w:val="single" w:color="000000" w:sz="4" w:space="0"/>
              <w:bottom w:val="single" w:color="auto" w:sz="4" w:space="0"/>
              <w:right w:val="single" w:color="000000" w:sz="4" w:space="0"/>
            </w:tcBorders>
            <w:vAlign w:val="center"/>
          </w:tcPr>
          <w:p w14:paraId="4C3CB9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75</w:t>
            </w:r>
          </w:p>
        </w:tc>
        <w:tc>
          <w:tcPr>
            <w:tcW w:w="1485" w:type="dxa"/>
            <w:tcBorders>
              <w:top w:val="single" w:color="000000" w:sz="4" w:space="0"/>
              <w:left w:val="single" w:color="000000" w:sz="4" w:space="0"/>
              <w:bottom w:val="single" w:color="auto" w:sz="4" w:space="0"/>
              <w:right w:val="single" w:color="000000" w:sz="4" w:space="0"/>
            </w:tcBorders>
            <w:vAlign w:val="center"/>
          </w:tcPr>
          <w:p w14:paraId="4BE99D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医用牙科单元操作柜 </w:t>
            </w:r>
          </w:p>
        </w:tc>
        <w:tc>
          <w:tcPr>
            <w:tcW w:w="1709" w:type="dxa"/>
            <w:tcBorders>
              <w:top w:val="single" w:color="000000" w:sz="4" w:space="0"/>
              <w:left w:val="single" w:color="000000" w:sz="4" w:space="0"/>
              <w:bottom w:val="single" w:color="auto" w:sz="4" w:space="0"/>
              <w:right w:val="single" w:color="000000" w:sz="4" w:space="0"/>
            </w:tcBorders>
            <w:noWrap/>
            <w:vAlign w:val="center"/>
          </w:tcPr>
          <w:p w14:paraId="04BADD5F">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2200*600*850mm</w:t>
            </w:r>
          </w:p>
        </w:tc>
        <w:tc>
          <w:tcPr>
            <w:tcW w:w="441" w:type="dxa"/>
            <w:tcBorders>
              <w:top w:val="single" w:color="000000" w:sz="4" w:space="0"/>
              <w:left w:val="single" w:color="000000" w:sz="4" w:space="0"/>
              <w:bottom w:val="single" w:color="auto" w:sz="4" w:space="0"/>
              <w:right w:val="single" w:color="000000" w:sz="4" w:space="0"/>
            </w:tcBorders>
            <w:vAlign w:val="center"/>
          </w:tcPr>
          <w:p w14:paraId="17DF04D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000000" w:sz="4" w:space="0"/>
              <w:left w:val="single" w:color="000000" w:sz="4" w:space="0"/>
              <w:bottom w:val="single" w:color="auto" w:sz="4" w:space="0"/>
              <w:right w:val="single" w:color="000000" w:sz="4" w:space="0"/>
            </w:tcBorders>
            <w:vAlign w:val="center"/>
          </w:tcPr>
          <w:p w14:paraId="28A51D7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860" w:type="dxa"/>
            <w:tcBorders>
              <w:top w:val="single" w:color="000000" w:sz="4" w:space="0"/>
              <w:left w:val="single" w:color="000000" w:sz="4" w:space="0"/>
              <w:bottom w:val="single" w:color="auto" w:sz="4" w:space="0"/>
              <w:right w:val="single" w:color="000000" w:sz="4" w:space="0"/>
            </w:tcBorders>
            <w:vAlign w:val="center"/>
          </w:tcPr>
          <w:p w14:paraId="34F0FA6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000000" w:sz="4" w:space="0"/>
              <w:left w:val="single" w:color="000000" w:sz="4" w:space="0"/>
              <w:bottom w:val="single" w:color="auto" w:sz="4" w:space="0"/>
              <w:right w:val="single" w:color="000000" w:sz="4" w:space="0"/>
            </w:tcBorders>
            <w:vAlign w:val="center"/>
          </w:tcPr>
          <w:p w14:paraId="09ED57E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2、厚度：面板、活动层板厚度为25mm，侧板、底板、门板、抽面厚度为16mm；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1、配置：主柜（上抽下门）+1件活动层板；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0D65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481F3A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76</w:t>
            </w:r>
          </w:p>
        </w:tc>
        <w:tc>
          <w:tcPr>
            <w:tcW w:w="1485" w:type="dxa"/>
            <w:tcBorders>
              <w:top w:val="single" w:color="auto" w:sz="4" w:space="0"/>
              <w:left w:val="single" w:color="auto" w:sz="4" w:space="0"/>
              <w:bottom w:val="single" w:color="auto" w:sz="4" w:space="0"/>
              <w:right w:val="single" w:color="auto" w:sz="4" w:space="0"/>
            </w:tcBorders>
            <w:vAlign w:val="center"/>
          </w:tcPr>
          <w:p w14:paraId="39BD811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医用牙科单元操作柜 </w:t>
            </w:r>
          </w:p>
        </w:tc>
        <w:tc>
          <w:tcPr>
            <w:tcW w:w="1709" w:type="dxa"/>
            <w:tcBorders>
              <w:top w:val="single" w:color="auto" w:sz="4" w:space="0"/>
              <w:left w:val="single" w:color="auto" w:sz="4" w:space="0"/>
              <w:bottom w:val="single" w:color="auto" w:sz="4" w:space="0"/>
              <w:right w:val="single" w:color="auto" w:sz="4" w:space="0"/>
            </w:tcBorders>
            <w:noWrap/>
            <w:vAlign w:val="center"/>
          </w:tcPr>
          <w:p w14:paraId="6A6D66A2">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2500*60*1800mm</w:t>
            </w:r>
          </w:p>
        </w:tc>
        <w:tc>
          <w:tcPr>
            <w:tcW w:w="441" w:type="dxa"/>
            <w:tcBorders>
              <w:top w:val="single" w:color="auto" w:sz="4" w:space="0"/>
              <w:left w:val="single" w:color="auto" w:sz="4" w:space="0"/>
              <w:bottom w:val="single" w:color="auto" w:sz="4" w:space="0"/>
              <w:right w:val="single" w:color="auto" w:sz="4" w:space="0"/>
            </w:tcBorders>
            <w:vAlign w:val="center"/>
          </w:tcPr>
          <w:p w14:paraId="23A57C1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auto" w:sz="4" w:space="0"/>
              <w:left w:val="single" w:color="auto" w:sz="4" w:space="0"/>
              <w:bottom w:val="single" w:color="auto" w:sz="4" w:space="0"/>
              <w:right w:val="single" w:color="auto" w:sz="4" w:space="0"/>
            </w:tcBorders>
            <w:vAlign w:val="center"/>
          </w:tcPr>
          <w:p w14:paraId="767CAAC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860" w:type="dxa"/>
            <w:tcBorders>
              <w:top w:val="single" w:color="auto" w:sz="4" w:space="0"/>
              <w:left w:val="single" w:color="auto" w:sz="4" w:space="0"/>
              <w:bottom w:val="single" w:color="auto" w:sz="4" w:space="0"/>
              <w:right w:val="single" w:color="auto" w:sz="4" w:space="0"/>
            </w:tcBorders>
            <w:vAlign w:val="center"/>
          </w:tcPr>
          <w:p w14:paraId="39FCE13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auto" w:sz="4" w:space="0"/>
              <w:left w:val="single" w:color="auto" w:sz="4" w:space="0"/>
              <w:bottom w:val="single" w:color="auto" w:sz="4" w:space="0"/>
              <w:right w:val="single" w:color="auto" w:sz="4" w:space="0"/>
            </w:tcBorders>
            <w:vAlign w:val="center"/>
          </w:tcPr>
          <w:p w14:paraId="385CE13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2、厚度：面板、活动层板厚度为25mm，侧板、底板、门板、抽面厚度为16mm；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1、配置：主柜（上抽下门）+1件活动层板；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w:t>
            </w:r>
            <w:r>
              <w:rPr>
                <w:rFonts w:hint="eastAsia" w:ascii="宋体" w:hAnsi="宋体" w:cs="宋体"/>
                <w:i w:val="0"/>
                <w:iCs w:val="0"/>
                <w:color w:val="000000"/>
                <w:kern w:val="0"/>
                <w:sz w:val="21"/>
                <w:szCs w:val="21"/>
                <w:highlight w:val="none"/>
                <w:u w:val="none"/>
                <w:lang w:val="en-US" w:eastAsia="zh-CN"/>
              </w:rPr>
              <w:t>五金配件:采用缓冲铰链、三节滑轨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5DAEC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9EE608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77</w:t>
            </w:r>
          </w:p>
        </w:tc>
        <w:tc>
          <w:tcPr>
            <w:tcW w:w="1485" w:type="dxa"/>
            <w:tcBorders>
              <w:top w:val="single" w:color="auto" w:sz="4" w:space="0"/>
              <w:left w:val="single" w:color="auto" w:sz="4" w:space="0"/>
              <w:bottom w:val="single" w:color="auto" w:sz="4" w:space="0"/>
              <w:right w:val="single" w:color="auto" w:sz="4" w:space="0"/>
            </w:tcBorders>
            <w:vAlign w:val="center"/>
          </w:tcPr>
          <w:p w14:paraId="4A6596B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 xml:space="preserve">医用牙科单元操作柜 </w:t>
            </w:r>
          </w:p>
        </w:tc>
        <w:tc>
          <w:tcPr>
            <w:tcW w:w="1709" w:type="dxa"/>
            <w:tcBorders>
              <w:top w:val="single" w:color="auto" w:sz="4" w:space="0"/>
              <w:left w:val="single" w:color="auto" w:sz="4" w:space="0"/>
              <w:bottom w:val="single" w:color="auto" w:sz="4" w:space="0"/>
              <w:right w:val="single" w:color="auto" w:sz="4" w:space="0"/>
            </w:tcBorders>
            <w:noWrap/>
            <w:vAlign w:val="center"/>
          </w:tcPr>
          <w:p w14:paraId="1A69B8D9">
            <w:pPr>
              <w:keepNext w:val="0"/>
              <w:keepLines w:val="0"/>
              <w:pageBreakBefore w:val="0"/>
              <w:kinsoku/>
              <w:wordWrap/>
              <w:overflowPunct/>
              <w:topLinePunct w:val="0"/>
              <w:autoSpaceDE/>
              <w:autoSpaceDN/>
              <w:bidi w:val="0"/>
              <w:adjustRightInd w:val="0"/>
              <w:snapToGrid/>
              <w:spacing w:line="320" w:lineRule="exact"/>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2500*600*850mm</w:t>
            </w:r>
          </w:p>
        </w:tc>
        <w:tc>
          <w:tcPr>
            <w:tcW w:w="441" w:type="dxa"/>
            <w:tcBorders>
              <w:top w:val="single" w:color="auto" w:sz="4" w:space="0"/>
              <w:left w:val="single" w:color="auto" w:sz="4" w:space="0"/>
              <w:bottom w:val="single" w:color="auto" w:sz="4" w:space="0"/>
              <w:right w:val="single" w:color="auto" w:sz="4" w:space="0"/>
            </w:tcBorders>
            <w:vAlign w:val="center"/>
          </w:tcPr>
          <w:p w14:paraId="06CA8B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组</w:t>
            </w:r>
          </w:p>
        </w:tc>
        <w:tc>
          <w:tcPr>
            <w:tcW w:w="717" w:type="dxa"/>
            <w:tcBorders>
              <w:top w:val="single" w:color="auto" w:sz="4" w:space="0"/>
              <w:left w:val="single" w:color="auto" w:sz="4" w:space="0"/>
              <w:bottom w:val="single" w:color="auto" w:sz="4" w:space="0"/>
              <w:right w:val="single" w:color="auto" w:sz="4" w:space="0"/>
            </w:tcBorders>
            <w:vAlign w:val="center"/>
          </w:tcPr>
          <w:p w14:paraId="68B5211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860" w:type="dxa"/>
            <w:tcBorders>
              <w:top w:val="single" w:color="auto" w:sz="4" w:space="0"/>
              <w:left w:val="single" w:color="auto" w:sz="4" w:space="0"/>
              <w:bottom w:val="single" w:color="auto" w:sz="4" w:space="0"/>
              <w:right w:val="single" w:color="auto" w:sz="4" w:space="0"/>
            </w:tcBorders>
            <w:vAlign w:val="center"/>
          </w:tcPr>
          <w:p w14:paraId="5417666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否</w:t>
            </w:r>
          </w:p>
        </w:tc>
        <w:tc>
          <w:tcPr>
            <w:tcW w:w="4195" w:type="dxa"/>
            <w:tcBorders>
              <w:top w:val="single" w:color="auto" w:sz="4" w:space="0"/>
              <w:left w:val="single" w:color="auto" w:sz="4" w:space="0"/>
              <w:bottom w:val="single" w:color="auto" w:sz="4" w:space="0"/>
              <w:right w:val="single" w:color="auto" w:sz="4" w:space="0"/>
            </w:tcBorders>
            <w:vAlign w:val="center"/>
          </w:tcPr>
          <w:p w14:paraId="08A1907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一、主要材料及厚度说明：</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1、材质：所有板件采用木纹色E1级多层实芯环保生态板；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2、厚度：面板、活动层板厚度为25mm，侧板、底板、门板、抽面厚度为16mm；</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二、结构/配置：</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1、配置：主柜（上抽下门）+1件活动层板；</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三、五金配件</w:t>
            </w:r>
            <w:r>
              <w:rPr>
                <w:rFonts w:hint="eastAsia" w:ascii="宋体" w:hAnsi="宋体" w:cs="宋体"/>
                <w:i w:val="0"/>
                <w:iCs w:val="0"/>
                <w:color w:val="000000"/>
                <w:kern w:val="0"/>
                <w:sz w:val="21"/>
                <w:szCs w:val="21"/>
                <w:highlight w:val="none"/>
                <w:u w:val="none"/>
                <w:lang w:val="en-US" w:eastAsia="zh-CN"/>
              </w:rPr>
              <w:t>:采用缓冲铰链、三节滑轨</w:t>
            </w:r>
            <w:r>
              <w:rPr>
                <w:rFonts w:hint="eastAsia" w:ascii="宋体" w:hAnsi="宋体" w:eastAsia="宋体" w:cs="宋体"/>
                <w:i w:val="0"/>
                <w:iCs w:val="0"/>
                <w:color w:val="000000"/>
                <w:kern w:val="0"/>
                <w:sz w:val="21"/>
                <w:szCs w:val="21"/>
                <w:highlight w:val="none"/>
                <w:u w:val="none"/>
                <w:lang w:val="en-US" w:eastAsia="zh-CN"/>
              </w:rPr>
              <w:t>；</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四、工艺/其它：</w:t>
            </w:r>
            <w:r>
              <w:rPr>
                <w:rFonts w:hint="eastAsia" w:ascii="宋体" w:hAnsi="宋体" w:eastAsia="宋体" w:cs="宋体"/>
                <w:i w:val="0"/>
                <w:iCs w:val="0"/>
                <w:color w:val="000000"/>
                <w:kern w:val="0"/>
                <w:sz w:val="21"/>
                <w:szCs w:val="21"/>
                <w:highlight w:val="none"/>
                <w:u w:val="none"/>
                <w:lang w:val="en-US" w:eastAsia="zh-CN"/>
              </w:rPr>
              <w:br w:type="textWrapping"/>
            </w:r>
            <w:r>
              <w:rPr>
                <w:rFonts w:hint="eastAsia" w:ascii="宋体" w:hAnsi="宋体" w:eastAsia="宋体" w:cs="宋体"/>
                <w:i w:val="0"/>
                <w:iCs w:val="0"/>
                <w:color w:val="000000"/>
                <w:kern w:val="0"/>
                <w:sz w:val="21"/>
                <w:szCs w:val="21"/>
                <w:highlight w:val="none"/>
                <w:u w:val="none"/>
                <w:lang w:val="en-US" w:eastAsia="zh-CN"/>
              </w:rPr>
              <w:t>1、封边：见光面为2.0mm厚全自动封边工艺。</w:t>
            </w:r>
          </w:p>
        </w:tc>
      </w:tr>
      <w:tr w14:paraId="3D8A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157" w:type="dxa"/>
            <w:gridSpan w:val="7"/>
            <w:tcBorders>
              <w:top w:val="single" w:color="auto" w:sz="4" w:space="0"/>
              <w:left w:val="single" w:color="auto" w:sz="4" w:space="0"/>
              <w:bottom w:val="single" w:color="auto" w:sz="4" w:space="0"/>
              <w:right w:val="single" w:color="auto" w:sz="4" w:space="0"/>
            </w:tcBorders>
            <w:vAlign w:val="center"/>
          </w:tcPr>
          <w:p w14:paraId="49F5C2E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cs="宋体"/>
                <w:b/>
                <w:bCs/>
                <w:sz w:val="28"/>
                <w:szCs w:val="21"/>
                <w:highlight w:val="none"/>
              </w:rPr>
              <w:t>核心原材料及成品技术要求</w:t>
            </w:r>
            <w:r>
              <w:rPr>
                <w:rFonts w:hint="eastAsia" w:ascii="宋体" w:hAnsi="宋体" w:cs="宋体"/>
                <w:b/>
                <w:bCs/>
                <w:sz w:val="28"/>
                <w:szCs w:val="21"/>
                <w:highlight w:val="none"/>
                <w:lang w:val="en-US" w:eastAsia="zh-CN"/>
              </w:rPr>
              <w:t>表</w:t>
            </w:r>
          </w:p>
        </w:tc>
      </w:tr>
      <w:tr w14:paraId="58C4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D01E3C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7DD2DA4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核心原材料及成品名称</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1D1C5CC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技术要求</w:t>
            </w:r>
          </w:p>
        </w:tc>
      </w:tr>
      <w:tr w14:paraId="0A6F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C90B1DF">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0F3CA3B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医用人造石</w:t>
            </w:r>
            <w:r>
              <w:rPr>
                <w:rStyle w:val="328"/>
                <w:rFonts w:hint="eastAsia" w:ascii="宋体" w:hAnsi="宋体" w:eastAsia="宋体" w:cs="宋体"/>
                <w:sz w:val="21"/>
                <w:szCs w:val="21"/>
                <w:highlight w:val="none"/>
                <w:lang w:val="en-US" w:eastAsia="zh-CN"/>
              </w:rPr>
              <w:t>/</w:t>
            </w:r>
            <w:r>
              <w:rPr>
                <w:rStyle w:val="311"/>
                <w:rFonts w:hint="eastAsia" w:ascii="宋体" w:hAnsi="宋体" w:eastAsia="宋体" w:cs="宋体"/>
                <w:sz w:val="21"/>
                <w:szCs w:val="21"/>
                <w:highlight w:val="none"/>
                <w:lang w:val="en-US" w:eastAsia="zh-CN"/>
              </w:rPr>
              <w:t>人造石</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7BD9E7B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符合</w:t>
            </w:r>
            <w:r>
              <w:rPr>
                <w:rStyle w:val="263"/>
                <w:rFonts w:hint="eastAsia" w:ascii="宋体" w:hAnsi="宋体" w:eastAsia="宋体" w:cs="宋体"/>
                <w:sz w:val="21"/>
                <w:szCs w:val="21"/>
                <w:highlight w:val="none"/>
                <w:lang w:val="en-US" w:eastAsia="zh-CN"/>
              </w:rPr>
              <w:t>JC/T908-2013</w:t>
            </w:r>
            <w:r>
              <w:rPr>
                <w:rStyle w:val="119"/>
                <w:rFonts w:hint="eastAsia" w:ascii="宋体" w:hAnsi="宋体" w:eastAsia="宋体" w:cs="宋体"/>
                <w:sz w:val="21"/>
                <w:szCs w:val="21"/>
                <w:highlight w:val="none"/>
                <w:lang w:val="en-US" w:eastAsia="zh-CN"/>
              </w:rPr>
              <w:t>《人造石》、</w:t>
            </w:r>
            <w:r>
              <w:rPr>
                <w:rStyle w:val="263"/>
                <w:rFonts w:hint="eastAsia" w:ascii="宋体" w:hAnsi="宋体" w:eastAsia="宋体" w:cs="宋体"/>
                <w:sz w:val="21"/>
                <w:szCs w:val="21"/>
                <w:highlight w:val="none"/>
                <w:lang w:val="en-US" w:eastAsia="zh-CN"/>
              </w:rPr>
              <w:t>GB 6566-2010</w:t>
            </w:r>
            <w:r>
              <w:rPr>
                <w:rStyle w:val="119"/>
                <w:rFonts w:hint="eastAsia" w:ascii="宋体" w:hAnsi="宋体" w:eastAsia="宋体" w:cs="宋体"/>
                <w:sz w:val="21"/>
                <w:szCs w:val="21"/>
                <w:highlight w:val="none"/>
                <w:lang w:val="en-US" w:eastAsia="zh-CN"/>
              </w:rPr>
              <w:t>《建筑材料放射性核素限量》、</w:t>
            </w:r>
            <w:r>
              <w:rPr>
                <w:rStyle w:val="263"/>
                <w:rFonts w:hint="eastAsia" w:ascii="宋体" w:hAnsi="宋体" w:eastAsia="宋体" w:cs="宋体"/>
                <w:sz w:val="21"/>
                <w:szCs w:val="21"/>
                <w:highlight w:val="none"/>
                <w:lang w:val="en-US" w:eastAsia="zh-CN"/>
              </w:rPr>
              <w:t xml:space="preserve"> GB/T 26125-2011</w:t>
            </w:r>
            <w:r>
              <w:rPr>
                <w:rStyle w:val="119"/>
                <w:rFonts w:hint="eastAsia" w:ascii="宋体" w:hAnsi="宋体" w:eastAsia="宋体" w:cs="宋体"/>
                <w:sz w:val="21"/>
                <w:szCs w:val="21"/>
                <w:highlight w:val="none"/>
                <w:lang w:val="en-US" w:eastAsia="zh-CN"/>
              </w:rPr>
              <w:t>《电子电器产品</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六种限用物质（铅、汞、镉、六价铬、多溴联苯和多溴二苯醚）的测定》、</w:t>
            </w:r>
            <w:r>
              <w:rPr>
                <w:rStyle w:val="263"/>
                <w:rFonts w:hint="eastAsia" w:ascii="宋体" w:hAnsi="宋体" w:eastAsia="宋体" w:cs="宋体"/>
                <w:sz w:val="21"/>
                <w:szCs w:val="21"/>
                <w:highlight w:val="none"/>
                <w:lang w:val="en-US" w:eastAsia="zh-CN"/>
              </w:rPr>
              <w:t xml:space="preserve"> GB/T 31402-2015</w:t>
            </w:r>
            <w:r>
              <w:rPr>
                <w:rStyle w:val="119"/>
                <w:rFonts w:hint="eastAsia" w:ascii="宋体" w:hAnsi="宋体" w:eastAsia="宋体" w:cs="宋体"/>
                <w:sz w:val="21"/>
                <w:szCs w:val="21"/>
                <w:highlight w:val="none"/>
                <w:lang w:val="en-US" w:eastAsia="zh-CN"/>
              </w:rPr>
              <w:t>《塑料</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塑料表面抗菌性能试验方法》、</w:t>
            </w:r>
            <w:r>
              <w:rPr>
                <w:rStyle w:val="263"/>
                <w:rFonts w:hint="eastAsia" w:ascii="宋体" w:hAnsi="宋体" w:eastAsia="宋体" w:cs="宋体"/>
                <w:sz w:val="21"/>
                <w:szCs w:val="21"/>
                <w:highlight w:val="none"/>
                <w:lang w:val="en-US" w:eastAsia="zh-CN"/>
              </w:rPr>
              <w:t xml:space="preserve"> GB/T 24128-2018</w:t>
            </w:r>
            <w:r>
              <w:rPr>
                <w:rStyle w:val="119"/>
                <w:rFonts w:hint="eastAsia" w:ascii="宋体" w:hAnsi="宋体" w:eastAsia="宋体" w:cs="宋体"/>
                <w:sz w:val="21"/>
                <w:szCs w:val="21"/>
                <w:highlight w:val="none"/>
                <w:lang w:val="en-US" w:eastAsia="zh-CN"/>
              </w:rPr>
              <w:t>《塑料</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塑料防毒剂的防霉效果评估》标准：</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）放射性防护分类控制：（外照射指数＜</w:t>
            </w:r>
            <w:r>
              <w:rPr>
                <w:rStyle w:val="263"/>
                <w:rFonts w:hint="eastAsia" w:ascii="宋体" w:hAnsi="宋体" w:eastAsia="宋体" w:cs="宋体"/>
                <w:sz w:val="21"/>
                <w:szCs w:val="21"/>
                <w:highlight w:val="none"/>
                <w:lang w:val="en-US" w:eastAsia="zh-CN"/>
              </w:rPr>
              <w:t>0.1</w:t>
            </w:r>
            <w:r>
              <w:rPr>
                <w:rStyle w:val="119"/>
                <w:rFonts w:hint="eastAsia" w:ascii="宋体" w:hAnsi="宋体" w:eastAsia="宋体" w:cs="宋体"/>
                <w:sz w:val="21"/>
                <w:szCs w:val="21"/>
                <w:highlight w:val="none"/>
                <w:lang w:val="en-US" w:eastAsia="zh-CN"/>
              </w:rPr>
              <w:t>，内照射指数＜</w:t>
            </w:r>
            <w:r>
              <w:rPr>
                <w:rStyle w:val="263"/>
                <w:rFonts w:hint="eastAsia" w:ascii="宋体" w:hAnsi="宋体" w:eastAsia="宋体" w:cs="宋体"/>
                <w:sz w:val="21"/>
                <w:szCs w:val="21"/>
                <w:highlight w:val="none"/>
                <w:lang w:val="en-US" w:eastAsia="zh-CN"/>
              </w:rPr>
              <w:t>0.1</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）铅</w:t>
            </w:r>
            <w:r>
              <w:rPr>
                <w:rStyle w:val="263"/>
                <w:rFonts w:hint="eastAsia" w:ascii="宋体" w:hAnsi="宋体" w:eastAsia="宋体" w:cs="宋体"/>
                <w:sz w:val="21"/>
                <w:szCs w:val="21"/>
                <w:highlight w:val="none"/>
                <w:lang w:val="en-US" w:eastAsia="zh-CN"/>
              </w:rPr>
              <w:t>/Pb≤3mg/kg</w:t>
            </w:r>
            <w:r>
              <w:rPr>
                <w:rStyle w:val="119"/>
                <w:rFonts w:hint="eastAsia" w:ascii="宋体" w:hAnsi="宋体" w:eastAsia="宋体" w:cs="宋体"/>
                <w:sz w:val="21"/>
                <w:szCs w:val="21"/>
                <w:highlight w:val="none"/>
                <w:lang w:val="en-US" w:eastAsia="zh-CN"/>
              </w:rPr>
              <w:t>，镉</w:t>
            </w:r>
            <w:r>
              <w:rPr>
                <w:rStyle w:val="263"/>
                <w:rFonts w:hint="eastAsia" w:ascii="宋体" w:hAnsi="宋体" w:eastAsia="宋体" w:cs="宋体"/>
                <w:sz w:val="21"/>
                <w:szCs w:val="21"/>
                <w:highlight w:val="none"/>
                <w:lang w:val="en-US" w:eastAsia="zh-CN"/>
              </w:rPr>
              <w:t>/Cd≤3mg/kg</w:t>
            </w:r>
            <w:r>
              <w:rPr>
                <w:rStyle w:val="119"/>
                <w:rFonts w:hint="eastAsia" w:ascii="宋体" w:hAnsi="宋体" w:eastAsia="宋体" w:cs="宋体"/>
                <w:sz w:val="21"/>
                <w:szCs w:val="21"/>
                <w:highlight w:val="none"/>
                <w:lang w:val="en-US" w:eastAsia="zh-CN"/>
              </w:rPr>
              <w:t>，汞</w:t>
            </w:r>
            <w:r>
              <w:rPr>
                <w:rStyle w:val="263"/>
                <w:rFonts w:hint="eastAsia" w:ascii="宋体" w:hAnsi="宋体" w:eastAsia="宋体" w:cs="宋体"/>
                <w:sz w:val="21"/>
                <w:szCs w:val="21"/>
                <w:highlight w:val="none"/>
                <w:lang w:val="en-US" w:eastAsia="zh-CN"/>
              </w:rPr>
              <w:t>/Hg≤3mg/kg</w:t>
            </w:r>
            <w:r>
              <w:rPr>
                <w:rStyle w:val="119"/>
                <w:rFonts w:hint="eastAsia" w:ascii="宋体" w:hAnsi="宋体" w:eastAsia="宋体" w:cs="宋体"/>
                <w:sz w:val="21"/>
                <w:szCs w:val="21"/>
                <w:highlight w:val="none"/>
                <w:lang w:val="en-US" w:eastAsia="zh-CN"/>
              </w:rPr>
              <w:t>，六价铬</w:t>
            </w:r>
            <w:r>
              <w:rPr>
                <w:rStyle w:val="263"/>
                <w:rFonts w:hint="eastAsia" w:ascii="宋体" w:hAnsi="宋体" w:eastAsia="宋体" w:cs="宋体"/>
                <w:sz w:val="21"/>
                <w:szCs w:val="21"/>
                <w:highlight w:val="none"/>
                <w:lang w:val="en-US" w:eastAsia="zh-CN"/>
              </w:rPr>
              <w:t>/Cr(VI)≤12mg/kg</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）一溴联苯</w:t>
            </w:r>
            <w:r>
              <w:rPr>
                <w:rStyle w:val="263"/>
                <w:rFonts w:hint="eastAsia" w:ascii="宋体" w:hAnsi="宋体" w:eastAsia="宋体" w:cs="宋体"/>
                <w:sz w:val="21"/>
                <w:szCs w:val="21"/>
                <w:highlight w:val="none"/>
                <w:lang w:val="en-US" w:eastAsia="zh-CN"/>
              </w:rPr>
              <w:t>(MonoBB)</w:t>
            </w:r>
            <w:r>
              <w:rPr>
                <w:rStyle w:val="119"/>
                <w:rFonts w:hint="eastAsia" w:ascii="宋体" w:hAnsi="宋体" w:eastAsia="宋体" w:cs="宋体"/>
                <w:sz w:val="21"/>
                <w:szCs w:val="21"/>
                <w:highlight w:val="none"/>
                <w:lang w:val="en-US" w:eastAsia="zh-CN"/>
              </w:rPr>
              <w:t>、二溴联苯（</w:t>
            </w:r>
            <w:r>
              <w:rPr>
                <w:rStyle w:val="263"/>
                <w:rFonts w:hint="eastAsia" w:ascii="宋体" w:hAnsi="宋体" w:eastAsia="宋体" w:cs="宋体"/>
                <w:sz w:val="21"/>
                <w:szCs w:val="21"/>
                <w:highlight w:val="none"/>
                <w:lang w:val="en-US" w:eastAsia="zh-CN"/>
              </w:rPr>
              <w:t>DiBB)</w:t>
            </w:r>
            <w:r>
              <w:rPr>
                <w:rStyle w:val="119"/>
                <w:rFonts w:hint="eastAsia" w:ascii="宋体" w:hAnsi="宋体" w:eastAsia="宋体" w:cs="宋体"/>
                <w:sz w:val="21"/>
                <w:szCs w:val="21"/>
                <w:highlight w:val="none"/>
                <w:lang w:val="en-US" w:eastAsia="zh-CN"/>
              </w:rPr>
              <w:t>、三溴联苯（</w:t>
            </w:r>
            <w:r>
              <w:rPr>
                <w:rStyle w:val="263"/>
                <w:rFonts w:hint="eastAsia" w:ascii="宋体" w:hAnsi="宋体" w:eastAsia="宋体" w:cs="宋体"/>
                <w:sz w:val="21"/>
                <w:szCs w:val="21"/>
                <w:highlight w:val="none"/>
                <w:lang w:val="en-US" w:eastAsia="zh-CN"/>
              </w:rPr>
              <w:t>TriBB)</w:t>
            </w:r>
            <w:r>
              <w:rPr>
                <w:rStyle w:val="119"/>
                <w:rFonts w:hint="eastAsia" w:ascii="宋体" w:hAnsi="宋体" w:eastAsia="宋体" w:cs="宋体"/>
                <w:sz w:val="21"/>
                <w:szCs w:val="21"/>
                <w:highlight w:val="none"/>
                <w:lang w:val="en-US" w:eastAsia="zh-CN"/>
              </w:rPr>
              <w:t>、四溴联苯</w:t>
            </w:r>
            <w:r>
              <w:rPr>
                <w:rStyle w:val="263"/>
                <w:rFonts w:hint="eastAsia" w:ascii="宋体" w:hAnsi="宋体" w:eastAsia="宋体" w:cs="宋体"/>
                <w:sz w:val="21"/>
                <w:szCs w:val="21"/>
                <w:highlight w:val="none"/>
                <w:lang w:val="en-US" w:eastAsia="zh-CN"/>
              </w:rPr>
              <w:t>(TetraBB)</w:t>
            </w:r>
            <w:r>
              <w:rPr>
                <w:rStyle w:val="119"/>
                <w:rFonts w:hint="eastAsia" w:ascii="宋体" w:hAnsi="宋体" w:eastAsia="宋体" w:cs="宋体"/>
                <w:sz w:val="21"/>
                <w:szCs w:val="21"/>
                <w:highlight w:val="none"/>
                <w:lang w:val="en-US" w:eastAsia="zh-CN"/>
              </w:rPr>
              <w:t>、五溴联苯</w:t>
            </w:r>
            <w:r>
              <w:rPr>
                <w:rStyle w:val="263"/>
                <w:rFonts w:hint="eastAsia" w:ascii="宋体" w:hAnsi="宋体" w:eastAsia="宋体" w:cs="宋体"/>
                <w:sz w:val="21"/>
                <w:szCs w:val="21"/>
                <w:highlight w:val="none"/>
                <w:lang w:val="en-US" w:eastAsia="zh-CN"/>
              </w:rPr>
              <w:t>(PentaBB)</w:t>
            </w:r>
            <w:r>
              <w:rPr>
                <w:rStyle w:val="119"/>
                <w:rFonts w:hint="eastAsia" w:ascii="宋体" w:hAnsi="宋体" w:eastAsia="宋体" w:cs="宋体"/>
                <w:sz w:val="21"/>
                <w:szCs w:val="21"/>
                <w:highlight w:val="none"/>
                <w:lang w:val="en-US" w:eastAsia="zh-CN"/>
              </w:rPr>
              <w:t>、六溴联苯</w:t>
            </w:r>
            <w:r>
              <w:rPr>
                <w:rStyle w:val="263"/>
                <w:rFonts w:hint="eastAsia" w:ascii="宋体" w:hAnsi="宋体" w:eastAsia="宋体" w:cs="宋体"/>
                <w:sz w:val="21"/>
                <w:szCs w:val="21"/>
                <w:highlight w:val="none"/>
                <w:lang w:val="en-US" w:eastAsia="zh-CN"/>
              </w:rPr>
              <w:t>(HexaBB)</w:t>
            </w:r>
            <w:r>
              <w:rPr>
                <w:rStyle w:val="119"/>
                <w:rFonts w:hint="eastAsia" w:ascii="宋体" w:hAnsi="宋体" w:eastAsia="宋体" w:cs="宋体"/>
                <w:sz w:val="21"/>
                <w:szCs w:val="21"/>
                <w:highlight w:val="none"/>
                <w:lang w:val="en-US" w:eastAsia="zh-CN"/>
              </w:rPr>
              <w:t>、七溴联苯</w:t>
            </w:r>
            <w:r>
              <w:rPr>
                <w:rStyle w:val="263"/>
                <w:rFonts w:hint="eastAsia" w:ascii="宋体" w:hAnsi="宋体" w:eastAsia="宋体" w:cs="宋体"/>
                <w:sz w:val="21"/>
                <w:szCs w:val="21"/>
                <w:highlight w:val="none"/>
                <w:lang w:val="en-US" w:eastAsia="zh-CN"/>
              </w:rPr>
              <w:t>(HeptaBB)</w:t>
            </w:r>
            <w:r>
              <w:rPr>
                <w:rStyle w:val="119"/>
                <w:rFonts w:hint="eastAsia" w:ascii="宋体" w:hAnsi="宋体" w:eastAsia="宋体" w:cs="宋体"/>
                <w:sz w:val="21"/>
                <w:szCs w:val="21"/>
                <w:highlight w:val="none"/>
                <w:lang w:val="en-US" w:eastAsia="zh-CN"/>
              </w:rPr>
              <w:t>、八溴联苯</w:t>
            </w:r>
            <w:r>
              <w:rPr>
                <w:rStyle w:val="263"/>
                <w:rFonts w:hint="eastAsia" w:ascii="宋体" w:hAnsi="宋体" w:eastAsia="宋体" w:cs="宋体"/>
                <w:sz w:val="21"/>
                <w:szCs w:val="21"/>
                <w:highlight w:val="none"/>
                <w:lang w:val="en-US" w:eastAsia="zh-CN"/>
              </w:rPr>
              <w:t>(OctaBB)</w:t>
            </w:r>
            <w:r>
              <w:rPr>
                <w:rStyle w:val="119"/>
                <w:rFonts w:hint="eastAsia" w:ascii="宋体" w:hAnsi="宋体" w:eastAsia="宋体" w:cs="宋体"/>
                <w:sz w:val="21"/>
                <w:szCs w:val="21"/>
                <w:highlight w:val="none"/>
                <w:lang w:val="en-US" w:eastAsia="zh-CN"/>
              </w:rPr>
              <w:t>、九溴联苯</w:t>
            </w:r>
            <w:r>
              <w:rPr>
                <w:rStyle w:val="263"/>
                <w:rFonts w:hint="eastAsia" w:ascii="宋体" w:hAnsi="宋体" w:eastAsia="宋体" w:cs="宋体"/>
                <w:sz w:val="21"/>
                <w:szCs w:val="21"/>
                <w:highlight w:val="none"/>
                <w:lang w:val="en-US" w:eastAsia="zh-CN"/>
              </w:rPr>
              <w:t xml:space="preserve"> (NonaBB)</w:t>
            </w:r>
            <w:r>
              <w:rPr>
                <w:rStyle w:val="119"/>
                <w:rFonts w:hint="eastAsia" w:ascii="宋体" w:hAnsi="宋体" w:eastAsia="宋体" w:cs="宋体"/>
                <w:sz w:val="21"/>
                <w:szCs w:val="21"/>
                <w:highlight w:val="none"/>
                <w:lang w:val="en-US" w:eastAsia="zh-CN"/>
              </w:rPr>
              <w:t>、十溴联苯</w:t>
            </w:r>
            <w:r>
              <w:rPr>
                <w:rStyle w:val="263"/>
                <w:rFonts w:hint="eastAsia" w:ascii="宋体" w:hAnsi="宋体" w:eastAsia="宋体" w:cs="宋体"/>
                <w:sz w:val="21"/>
                <w:szCs w:val="21"/>
                <w:highlight w:val="none"/>
                <w:lang w:val="en-US" w:eastAsia="zh-CN"/>
              </w:rPr>
              <w:t>(DecaBB)</w:t>
            </w:r>
            <w:r>
              <w:rPr>
                <w:rStyle w:val="119"/>
                <w:rFonts w:hint="eastAsia" w:ascii="宋体" w:hAnsi="宋体" w:eastAsia="宋体" w:cs="宋体"/>
                <w:sz w:val="21"/>
                <w:szCs w:val="21"/>
                <w:highlight w:val="none"/>
                <w:lang w:val="en-US" w:eastAsia="zh-CN"/>
              </w:rPr>
              <w:t>，上述多溴联苯总和</w:t>
            </w:r>
            <w:r>
              <w:rPr>
                <w:rStyle w:val="263"/>
                <w:rFonts w:hint="eastAsia" w:ascii="宋体" w:hAnsi="宋体" w:eastAsia="宋体" w:cs="宋体"/>
                <w:sz w:val="21"/>
                <w:szCs w:val="21"/>
                <w:highlight w:val="none"/>
                <w:lang w:val="en-US" w:eastAsia="zh-CN"/>
              </w:rPr>
              <w:t>≤1000mg/kg</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）一溴二苯醚</w:t>
            </w:r>
            <w:r>
              <w:rPr>
                <w:rStyle w:val="263"/>
                <w:rFonts w:hint="eastAsia" w:ascii="宋体" w:hAnsi="宋体" w:eastAsia="宋体" w:cs="宋体"/>
                <w:sz w:val="21"/>
                <w:szCs w:val="21"/>
                <w:highlight w:val="none"/>
                <w:lang w:val="en-US" w:eastAsia="zh-CN"/>
              </w:rPr>
              <w:t xml:space="preserve"> (MonoBDE)</w:t>
            </w:r>
            <w:r>
              <w:rPr>
                <w:rStyle w:val="119"/>
                <w:rFonts w:hint="eastAsia" w:ascii="宋体" w:hAnsi="宋体" w:eastAsia="宋体" w:cs="宋体"/>
                <w:sz w:val="21"/>
                <w:szCs w:val="21"/>
                <w:highlight w:val="none"/>
                <w:lang w:val="en-US" w:eastAsia="zh-CN"/>
              </w:rPr>
              <w:t>、二溴二苯醚</w:t>
            </w:r>
            <w:r>
              <w:rPr>
                <w:rStyle w:val="263"/>
                <w:rFonts w:hint="eastAsia" w:ascii="宋体" w:hAnsi="宋体" w:eastAsia="宋体" w:cs="宋体"/>
                <w:sz w:val="21"/>
                <w:szCs w:val="21"/>
                <w:highlight w:val="none"/>
                <w:lang w:val="en-US" w:eastAsia="zh-CN"/>
              </w:rPr>
              <w:t xml:space="preserve"> (DiBBDE)</w:t>
            </w:r>
            <w:r>
              <w:rPr>
                <w:rStyle w:val="119"/>
                <w:rFonts w:hint="eastAsia" w:ascii="宋体" w:hAnsi="宋体" w:eastAsia="宋体" w:cs="宋体"/>
                <w:sz w:val="21"/>
                <w:szCs w:val="21"/>
                <w:highlight w:val="none"/>
                <w:lang w:val="en-US" w:eastAsia="zh-CN"/>
              </w:rPr>
              <w:t>、三溴二苯醚</w:t>
            </w:r>
            <w:r>
              <w:rPr>
                <w:rStyle w:val="263"/>
                <w:rFonts w:hint="eastAsia" w:ascii="宋体" w:hAnsi="宋体" w:eastAsia="宋体" w:cs="宋体"/>
                <w:sz w:val="21"/>
                <w:szCs w:val="21"/>
                <w:highlight w:val="none"/>
                <w:lang w:val="en-US" w:eastAsia="zh-CN"/>
              </w:rPr>
              <w:t xml:space="preserve"> (TriBDE)</w:t>
            </w:r>
            <w:r>
              <w:rPr>
                <w:rStyle w:val="119"/>
                <w:rFonts w:hint="eastAsia" w:ascii="宋体" w:hAnsi="宋体" w:eastAsia="宋体" w:cs="宋体"/>
                <w:sz w:val="21"/>
                <w:szCs w:val="21"/>
                <w:highlight w:val="none"/>
                <w:lang w:val="en-US" w:eastAsia="zh-CN"/>
              </w:rPr>
              <w:t>、四溴二苯醚</w:t>
            </w:r>
            <w:r>
              <w:rPr>
                <w:rStyle w:val="263"/>
                <w:rFonts w:hint="eastAsia" w:ascii="宋体" w:hAnsi="宋体" w:eastAsia="宋体" w:cs="宋体"/>
                <w:sz w:val="21"/>
                <w:szCs w:val="21"/>
                <w:highlight w:val="none"/>
                <w:lang w:val="en-US" w:eastAsia="zh-CN"/>
              </w:rPr>
              <w:t xml:space="preserve"> (TetraBDE)</w:t>
            </w:r>
            <w:r>
              <w:rPr>
                <w:rStyle w:val="119"/>
                <w:rFonts w:hint="eastAsia" w:ascii="宋体" w:hAnsi="宋体" w:eastAsia="宋体" w:cs="宋体"/>
                <w:sz w:val="21"/>
                <w:szCs w:val="21"/>
                <w:highlight w:val="none"/>
                <w:lang w:val="en-US" w:eastAsia="zh-CN"/>
              </w:rPr>
              <w:t>、五溴二苯醚</w:t>
            </w:r>
            <w:r>
              <w:rPr>
                <w:rStyle w:val="263"/>
                <w:rFonts w:hint="eastAsia" w:ascii="宋体" w:hAnsi="宋体" w:eastAsia="宋体" w:cs="宋体"/>
                <w:sz w:val="21"/>
                <w:szCs w:val="21"/>
                <w:highlight w:val="none"/>
                <w:lang w:val="en-US" w:eastAsia="zh-CN"/>
              </w:rPr>
              <w:t>(PentaBDE)</w:t>
            </w:r>
            <w:r>
              <w:rPr>
                <w:rStyle w:val="119"/>
                <w:rFonts w:hint="eastAsia" w:ascii="宋体" w:hAnsi="宋体" w:eastAsia="宋体" w:cs="宋体"/>
                <w:sz w:val="21"/>
                <w:szCs w:val="21"/>
                <w:highlight w:val="none"/>
                <w:lang w:val="en-US" w:eastAsia="zh-CN"/>
              </w:rPr>
              <w:t>、六溴二苯醚</w:t>
            </w:r>
            <w:r>
              <w:rPr>
                <w:rStyle w:val="263"/>
                <w:rFonts w:hint="eastAsia" w:ascii="宋体" w:hAnsi="宋体" w:eastAsia="宋体" w:cs="宋体"/>
                <w:sz w:val="21"/>
                <w:szCs w:val="21"/>
                <w:highlight w:val="none"/>
                <w:lang w:val="en-US" w:eastAsia="zh-CN"/>
              </w:rPr>
              <w:t>(HexaBDE)</w:t>
            </w:r>
            <w:r>
              <w:rPr>
                <w:rStyle w:val="119"/>
                <w:rFonts w:hint="eastAsia" w:ascii="宋体" w:hAnsi="宋体" w:eastAsia="宋体" w:cs="宋体"/>
                <w:sz w:val="21"/>
                <w:szCs w:val="21"/>
                <w:highlight w:val="none"/>
                <w:lang w:val="en-US" w:eastAsia="zh-CN"/>
              </w:rPr>
              <w:t>、七溴二苯醚（</w:t>
            </w:r>
            <w:r>
              <w:rPr>
                <w:rStyle w:val="263"/>
                <w:rFonts w:hint="eastAsia" w:ascii="宋体" w:hAnsi="宋体" w:eastAsia="宋体" w:cs="宋体"/>
                <w:sz w:val="21"/>
                <w:szCs w:val="21"/>
                <w:highlight w:val="none"/>
                <w:lang w:val="en-US" w:eastAsia="zh-CN"/>
              </w:rPr>
              <w:t>HeptaBDE)</w:t>
            </w:r>
            <w:r>
              <w:rPr>
                <w:rStyle w:val="119"/>
                <w:rFonts w:hint="eastAsia" w:ascii="宋体" w:hAnsi="宋体" w:eastAsia="宋体" w:cs="宋体"/>
                <w:sz w:val="21"/>
                <w:szCs w:val="21"/>
                <w:highlight w:val="none"/>
                <w:lang w:val="en-US" w:eastAsia="zh-CN"/>
              </w:rPr>
              <w:t>、八溴二苯醚</w:t>
            </w:r>
            <w:r>
              <w:rPr>
                <w:rStyle w:val="263"/>
                <w:rFonts w:hint="eastAsia" w:ascii="宋体" w:hAnsi="宋体" w:eastAsia="宋体" w:cs="宋体"/>
                <w:sz w:val="21"/>
                <w:szCs w:val="21"/>
                <w:highlight w:val="none"/>
                <w:lang w:val="en-US" w:eastAsia="zh-CN"/>
              </w:rPr>
              <w:t>(OctaBDE)</w:t>
            </w:r>
            <w:r>
              <w:rPr>
                <w:rStyle w:val="119"/>
                <w:rFonts w:hint="eastAsia" w:ascii="宋体" w:hAnsi="宋体" w:eastAsia="宋体" w:cs="宋体"/>
                <w:sz w:val="21"/>
                <w:szCs w:val="21"/>
                <w:highlight w:val="none"/>
                <w:lang w:val="en-US" w:eastAsia="zh-CN"/>
              </w:rPr>
              <w:t>、九溴二苯醚</w:t>
            </w:r>
            <w:r>
              <w:rPr>
                <w:rStyle w:val="263"/>
                <w:rFonts w:hint="eastAsia" w:ascii="宋体" w:hAnsi="宋体" w:eastAsia="宋体" w:cs="宋体"/>
                <w:sz w:val="21"/>
                <w:szCs w:val="21"/>
                <w:highlight w:val="none"/>
                <w:lang w:val="en-US" w:eastAsia="zh-CN"/>
              </w:rPr>
              <w:t>(NonaBDE)</w:t>
            </w:r>
            <w:r>
              <w:rPr>
                <w:rStyle w:val="119"/>
                <w:rFonts w:hint="eastAsia" w:ascii="宋体" w:hAnsi="宋体" w:eastAsia="宋体" w:cs="宋体"/>
                <w:sz w:val="21"/>
                <w:szCs w:val="21"/>
                <w:highlight w:val="none"/>
                <w:lang w:val="en-US" w:eastAsia="zh-CN"/>
              </w:rPr>
              <w:t>、十溴二苯醚</w:t>
            </w:r>
            <w:r>
              <w:rPr>
                <w:rStyle w:val="263"/>
                <w:rFonts w:hint="eastAsia" w:ascii="宋体" w:hAnsi="宋体" w:eastAsia="宋体" w:cs="宋体"/>
                <w:sz w:val="21"/>
                <w:szCs w:val="21"/>
                <w:highlight w:val="none"/>
                <w:lang w:val="en-US" w:eastAsia="zh-CN"/>
              </w:rPr>
              <w:t>(DecaBDE)</w:t>
            </w:r>
            <w:r>
              <w:rPr>
                <w:rStyle w:val="119"/>
                <w:rFonts w:hint="eastAsia" w:ascii="宋体" w:hAnsi="宋体" w:eastAsia="宋体" w:cs="宋体"/>
                <w:sz w:val="21"/>
                <w:szCs w:val="21"/>
                <w:highlight w:val="none"/>
                <w:lang w:val="en-US" w:eastAsia="zh-CN"/>
              </w:rPr>
              <w:t>、上述多溴二苯醚总和</w:t>
            </w:r>
            <w:r>
              <w:rPr>
                <w:rStyle w:val="263"/>
                <w:rFonts w:hint="eastAsia" w:ascii="宋体" w:hAnsi="宋体" w:eastAsia="宋体" w:cs="宋体"/>
                <w:sz w:val="21"/>
                <w:szCs w:val="21"/>
                <w:highlight w:val="none"/>
                <w:lang w:val="en-US" w:eastAsia="zh-CN"/>
              </w:rPr>
              <w:t xml:space="preserve"> ≤1000mg/kg</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）外观质量：（色泽：色泽均匀一致，不得有明显色差；板边：板材四边平整，表面不得有</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缺棱掉角现象；表面：光滑平整、无波纹、方料痕、刮痕、裂纹，不允许有气泡及大于</w:t>
            </w:r>
            <w:r>
              <w:rPr>
                <w:rStyle w:val="263"/>
                <w:rFonts w:hint="eastAsia" w:ascii="宋体" w:hAnsi="宋体" w:eastAsia="宋体" w:cs="宋体"/>
                <w:sz w:val="21"/>
                <w:szCs w:val="21"/>
                <w:highlight w:val="none"/>
                <w:lang w:val="en-US" w:eastAsia="zh-CN"/>
              </w:rPr>
              <w:t xml:space="preserve"> 0.5mm </w:t>
            </w:r>
            <w:r>
              <w:rPr>
                <w:rStyle w:val="119"/>
                <w:rFonts w:hint="eastAsia" w:ascii="宋体" w:hAnsi="宋体" w:eastAsia="宋体" w:cs="宋体"/>
                <w:sz w:val="21"/>
                <w:szCs w:val="21"/>
                <w:highlight w:val="none"/>
                <w:lang w:val="en-US" w:eastAsia="zh-CN"/>
              </w:rPr>
              <w:t>的杂质。</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）巴氏硬度：</w:t>
            </w:r>
            <w:r>
              <w:rPr>
                <w:rStyle w:val="263"/>
                <w:rFonts w:hint="eastAsia" w:ascii="宋体" w:hAnsi="宋体" w:eastAsia="宋体" w:cs="宋体"/>
                <w:sz w:val="21"/>
                <w:szCs w:val="21"/>
                <w:highlight w:val="none"/>
                <w:lang w:val="en-US" w:eastAsia="zh-CN"/>
              </w:rPr>
              <w:t xml:space="preserve">PMMA </w:t>
            </w:r>
            <w:r>
              <w:rPr>
                <w:rStyle w:val="119"/>
                <w:rFonts w:hint="eastAsia" w:ascii="宋体" w:hAnsi="宋体" w:eastAsia="宋体" w:cs="宋体"/>
                <w:sz w:val="21"/>
                <w:szCs w:val="21"/>
                <w:highlight w:val="none"/>
                <w:lang w:val="en-US" w:eastAsia="zh-CN"/>
              </w:rPr>
              <w:t>类</w:t>
            </w:r>
            <w:r>
              <w:rPr>
                <w:rStyle w:val="263"/>
                <w:rFonts w:hint="eastAsia" w:ascii="宋体" w:hAnsi="宋体" w:eastAsia="宋体" w:cs="宋体"/>
                <w:sz w:val="21"/>
                <w:szCs w:val="21"/>
                <w:highlight w:val="none"/>
                <w:lang w:val="en-US" w:eastAsia="zh-CN"/>
              </w:rPr>
              <w:t>≥65HBa</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A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）荷载变形和冲击韧性：</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荷载变形：最大残余挠度值</w:t>
            </w:r>
            <w:r>
              <w:rPr>
                <w:rStyle w:val="263"/>
                <w:rFonts w:hint="eastAsia" w:ascii="宋体" w:hAnsi="宋体" w:eastAsia="宋体" w:cs="宋体"/>
                <w:sz w:val="21"/>
                <w:szCs w:val="21"/>
                <w:highlight w:val="none"/>
                <w:lang w:val="en-US" w:eastAsia="zh-CN"/>
              </w:rPr>
              <w:t>≤0.15mm</w:t>
            </w:r>
            <w:r>
              <w:rPr>
                <w:rStyle w:val="119"/>
                <w:rFonts w:hint="eastAsia" w:ascii="宋体" w:hAnsi="宋体" w:eastAsia="宋体" w:cs="宋体"/>
                <w:sz w:val="21"/>
                <w:szCs w:val="21"/>
                <w:highlight w:val="none"/>
                <w:lang w:val="en-US" w:eastAsia="zh-CN"/>
              </w:rPr>
              <w:t>，试验后表面无破裂；冲击</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韧性：</w:t>
            </w:r>
            <w:r>
              <w:rPr>
                <w:rStyle w:val="263"/>
                <w:rFonts w:hint="eastAsia" w:ascii="宋体" w:hAnsi="宋体" w:eastAsia="宋体" w:cs="宋体"/>
                <w:sz w:val="21"/>
                <w:szCs w:val="21"/>
                <w:highlight w:val="none"/>
                <w:lang w:val="en-US" w:eastAsia="zh-CN"/>
              </w:rPr>
              <w:t>≥5 KJ/m²</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8</w:t>
            </w:r>
            <w:r>
              <w:rPr>
                <w:rStyle w:val="119"/>
                <w:rFonts w:hint="eastAsia" w:ascii="宋体" w:hAnsi="宋体" w:eastAsia="宋体" w:cs="宋体"/>
                <w:sz w:val="21"/>
                <w:szCs w:val="21"/>
                <w:highlight w:val="none"/>
                <w:lang w:val="en-US" w:eastAsia="zh-CN"/>
              </w:rPr>
              <w:t>）耐磨性</w:t>
            </w:r>
            <w:r>
              <w:rPr>
                <w:rStyle w:val="263"/>
                <w:rFonts w:hint="eastAsia" w:ascii="宋体" w:hAnsi="宋体" w:eastAsia="宋体" w:cs="宋体"/>
                <w:sz w:val="21"/>
                <w:szCs w:val="21"/>
                <w:highlight w:val="none"/>
                <w:lang w:val="en-US" w:eastAsia="zh-CN"/>
              </w:rPr>
              <w:t>≤0.1g</w:t>
            </w:r>
          </w:p>
        </w:tc>
      </w:tr>
      <w:tr w14:paraId="57C0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4797841">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09161E79">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西皮</w:t>
            </w:r>
          </w:p>
        </w:tc>
        <w:tc>
          <w:tcPr>
            <w:tcW w:w="792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07D6E854">
            <w:pPr>
              <w:keepNext w:val="0"/>
              <w:keepLines w:val="0"/>
              <w:widowControl/>
              <w:suppressLineNumbers w:val="0"/>
              <w:jc w:val="left"/>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符合</w:t>
            </w:r>
            <w:r>
              <w:rPr>
                <w:rStyle w:val="263"/>
                <w:rFonts w:hint="eastAsia" w:ascii="宋体" w:hAnsi="宋体" w:eastAsia="宋体" w:cs="宋体"/>
                <w:sz w:val="21"/>
                <w:szCs w:val="21"/>
                <w:highlight w:val="none"/>
                <w:lang w:val="en-US" w:eastAsia="zh-CN"/>
              </w:rPr>
              <w:t xml:space="preserve"> GB 20400-2006</w:t>
            </w:r>
            <w:r>
              <w:rPr>
                <w:rStyle w:val="119"/>
                <w:rFonts w:hint="eastAsia" w:ascii="宋体" w:hAnsi="宋体" w:eastAsia="宋体" w:cs="宋体"/>
                <w:sz w:val="21"/>
                <w:szCs w:val="21"/>
                <w:highlight w:val="none"/>
                <w:lang w:val="en-US" w:eastAsia="zh-CN"/>
              </w:rPr>
              <w:t>《皮革和毛皮有害物质限量》、</w:t>
            </w:r>
            <w:r>
              <w:rPr>
                <w:rStyle w:val="263"/>
                <w:rFonts w:hint="eastAsia" w:ascii="宋体" w:hAnsi="宋体" w:eastAsia="宋体" w:cs="宋体"/>
                <w:sz w:val="21"/>
                <w:szCs w:val="21"/>
                <w:highlight w:val="none"/>
                <w:lang w:val="en-US" w:eastAsia="zh-CN"/>
              </w:rPr>
              <w:t xml:space="preserve"> GB/T 22930- 2008</w:t>
            </w:r>
            <w:r>
              <w:rPr>
                <w:rStyle w:val="119"/>
                <w:rFonts w:hint="eastAsia" w:ascii="宋体" w:hAnsi="宋体" w:eastAsia="宋体" w:cs="宋体"/>
                <w:sz w:val="21"/>
                <w:szCs w:val="21"/>
                <w:highlight w:val="none"/>
                <w:lang w:val="en-US" w:eastAsia="zh-CN"/>
              </w:rPr>
              <w:t>《皮革和毛皮</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化学试验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重金属含量的测定》、</w:t>
            </w:r>
            <w:r>
              <w:rPr>
                <w:rStyle w:val="263"/>
                <w:rFonts w:hint="eastAsia" w:ascii="宋体" w:hAnsi="宋体" w:eastAsia="宋体" w:cs="宋体"/>
                <w:sz w:val="21"/>
                <w:szCs w:val="21"/>
                <w:highlight w:val="none"/>
                <w:lang w:val="en-US" w:eastAsia="zh-CN"/>
              </w:rPr>
              <w:t xml:space="preserve"> GB/T 21196.2-2007</w:t>
            </w:r>
            <w:r>
              <w:rPr>
                <w:rStyle w:val="119"/>
                <w:rFonts w:hint="eastAsia" w:ascii="宋体" w:hAnsi="宋体" w:eastAsia="宋体" w:cs="宋体"/>
                <w:sz w:val="21"/>
                <w:szCs w:val="21"/>
                <w:highlight w:val="none"/>
                <w:lang w:val="en-US" w:eastAsia="zh-CN"/>
              </w:rPr>
              <w:t>《纺织品</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马丁代尔法织物耐磨性的测定</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第</w:t>
            </w:r>
            <w:r>
              <w:rPr>
                <w:rStyle w:val="263"/>
                <w:rFonts w:hint="eastAsia" w:ascii="宋体" w:hAnsi="宋体" w:eastAsia="宋体" w:cs="宋体"/>
                <w:sz w:val="21"/>
                <w:szCs w:val="21"/>
                <w:highlight w:val="none"/>
                <w:lang w:val="en-US" w:eastAsia="zh-CN"/>
              </w:rPr>
              <w:t xml:space="preserve">2 </w:t>
            </w:r>
            <w:r>
              <w:rPr>
                <w:rStyle w:val="119"/>
                <w:rFonts w:hint="eastAsia" w:ascii="宋体" w:hAnsi="宋体" w:eastAsia="宋体" w:cs="宋体"/>
                <w:sz w:val="21"/>
                <w:szCs w:val="21"/>
                <w:highlight w:val="none"/>
                <w:lang w:val="en-US" w:eastAsia="zh-CN"/>
              </w:rPr>
              <w:t>部分</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试样破损的测定》、</w:t>
            </w:r>
            <w:r>
              <w:rPr>
                <w:rStyle w:val="263"/>
                <w:rFonts w:hint="eastAsia" w:ascii="宋体" w:hAnsi="宋体" w:eastAsia="宋体" w:cs="宋体"/>
                <w:sz w:val="21"/>
                <w:szCs w:val="21"/>
                <w:highlight w:val="none"/>
                <w:lang w:val="en-US" w:eastAsia="zh-CN"/>
              </w:rPr>
              <w:t>QB/T 2537-2001</w:t>
            </w:r>
            <w:r>
              <w:rPr>
                <w:rStyle w:val="119"/>
                <w:rFonts w:hint="eastAsia" w:ascii="宋体" w:hAnsi="宋体" w:eastAsia="宋体" w:cs="宋体"/>
                <w:sz w:val="21"/>
                <w:szCs w:val="21"/>
                <w:highlight w:val="none"/>
                <w:lang w:val="en-US" w:eastAsia="zh-CN"/>
              </w:rPr>
              <w:t>《皮革</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色牢度试验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往复式摩擦色牢度》、</w:t>
            </w:r>
            <w:r>
              <w:rPr>
                <w:rStyle w:val="263"/>
                <w:rFonts w:hint="eastAsia" w:ascii="宋体" w:hAnsi="宋体" w:eastAsia="宋体" w:cs="宋体"/>
                <w:sz w:val="21"/>
                <w:szCs w:val="21"/>
                <w:highlight w:val="none"/>
                <w:lang w:val="en-US" w:eastAsia="zh-CN"/>
              </w:rPr>
              <w:t>QB/T 2711-2005</w:t>
            </w:r>
            <w:r>
              <w:rPr>
                <w:rStyle w:val="119"/>
                <w:rFonts w:hint="eastAsia" w:ascii="宋体" w:hAnsi="宋体" w:eastAsia="宋体" w:cs="宋体"/>
                <w:sz w:val="21"/>
                <w:szCs w:val="21"/>
                <w:highlight w:val="none"/>
                <w:lang w:val="en-US" w:eastAsia="zh-CN"/>
              </w:rPr>
              <w:t>《皮革</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物理和机械试验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撕裂力的测定</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双边撕裂》、</w:t>
            </w:r>
            <w:r>
              <w:rPr>
                <w:rStyle w:val="263"/>
                <w:rFonts w:hint="eastAsia" w:ascii="宋体" w:hAnsi="宋体" w:eastAsia="宋体" w:cs="宋体"/>
                <w:sz w:val="21"/>
                <w:szCs w:val="21"/>
                <w:highlight w:val="none"/>
                <w:lang w:val="en-US" w:eastAsia="zh-CN"/>
              </w:rPr>
              <w:t>QB/T 2714-2018</w:t>
            </w:r>
            <w:r>
              <w:rPr>
                <w:rStyle w:val="119"/>
                <w:rFonts w:hint="eastAsia" w:ascii="宋体" w:hAnsi="宋体" w:eastAsia="宋体" w:cs="宋体"/>
                <w:sz w:val="21"/>
                <w:szCs w:val="21"/>
                <w:highlight w:val="none"/>
                <w:lang w:val="en-US" w:eastAsia="zh-CN"/>
              </w:rPr>
              <w:t>《皮革物理和机械试验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耐折牢度的测定》、</w:t>
            </w:r>
            <w:r>
              <w:rPr>
                <w:rStyle w:val="263"/>
                <w:rFonts w:hint="eastAsia" w:ascii="宋体" w:hAnsi="宋体" w:eastAsia="宋体" w:cs="宋体"/>
                <w:sz w:val="21"/>
                <w:szCs w:val="21"/>
                <w:highlight w:val="none"/>
                <w:lang w:val="en-US" w:eastAsia="zh-CN"/>
              </w:rPr>
              <w:t>GB/T 3922-2013</w:t>
            </w:r>
            <w:r>
              <w:rPr>
                <w:rStyle w:val="119"/>
                <w:rFonts w:hint="eastAsia" w:ascii="宋体" w:hAnsi="宋体" w:eastAsia="宋体" w:cs="宋体"/>
                <w:sz w:val="21"/>
                <w:szCs w:val="21"/>
                <w:highlight w:val="none"/>
                <w:lang w:val="en-US" w:eastAsia="zh-CN"/>
              </w:rPr>
              <w:t>《纺织品</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色牢度试验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耐汗渍色牢度》、</w:t>
            </w:r>
            <w:r>
              <w:rPr>
                <w:rStyle w:val="263"/>
                <w:rFonts w:hint="eastAsia" w:ascii="宋体" w:hAnsi="宋体" w:eastAsia="宋体" w:cs="宋体"/>
                <w:sz w:val="21"/>
                <w:szCs w:val="21"/>
                <w:highlight w:val="none"/>
                <w:lang w:val="en-US" w:eastAsia="zh-CN"/>
              </w:rPr>
              <w:t>GB/T 8427-2019</w:t>
            </w:r>
            <w:r>
              <w:rPr>
                <w:rStyle w:val="119"/>
                <w:rFonts w:hint="eastAsia" w:ascii="宋体" w:hAnsi="宋体" w:eastAsia="宋体" w:cs="宋体"/>
                <w:sz w:val="21"/>
                <w:szCs w:val="21"/>
                <w:highlight w:val="none"/>
                <w:lang w:val="en-US" w:eastAsia="zh-CN"/>
              </w:rPr>
              <w:t>《纺织品</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色牢度试验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耐人造光色牢度：氙弧》、</w:t>
            </w:r>
            <w:r>
              <w:rPr>
                <w:rStyle w:val="263"/>
                <w:rFonts w:hint="eastAsia" w:ascii="宋体" w:hAnsi="宋体" w:eastAsia="宋体" w:cs="宋体"/>
                <w:sz w:val="21"/>
                <w:szCs w:val="21"/>
                <w:highlight w:val="none"/>
                <w:lang w:val="en-US" w:eastAsia="zh-CN"/>
              </w:rPr>
              <w:t>FZ/T 01010-2012</w:t>
            </w:r>
            <w:r>
              <w:rPr>
                <w:rStyle w:val="119"/>
                <w:rFonts w:hint="eastAsia" w:ascii="宋体" w:hAnsi="宋体" w:eastAsia="宋体" w:cs="宋体"/>
                <w:sz w:val="21"/>
                <w:szCs w:val="21"/>
                <w:highlight w:val="none"/>
                <w:lang w:val="en-US" w:eastAsia="zh-CN"/>
              </w:rPr>
              <w:t>《涂层织物</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涂层剥离强力的测定》、</w:t>
            </w:r>
            <w:r>
              <w:rPr>
                <w:rStyle w:val="263"/>
                <w:rFonts w:hint="eastAsia" w:ascii="宋体" w:hAnsi="宋体" w:eastAsia="宋体" w:cs="宋体"/>
                <w:sz w:val="21"/>
                <w:szCs w:val="21"/>
                <w:highlight w:val="none"/>
                <w:lang w:val="en-US" w:eastAsia="zh-CN"/>
              </w:rPr>
              <w:t>QB/T 2725-2005</w:t>
            </w:r>
            <w:r>
              <w:rPr>
                <w:rStyle w:val="119"/>
                <w:rFonts w:hint="eastAsia" w:ascii="宋体" w:hAnsi="宋体" w:eastAsia="宋体" w:cs="宋体"/>
                <w:sz w:val="21"/>
                <w:szCs w:val="21"/>
                <w:highlight w:val="none"/>
                <w:lang w:val="en-US" w:eastAsia="zh-CN"/>
              </w:rPr>
              <w:t>《皮革</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气味的测定》、</w:t>
            </w:r>
            <w:r>
              <w:rPr>
                <w:rStyle w:val="263"/>
                <w:rFonts w:hint="eastAsia" w:ascii="宋体" w:hAnsi="宋体" w:eastAsia="宋体" w:cs="宋体"/>
                <w:sz w:val="21"/>
                <w:szCs w:val="21"/>
                <w:highlight w:val="none"/>
                <w:lang w:val="en-US" w:eastAsia="zh-CN"/>
              </w:rPr>
              <w:t>GB/T 38408-2019</w:t>
            </w:r>
            <w:r>
              <w:rPr>
                <w:rStyle w:val="119"/>
                <w:rFonts w:hint="eastAsia" w:ascii="宋体" w:hAnsi="宋体" w:eastAsia="宋体" w:cs="宋体"/>
                <w:sz w:val="21"/>
                <w:szCs w:val="21"/>
                <w:highlight w:val="none"/>
                <w:lang w:val="en-US" w:eastAsia="zh-CN"/>
              </w:rPr>
              <w:t>《皮革</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材质鉴别</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显微镜法》、</w:t>
            </w:r>
            <w:r>
              <w:rPr>
                <w:rStyle w:val="263"/>
                <w:rFonts w:hint="eastAsia" w:ascii="宋体" w:hAnsi="宋体" w:eastAsia="宋体" w:cs="宋体"/>
                <w:sz w:val="21"/>
                <w:szCs w:val="21"/>
                <w:highlight w:val="none"/>
                <w:lang w:val="en-US" w:eastAsia="zh-CN"/>
              </w:rPr>
              <w:t>QB/T4341-2012</w:t>
            </w:r>
            <w:r>
              <w:rPr>
                <w:rStyle w:val="119"/>
                <w:rFonts w:hint="eastAsia" w:ascii="宋体" w:hAnsi="宋体" w:eastAsia="宋体" w:cs="宋体"/>
                <w:sz w:val="21"/>
                <w:szCs w:val="21"/>
                <w:highlight w:val="none"/>
                <w:lang w:val="en-US" w:eastAsia="zh-CN"/>
              </w:rPr>
              <w:t>《抗菌聚氨酯合成革抗菌性能试验方法和抗菌效果》、</w:t>
            </w:r>
            <w:r>
              <w:rPr>
                <w:rStyle w:val="263"/>
                <w:rFonts w:hint="eastAsia" w:ascii="宋体" w:hAnsi="宋体" w:eastAsia="宋体" w:cs="宋体"/>
                <w:sz w:val="21"/>
                <w:szCs w:val="21"/>
                <w:highlight w:val="none"/>
                <w:lang w:val="en-US" w:eastAsia="zh-CN"/>
              </w:rPr>
              <w:t>QB/T 4199-2011</w:t>
            </w:r>
            <w:r>
              <w:rPr>
                <w:rStyle w:val="119"/>
                <w:rFonts w:hint="eastAsia" w:ascii="宋体" w:hAnsi="宋体" w:eastAsia="宋体" w:cs="宋体"/>
                <w:sz w:val="21"/>
                <w:szCs w:val="21"/>
                <w:highlight w:val="none"/>
                <w:lang w:val="en-US" w:eastAsia="zh-CN"/>
              </w:rPr>
              <w:t>《皮革防霉性能测试方法》、</w:t>
            </w:r>
            <w:r>
              <w:rPr>
                <w:rStyle w:val="263"/>
                <w:rFonts w:hint="eastAsia" w:ascii="宋体" w:hAnsi="宋体" w:eastAsia="宋体" w:cs="宋体"/>
                <w:sz w:val="21"/>
                <w:szCs w:val="21"/>
                <w:highlight w:val="none"/>
                <w:lang w:val="en-US" w:eastAsia="zh-CN"/>
              </w:rPr>
              <w:t>GB/T 16799-2018</w:t>
            </w:r>
            <w:r>
              <w:rPr>
                <w:rStyle w:val="119"/>
                <w:rFonts w:hint="eastAsia" w:ascii="宋体" w:hAnsi="宋体" w:eastAsia="宋体" w:cs="宋体"/>
                <w:sz w:val="21"/>
                <w:szCs w:val="21"/>
                <w:highlight w:val="none"/>
                <w:lang w:val="en-US" w:eastAsia="zh-CN"/>
              </w:rPr>
              <w:t>《家具用皮革》标准：</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）禁用偶氮染料</w:t>
            </w:r>
            <w:r>
              <w:rPr>
                <w:rStyle w:val="263"/>
                <w:rFonts w:hint="eastAsia" w:ascii="宋体" w:hAnsi="宋体" w:eastAsia="宋体" w:cs="宋体"/>
                <w:sz w:val="21"/>
                <w:szCs w:val="21"/>
                <w:highlight w:val="none"/>
                <w:lang w:val="en-US" w:eastAsia="zh-CN"/>
              </w:rPr>
              <w:t xml:space="preserve"> mg/kg </w:t>
            </w:r>
            <w:r>
              <w:rPr>
                <w:rStyle w:val="119"/>
                <w:rFonts w:hint="eastAsia" w:ascii="宋体" w:hAnsi="宋体" w:eastAsia="宋体" w:cs="宋体"/>
                <w:sz w:val="21"/>
                <w:szCs w:val="21"/>
                <w:highlight w:val="none"/>
                <w:lang w:val="en-US" w:eastAsia="zh-CN"/>
              </w:rPr>
              <w:t>：未检出；</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）气味</w:t>
            </w:r>
            <w:r>
              <w:rPr>
                <w:rStyle w:val="263"/>
                <w:rFonts w:hint="eastAsia" w:ascii="宋体" w:hAnsi="宋体" w:eastAsia="宋体" w:cs="宋体"/>
                <w:sz w:val="21"/>
                <w:szCs w:val="21"/>
                <w:highlight w:val="none"/>
                <w:lang w:val="en-US" w:eastAsia="zh-CN"/>
              </w:rPr>
              <w:t xml:space="preserve"> ≤2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）游离甲醛</w:t>
            </w:r>
            <w:r>
              <w:rPr>
                <w:rStyle w:val="263"/>
                <w:rFonts w:hint="eastAsia" w:ascii="宋体" w:hAnsi="宋体" w:eastAsia="宋体" w:cs="宋体"/>
                <w:sz w:val="21"/>
                <w:szCs w:val="21"/>
                <w:highlight w:val="none"/>
                <w:lang w:val="en-US" w:eastAsia="zh-CN"/>
              </w:rPr>
              <w:t xml:space="preserve"> mg/kg ≤15</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pH </w:t>
            </w:r>
            <w:r>
              <w:rPr>
                <w:rStyle w:val="119"/>
                <w:rFonts w:hint="eastAsia" w:ascii="宋体" w:hAnsi="宋体" w:eastAsia="宋体" w:cs="宋体"/>
                <w:sz w:val="21"/>
                <w:szCs w:val="21"/>
                <w:highlight w:val="none"/>
                <w:lang w:val="en-US" w:eastAsia="zh-CN"/>
              </w:rPr>
              <w:t>值</w:t>
            </w:r>
            <w:r>
              <w:rPr>
                <w:rStyle w:val="263"/>
                <w:rFonts w:hint="eastAsia" w:ascii="宋体" w:hAnsi="宋体" w:eastAsia="宋体" w:cs="宋体"/>
                <w:sz w:val="21"/>
                <w:szCs w:val="21"/>
                <w:highlight w:val="none"/>
                <w:lang w:val="en-US" w:eastAsia="zh-CN"/>
              </w:rPr>
              <w:t xml:space="preserve"> &gt;5.0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）耐碱汗渍</w:t>
            </w:r>
            <w:r>
              <w:rPr>
                <w:rStyle w:val="263"/>
                <w:rFonts w:hint="eastAsia" w:ascii="宋体" w:hAnsi="宋体" w:eastAsia="宋体" w:cs="宋体"/>
                <w:sz w:val="21"/>
                <w:szCs w:val="21"/>
                <w:highlight w:val="none"/>
                <w:lang w:val="en-US" w:eastAsia="zh-CN"/>
              </w:rPr>
              <w:t>(80</w:t>
            </w:r>
            <w:r>
              <w:rPr>
                <w:rStyle w:val="119"/>
                <w:rFonts w:hint="eastAsia" w:ascii="宋体" w:hAnsi="宋体" w:eastAsia="宋体" w:cs="宋体"/>
                <w:sz w:val="21"/>
                <w:szCs w:val="21"/>
                <w:highlight w:val="none"/>
                <w:lang w:val="en-US" w:eastAsia="zh-CN"/>
              </w:rPr>
              <w:t>次</w:t>
            </w:r>
            <w:r>
              <w:rPr>
                <w:rStyle w:val="263"/>
                <w:rFonts w:hint="eastAsia" w:ascii="宋体" w:hAnsi="宋体" w:eastAsia="宋体" w:cs="宋体"/>
                <w:sz w:val="21"/>
                <w:szCs w:val="21"/>
                <w:highlight w:val="none"/>
                <w:lang w:val="en-US" w:eastAsia="zh-CN"/>
              </w:rPr>
              <w:t xml:space="preserve">)&gt;4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）耐干摩擦</w:t>
            </w:r>
            <w:r>
              <w:rPr>
                <w:rStyle w:val="263"/>
                <w:rFonts w:hint="eastAsia" w:ascii="宋体" w:hAnsi="宋体" w:eastAsia="宋体" w:cs="宋体"/>
                <w:sz w:val="21"/>
                <w:szCs w:val="21"/>
                <w:highlight w:val="none"/>
                <w:lang w:val="en-US" w:eastAsia="zh-CN"/>
              </w:rPr>
              <w:t xml:space="preserve">(500 </w:t>
            </w:r>
            <w:r>
              <w:rPr>
                <w:rStyle w:val="119"/>
                <w:rFonts w:hint="eastAsia" w:ascii="宋体" w:hAnsi="宋体" w:eastAsia="宋体" w:cs="宋体"/>
                <w:sz w:val="21"/>
                <w:szCs w:val="21"/>
                <w:highlight w:val="none"/>
                <w:lang w:val="en-US" w:eastAsia="zh-CN"/>
              </w:rPr>
              <w:t>次</w:t>
            </w:r>
            <w:r>
              <w:rPr>
                <w:rStyle w:val="263"/>
                <w:rFonts w:hint="eastAsia" w:ascii="宋体" w:hAnsi="宋体" w:eastAsia="宋体" w:cs="宋体"/>
                <w:sz w:val="21"/>
                <w:szCs w:val="21"/>
                <w:highlight w:val="none"/>
                <w:lang w:val="en-US" w:eastAsia="zh-CN"/>
              </w:rPr>
              <w:t xml:space="preserve">) &gt;4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）耐湿摩擦</w:t>
            </w:r>
            <w:r>
              <w:rPr>
                <w:rStyle w:val="263"/>
                <w:rFonts w:hint="eastAsia" w:ascii="宋体" w:hAnsi="宋体" w:eastAsia="宋体" w:cs="宋体"/>
                <w:sz w:val="21"/>
                <w:szCs w:val="21"/>
                <w:highlight w:val="none"/>
                <w:lang w:val="en-US" w:eastAsia="zh-CN"/>
              </w:rPr>
              <w:t xml:space="preserve">(250 </w:t>
            </w:r>
            <w:r>
              <w:rPr>
                <w:rStyle w:val="119"/>
                <w:rFonts w:hint="eastAsia" w:ascii="宋体" w:hAnsi="宋体" w:eastAsia="宋体" w:cs="宋体"/>
                <w:sz w:val="21"/>
                <w:szCs w:val="21"/>
                <w:highlight w:val="none"/>
                <w:lang w:val="en-US" w:eastAsia="zh-CN"/>
              </w:rPr>
              <w:t>次</w:t>
            </w:r>
            <w:r>
              <w:rPr>
                <w:rStyle w:val="263"/>
                <w:rFonts w:hint="eastAsia" w:ascii="宋体" w:hAnsi="宋体" w:eastAsia="宋体" w:cs="宋体"/>
                <w:sz w:val="21"/>
                <w:szCs w:val="21"/>
                <w:highlight w:val="none"/>
                <w:lang w:val="en-US" w:eastAsia="zh-CN"/>
              </w:rPr>
              <w:t xml:space="preserve">) &gt;4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8</w:t>
            </w:r>
            <w:r>
              <w:rPr>
                <w:rStyle w:val="119"/>
                <w:rFonts w:hint="eastAsia" w:ascii="宋体" w:hAnsi="宋体" w:eastAsia="宋体" w:cs="宋体"/>
                <w:sz w:val="21"/>
                <w:szCs w:val="21"/>
                <w:highlight w:val="none"/>
                <w:lang w:val="en-US" w:eastAsia="zh-CN"/>
              </w:rPr>
              <w:t>）耐光</w:t>
            </w:r>
            <w:r>
              <w:rPr>
                <w:rStyle w:val="263"/>
                <w:rFonts w:hint="eastAsia" w:ascii="宋体" w:hAnsi="宋体" w:eastAsia="宋体" w:cs="宋体"/>
                <w:sz w:val="21"/>
                <w:szCs w:val="21"/>
                <w:highlight w:val="none"/>
                <w:lang w:val="en-US" w:eastAsia="zh-CN"/>
              </w:rPr>
              <w:t xml:space="preserve"> ≥4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9</w:t>
            </w:r>
            <w:r>
              <w:rPr>
                <w:rStyle w:val="119"/>
                <w:rFonts w:hint="eastAsia" w:ascii="宋体" w:hAnsi="宋体" w:eastAsia="宋体" w:cs="宋体"/>
                <w:sz w:val="21"/>
                <w:szCs w:val="21"/>
                <w:highlight w:val="none"/>
                <w:lang w:val="en-US" w:eastAsia="zh-CN"/>
              </w:rPr>
              <w:t>）撕裂力</w:t>
            </w:r>
            <w:r>
              <w:rPr>
                <w:rStyle w:val="263"/>
                <w:rFonts w:hint="eastAsia" w:ascii="宋体" w:hAnsi="宋体" w:eastAsia="宋体" w:cs="宋体"/>
                <w:sz w:val="21"/>
                <w:szCs w:val="21"/>
                <w:highlight w:val="none"/>
                <w:lang w:val="en-US" w:eastAsia="zh-CN"/>
              </w:rPr>
              <w:t xml:space="preserve"> N &gt;120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10</w:t>
            </w:r>
            <w:r>
              <w:rPr>
                <w:rStyle w:val="119"/>
                <w:rFonts w:hint="eastAsia" w:ascii="宋体" w:hAnsi="宋体" w:eastAsia="宋体" w:cs="宋体"/>
                <w:sz w:val="21"/>
                <w:szCs w:val="21"/>
                <w:highlight w:val="none"/>
                <w:lang w:val="en-US" w:eastAsia="zh-CN"/>
              </w:rPr>
              <w:t>）耐折牢度</w:t>
            </w:r>
            <w:r>
              <w:rPr>
                <w:rStyle w:val="263"/>
                <w:rFonts w:hint="eastAsia" w:ascii="宋体" w:hAnsi="宋体" w:eastAsia="宋体" w:cs="宋体"/>
                <w:sz w:val="21"/>
                <w:szCs w:val="21"/>
                <w:highlight w:val="none"/>
                <w:lang w:val="en-US" w:eastAsia="zh-CN"/>
              </w:rPr>
              <w:t xml:space="preserve"> 5 </w:t>
            </w:r>
            <w:r>
              <w:rPr>
                <w:rStyle w:val="119"/>
                <w:rFonts w:hint="eastAsia" w:ascii="宋体" w:hAnsi="宋体" w:eastAsia="宋体" w:cs="宋体"/>
                <w:sz w:val="21"/>
                <w:szCs w:val="21"/>
                <w:highlight w:val="none"/>
                <w:lang w:val="en-US" w:eastAsia="zh-CN"/>
              </w:rPr>
              <w:t>万次后无损坏；</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11</w:t>
            </w:r>
            <w:r>
              <w:rPr>
                <w:rStyle w:val="119"/>
                <w:rFonts w:hint="eastAsia" w:ascii="宋体" w:hAnsi="宋体" w:eastAsia="宋体" w:cs="宋体"/>
                <w:sz w:val="21"/>
                <w:szCs w:val="21"/>
                <w:highlight w:val="none"/>
                <w:lang w:val="en-US" w:eastAsia="zh-CN"/>
              </w:rPr>
              <w:t>）涂层粘着牢度：涂层不得剥离；</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12</w:t>
            </w:r>
            <w:r>
              <w:rPr>
                <w:rStyle w:val="119"/>
                <w:rFonts w:hint="eastAsia" w:ascii="宋体" w:hAnsi="宋体" w:eastAsia="宋体" w:cs="宋体"/>
                <w:sz w:val="21"/>
                <w:szCs w:val="21"/>
                <w:highlight w:val="none"/>
                <w:lang w:val="en-US" w:eastAsia="zh-CN"/>
              </w:rPr>
              <w:t>）挥发性有机物</w:t>
            </w:r>
            <w:r>
              <w:rPr>
                <w:rStyle w:val="263"/>
                <w:rFonts w:hint="eastAsia" w:ascii="宋体" w:hAnsi="宋体" w:eastAsia="宋体" w:cs="宋体"/>
                <w:sz w:val="21"/>
                <w:szCs w:val="21"/>
                <w:highlight w:val="none"/>
                <w:lang w:val="en-US" w:eastAsia="zh-CN"/>
              </w:rPr>
              <w:t>(VOC) mg/kg ≤20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13</w:t>
            </w:r>
            <w:r>
              <w:rPr>
                <w:rStyle w:val="119"/>
                <w:rFonts w:hint="eastAsia" w:ascii="宋体" w:hAnsi="宋体" w:eastAsia="宋体" w:cs="宋体"/>
                <w:sz w:val="21"/>
                <w:szCs w:val="21"/>
                <w:highlight w:val="none"/>
                <w:lang w:val="en-US" w:eastAsia="zh-CN"/>
              </w:rPr>
              <w:t>）抑菌率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）（铜绿假单胞菌、大肠杆菌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、金黄色葡萄球菌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、藤黄微球菌、奇异变形杆菌）</w:t>
            </w:r>
            <w:r>
              <w:rPr>
                <w:rStyle w:val="263"/>
                <w:rFonts w:hint="eastAsia" w:ascii="宋体" w:hAnsi="宋体" w:eastAsia="宋体" w:cs="宋体"/>
                <w:sz w:val="21"/>
                <w:szCs w:val="21"/>
                <w:highlight w:val="none"/>
                <w:lang w:val="en-US" w:eastAsia="zh-CN"/>
              </w:rPr>
              <w:t>&gt;99</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14</w:t>
            </w:r>
            <w:r>
              <w:rPr>
                <w:rStyle w:val="119"/>
                <w:rFonts w:hint="eastAsia" w:ascii="宋体" w:hAnsi="宋体" w:eastAsia="宋体" w:cs="宋体"/>
                <w:sz w:val="21"/>
                <w:szCs w:val="21"/>
                <w:highlight w:val="none"/>
                <w:lang w:val="en-US" w:eastAsia="zh-CN"/>
              </w:rPr>
              <w:t>）皮革防霉</w:t>
            </w:r>
            <w:r>
              <w:rPr>
                <w:rStyle w:val="263"/>
                <w:rFonts w:hint="eastAsia" w:ascii="宋体" w:hAnsi="宋体" w:eastAsia="宋体" w:cs="宋体"/>
                <w:sz w:val="21"/>
                <w:szCs w:val="21"/>
                <w:highlight w:val="none"/>
                <w:lang w:val="en-US" w:eastAsia="zh-CN"/>
              </w:rPr>
              <w:t xml:space="preserve"> 1 </w:t>
            </w:r>
            <w:r>
              <w:rPr>
                <w:rStyle w:val="119"/>
                <w:rFonts w:hint="eastAsia" w:ascii="宋体" w:hAnsi="宋体" w:eastAsia="宋体" w:cs="宋体"/>
                <w:sz w:val="21"/>
                <w:szCs w:val="21"/>
                <w:highlight w:val="none"/>
                <w:lang w:val="en-US" w:eastAsia="zh-CN"/>
              </w:rPr>
              <w:t>级无霉菌生长</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黄曲霉、黑曲霉、大毛霉、绿色木霉、宛氏拟青霉）。</w:t>
            </w:r>
          </w:p>
        </w:tc>
      </w:tr>
      <w:tr w14:paraId="45E8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3222E9D">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7FCA74D1">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生态多层板</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多层实芯环保生态板</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0D96028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 xml:space="preserve"> GB/T 17657-2013</w:t>
            </w:r>
            <w:r>
              <w:rPr>
                <w:rStyle w:val="119"/>
                <w:rFonts w:hint="eastAsia" w:ascii="宋体" w:hAnsi="宋体" w:eastAsia="宋体" w:cs="宋体"/>
                <w:sz w:val="21"/>
                <w:szCs w:val="21"/>
                <w:highlight w:val="none"/>
                <w:lang w:val="en-US" w:eastAsia="zh-CN"/>
              </w:rPr>
              <w:t>《人造板及饰面人造板理化性能试验方法》、</w:t>
            </w:r>
            <w:r>
              <w:rPr>
                <w:rStyle w:val="263"/>
                <w:rFonts w:hint="eastAsia" w:ascii="宋体" w:hAnsi="宋体" w:eastAsia="宋体" w:cs="宋体"/>
                <w:sz w:val="21"/>
                <w:szCs w:val="21"/>
                <w:highlight w:val="none"/>
                <w:lang w:val="en-US" w:eastAsia="zh-CN"/>
              </w:rPr>
              <w:t xml:space="preserve">GB/T 29899-2013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《人造板及其制品中挥发性有机化合物释放量试验方法小型释放舱法》、</w:t>
            </w:r>
            <w:r>
              <w:rPr>
                <w:rStyle w:val="263"/>
                <w:rFonts w:hint="eastAsia" w:ascii="宋体" w:hAnsi="宋体" w:eastAsia="宋体" w:cs="宋体"/>
                <w:sz w:val="21"/>
                <w:szCs w:val="21"/>
                <w:highlight w:val="none"/>
                <w:lang w:val="en-US" w:eastAsia="zh-CN"/>
              </w:rPr>
              <w:t xml:space="preserve">GB/T 20284-2006 </w:t>
            </w:r>
            <w:r>
              <w:rPr>
                <w:rStyle w:val="119"/>
                <w:rFonts w:hint="eastAsia" w:ascii="宋体" w:hAnsi="宋体" w:eastAsia="宋体" w:cs="宋体"/>
                <w:sz w:val="21"/>
                <w:szCs w:val="21"/>
                <w:highlight w:val="none"/>
                <w:lang w:val="en-US" w:eastAsia="zh-CN"/>
              </w:rPr>
              <w:t>《建筑材料或制品的单体燃烧试验》、</w:t>
            </w:r>
            <w:r>
              <w:rPr>
                <w:rStyle w:val="263"/>
                <w:rFonts w:hint="eastAsia" w:ascii="宋体" w:hAnsi="宋体" w:eastAsia="宋体" w:cs="宋体"/>
                <w:sz w:val="21"/>
                <w:szCs w:val="21"/>
                <w:highlight w:val="none"/>
                <w:lang w:val="en-US" w:eastAsia="zh-CN"/>
              </w:rPr>
              <w:t>GB/T 8626-2007</w:t>
            </w:r>
            <w:r>
              <w:rPr>
                <w:rStyle w:val="119"/>
                <w:rFonts w:hint="eastAsia" w:ascii="宋体" w:hAnsi="宋体" w:eastAsia="宋体" w:cs="宋体"/>
                <w:sz w:val="21"/>
                <w:szCs w:val="21"/>
                <w:highlight w:val="none"/>
                <w:lang w:val="en-US" w:eastAsia="zh-CN"/>
              </w:rPr>
              <w:t>《建筑材料可燃性试验方法》、</w:t>
            </w:r>
            <w:r>
              <w:rPr>
                <w:rStyle w:val="263"/>
                <w:rFonts w:hint="eastAsia" w:ascii="宋体" w:hAnsi="宋体" w:eastAsia="宋体" w:cs="宋体"/>
                <w:sz w:val="21"/>
                <w:szCs w:val="21"/>
                <w:highlight w:val="none"/>
                <w:lang w:val="en-US" w:eastAsia="zh-CN"/>
              </w:rPr>
              <w:t>LY/T 1926-2020</w:t>
            </w:r>
            <w:r>
              <w:rPr>
                <w:rStyle w:val="119"/>
                <w:rFonts w:hint="eastAsia" w:ascii="宋体" w:hAnsi="宋体" w:eastAsia="宋体" w:cs="宋体"/>
                <w:sz w:val="21"/>
                <w:szCs w:val="21"/>
                <w:highlight w:val="none"/>
                <w:lang w:val="en-US" w:eastAsia="zh-CN"/>
              </w:rPr>
              <w:t>《人造板与木（竹）制品抗菌性能检测与分级》、</w:t>
            </w:r>
            <w:r>
              <w:rPr>
                <w:rStyle w:val="263"/>
                <w:rFonts w:hint="eastAsia" w:ascii="宋体" w:hAnsi="宋体" w:eastAsia="宋体" w:cs="宋体"/>
                <w:sz w:val="21"/>
                <w:szCs w:val="21"/>
                <w:highlight w:val="none"/>
                <w:lang w:val="en-US" w:eastAsia="zh-CN"/>
              </w:rPr>
              <w:t>LY/T 2230-2013</w:t>
            </w:r>
            <w:r>
              <w:rPr>
                <w:rStyle w:val="119"/>
                <w:rFonts w:hint="eastAsia" w:ascii="宋体" w:hAnsi="宋体" w:eastAsia="宋体" w:cs="宋体"/>
                <w:sz w:val="21"/>
                <w:szCs w:val="21"/>
                <w:highlight w:val="none"/>
                <w:lang w:val="en-US" w:eastAsia="zh-CN"/>
              </w:rPr>
              <w:t>《人造板防霉性能评价》、</w:t>
            </w:r>
            <w:r>
              <w:rPr>
                <w:rStyle w:val="263"/>
                <w:rFonts w:hint="eastAsia" w:ascii="宋体" w:hAnsi="宋体" w:eastAsia="宋体" w:cs="宋体"/>
                <w:sz w:val="21"/>
                <w:szCs w:val="21"/>
                <w:highlight w:val="none"/>
                <w:lang w:val="en-US" w:eastAsia="zh-CN"/>
              </w:rPr>
              <w:t>GB/T 35690-2017</w:t>
            </w:r>
            <w:r>
              <w:rPr>
                <w:rStyle w:val="119"/>
                <w:rFonts w:hint="eastAsia" w:ascii="宋体" w:hAnsi="宋体" w:eastAsia="宋体" w:cs="宋体"/>
                <w:sz w:val="21"/>
                <w:szCs w:val="21"/>
                <w:highlight w:val="none"/>
                <w:lang w:val="en-US" w:eastAsia="zh-CN"/>
              </w:rPr>
              <w:t>《弱磁材料相对磁导率的测量方法》标准；</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）胶合强度</w:t>
            </w:r>
            <w:r>
              <w:rPr>
                <w:rStyle w:val="263"/>
                <w:rFonts w:hint="eastAsia" w:ascii="宋体" w:hAnsi="宋体" w:eastAsia="宋体" w:cs="宋体"/>
                <w:sz w:val="21"/>
                <w:szCs w:val="21"/>
                <w:highlight w:val="none"/>
                <w:lang w:val="en-US" w:eastAsia="zh-CN"/>
              </w:rPr>
              <w:t>≥0.70MPa</w:t>
            </w:r>
            <w:r>
              <w:rPr>
                <w:rStyle w:val="119"/>
                <w:rFonts w:hint="eastAsia" w:ascii="宋体" w:hAnsi="宋体" w:eastAsia="宋体" w:cs="宋体"/>
                <w:sz w:val="21"/>
                <w:szCs w:val="21"/>
                <w:highlight w:val="none"/>
                <w:lang w:val="en-US" w:eastAsia="zh-CN"/>
              </w:rPr>
              <w:t>，合格试件数等于或大于有效试件总数的</w:t>
            </w:r>
            <w:r>
              <w:rPr>
                <w:rStyle w:val="263"/>
                <w:rFonts w:hint="eastAsia" w:ascii="宋体" w:hAnsi="宋体" w:eastAsia="宋体" w:cs="宋体"/>
                <w:sz w:val="21"/>
                <w:szCs w:val="21"/>
                <w:highlight w:val="none"/>
                <w:lang w:val="en-US" w:eastAsia="zh-CN"/>
              </w:rPr>
              <w:t xml:space="preserve"> 90%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）静曲强度：顺纹</w:t>
            </w:r>
            <w:r>
              <w:rPr>
                <w:rStyle w:val="263"/>
                <w:rFonts w:hint="eastAsia" w:ascii="宋体" w:hAnsi="宋体" w:eastAsia="宋体" w:cs="宋体"/>
                <w:sz w:val="21"/>
                <w:szCs w:val="21"/>
                <w:highlight w:val="none"/>
                <w:lang w:val="en-US" w:eastAsia="zh-CN"/>
              </w:rPr>
              <w:t>≥25.0MPa</w:t>
            </w:r>
            <w:r>
              <w:rPr>
                <w:rStyle w:val="119"/>
                <w:rFonts w:hint="eastAsia" w:ascii="宋体" w:hAnsi="宋体" w:eastAsia="宋体" w:cs="宋体"/>
                <w:sz w:val="21"/>
                <w:szCs w:val="21"/>
                <w:highlight w:val="none"/>
                <w:lang w:val="en-US" w:eastAsia="zh-CN"/>
              </w:rPr>
              <w:t>，合格试件数等于或大于有效试件总数的</w:t>
            </w:r>
            <w:r>
              <w:rPr>
                <w:rStyle w:val="263"/>
                <w:rFonts w:hint="eastAsia" w:ascii="宋体" w:hAnsi="宋体" w:eastAsia="宋体" w:cs="宋体"/>
                <w:sz w:val="21"/>
                <w:szCs w:val="21"/>
                <w:highlight w:val="none"/>
                <w:lang w:val="en-US" w:eastAsia="zh-CN"/>
              </w:rPr>
              <w:t xml:space="preserve"> 90%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）弹性模量</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顺纹</w:t>
            </w:r>
            <w:r>
              <w:rPr>
                <w:rStyle w:val="263"/>
                <w:rFonts w:hint="eastAsia" w:ascii="宋体" w:hAnsi="宋体" w:eastAsia="宋体" w:cs="宋体"/>
                <w:sz w:val="21"/>
                <w:szCs w:val="21"/>
                <w:highlight w:val="none"/>
                <w:lang w:val="en-US" w:eastAsia="zh-CN"/>
              </w:rPr>
              <w:t>≥5500MPa</w:t>
            </w:r>
            <w:r>
              <w:rPr>
                <w:rStyle w:val="119"/>
                <w:rFonts w:hint="eastAsia" w:ascii="宋体" w:hAnsi="宋体" w:eastAsia="宋体" w:cs="宋体"/>
                <w:sz w:val="21"/>
                <w:szCs w:val="21"/>
                <w:highlight w:val="none"/>
                <w:lang w:val="en-US" w:eastAsia="zh-CN"/>
              </w:rPr>
              <w:t>，合格试件数等于或大于有效试件总数的</w:t>
            </w:r>
            <w:r>
              <w:rPr>
                <w:rStyle w:val="263"/>
                <w:rFonts w:hint="eastAsia" w:ascii="宋体" w:hAnsi="宋体" w:eastAsia="宋体" w:cs="宋体"/>
                <w:sz w:val="21"/>
                <w:szCs w:val="21"/>
                <w:highlight w:val="none"/>
                <w:lang w:val="en-US" w:eastAsia="zh-CN"/>
              </w:rPr>
              <w:t xml:space="preserve"> 90%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）甲醛释放量：</w:t>
            </w:r>
            <w:r>
              <w:rPr>
                <w:rStyle w:val="263"/>
                <w:rFonts w:hint="eastAsia" w:ascii="宋体" w:hAnsi="宋体" w:eastAsia="宋体" w:cs="宋体"/>
                <w:sz w:val="21"/>
                <w:szCs w:val="21"/>
                <w:highlight w:val="none"/>
                <w:lang w:val="en-US" w:eastAsia="zh-CN"/>
              </w:rPr>
              <w:t>≤0.05mg/m3</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）挥发性有机化合物</w:t>
            </w:r>
            <w:r>
              <w:rPr>
                <w:rStyle w:val="263"/>
                <w:rFonts w:hint="eastAsia" w:ascii="宋体" w:hAnsi="宋体" w:eastAsia="宋体" w:cs="宋体"/>
                <w:sz w:val="21"/>
                <w:szCs w:val="21"/>
                <w:highlight w:val="none"/>
                <w:lang w:val="en-US" w:eastAsia="zh-CN"/>
              </w:rPr>
              <w:t>(72h)</w:t>
            </w:r>
            <w:r>
              <w:rPr>
                <w:rStyle w:val="119"/>
                <w:rFonts w:hint="eastAsia" w:ascii="宋体" w:hAnsi="宋体" w:eastAsia="宋体" w:cs="宋体"/>
                <w:sz w:val="21"/>
                <w:szCs w:val="21"/>
                <w:highlight w:val="none"/>
                <w:lang w:val="en-US" w:eastAsia="zh-CN"/>
              </w:rPr>
              <w:t>：①总挥发性有机化合物</w:t>
            </w:r>
            <w:r>
              <w:rPr>
                <w:rStyle w:val="263"/>
                <w:rFonts w:hint="eastAsia" w:ascii="宋体" w:hAnsi="宋体" w:eastAsia="宋体" w:cs="宋体"/>
                <w:sz w:val="21"/>
                <w:szCs w:val="21"/>
                <w:highlight w:val="none"/>
                <w:lang w:val="en-US" w:eastAsia="zh-CN"/>
              </w:rPr>
              <w:t xml:space="preserve">(TVOC)μg/m³ ≤60 </w:t>
            </w:r>
            <w:r>
              <w:rPr>
                <w:rStyle w:val="119"/>
                <w:rFonts w:hint="eastAsia" w:ascii="宋体" w:hAnsi="宋体" w:eastAsia="宋体" w:cs="宋体"/>
                <w:sz w:val="21"/>
                <w:szCs w:val="21"/>
                <w:highlight w:val="none"/>
                <w:lang w:val="en-US" w:eastAsia="zh-CN"/>
              </w:rPr>
              <w:t>②苯</w:t>
            </w:r>
            <w:r>
              <w:rPr>
                <w:rStyle w:val="263"/>
                <w:rFonts w:hint="eastAsia" w:ascii="宋体" w:hAnsi="宋体" w:eastAsia="宋体" w:cs="宋体"/>
                <w:sz w:val="21"/>
                <w:szCs w:val="21"/>
                <w:highlight w:val="none"/>
                <w:lang w:val="en-US" w:eastAsia="zh-CN"/>
              </w:rPr>
              <w:t xml:space="preserve">≤10m³ </w:t>
            </w:r>
            <w:r>
              <w:rPr>
                <w:rStyle w:val="119"/>
                <w:rFonts w:hint="eastAsia" w:ascii="宋体" w:hAnsi="宋体" w:eastAsia="宋体" w:cs="宋体"/>
                <w:sz w:val="21"/>
                <w:szCs w:val="21"/>
                <w:highlight w:val="none"/>
                <w:lang w:val="en-US" w:eastAsia="zh-CN"/>
              </w:rPr>
              <w:t>③</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甲苯</w:t>
            </w:r>
            <w:r>
              <w:rPr>
                <w:rStyle w:val="263"/>
                <w:rFonts w:hint="eastAsia" w:ascii="宋体" w:hAnsi="宋体" w:eastAsia="宋体" w:cs="宋体"/>
                <w:sz w:val="21"/>
                <w:szCs w:val="21"/>
                <w:highlight w:val="none"/>
                <w:lang w:val="en-US" w:eastAsia="zh-CN"/>
              </w:rPr>
              <w:t xml:space="preserve"> μg/m³ ≤5 </w:t>
            </w:r>
            <w:r>
              <w:rPr>
                <w:rStyle w:val="119"/>
                <w:rFonts w:hint="eastAsia" w:ascii="宋体" w:hAnsi="宋体" w:eastAsia="宋体" w:cs="宋体"/>
                <w:sz w:val="21"/>
                <w:szCs w:val="21"/>
                <w:highlight w:val="none"/>
                <w:lang w:val="en-US" w:eastAsia="zh-CN"/>
              </w:rPr>
              <w:t>④二甲苯</w:t>
            </w:r>
            <w:r>
              <w:rPr>
                <w:rStyle w:val="263"/>
                <w:rFonts w:hint="eastAsia" w:ascii="宋体" w:hAnsi="宋体" w:eastAsia="宋体" w:cs="宋体"/>
                <w:sz w:val="21"/>
                <w:szCs w:val="21"/>
                <w:highlight w:val="none"/>
                <w:lang w:val="en-US" w:eastAsia="zh-CN"/>
              </w:rPr>
              <w:t xml:space="preserve">μg/m³ ≤10 </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）燃烧性能</w:t>
            </w:r>
            <w:r>
              <w:rPr>
                <w:rStyle w:val="263"/>
                <w:rFonts w:hint="eastAsia" w:ascii="宋体" w:hAnsi="宋体" w:eastAsia="宋体" w:cs="宋体"/>
                <w:sz w:val="21"/>
                <w:szCs w:val="21"/>
                <w:highlight w:val="none"/>
                <w:lang w:val="en-US" w:eastAsia="zh-CN"/>
              </w:rPr>
              <w:t xml:space="preserve"> B1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平板状建筑材料</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8</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600s </w:t>
            </w:r>
            <w:r>
              <w:rPr>
                <w:rStyle w:val="119"/>
                <w:rFonts w:hint="eastAsia" w:ascii="宋体" w:hAnsi="宋体" w:eastAsia="宋体" w:cs="宋体"/>
                <w:sz w:val="21"/>
                <w:szCs w:val="21"/>
                <w:highlight w:val="none"/>
                <w:lang w:val="en-US" w:eastAsia="zh-CN"/>
              </w:rPr>
              <w:t>的总放热量</w:t>
            </w:r>
            <w:r>
              <w:rPr>
                <w:rStyle w:val="263"/>
                <w:rFonts w:hint="eastAsia" w:ascii="宋体" w:hAnsi="宋体" w:eastAsia="宋体" w:cs="宋体"/>
                <w:sz w:val="21"/>
                <w:szCs w:val="21"/>
                <w:highlight w:val="none"/>
                <w:lang w:val="en-US" w:eastAsia="zh-CN"/>
              </w:rPr>
              <w:t xml:space="preserve"> THR600s:≤ 10.0MJ</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9</w:t>
            </w:r>
            <w:r>
              <w:rPr>
                <w:rStyle w:val="119"/>
                <w:rFonts w:hint="eastAsia" w:ascii="宋体" w:hAnsi="宋体" w:eastAsia="宋体" w:cs="宋体"/>
                <w:sz w:val="21"/>
                <w:szCs w:val="21"/>
                <w:highlight w:val="none"/>
                <w:lang w:val="en-US" w:eastAsia="zh-CN"/>
              </w:rPr>
              <w:t>）烟气生成速率指数</w:t>
            </w:r>
            <w:r>
              <w:rPr>
                <w:rStyle w:val="263"/>
                <w:rFonts w:hint="eastAsia" w:ascii="宋体" w:hAnsi="宋体" w:eastAsia="宋体" w:cs="宋体"/>
                <w:sz w:val="21"/>
                <w:szCs w:val="21"/>
                <w:highlight w:val="none"/>
                <w:lang w:val="en-US" w:eastAsia="zh-CN"/>
              </w:rPr>
              <w:t xml:space="preserve"> SMOGRA: ≤80m2/s</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600s </w:t>
            </w:r>
            <w:r>
              <w:rPr>
                <w:rStyle w:val="119"/>
                <w:rFonts w:hint="eastAsia" w:ascii="宋体" w:hAnsi="宋体" w:eastAsia="宋体" w:cs="宋体"/>
                <w:sz w:val="21"/>
                <w:szCs w:val="21"/>
                <w:highlight w:val="none"/>
                <w:lang w:val="en-US" w:eastAsia="zh-CN"/>
              </w:rPr>
              <w:t>总烟气生成量</w:t>
            </w:r>
            <w:r>
              <w:rPr>
                <w:rStyle w:val="263"/>
                <w:rFonts w:hint="eastAsia" w:ascii="宋体" w:hAnsi="宋体" w:eastAsia="宋体" w:cs="宋体"/>
                <w:sz w:val="21"/>
                <w:szCs w:val="21"/>
                <w:highlight w:val="none"/>
                <w:lang w:val="en-US" w:eastAsia="zh-CN"/>
              </w:rPr>
              <w:t xml:space="preserve"> TSP600s :≤120 m2/s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11</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60s </w:t>
            </w:r>
            <w:r>
              <w:rPr>
                <w:rStyle w:val="119"/>
                <w:rFonts w:hint="eastAsia" w:ascii="宋体" w:hAnsi="宋体" w:eastAsia="宋体" w:cs="宋体"/>
                <w:sz w:val="21"/>
                <w:szCs w:val="21"/>
                <w:highlight w:val="none"/>
                <w:lang w:val="en-US" w:eastAsia="zh-CN"/>
              </w:rPr>
              <w:t>内有无燃烧滴落物引燃滤纸现象</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：无。</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12</w:t>
            </w:r>
            <w:r>
              <w:rPr>
                <w:rStyle w:val="119"/>
                <w:rFonts w:hint="eastAsia" w:ascii="宋体" w:hAnsi="宋体" w:eastAsia="宋体" w:cs="宋体"/>
                <w:sz w:val="21"/>
                <w:szCs w:val="21"/>
                <w:highlight w:val="none"/>
                <w:lang w:val="en-US" w:eastAsia="zh-CN"/>
              </w:rPr>
              <w:t>）相对磁导率：施加磁场强度</w:t>
            </w:r>
            <w:r>
              <w:rPr>
                <w:rStyle w:val="263"/>
                <w:rFonts w:hint="eastAsia" w:ascii="宋体" w:hAnsi="宋体" w:eastAsia="宋体" w:cs="宋体"/>
                <w:sz w:val="21"/>
                <w:szCs w:val="21"/>
                <w:highlight w:val="none"/>
                <w:lang w:val="en-US" w:eastAsia="zh-CN"/>
              </w:rPr>
              <w:t>(A/m)</w:t>
            </w:r>
            <w:r>
              <w:rPr>
                <w:rStyle w:val="119"/>
                <w:rFonts w:hint="eastAsia" w:ascii="宋体" w:hAnsi="宋体" w:eastAsia="宋体" w:cs="宋体"/>
                <w:sz w:val="21"/>
                <w:szCs w:val="21"/>
                <w:highlight w:val="none"/>
                <w:lang w:val="en-US" w:eastAsia="zh-CN"/>
              </w:rPr>
              <w:t>：①</w:t>
            </w:r>
            <w:r>
              <w:rPr>
                <w:rStyle w:val="263"/>
                <w:rFonts w:hint="eastAsia" w:ascii="宋体" w:hAnsi="宋体" w:eastAsia="宋体" w:cs="宋体"/>
                <w:sz w:val="21"/>
                <w:szCs w:val="21"/>
                <w:highlight w:val="none"/>
                <w:lang w:val="en-US" w:eastAsia="zh-CN"/>
              </w:rPr>
              <w:t>800(A/m)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≥1.0 </w:t>
            </w:r>
            <w:r>
              <w:rPr>
                <w:rStyle w:val="119"/>
                <w:rFonts w:hint="eastAsia" w:ascii="宋体" w:hAnsi="宋体" w:eastAsia="宋体" w:cs="宋体"/>
                <w:sz w:val="21"/>
                <w:szCs w:val="21"/>
                <w:highlight w:val="none"/>
                <w:lang w:val="en-US" w:eastAsia="zh-CN"/>
              </w:rPr>
              <w:t>②</w:t>
            </w:r>
            <w:r>
              <w:rPr>
                <w:rStyle w:val="263"/>
                <w:rFonts w:hint="eastAsia" w:ascii="宋体" w:hAnsi="宋体" w:eastAsia="宋体" w:cs="宋体"/>
                <w:sz w:val="21"/>
                <w:szCs w:val="21"/>
                <w:highlight w:val="none"/>
                <w:lang w:val="en-US" w:eastAsia="zh-CN"/>
              </w:rPr>
              <w:t>4000(A/m)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≥1.0 </w:t>
            </w:r>
            <w:r>
              <w:rPr>
                <w:rStyle w:val="119"/>
                <w:rFonts w:hint="eastAsia" w:ascii="宋体" w:hAnsi="宋体" w:eastAsia="宋体" w:cs="宋体"/>
                <w:sz w:val="21"/>
                <w:szCs w:val="21"/>
                <w:highlight w:val="none"/>
                <w:lang w:val="en-US" w:eastAsia="zh-CN"/>
              </w:rPr>
              <w:t>③</w:t>
            </w:r>
            <w:r>
              <w:rPr>
                <w:rStyle w:val="263"/>
                <w:rFonts w:hint="eastAsia" w:ascii="宋体" w:hAnsi="宋体" w:eastAsia="宋体" w:cs="宋体"/>
                <w:sz w:val="21"/>
                <w:szCs w:val="21"/>
                <w:highlight w:val="none"/>
                <w:lang w:val="en-US" w:eastAsia="zh-CN"/>
              </w:rPr>
              <w:t xml:space="preserve"> 8000 </w:t>
            </w:r>
            <w:r>
              <w:rPr>
                <w:rStyle w:val="263"/>
                <w:rFonts w:hint="eastAsia" w:ascii="宋体" w:hAnsi="宋体" w:eastAsia="宋体" w:cs="宋体"/>
                <w:sz w:val="21"/>
                <w:szCs w:val="21"/>
                <w:highlight w:val="none"/>
                <w:lang w:val="en-US" w:eastAsia="zh-CN"/>
              </w:rPr>
              <w:br w:type="textWrapping"/>
            </w:r>
            <w:r>
              <w:rPr>
                <w:rStyle w:val="263"/>
                <w:rFonts w:hint="eastAsia" w:ascii="宋体" w:hAnsi="宋体" w:eastAsia="宋体" w:cs="宋体"/>
                <w:sz w:val="21"/>
                <w:szCs w:val="21"/>
                <w:highlight w:val="none"/>
                <w:lang w:val="en-US" w:eastAsia="zh-CN"/>
              </w:rPr>
              <w:t xml:space="preserve">(A/m) </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≥1.0 </w:t>
            </w:r>
            <w:r>
              <w:rPr>
                <w:rStyle w:val="119"/>
                <w:rFonts w:hint="eastAsia" w:ascii="宋体" w:hAnsi="宋体" w:eastAsia="宋体" w:cs="宋体"/>
                <w:sz w:val="21"/>
                <w:szCs w:val="21"/>
                <w:highlight w:val="none"/>
                <w:lang w:val="en-US" w:eastAsia="zh-CN"/>
              </w:rPr>
              <w:t>④</w:t>
            </w:r>
            <w:r>
              <w:rPr>
                <w:rStyle w:val="263"/>
                <w:rFonts w:hint="eastAsia" w:ascii="宋体" w:hAnsi="宋体" w:eastAsia="宋体" w:cs="宋体"/>
                <w:sz w:val="21"/>
                <w:szCs w:val="21"/>
                <w:highlight w:val="none"/>
                <w:lang w:val="en-US" w:eastAsia="zh-CN"/>
              </w:rPr>
              <w:t>16000(A/m)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≥1.0 </w:t>
            </w:r>
            <w:r>
              <w:rPr>
                <w:rStyle w:val="119"/>
                <w:rFonts w:hint="eastAsia" w:ascii="宋体" w:hAnsi="宋体" w:eastAsia="宋体" w:cs="宋体"/>
                <w:sz w:val="21"/>
                <w:szCs w:val="21"/>
                <w:highlight w:val="none"/>
                <w:lang w:val="en-US" w:eastAsia="zh-CN"/>
              </w:rPr>
              <w:t>⑤</w:t>
            </w:r>
            <w:r>
              <w:rPr>
                <w:rStyle w:val="263"/>
                <w:rFonts w:hint="eastAsia" w:ascii="宋体" w:hAnsi="宋体" w:eastAsia="宋体" w:cs="宋体"/>
                <w:sz w:val="21"/>
                <w:szCs w:val="21"/>
                <w:highlight w:val="none"/>
                <w:lang w:val="en-US" w:eastAsia="zh-CN"/>
              </w:rPr>
              <w:t>60000 (A/m)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≥1.0</w:t>
            </w:r>
          </w:p>
        </w:tc>
      </w:tr>
      <w:tr w14:paraId="1764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65D571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507AC6B9">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封边</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78597BB9">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符合QB/T 4463-2013《家具用封边条技术要求》标准</w:t>
            </w:r>
          </w:p>
          <w:p w14:paraId="0220EBBD">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外观：塑料封边条：表面应无皱纹、裂纹、折痕、暗条痕、染色线、刀线、油渍、污点、黑斑、粘胶和杂质，无明显的气泡、针孔、划痕、波纹等瑕疵表面应光滑，花纹应清晰、均匀，无漏印，压纹(压花)表面应有统一的花式，且压纹应清一的花式，且压纹应清晰、均匀颜色可由供需双方协商确定，但色泽应均匀，无明显色差。背胶处理，应均匀边缘应光滑平直，无缺损。</w:t>
            </w:r>
          </w:p>
          <w:p w14:paraId="1A97818C">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（3）规格尺寸及其偏差；厚度(2.0mm&lt;H≤3.0mm)的偏差mm；</w:t>
            </w:r>
          </w:p>
          <w:p w14:paraId="0E19F20F">
            <w:pPr>
              <w:widowControl/>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理化性能：塑料封边条-耐干热；应无龟裂、无鼓泡；塑料封边条-耐磨性；磨30r后应无露底现象；塑料封边条-耐开裂(耐龟裂性)≥2级(有不规则横向细微开裂；塑料封边条-耐冷热：应无龟裂、无鼓泡、无变色、无起皱；塑料封边条-耐光色牢度(灰色样卡)≥4级</w:t>
            </w:r>
          </w:p>
          <w:p w14:paraId="3716B39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sz w:val="21"/>
                <w:szCs w:val="21"/>
                <w:highlight w:val="none"/>
              </w:rPr>
              <w:t>（5）有害物质限量：塑料封边条-甲醛释放量mg/L E1≤0.1mg/L</w:t>
            </w:r>
          </w:p>
        </w:tc>
      </w:tr>
      <w:tr w14:paraId="4E12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15A3F4E">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7FEBB9A0">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环保阻燃海绵</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海绵</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29B42D8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 xml:space="preserve"> GB/T 6669-2001</w:t>
            </w:r>
            <w:r>
              <w:rPr>
                <w:rStyle w:val="119"/>
                <w:rFonts w:hint="eastAsia" w:ascii="宋体" w:hAnsi="宋体" w:eastAsia="宋体" w:cs="宋体"/>
                <w:sz w:val="21"/>
                <w:szCs w:val="21"/>
                <w:highlight w:val="none"/>
                <w:lang w:val="en-US" w:eastAsia="zh-CN"/>
              </w:rPr>
              <w:t>《软质泡沫聚合材料</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压缩永久变形的测定》、</w:t>
            </w:r>
            <w:r>
              <w:rPr>
                <w:rStyle w:val="263"/>
                <w:rFonts w:hint="eastAsia" w:ascii="宋体" w:hAnsi="宋体" w:eastAsia="宋体" w:cs="宋体"/>
                <w:sz w:val="21"/>
                <w:szCs w:val="21"/>
                <w:highlight w:val="none"/>
                <w:lang w:val="en-US" w:eastAsia="zh-CN"/>
              </w:rPr>
              <w:t>GB/T 6670-1997</w:t>
            </w:r>
            <w:r>
              <w:rPr>
                <w:rStyle w:val="119"/>
                <w:rFonts w:hint="eastAsia" w:ascii="宋体" w:hAnsi="宋体" w:eastAsia="宋体" w:cs="宋体"/>
                <w:sz w:val="21"/>
                <w:szCs w:val="21"/>
                <w:highlight w:val="none"/>
                <w:lang w:val="en-US" w:eastAsia="zh-CN"/>
              </w:rPr>
              <w:t>《软质聚氨酯泡沫塑料回弹性能的测定》、</w:t>
            </w:r>
            <w:r>
              <w:rPr>
                <w:rStyle w:val="263"/>
                <w:rFonts w:hint="eastAsia" w:ascii="宋体" w:hAnsi="宋体" w:eastAsia="宋体" w:cs="宋体"/>
                <w:sz w:val="21"/>
                <w:szCs w:val="21"/>
                <w:highlight w:val="none"/>
                <w:lang w:val="en-US" w:eastAsia="zh-CN"/>
              </w:rPr>
              <w:t>GB/T 6344-1996</w:t>
            </w:r>
            <w:r>
              <w:rPr>
                <w:rStyle w:val="119"/>
                <w:rFonts w:hint="eastAsia" w:ascii="宋体" w:hAnsi="宋体" w:eastAsia="宋体" w:cs="宋体"/>
                <w:sz w:val="21"/>
                <w:szCs w:val="21"/>
                <w:highlight w:val="none"/>
                <w:lang w:val="en-US" w:eastAsia="zh-CN"/>
              </w:rPr>
              <w:t>《软质泡沫聚合物材料</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拉伸强度和断裂伸长率的测定》、</w:t>
            </w:r>
            <w:r>
              <w:rPr>
                <w:rStyle w:val="263"/>
                <w:rFonts w:hint="eastAsia" w:ascii="宋体" w:hAnsi="宋体" w:eastAsia="宋体" w:cs="宋体"/>
                <w:sz w:val="21"/>
                <w:szCs w:val="21"/>
                <w:highlight w:val="none"/>
                <w:lang w:val="en-US" w:eastAsia="zh-CN"/>
              </w:rPr>
              <w:t>GB/T 10808-2006</w:t>
            </w:r>
            <w:r>
              <w:rPr>
                <w:rStyle w:val="119"/>
                <w:rFonts w:hint="eastAsia" w:ascii="宋体" w:hAnsi="宋体" w:eastAsia="宋体" w:cs="宋体"/>
                <w:sz w:val="21"/>
                <w:szCs w:val="21"/>
                <w:highlight w:val="none"/>
                <w:lang w:val="en-US" w:eastAsia="zh-CN"/>
              </w:rPr>
              <w:t>《高聚物多孔弹性材料</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撕裂强度的测定》、</w:t>
            </w:r>
            <w:r>
              <w:rPr>
                <w:rStyle w:val="263"/>
                <w:rFonts w:hint="eastAsia" w:ascii="宋体" w:hAnsi="宋体" w:eastAsia="宋体" w:cs="宋体"/>
                <w:sz w:val="21"/>
                <w:szCs w:val="21"/>
                <w:highlight w:val="none"/>
                <w:lang w:val="en-US" w:eastAsia="zh-CN"/>
              </w:rPr>
              <w:t>GB/T9640-1988</w:t>
            </w:r>
            <w:r>
              <w:rPr>
                <w:rStyle w:val="119"/>
                <w:rFonts w:hint="eastAsia" w:ascii="宋体" w:hAnsi="宋体" w:eastAsia="宋体" w:cs="宋体"/>
                <w:sz w:val="21"/>
                <w:szCs w:val="21"/>
                <w:highlight w:val="none"/>
                <w:lang w:val="en-US" w:eastAsia="zh-CN"/>
              </w:rPr>
              <w:t>《软质泡沫聚合材料加速老化试验方法》、</w:t>
            </w:r>
            <w:r>
              <w:rPr>
                <w:rStyle w:val="263"/>
                <w:rFonts w:hint="eastAsia" w:ascii="宋体" w:hAnsi="宋体" w:eastAsia="宋体" w:cs="宋体"/>
                <w:sz w:val="21"/>
                <w:szCs w:val="21"/>
                <w:highlight w:val="none"/>
                <w:lang w:val="en-US" w:eastAsia="zh-CN"/>
              </w:rPr>
              <w:t>GB/T 6343-2009</w:t>
            </w:r>
            <w:r>
              <w:rPr>
                <w:rStyle w:val="119"/>
                <w:rFonts w:hint="eastAsia" w:ascii="宋体" w:hAnsi="宋体" w:eastAsia="宋体" w:cs="宋体"/>
                <w:sz w:val="21"/>
                <w:szCs w:val="21"/>
                <w:highlight w:val="none"/>
                <w:lang w:val="en-US" w:eastAsia="zh-CN"/>
              </w:rPr>
              <w:t>《泡沫塑料及橡胶</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表观密度的测定》、</w:t>
            </w:r>
            <w:r>
              <w:rPr>
                <w:rStyle w:val="263"/>
                <w:rFonts w:hint="eastAsia" w:ascii="宋体" w:hAnsi="宋体" w:eastAsia="宋体" w:cs="宋体"/>
                <w:sz w:val="21"/>
                <w:szCs w:val="21"/>
                <w:highlight w:val="none"/>
                <w:lang w:val="en-US" w:eastAsia="zh-CN"/>
              </w:rPr>
              <w:t>GB/T 20284-2006</w:t>
            </w:r>
            <w:r>
              <w:rPr>
                <w:rStyle w:val="119"/>
                <w:rFonts w:hint="eastAsia" w:ascii="宋体" w:hAnsi="宋体" w:eastAsia="宋体" w:cs="宋体"/>
                <w:sz w:val="21"/>
                <w:szCs w:val="21"/>
                <w:highlight w:val="none"/>
                <w:lang w:val="en-US" w:eastAsia="zh-CN"/>
              </w:rPr>
              <w:t>《建筑材料或制品的单体燃烧试验》、</w:t>
            </w:r>
            <w:r>
              <w:rPr>
                <w:rStyle w:val="263"/>
                <w:rFonts w:hint="eastAsia" w:ascii="宋体" w:hAnsi="宋体" w:eastAsia="宋体" w:cs="宋体"/>
                <w:sz w:val="21"/>
                <w:szCs w:val="21"/>
                <w:highlight w:val="none"/>
                <w:lang w:val="en-US" w:eastAsia="zh-CN"/>
              </w:rPr>
              <w:t>GB/T 8626-2007</w:t>
            </w:r>
            <w:r>
              <w:rPr>
                <w:rStyle w:val="119"/>
                <w:rFonts w:hint="eastAsia" w:ascii="宋体" w:hAnsi="宋体" w:eastAsia="宋体" w:cs="宋体"/>
                <w:sz w:val="21"/>
                <w:szCs w:val="21"/>
                <w:highlight w:val="none"/>
                <w:lang w:val="en-US" w:eastAsia="zh-CN"/>
              </w:rPr>
              <w:t>《建</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筑材料可燃性试验方法》、</w:t>
            </w:r>
            <w:r>
              <w:rPr>
                <w:rStyle w:val="263"/>
                <w:rFonts w:hint="eastAsia" w:ascii="宋体" w:hAnsi="宋体" w:eastAsia="宋体" w:cs="宋体"/>
                <w:sz w:val="21"/>
                <w:szCs w:val="21"/>
                <w:highlight w:val="none"/>
                <w:lang w:val="en-US" w:eastAsia="zh-CN"/>
              </w:rPr>
              <w:t>GB/T 20944.3-2008</w:t>
            </w:r>
            <w:r>
              <w:rPr>
                <w:rStyle w:val="119"/>
                <w:rFonts w:hint="eastAsia" w:ascii="宋体" w:hAnsi="宋体" w:eastAsia="宋体" w:cs="宋体"/>
                <w:sz w:val="21"/>
                <w:szCs w:val="21"/>
                <w:highlight w:val="none"/>
                <w:lang w:val="en-US" w:eastAsia="zh-CN"/>
              </w:rPr>
              <w:t>《纺织品抗菌性能的评价</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第</w:t>
            </w:r>
            <w:r>
              <w:rPr>
                <w:rStyle w:val="263"/>
                <w:rFonts w:hint="eastAsia" w:ascii="宋体" w:hAnsi="宋体" w:eastAsia="宋体" w:cs="宋体"/>
                <w:sz w:val="21"/>
                <w:szCs w:val="21"/>
                <w:highlight w:val="none"/>
                <w:lang w:val="en-US" w:eastAsia="zh-CN"/>
              </w:rPr>
              <w:t xml:space="preserve"> 3 </w:t>
            </w:r>
            <w:r>
              <w:rPr>
                <w:rStyle w:val="119"/>
                <w:rFonts w:hint="eastAsia" w:ascii="宋体" w:hAnsi="宋体" w:eastAsia="宋体" w:cs="宋体"/>
                <w:sz w:val="21"/>
                <w:szCs w:val="21"/>
                <w:highlight w:val="none"/>
                <w:lang w:val="en-US" w:eastAsia="zh-CN"/>
              </w:rPr>
              <w:t>部分振荡法》、</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263"/>
                <w:rFonts w:hint="eastAsia" w:ascii="宋体" w:hAnsi="宋体" w:eastAsia="宋体" w:cs="宋体"/>
                <w:sz w:val="21"/>
                <w:szCs w:val="21"/>
                <w:highlight w:val="none"/>
                <w:lang w:val="en-US" w:eastAsia="zh-CN"/>
              </w:rPr>
              <w:t>GB/T 24346-2009</w:t>
            </w:r>
            <w:r>
              <w:rPr>
                <w:rStyle w:val="119"/>
                <w:rFonts w:hint="eastAsia" w:ascii="宋体" w:hAnsi="宋体" w:eastAsia="宋体" w:cs="宋体"/>
                <w:sz w:val="21"/>
                <w:szCs w:val="21"/>
                <w:highlight w:val="none"/>
                <w:lang w:val="en-US" w:eastAsia="zh-CN"/>
              </w:rPr>
              <w:t>《纺织品</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防霉性能的评价》标准</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75%</w:t>
            </w:r>
            <w:r>
              <w:rPr>
                <w:rStyle w:val="119"/>
                <w:rFonts w:hint="eastAsia" w:ascii="宋体" w:hAnsi="宋体" w:eastAsia="宋体" w:cs="宋体"/>
                <w:sz w:val="21"/>
                <w:szCs w:val="21"/>
                <w:highlight w:val="none"/>
                <w:lang w:val="en-US" w:eastAsia="zh-CN"/>
              </w:rPr>
              <w:t>压缩永久变形</w:t>
            </w:r>
            <w:r>
              <w:rPr>
                <w:rStyle w:val="263"/>
                <w:rFonts w:hint="eastAsia" w:ascii="宋体" w:hAnsi="宋体" w:eastAsia="宋体" w:cs="宋体"/>
                <w:sz w:val="21"/>
                <w:szCs w:val="21"/>
                <w:highlight w:val="none"/>
                <w:lang w:val="en-US" w:eastAsia="zh-CN"/>
              </w:rPr>
              <w:t>≤8%</w:t>
            </w:r>
            <w:r>
              <w:rPr>
                <w:rStyle w:val="119"/>
                <w:rFonts w:hint="eastAsia" w:ascii="宋体" w:hAnsi="宋体" w:eastAsia="宋体" w:cs="宋体"/>
                <w:sz w:val="21"/>
                <w:szCs w:val="21"/>
                <w:highlight w:val="none"/>
                <w:lang w:val="en-US" w:eastAsia="zh-CN"/>
              </w:rPr>
              <w:t>，回弹率</w:t>
            </w:r>
            <w:r>
              <w:rPr>
                <w:rStyle w:val="263"/>
                <w:rFonts w:hint="eastAsia" w:ascii="宋体" w:hAnsi="宋体" w:eastAsia="宋体" w:cs="宋体"/>
                <w:sz w:val="21"/>
                <w:szCs w:val="21"/>
                <w:highlight w:val="none"/>
                <w:lang w:val="en-US" w:eastAsia="zh-CN"/>
              </w:rPr>
              <w:t xml:space="preserve">% ≥35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）拉伸强度</w:t>
            </w:r>
            <w:r>
              <w:rPr>
                <w:rStyle w:val="263"/>
                <w:rFonts w:hint="eastAsia" w:ascii="宋体" w:hAnsi="宋体" w:eastAsia="宋体" w:cs="宋体"/>
                <w:sz w:val="21"/>
                <w:szCs w:val="21"/>
                <w:highlight w:val="none"/>
                <w:lang w:val="en-US" w:eastAsia="zh-CN"/>
              </w:rPr>
              <w:t>,kPa ≥90</w:t>
            </w:r>
            <w:r>
              <w:rPr>
                <w:rStyle w:val="119"/>
                <w:rFonts w:hint="eastAsia" w:ascii="宋体" w:hAnsi="宋体" w:eastAsia="宋体" w:cs="宋体"/>
                <w:sz w:val="21"/>
                <w:szCs w:val="21"/>
                <w:highlight w:val="none"/>
                <w:lang w:val="en-US" w:eastAsia="zh-CN"/>
              </w:rPr>
              <w:t>，撕裂强度</w:t>
            </w:r>
            <w:r>
              <w:rPr>
                <w:rStyle w:val="263"/>
                <w:rFonts w:hint="eastAsia" w:ascii="宋体" w:hAnsi="宋体" w:eastAsia="宋体" w:cs="宋体"/>
                <w:sz w:val="21"/>
                <w:szCs w:val="21"/>
                <w:highlight w:val="none"/>
                <w:lang w:val="en-US" w:eastAsia="zh-CN"/>
              </w:rPr>
              <w:t>,N/cm≥2.0</w:t>
            </w:r>
            <w:r>
              <w:rPr>
                <w:rStyle w:val="119"/>
                <w:rFonts w:hint="eastAsia" w:ascii="宋体" w:hAnsi="宋体" w:eastAsia="宋体" w:cs="宋体"/>
                <w:sz w:val="21"/>
                <w:szCs w:val="21"/>
                <w:highlight w:val="none"/>
                <w:lang w:val="en-US" w:eastAsia="zh-CN"/>
              </w:rPr>
              <w:t>，干热老化后拉伸强度</w:t>
            </w:r>
            <w:r>
              <w:rPr>
                <w:rStyle w:val="263"/>
                <w:rFonts w:hint="eastAsia" w:ascii="宋体" w:hAnsi="宋体" w:eastAsia="宋体" w:cs="宋体"/>
                <w:sz w:val="21"/>
                <w:szCs w:val="21"/>
                <w:highlight w:val="none"/>
                <w:lang w:val="en-US" w:eastAsia="zh-CN"/>
              </w:rPr>
              <w:t xml:space="preserve">,kPa≥55 </w:t>
            </w:r>
            <w:r>
              <w:rPr>
                <w:rStyle w:val="119"/>
                <w:rFonts w:hint="eastAsia" w:ascii="宋体" w:hAnsi="宋体" w:eastAsia="宋体" w:cs="宋体"/>
                <w:sz w:val="21"/>
                <w:szCs w:val="21"/>
                <w:highlight w:val="none"/>
                <w:lang w:val="en-US" w:eastAsia="zh-CN"/>
              </w:rPr>
              <w:t>湿热老化后拉伸强度</w:t>
            </w:r>
            <w:r>
              <w:rPr>
                <w:rStyle w:val="263"/>
                <w:rFonts w:hint="eastAsia" w:ascii="宋体" w:hAnsi="宋体" w:eastAsia="宋体" w:cs="宋体"/>
                <w:sz w:val="21"/>
                <w:szCs w:val="21"/>
                <w:highlight w:val="none"/>
                <w:lang w:val="en-US" w:eastAsia="zh-CN"/>
              </w:rPr>
              <w:t xml:space="preserve">,kPa≥55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）表观密度</w:t>
            </w:r>
            <w:r>
              <w:rPr>
                <w:rStyle w:val="263"/>
                <w:rFonts w:hint="eastAsia" w:ascii="宋体" w:hAnsi="宋体" w:eastAsia="宋体" w:cs="宋体"/>
                <w:sz w:val="21"/>
                <w:szCs w:val="21"/>
                <w:highlight w:val="none"/>
                <w:lang w:val="en-US" w:eastAsia="zh-CN"/>
              </w:rPr>
              <w:t xml:space="preserve">,kg/m≥35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）燃烧性能</w:t>
            </w:r>
            <w:r>
              <w:rPr>
                <w:rStyle w:val="263"/>
                <w:rFonts w:hint="eastAsia" w:ascii="宋体" w:hAnsi="宋体" w:eastAsia="宋体" w:cs="宋体"/>
                <w:sz w:val="21"/>
                <w:szCs w:val="21"/>
                <w:highlight w:val="none"/>
                <w:lang w:val="en-US" w:eastAsia="zh-CN"/>
              </w:rPr>
              <w:t>-B1</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C-s2,d0</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600s </w:t>
            </w:r>
            <w:r>
              <w:rPr>
                <w:rStyle w:val="119"/>
                <w:rFonts w:hint="eastAsia" w:ascii="宋体" w:hAnsi="宋体" w:eastAsia="宋体" w:cs="宋体"/>
                <w:sz w:val="21"/>
                <w:szCs w:val="21"/>
                <w:highlight w:val="none"/>
                <w:lang w:val="en-US" w:eastAsia="zh-CN"/>
              </w:rPr>
              <w:t>的总放热量</w:t>
            </w:r>
            <w:r>
              <w:rPr>
                <w:rStyle w:val="263"/>
                <w:rFonts w:hint="eastAsia" w:ascii="宋体" w:hAnsi="宋体" w:eastAsia="宋体" w:cs="宋体"/>
                <w:sz w:val="21"/>
                <w:szCs w:val="21"/>
                <w:highlight w:val="none"/>
                <w:lang w:val="en-US" w:eastAsia="zh-CN"/>
              </w:rPr>
              <w:t xml:space="preserve"> THR600s≤15MJ</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60s </w:t>
            </w:r>
            <w:r>
              <w:rPr>
                <w:rStyle w:val="119"/>
                <w:rFonts w:hint="eastAsia" w:ascii="宋体" w:hAnsi="宋体" w:eastAsia="宋体" w:cs="宋体"/>
                <w:sz w:val="21"/>
                <w:szCs w:val="21"/>
                <w:highlight w:val="none"/>
                <w:lang w:val="en-US" w:eastAsia="zh-CN"/>
              </w:rPr>
              <w:t>内焰尖高度</w:t>
            </w:r>
            <w:r>
              <w:rPr>
                <w:rStyle w:val="263"/>
                <w:rFonts w:hint="eastAsia" w:ascii="宋体" w:hAnsi="宋体" w:eastAsia="宋体" w:cs="宋体"/>
                <w:sz w:val="21"/>
                <w:szCs w:val="21"/>
                <w:highlight w:val="none"/>
                <w:lang w:val="en-US" w:eastAsia="zh-CN"/>
              </w:rPr>
              <w:t xml:space="preserve"> Fs≤150mm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60s </w:t>
            </w:r>
            <w:r>
              <w:rPr>
                <w:rStyle w:val="119"/>
                <w:rFonts w:hint="eastAsia" w:ascii="宋体" w:hAnsi="宋体" w:eastAsia="宋体" w:cs="宋体"/>
                <w:sz w:val="21"/>
                <w:szCs w:val="21"/>
                <w:highlight w:val="none"/>
                <w:lang w:val="en-US" w:eastAsia="zh-CN"/>
              </w:rPr>
              <w:t>内无燃烧滴落物引燃滤纸现象。</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）烟气生成速率指数</w:t>
            </w:r>
            <w:r>
              <w:rPr>
                <w:rStyle w:val="263"/>
                <w:rFonts w:hint="eastAsia" w:ascii="宋体" w:hAnsi="宋体" w:eastAsia="宋体" w:cs="宋体"/>
                <w:sz w:val="21"/>
                <w:szCs w:val="21"/>
                <w:highlight w:val="none"/>
                <w:lang w:val="en-US" w:eastAsia="zh-CN"/>
              </w:rPr>
              <w:t xml:space="preserve"> SMOGRA≤180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）试验</w:t>
            </w:r>
            <w:r>
              <w:rPr>
                <w:rStyle w:val="263"/>
                <w:rFonts w:hint="eastAsia" w:ascii="宋体" w:hAnsi="宋体" w:eastAsia="宋体" w:cs="宋体"/>
                <w:sz w:val="21"/>
                <w:szCs w:val="21"/>
                <w:highlight w:val="none"/>
                <w:lang w:val="en-US" w:eastAsia="zh-CN"/>
              </w:rPr>
              <w:t xml:space="preserve"> 600s </w:t>
            </w:r>
            <w:r>
              <w:rPr>
                <w:rStyle w:val="119"/>
                <w:rFonts w:hint="eastAsia" w:ascii="宋体" w:hAnsi="宋体" w:eastAsia="宋体" w:cs="宋体"/>
                <w:sz w:val="21"/>
                <w:szCs w:val="21"/>
                <w:highlight w:val="none"/>
                <w:lang w:val="en-US" w:eastAsia="zh-CN"/>
              </w:rPr>
              <w:t>总烟气生成量</w:t>
            </w:r>
            <w:r>
              <w:rPr>
                <w:rStyle w:val="263"/>
                <w:rFonts w:hint="eastAsia" w:ascii="宋体" w:hAnsi="宋体" w:eastAsia="宋体" w:cs="宋体"/>
                <w:sz w:val="21"/>
                <w:szCs w:val="21"/>
                <w:highlight w:val="none"/>
                <w:lang w:val="en-US" w:eastAsia="zh-CN"/>
              </w:rPr>
              <w:t xml:space="preserve"> TSP600s≤200m²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8</w:t>
            </w:r>
            <w:r>
              <w:rPr>
                <w:rStyle w:val="119"/>
                <w:rFonts w:hint="eastAsia" w:ascii="宋体" w:hAnsi="宋体" w:eastAsia="宋体" w:cs="宋体"/>
                <w:sz w:val="21"/>
                <w:szCs w:val="21"/>
                <w:highlight w:val="none"/>
                <w:lang w:val="en-US" w:eastAsia="zh-CN"/>
              </w:rPr>
              <w:t>）抗菌性能</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18h</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99.9</w:t>
            </w:r>
            <w:r>
              <w:rPr>
                <w:rStyle w:val="119"/>
                <w:rFonts w:hint="eastAsia" w:ascii="宋体" w:hAnsi="宋体" w:eastAsia="宋体" w:cs="宋体"/>
                <w:sz w:val="21"/>
                <w:szCs w:val="21"/>
                <w:highlight w:val="none"/>
                <w:lang w:val="en-US" w:eastAsia="zh-CN"/>
              </w:rPr>
              <w:t>（大肠杆菌</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金黄色葡萄球菌</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铜绿假单胞菌，</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藤黄微球菌</w:t>
            </w:r>
            <w:r>
              <w:rPr>
                <w:rStyle w:val="263"/>
                <w:rFonts w:hint="eastAsia" w:ascii="宋体" w:hAnsi="宋体" w:eastAsia="宋体" w:cs="宋体"/>
                <w:sz w:val="21"/>
                <w:szCs w:val="21"/>
                <w:highlight w:val="none"/>
                <w:lang w:val="en-US" w:eastAsia="zh-CN"/>
              </w:rPr>
              <w:t xml:space="preserve"> , </w:t>
            </w:r>
            <w:r>
              <w:rPr>
                <w:rStyle w:val="119"/>
                <w:rFonts w:hint="eastAsia" w:ascii="宋体" w:hAnsi="宋体" w:eastAsia="宋体" w:cs="宋体"/>
                <w:sz w:val="21"/>
                <w:szCs w:val="21"/>
                <w:highlight w:val="none"/>
                <w:lang w:val="en-US" w:eastAsia="zh-CN"/>
              </w:rPr>
              <w:t>奇异变形杆菌）</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9</w:t>
            </w:r>
            <w:r>
              <w:rPr>
                <w:rStyle w:val="119"/>
                <w:rFonts w:hint="eastAsia" w:ascii="宋体" w:hAnsi="宋体" w:eastAsia="宋体" w:cs="宋体"/>
                <w:sz w:val="21"/>
                <w:szCs w:val="21"/>
                <w:highlight w:val="none"/>
                <w:lang w:val="en-US" w:eastAsia="zh-CN"/>
              </w:rPr>
              <w:t>）防霉测试：</w:t>
            </w:r>
            <w:r>
              <w:rPr>
                <w:rStyle w:val="263"/>
                <w:rFonts w:hint="eastAsia" w:ascii="宋体" w:hAnsi="宋体" w:eastAsia="宋体" w:cs="宋体"/>
                <w:sz w:val="21"/>
                <w:szCs w:val="21"/>
                <w:highlight w:val="none"/>
                <w:lang w:val="en-US" w:eastAsia="zh-CN"/>
              </w:rPr>
              <w:t xml:space="preserve">0 </w:t>
            </w:r>
            <w:r>
              <w:rPr>
                <w:rStyle w:val="119"/>
                <w:rFonts w:hint="eastAsia" w:ascii="宋体" w:hAnsi="宋体" w:eastAsia="宋体" w:cs="宋体"/>
                <w:sz w:val="21"/>
                <w:szCs w:val="21"/>
                <w:highlight w:val="none"/>
                <w:lang w:val="en-US" w:eastAsia="zh-CN"/>
              </w:rPr>
              <w:t>级（试验菌种：黑曲霉、绳状青霉、球毛壳霉、绿色木霉、宛氏拟青霉、桔青霉</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w:t>
            </w:r>
          </w:p>
        </w:tc>
      </w:tr>
      <w:tr w14:paraId="78BA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B2D5649">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034F5639">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三节路轨</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46497DF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cs="宋体"/>
                <w:i w:val="0"/>
                <w:iCs w:val="0"/>
                <w:color w:val="000000"/>
                <w:kern w:val="0"/>
                <w:sz w:val="21"/>
                <w:szCs w:val="21"/>
                <w:highlight w:val="none"/>
                <w:u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 xml:space="preserve"> QB/T 3832-1999</w:t>
            </w:r>
            <w:r>
              <w:rPr>
                <w:rStyle w:val="119"/>
                <w:rFonts w:hint="eastAsia" w:ascii="宋体" w:hAnsi="宋体" w:eastAsia="宋体" w:cs="宋体"/>
                <w:sz w:val="21"/>
                <w:szCs w:val="21"/>
                <w:highlight w:val="none"/>
                <w:lang w:val="en-US" w:eastAsia="zh-CN"/>
              </w:rPr>
              <w:t>《轻工产品金属镀层腐蚀试验结果的评价》、</w:t>
            </w:r>
            <w:r>
              <w:rPr>
                <w:rStyle w:val="263"/>
                <w:rFonts w:hint="eastAsia" w:ascii="宋体" w:hAnsi="宋体" w:eastAsia="宋体" w:cs="宋体"/>
                <w:sz w:val="21"/>
                <w:szCs w:val="21"/>
                <w:highlight w:val="none"/>
                <w:lang w:val="en-US" w:eastAsia="zh-CN"/>
              </w:rPr>
              <w:t>QB/T 2454-2013</w:t>
            </w:r>
            <w:r>
              <w:rPr>
                <w:rStyle w:val="119"/>
                <w:rFonts w:hint="eastAsia" w:ascii="宋体" w:hAnsi="宋体" w:eastAsia="宋体" w:cs="宋体"/>
                <w:sz w:val="21"/>
                <w:szCs w:val="21"/>
                <w:highlight w:val="none"/>
                <w:lang w:val="en-US" w:eastAsia="zh-CN"/>
              </w:rPr>
              <w:t>《家具五金</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抽屉导轨》、</w:t>
            </w:r>
            <w:r>
              <w:rPr>
                <w:rStyle w:val="263"/>
                <w:rFonts w:hint="eastAsia" w:ascii="宋体" w:hAnsi="宋体" w:eastAsia="宋体" w:cs="宋体"/>
                <w:sz w:val="21"/>
                <w:szCs w:val="21"/>
                <w:highlight w:val="none"/>
                <w:lang w:val="en-US" w:eastAsia="zh-CN"/>
              </w:rPr>
              <w:t>QB/T 3827-1999</w:t>
            </w:r>
            <w:r>
              <w:rPr>
                <w:rStyle w:val="119"/>
                <w:rFonts w:hint="eastAsia" w:ascii="宋体" w:hAnsi="宋体" w:eastAsia="宋体" w:cs="宋体"/>
                <w:sz w:val="21"/>
                <w:szCs w:val="21"/>
                <w:highlight w:val="none"/>
                <w:lang w:val="en-US" w:eastAsia="zh-CN"/>
              </w:rPr>
              <w:t>《轻工产品金属镀层和化学处理层的耐腐蚀试验方法</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乙</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盐酸雾试验（</w:t>
            </w:r>
            <w:r>
              <w:rPr>
                <w:rStyle w:val="263"/>
                <w:rFonts w:hint="eastAsia" w:ascii="宋体" w:hAnsi="宋体" w:eastAsia="宋体" w:cs="宋体"/>
                <w:sz w:val="21"/>
                <w:szCs w:val="21"/>
                <w:highlight w:val="none"/>
                <w:lang w:val="en-US" w:eastAsia="zh-CN"/>
              </w:rPr>
              <w:t>ASS</w:t>
            </w:r>
            <w:r>
              <w:rPr>
                <w:rStyle w:val="119"/>
                <w:rFonts w:hint="eastAsia" w:ascii="宋体" w:hAnsi="宋体" w:eastAsia="宋体" w:cs="宋体"/>
                <w:sz w:val="21"/>
                <w:szCs w:val="21"/>
                <w:highlight w:val="none"/>
                <w:lang w:val="en-US" w:eastAsia="zh-CN"/>
              </w:rPr>
              <w:t>）法》标准：</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）操作力：当承载能力</w:t>
            </w:r>
            <w:r>
              <w:rPr>
                <w:rStyle w:val="263"/>
                <w:rFonts w:hint="eastAsia" w:ascii="宋体" w:hAnsi="宋体" w:eastAsia="宋体" w:cs="宋体"/>
                <w:sz w:val="21"/>
                <w:szCs w:val="21"/>
                <w:highlight w:val="none"/>
                <w:lang w:val="en-US" w:eastAsia="zh-CN"/>
              </w:rPr>
              <w:t>M&lt;40kg</w:t>
            </w:r>
            <w:r>
              <w:rPr>
                <w:rStyle w:val="119"/>
                <w:rFonts w:hint="eastAsia" w:ascii="宋体" w:hAnsi="宋体" w:eastAsia="宋体" w:cs="宋体"/>
                <w:sz w:val="21"/>
                <w:szCs w:val="21"/>
                <w:highlight w:val="none"/>
                <w:lang w:val="en-US" w:eastAsia="zh-CN"/>
              </w:rPr>
              <w:t>时，推力或拉力</w:t>
            </w:r>
            <w:r>
              <w:rPr>
                <w:rStyle w:val="263"/>
                <w:rFonts w:hint="eastAsia" w:ascii="宋体" w:hAnsi="宋体" w:eastAsia="宋体" w:cs="宋体"/>
                <w:sz w:val="21"/>
                <w:szCs w:val="21"/>
                <w:highlight w:val="none"/>
                <w:lang w:val="en-US" w:eastAsia="zh-CN"/>
              </w:rPr>
              <w:t>≤50N</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）耐久性（</w:t>
            </w:r>
            <w:r>
              <w:rPr>
                <w:rStyle w:val="263"/>
                <w:rFonts w:hint="eastAsia" w:ascii="宋体" w:hAnsi="宋体" w:eastAsia="宋体" w:cs="宋体"/>
                <w:sz w:val="21"/>
                <w:szCs w:val="21"/>
                <w:highlight w:val="none"/>
                <w:lang w:val="en-US" w:eastAsia="zh-CN"/>
              </w:rPr>
              <w:t>121000</w:t>
            </w:r>
            <w:r>
              <w:rPr>
                <w:rStyle w:val="119"/>
                <w:rFonts w:hint="eastAsia" w:ascii="宋体" w:hAnsi="宋体" w:eastAsia="宋体" w:cs="宋体"/>
                <w:sz w:val="21"/>
                <w:szCs w:val="21"/>
                <w:highlight w:val="none"/>
                <w:lang w:val="en-US" w:eastAsia="zh-CN"/>
              </w:rPr>
              <w:t>次）、垂直向下静载荷（</w:t>
            </w:r>
            <w:r>
              <w:rPr>
                <w:rStyle w:val="263"/>
                <w:rFonts w:hint="eastAsia" w:ascii="宋体" w:hAnsi="宋体" w:eastAsia="宋体" w:cs="宋体"/>
                <w:sz w:val="21"/>
                <w:szCs w:val="21"/>
                <w:highlight w:val="none"/>
                <w:lang w:val="en-US" w:eastAsia="zh-CN"/>
              </w:rPr>
              <w:t>200N</w:t>
            </w:r>
            <w:r>
              <w:rPr>
                <w:rStyle w:val="119"/>
                <w:rFonts w:hint="eastAsia" w:ascii="宋体" w:hAnsi="宋体" w:eastAsia="宋体" w:cs="宋体"/>
                <w:sz w:val="21"/>
                <w:szCs w:val="21"/>
                <w:highlight w:val="none"/>
                <w:lang w:val="en-US" w:eastAsia="zh-CN"/>
              </w:rPr>
              <w:t>）、水平侧向静载荷（</w:t>
            </w:r>
            <w:r>
              <w:rPr>
                <w:rStyle w:val="263"/>
                <w:rFonts w:hint="eastAsia" w:ascii="宋体" w:hAnsi="宋体" w:eastAsia="宋体" w:cs="宋体"/>
                <w:sz w:val="21"/>
                <w:szCs w:val="21"/>
                <w:highlight w:val="none"/>
                <w:lang w:val="en-US" w:eastAsia="zh-CN"/>
              </w:rPr>
              <w:t>100N</w:t>
            </w:r>
            <w:r>
              <w:rPr>
                <w:rStyle w:val="119"/>
                <w:rFonts w:hint="eastAsia" w:ascii="宋体" w:hAnsi="宋体" w:eastAsia="宋体" w:cs="宋体"/>
                <w:sz w:val="21"/>
                <w:szCs w:val="21"/>
                <w:highlight w:val="none"/>
                <w:lang w:val="en-US" w:eastAsia="zh-CN"/>
              </w:rPr>
              <w:t>）、拉岀安全性、猛关或猛开，所有组件或连接件不应断裂损坏，通过手触压证实，用于紧固的组件不应松动，所有零部件不应有影响正常运作的变形或者磨损，五金连接件不应松动，所有组件的功能不应损害，抽屉导轨及其组件应能正常工作。</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）下沉量：下沉量不应超过抽屉导轨拉出长度的</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）金属表面耐腐蚀：乙酸盐雾（连续喷雾</w:t>
            </w:r>
            <w:r>
              <w:rPr>
                <w:rStyle w:val="263"/>
                <w:rFonts w:hint="eastAsia" w:ascii="宋体" w:hAnsi="宋体" w:eastAsia="宋体" w:cs="宋体"/>
                <w:sz w:val="21"/>
                <w:szCs w:val="21"/>
                <w:highlight w:val="none"/>
                <w:lang w:val="en-US" w:eastAsia="zh-CN"/>
              </w:rPr>
              <w:t>150</w:t>
            </w:r>
            <w:r>
              <w:rPr>
                <w:rStyle w:val="119"/>
                <w:rFonts w:hint="eastAsia" w:ascii="宋体" w:hAnsi="宋体" w:eastAsia="宋体" w:cs="宋体"/>
                <w:sz w:val="21"/>
                <w:szCs w:val="21"/>
                <w:highlight w:val="none"/>
                <w:lang w:val="en-US" w:eastAsia="zh-CN"/>
              </w:rPr>
              <w:t>小时），涂层本身的耐腐蚀等级</w:t>
            </w:r>
            <w:r>
              <w:rPr>
                <w:rStyle w:val="263"/>
                <w:rFonts w:hint="eastAsia" w:ascii="宋体" w:hAnsi="宋体" w:eastAsia="宋体" w:cs="宋体"/>
                <w:sz w:val="21"/>
                <w:szCs w:val="21"/>
                <w:highlight w:val="none"/>
                <w:lang w:val="en-US" w:eastAsia="zh-CN"/>
              </w:rPr>
              <w:t>10</w:t>
            </w:r>
            <w:r>
              <w:rPr>
                <w:rStyle w:val="119"/>
                <w:rFonts w:hint="eastAsia" w:ascii="宋体" w:hAnsi="宋体" w:eastAsia="宋体" w:cs="宋体"/>
                <w:sz w:val="21"/>
                <w:szCs w:val="21"/>
                <w:highlight w:val="none"/>
                <w:lang w:val="en-US" w:eastAsia="zh-CN"/>
              </w:rPr>
              <w:t>级，涂层对基体的保护等级</w:t>
            </w:r>
            <w:r>
              <w:rPr>
                <w:rStyle w:val="263"/>
                <w:rFonts w:hint="eastAsia" w:ascii="宋体" w:hAnsi="宋体" w:eastAsia="宋体" w:cs="宋体"/>
                <w:sz w:val="21"/>
                <w:szCs w:val="21"/>
                <w:highlight w:val="none"/>
                <w:lang w:val="en-US" w:eastAsia="zh-CN"/>
              </w:rPr>
              <w:t>10</w:t>
            </w:r>
            <w:r>
              <w:rPr>
                <w:rStyle w:val="119"/>
                <w:rFonts w:hint="eastAsia" w:ascii="宋体" w:hAnsi="宋体" w:eastAsia="宋体" w:cs="宋体"/>
                <w:sz w:val="21"/>
                <w:szCs w:val="21"/>
                <w:highlight w:val="none"/>
                <w:lang w:val="en-US" w:eastAsia="zh-CN"/>
              </w:rPr>
              <w:t>级。</w:t>
            </w:r>
          </w:p>
        </w:tc>
      </w:tr>
      <w:tr w14:paraId="6F6C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B116B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595231A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冷轧钢板</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16F3088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 xml:space="preserve">GB/T 3325-2017 </w:t>
            </w:r>
            <w:r>
              <w:rPr>
                <w:rStyle w:val="119"/>
                <w:rFonts w:hint="eastAsia" w:ascii="宋体" w:hAnsi="宋体" w:eastAsia="宋体" w:cs="宋体"/>
                <w:sz w:val="21"/>
                <w:szCs w:val="21"/>
                <w:highlight w:val="none"/>
                <w:lang w:val="en-US" w:eastAsia="zh-CN"/>
              </w:rPr>
              <w:t>《金属家具通用</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技术条件》，</w:t>
            </w:r>
            <w:r>
              <w:rPr>
                <w:rStyle w:val="263"/>
                <w:rFonts w:hint="eastAsia" w:ascii="宋体" w:hAnsi="宋体" w:eastAsia="宋体" w:cs="宋体"/>
                <w:sz w:val="21"/>
                <w:szCs w:val="21"/>
                <w:highlight w:val="none"/>
                <w:lang w:val="en-US" w:eastAsia="zh-CN"/>
              </w:rPr>
              <w:t>QB/T3826-1999</w:t>
            </w:r>
            <w:r>
              <w:rPr>
                <w:rStyle w:val="119"/>
                <w:rFonts w:hint="eastAsia" w:ascii="宋体" w:hAnsi="宋体" w:eastAsia="宋体" w:cs="宋体"/>
                <w:sz w:val="21"/>
                <w:szCs w:val="21"/>
                <w:highlight w:val="none"/>
                <w:lang w:val="en-US" w:eastAsia="zh-CN"/>
              </w:rPr>
              <w:t>《轻</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工产品金属镀层和化学处理层的</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耐腐蚀试验方法</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中性盐雾试验</w:t>
            </w:r>
            <w:r>
              <w:rPr>
                <w:rStyle w:val="263"/>
                <w:rFonts w:hint="eastAsia" w:ascii="宋体" w:hAnsi="宋体" w:eastAsia="宋体" w:cs="宋体"/>
                <w:sz w:val="21"/>
                <w:szCs w:val="21"/>
                <w:highlight w:val="none"/>
                <w:lang w:val="en-US" w:eastAsia="zh-CN"/>
              </w:rPr>
              <w:t xml:space="preserve"> (NSS)</w:t>
            </w:r>
            <w:r>
              <w:rPr>
                <w:rStyle w:val="119"/>
                <w:rFonts w:hint="eastAsia" w:ascii="宋体" w:hAnsi="宋体" w:eastAsia="宋体" w:cs="宋体"/>
                <w:sz w:val="21"/>
                <w:szCs w:val="21"/>
                <w:highlight w:val="none"/>
                <w:lang w:val="en-US" w:eastAsia="zh-CN"/>
              </w:rPr>
              <w:t>法》、</w:t>
            </w:r>
            <w:r>
              <w:rPr>
                <w:rStyle w:val="263"/>
                <w:rFonts w:hint="eastAsia" w:ascii="宋体" w:hAnsi="宋体" w:eastAsia="宋体" w:cs="宋体"/>
                <w:sz w:val="21"/>
                <w:szCs w:val="21"/>
                <w:highlight w:val="none"/>
                <w:lang w:val="en-US" w:eastAsia="zh-CN"/>
              </w:rPr>
              <w:t>QB/T3832-1999</w:t>
            </w:r>
            <w:r>
              <w:rPr>
                <w:rStyle w:val="119"/>
                <w:rFonts w:hint="eastAsia" w:ascii="宋体" w:hAnsi="宋体" w:eastAsia="宋体" w:cs="宋体"/>
                <w:sz w:val="21"/>
                <w:szCs w:val="21"/>
                <w:highlight w:val="none"/>
                <w:lang w:val="en-US" w:eastAsia="zh-CN"/>
              </w:rPr>
              <w:t>《轻工</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产品金属镀层腐蚀试验结果的评</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价》金属件喷涂层检测合格</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、金属件喷涂层检测合格；</w:t>
            </w:r>
            <w:r>
              <w:rPr>
                <w:rStyle w:val="263"/>
                <w:rFonts w:hint="eastAsia" w:ascii="宋体" w:hAnsi="宋体" w:eastAsia="宋体" w:cs="宋体"/>
                <w:sz w:val="21"/>
                <w:szCs w:val="21"/>
                <w:highlight w:val="none"/>
                <w:lang w:val="en-US" w:eastAsia="zh-CN"/>
              </w:rPr>
              <w:t xml:space="preserve"> 2</w:t>
            </w:r>
            <w:r>
              <w:rPr>
                <w:rStyle w:val="119"/>
                <w:rFonts w:hint="eastAsia" w:ascii="宋体" w:hAnsi="宋体" w:eastAsia="宋体" w:cs="宋体"/>
                <w:sz w:val="21"/>
                <w:szCs w:val="21"/>
                <w:highlight w:val="none"/>
                <w:lang w:val="en-US" w:eastAsia="zh-CN"/>
              </w:rPr>
              <w:t>、金属表面耐腐蚀：中性盐雾（连续喷雾</w:t>
            </w:r>
            <w:r>
              <w:rPr>
                <w:rStyle w:val="263"/>
                <w:rFonts w:hint="eastAsia" w:ascii="宋体" w:hAnsi="宋体" w:eastAsia="宋体" w:cs="宋体"/>
                <w:sz w:val="21"/>
                <w:szCs w:val="21"/>
                <w:highlight w:val="none"/>
                <w:lang w:val="en-US" w:eastAsia="zh-CN"/>
              </w:rPr>
              <w:t xml:space="preserve"> 400 </w:t>
            </w:r>
            <w:r>
              <w:rPr>
                <w:rStyle w:val="119"/>
                <w:rFonts w:hint="eastAsia" w:ascii="宋体" w:hAnsi="宋体" w:eastAsia="宋体" w:cs="宋体"/>
                <w:sz w:val="21"/>
                <w:szCs w:val="21"/>
                <w:highlight w:val="none"/>
                <w:lang w:val="en-US" w:eastAsia="zh-CN"/>
              </w:rPr>
              <w:t>小时及以上），</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涂层本身的耐腐蚀等级</w:t>
            </w:r>
            <w:r>
              <w:rPr>
                <w:rStyle w:val="263"/>
                <w:rFonts w:hint="eastAsia" w:ascii="宋体" w:hAnsi="宋体" w:eastAsia="宋体" w:cs="宋体"/>
                <w:sz w:val="21"/>
                <w:szCs w:val="21"/>
                <w:highlight w:val="none"/>
                <w:lang w:val="en-US" w:eastAsia="zh-CN"/>
              </w:rPr>
              <w:t xml:space="preserve"> 10 </w:t>
            </w:r>
            <w:r>
              <w:rPr>
                <w:rStyle w:val="119"/>
                <w:rFonts w:hint="eastAsia" w:ascii="宋体" w:hAnsi="宋体" w:eastAsia="宋体" w:cs="宋体"/>
                <w:sz w:val="21"/>
                <w:szCs w:val="21"/>
                <w:highlight w:val="none"/>
                <w:lang w:val="en-US" w:eastAsia="zh-CN"/>
              </w:rPr>
              <w:t>级；涂层对基体的保护等级</w:t>
            </w:r>
            <w:r>
              <w:rPr>
                <w:rStyle w:val="263"/>
                <w:rFonts w:hint="eastAsia" w:ascii="宋体" w:hAnsi="宋体" w:eastAsia="宋体" w:cs="宋体"/>
                <w:sz w:val="21"/>
                <w:szCs w:val="21"/>
                <w:highlight w:val="none"/>
                <w:lang w:val="en-US" w:eastAsia="zh-CN"/>
              </w:rPr>
              <w:t xml:space="preserve">≥8 </w:t>
            </w:r>
            <w:r>
              <w:rPr>
                <w:rStyle w:val="119"/>
                <w:rFonts w:hint="eastAsia" w:ascii="宋体" w:hAnsi="宋体" w:eastAsia="宋体" w:cs="宋体"/>
                <w:sz w:val="21"/>
                <w:szCs w:val="21"/>
                <w:highlight w:val="none"/>
                <w:lang w:val="en-US" w:eastAsia="zh-CN"/>
              </w:rPr>
              <w:t>级</w:t>
            </w:r>
          </w:p>
        </w:tc>
      </w:tr>
      <w:tr w14:paraId="1A99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796647C">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4B9C83D1">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医用护士站</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006BE94C">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（1）主要尺寸及其偏差：</w:t>
            </w:r>
          </w:p>
          <w:p w14:paraId="4F5D0AFE">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1、桌类主要尺寸：桌面高：680~760mm；中间净空宽：≥520mm；中间净空高：≥580mm；</w:t>
            </w:r>
          </w:p>
          <w:p w14:paraId="0704CB91">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2、产品外形尺寸偏差：产品外形宽、深、高尺寸的极限偏差为±5，配套或组合产品的极限偏差应同取正值或负值；</w:t>
            </w:r>
          </w:p>
          <w:p w14:paraId="21ABFB3E">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（2）、形状和位置公差：</w:t>
            </w:r>
          </w:p>
          <w:p w14:paraId="38CC6005">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1、翘曲度：面板、正视面板件对角线长度（700,1400）≤2.0mm；</w:t>
            </w:r>
          </w:p>
          <w:p w14:paraId="2FC0636F">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2、平整度：面板、正视面板件：≤0.20mm；</w:t>
            </w:r>
          </w:p>
          <w:p w14:paraId="171C1E96">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3、邻边垂直度：面板、框架对角线长度≥1000mm，长度差≤3mm；对角线长度＜1000mm，长度差≤2mm；对边长度≥1000mm，对边长度差≤3mm；对边长度＜1000mm，对边长度差≤2mm；</w:t>
            </w:r>
          </w:p>
          <w:p w14:paraId="05DBEC70">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4、位差度：门与框架、门与门相邻表面、抽屉与框架、抽屉与门、抽屉与抽屉相邻表面间的距离偏差（非设计要求的距离）≤2.0mm；</w:t>
            </w:r>
          </w:p>
          <w:p w14:paraId="7BA1BAF5">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5、分缝：所有分缝（非设计要求时）≤2.0mm；</w:t>
            </w:r>
          </w:p>
          <w:p w14:paraId="0259ECAE">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6、底脚平稳性≤2.0mm；</w:t>
            </w:r>
          </w:p>
          <w:p w14:paraId="38F20A53">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（3）外观要求:</w:t>
            </w:r>
          </w:p>
          <w:p w14:paraId="0BDCD493">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人造板件外观：干花、湿花（外表应无干花、湿花），（内表干花、湿花面积不超过板面的5%）；污斑（同一板面外表，允许1处，面积在3mm²~30mm²内）；表面划痕（外表应无明显划痕）；表面压痕（外表应无明显压痕）；色差（外表应无明显色差）；鼓泡、龟裂、分层（外表应无鼓泡、龟裂、分层）；</w:t>
            </w:r>
          </w:p>
          <w:p w14:paraId="4552E073">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2、五金件外观：喷涂件（涂层应无漏喷、锈蚀；涂层应光滑均匀，色泽一致，应无流挂、疙瘩、皱皮、飞漆等）；金属合金件（应无锈蚀、氧化膜脱落、刃口、锐棱；表面细密，应无裂纹、毛刺、黑斑等）；</w:t>
            </w:r>
          </w:p>
          <w:p w14:paraId="433DB14F">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3、木工要求：人造板部件的非交接面应进行封边或涂饰处理；板件或部件在接触人体或贮物部位不应有毛刺、刃口或棱角；板件或部件的外表应光滑，倒棱、圆角、圆线应均匀一致；贴面、封边、包边不应出现脱胶、鼓泡或开裂现象；贴面应严密、平整，不应有明显透胶；榫、塞角、零部件等结合处不应断裂；零部件的结合应严密、牢固；各种配件、连接件安装不应有少件、透钉、漏钉（预留孔、选择孔除外)；各种配件安装应严密、平整、端正、牢固，结合处应无开裂或松动；启闭部件安装后应使用灵活；</w:t>
            </w:r>
          </w:p>
          <w:p w14:paraId="1E63FD9F">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漆膜外观要求：同色部件的色泽应相似；应无褪色、掉色现象；涂层不应有皱皮、发粘或漏漆现象；涂层应平整光滑、清晰，无明显粒子、涨边现象；应无明显加工痕迹、划痕、裂纹、雾光、白棱、白点、鼓泡、油白、流挂、缩孔、刷毛、积粉和杂渣。每项缺陷数不超过4处；</w:t>
            </w:r>
          </w:p>
          <w:p w14:paraId="1E72C7AD">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（4）表面理化性能要求：</w:t>
            </w:r>
          </w:p>
          <w:p w14:paraId="05922C7B">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软、硬物质覆面理化性能：耐冷热循环（无裂缝、开裂、起皱、鼓泡现象）；耐干热：不低于3级（5级最好，1级最差）；耐湿热：不低于3级（5级最好，1级最差)；耐划痕：加载1.5N，表面无大于90%的连续划痕或表面装饰花纹无破坏现象；耐污染性能：应不低于3级（5级最好，1级最差)；表面耐磨性：素色（磨350r后应无露底现象）；抗冲击（冲击高度50mm，应不低于3级（1级最好，5级最差)；耐光色牢度（灰色样卡）≥4级；</w:t>
            </w:r>
          </w:p>
          <w:p w14:paraId="68819281">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2、金属拉手耐腐蚀性要求：经盐雾试验18h，直径1.5mm以下锈点≤20点/dm²，其中直径≥1.0mm以上锈点不超过5点（离边缘2mm以内不计）；</w:t>
            </w:r>
          </w:p>
          <w:p w14:paraId="0D6819F4">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（5）安全性要求：</w:t>
            </w:r>
          </w:p>
          <w:p w14:paraId="37E84E2D">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1、结构安全性：活动部件间距离≤5mm或≥25mm（设计要求除外）；</w:t>
            </w:r>
          </w:p>
          <w:p w14:paraId="364F31AF">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2、甲醛释放量≤1.5mg/L；</w:t>
            </w:r>
          </w:p>
          <w:p w14:paraId="63D620CB">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（6）力学性能：</w:t>
            </w:r>
          </w:p>
          <w:p w14:paraId="22525983">
            <w:pPr>
              <w:widowControl/>
              <w:ind w:firstLine="420" w:firstLineChars="200"/>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桌类强度和耐久性：主桌面垂直静载荷试验（加力1000N，加载10次）；桌面持续垂直静载荷试验（载荷1.5kg/d㎡，加载7d）；桌面垂直冲击试验（跌落高度140mm，冲击2次）；水平静载荷试验（加力450N，加载10次）；桌脚跌落试验（跌落高度200mm，跌落10次）；桌面水平耐久性试验（加力150N，循环次数15000次）；</w:t>
            </w:r>
          </w:p>
          <w:p w14:paraId="3CD0E31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sz w:val="21"/>
                <w:szCs w:val="21"/>
                <w:highlight w:val="none"/>
              </w:rPr>
              <w:t>2、桌类稳定性：垂直加载稳定性试验（加力至600N（四脚桌、写字桌、课桌），无倾翻现象；垂直和水平加载稳定性试验（垂直加力100N，水平加力至40N（四脚桌、写字桌），无倾翻现象</w:t>
            </w:r>
          </w:p>
        </w:tc>
      </w:tr>
      <w:tr w14:paraId="65AD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2B7CD75">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32C777B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医用工作台</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医生办公桌</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3E6EFA9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3325-2017</w:t>
            </w:r>
            <w:r>
              <w:rPr>
                <w:rStyle w:val="119"/>
                <w:rFonts w:hint="eastAsia" w:ascii="宋体" w:hAnsi="宋体" w:eastAsia="宋体" w:cs="宋体"/>
                <w:sz w:val="21"/>
                <w:szCs w:val="21"/>
                <w:highlight w:val="none"/>
                <w:lang w:val="en-US" w:eastAsia="zh-CN"/>
              </w:rPr>
              <w:t>《金属家具通</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用</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技</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术</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条</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件</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GB/T 35607-2017</w:t>
            </w:r>
            <w:r>
              <w:rPr>
                <w:rStyle w:val="119"/>
                <w:rFonts w:hint="eastAsia" w:ascii="宋体" w:hAnsi="宋体" w:eastAsia="宋体" w:cs="宋体"/>
                <w:sz w:val="21"/>
                <w:szCs w:val="21"/>
                <w:highlight w:val="none"/>
                <w:lang w:val="en-US" w:eastAsia="zh-CN"/>
              </w:rPr>
              <w:t>《绿色产品评</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价</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家具》标准；</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、平整度：面板、正视面板件：</w:t>
            </w:r>
            <w:r>
              <w:rPr>
                <w:rStyle w:val="263"/>
                <w:rFonts w:hint="eastAsia" w:ascii="宋体" w:hAnsi="宋体" w:eastAsia="宋体" w:cs="宋体"/>
                <w:sz w:val="21"/>
                <w:szCs w:val="21"/>
                <w:highlight w:val="none"/>
                <w:lang w:val="en-US" w:eastAsia="zh-CN"/>
              </w:rPr>
              <w:t>≤0.20mm 2</w:t>
            </w:r>
            <w:r>
              <w:rPr>
                <w:rStyle w:val="119"/>
                <w:rFonts w:hint="eastAsia" w:ascii="宋体" w:hAnsi="宋体" w:eastAsia="宋体" w:cs="宋体"/>
                <w:sz w:val="21"/>
                <w:szCs w:val="21"/>
                <w:highlight w:val="none"/>
                <w:lang w:val="en-US" w:eastAsia="zh-CN"/>
              </w:rPr>
              <w:t>、着地平稳性：底脚与水平面的差值</w:t>
            </w:r>
            <w:r>
              <w:rPr>
                <w:rStyle w:val="263"/>
                <w:rFonts w:hint="eastAsia" w:ascii="宋体" w:hAnsi="宋体" w:eastAsia="宋体" w:cs="宋体"/>
                <w:sz w:val="21"/>
                <w:szCs w:val="21"/>
                <w:highlight w:val="none"/>
                <w:lang w:val="en-US" w:eastAsia="zh-CN"/>
              </w:rPr>
              <w:t>≤2.0mm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3</w:t>
            </w:r>
            <w:r>
              <w:rPr>
                <w:rStyle w:val="119"/>
                <w:rFonts w:hint="eastAsia" w:ascii="宋体" w:hAnsi="宋体" w:eastAsia="宋体" w:cs="宋体"/>
                <w:sz w:val="21"/>
                <w:szCs w:val="21"/>
                <w:highlight w:val="none"/>
                <w:lang w:val="en-US" w:eastAsia="zh-CN"/>
              </w:rPr>
              <w:t>、有害物质限量：产品中人造板部件甲醛释放量</w:t>
            </w:r>
            <w:r>
              <w:rPr>
                <w:rStyle w:val="263"/>
                <w:rFonts w:hint="eastAsia" w:ascii="宋体" w:hAnsi="宋体" w:eastAsia="宋体" w:cs="宋体"/>
                <w:sz w:val="21"/>
                <w:szCs w:val="21"/>
                <w:highlight w:val="none"/>
                <w:lang w:val="en-US" w:eastAsia="zh-CN"/>
              </w:rPr>
              <w:t>≤0.124mg/m³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4</w:t>
            </w:r>
            <w:r>
              <w:rPr>
                <w:rStyle w:val="119"/>
                <w:rFonts w:hint="eastAsia" w:ascii="宋体" w:hAnsi="宋体" w:eastAsia="宋体" w:cs="宋体"/>
                <w:sz w:val="21"/>
                <w:szCs w:val="21"/>
                <w:highlight w:val="none"/>
                <w:lang w:val="en-US" w:eastAsia="zh-CN"/>
              </w:rPr>
              <w:t>、家具涂层可迁元素：锑</w:t>
            </w:r>
            <w:r>
              <w:rPr>
                <w:rStyle w:val="263"/>
                <w:rFonts w:hint="eastAsia" w:ascii="宋体" w:hAnsi="宋体" w:eastAsia="宋体" w:cs="宋体"/>
                <w:sz w:val="21"/>
                <w:szCs w:val="21"/>
                <w:highlight w:val="none"/>
                <w:lang w:val="en-US" w:eastAsia="zh-CN"/>
              </w:rPr>
              <w:t xml:space="preserve"> Sb≤60mg/kg</w:t>
            </w:r>
            <w:r>
              <w:rPr>
                <w:rStyle w:val="119"/>
                <w:rFonts w:hint="eastAsia" w:ascii="宋体" w:hAnsi="宋体" w:eastAsia="宋体" w:cs="宋体"/>
                <w:sz w:val="21"/>
                <w:szCs w:val="21"/>
                <w:highlight w:val="none"/>
                <w:lang w:val="en-US" w:eastAsia="zh-CN"/>
              </w:rPr>
              <w:t>，砷</w:t>
            </w:r>
            <w:r>
              <w:rPr>
                <w:rStyle w:val="263"/>
                <w:rFonts w:hint="eastAsia" w:ascii="宋体" w:hAnsi="宋体" w:eastAsia="宋体" w:cs="宋体"/>
                <w:sz w:val="21"/>
                <w:szCs w:val="21"/>
                <w:highlight w:val="none"/>
                <w:lang w:val="en-US" w:eastAsia="zh-CN"/>
              </w:rPr>
              <w:t xml:space="preserve"> As≤25mg/kg</w:t>
            </w:r>
            <w:r>
              <w:rPr>
                <w:rStyle w:val="119"/>
                <w:rFonts w:hint="eastAsia" w:ascii="宋体" w:hAnsi="宋体" w:eastAsia="宋体" w:cs="宋体"/>
                <w:sz w:val="21"/>
                <w:szCs w:val="21"/>
                <w:highlight w:val="none"/>
                <w:lang w:val="en-US" w:eastAsia="zh-CN"/>
              </w:rPr>
              <w:t>，钡</w:t>
            </w:r>
            <w:r>
              <w:rPr>
                <w:rStyle w:val="263"/>
                <w:rFonts w:hint="eastAsia" w:ascii="宋体" w:hAnsi="宋体" w:eastAsia="宋体" w:cs="宋体"/>
                <w:sz w:val="21"/>
                <w:szCs w:val="21"/>
                <w:highlight w:val="none"/>
                <w:lang w:val="en-US" w:eastAsia="zh-CN"/>
              </w:rPr>
              <w:t xml:space="preserve"> Ba≤ 1000mg/kg</w:t>
            </w:r>
            <w:r>
              <w:rPr>
                <w:rStyle w:val="119"/>
                <w:rFonts w:hint="eastAsia" w:ascii="宋体" w:hAnsi="宋体" w:eastAsia="宋体" w:cs="宋体"/>
                <w:sz w:val="21"/>
                <w:szCs w:val="21"/>
                <w:highlight w:val="none"/>
                <w:lang w:val="en-US" w:eastAsia="zh-CN"/>
              </w:rPr>
              <w:t>，镉</w:t>
            </w:r>
            <w:r>
              <w:rPr>
                <w:rStyle w:val="263"/>
                <w:rFonts w:hint="eastAsia" w:ascii="宋体" w:hAnsi="宋体" w:eastAsia="宋体" w:cs="宋体"/>
                <w:sz w:val="21"/>
                <w:szCs w:val="21"/>
                <w:highlight w:val="none"/>
                <w:lang w:val="en-US" w:eastAsia="zh-CN"/>
              </w:rPr>
              <w:t xml:space="preserve"> Cd≤50mg/kg</w:t>
            </w:r>
            <w:r>
              <w:rPr>
                <w:rStyle w:val="119"/>
                <w:rFonts w:hint="eastAsia" w:ascii="宋体" w:hAnsi="宋体" w:eastAsia="宋体" w:cs="宋体"/>
                <w:sz w:val="21"/>
                <w:szCs w:val="21"/>
                <w:highlight w:val="none"/>
                <w:lang w:val="en-US" w:eastAsia="zh-CN"/>
              </w:rPr>
              <w:t>，铬</w:t>
            </w:r>
            <w:r>
              <w:rPr>
                <w:rStyle w:val="263"/>
                <w:rFonts w:hint="eastAsia" w:ascii="宋体" w:hAnsi="宋体" w:eastAsia="宋体" w:cs="宋体"/>
                <w:sz w:val="21"/>
                <w:szCs w:val="21"/>
                <w:highlight w:val="none"/>
                <w:lang w:val="en-US" w:eastAsia="zh-CN"/>
              </w:rPr>
              <w:t xml:space="preserve"> Cr≤25mg/kg</w:t>
            </w:r>
            <w:r>
              <w:rPr>
                <w:rStyle w:val="119"/>
                <w:rFonts w:hint="eastAsia" w:ascii="宋体" w:hAnsi="宋体" w:eastAsia="宋体" w:cs="宋体"/>
                <w:sz w:val="21"/>
                <w:szCs w:val="21"/>
                <w:highlight w:val="none"/>
                <w:lang w:val="en-US" w:eastAsia="zh-CN"/>
              </w:rPr>
              <w:t>，铅</w:t>
            </w:r>
            <w:r>
              <w:rPr>
                <w:rStyle w:val="263"/>
                <w:rFonts w:hint="eastAsia" w:ascii="宋体" w:hAnsi="宋体" w:eastAsia="宋体" w:cs="宋体"/>
                <w:sz w:val="21"/>
                <w:szCs w:val="21"/>
                <w:highlight w:val="none"/>
                <w:lang w:val="en-US" w:eastAsia="zh-CN"/>
              </w:rPr>
              <w:t xml:space="preserve"> Pb≤90mg/kg</w:t>
            </w:r>
            <w:r>
              <w:rPr>
                <w:rStyle w:val="119"/>
                <w:rFonts w:hint="eastAsia" w:ascii="宋体" w:hAnsi="宋体" w:eastAsia="宋体" w:cs="宋体"/>
                <w:sz w:val="21"/>
                <w:szCs w:val="21"/>
                <w:highlight w:val="none"/>
                <w:lang w:val="en-US" w:eastAsia="zh-CN"/>
              </w:rPr>
              <w:t>，汞</w:t>
            </w:r>
            <w:r>
              <w:rPr>
                <w:rStyle w:val="263"/>
                <w:rFonts w:hint="eastAsia" w:ascii="宋体" w:hAnsi="宋体" w:eastAsia="宋体" w:cs="宋体"/>
                <w:sz w:val="21"/>
                <w:szCs w:val="21"/>
                <w:highlight w:val="none"/>
                <w:lang w:val="en-US" w:eastAsia="zh-CN"/>
              </w:rPr>
              <w:t xml:space="preserve"> Hg≤25mg/kg</w:t>
            </w:r>
            <w:r>
              <w:rPr>
                <w:rStyle w:val="119"/>
                <w:rFonts w:hint="eastAsia" w:ascii="宋体" w:hAnsi="宋体" w:eastAsia="宋体" w:cs="宋体"/>
                <w:sz w:val="21"/>
                <w:szCs w:val="21"/>
                <w:highlight w:val="none"/>
                <w:lang w:val="en-US" w:eastAsia="zh-CN"/>
              </w:rPr>
              <w:t>，硒</w:t>
            </w:r>
            <w:r>
              <w:rPr>
                <w:rStyle w:val="263"/>
                <w:rFonts w:hint="eastAsia" w:ascii="宋体" w:hAnsi="宋体" w:eastAsia="宋体" w:cs="宋体"/>
                <w:sz w:val="21"/>
                <w:szCs w:val="21"/>
                <w:highlight w:val="none"/>
                <w:lang w:val="en-US" w:eastAsia="zh-CN"/>
              </w:rPr>
              <w:t xml:space="preserve"> Se≤500mg/kg</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、产品有害物质：苯</w:t>
            </w:r>
            <w:r>
              <w:rPr>
                <w:rStyle w:val="263"/>
                <w:rFonts w:hint="eastAsia" w:ascii="宋体" w:hAnsi="宋体" w:eastAsia="宋体" w:cs="宋体"/>
                <w:sz w:val="21"/>
                <w:szCs w:val="21"/>
                <w:highlight w:val="none"/>
                <w:lang w:val="en-US" w:eastAsia="zh-CN"/>
              </w:rPr>
              <w:t>≤0.05mg/m³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甲苯</w:t>
            </w:r>
            <w:r>
              <w:rPr>
                <w:rStyle w:val="263"/>
                <w:rFonts w:hint="eastAsia" w:ascii="宋体" w:hAnsi="宋体" w:eastAsia="宋体" w:cs="宋体"/>
                <w:sz w:val="21"/>
                <w:szCs w:val="21"/>
                <w:highlight w:val="none"/>
                <w:lang w:val="en-US" w:eastAsia="zh-CN"/>
              </w:rPr>
              <w:t>≤0.1mg/m³</w:t>
            </w:r>
            <w:r>
              <w:rPr>
                <w:rStyle w:val="119"/>
                <w:rFonts w:hint="eastAsia" w:ascii="宋体" w:hAnsi="宋体" w:eastAsia="宋体" w:cs="宋体"/>
                <w:sz w:val="21"/>
                <w:szCs w:val="21"/>
                <w:highlight w:val="none"/>
                <w:lang w:val="en-US" w:eastAsia="zh-CN"/>
              </w:rPr>
              <w:t>，二甲苯</w:t>
            </w:r>
            <w:r>
              <w:rPr>
                <w:rStyle w:val="263"/>
                <w:rFonts w:hint="eastAsia" w:ascii="宋体" w:hAnsi="宋体" w:eastAsia="宋体" w:cs="宋体"/>
                <w:sz w:val="21"/>
                <w:szCs w:val="21"/>
                <w:highlight w:val="none"/>
                <w:lang w:val="en-US" w:eastAsia="zh-CN"/>
              </w:rPr>
              <w:t>≤0.1mg/m³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TVOC </w:t>
            </w:r>
            <w:r>
              <w:rPr>
                <w:rStyle w:val="119"/>
                <w:rFonts w:hint="eastAsia" w:ascii="宋体" w:hAnsi="宋体" w:eastAsia="宋体" w:cs="宋体"/>
                <w:sz w:val="21"/>
                <w:szCs w:val="21"/>
                <w:highlight w:val="none"/>
                <w:lang w:val="en-US" w:eastAsia="zh-CN"/>
              </w:rPr>
              <w:t>未检出。</w:t>
            </w:r>
          </w:p>
        </w:tc>
      </w:tr>
      <w:tr w14:paraId="5215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E59909B">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63503D07">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医用候诊椅</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0DB912D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GB/T 3325-2017</w:t>
            </w:r>
            <w:r>
              <w:rPr>
                <w:rStyle w:val="119"/>
                <w:rFonts w:hint="eastAsia" w:ascii="宋体" w:hAnsi="宋体" w:eastAsia="宋体" w:cs="宋体"/>
                <w:sz w:val="21"/>
                <w:szCs w:val="21"/>
                <w:highlight w:val="none"/>
                <w:lang w:val="en-US" w:eastAsia="zh-CN"/>
              </w:rPr>
              <w:t>《金属家具通用技术条件》、</w:t>
            </w:r>
            <w:r>
              <w:rPr>
                <w:rStyle w:val="263"/>
                <w:rFonts w:hint="eastAsia" w:ascii="宋体" w:hAnsi="宋体" w:eastAsia="宋体" w:cs="宋体"/>
                <w:sz w:val="21"/>
                <w:szCs w:val="21"/>
                <w:highlight w:val="none"/>
                <w:lang w:val="en-US" w:eastAsia="zh-CN"/>
              </w:rPr>
              <w:t>GB/T 35607-2017</w:t>
            </w:r>
            <w:r>
              <w:rPr>
                <w:rStyle w:val="119"/>
                <w:rFonts w:hint="eastAsia" w:ascii="宋体" w:hAnsi="宋体" w:eastAsia="宋体" w:cs="宋体"/>
                <w:sz w:val="21"/>
                <w:szCs w:val="21"/>
                <w:highlight w:val="none"/>
                <w:lang w:val="en-US" w:eastAsia="zh-CN"/>
              </w:rPr>
              <w:t>《绿色产品评价</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家具》标准：</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）形状和位置公差</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翘曲度检测结果</w:t>
            </w:r>
            <w:r>
              <w:rPr>
                <w:rStyle w:val="263"/>
                <w:rFonts w:hint="eastAsia" w:ascii="宋体" w:hAnsi="宋体" w:eastAsia="宋体" w:cs="宋体"/>
                <w:sz w:val="21"/>
                <w:szCs w:val="21"/>
                <w:highlight w:val="none"/>
                <w:lang w:val="en-US" w:eastAsia="zh-CN"/>
              </w:rPr>
              <w:t>≤1mm</w:t>
            </w:r>
            <w:r>
              <w:rPr>
                <w:rStyle w:val="119"/>
                <w:rFonts w:hint="eastAsia" w:ascii="宋体" w:hAnsi="宋体" w:eastAsia="宋体" w:cs="宋体"/>
                <w:sz w:val="21"/>
                <w:szCs w:val="21"/>
                <w:highlight w:val="none"/>
                <w:lang w:val="en-US" w:eastAsia="zh-CN"/>
              </w:rPr>
              <w:t>、着地平稳性检测结果</w:t>
            </w:r>
            <w:r>
              <w:rPr>
                <w:rStyle w:val="263"/>
                <w:rFonts w:hint="eastAsia" w:ascii="宋体" w:hAnsi="宋体" w:eastAsia="宋体" w:cs="宋体"/>
                <w:sz w:val="21"/>
                <w:szCs w:val="21"/>
                <w:highlight w:val="none"/>
                <w:lang w:val="en-US" w:eastAsia="zh-CN"/>
              </w:rPr>
              <w:t>≤1mm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椅凳类强度和耐久性：座面椅背联合静载荷试验、扶手侧向静载荷试验、扶手垂直向下静载荷试验、椅腿向前静载荷试验、椅腿侧向静载荷试验、座面冲击试验、椅背冲击试验、扶手冲击试验、座面前沿静载荷试验检测合格。</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）所有零部件无断裂或豁裂</w:t>
            </w:r>
            <w:r>
              <w:rPr>
                <w:rStyle w:val="263"/>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）用手揿压某些应为牢固的部件，应无永久性松动</w:t>
            </w:r>
            <w:r>
              <w:rPr>
                <w:rStyle w:val="263"/>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）所有零部件应无影响使用功能的磨损或变形</w:t>
            </w:r>
            <w:r>
              <w:rPr>
                <w:rStyle w:val="263"/>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）五金连接件应无松动</w:t>
            </w:r>
            <w:r>
              <w:rPr>
                <w:rStyle w:val="263"/>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）活动部件</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门、抽屉等</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开关应灵便</w:t>
            </w:r>
            <w:r>
              <w:rPr>
                <w:rStyle w:val="263"/>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）零部件无明显位移变化。</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）铅</w:t>
            </w:r>
            <w:r>
              <w:rPr>
                <w:rStyle w:val="263"/>
                <w:rFonts w:hint="eastAsia" w:ascii="宋体" w:hAnsi="宋体" w:eastAsia="宋体" w:cs="宋体"/>
                <w:sz w:val="21"/>
                <w:szCs w:val="21"/>
                <w:highlight w:val="none"/>
                <w:lang w:val="en-US" w:eastAsia="zh-CN"/>
              </w:rPr>
              <w:t xml:space="preserve"> (Pb) </w:t>
            </w:r>
            <w:r>
              <w:rPr>
                <w:rStyle w:val="119"/>
                <w:rFonts w:hint="eastAsia" w:ascii="宋体" w:hAnsi="宋体" w:eastAsia="宋体" w:cs="宋体"/>
                <w:sz w:val="21"/>
                <w:szCs w:val="21"/>
                <w:highlight w:val="none"/>
                <w:lang w:val="en-US" w:eastAsia="zh-CN"/>
              </w:rPr>
              <w:t>、镉</w:t>
            </w:r>
            <w:r>
              <w:rPr>
                <w:rStyle w:val="263"/>
                <w:rFonts w:hint="eastAsia" w:ascii="宋体" w:hAnsi="宋体" w:eastAsia="宋体" w:cs="宋体"/>
                <w:sz w:val="21"/>
                <w:szCs w:val="21"/>
                <w:highlight w:val="none"/>
                <w:lang w:val="en-US" w:eastAsia="zh-CN"/>
              </w:rPr>
              <w:t xml:space="preserve"> (Cd) </w:t>
            </w:r>
            <w:r>
              <w:rPr>
                <w:rStyle w:val="119"/>
                <w:rFonts w:hint="eastAsia" w:ascii="宋体" w:hAnsi="宋体" w:eastAsia="宋体" w:cs="宋体"/>
                <w:sz w:val="21"/>
                <w:szCs w:val="21"/>
                <w:highlight w:val="none"/>
                <w:lang w:val="en-US" w:eastAsia="zh-CN"/>
              </w:rPr>
              <w:t>、铬</w:t>
            </w:r>
            <w:r>
              <w:rPr>
                <w:rStyle w:val="263"/>
                <w:rFonts w:hint="eastAsia" w:ascii="宋体" w:hAnsi="宋体" w:eastAsia="宋体" w:cs="宋体"/>
                <w:sz w:val="21"/>
                <w:szCs w:val="21"/>
                <w:highlight w:val="none"/>
                <w:lang w:val="en-US" w:eastAsia="zh-CN"/>
              </w:rPr>
              <w:t xml:space="preserve"> (Cr) </w:t>
            </w:r>
            <w:r>
              <w:rPr>
                <w:rStyle w:val="119"/>
                <w:rFonts w:hint="eastAsia" w:ascii="宋体" w:hAnsi="宋体" w:eastAsia="宋体" w:cs="宋体"/>
                <w:sz w:val="21"/>
                <w:szCs w:val="21"/>
                <w:highlight w:val="none"/>
                <w:lang w:val="en-US" w:eastAsia="zh-CN"/>
              </w:rPr>
              <w:t>、汞</w:t>
            </w:r>
            <w:r>
              <w:rPr>
                <w:rStyle w:val="263"/>
                <w:rFonts w:hint="eastAsia" w:ascii="宋体" w:hAnsi="宋体" w:eastAsia="宋体" w:cs="宋体"/>
                <w:sz w:val="21"/>
                <w:szCs w:val="21"/>
                <w:highlight w:val="none"/>
                <w:lang w:val="en-US" w:eastAsia="zh-CN"/>
              </w:rPr>
              <w:t xml:space="preserve"> (Hg) </w:t>
            </w:r>
            <w:r>
              <w:rPr>
                <w:rStyle w:val="119"/>
                <w:rFonts w:hint="eastAsia" w:ascii="宋体" w:hAnsi="宋体" w:eastAsia="宋体" w:cs="宋体"/>
                <w:sz w:val="21"/>
                <w:szCs w:val="21"/>
                <w:highlight w:val="none"/>
                <w:lang w:val="en-US" w:eastAsia="zh-CN"/>
              </w:rPr>
              <w:t>、锑</w:t>
            </w:r>
            <w:r>
              <w:rPr>
                <w:rStyle w:val="263"/>
                <w:rFonts w:hint="eastAsia" w:ascii="宋体" w:hAnsi="宋体" w:eastAsia="宋体" w:cs="宋体"/>
                <w:sz w:val="21"/>
                <w:szCs w:val="21"/>
                <w:highlight w:val="none"/>
                <w:lang w:val="en-US" w:eastAsia="zh-CN"/>
              </w:rPr>
              <w:t xml:space="preserve"> (Sb) </w:t>
            </w:r>
            <w:r>
              <w:rPr>
                <w:rStyle w:val="119"/>
                <w:rFonts w:hint="eastAsia" w:ascii="宋体" w:hAnsi="宋体" w:eastAsia="宋体" w:cs="宋体"/>
                <w:sz w:val="21"/>
                <w:szCs w:val="21"/>
                <w:highlight w:val="none"/>
                <w:lang w:val="en-US" w:eastAsia="zh-CN"/>
              </w:rPr>
              <w:t>、钡</w:t>
            </w:r>
            <w:r>
              <w:rPr>
                <w:rStyle w:val="263"/>
                <w:rFonts w:hint="eastAsia" w:ascii="宋体" w:hAnsi="宋体" w:eastAsia="宋体" w:cs="宋体"/>
                <w:sz w:val="21"/>
                <w:szCs w:val="21"/>
                <w:highlight w:val="none"/>
                <w:lang w:val="en-US" w:eastAsia="zh-CN"/>
              </w:rPr>
              <w:t xml:space="preserve"> (Ba) </w:t>
            </w:r>
            <w:r>
              <w:rPr>
                <w:rStyle w:val="119"/>
                <w:rFonts w:hint="eastAsia" w:ascii="宋体" w:hAnsi="宋体" w:eastAsia="宋体" w:cs="宋体"/>
                <w:sz w:val="21"/>
                <w:szCs w:val="21"/>
                <w:highlight w:val="none"/>
                <w:lang w:val="en-US" w:eastAsia="zh-CN"/>
              </w:rPr>
              <w:t>、硒（</w:t>
            </w:r>
            <w:r>
              <w:rPr>
                <w:rStyle w:val="263"/>
                <w:rFonts w:hint="eastAsia" w:ascii="宋体" w:hAnsi="宋体" w:eastAsia="宋体" w:cs="宋体"/>
                <w:sz w:val="21"/>
                <w:szCs w:val="21"/>
                <w:highlight w:val="none"/>
                <w:lang w:val="en-US" w:eastAsia="zh-CN"/>
              </w:rPr>
              <w:t>Se</w:t>
            </w:r>
            <w:r>
              <w:rPr>
                <w:rStyle w:val="119"/>
                <w:rFonts w:hint="eastAsia" w:ascii="宋体" w:hAnsi="宋体" w:eastAsia="宋体" w:cs="宋体"/>
                <w:sz w:val="21"/>
                <w:szCs w:val="21"/>
                <w:highlight w:val="none"/>
                <w:lang w:val="en-US" w:eastAsia="zh-CN"/>
              </w:rPr>
              <w:t>）、砷</w:t>
            </w:r>
            <w:r>
              <w:rPr>
                <w:rStyle w:val="263"/>
                <w:rFonts w:hint="eastAsia" w:ascii="宋体" w:hAnsi="宋体" w:eastAsia="宋体" w:cs="宋体"/>
                <w:sz w:val="21"/>
                <w:szCs w:val="21"/>
                <w:highlight w:val="none"/>
                <w:lang w:val="en-US" w:eastAsia="zh-CN"/>
              </w:rPr>
              <w:t xml:space="preserve"> (As) ≤1 mg/kg</w:t>
            </w:r>
            <w:r>
              <w:rPr>
                <w:rStyle w:val="119"/>
                <w:rFonts w:hint="eastAsia" w:ascii="宋体" w:hAnsi="宋体" w:eastAsia="宋体" w:cs="宋体"/>
                <w:sz w:val="21"/>
                <w:szCs w:val="21"/>
                <w:highlight w:val="none"/>
                <w:lang w:val="en-US" w:eastAsia="zh-CN"/>
              </w:rPr>
              <w:t>或未检出</w:t>
            </w:r>
          </w:p>
        </w:tc>
      </w:tr>
      <w:tr w14:paraId="3B33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EF3CEA">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w:t>
            </w:r>
            <w:r>
              <w:rPr>
                <w:rFonts w:hint="eastAsia" w:ascii="宋体" w:hAnsi="宋体" w:cs="宋体"/>
                <w:i w:val="0"/>
                <w:iCs w:val="0"/>
                <w:color w:val="000000"/>
                <w:kern w:val="0"/>
                <w:sz w:val="21"/>
                <w:szCs w:val="21"/>
                <w:highlight w:val="none"/>
                <w:u w:val="none"/>
                <w:lang w:val="en-US"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0BC239B3">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医用吊柜</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医用配药吊柜</w:t>
            </w:r>
          </w:p>
        </w:tc>
        <w:tc>
          <w:tcPr>
            <w:tcW w:w="792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3BA617A2">
            <w:pPr>
              <w:keepNext w:val="0"/>
              <w:keepLines w:val="0"/>
              <w:widowControl/>
              <w:suppressLineNumbers w:val="0"/>
              <w:jc w:val="left"/>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 xml:space="preserve"> GB/T 3325-2017</w:t>
            </w:r>
            <w:r>
              <w:rPr>
                <w:rStyle w:val="119"/>
                <w:rFonts w:hint="eastAsia" w:ascii="宋体" w:hAnsi="宋体" w:eastAsia="宋体" w:cs="宋体"/>
                <w:sz w:val="21"/>
                <w:szCs w:val="21"/>
                <w:highlight w:val="none"/>
                <w:lang w:val="en-US" w:eastAsia="zh-CN"/>
              </w:rPr>
              <w:t>《金属家具通用技术条件》标准</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）有害物质限量：涂层和覆面层可溶性重金属：可溶性铅</w:t>
            </w:r>
            <w:r>
              <w:rPr>
                <w:rStyle w:val="263"/>
                <w:rFonts w:hint="eastAsia" w:ascii="宋体" w:hAnsi="宋体" w:eastAsia="宋体" w:cs="宋体"/>
                <w:sz w:val="21"/>
                <w:szCs w:val="21"/>
                <w:highlight w:val="none"/>
                <w:lang w:val="en-US" w:eastAsia="zh-CN"/>
              </w:rPr>
              <w:t>≤90mg/kg</w:t>
            </w:r>
            <w:r>
              <w:rPr>
                <w:rStyle w:val="119"/>
                <w:rFonts w:hint="eastAsia" w:ascii="宋体" w:hAnsi="宋体" w:eastAsia="宋体" w:cs="宋体"/>
                <w:sz w:val="21"/>
                <w:szCs w:val="21"/>
                <w:highlight w:val="none"/>
                <w:lang w:val="en-US" w:eastAsia="zh-CN"/>
              </w:rPr>
              <w:t>；可溶性镉</w:t>
            </w:r>
            <w:r>
              <w:rPr>
                <w:rStyle w:val="263"/>
                <w:rFonts w:hint="eastAsia" w:ascii="宋体" w:hAnsi="宋体" w:eastAsia="宋体" w:cs="宋体"/>
                <w:sz w:val="21"/>
                <w:szCs w:val="21"/>
                <w:highlight w:val="none"/>
                <w:lang w:val="en-US" w:eastAsia="zh-CN"/>
              </w:rPr>
              <w:t>≤75mg/kg</w:t>
            </w:r>
            <w:r>
              <w:rPr>
                <w:rStyle w:val="119"/>
                <w:rFonts w:hint="eastAsia" w:ascii="宋体" w:hAnsi="宋体" w:eastAsia="宋体" w:cs="宋体"/>
                <w:sz w:val="21"/>
                <w:szCs w:val="21"/>
                <w:highlight w:val="none"/>
                <w:lang w:val="en-US" w:eastAsia="zh-CN"/>
              </w:rPr>
              <w:t>；可溶性铬</w:t>
            </w:r>
            <w:r>
              <w:rPr>
                <w:rStyle w:val="263"/>
                <w:rFonts w:hint="eastAsia" w:ascii="宋体" w:hAnsi="宋体" w:eastAsia="宋体" w:cs="宋体"/>
                <w:sz w:val="21"/>
                <w:szCs w:val="21"/>
                <w:highlight w:val="none"/>
                <w:lang w:val="en-US" w:eastAsia="zh-CN"/>
              </w:rPr>
              <w:t xml:space="preserve"> ≤60mg/kg</w:t>
            </w:r>
            <w:r>
              <w:rPr>
                <w:rStyle w:val="119"/>
                <w:rFonts w:hint="eastAsia" w:ascii="宋体" w:hAnsi="宋体" w:eastAsia="宋体" w:cs="宋体"/>
                <w:sz w:val="21"/>
                <w:szCs w:val="21"/>
                <w:highlight w:val="none"/>
                <w:lang w:val="en-US" w:eastAsia="zh-CN"/>
              </w:rPr>
              <w:t>；可溶性汞</w:t>
            </w:r>
            <w:r>
              <w:rPr>
                <w:rStyle w:val="263"/>
                <w:rFonts w:hint="eastAsia" w:ascii="宋体" w:hAnsi="宋体" w:eastAsia="宋体" w:cs="宋体"/>
                <w:sz w:val="21"/>
                <w:szCs w:val="21"/>
                <w:highlight w:val="none"/>
                <w:lang w:val="en-US" w:eastAsia="zh-CN"/>
              </w:rPr>
              <w:t>≤60mg/kg</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）产品表面涂饰层</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覆面材料理化性能：金属喷漆（塑）涂层：硬度</w:t>
            </w:r>
            <w:r>
              <w:rPr>
                <w:rStyle w:val="263"/>
                <w:rFonts w:hint="eastAsia" w:ascii="宋体" w:hAnsi="宋体" w:eastAsia="宋体" w:cs="宋体"/>
                <w:sz w:val="21"/>
                <w:szCs w:val="21"/>
                <w:highlight w:val="none"/>
                <w:lang w:val="en-US" w:eastAsia="zh-CN"/>
              </w:rPr>
              <w:t>≥H</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2 </w:t>
            </w:r>
            <w:r>
              <w:rPr>
                <w:rStyle w:val="119"/>
                <w:rFonts w:hint="eastAsia" w:ascii="宋体" w:hAnsi="宋体" w:eastAsia="宋体" w:cs="宋体"/>
                <w:sz w:val="21"/>
                <w:szCs w:val="21"/>
                <w:highlight w:val="none"/>
                <w:lang w:val="en-US" w:eastAsia="zh-CN"/>
              </w:rPr>
              <w:t>冲击强度：冲击高度</w:t>
            </w:r>
            <w:r>
              <w:rPr>
                <w:rStyle w:val="263"/>
                <w:rFonts w:hint="eastAsia" w:ascii="宋体" w:hAnsi="宋体" w:eastAsia="宋体" w:cs="宋体"/>
                <w:sz w:val="21"/>
                <w:szCs w:val="21"/>
                <w:highlight w:val="none"/>
                <w:lang w:val="en-US" w:eastAsia="zh-CN"/>
              </w:rPr>
              <w:t xml:space="preserve"> 400mm</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应无剥落、裂纹、皱纹；</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）耐腐蚀：</w:t>
            </w:r>
            <w:r>
              <w:rPr>
                <w:rStyle w:val="263"/>
                <w:rFonts w:hint="eastAsia" w:ascii="宋体" w:hAnsi="宋体" w:eastAsia="宋体" w:cs="宋体"/>
                <w:sz w:val="21"/>
                <w:szCs w:val="21"/>
                <w:highlight w:val="none"/>
                <w:lang w:val="en-US" w:eastAsia="zh-CN"/>
              </w:rPr>
              <w:t xml:space="preserve">100h </w:t>
            </w:r>
            <w:r>
              <w:rPr>
                <w:rStyle w:val="119"/>
                <w:rFonts w:hint="eastAsia" w:ascii="宋体" w:hAnsi="宋体" w:eastAsia="宋体" w:cs="宋体"/>
                <w:sz w:val="21"/>
                <w:szCs w:val="21"/>
                <w:highlight w:val="none"/>
                <w:lang w:val="en-US" w:eastAsia="zh-CN"/>
              </w:rPr>
              <w:t>内，观察在溶液中样板上划道两侧</w:t>
            </w:r>
            <w:r>
              <w:rPr>
                <w:rStyle w:val="263"/>
                <w:rFonts w:hint="eastAsia" w:ascii="宋体" w:hAnsi="宋体" w:eastAsia="宋体" w:cs="宋体"/>
                <w:sz w:val="21"/>
                <w:szCs w:val="21"/>
                <w:highlight w:val="none"/>
                <w:lang w:val="en-US" w:eastAsia="zh-CN"/>
              </w:rPr>
              <w:t xml:space="preserve"> 3mm </w:t>
            </w:r>
            <w:r>
              <w:rPr>
                <w:rStyle w:val="119"/>
                <w:rFonts w:hint="eastAsia" w:ascii="宋体" w:hAnsi="宋体" w:eastAsia="宋体" w:cs="宋体"/>
                <w:sz w:val="21"/>
                <w:szCs w:val="21"/>
                <w:highlight w:val="none"/>
                <w:lang w:val="en-US" w:eastAsia="zh-CN"/>
              </w:rPr>
              <w:t>以外，应无鼓泡产生；</w:t>
            </w:r>
            <w:r>
              <w:rPr>
                <w:rStyle w:val="263"/>
                <w:rFonts w:hint="eastAsia" w:ascii="宋体" w:hAnsi="宋体" w:eastAsia="宋体" w:cs="宋体"/>
                <w:sz w:val="21"/>
                <w:szCs w:val="21"/>
                <w:highlight w:val="none"/>
                <w:lang w:val="en-US" w:eastAsia="zh-CN"/>
              </w:rPr>
              <w:t xml:space="preserve">100h </w:t>
            </w:r>
            <w:r>
              <w:rPr>
                <w:rStyle w:val="119"/>
                <w:rFonts w:hint="eastAsia" w:ascii="宋体" w:hAnsi="宋体" w:eastAsia="宋体" w:cs="宋体"/>
                <w:sz w:val="21"/>
                <w:szCs w:val="21"/>
                <w:highlight w:val="none"/>
                <w:lang w:val="en-US" w:eastAsia="zh-CN"/>
              </w:rPr>
              <w:t>后，检查划道两侧</w:t>
            </w:r>
            <w:r>
              <w:rPr>
                <w:rStyle w:val="263"/>
                <w:rFonts w:hint="eastAsia" w:ascii="宋体" w:hAnsi="宋体" w:eastAsia="宋体" w:cs="宋体"/>
                <w:sz w:val="21"/>
                <w:szCs w:val="21"/>
                <w:highlight w:val="none"/>
                <w:lang w:val="en-US" w:eastAsia="zh-CN"/>
              </w:rPr>
              <w:t xml:space="preserve"> 3mm </w:t>
            </w:r>
            <w:r>
              <w:rPr>
                <w:rStyle w:val="119"/>
                <w:rFonts w:hint="eastAsia" w:ascii="宋体" w:hAnsi="宋体" w:eastAsia="宋体" w:cs="宋体"/>
                <w:sz w:val="21"/>
                <w:szCs w:val="21"/>
                <w:highlight w:val="none"/>
                <w:lang w:val="en-US" w:eastAsia="zh-CN"/>
              </w:rPr>
              <w:t>外，应无锈迹、剥落、起皱、变色和失光等现象；）附着力应不低于</w:t>
            </w:r>
            <w:r>
              <w:rPr>
                <w:rStyle w:val="263"/>
                <w:rFonts w:hint="eastAsia" w:ascii="宋体" w:hAnsi="宋体" w:eastAsia="宋体" w:cs="宋体"/>
                <w:sz w:val="21"/>
                <w:szCs w:val="21"/>
                <w:highlight w:val="none"/>
                <w:lang w:val="en-US" w:eastAsia="zh-CN"/>
              </w:rPr>
              <w:t xml:space="preserve"> 2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）力学性能：柜类强度和耐久性：搁板定位试验：搁板空载时自重的</w:t>
            </w:r>
            <w:r>
              <w:rPr>
                <w:rStyle w:val="263"/>
                <w:rFonts w:hint="eastAsia" w:ascii="宋体" w:hAnsi="宋体" w:eastAsia="宋体" w:cs="宋体"/>
                <w:sz w:val="21"/>
                <w:szCs w:val="21"/>
                <w:highlight w:val="none"/>
                <w:lang w:val="en-US" w:eastAsia="zh-CN"/>
              </w:rPr>
              <w:t xml:space="preserve"> 50%</w:t>
            </w:r>
            <w:r>
              <w:rPr>
                <w:rStyle w:val="119"/>
                <w:rFonts w:hint="eastAsia" w:ascii="宋体" w:hAnsi="宋体" w:eastAsia="宋体" w:cs="宋体"/>
                <w:sz w:val="21"/>
                <w:szCs w:val="21"/>
                <w:highlight w:val="none"/>
                <w:lang w:val="en-US" w:eastAsia="zh-CN"/>
              </w:rPr>
              <w:t>；搁板支承件强度试验：钢板</w:t>
            </w:r>
            <w:r>
              <w:rPr>
                <w:rStyle w:val="263"/>
                <w:rFonts w:hint="eastAsia" w:ascii="宋体" w:hAnsi="宋体" w:eastAsia="宋体" w:cs="宋体"/>
                <w:sz w:val="21"/>
                <w:szCs w:val="21"/>
                <w:highlight w:val="none"/>
                <w:lang w:val="en-US" w:eastAsia="zh-CN"/>
              </w:rPr>
              <w:t xml:space="preserve"> 1.7kg</w:t>
            </w:r>
            <w:r>
              <w:rPr>
                <w:rStyle w:val="119"/>
                <w:rFonts w:hint="eastAsia" w:ascii="宋体" w:hAnsi="宋体" w:eastAsia="宋体" w:cs="宋体"/>
                <w:sz w:val="21"/>
                <w:szCs w:val="21"/>
                <w:highlight w:val="none"/>
                <w:lang w:val="en-US" w:eastAsia="zh-CN"/>
              </w:rPr>
              <w:t>；拉门垂直加载试验载荷</w:t>
            </w:r>
            <w:r>
              <w:rPr>
                <w:rStyle w:val="263"/>
                <w:rFonts w:hint="eastAsia" w:ascii="宋体" w:hAnsi="宋体" w:eastAsia="宋体" w:cs="宋体"/>
                <w:sz w:val="21"/>
                <w:szCs w:val="21"/>
                <w:highlight w:val="none"/>
                <w:lang w:val="en-US" w:eastAsia="zh-CN"/>
              </w:rPr>
              <w:t xml:space="preserve"> 20kg</w:t>
            </w:r>
            <w:r>
              <w:rPr>
                <w:rStyle w:val="119"/>
                <w:rFonts w:hint="eastAsia" w:ascii="宋体" w:hAnsi="宋体" w:eastAsia="宋体" w:cs="宋体"/>
                <w:sz w:val="21"/>
                <w:szCs w:val="21"/>
                <w:highlight w:val="none"/>
                <w:lang w:val="en-US" w:eastAsia="zh-CN"/>
              </w:rPr>
              <w:t>；拉门水平加载试验：加载力</w:t>
            </w:r>
            <w:r>
              <w:rPr>
                <w:rStyle w:val="263"/>
                <w:rFonts w:hint="eastAsia" w:ascii="宋体" w:hAnsi="宋体" w:eastAsia="宋体" w:cs="宋体"/>
                <w:sz w:val="21"/>
                <w:szCs w:val="21"/>
                <w:highlight w:val="none"/>
                <w:lang w:val="en-US" w:eastAsia="zh-CN"/>
              </w:rPr>
              <w:t xml:space="preserve"> 60N</w:t>
            </w:r>
            <w:r>
              <w:rPr>
                <w:rStyle w:val="119"/>
                <w:rFonts w:hint="eastAsia" w:ascii="宋体" w:hAnsi="宋体" w:eastAsia="宋体" w:cs="宋体"/>
                <w:sz w:val="21"/>
                <w:szCs w:val="21"/>
                <w:highlight w:val="none"/>
                <w:lang w:val="en-US" w:eastAsia="zh-CN"/>
              </w:rPr>
              <w:t>；拉门猛关试验：载荷</w:t>
            </w:r>
            <w:r>
              <w:rPr>
                <w:rStyle w:val="263"/>
                <w:rFonts w:hint="eastAsia" w:ascii="宋体" w:hAnsi="宋体" w:eastAsia="宋体" w:cs="宋体"/>
                <w:sz w:val="21"/>
                <w:szCs w:val="21"/>
                <w:highlight w:val="none"/>
                <w:lang w:val="en-US" w:eastAsia="zh-CN"/>
              </w:rPr>
              <w:t>3kg</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a</w:t>
            </w:r>
            <w:r>
              <w:rPr>
                <w:rStyle w:val="119"/>
                <w:rFonts w:hint="eastAsia" w:ascii="宋体" w:hAnsi="宋体" w:eastAsia="宋体" w:cs="宋体"/>
                <w:sz w:val="21"/>
                <w:szCs w:val="21"/>
                <w:highlight w:val="none"/>
                <w:lang w:val="en-US" w:eastAsia="zh-CN"/>
              </w:rPr>
              <w:t>）所有部件、连接件应无断裂损坏；</w:t>
            </w:r>
            <w:r>
              <w:rPr>
                <w:rStyle w:val="263"/>
                <w:rFonts w:hint="eastAsia" w:ascii="宋体" w:hAnsi="宋体" w:eastAsia="宋体" w:cs="宋体"/>
                <w:sz w:val="21"/>
                <w:szCs w:val="21"/>
                <w:highlight w:val="none"/>
                <w:lang w:val="en-US" w:eastAsia="zh-CN"/>
              </w:rPr>
              <w:t>b</w:t>
            </w:r>
            <w:r>
              <w:rPr>
                <w:rStyle w:val="119"/>
                <w:rFonts w:hint="eastAsia" w:ascii="宋体" w:hAnsi="宋体" w:eastAsia="宋体" w:cs="宋体"/>
                <w:sz w:val="21"/>
                <w:szCs w:val="21"/>
                <w:highlight w:val="none"/>
                <w:lang w:val="en-US" w:eastAsia="zh-CN"/>
              </w:rPr>
              <w:t>）无严重影响使用功能的磨损或变形；</w:t>
            </w:r>
            <w:r>
              <w:rPr>
                <w:rStyle w:val="263"/>
                <w:rFonts w:hint="eastAsia" w:ascii="宋体" w:hAnsi="宋体" w:eastAsia="宋体" w:cs="宋体"/>
                <w:sz w:val="21"/>
                <w:szCs w:val="21"/>
                <w:highlight w:val="none"/>
                <w:lang w:val="en-US" w:eastAsia="zh-CN"/>
              </w:rPr>
              <w:t>c</w:t>
            </w:r>
            <w:r>
              <w:rPr>
                <w:rStyle w:val="119"/>
                <w:rFonts w:hint="eastAsia" w:ascii="宋体" w:hAnsi="宋体" w:eastAsia="宋体" w:cs="宋体"/>
                <w:sz w:val="21"/>
                <w:szCs w:val="21"/>
                <w:highlight w:val="none"/>
                <w:lang w:val="en-US" w:eastAsia="zh-CN"/>
              </w:rPr>
              <w:t>）用手揿压证实，紧固件</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应无松动；</w:t>
            </w:r>
            <w:r>
              <w:rPr>
                <w:rStyle w:val="263"/>
                <w:rFonts w:hint="eastAsia" w:ascii="宋体" w:hAnsi="宋体" w:eastAsia="宋体" w:cs="宋体"/>
                <w:sz w:val="21"/>
                <w:szCs w:val="21"/>
                <w:highlight w:val="none"/>
                <w:lang w:val="en-US" w:eastAsia="zh-CN"/>
              </w:rPr>
              <w:t>d</w:t>
            </w:r>
            <w:r>
              <w:rPr>
                <w:rStyle w:val="119"/>
                <w:rFonts w:hint="eastAsia" w:ascii="宋体" w:hAnsi="宋体" w:eastAsia="宋体" w:cs="宋体"/>
                <w:sz w:val="21"/>
                <w:szCs w:val="21"/>
                <w:highlight w:val="none"/>
                <w:lang w:val="en-US" w:eastAsia="zh-CN"/>
              </w:rPr>
              <w:t>）五金连接件应无松动；</w:t>
            </w:r>
            <w:r>
              <w:rPr>
                <w:rStyle w:val="263"/>
                <w:rFonts w:hint="eastAsia" w:ascii="宋体" w:hAnsi="宋体" w:eastAsia="宋体" w:cs="宋体"/>
                <w:sz w:val="21"/>
                <w:szCs w:val="21"/>
                <w:highlight w:val="none"/>
                <w:lang w:val="en-US" w:eastAsia="zh-CN"/>
              </w:rPr>
              <w:t>e</w:t>
            </w:r>
            <w:r>
              <w:rPr>
                <w:rStyle w:val="119"/>
                <w:rFonts w:hint="eastAsia" w:ascii="宋体" w:hAnsi="宋体" w:eastAsia="宋体" w:cs="宋体"/>
                <w:sz w:val="21"/>
                <w:szCs w:val="21"/>
                <w:highlight w:val="none"/>
                <w:lang w:val="en-US" w:eastAsia="zh-CN"/>
              </w:rPr>
              <w:t>）活动部件（门、抽屉等）开关应灵活。）</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）柜类稳定性：搁板水平加载稳定性试验，施加搁板自重</w:t>
            </w:r>
            <w:r>
              <w:rPr>
                <w:rStyle w:val="263"/>
                <w:rFonts w:hint="eastAsia" w:ascii="宋体" w:hAnsi="宋体" w:eastAsia="宋体" w:cs="宋体"/>
                <w:sz w:val="21"/>
                <w:szCs w:val="21"/>
                <w:highlight w:val="none"/>
                <w:lang w:val="en-US" w:eastAsia="zh-CN"/>
              </w:rPr>
              <w:t xml:space="preserve"> 50%</w:t>
            </w:r>
            <w:r>
              <w:rPr>
                <w:rStyle w:val="119"/>
                <w:rFonts w:hint="eastAsia" w:ascii="宋体" w:hAnsi="宋体" w:eastAsia="宋体" w:cs="宋体"/>
                <w:sz w:val="21"/>
                <w:szCs w:val="21"/>
                <w:highlight w:val="none"/>
                <w:lang w:val="en-US" w:eastAsia="zh-CN"/>
              </w:rPr>
              <w:t>的水平力，空载搁板不应脱落；搁板垂直</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加载稳定性试验：垂直加力</w:t>
            </w:r>
            <w:r>
              <w:rPr>
                <w:rStyle w:val="263"/>
                <w:rFonts w:hint="eastAsia" w:ascii="宋体" w:hAnsi="宋体" w:eastAsia="宋体" w:cs="宋体"/>
                <w:sz w:val="21"/>
                <w:szCs w:val="21"/>
                <w:highlight w:val="none"/>
                <w:lang w:val="en-US" w:eastAsia="zh-CN"/>
              </w:rPr>
              <w:t xml:space="preserve"> 100N</w:t>
            </w:r>
            <w:r>
              <w:rPr>
                <w:rStyle w:val="119"/>
                <w:rFonts w:hint="eastAsia" w:ascii="宋体" w:hAnsi="宋体" w:eastAsia="宋体" w:cs="宋体"/>
                <w:sz w:val="21"/>
                <w:szCs w:val="21"/>
                <w:highlight w:val="none"/>
                <w:lang w:val="en-US" w:eastAsia="zh-CN"/>
              </w:rPr>
              <w:t>，空载搁板无倾翻现象。</w:t>
            </w:r>
          </w:p>
        </w:tc>
      </w:tr>
      <w:tr w14:paraId="6C89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074A5E8">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w:t>
            </w:r>
            <w:r>
              <w:rPr>
                <w:rFonts w:hint="eastAsia" w:ascii="宋体" w:hAnsi="宋体" w:cs="宋体"/>
                <w:i w:val="0"/>
                <w:iCs w:val="0"/>
                <w:color w:val="000000"/>
                <w:kern w:val="0"/>
                <w:sz w:val="21"/>
                <w:szCs w:val="21"/>
                <w:highlight w:val="none"/>
                <w:u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1A0BD8FE">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医用储物柜</w:t>
            </w:r>
          </w:p>
        </w:tc>
        <w:tc>
          <w:tcPr>
            <w:tcW w:w="792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1800A908">
            <w:pPr>
              <w:keepNext w:val="0"/>
              <w:keepLines w:val="0"/>
              <w:widowControl/>
              <w:suppressLineNumbers w:val="0"/>
              <w:jc w:val="left"/>
              <w:textAlignment w:val="bottom"/>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 xml:space="preserve"> GB/T 3324-2017</w:t>
            </w:r>
            <w:r>
              <w:rPr>
                <w:rStyle w:val="119"/>
                <w:rFonts w:hint="eastAsia" w:ascii="宋体" w:hAnsi="宋体" w:eastAsia="宋体" w:cs="宋体"/>
                <w:sz w:val="21"/>
                <w:szCs w:val="21"/>
                <w:highlight w:val="none"/>
                <w:lang w:val="en-US" w:eastAsia="zh-CN"/>
              </w:rPr>
              <w:t>《木家具通用技术条件》、</w:t>
            </w:r>
            <w:r>
              <w:rPr>
                <w:rStyle w:val="263"/>
                <w:rFonts w:hint="eastAsia" w:ascii="宋体" w:hAnsi="宋体" w:eastAsia="宋体" w:cs="宋体"/>
                <w:sz w:val="21"/>
                <w:szCs w:val="21"/>
                <w:highlight w:val="none"/>
                <w:lang w:val="en-US" w:eastAsia="zh-CN"/>
              </w:rPr>
              <w:t>GB 18584-2001</w:t>
            </w:r>
            <w:r>
              <w:rPr>
                <w:rStyle w:val="119"/>
                <w:rFonts w:hint="eastAsia" w:ascii="宋体" w:hAnsi="宋体" w:eastAsia="宋体" w:cs="宋体"/>
                <w:sz w:val="21"/>
                <w:szCs w:val="21"/>
                <w:highlight w:val="none"/>
                <w:lang w:val="en-US" w:eastAsia="zh-CN"/>
              </w:rPr>
              <w:t>《室内装饰装修材料</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木家具中有害物</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质限量》、</w:t>
            </w:r>
            <w:r>
              <w:rPr>
                <w:rStyle w:val="263"/>
                <w:rFonts w:hint="eastAsia" w:ascii="宋体" w:hAnsi="宋体" w:eastAsia="宋体" w:cs="宋体"/>
                <w:sz w:val="21"/>
                <w:szCs w:val="21"/>
                <w:highlight w:val="none"/>
                <w:lang w:val="en-US" w:eastAsia="zh-CN"/>
              </w:rPr>
              <w:t>GB/T 35607-2017</w:t>
            </w:r>
            <w:r>
              <w:rPr>
                <w:rStyle w:val="119"/>
                <w:rFonts w:hint="eastAsia" w:ascii="宋体" w:hAnsi="宋体" w:eastAsia="宋体" w:cs="宋体"/>
                <w:sz w:val="21"/>
                <w:szCs w:val="21"/>
                <w:highlight w:val="none"/>
                <w:lang w:val="en-US" w:eastAsia="zh-CN"/>
              </w:rPr>
              <w:t>《绿色产品评价</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家具》标准</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）软硬物质覆面理化性能：耐冷热循环（无裂缝、开裂、起皱、鼓泡现象）；耐干热：不低于</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5 </w:t>
            </w:r>
            <w:r>
              <w:rPr>
                <w:rStyle w:val="119"/>
                <w:rFonts w:hint="eastAsia" w:ascii="宋体" w:hAnsi="宋体" w:eastAsia="宋体" w:cs="宋体"/>
                <w:sz w:val="21"/>
                <w:szCs w:val="21"/>
                <w:highlight w:val="none"/>
                <w:lang w:val="en-US" w:eastAsia="zh-CN"/>
              </w:rPr>
              <w:t>级最好，</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级最差）；耐湿热：不低</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5 </w:t>
            </w:r>
            <w:r>
              <w:rPr>
                <w:rStyle w:val="119"/>
                <w:rFonts w:hint="eastAsia" w:ascii="宋体" w:hAnsi="宋体" w:eastAsia="宋体" w:cs="宋体"/>
                <w:sz w:val="21"/>
                <w:szCs w:val="21"/>
                <w:highlight w:val="none"/>
                <w:lang w:val="en-US" w:eastAsia="zh-CN"/>
              </w:rPr>
              <w:t>级最好，</w:t>
            </w:r>
            <w:r>
              <w:rPr>
                <w:rStyle w:val="263"/>
                <w:rFonts w:hint="eastAsia" w:ascii="宋体" w:hAnsi="宋体" w:eastAsia="宋体" w:cs="宋体"/>
                <w:sz w:val="21"/>
                <w:szCs w:val="21"/>
                <w:highlight w:val="none"/>
                <w:lang w:val="en-US" w:eastAsia="zh-CN"/>
              </w:rPr>
              <w:t xml:space="preserve">1 </w:t>
            </w:r>
            <w:r>
              <w:rPr>
                <w:rStyle w:val="119"/>
                <w:rFonts w:hint="eastAsia" w:ascii="宋体" w:hAnsi="宋体" w:eastAsia="宋体" w:cs="宋体"/>
                <w:sz w:val="21"/>
                <w:szCs w:val="21"/>
                <w:highlight w:val="none"/>
                <w:lang w:val="en-US" w:eastAsia="zh-CN"/>
              </w:rPr>
              <w:t>级最差</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；耐划痕：加载</w:t>
            </w:r>
            <w:r>
              <w:rPr>
                <w:rStyle w:val="263"/>
                <w:rFonts w:hint="eastAsia" w:ascii="宋体" w:hAnsi="宋体" w:eastAsia="宋体" w:cs="宋体"/>
                <w:sz w:val="21"/>
                <w:szCs w:val="21"/>
                <w:highlight w:val="none"/>
                <w:lang w:val="en-US" w:eastAsia="zh-CN"/>
              </w:rPr>
              <w:t xml:space="preserve"> 1.5N</w:t>
            </w:r>
            <w:r>
              <w:rPr>
                <w:rStyle w:val="119"/>
                <w:rFonts w:hint="eastAsia" w:ascii="宋体" w:hAnsi="宋体" w:eastAsia="宋体" w:cs="宋体"/>
                <w:sz w:val="21"/>
                <w:szCs w:val="21"/>
                <w:highlight w:val="none"/>
                <w:lang w:val="en-US" w:eastAsia="zh-CN"/>
              </w:rPr>
              <w:t>，表面无大于</w:t>
            </w:r>
            <w:r>
              <w:rPr>
                <w:rStyle w:val="263"/>
                <w:rFonts w:hint="eastAsia" w:ascii="宋体" w:hAnsi="宋体" w:eastAsia="宋体" w:cs="宋体"/>
                <w:sz w:val="21"/>
                <w:szCs w:val="21"/>
                <w:highlight w:val="none"/>
                <w:lang w:val="en-US" w:eastAsia="zh-CN"/>
              </w:rPr>
              <w:t xml:space="preserve"> 90%</w:t>
            </w:r>
            <w:r>
              <w:rPr>
                <w:rStyle w:val="119"/>
                <w:rFonts w:hint="eastAsia" w:ascii="宋体" w:hAnsi="宋体" w:eastAsia="宋体" w:cs="宋体"/>
                <w:sz w:val="21"/>
                <w:szCs w:val="21"/>
                <w:highlight w:val="none"/>
                <w:lang w:val="en-US" w:eastAsia="zh-CN"/>
              </w:rPr>
              <w:t>的连续划痕或表面装饰花纹无破坏现象；耐污染性能：应不低于</w:t>
            </w:r>
            <w:r>
              <w:rPr>
                <w:rStyle w:val="263"/>
                <w:rFonts w:hint="eastAsia" w:ascii="宋体" w:hAnsi="宋体" w:eastAsia="宋体" w:cs="宋体"/>
                <w:sz w:val="21"/>
                <w:szCs w:val="21"/>
                <w:highlight w:val="none"/>
                <w:lang w:val="en-US" w:eastAsia="zh-CN"/>
              </w:rPr>
              <w:t xml:space="preserve"> 3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5 </w:t>
            </w:r>
            <w:r>
              <w:rPr>
                <w:rStyle w:val="119"/>
                <w:rFonts w:hint="eastAsia" w:ascii="宋体" w:hAnsi="宋体" w:eastAsia="宋体" w:cs="宋体"/>
                <w:sz w:val="21"/>
                <w:szCs w:val="21"/>
                <w:highlight w:val="none"/>
                <w:lang w:val="en-US" w:eastAsia="zh-CN"/>
              </w:rPr>
              <w:t>级最好，</w:t>
            </w:r>
            <w:r>
              <w:rPr>
                <w:rStyle w:val="263"/>
                <w:rFonts w:hint="eastAsia" w:ascii="宋体" w:hAnsi="宋体" w:eastAsia="宋体" w:cs="宋体"/>
                <w:sz w:val="21"/>
                <w:szCs w:val="21"/>
                <w:highlight w:val="none"/>
                <w:lang w:val="en-US" w:eastAsia="zh-CN"/>
              </w:rPr>
              <w:t xml:space="preserve">1 </w:t>
            </w:r>
            <w:r>
              <w:rPr>
                <w:rStyle w:val="119"/>
                <w:rFonts w:hint="eastAsia" w:ascii="宋体" w:hAnsi="宋体" w:eastAsia="宋体" w:cs="宋体"/>
                <w:sz w:val="21"/>
                <w:szCs w:val="21"/>
                <w:highlight w:val="none"/>
                <w:lang w:val="en-US" w:eastAsia="zh-CN"/>
              </w:rPr>
              <w:t>级最差</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；表面耐磨性（磨</w:t>
            </w:r>
            <w:r>
              <w:rPr>
                <w:rStyle w:val="263"/>
                <w:rFonts w:hint="eastAsia" w:ascii="宋体" w:hAnsi="宋体" w:eastAsia="宋体" w:cs="宋体"/>
                <w:sz w:val="21"/>
                <w:szCs w:val="21"/>
                <w:highlight w:val="none"/>
                <w:lang w:val="en-US" w:eastAsia="zh-CN"/>
              </w:rPr>
              <w:t xml:space="preserve"> 100r </w:t>
            </w:r>
            <w:r>
              <w:rPr>
                <w:rStyle w:val="119"/>
                <w:rFonts w:hint="eastAsia" w:ascii="宋体" w:hAnsi="宋体" w:eastAsia="宋体" w:cs="宋体"/>
                <w:sz w:val="21"/>
                <w:szCs w:val="21"/>
                <w:highlight w:val="none"/>
                <w:lang w:val="en-US" w:eastAsia="zh-CN"/>
              </w:rPr>
              <w:t>后应保留</w:t>
            </w:r>
            <w:r>
              <w:rPr>
                <w:rStyle w:val="263"/>
                <w:rFonts w:hint="eastAsia" w:ascii="宋体" w:hAnsi="宋体" w:eastAsia="宋体" w:cs="宋体"/>
                <w:sz w:val="21"/>
                <w:szCs w:val="21"/>
                <w:highlight w:val="none"/>
                <w:lang w:val="en-US" w:eastAsia="zh-CN"/>
              </w:rPr>
              <w:t xml:space="preserve"> 50%</w:t>
            </w:r>
            <w:r>
              <w:rPr>
                <w:rStyle w:val="119"/>
                <w:rFonts w:hint="eastAsia" w:ascii="宋体" w:hAnsi="宋体" w:eastAsia="宋体" w:cs="宋体"/>
                <w:sz w:val="21"/>
                <w:szCs w:val="21"/>
                <w:highlight w:val="none"/>
                <w:lang w:val="en-US" w:eastAsia="zh-CN"/>
              </w:rPr>
              <w:t>以上花纹）；抗冲击（冲击高度</w:t>
            </w:r>
            <w:r>
              <w:rPr>
                <w:rStyle w:val="263"/>
                <w:rFonts w:hint="eastAsia" w:ascii="宋体" w:hAnsi="宋体" w:eastAsia="宋体" w:cs="宋体"/>
                <w:sz w:val="21"/>
                <w:szCs w:val="21"/>
                <w:highlight w:val="none"/>
                <w:lang w:val="en-US" w:eastAsia="zh-CN"/>
              </w:rPr>
              <w:t xml:space="preserve"> 50mm</w:t>
            </w:r>
            <w:r>
              <w:rPr>
                <w:rStyle w:val="119"/>
                <w:rFonts w:hint="eastAsia" w:ascii="宋体" w:hAnsi="宋体" w:eastAsia="宋体" w:cs="宋体"/>
                <w:sz w:val="21"/>
                <w:szCs w:val="21"/>
                <w:highlight w:val="none"/>
                <w:lang w:val="en-US" w:eastAsia="zh-CN"/>
              </w:rPr>
              <w:t>，应不低于</w:t>
            </w:r>
            <w:r>
              <w:rPr>
                <w:rStyle w:val="263"/>
                <w:rFonts w:hint="eastAsia" w:ascii="宋体" w:hAnsi="宋体" w:eastAsia="宋体" w:cs="宋体"/>
                <w:sz w:val="21"/>
                <w:szCs w:val="21"/>
                <w:highlight w:val="none"/>
                <w:lang w:val="en-US" w:eastAsia="zh-CN"/>
              </w:rPr>
              <w:t xml:space="preserve"> 3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1 </w:t>
            </w:r>
            <w:r>
              <w:rPr>
                <w:rStyle w:val="119"/>
                <w:rFonts w:hint="eastAsia" w:ascii="宋体" w:hAnsi="宋体" w:eastAsia="宋体" w:cs="宋体"/>
                <w:sz w:val="21"/>
                <w:szCs w:val="21"/>
                <w:highlight w:val="none"/>
                <w:lang w:val="en-US" w:eastAsia="zh-CN"/>
              </w:rPr>
              <w:t>级最好，</w:t>
            </w:r>
            <w:r>
              <w:rPr>
                <w:rStyle w:val="263"/>
                <w:rFonts w:hint="eastAsia" w:ascii="宋体" w:hAnsi="宋体" w:eastAsia="宋体" w:cs="宋体"/>
                <w:sz w:val="21"/>
                <w:szCs w:val="21"/>
                <w:highlight w:val="none"/>
                <w:lang w:val="en-US" w:eastAsia="zh-CN"/>
              </w:rPr>
              <w:t xml:space="preserve">5 </w:t>
            </w:r>
            <w:r>
              <w:rPr>
                <w:rStyle w:val="119"/>
                <w:rFonts w:hint="eastAsia" w:ascii="宋体" w:hAnsi="宋体" w:eastAsia="宋体" w:cs="宋体"/>
                <w:sz w:val="21"/>
                <w:szCs w:val="21"/>
                <w:highlight w:val="none"/>
                <w:lang w:val="en-US" w:eastAsia="zh-CN"/>
              </w:rPr>
              <w:t>级最差</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；耐光色牢度</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（灰色样卡）</w:t>
            </w:r>
            <w:r>
              <w:rPr>
                <w:rStyle w:val="263"/>
                <w:rFonts w:hint="eastAsia" w:ascii="宋体" w:hAnsi="宋体" w:eastAsia="宋体" w:cs="宋体"/>
                <w:sz w:val="21"/>
                <w:szCs w:val="21"/>
                <w:highlight w:val="none"/>
                <w:lang w:val="en-US" w:eastAsia="zh-CN"/>
              </w:rPr>
              <w:t xml:space="preserve">≥4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）金属拉手耐腐蚀性要求：经盐雾试验，</w:t>
            </w:r>
            <w:r>
              <w:rPr>
                <w:rStyle w:val="263"/>
                <w:rFonts w:hint="eastAsia" w:ascii="宋体" w:hAnsi="宋体" w:eastAsia="宋体" w:cs="宋体"/>
                <w:sz w:val="21"/>
                <w:szCs w:val="21"/>
                <w:highlight w:val="none"/>
                <w:lang w:val="en-US" w:eastAsia="zh-CN"/>
              </w:rPr>
              <w:t>18h</w:t>
            </w:r>
            <w:r>
              <w:rPr>
                <w:rStyle w:val="119"/>
                <w:rFonts w:hint="eastAsia" w:ascii="宋体" w:hAnsi="宋体" w:eastAsia="宋体" w:cs="宋体"/>
                <w:sz w:val="21"/>
                <w:szCs w:val="21"/>
                <w:highlight w:val="none"/>
                <w:lang w:val="en-US" w:eastAsia="zh-CN"/>
              </w:rPr>
              <w:t>，直径</w:t>
            </w:r>
            <w:r>
              <w:rPr>
                <w:rStyle w:val="263"/>
                <w:rFonts w:hint="eastAsia" w:ascii="宋体" w:hAnsi="宋体" w:eastAsia="宋体" w:cs="宋体"/>
                <w:sz w:val="21"/>
                <w:szCs w:val="21"/>
                <w:highlight w:val="none"/>
                <w:lang w:val="en-US" w:eastAsia="zh-CN"/>
              </w:rPr>
              <w:t xml:space="preserve"> 1.5mm </w:t>
            </w:r>
            <w:r>
              <w:rPr>
                <w:rStyle w:val="119"/>
                <w:rFonts w:hint="eastAsia" w:ascii="宋体" w:hAnsi="宋体" w:eastAsia="宋体" w:cs="宋体"/>
                <w:sz w:val="21"/>
                <w:szCs w:val="21"/>
                <w:highlight w:val="none"/>
                <w:lang w:val="en-US" w:eastAsia="zh-CN"/>
              </w:rPr>
              <w:t>以下锈点</w:t>
            </w:r>
            <w:r>
              <w:rPr>
                <w:rStyle w:val="263"/>
                <w:rFonts w:hint="eastAsia" w:ascii="宋体" w:hAnsi="宋体" w:eastAsia="宋体" w:cs="宋体"/>
                <w:sz w:val="21"/>
                <w:szCs w:val="21"/>
                <w:highlight w:val="none"/>
                <w:lang w:val="en-US" w:eastAsia="zh-CN"/>
              </w:rPr>
              <w:t xml:space="preserve">≤20 </w:t>
            </w:r>
            <w:r>
              <w:rPr>
                <w:rStyle w:val="119"/>
                <w:rFonts w:hint="eastAsia" w:ascii="宋体" w:hAnsi="宋体" w:eastAsia="宋体" w:cs="宋体"/>
                <w:sz w:val="21"/>
                <w:szCs w:val="21"/>
                <w:highlight w:val="none"/>
                <w:lang w:val="en-US" w:eastAsia="zh-CN"/>
              </w:rPr>
              <w:t>点</w:t>
            </w:r>
            <w:r>
              <w:rPr>
                <w:rStyle w:val="263"/>
                <w:rFonts w:hint="eastAsia" w:ascii="宋体" w:hAnsi="宋体" w:eastAsia="宋体" w:cs="宋体"/>
                <w:sz w:val="21"/>
                <w:szCs w:val="21"/>
                <w:highlight w:val="none"/>
                <w:lang w:val="en-US" w:eastAsia="zh-CN"/>
              </w:rPr>
              <w:t>/dm²</w:t>
            </w:r>
            <w:r>
              <w:rPr>
                <w:rStyle w:val="119"/>
                <w:rFonts w:hint="eastAsia" w:ascii="宋体" w:hAnsi="宋体" w:eastAsia="宋体" w:cs="宋体"/>
                <w:sz w:val="21"/>
                <w:szCs w:val="21"/>
                <w:highlight w:val="none"/>
                <w:lang w:val="en-US" w:eastAsia="zh-CN"/>
              </w:rPr>
              <w:t>，其中直径</w:t>
            </w:r>
            <w:r>
              <w:rPr>
                <w:rStyle w:val="263"/>
                <w:rFonts w:hint="eastAsia" w:ascii="宋体" w:hAnsi="宋体" w:eastAsia="宋体" w:cs="宋体"/>
                <w:sz w:val="21"/>
                <w:szCs w:val="21"/>
                <w:highlight w:val="none"/>
                <w:lang w:val="en-US" w:eastAsia="zh-CN"/>
              </w:rPr>
              <w:t xml:space="preserve">≥1.0mm </w:t>
            </w:r>
            <w:r>
              <w:rPr>
                <w:rStyle w:val="119"/>
                <w:rFonts w:hint="eastAsia" w:ascii="宋体" w:hAnsi="宋体" w:eastAsia="宋体" w:cs="宋体"/>
                <w:sz w:val="21"/>
                <w:szCs w:val="21"/>
                <w:highlight w:val="none"/>
                <w:lang w:val="en-US" w:eastAsia="zh-CN"/>
              </w:rPr>
              <w:t>以</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上锈点不超过</w:t>
            </w:r>
            <w:r>
              <w:rPr>
                <w:rStyle w:val="263"/>
                <w:rFonts w:hint="eastAsia" w:ascii="宋体" w:hAnsi="宋体" w:eastAsia="宋体" w:cs="宋体"/>
                <w:sz w:val="21"/>
                <w:szCs w:val="21"/>
                <w:highlight w:val="none"/>
                <w:lang w:val="en-US" w:eastAsia="zh-CN"/>
              </w:rPr>
              <w:t xml:space="preserve"> 5 </w:t>
            </w:r>
            <w:r>
              <w:rPr>
                <w:rStyle w:val="119"/>
                <w:rFonts w:hint="eastAsia" w:ascii="宋体" w:hAnsi="宋体" w:eastAsia="宋体" w:cs="宋体"/>
                <w:sz w:val="21"/>
                <w:szCs w:val="21"/>
                <w:highlight w:val="none"/>
                <w:lang w:val="en-US" w:eastAsia="zh-CN"/>
              </w:rPr>
              <w:t>点（离边缘</w:t>
            </w:r>
            <w:r>
              <w:rPr>
                <w:rStyle w:val="263"/>
                <w:rFonts w:hint="eastAsia" w:ascii="宋体" w:hAnsi="宋体" w:eastAsia="宋体" w:cs="宋体"/>
                <w:sz w:val="21"/>
                <w:szCs w:val="21"/>
                <w:highlight w:val="none"/>
                <w:lang w:val="en-US" w:eastAsia="zh-CN"/>
              </w:rPr>
              <w:t xml:space="preserve"> 2mm </w:t>
            </w:r>
            <w:r>
              <w:rPr>
                <w:rStyle w:val="119"/>
                <w:rFonts w:hint="eastAsia" w:ascii="宋体" w:hAnsi="宋体" w:eastAsia="宋体" w:cs="宋体"/>
                <w:sz w:val="21"/>
                <w:szCs w:val="21"/>
                <w:highlight w:val="none"/>
                <w:lang w:val="en-US" w:eastAsia="zh-CN"/>
              </w:rPr>
              <w:t>以内不计）；</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）甲醛释放量</w:t>
            </w:r>
            <w:r>
              <w:rPr>
                <w:rStyle w:val="263"/>
                <w:rFonts w:hint="eastAsia" w:ascii="宋体" w:hAnsi="宋体" w:eastAsia="宋体" w:cs="宋体"/>
                <w:sz w:val="21"/>
                <w:szCs w:val="21"/>
                <w:highlight w:val="none"/>
                <w:lang w:val="en-US" w:eastAsia="zh-CN"/>
              </w:rPr>
              <w:t>≤1.5mg/L</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）柜类强度和耐久性：搁板定位试验：搁板空载时自重的</w:t>
            </w:r>
            <w:r>
              <w:rPr>
                <w:rStyle w:val="263"/>
                <w:rFonts w:hint="eastAsia" w:ascii="宋体" w:hAnsi="宋体" w:eastAsia="宋体" w:cs="宋体"/>
                <w:sz w:val="21"/>
                <w:szCs w:val="21"/>
                <w:highlight w:val="none"/>
                <w:lang w:val="en-US" w:eastAsia="zh-CN"/>
              </w:rPr>
              <w:t xml:space="preserve"> 50%</w:t>
            </w:r>
            <w:r>
              <w:rPr>
                <w:rStyle w:val="119"/>
                <w:rFonts w:hint="eastAsia" w:ascii="宋体" w:hAnsi="宋体" w:eastAsia="宋体" w:cs="宋体"/>
                <w:sz w:val="21"/>
                <w:szCs w:val="21"/>
                <w:highlight w:val="none"/>
                <w:lang w:val="en-US" w:eastAsia="zh-CN"/>
              </w:rPr>
              <w:t>；搁板支承件强度试验：冲击钢板</w:t>
            </w:r>
            <w:r>
              <w:rPr>
                <w:rStyle w:val="263"/>
                <w:rFonts w:hint="eastAsia" w:ascii="宋体" w:hAnsi="宋体" w:eastAsia="宋体" w:cs="宋体"/>
                <w:sz w:val="21"/>
                <w:szCs w:val="21"/>
                <w:highlight w:val="none"/>
                <w:lang w:val="en-US" w:eastAsia="zh-CN"/>
              </w:rPr>
              <w:t xml:space="preserve"> 1.7kg</w:t>
            </w:r>
            <w:r>
              <w:rPr>
                <w:rStyle w:val="119"/>
                <w:rFonts w:hint="eastAsia" w:ascii="宋体" w:hAnsi="宋体" w:eastAsia="宋体" w:cs="宋体"/>
                <w:sz w:val="21"/>
                <w:szCs w:val="21"/>
                <w:highlight w:val="none"/>
                <w:lang w:val="en-US" w:eastAsia="zh-CN"/>
              </w:rPr>
              <w:t>；结构和底架强度试验：加载力</w:t>
            </w:r>
            <w:r>
              <w:rPr>
                <w:rStyle w:val="263"/>
                <w:rFonts w:hint="eastAsia" w:ascii="宋体" w:hAnsi="宋体" w:eastAsia="宋体" w:cs="宋体"/>
                <w:sz w:val="21"/>
                <w:szCs w:val="21"/>
                <w:highlight w:val="none"/>
                <w:lang w:val="en-US" w:eastAsia="zh-CN"/>
              </w:rPr>
              <w:t xml:space="preserve"> 300N</w:t>
            </w:r>
            <w:r>
              <w:rPr>
                <w:rStyle w:val="119"/>
                <w:rFonts w:hint="eastAsia" w:ascii="宋体" w:hAnsi="宋体" w:eastAsia="宋体" w:cs="宋体"/>
                <w:sz w:val="21"/>
                <w:szCs w:val="21"/>
                <w:highlight w:val="none"/>
                <w:lang w:val="en-US" w:eastAsia="zh-CN"/>
              </w:rPr>
              <w:t>；跌落试验：跌落高度</w:t>
            </w:r>
            <w:r>
              <w:rPr>
                <w:rStyle w:val="263"/>
                <w:rFonts w:hint="eastAsia" w:ascii="宋体" w:hAnsi="宋体" w:eastAsia="宋体" w:cs="宋体"/>
                <w:sz w:val="21"/>
                <w:szCs w:val="21"/>
                <w:highlight w:val="none"/>
                <w:lang w:val="en-US" w:eastAsia="zh-CN"/>
              </w:rPr>
              <w:t xml:space="preserve"> 50mm</w:t>
            </w:r>
            <w:r>
              <w:rPr>
                <w:rStyle w:val="119"/>
                <w:rFonts w:hint="eastAsia" w:ascii="宋体" w:hAnsi="宋体" w:eastAsia="宋体" w:cs="宋体"/>
                <w:sz w:val="21"/>
                <w:szCs w:val="21"/>
                <w:highlight w:val="none"/>
                <w:lang w:val="en-US" w:eastAsia="zh-CN"/>
              </w:rPr>
              <w:t>；拉门垂直加载试验：载荷</w:t>
            </w:r>
            <w:r>
              <w:rPr>
                <w:rStyle w:val="263"/>
                <w:rFonts w:hint="eastAsia" w:ascii="宋体" w:hAnsi="宋体" w:eastAsia="宋体" w:cs="宋体"/>
                <w:sz w:val="21"/>
                <w:szCs w:val="21"/>
                <w:highlight w:val="none"/>
                <w:lang w:val="en-US" w:eastAsia="zh-CN"/>
              </w:rPr>
              <w:t xml:space="preserve"> 20kg</w:t>
            </w:r>
            <w:r>
              <w:rPr>
                <w:rStyle w:val="119"/>
                <w:rFonts w:hint="eastAsia" w:ascii="宋体" w:hAnsi="宋体" w:eastAsia="宋体" w:cs="宋体"/>
                <w:sz w:val="21"/>
                <w:szCs w:val="21"/>
                <w:highlight w:val="none"/>
                <w:lang w:val="en-US" w:eastAsia="zh-CN"/>
              </w:rPr>
              <w:t>；拉门水平</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加载试验：加载力</w:t>
            </w:r>
            <w:r>
              <w:rPr>
                <w:rStyle w:val="263"/>
                <w:rFonts w:hint="eastAsia" w:ascii="宋体" w:hAnsi="宋体" w:eastAsia="宋体" w:cs="宋体"/>
                <w:sz w:val="21"/>
                <w:szCs w:val="21"/>
                <w:highlight w:val="none"/>
                <w:lang w:val="en-US" w:eastAsia="zh-CN"/>
              </w:rPr>
              <w:t xml:space="preserve"> 60N</w:t>
            </w:r>
            <w:r>
              <w:rPr>
                <w:rStyle w:val="119"/>
                <w:rFonts w:hint="eastAsia" w:ascii="宋体" w:hAnsi="宋体" w:eastAsia="宋体" w:cs="宋体"/>
                <w:sz w:val="21"/>
                <w:szCs w:val="21"/>
                <w:highlight w:val="none"/>
                <w:lang w:val="en-US" w:eastAsia="zh-CN"/>
              </w:rPr>
              <w:t>；拉门猛关试验：载荷</w:t>
            </w:r>
            <w:r>
              <w:rPr>
                <w:rStyle w:val="263"/>
                <w:rFonts w:hint="eastAsia" w:ascii="宋体" w:hAnsi="宋体" w:eastAsia="宋体" w:cs="宋体"/>
                <w:sz w:val="21"/>
                <w:szCs w:val="21"/>
                <w:highlight w:val="none"/>
                <w:lang w:val="en-US" w:eastAsia="zh-CN"/>
              </w:rPr>
              <w:t xml:space="preserve"> 3kg</w:t>
            </w:r>
            <w:r>
              <w:rPr>
                <w:rStyle w:val="119"/>
                <w:rFonts w:hint="eastAsia" w:ascii="宋体" w:hAnsi="宋体" w:eastAsia="宋体" w:cs="宋体"/>
                <w:sz w:val="21"/>
                <w:szCs w:val="21"/>
                <w:highlight w:val="none"/>
                <w:lang w:val="en-US" w:eastAsia="zh-CN"/>
              </w:rPr>
              <w:t>；拉门耐久性试验：循环次数</w:t>
            </w:r>
            <w:r>
              <w:rPr>
                <w:rStyle w:val="263"/>
                <w:rFonts w:hint="eastAsia" w:ascii="宋体" w:hAnsi="宋体" w:eastAsia="宋体" w:cs="宋体"/>
                <w:sz w:val="21"/>
                <w:szCs w:val="21"/>
                <w:highlight w:val="none"/>
                <w:lang w:val="en-US" w:eastAsia="zh-CN"/>
              </w:rPr>
              <w:t xml:space="preserve"> 80000 </w:t>
            </w:r>
            <w:r>
              <w:rPr>
                <w:rStyle w:val="119"/>
                <w:rFonts w:hint="eastAsia" w:ascii="宋体" w:hAnsi="宋体" w:eastAsia="宋体" w:cs="宋体"/>
                <w:sz w:val="21"/>
                <w:szCs w:val="21"/>
                <w:highlight w:val="none"/>
                <w:lang w:val="en-US" w:eastAsia="zh-CN"/>
              </w:rPr>
              <w:t>次；柜类稳定性：</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）搁板水平加载稳定性试验：施加搁板自重</w:t>
            </w:r>
            <w:r>
              <w:rPr>
                <w:rStyle w:val="263"/>
                <w:rFonts w:hint="eastAsia" w:ascii="宋体" w:hAnsi="宋体" w:eastAsia="宋体" w:cs="宋体"/>
                <w:sz w:val="21"/>
                <w:szCs w:val="21"/>
                <w:highlight w:val="none"/>
                <w:lang w:val="en-US" w:eastAsia="zh-CN"/>
              </w:rPr>
              <w:t xml:space="preserve"> 50%</w:t>
            </w:r>
            <w:r>
              <w:rPr>
                <w:rStyle w:val="119"/>
                <w:rFonts w:hint="eastAsia" w:ascii="宋体" w:hAnsi="宋体" w:eastAsia="宋体" w:cs="宋体"/>
                <w:sz w:val="21"/>
                <w:szCs w:val="21"/>
                <w:highlight w:val="none"/>
                <w:lang w:val="en-US" w:eastAsia="zh-CN"/>
              </w:rPr>
              <w:t>的水平力，空载搁板不应脱落；</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）搁板垂直加载稳定性</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试验：垂直力</w:t>
            </w:r>
            <w:r>
              <w:rPr>
                <w:rStyle w:val="263"/>
                <w:rFonts w:hint="eastAsia" w:ascii="宋体" w:hAnsi="宋体" w:eastAsia="宋体" w:cs="宋体"/>
                <w:sz w:val="21"/>
                <w:szCs w:val="21"/>
                <w:highlight w:val="none"/>
                <w:lang w:val="en-US" w:eastAsia="zh-CN"/>
              </w:rPr>
              <w:t xml:space="preserve"> 100N</w:t>
            </w:r>
            <w:r>
              <w:rPr>
                <w:rStyle w:val="119"/>
                <w:rFonts w:hint="eastAsia" w:ascii="宋体" w:hAnsi="宋体" w:eastAsia="宋体" w:cs="宋体"/>
                <w:sz w:val="21"/>
                <w:szCs w:val="21"/>
                <w:highlight w:val="none"/>
                <w:lang w:val="en-US" w:eastAsia="zh-CN"/>
              </w:rPr>
              <w:t>，空载搁板无倾翻现象；</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）非固定柜空载稳定性：活动部件关闭时的空载稳定性试验：</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柜高</w:t>
            </w:r>
            <w:r>
              <w:rPr>
                <w:rStyle w:val="263"/>
                <w:rFonts w:hint="eastAsia" w:ascii="宋体" w:hAnsi="宋体" w:eastAsia="宋体" w:cs="宋体"/>
                <w:sz w:val="21"/>
                <w:szCs w:val="21"/>
                <w:highlight w:val="none"/>
                <w:lang w:val="en-US" w:eastAsia="zh-CN"/>
              </w:rPr>
              <w:t xml:space="preserve">&gt;1000mm </w:t>
            </w:r>
            <w:r>
              <w:rPr>
                <w:rStyle w:val="119"/>
                <w:rFonts w:hint="eastAsia" w:ascii="宋体" w:hAnsi="宋体" w:eastAsia="宋体" w:cs="宋体"/>
                <w:sz w:val="21"/>
                <w:szCs w:val="21"/>
                <w:highlight w:val="none"/>
                <w:lang w:val="en-US" w:eastAsia="zh-CN"/>
              </w:rPr>
              <w:t>时，在柜子顶部最易引起倾翻的部位离外边沿</w:t>
            </w:r>
            <w:r>
              <w:rPr>
                <w:rStyle w:val="263"/>
                <w:rFonts w:hint="eastAsia" w:ascii="宋体" w:hAnsi="宋体" w:eastAsia="宋体" w:cs="宋体"/>
                <w:sz w:val="21"/>
                <w:szCs w:val="21"/>
                <w:highlight w:val="none"/>
                <w:lang w:val="en-US" w:eastAsia="zh-CN"/>
              </w:rPr>
              <w:t xml:space="preserve"> 50mm </w:t>
            </w:r>
            <w:r>
              <w:rPr>
                <w:rStyle w:val="119"/>
                <w:rFonts w:hint="eastAsia" w:ascii="宋体" w:hAnsi="宋体" w:eastAsia="宋体" w:cs="宋体"/>
                <w:sz w:val="21"/>
                <w:szCs w:val="21"/>
                <w:highlight w:val="none"/>
                <w:lang w:val="en-US" w:eastAsia="zh-CN"/>
              </w:rPr>
              <w:t>处，垂直施加</w:t>
            </w:r>
            <w:r>
              <w:rPr>
                <w:rStyle w:val="263"/>
                <w:rFonts w:hint="eastAsia" w:ascii="宋体" w:hAnsi="宋体" w:eastAsia="宋体" w:cs="宋体"/>
                <w:sz w:val="21"/>
                <w:szCs w:val="21"/>
                <w:highlight w:val="none"/>
                <w:lang w:val="en-US" w:eastAsia="zh-CN"/>
              </w:rPr>
              <w:t xml:space="preserve"> 350N </w:t>
            </w:r>
            <w:r>
              <w:rPr>
                <w:rStyle w:val="119"/>
                <w:rFonts w:hint="eastAsia" w:ascii="宋体" w:hAnsi="宋体" w:eastAsia="宋体" w:cs="宋体"/>
                <w:sz w:val="21"/>
                <w:szCs w:val="21"/>
                <w:highlight w:val="none"/>
                <w:lang w:val="en-US" w:eastAsia="zh-CN"/>
              </w:rPr>
              <w:t>的力和</w:t>
            </w:r>
            <w:r>
              <w:rPr>
                <w:rStyle w:val="263"/>
                <w:rFonts w:hint="eastAsia" w:ascii="宋体" w:hAnsi="宋体" w:eastAsia="宋体" w:cs="宋体"/>
                <w:sz w:val="21"/>
                <w:szCs w:val="21"/>
                <w:highlight w:val="none"/>
                <w:lang w:val="en-US" w:eastAsia="zh-CN"/>
              </w:rPr>
              <w:t xml:space="preserve"> 40N∙m </w:t>
            </w:r>
            <w:r>
              <w:rPr>
                <w:rStyle w:val="119"/>
                <w:rFonts w:hint="eastAsia" w:ascii="宋体" w:hAnsi="宋体" w:eastAsia="宋体" w:cs="宋体"/>
                <w:sz w:val="21"/>
                <w:szCs w:val="21"/>
                <w:highlight w:val="none"/>
                <w:lang w:val="en-US" w:eastAsia="zh-CN"/>
              </w:rPr>
              <w:t>的瞬时力矩，无倾翻现象。活动部件打开时的空载稳定性试验：所有拉门开到</w:t>
            </w:r>
            <w:r>
              <w:rPr>
                <w:rStyle w:val="263"/>
                <w:rFonts w:hint="eastAsia" w:ascii="宋体" w:hAnsi="宋体" w:eastAsia="宋体" w:cs="宋体"/>
                <w:sz w:val="21"/>
                <w:szCs w:val="21"/>
                <w:highlight w:val="none"/>
                <w:lang w:val="en-US" w:eastAsia="zh-CN"/>
              </w:rPr>
              <w:t xml:space="preserve"> 90 </w:t>
            </w:r>
            <w:r>
              <w:rPr>
                <w:rStyle w:val="119"/>
                <w:rFonts w:hint="eastAsia" w:ascii="宋体" w:hAnsi="宋体" w:eastAsia="宋体" w:cs="宋体"/>
                <w:sz w:val="21"/>
                <w:szCs w:val="21"/>
                <w:highlight w:val="none"/>
                <w:lang w:val="en-US" w:eastAsia="zh-CN"/>
              </w:rPr>
              <w:t>度，抽屉等推拉件拉出三分之二，翻门或折板开到水平或接近水平状态，无倾翻现象。</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）非固定柜加载稳定性：活动部件打开时的加载稳定性试验：在打开的抽屉前沿中心或门，翻</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折板的离外沿</w:t>
            </w:r>
            <w:r>
              <w:rPr>
                <w:rStyle w:val="263"/>
                <w:rFonts w:hint="eastAsia" w:ascii="宋体" w:hAnsi="宋体" w:eastAsia="宋体" w:cs="宋体"/>
                <w:sz w:val="21"/>
                <w:szCs w:val="21"/>
                <w:highlight w:val="none"/>
                <w:lang w:val="en-US" w:eastAsia="zh-CN"/>
              </w:rPr>
              <w:t xml:space="preserve"> 50mm </w:t>
            </w:r>
            <w:r>
              <w:rPr>
                <w:rStyle w:val="119"/>
                <w:rFonts w:hint="eastAsia" w:ascii="宋体" w:hAnsi="宋体" w:eastAsia="宋体" w:cs="宋体"/>
                <w:sz w:val="21"/>
                <w:szCs w:val="21"/>
                <w:highlight w:val="none"/>
                <w:lang w:val="en-US" w:eastAsia="zh-CN"/>
              </w:rPr>
              <w:t>最易倾翻的位置，垂直向下依次施加活动部件总质量的</w:t>
            </w:r>
            <w:r>
              <w:rPr>
                <w:rStyle w:val="263"/>
                <w:rFonts w:hint="eastAsia" w:ascii="宋体" w:hAnsi="宋体" w:eastAsia="宋体" w:cs="宋体"/>
                <w:sz w:val="21"/>
                <w:szCs w:val="21"/>
                <w:highlight w:val="none"/>
                <w:lang w:val="en-US" w:eastAsia="zh-CN"/>
              </w:rPr>
              <w:t xml:space="preserve"> 20%</w:t>
            </w:r>
            <w:r>
              <w:rPr>
                <w:rStyle w:val="119"/>
                <w:rFonts w:hint="eastAsia" w:ascii="宋体" w:hAnsi="宋体" w:eastAsia="宋体" w:cs="宋体"/>
                <w:sz w:val="21"/>
                <w:szCs w:val="21"/>
                <w:highlight w:val="none"/>
                <w:lang w:val="en-US" w:eastAsia="zh-CN"/>
              </w:rPr>
              <w:t>的力，无倾翻现象。</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）挥发性有机化合物：苯</w:t>
            </w:r>
            <w:r>
              <w:rPr>
                <w:rStyle w:val="263"/>
                <w:rFonts w:hint="eastAsia" w:ascii="宋体" w:hAnsi="宋体" w:eastAsia="宋体" w:cs="宋体"/>
                <w:sz w:val="21"/>
                <w:szCs w:val="21"/>
                <w:highlight w:val="none"/>
                <w:lang w:val="en-US" w:eastAsia="zh-CN"/>
              </w:rPr>
              <w:t>≤0.05mg/m³</w:t>
            </w:r>
            <w:r>
              <w:rPr>
                <w:rStyle w:val="119"/>
                <w:rFonts w:hint="eastAsia" w:ascii="宋体" w:hAnsi="宋体" w:eastAsia="宋体" w:cs="宋体"/>
                <w:sz w:val="21"/>
                <w:szCs w:val="21"/>
                <w:highlight w:val="none"/>
                <w:lang w:val="en-US" w:eastAsia="zh-CN"/>
              </w:rPr>
              <w:t>；甲苯</w:t>
            </w:r>
            <w:r>
              <w:rPr>
                <w:rStyle w:val="263"/>
                <w:rFonts w:hint="eastAsia" w:ascii="宋体" w:hAnsi="宋体" w:eastAsia="宋体" w:cs="宋体"/>
                <w:sz w:val="21"/>
                <w:szCs w:val="21"/>
                <w:highlight w:val="none"/>
                <w:lang w:val="en-US" w:eastAsia="zh-CN"/>
              </w:rPr>
              <w:t>≤0.1mg/m³</w:t>
            </w:r>
            <w:r>
              <w:rPr>
                <w:rStyle w:val="119"/>
                <w:rFonts w:hint="eastAsia" w:ascii="宋体" w:hAnsi="宋体" w:eastAsia="宋体" w:cs="宋体"/>
                <w:sz w:val="21"/>
                <w:szCs w:val="21"/>
                <w:highlight w:val="none"/>
                <w:lang w:val="en-US" w:eastAsia="zh-CN"/>
              </w:rPr>
              <w:t>；二甲苯</w:t>
            </w:r>
            <w:r>
              <w:rPr>
                <w:rStyle w:val="263"/>
                <w:rFonts w:hint="eastAsia" w:ascii="宋体" w:hAnsi="宋体" w:eastAsia="宋体" w:cs="宋体"/>
                <w:sz w:val="21"/>
                <w:szCs w:val="21"/>
                <w:highlight w:val="none"/>
                <w:lang w:val="en-US" w:eastAsia="zh-CN"/>
              </w:rPr>
              <w:t>≤0.1mg/m³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TVOC≤0.3mg/m³</w:t>
            </w:r>
          </w:p>
        </w:tc>
      </w:tr>
      <w:tr w14:paraId="5C26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2C51444">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w:t>
            </w:r>
            <w:r>
              <w:rPr>
                <w:rFonts w:hint="eastAsia" w:ascii="宋体" w:hAnsi="宋体" w:cs="宋体"/>
                <w:i w:val="0"/>
                <w:iCs w:val="0"/>
                <w:color w:val="000000"/>
                <w:kern w:val="0"/>
                <w:sz w:val="21"/>
                <w:szCs w:val="21"/>
                <w:highlight w:val="none"/>
                <w:u w:val="none"/>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6D0041DE">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医用诊桌</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医用诊断桌</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22FAA30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 xml:space="preserve"> GB/T3325-2017</w:t>
            </w:r>
            <w:r>
              <w:rPr>
                <w:rStyle w:val="119"/>
                <w:rFonts w:hint="eastAsia" w:ascii="宋体" w:hAnsi="宋体" w:eastAsia="宋体" w:cs="宋体"/>
                <w:sz w:val="21"/>
                <w:szCs w:val="21"/>
                <w:highlight w:val="none"/>
                <w:lang w:val="en-US" w:eastAsia="zh-CN"/>
              </w:rPr>
              <w:t>《金属家具通用技术条件》、</w:t>
            </w:r>
            <w:r>
              <w:rPr>
                <w:rStyle w:val="263"/>
                <w:rFonts w:hint="eastAsia" w:ascii="宋体" w:hAnsi="宋体" w:eastAsia="宋体" w:cs="宋体"/>
                <w:sz w:val="21"/>
                <w:szCs w:val="21"/>
                <w:highlight w:val="none"/>
                <w:lang w:val="en-US" w:eastAsia="zh-CN"/>
              </w:rPr>
              <w:t>GB/T35607-2017</w:t>
            </w:r>
            <w:r>
              <w:rPr>
                <w:rStyle w:val="119"/>
                <w:rFonts w:hint="eastAsia" w:ascii="宋体" w:hAnsi="宋体" w:eastAsia="宋体" w:cs="宋体"/>
                <w:sz w:val="21"/>
                <w:szCs w:val="21"/>
                <w:highlight w:val="none"/>
                <w:lang w:val="en-US" w:eastAsia="zh-CN"/>
              </w:rPr>
              <w:t>《绿色产品评价家具》标准</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）木制件表面贴面层：耐冷热循环、耐干热、耐湿</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热和耐污染性能均</w:t>
            </w:r>
            <w:r>
              <w:rPr>
                <w:rStyle w:val="263"/>
                <w:rFonts w:hint="eastAsia" w:ascii="宋体" w:hAnsi="宋体" w:eastAsia="宋体" w:cs="宋体"/>
                <w:sz w:val="21"/>
                <w:szCs w:val="21"/>
                <w:highlight w:val="none"/>
                <w:lang w:val="en-US" w:eastAsia="zh-CN"/>
              </w:rPr>
              <w:t xml:space="preserve">≥4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5 </w:t>
            </w:r>
            <w:r>
              <w:rPr>
                <w:rStyle w:val="119"/>
                <w:rFonts w:hint="eastAsia" w:ascii="宋体" w:hAnsi="宋体" w:eastAsia="宋体" w:cs="宋体"/>
                <w:sz w:val="21"/>
                <w:szCs w:val="21"/>
                <w:highlight w:val="none"/>
                <w:lang w:val="en-US" w:eastAsia="zh-CN"/>
              </w:rPr>
              <w:t>级最好，</w:t>
            </w:r>
            <w:r>
              <w:rPr>
                <w:rStyle w:val="263"/>
                <w:rFonts w:hint="eastAsia" w:ascii="宋体" w:hAnsi="宋体" w:eastAsia="宋体" w:cs="宋体"/>
                <w:sz w:val="21"/>
                <w:szCs w:val="21"/>
                <w:highlight w:val="none"/>
                <w:lang w:val="en-US" w:eastAsia="zh-CN"/>
              </w:rPr>
              <w:t xml:space="preserve">1 </w:t>
            </w:r>
            <w:r>
              <w:rPr>
                <w:rStyle w:val="119"/>
                <w:rFonts w:hint="eastAsia" w:ascii="宋体" w:hAnsi="宋体" w:eastAsia="宋体" w:cs="宋体"/>
                <w:sz w:val="21"/>
                <w:szCs w:val="21"/>
                <w:highlight w:val="none"/>
                <w:lang w:val="en-US" w:eastAsia="zh-CN"/>
              </w:rPr>
              <w:t>级最差）；耐划痕（加载</w:t>
            </w:r>
            <w:r>
              <w:rPr>
                <w:rStyle w:val="263"/>
                <w:rFonts w:hint="eastAsia" w:ascii="宋体" w:hAnsi="宋体" w:eastAsia="宋体" w:cs="宋体"/>
                <w:sz w:val="21"/>
                <w:szCs w:val="21"/>
                <w:highlight w:val="none"/>
                <w:lang w:val="en-US" w:eastAsia="zh-CN"/>
              </w:rPr>
              <w:t xml:space="preserve"> 1.5N</w:t>
            </w:r>
            <w:r>
              <w:rPr>
                <w:rStyle w:val="119"/>
                <w:rFonts w:hint="eastAsia" w:ascii="宋体" w:hAnsi="宋体" w:eastAsia="宋体" w:cs="宋体"/>
                <w:sz w:val="21"/>
                <w:szCs w:val="21"/>
                <w:highlight w:val="none"/>
                <w:lang w:val="en-US" w:eastAsia="zh-CN"/>
              </w:rPr>
              <w:t>，表面无大于</w:t>
            </w:r>
            <w:r>
              <w:rPr>
                <w:rStyle w:val="263"/>
                <w:rFonts w:hint="eastAsia" w:ascii="宋体" w:hAnsi="宋体" w:eastAsia="宋体" w:cs="宋体"/>
                <w:sz w:val="21"/>
                <w:szCs w:val="21"/>
                <w:highlight w:val="none"/>
                <w:lang w:val="en-US" w:eastAsia="zh-CN"/>
              </w:rPr>
              <w:t xml:space="preserve"> 90%</w:t>
            </w:r>
            <w:r>
              <w:rPr>
                <w:rStyle w:val="119"/>
                <w:rFonts w:hint="eastAsia" w:ascii="宋体" w:hAnsi="宋体" w:eastAsia="宋体" w:cs="宋体"/>
                <w:sz w:val="21"/>
                <w:szCs w:val="21"/>
                <w:highlight w:val="none"/>
                <w:lang w:val="en-US" w:eastAsia="zh-CN"/>
              </w:rPr>
              <w:t>的连续划痕或表面装饰花纹无破坏现象）；耐污染性能（选用带有</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标记的</w:t>
            </w:r>
            <w:r>
              <w:rPr>
                <w:rStyle w:val="263"/>
                <w:rFonts w:hint="eastAsia" w:ascii="宋体" w:hAnsi="宋体" w:eastAsia="宋体" w:cs="宋体"/>
                <w:sz w:val="21"/>
                <w:szCs w:val="21"/>
                <w:highlight w:val="none"/>
                <w:lang w:val="en-US" w:eastAsia="zh-CN"/>
              </w:rPr>
              <w:t xml:space="preserve"> 6 </w:t>
            </w:r>
            <w:r>
              <w:rPr>
                <w:rStyle w:val="119"/>
                <w:rFonts w:hint="eastAsia" w:ascii="宋体" w:hAnsi="宋体" w:eastAsia="宋体" w:cs="宋体"/>
                <w:sz w:val="21"/>
                <w:szCs w:val="21"/>
                <w:highlight w:val="none"/>
                <w:lang w:val="en-US" w:eastAsia="zh-CN"/>
              </w:rPr>
              <w:t>类污染物，丙酮试验时间为</w:t>
            </w:r>
            <w:r>
              <w:rPr>
                <w:rStyle w:val="263"/>
                <w:rFonts w:hint="eastAsia" w:ascii="宋体" w:hAnsi="宋体" w:eastAsia="宋体" w:cs="宋体"/>
                <w:sz w:val="21"/>
                <w:szCs w:val="21"/>
                <w:highlight w:val="none"/>
                <w:lang w:val="en-US" w:eastAsia="zh-CN"/>
              </w:rPr>
              <w:t xml:space="preserve"> 16h</w:t>
            </w:r>
            <w:r>
              <w:rPr>
                <w:rStyle w:val="119"/>
                <w:rFonts w:hint="eastAsia" w:ascii="宋体" w:hAnsi="宋体" w:eastAsia="宋体" w:cs="宋体"/>
                <w:sz w:val="21"/>
                <w:szCs w:val="21"/>
                <w:highlight w:val="none"/>
                <w:lang w:val="en-US" w:eastAsia="zh-CN"/>
              </w:rPr>
              <w:t>。应不低于</w:t>
            </w:r>
            <w:r>
              <w:rPr>
                <w:rStyle w:val="263"/>
                <w:rFonts w:hint="eastAsia" w:ascii="宋体" w:hAnsi="宋体" w:eastAsia="宋体" w:cs="宋体"/>
                <w:sz w:val="21"/>
                <w:szCs w:val="21"/>
                <w:highlight w:val="none"/>
                <w:lang w:val="en-US" w:eastAsia="zh-CN"/>
              </w:rPr>
              <w:t xml:space="preserve"> 3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5 </w:t>
            </w:r>
            <w:r>
              <w:rPr>
                <w:rStyle w:val="119"/>
                <w:rFonts w:hint="eastAsia" w:ascii="宋体" w:hAnsi="宋体" w:eastAsia="宋体" w:cs="宋体"/>
                <w:sz w:val="21"/>
                <w:szCs w:val="21"/>
                <w:highlight w:val="none"/>
                <w:lang w:val="en-US" w:eastAsia="zh-CN"/>
              </w:rPr>
              <w:t>级最好，</w:t>
            </w:r>
            <w:r>
              <w:rPr>
                <w:rStyle w:val="263"/>
                <w:rFonts w:hint="eastAsia" w:ascii="宋体" w:hAnsi="宋体" w:eastAsia="宋体" w:cs="宋体"/>
                <w:sz w:val="21"/>
                <w:szCs w:val="21"/>
                <w:highlight w:val="none"/>
                <w:lang w:val="en-US" w:eastAsia="zh-CN"/>
              </w:rPr>
              <w:t xml:space="preserve">1 </w:t>
            </w:r>
            <w:r>
              <w:rPr>
                <w:rStyle w:val="119"/>
                <w:rFonts w:hint="eastAsia" w:ascii="宋体" w:hAnsi="宋体" w:eastAsia="宋体" w:cs="宋体"/>
                <w:sz w:val="21"/>
                <w:szCs w:val="21"/>
                <w:highlight w:val="none"/>
                <w:lang w:val="en-US" w:eastAsia="zh-CN"/>
              </w:rPr>
              <w:t>级最差</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）；表面耐磨性：图案（磨</w:t>
            </w:r>
            <w:r>
              <w:rPr>
                <w:rStyle w:val="263"/>
                <w:rFonts w:hint="eastAsia" w:ascii="宋体" w:hAnsi="宋体" w:eastAsia="宋体" w:cs="宋体"/>
                <w:sz w:val="21"/>
                <w:szCs w:val="21"/>
                <w:highlight w:val="none"/>
                <w:lang w:val="en-US" w:eastAsia="zh-CN"/>
              </w:rPr>
              <w:t xml:space="preserve">100r </w:t>
            </w:r>
            <w:r>
              <w:rPr>
                <w:rStyle w:val="119"/>
                <w:rFonts w:hint="eastAsia" w:ascii="宋体" w:hAnsi="宋体" w:eastAsia="宋体" w:cs="宋体"/>
                <w:sz w:val="21"/>
                <w:szCs w:val="21"/>
                <w:highlight w:val="none"/>
                <w:lang w:val="en-US" w:eastAsia="zh-CN"/>
              </w:rPr>
              <w:t>后应保留</w:t>
            </w:r>
            <w:r>
              <w:rPr>
                <w:rStyle w:val="263"/>
                <w:rFonts w:hint="eastAsia" w:ascii="宋体" w:hAnsi="宋体" w:eastAsia="宋体" w:cs="宋体"/>
                <w:sz w:val="21"/>
                <w:szCs w:val="21"/>
                <w:highlight w:val="none"/>
                <w:lang w:val="en-US" w:eastAsia="zh-CN"/>
              </w:rPr>
              <w:t xml:space="preserve"> 50%</w:t>
            </w:r>
            <w:r>
              <w:rPr>
                <w:rStyle w:val="119"/>
                <w:rFonts w:hint="eastAsia" w:ascii="宋体" w:hAnsi="宋体" w:eastAsia="宋体" w:cs="宋体"/>
                <w:sz w:val="21"/>
                <w:szCs w:val="21"/>
                <w:highlight w:val="none"/>
                <w:lang w:val="en-US" w:eastAsia="zh-CN"/>
              </w:rPr>
              <w:t>以上花纹）；抗冲击（冲击高度</w:t>
            </w:r>
            <w:r>
              <w:rPr>
                <w:rStyle w:val="263"/>
                <w:rFonts w:hint="eastAsia" w:ascii="宋体" w:hAnsi="宋体" w:eastAsia="宋体" w:cs="宋体"/>
                <w:sz w:val="21"/>
                <w:szCs w:val="21"/>
                <w:highlight w:val="none"/>
                <w:lang w:val="en-US" w:eastAsia="zh-CN"/>
              </w:rPr>
              <w:t xml:space="preserve"> 50mm</w:t>
            </w:r>
            <w:r>
              <w:rPr>
                <w:rStyle w:val="119"/>
                <w:rFonts w:hint="eastAsia" w:ascii="宋体" w:hAnsi="宋体" w:eastAsia="宋体" w:cs="宋体"/>
                <w:sz w:val="21"/>
                <w:szCs w:val="21"/>
                <w:highlight w:val="none"/>
                <w:lang w:val="en-US" w:eastAsia="zh-CN"/>
              </w:rPr>
              <w:t>，应不低于</w:t>
            </w:r>
            <w:r>
              <w:rPr>
                <w:rStyle w:val="263"/>
                <w:rFonts w:hint="eastAsia" w:ascii="宋体" w:hAnsi="宋体" w:eastAsia="宋体" w:cs="宋体"/>
                <w:sz w:val="21"/>
                <w:szCs w:val="21"/>
                <w:highlight w:val="none"/>
                <w:lang w:val="en-US" w:eastAsia="zh-CN"/>
              </w:rPr>
              <w:t xml:space="preserve"> 3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1 </w:t>
            </w:r>
            <w:r>
              <w:rPr>
                <w:rStyle w:val="119"/>
                <w:rFonts w:hint="eastAsia" w:ascii="宋体" w:hAnsi="宋体" w:eastAsia="宋体" w:cs="宋体"/>
                <w:sz w:val="21"/>
                <w:szCs w:val="21"/>
                <w:highlight w:val="none"/>
                <w:lang w:val="en-US" w:eastAsia="zh-CN"/>
              </w:rPr>
              <w:t>级最好，</w:t>
            </w:r>
            <w:r>
              <w:rPr>
                <w:rStyle w:val="263"/>
                <w:rFonts w:hint="eastAsia" w:ascii="宋体" w:hAnsi="宋体" w:eastAsia="宋体" w:cs="宋体"/>
                <w:sz w:val="21"/>
                <w:szCs w:val="21"/>
                <w:highlight w:val="none"/>
                <w:lang w:val="en-US" w:eastAsia="zh-CN"/>
              </w:rPr>
              <w:t xml:space="preserve">5 </w:t>
            </w:r>
            <w:r>
              <w:rPr>
                <w:rStyle w:val="119"/>
                <w:rFonts w:hint="eastAsia" w:ascii="宋体" w:hAnsi="宋体" w:eastAsia="宋体" w:cs="宋体"/>
                <w:sz w:val="21"/>
                <w:szCs w:val="21"/>
                <w:highlight w:val="none"/>
                <w:lang w:val="en-US" w:eastAsia="zh-CN"/>
              </w:rPr>
              <w:t>级最差</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）；耐光色牢度（灰色样卡）</w:t>
            </w:r>
            <w:r>
              <w:rPr>
                <w:rStyle w:val="263"/>
                <w:rFonts w:hint="eastAsia" w:ascii="宋体" w:hAnsi="宋体" w:eastAsia="宋体" w:cs="宋体"/>
                <w:sz w:val="21"/>
                <w:szCs w:val="21"/>
                <w:highlight w:val="none"/>
                <w:lang w:val="en-US" w:eastAsia="zh-CN"/>
              </w:rPr>
              <w:t xml:space="preserve">≥4 </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）产品部件材质理化性能：人造板件（封边条表面胶合强度应不小于</w:t>
            </w:r>
            <w:r>
              <w:rPr>
                <w:rStyle w:val="263"/>
                <w:rFonts w:hint="eastAsia" w:ascii="宋体" w:hAnsi="宋体" w:eastAsia="宋体" w:cs="宋体"/>
                <w:sz w:val="21"/>
                <w:szCs w:val="21"/>
                <w:highlight w:val="none"/>
                <w:lang w:val="en-US" w:eastAsia="zh-CN"/>
              </w:rPr>
              <w:t xml:space="preserve"> 0.40MPa</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）有害物质限量：甲醛释放量（人造板部</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件）</w:t>
            </w:r>
            <w:r>
              <w:rPr>
                <w:rStyle w:val="263"/>
                <w:rFonts w:hint="eastAsia" w:ascii="宋体" w:hAnsi="宋体" w:eastAsia="宋体" w:cs="宋体"/>
                <w:sz w:val="21"/>
                <w:szCs w:val="21"/>
                <w:highlight w:val="none"/>
                <w:lang w:val="en-US" w:eastAsia="zh-CN"/>
              </w:rPr>
              <w:t>≤0.03mg/m³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）甲醛释放量（</w:t>
            </w:r>
            <w:r>
              <w:rPr>
                <w:rStyle w:val="263"/>
                <w:rFonts w:hint="eastAsia" w:ascii="宋体" w:hAnsi="宋体" w:eastAsia="宋体" w:cs="宋体"/>
                <w:sz w:val="21"/>
                <w:szCs w:val="21"/>
                <w:highlight w:val="none"/>
                <w:lang w:val="en-US" w:eastAsia="zh-CN"/>
              </w:rPr>
              <w:t>GB/T35607-2017</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≤0.02mg/m³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）挥发性有机化合</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物：苯</w:t>
            </w:r>
            <w:r>
              <w:rPr>
                <w:rStyle w:val="263"/>
                <w:rFonts w:hint="eastAsia" w:ascii="宋体" w:hAnsi="宋体" w:eastAsia="宋体" w:cs="宋体"/>
                <w:sz w:val="21"/>
                <w:szCs w:val="21"/>
                <w:highlight w:val="none"/>
                <w:lang w:val="en-US" w:eastAsia="zh-CN"/>
              </w:rPr>
              <w:t>≤0.05mg/m³</w:t>
            </w:r>
            <w:r>
              <w:rPr>
                <w:rStyle w:val="119"/>
                <w:rFonts w:hint="eastAsia" w:ascii="宋体" w:hAnsi="宋体" w:eastAsia="宋体" w:cs="宋体"/>
                <w:sz w:val="21"/>
                <w:szCs w:val="21"/>
                <w:highlight w:val="none"/>
                <w:lang w:val="en-US" w:eastAsia="zh-CN"/>
              </w:rPr>
              <w:t>、甲苯</w:t>
            </w:r>
            <w:r>
              <w:rPr>
                <w:rStyle w:val="263"/>
                <w:rFonts w:hint="eastAsia" w:ascii="宋体" w:hAnsi="宋体" w:eastAsia="宋体" w:cs="宋体"/>
                <w:sz w:val="21"/>
                <w:szCs w:val="21"/>
                <w:highlight w:val="none"/>
                <w:lang w:val="en-US" w:eastAsia="zh-CN"/>
              </w:rPr>
              <w:t>≤0.05mg/m³</w:t>
            </w:r>
            <w:r>
              <w:rPr>
                <w:rStyle w:val="119"/>
                <w:rFonts w:hint="eastAsia" w:ascii="宋体" w:hAnsi="宋体" w:eastAsia="宋体" w:cs="宋体"/>
                <w:sz w:val="21"/>
                <w:szCs w:val="21"/>
                <w:highlight w:val="none"/>
                <w:lang w:val="en-US" w:eastAsia="zh-CN"/>
              </w:rPr>
              <w:t>、二甲苯</w:t>
            </w:r>
            <w:r>
              <w:rPr>
                <w:rStyle w:val="263"/>
                <w:rFonts w:hint="eastAsia" w:ascii="宋体" w:hAnsi="宋体" w:eastAsia="宋体" w:cs="宋体"/>
                <w:sz w:val="21"/>
                <w:szCs w:val="21"/>
                <w:highlight w:val="none"/>
                <w:lang w:val="en-US" w:eastAsia="zh-CN"/>
              </w:rPr>
              <w:t>≤0.05mg/m³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TVOC≤0.05mg/m³</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 xml:space="preserve"> </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）可迁移元素：铅未检出，镉</w:t>
            </w:r>
            <w:r>
              <w:rPr>
                <w:rStyle w:val="263"/>
                <w:rFonts w:hint="eastAsia" w:ascii="宋体" w:hAnsi="宋体" w:eastAsia="宋体" w:cs="宋体"/>
                <w:sz w:val="21"/>
                <w:szCs w:val="21"/>
                <w:highlight w:val="none"/>
                <w:lang w:val="en-US" w:eastAsia="zh-CN"/>
              </w:rPr>
              <w:t>≤1mg/kg,</w:t>
            </w:r>
            <w:r>
              <w:rPr>
                <w:rStyle w:val="119"/>
                <w:rFonts w:hint="eastAsia" w:ascii="宋体" w:hAnsi="宋体" w:eastAsia="宋体" w:cs="宋体"/>
                <w:sz w:val="21"/>
                <w:szCs w:val="21"/>
                <w:highlight w:val="none"/>
                <w:lang w:val="en-US" w:eastAsia="zh-CN"/>
              </w:rPr>
              <w:t>铬未检出，汞</w:t>
            </w:r>
            <w:r>
              <w:rPr>
                <w:rStyle w:val="263"/>
                <w:rFonts w:hint="eastAsia" w:ascii="宋体" w:hAnsi="宋体" w:eastAsia="宋体" w:cs="宋体"/>
                <w:sz w:val="21"/>
                <w:szCs w:val="21"/>
                <w:highlight w:val="none"/>
                <w:lang w:val="en-US" w:eastAsia="zh-CN"/>
              </w:rPr>
              <w:t>≤1mg/kg,</w:t>
            </w:r>
            <w:r>
              <w:rPr>
                <w:rStyle w:val="119"/>
                <w:rFonts w:hint="eastAsia" w:ascii="宋体" w:hAnsi="宋体" w:eastAsia="宋体" w:cs="宋体"/>
                <w:sz w:val="21"/>
                <w:szCs w:val="21"/>
                <w:highlight w:val="none"/>
                <w:lang w:val="en-US" w:eastAsia="zh-CN"/>
              </w:rPr>
              <w:t>锑</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未检出，钡</w:t>
            </w:r>
            <w:r>
              <w:rPr>
                <w:rStyle w:val="263"/>
                <w:rFonts w:hint="eastAsia" w:ascii="宋体" w:hAnsi="宋体" w:eastAsia="宋体" w:cs="宋体"/>
                <w:sz w:val="21"/>
                <w:szCs w:val="21"/>
                <w:highlight w:val="none"/>
                <w:lang w:val="en-US" w:eastAsia="zh-CN"/>
              </w:rPr>
              <w:t xml:space="preserve">≤1mg/kg, </w:t>
            </w:r>
            <w:r>
              <w:rPr>
                <w:rStyle w:val="119"/>
                <w:rFonts w:hint="eastAsia" w:ascii="宋体" w:hAnsi="宋体" w:eastAsia="宋体" w:cs="宋体"/>
                <w:sz w:val="21"/>
                <w:szCs w:val="21"/>
                <w:highlight w:val="none"/>
                <w:lang w:val="en-US" w:eastAsia="zh-CN"/>
              </w:rPr>
              <w:t>硒</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未检出，</w:t>
            </w:r>
            <w:r>
              <w:rPr>
                <w:rStyle w:val="263"/>
                <w:rFonts w:hint="eastAsia" w:ascii="宋体" w:hAnsi="宋体" w:eastAsia="宋体" w:cs="宋体"/>
                <w:sz w:val="21"/>
                <w:szCs w:val="21"/>
                <w:highlight w:val="none"/>
                <w:lang w:val="en-US" w:eastAsia="zh-CN"/>
              </w:rPr>
              <w:t xml:space="preserve"> </w:t>
            </w:r>
            <w:r>
              <w:rPr>
                <w:rStyle w:val="119"/>
                <w:rFonts w:hint="eastAsia" w:ascii="宋体" w:hAnsi="宋体" w:eastAsia="宋体" w:cs="宋体"/>
                <w:sz w:val="21"/>
                <w:szCs w:val="21"/>
                <w:highlight w:val="none"/>
                <w:lang w:val="en-US" w:eastAsia="zh-CN"/>
              </w:rPr>
              <w:t>砷</w:t>
            </w:r>
            <w:r>
              <w:rPr>
                <w:rStyle w:val="263"/>
                <w:rFonts w:hint="eastAsia" w:ascii="宋体" w:hAnsi="宋体" w:eastAsia="宋体" w:cs="宋体"/>
                <w:sz w:val="21"/>
                <w:szCs w:val="21"/>
                <w:highlight w:val="none"/>
                <w:lang w:val="en-US" w:eastAsia="zh-CN"/>
              </w:rPr>
              <w:t>≤1mg/kg</w:t>
            </w:r>
          </w:p>
        </w:tc>
      </w:tr>
      <w:tr w14:paraId="6A09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39690D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b w:val="0"/>
                <w:bCs w:val="0"/>
                <w:color w:val="auto"/>
                <w:kern w:val="0"/>
                <w:sz w:val="24"/>
                <w:highlight w:val="none"/>
                <w:lang w:val="en-US"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14:paraId="67011613">
            <w:pPr>
              <w:keepNext w:val="0"/>
              <w:keepLines w:val="0"/>
              <w:widowControl/>
              <w:suppressLineNumbers w:val="0"/>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cs="宋体"/>
                <w:i w:val="0"/>
                <w:iCs w:val="0"/>
                <w:color w:val="000000"/>
                <w:kern w:val="0"/>
                <w:sz w:val="21"/>
                <w:szCs w:val="21"/>
                <w:highlight w:val="none"/>
                <w:u w:val="none"/>
                <w:lang w:val="en-US" w:eastAsia="zh-CN"/>
              </w:rPr>
              <w:t>医用</w:t>
            </w:r>
            <w:r>
              <w:rPr>
                <w:rFonts w:hint="eastAsia" w:ascii="宋体" w:hAnsi="宋体" w:eastAsia="宋体" w:cs="宋体"/>
                <w:i w:val="0"/>
                <w:iCs w:val="0"/>
                <w:color w:val="000000"/>
                <w:kern w:val="0"/>
                <w:sz w:val="21"/>
                <w:szCs w:val="21"/>
                <w:highlight w:val="none"/>
                <w:u w:val="none"/>
                <w:lang w:val="en-US" w:eastAsia="zh-CN"/>
              </w:rPr>
              <w:t>资料柜</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5575693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）符合</w:t>
            </w:r>
            <w:r>
              <w:rPr>
                <w:rStyle w:val="263"/>
                <w:rFonts w:hint="eastAsia" w:ascii="宋体" w:hAnsi="宋体" w:eastAsia="宋体" w:cs="宋体"/>
                <w:sz w:val="21"/>
                <w:szCs w:val="21"/>
                <w:highlight w:val="none"/>
                <w:lang w:val="en-US" w:eastAsia="zh-CN"/>
              </w:rPr>
              <w:t>GB/T 228.1-2021</w:t>
            </w:r>
            <w:r>
              <w:rPr>
                <w:rStyle w:val="119"/>
                <w:rFonts w:hint="eastAsia" w:ascii="宋体" w:hAnsi="宋体" w:eastAsia="宋体" w:cs="宋体"/>
                <w:sz w:val="21"/>
                <w:szCs w:val="21"/>
                <w:highlight w:val="none"/>
                <w:lang w:val="en-US" w:eastAsia="zh-CN"/>
              </w:rPr>
              <w:t>《金属材料拉伸试验第</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部分：室温试验方法》△、</w:t>
            </w:r>
            <w:r>
              <w:rPr>
                <w:rStyle w:val="263"/>
                <w:rFonts w:hint="eastAsia" w:ascii="宋体" w:hAnsi="宋体" w:eastAsia="宋体" w:cs="宋体"/>
                <w:sz w:val="21"/>
                <w:szCs w:val="21"/>
                <w:highlight w:val="none"/>
                <w:lang w:val="en-US" w:eastAsia="zh-CN"/>
              </w:rPr>
              <w:t>GB/T 1741-2020</w:t>
            </w:r>
            <w:r>
              <w:rPr>
                <w:rStyle w:val="119"/>
                <w:rFonts w:hint="eastAsia" w:ascii="宋体" w:hAnsi="宋体" w:eastAsia="宋体" w:cs="宋体"/>
                <w:sz w:val="21"/>
                <w:szCs w:val="21"/>
                <w:highlight w:val="none"/>
                <w:lang w:val="en-US" w:eastAsia="zh-CN"/>
              </w:rPr>
              <w:t>、《漆膜耐霉菌性测定法》、</w:t>
            </w:r>
            <w:r>
              <w:rPr>
                <w:rStyle w:val="263"/>
                <w:rFonts w:hint="eastAsia" w:ascii="宋体" w:hAnsi="宋体" w:eastAsia="宋体" w:cs="宋体"/>
                <w:sz w:val="21"/>
                <w:szCs w:val="21"/>
                <w:highlight w:val="none"/>
                <w:lang w:val="en-US" w:eastAsia="zh-CN"/>
              </w:rPr>
              <w:t>QB/T 4371-2012</w:t>
            </w:r>
            <w:r>
              <w:rPr>
                <w:rStyle w:val="119"/>
                <w:rFonts w:hint="eastAsia" w:ascii="宋体" w:hAnsi="宋体" w:eastAsia="宋体" w:cs="宋体"/>
                <w:sz w:val="21"/>
                <w:szCs w:val="21"/>
                <w:highlight w:val="none"/>
                <w:lang w:val="en-US" w:eastAsia="zh-CN"/>
              </w:rPr>
              <w:t>《家具抗菌性能的评价》、</w:t>
            </w:r>
            <w:r>
              <w:rPr>
                <w:rStyle w:val="263"/>
                <w:rFonts w:hint="eastAsia" w:ascii="宋体" w:hAnsi="宋体" w:eastAsia="宋体" w:cs="宋体"/>
                <w:sz w:val="21"/>
                <w:szCs w:val="21"/>
                <w:highlight w:val="none"/>
                <w:lang w:val="en-US" w:eastAsia="zh-CN"/>
              </w:rPr>
              <w:t>GB 8624-2012</w:t>
            </w:r>
            <w:r>
              <w:rPr>
                <w:rStyle w:val="119"/>
                <w:rFonts w:hint="eastAsia" w:ascii="宋体" w:hAnsi="宋体" w:eastAsia="宋体" w:cs="宋体"/>
                <w:sz w:val="21"/>
                <w:szCs w:val="21"/>
                <w:highlight w:val="none"/>
                <w:lang w:val="en-US" w:eastAsia="zh-CN"/>
              </w:rPr>
              <w:t>《建筑材料及制品燃烧性能分级》、</w:t>
            </w:r>
            <w:r>
              <w:rPr>
                <w:rStyle w:val="263"/>
                <w:rFonts w:hint="eastAsia" w:ascii="宋体" w:hAnsi="宋体" w:eastAsia="宋体" w:cs="宋体"/>
                <w:sz w:val="21"/>
                <w:szCs w:val="21"/>
                <w:highlight w:val="none"/>
                <w:lang w:val="en-US" w:eastAsia="zh-CN"/>
              </w:rPr>
              <w:t>GB/T 10125-2021</w:t>
            </w:r>
            <w:r>
              <w:rPr>
                <w:rStyle w:val="119"/>
                <w:rFonts w:hint="eastAsia" w:ascii="宋体" w:hAnsi="宋体" w:eastAsia="宋体" w:cs="宋体"/>
                <w:sz w:val="21"/>
                <w:szCs w:val="21"/>
                <w:highlight w:val="none"/>
                <w:lang w:val="en-US" w:eastAsia="zh-CN"/>
              </w:rPr>
              <w:t>《人造气氛腐蚀试验盐雾试验》、</w:t>
            </w:r>
            <w:r>
              <w:rPr>
                <w:rStyle w:val="263"/>
                <w:rFonts w:hint="eastAsia" w:ascii="宋体" w:hAnsi="宋体" w:eastAsia="宋体" w:cs="宋体"/>
                <w:sz w:val="21"/>
                <w:szCs w:val="21"/>
                <w:highlight w:val="none"/>
                <w:lang w:val="en-US" w:eastAsia="zh-CN"/>
              </w:rPr>
              <w:t>QB/T 3832-1999</w:t>
            </w:r>
            <w:r>
              <w:rPr>
                <w:rStyle w:val="119"/>
                <w:rFonts w:hint="eastAsia" w:ascii="宋体" w:hAnsi="宋体" w:eastAsia="宋体" w:cs="宋体"/>
                <w:sz w:val="21"/>
                <w:szCs w:val="21"/>
                <w:highlight w:val="none"/>
                <w:lang w:val="en-US" w:eastAsia="zh-CN"/>
              </w:rPr>
              <w:t>《轻工产品金属镀层腐蚀试验结果的评价》标准：</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2</w:t>
            </w:r>
            <w:r>
              <w:rPr>
                <w:rStyle w:val="119"/>
                <w:rFonts w:hint="eastAsia" w:ascii="宋体" w:hAnsi="宋体" w:eastAsia="宋体" w:cs="宋体"/>
                <w:sz w:val="21"/>
                <w:szCs w:val="21"/>
                <w:highlight w:val="none"/>
                <w:lang w:val="en-US" w:eastAsia="zh-CN"/>
              </w:rPr>
              <w:t>）耐腐蚀试验：</w:t>
            </w:r>
            <w:r>
              <w:rPr>
                <w:rStyle w:val="263"/>
                <w:rFonts w:hint="eastAsia" w:ascii="宋体" w:hAnsi="宋体" w:eastAsia="宋体" w:cs="宋体"/>
                <w:sz w:val="21"/>
                <w:szCs w:val="21"/>
                <w:highlight w:val="none"/>
                <w:lang w:val="en-US" w:eastAsia="zh-CN"/>
              </w:rPr>
              <w:t>1.</w:t>
            </w:r>
            <w:r>
              <w:rPr>
                <w:rStyle w:val="119"/>
                <w:rFonts w:hint="eastAsia" w:ascii="宋体" w:hAnsi="宋体" w:eastAsia="宋体" w:cs="宋体"/>
                <w:sz w:val="21"/>
                <w:szCs w:val="21"/>
                <w:highlight w:val="none"/>
                <w:lang w:val="en-US" w:eastAsia="zh-CN"/>
              </w:rPr>
              <w:t>铜加速乙酸盐雾试验</w:t>
            </w:r>
            <w:r>
              <w:rPr>
                <w:rStyle w:val="263"/>
                <w:rFonts w:hint="eastAsia" w:ascii="宋体" w:hAnsi="宋体" w:eastAsia="宋体" w:cs="宋体"/>
                <w:sz w:val="21"/>
                <w:szCs w:val="21"/>
                <w:highlight w:val="none"/>
                <w:lang w:val="en-US" w:eastAsia="zh-CN"/>
              </w:rPr>
              <w:t>-240h-</w:t>
            </w:r>
            <w:r>
              <w:rPr>
                <w:rStyle w:val="119"/>
                <w:rFonts w:hint="eastAsia" w:ascii="宋体" w:hAnsi="宋体" w:eastAsia="宋体" w:cs="宋体"/>
                <w:sz w:val="21"/>
                <w:szCs w:val="21"/>
                <w:highlight w:val="none"/>
                <w:lang w:val="en-US" w:eastAsia="zh-CN"/>
              </w:rPr>
              <w:t>涂</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镀</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层本身的耐腐蚀等级：</w:t>
            </w:r>
            <w:r>
              <w:rPr>
                <w:rStyle w:val="263"/>
                <w:rFonts w:hint="eastAsia" w:ascii="宋体" w:hAnsi="宋体" w:eastAsia="宋体" w:cs="宋体"/>
                <w:sz w:val="21"/>
                <w:szCs w:val="21"/>
                <w:highlight w:val="none"/>
                <w:lang w:val="en-US" w:eastAsia="zh-CN"/>
              </w:rPr>
              <w:t>10</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3</w:t>
            </w:r>
            <w:r>
              <w:rPr>
                <w:rStyle w:val="119"/>
                <w:rFonts w:hint="eastAsia" w:ascii="宋体" w:hAnsi="宋体" w:eastAsia="宋体" w:cs="宋体"/>
                <w:sz w:val="21"/>
                <w:szCs w:val="21"/>
                <w:highlight w:val="none"/>
                <w:lang w:val="en-US" w:eastAsia="zh-CN"/>
              </w:rPr>
              <w:t>）铜加速乙酸盐雾试验</w:t>
            </w:r>
            <w:r>
              <w:rPr>
                <w:rStyle w:val="263"/>
                <w:rFonts w:hint="eastAsia" w:ascii="宋体" w:hAnsi="宋体" w:eastAsia="宋体" w:cs="宋体"/>
                <w:sz w:val="21"/>
                <w:szCs w:val="21"/>
                <w:highlight w:val="none"/>
                <w:lang w:val="en-US" w:eastAsia="zh-CN"/>
              </w:rPr>
              <w:t>-240h-</w:t>
            </w:r>
            <w:r>
              <w:rPr>
                <w:rStyle w:val="119"/>
                <w:rFonts w:hint="eastAsia" w:ascii="宋体" w:hAnsi="宋体" w:eastAsia="宋体" w:cs="宋体"/>
                <w:sz w:val="21"/>
                <w:szCs w:val="21"/>
                <w:highlight w:val="none"/>
                <w:lang w:val="en-US" w:eastAsia="zh-CN"/>
              </w:rPr>
              <w:t>涂</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镀</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层层对基体的保护等级：</w:t>
            </w:r>
            <w:r>
              <w:rPr>
                <w:rStyle w:val="263"/>
                <w:rFonts w:hint="eastAsia" w:ascii="宋体" w:hAnsi="宋体" w:eastAsia="宋体" w:cs="宋体"/>
                <w:sz w:val="21"/>
                <w:szCs w:val="21"/>
                <w:highlight w:val="none"/>
                <w:lang w:val="en-US" w:eastAsia="zh-CN"/>
              </w:rPr>
              <w:t>10</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4</w:t>
            </w:r>
            <w:r>
              <w:rPr>
                <w:rStyle w:val="119"/>
                <w:rFonts w:hint="eastAsia" w:ascii="宋体" w:hAnsi="宋体" w:eastAsia="宋体" w:cs="宋体"/>
                <w:sz w:val="21"/>
                <w:szCs w:val="21"/>
                <w:highlight w:val="none"/>
                <w:lang w:val="en-US" w:eastAsia="zh-CN"/>
              </w:rPr>
              <w:t>）耐霉菌性等级</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黑曲霉</w:t>
            </w:r>
            <w:r>
              <w:rPr>
                <w:rStyle w:val="263"/>
                <w:rFonts w:hint="eastAsia" w:ascii="宋体" w:hAnsi="宋体" w:eastAsia="宋体" w:cs="宋体"/>
                <w:sz w:val="21"/>
                <w:szCs w:val="21"/>
                <w:highlight w:val="none"/>
                <w:lang w:val="en-US" w:eastAsia="zh-CN"/>
              </w:rPr>
              <w:t xml:space="preserve"> 0</w:t>
            </w:r>
            <w:r>
              <w:rPr>
                <w:rStyle w:val="119"/>
                <w:rFonts w:hint="eastAsia" w:ascii="宋体" w:hAnsi="宋体" w:eastAsia="宋体" w:cs="宋体"/>
                <w:sz w:val="21"/>
                <w:szCs w:val="21"/>
                <w:highlight w:val="none"/>
                <w:lang w:val="en-US" w:eastAsia="zh-CN"/>
              </w:rPr>
              <w:t>级</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w:t>
            </w:r>
            <w:r>
              <w:rPr>
                <w:rStyle w:val="119"/>
                <w:rFonts w:hint="eastAsia" w:ascii="宋体" w:hAnsi="宋体" w:eastAsia="宋体" w:cs="宋体"/>
                <w:sz w:val="21"/>
                <w:szCs w:val="21"/>
                <w:highlight w:val="none"/>
                <w:lang w:val="en-US" w:eastAsia="zh-CN"/>
              </w:rPr>
              <w:t>）抑菌率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抗细菌率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金黄色葡萄菌</w:t>
            </w:r>
            <w:r>
              <w:rPr>
                <w:rStyle w:val="263"/>
                <w:rFonts w:hint="eastAsia" w:ascii="宋体" w:hAnsi="宋体" w:eastAsia="宋体" w:cs="宋体"/>
                <w:sz w:val="21"/>
                <w:szCs w:val="21"/>
                <w:highlight w:val="none"/>
                <w:lang w:val="en-US" w:eastAsia="zh-CN"/>
              </w:rPr>
              <w:t>≥99%</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6</w:t>
            </w:r>
            <w:r>
              <w:rPr>
                <w:rStyle w:val="119"/>
                <w:rFonts w:hint="eastAsia" w:ascii="宋体" w:hAnsi="宋体" w:eastAsia="宋体" w:cs="宋体"/>
                <w:sz w:val="21"/>
                <w:szCs w:val="21"/>
                <w:highlight w:val="none"/>
                <w:lang w:val="en-US" w:eastAsia="zh-CN"/>
              </w:rPr>
              <w:t>）抑菌率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抗细菌率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大肠杆菌</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大肠埃希氏菌</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≥99%</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7</w:t>
            </w:r>
            <w:r>
              <w:rPr>
                <w:rStyle w:val="119"/>
                <w:rFonts w:hint="eastAsia" w:ascii="宋体" w:hAnsi="宋体" w:eastAsia="宋体" w:cs="宋体"/>
                <w:sz w:val="21"/>
                <w:szCs w:val="21"/>
                <w:highlight w:val="none"/>
                <w:lang w:val="en-US" w:eastAsia="zh-CN"/>
              </w:rPr>
              <w:t>）抑菌率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抗细菌率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白色念珠菌：</w:t>
            </w:r>
            <w:r>
              <w:rPr>
                <w:rStyle w:val="263"/>
                <w:rFonts w:hint="eastAsia" w:ascii="宋体" w:hAnsi="宋体" w:eastAsia="宋体" w:cs="宋体"/>
                <w:sz w:val="21"/>
                <w:szCs w:val="21"/>
                <w:highlight w:val="none"/>
                <w:lang w:val="en-US" w:eastAsia="zh-CN"/>
              </w:rPr>
              <w:t>≥99%</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8</w:t>
            </w:r>
            <w:r>
              <w:rPr>
                <w:rStyle w:val="119"/>
                <w:rFonts w:hint="eastAsia" w:ascii="宋体" w:hAnsi="宋体" w:eastAsia="宋体" w:cs="宋体"/>
                <w:sz w:val="21"/>
                <w:szCs w:val="21"/>
                <w:highlight w:val="none"/>
                <w:lang w:val="en-US" w:eastAsia="zh-CN"/>
              </w:rPr>
              <w:t>）抑菌率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抗细菌率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白色葡萄球菌</w:t>
            </w:r>
            <w:r>
              <w:rPr>
                <w:rStyle w:val="263"/>
                <w:rFonts w:hint="eastAsia" w:ascii="宋体" w:hAnsi="宋体" w:eastAsia="宋体" w:cs="宋体"/>
                <w:sz w:val="21"/>
                <w:szCs w:val="21"/>
                <w:highlight w:val="none"/>
                <w:lang w:val="en-US" w:eastAsia="zh-CN"/>
              </w:rPr>
              <w:t>≥99%</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9</w:t>
            </w:r>
            <w:r>
              <w:rPr>
                <w:rStyle w:val="119"/>
                <w:rFonts w:hint="eastAsia" w:ascii="宋体" w:hAnsi="宋体" w:eastAsia="宋体" w:cs="宋体"/>
                <w:sz w:val="21"/>
                <w:szCs w:val="21"/>
                <w:highlight w:val="none"/>
                <w:lang w:val="en-US" w:eastAsia="zh-CN"/>
              </w:rPr>
              <w:t>）抑菌率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抗细菌率</w:t>
            </w:r>
            <w:r>
              <w:rPr>
                <w:rStyle w:val="263"/>
                <w:rFonts w:hint="eastAsia" w:ascii="宋体" w:hAnsi="宋体" w:eastAsia="宋体" w:cs="宋体"/>
                <w:sz w:val="21"/>
                <w:szCs w:val="21"/>
                <w:highlight w:val="none"/>
                <w:lang w:val="en-US" w:eastAsia="zh-CN"/>
              </w:rPr>
              <w:t>)-</w:t>
            </w:r>
            <w:r>
              <w:rPr>
                <w:rStyle w:val="119"/>
                <w:rFonts w:hint="eastAsia" w:ascii="宋体" w:hAnsi="宋体" w:eastAsia="宋体" w:cs="宋体"/>
                <w:sz w:val="21"/>
                <w:szCs w:val="21"/>
                <w:highlight w:val="none"/>
                <w:lang w:val="en-US" w:eastAsia="zh-CN"/>
              </w:rPr>
              <w:t>粪肠球菌：</w:t>
            </w:r>
            <w:r>
              <w:rPr>
                <w:rStyle w:val="263"/>
                <w:rFonts w:hint="eastAsia" w:ascii="宋体" w:hAnsi="宋体" w:eastAsia="宋体" w:cs="宋体"/>
                <w:sz w:val="21"/>
                <w:szCs w:val="21"/>
                <w:highlight w:val="none"/>
                <w:lang w:val="en-US" w:eastAsia="zh-CN"/>
              </w:rPr>
              <w:t>≥99%</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10</w:t>
            </w:r>
            <w:r>
              <w:rPr>
                <w:rStyle w:val="119"/>
                <w:rFonts w:hint="eastAsia" w:ascii="宋体" w:hAnsi="宋体" w:eastAsia="宋体" w:cs="宋体"/>
                <w:sz w:val="21"/>
                <w:szCs w:val="21"/>
                <w:highlight w:val="none"/>
                <w:lang w:val="en-US" w:eastAsia="zh-CN"/>
              </w:rPr>
              <w:t>）燃烧性能等级</w:t>
            </w:r>
            <w:r>
              <w:rPr>
                <w:rStyle w:val="263"/>
                <w:rFonts w:hint="eastAsia" w:ascii="宋体" w:hAnsi="宋体" w:eastAsia="宋体" w:cs="宋体"/>
                <w:sz w:val="21"/>
                <w:szCs w:val="21"/>
                <w:highlight w:val="none"/>
                <w:lang w:val="en-US" w:eastAsia="zh-CN"/>
              </w:rPr>
              <w:t>-B1-</w:t>
            </w:r>
            <w:r>
              <w:rPr>
                <w:rStyle w:val="119"/>
                <w:rFonts w:hint="eastAsia" w:ascii="宋体" w:hAnsi="宋体" w:eastAsia="宋体" w:cs="宋体"/>
                <w:sz w:val="21"/>
                <w:szCs w:val="21"/>
                <w:highlight w:val="none"/>
                <w:lang w:val="en-US" w:eastAsia="zh-CN"/>
              </w:rPr>
              <w:t>硬质家具：热释放速率峰值</w:t>
            </w:r>
            <w:r>
              <w:rPr>
                <w:rStyle w:val="263"/>
                <w:rFonts w:hint="eastAsia" w:ascii="宋体" w:hAnsi="宋体" w:eastAsia="宋体" w:cs="宋体"/>
                <w:sz w:val="21"/>
                <w:szCs w:val="21"/>
                <w:highlight w:val="none"/>
                <w:lang w:val="en-US" w:eastAsia="zh-CN"/>
              </w:rPr>
              <w:t>≤169.5</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5min</w:t>
            </w:r>
            <w:r>
              <w:rPr>
                <w:rStyle w:val="119"/>
                <w:rFonts w:hint="eastAsia" w:ascii="宋体" w:hAnsi="宋体" w:eastAsia="宋体" w:cs="宋体"/>
                <w:sz w:val="21"/>
                <w:szCs w:val="21"/>
                <w:highlight w:val="none"/>
                <w:lang w:val="en-US" w:eastAsia="zh-CN"/>
              </w:rPr>
              <w:t>内总热释放量</w:t>
            </w:r>
            <w:r>
              <w:rPr>
                <w:rStyle w:val="263"/>
                <w:rFonts w:hint="eastAsia" w:ascii="宋体" w:hAnsi="宋体" w:eastAsia="宋体" w:cs="宋体"/>
                <w:sz w:val="21"/>
                <w:szCs w:val="21"/>
                <w:highlight w:val="none"/>
                <w:lang w:val="en-US" w:eastAsia="zh-CN"/>
              </w:rPr>
              <w:t>≤24.8</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11</w:t>
            </w:r>
            <w:r>
              <w:rPr>
                <w:rStyle w:val="119"/>
                <w:rFonts w:hint="eastAsia" w:ascii="宋体" w:hAnsi="宋体" w:eastAsia="宋体" w:cs="宋体"/>
                <w:sz w:val="21"/>
                <w:szCs w:val="21"/>
                <w:highlight w:val="none"/>
                <w:lang w:val="en-US" w:eastAsia="zh-CN"/>
              </w:rPr>
              <w:t>）最大烟密度</w:t>
            </w:r>
            <w:r>
              <w:rPr>
                <w:rStyle w:val="263"/>
                <w:rFonts w:hint="eastAsia" w:ascii="宋体" w:hAnsi="宋体" w:eastAsia="宋体" w:cs="宋体"/>
                <w:sz w:val="21"/>
                <w:szCs w:val="21"/>
                <w:highlight w:val="none"/>
                <w:lang w:val="en-US" w:eastAsia="zh-CN"/>
              </w:rPr>
              <w:t>≤75%</w:t>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br w:type="textWrapping"/>
            </w:r>
            <w:r>
              <w:rPr>
                <w:rStyle w:val="119"/>
                <w:rFonts w:hint="eastAsia" w:ascii="宋体" w:hAnsi="宋体" w:eastAsia="宋体" w:cs="宋体"/>
                <w:sz w:val="21"/>
                <w:szCs w:val="21"/>
                <w:highlight w:val="none"/>
                <w:lang w:val="en-US" w:eastAsia="zh-CN"/>
              </w:rPr>
              <w:t>（</w:t>
            </w:r>
            <w:r>
              <w:rPr>
                <w:rStyle w:val="263"/>
                <w:rFonts w:hint="eastAsia" w:ascii="宋体" w:hAnsi="宋体" w:eastAsia="宋体" w:cs="宋体"/>
                <w:sz w:val="21"/>
                <w:szCs w:val="21"/>
                <w:highlight w:val="none"/>
                <w:lang w:val="en-US" w:eastAsia="zh-CN"/>
              </w:rPr>
              <w:t>12</w:t>
            </w:r>
            <w:r>
              <w:rPr>
                <w:rStyle w:val="119"/>
                <w:rFonts w:hint="eastAsia" w:ascii="宋体" w:hAnsi="宋体" w:eastAsia="宋体" w:cs="宋体"/>
                <w:sz w:val="21"/>
                <w:szCs w:val="21"/>
                <w:highlight w:val="none"/>
                <w:lang w:val="en-US" w:eastAsia="zh-CN"/>
              </w:rPr>
              <w:t>）抗拉强度△：</w:t>
            </w:r>
            <w:r>
              <w:rPr>
                <w:rStyle w:val="263"/>
                <w:rFonts w:hint="eastAsia" w:ascii="宋体" w:hAnsi="宋体" w:eastAsia="宋体" w:cs="宋体"/>
                <w:sz w:val="21"/>
                <w:szCs w:val="21"/>
                <w:highlight w:val="none"/>
                <w:lang w:val="en-US" w:eastAsia="zh-CN"/>
              </w:rPr>
              <w:t>≥403MPa</w:t>
            </w:r>
          </w:p>
        </w:tc>
      </w:tr>
      <w:tr w14:paraId="1220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157" w:type="dxa"/>
            <w:gridSpan w:val="7"/>
            <w:tcBorders>
              <w:top w:val="single" w:color="auto" w:sz="4" w:space="0"/>
              <w:left w:val="single" w:color="auto" w:sz="4" w:space="0"/>
              <w:bottom w:val="single" w:color="auto" w:sz="4" w:space="0"/>
              <w:right w:val="single" w:color="auto" w:sz="4" w:space="0"/>
            </w:tcBorders>
            <w:vAlign w:val="center"/>
          </w:tcPr>
          <w:p w14:paraId="2CFCE4A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b/>
                <w:bCs/>
                <w:color w:val="auto"/>
                <w:kern w:val="0"/>
                <w:sz w:val="24"/>
                <w:highlight w:val="none"/>
              </w:rPr>
              <w:t>商务要求表</w:t>
            </w:r>
          </w:p>
        </w:tc>
      </w:tr>
      <w:tr w14:paraId="1225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308E0C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rPr>
            </w:pPr>
            <w:r>
              <w:rPr>
                <w:rFonts w:hint="eastAsia" w:ascii="宋体" w:hAnsi="宋体" w:cs="宋体"/>
                <w:b/>
                <w:bCs/>
                <w:i w:val="0"/>
                <w:iCs w:val="0"/>
                <w:color w:val="000000"/>
                <w:kern w:val="0"/>
                <w:sz w:val="21"/>
                <w:szCs w:val="21"/>
                <w:highlight w:val="none"/>
                <w:u w:val="none"/>
                <w:lang w:val="en-US"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14:paraId="03295EB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b/>
                <w:bCs/>
                <w:i w:val="0"/>
                <w:iCs w:val="0"/>
                <w:color w:val="000000"/>
                <w:kern w:val="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rPr>
              <w:t>交货（交付）时间</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335BDA6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highlight w:val="none"/>
              </w:rPr>
              <w:t>签订合同后</w:t>
            </w:r>
            <w:r>
              <w:rPr>
                <w:rFonts w:hint="eastAsia" w:ascii="宋体" w:hAnsi="宋体" w:eastAsia="宋体" w:cs="宋体"/>
                <w:highlight w:val="none"/>
                <w:lang w:val="en-US" w:eastAsia="zh-CN"/>
              </w:rPr>
              <w:t>15</w:t>
            </w:r>
            <w:r>
              <w:rPr>
                <w:rFonts w:hint="eastAsia" w:ascii="宋体" w:hAnsi="宋体" w:eastAsia="宋体" w:cs="宋体"/>
                <w:highlight w:val="none"/>
              </w:rPr>
              <w:t>个日历日</w:t>
            </w:r>
            <w:r>
              <w:rPr>
                <w:rFonts w:hint="eastAsia" w:ascii="宋体" w:hAnsi="宋体" w:eastAsia="宋体" w:cs="宋体"/>
                <w:highlight w:val="none"/>
                <w:lang w:eastAsia="zh-CN"/>
              </w:rPr>
              <w:t>。</w:t>
            </w:r>
          </w:p>
        </w:tc>
      </w:tr>
      <w:tr w14:paraId="225B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6D8F4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rPr>
            </w:pPr>
            <w:r>
              <w:rPr>
                <w:rFonts w:hint="eastAsia" w:ascii="宋体" w:hAnsi="宋体" w:cs="宋体"/>
                <w:b/>
                <w:bCs/>
                <w:i w:val="0"/>
                <w:iCs w:val="0"/>
                <w:color w:val="000000"/>
                <w:kern w:val="0"/>
                <w:sz w:val="21"/>
                <w:szCs w:val="21"/>
                <w:highlight w:val="none"/>
                <w:u w:val="none"/>
                <w:lang w:val="en-US"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14:paraId="1BC9C4B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b/>
                <w:bCs/>
                <w:i w:val="0"/>
                <w:iCs w:val="0"/>
                <w:color w:val="000000"/>
                <w:kern w:val="0"/>
                <w:sz w:val="21"/>
                <w:szCs w:val="21"/>
                <w:highlight w:val="none"/>
                <w:u w:val="none"/>
                <w:lang w:val="en-US" w:eastAsia="zh-CN"/>
              </w:rPr>
            </w:pPr>
            <w:r>
              <w:rPr>
                <w:rFonts w:hint="eastAsia" w:ascii="宋体" w:hAnsi="宋体" w:eastAsia="宋体" w:cs="宋体"/>
                <w:b/>
                <w:bCs/>
                <w:highlight w:val="none"/>
              </w:rPr>
              <w:t>交货地点</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3BD279B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highlight w:val="none"/>
              </w:rPr>
            </w:pPr>
            <w:r>
              <w:rPr>
                <w:rFonts w:hint="eastAsia" w:ascii="宋体" w:hAnsi="宋体" w:eastAsia="宋体" w:cs="宋体"/>
                <w:highlight w:val="none"/>
              </w:rPr>
              <w:t>采购人指定地点。</w:t>
            </w:r>
          </w:p>
        </w:tc>
      </w:tr>
      <w:tr w14:paraId="24BB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543A18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rPr>
            </w:pPr>
            <w:r>
              <w:rPr>
                <w:rFonts w:hint="eastAsia" w:ascii="宋体" w:hAnsi="宋体" w:cs="宋体"/>
                <w:b/>
                <w:bCs/>
                <w:i w:val="0"/>
                <w:iCs w:val="0"/>
                <w:color w:val="000000"/>
                <w:kern w:val="0"/>
                <w:sz w:val="21"/>
                <w:szCs w:val="21"/>
                <w:highlight w:val="none"/>
                <w:u w:val="none"/>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6EE1B5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b/>
                <w:bCs/>
                <w:highlight w:val="none"/>
              </w:rPr>
            </w:pPr>
            <w:r>
              <w:rPr>
                <w:rFonts w:hint="eastAsia" w:ascii="宋体" w:hAnsi="宋体" w:eastAsia="宋体" w:cs="宋体"/>
                <w:b/>
                <w:bCs/>
                <w:highlight w:val="none"/>
              </w:rPr>
              <w:t>付款时间和方式</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78B59A9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highlight w:val="none"/>
                <w:lang w:eastAsia="zh-CN"/>
              </w:rPr>
            </w:pPr>
            <w:r>
              <w:rPr>
                <w:rFonts w:hint="eastAsia" w:ascii="宋体" w:hAnsi="宋体" w:eastAsia="宋体" w:cs="宋体"/>
                <w:highlight w:val="none"/>
              </w:rPr>
              <w:t>验收合格后7个日历日内一次付清。 签订合同后预付中标价格的30%, 货物验收合格后支付中标价的70</w:t>
            </w:r>
            <w:r>
              <w:rPr>
                <w:rFonts w:hint="eastAsia" w:ascii="宋体" w:hAnsi="宋体" w:eastAsia="宋体" w:cs="宋体"/>
                <w:highlight w:val="none"/>
                <w:lang w:val="en-US" w:eastAsia="zh-CN"/>
              </w:rPr>
              <w:t>%</w:t>
            </w:r>
            <w:r>
              <w:rPr>
                <w:rFonts w:hint="eastAsia" w:ascii="宋体" w:hAnsi="宋体" w:eastAsia="宋体" w:cs="宋体"/>
                <w:highlight w:val="none"/>
                <w:lang w:eastAsia="zh-CN"/>
              </w:rPr>
              <w:t>。</w:t>
            </w:r>
          </w:p>
        </w:tc>
      </w:tr>
      <w:tr w14:paraId="3581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6904CE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rPr>
            </w:pPr>
            <w:r>
              <w:rPr>
                <w:rFonts w:hint="eastAsia" w:ascii="宋体" w:hAnsi="宋体" w:cs="宋体"/>
                <w:b/>
                <w:bCs/>
                <w:i w:val="0"/>
                <w:iCs w:val="0"/>
                <w:color w:val="000000"/>
                <w:kern w:val="0"/>
                <w:sz w:val="21"/>
                <w:szCs w:val="21"/>
                <w:highlight w:val="none"/>
                <w:u w:val="none"/>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00F5395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b/>
                <w:bCs/>
                <w:highlight w:val="none"/>
              </w:rPr>
            </w:pPr>
            <w:r>
              <w:rPr>
                <w:rFonts w:hint="eastAsia" w:ascii="宋体" w:hAnsi="宋体" w:eastAsia="宋体" w:cs="宋体"/>
                <w:b/>
                <w:bCs/>
                <w:highlight w:val="none"/>
              </w:rPr>
              <w:t>质量要求</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7158DEE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宋体" w:hAnsi="宋体" w:eastAsia="宋体" w:cs="宋体"/>
                <w:highlight w:val="none"/>
              </w:rPr>
            </w:pPr>
            <w:r>
              <w:rPr>
                <w:rFonts w:hint="eastAsia" w:ascii="宋体" w:hAnsi="宋体" w:cs="宋体"/>
                <w:highlight w:val="none"/>
                <w:lang w:val="en-US" w:eastAsia="zh-CN"/>
              </w:rPr>
              <w:t>（1）</w:t>
            </w:r>
            <w:r>
              <w:rPr>
                <w:rFonts w:hint="default" w:ascii="宋体" w:hAnsi="宋体" w:eastAsia="宋体" w:cs="宋体"/>
                <w:highlight w:val="none"/>
                <w:lang w:val="en-US" w:eastAsia="zh-CN"/>
              </w:rPr>
              <w:t xml:space="preserve">质量达到国家验收合格标准； </w:t>
            </w:r>
          </w:p>
          <w:p w14:paraId="1D5B78E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宋体" w:hAnsi="宋体" w:eastAsia="宋体" w:cs="宋体"/>
                <w:highlight w:val="none"/>
              </w:rPr>
            </w:pPr>
            <w:r>
              <w:rPr>
                <w:rFonts w:hint="eastAsia" w:ascii="宋体" w:hAnsi="宋体" w:cs="宋体"/>
                <w:highlight w:val="none"/>
                <w:lang w:val="en-US" w:eastAsia="zh-CN"/>
              </w:rPr>
              <w:t>（2）</w:t>
            </w:r>
            <w:r>
              <w:rPr>
                <w:rFonts w:hint="default" w:ascii="宋体" w:hAnsi="宋体" w:eastAsia="宋体" w:cs="宋体"/>
                <w:highlight w:val="none"/>
                <w:lang w:val="en-US" w:eastAsia="zh-CN"/>
              </w:rPr>
              <w:t xml:space="preserve">投标人所提供的货物型号、技术规格、技术参数等质量必须与招投标文件和承诺相一致； </w:t>
            </w:r>
          </w:p>
          <w:p w14:paraId="1F02D8F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宋体" w:hAnsi="宋体" w:eastAsia="宋体" w:cs="宋体"/>
                <w:highlight w:val="none"/>
              </w:rPr>
            </w:pPr>
            <w:r>
              <w:rPr>
                <w:rFonts w:hint="eastAsia" w:ascii="宋体" w:hAnsi="宋体" w:cs="宋体"/>
                <w:highlight w:val="none"/>
                <w:lang w:val="en-US" w:eastAsia="zh-CN"/>
              </w:rPr>
              <w:t>（3）</w:t>
            </w:r>
            <w:r>
              <w:rPr>
                <w:rFonts w:hint="default" w:ascii="宋体" w:hAnsi="宋体" w:eastAsia="宋体" w:cs="宋体"/>
                <w:highlight w:val="none"/>
                <w:lang w:val="en-US" w:eastAsia="zh-CN"/>
              </w:rPr>
              <w:t xml:space="preserve">投标人所提供的货物必须是全新、未使用的原装产品，且在正常安装、使用和保养条件下，其使用寿命期内各项指标均达到质量要求； </w:t>
            </w:r>
          </w:p>
          <w:p w14:paraId="1C5A783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宋体" w:hAnsi="宋体" w:eastAsia="宋体" w:cs="宋体"/>
                <w:highlight w:val="none"/>
              </w:rPr>
            </w:pPr>
            <w:r>
              <w:rPr>
                <w:rFonts w:hint="eastAsia" w:ascii="宋体" w:hAnsi="宋体" w:cs="宋体"/>
                <w:highlight w:val="none"/>
                <w:lang w:val="en-US" w:eastAsia="zh-CN"/>
              </w:rPr>
              <w:t>（4）</w:t>
            </w:r>
            <w:r>
              <w:rPr>
                <w:rFonts w:hint="default" w:ascii="宋体" w:hAnsi="宋体" w:eastAsia="宋体" w:cs="宋体"/>
                <w:highlight w:val="none"/>
                <w:lang w:val="en-US" w:eastAsia="zh-CN"/>
              </w:rPr>
              <w:t>验收： 验收在产品使用地进行； 如果任何被验收的产品不能满足采购要求的</w:t>
            </w:r>
            <w:r>
              <w:rPr>
                <w:rFonts w:hint="eastAsia" w:ascii="宋体" w:hAnsi="宋体" w:cs="宋体"/>
                <w:highlight w:val="none"/>
                <w:lang w:val="en-US" w:eastAsia="zh-CN"/>
              </w:rPr>
              <w:t>，</w:t>
            </w:r>
            <w:r>
              <w:rPr>
                <w:rFonts w:hint="default" w:ascii="宋体" w:hAnsi="宋体" w:eastAsia="宋体" w:cs="宋体"/>
                <w:highlight w:val="none"/>
                <w:lang w:val="en-US" w:eastAsia="zh-CN"/>
              </w:rPr>
              <w:t>采购人可以拒绝接受该产品， 中标</w:t>
            </w:r>
            <w:r>
              <w:rPr>
                <w:rFonts w:hint="eastAsia" w:ascii="宋体" w:hAnsi="宋体" w:cs="宋体"/>
                <w:highlight w:val="none"/>
                <w:lang w:val="en-US" w:eastAsia="zh-CN"/>
              </w:rPr>
              <w:t>人</w:t>
            </w:r>
            <w:r>
              <w:rPr>
                <w:rFonts w:hint="default" w:ascii="宋体" w:hAnsi="宋体" w:eastAsia="宋体" w:cs="宋体"/>
                <w:highlight w:val="none"/>
                <w:lang w:val="en-US" w:eastAsia="zh-CN"/>
              </w:rPr>
              <w:t xml:space="preserve">需承担被采购人终止合同的一切风险和费用； </w:t>
            </w:r>
          </w:p>
          <w:p w14:paraId="11D340F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宋体" w:hAnsi="宋体" w:eastAsia="宋体" w:cs="宋体"/>
                <w:highlight w:val="none"/>
              </w:rPr>
            </w:pPr>
            <w:r>
              <w:rPr>
                <w:rFonts w:hint="eastAsia" w:ascii="宋体" w:hAnsi="宋体" w:cs="宋体"/>
                <w:highlight w:val="none"/>
                <w:lang w:val="en-US" w:eastAsia="zh-CN"/>
              </w:rPr>
              <w:t>（5）</w:t>
            </w:r>
            <w:r>
              <w:rPr>
                <w:rFonts w:hint="default" w:ascii="宋体" w:hAnsi="宋体" w:eastAsia="宋体" w:cs="宋体"/>
                <w:highlight w:val="none"/>
                <w:lang w:val="en-US" w:eastAsia="zh-CN"/>
              </w:rPr>
              <w:t>由采购人委托第三方专业机构进行验收。</w:t>
            </w:r>
          </w:p>
        </w:tc>
      </w:tr>
      <w:tr w14:paraId="347BE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845F4D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rPr>
            </w:pPr>
            <w:r>
              <w:rPr>
                <w:rFonts w:hint="eastAsia" w:ascii="宋体" w:hAnsi="宋体" w:cs="宋体"/>
                <w:b/>
                <w:bCs/>
                <w:i w:val="0"/>
                <w:iCs w:val="0"/>
                <w:color w:val="000000"/>
                <w:kern w:val="0"/>
                <w:sz w:val="21"/>
                <w:szCs w:val="21"/>
                <w:highlight w:val="none"/>
                <w:u w:val="none"/>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4D6830D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b/>
                <w:bCs/>
                <w:highlight w:val="none"/>
              </w:rPr>
            </w:pPr>
            <w:r>
              <w:rPr>
                <w:rFonts w:hint="eastAsia" w:ascii="宋体" w:hAnsi="宋体" w:eastAsia="宋体" w:cs="宋体"/>
                <w:b/>
                <w:bCs/>
                <w:highlight w:val="none"/>
                <w:lang w:val="en-US" w:eastAsia="zh-CN"/>
              </w:rPr>
              <w:t>保修</w:t>
            </w:r>
            <w:r>
              <w:rPr>
                <w:rFonts w:hint="default" w:ascii="宋体" w:hAnsi="宋体" w:eastAsia="宋体" w:cs="宋体"/>
                <w:b/>
                <w:bCs/>
                <w:highlight w:val="none"/>
                <w:lang w:val="en-US" w:eastAsia="zh-CN"/>
              </w:rPr>
              <w:t>和服务要求</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11C7199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highlight w:val="none"/>
                <w:lang w:eastAsia="zh-CN"/>
              </w:rPr>
            </w:pPr>
            <w:r>
              <w:rPr>
                <w:rFonts w:hint="eastAsia" w:ascii="宋体" w:hAnsi="宋体" w:eastAsia="宋体" w:cs="宋体"/>
                <w:highlight w:val="none"/>
              </w:rPr>
              <w:t>保修期12个月。 提供终身维修，保修期后维修只收配件费</w:t>
            </w:r>
            <w:r>
              <w:rPr>
                <w:rFonts w:hint="eastAsia" w:ascii="宋体" w:hAnsi="宋体" w:cs="宋体"/>
                <w:highlight w:val="none"/>
                <w:lang w:eastAsia="zh-CN"/>
              </w:rPr>
              <w:t>，以最优惠价格。</w:t>
            </w:r>
          </w:p>
        </w:tc>
      </w:tr>
      <w:tr w14:paraId="5EB8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2EDF35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rPr>
            </w:pPr>
            <w:r>
              <w:rPr>
                <w:rFonts w:hint="eastAsia" w:ascii="宋体" w:hAnsi="宋体" w:cs="宋体"/>
                <w:b/>
                <w:bCs/>
                <w:i w:val="0"/>
                <w:iCs w:val="0"/>
                <w:color w:val="000000"/>
                <w:kern w:val="0"/>
                <w:sz w:val="21"/>
                <w:szCs w:val="21"/>
                <w:highlight w:val="none"/>
                <w:u w:val="none"/>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27FD7FCF">
            <w:pPr>
              <w:keepNext w:val="0"/>
              <w:keepLines w:val="0"/>
              <w:widowControl/>
              <w:suppressLineNumbers w:val="0"/>
              <w:jc w:val="left"/>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售后服务要求</w:t>
            </w:r>
          </w:p>
        </w:tc>
        <w:tc>
          <w:tcPr>
            <w:tcW w:w="7922" w:type="dxa"/>
            <w:gridSpan w:val="5"/>
            <w:tcBorders>
              <w:top w:val="single" w:color="auto" w:sz="4" w:space="0"/>
              <w:left w:val="single" w:color="auto" w:sz="4" w:space="0"/>
              <w:bottom w:val="single" w:color="auto" w:sz="4" w:space="0"/>
              <w:right w:val="single" w:color="auto" w:sz="4" w:space="0"/>
            </w:tcBorders>
            <w:noWrap/>
            <w:vAlign w:val="center"/>
          </w:tcPr>
          <w:p w14:paraId="342ED2F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供应商须按国家有关规定实行“三包”，送货上门。提供现场安装、调试设备，进行操作试验，直至运行正常； 售后服务人员现场培训操作人员到能熟练操作产品的各种功能;</w:t>
            </w:r>
          </w:p>
          <w:p w14:paraId="4281864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保修期间出现故障，在接到使用单位报修通知后，4小时内响应； 24小时内到达现场， 一般故障12小时内修复使用，重大故障72小时内修复使用；</w:t>
            </w:r>
          </w:p>
          <w:p w14:paraId="33665A5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保修期满后出现故障，在接到保修通知后，6小时内响应，48小时内到达现场，一般故障24小时内修复使用；</w:t>
            </w:r>
          </w:p>
          <w:p w14:paraId="44A18A8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提供6个月一次的回访服务；</w:t>
            </w:r>
          </w:p>
        </w:tc>
      </w:tr>
    </w:tbl>
    <w:p w14:paraId="53F06BE9">
      <w:pPr>
        <w:spacing w:line="320" w:lineRule="exact"/>
        <w:ind w:firstLine="440" w:firstLineChars="200"/>
        <w:rPr>
          <w:rFonts w:ascii="宋体" w:hAnsi="宋体" w:cs="宋体"/>
          <w:bCs/>
          <w:color w:val="auto"/>
          <w:sz w:val="22"/>
          <w:szCs w:val="22"/>
          <w:highlight w:val="none"/>
        </w:rPr>
      </w:pPr>
    </w:p>
    <w:p w14:paraId="1F7092AD">
      <w:pPr>
        <w:tabs>
          <w:tab w:val="left" w:pos="432"/>
        </w:tabs>
        <w:rPr>
          <w:color w:val="auto"/>
          <w:highlight w:val="none"/>
        </w:rPr>
      </w:pPr>
    </w:p>
    <w:p w14:paraId="23039CA9">
      <w:pPr>
        <w:rPr>
          <w:color w:val="auto"/>
          <w:highlight w:val="none"/>
        </w:rPr>
      </w:pPr>
    </w:p>
    <w:p w14:paraId="33AD063E">
      <w:pPr>
        <w:tabs>
          <w:tab w:val="left" w:pos="432"/>
        </w:tabs>
        <w:rPr>
          <w:color w:val="auto"/>
          <w:highlight w:val="none"/>
        </w:rPr>
      </w:pPr>
    </w:p>
    <w:p w14:paraId="1D164C04">
      <w:pPr>
        <w:rPr>
          <w:color w:val="auto"/>
          <w:highlight w:val="none"/>
        </w:rPr>
      </w:pPr>
      <w:r>
        <w:rPr>
          <w:color w:val="auto"/>
          <w:highlight w:val="none"/>
        </w:rPr>
        <w:br w:type="page"/>
      </w:r>
    </w:p>
    <w:p w14:paraId="07772654">
      <w:pPr>
        <w:rPr>
          <w:color w:val="auto"/>
          <w:highlight w:val="none"/>
        </w:rPr>
      </w:pPr>
    </w:p>
    <w:p w14:paraId="11764BB1">
      <w:pPr>
        <w:spacing w:line="360" w:lineRule="auto"/>
        <w:jc w:val="center"/>
        <w:outlineLvl w:val="0"/>
        <w:rPr>
          <w:rFonts w:hint="eastAsia" w:ascii="宋体" w:hAnsi="宋体" w:eastAsia="宋体" w:cs="宋体"/>
          <w:b/>
          <w:color w:val="auto"/>
          <w:sz w:val="36"/>
          <w:szCs w:val="36"/>
          <w:highlight w:val="none"/>
          <w:lang w:eastAsia="zh-CN"/>
        </w:rPr>
      </w:pPr>
      <w:bookmarkStart w:id="63" w:name="_Toc18806"/>
      <w:bookmarkStart w:id="64" w:name="_Toc176185122"/>
      <w:bookmarkStart w:id="65" w:name="_Toc20712"/>
      <w:bookmarkStart w:id="66" w:name="_Toc12877"/>
      <w:bookmarkStart w:id="67" w:name="_Toc31148"/>
      <w:bookmarkStart w:id="68" w:name="_Toc254"/>
      <w:bookmarkStart w:id="69" w:name="_Toc176343851"/>
      <w:r>
        <w:rPr>
          <w:rFonts w:hint="eastAsia" w:ascii="宋体" w:hAnsi="宋体" w:cs="宋体"/>
          <w:b/>
          <w:color w:val="auto"/>
          <w:sz w:val="36"/>
          <w:szCs w:val="36"/>
          <w:highlight w:val="none"/>
        </w:rPr>
        <w:t xml:space="preserve">第四部分  </w:t>
      </w:r>
      <w:bookmarkStart w:id="70" w:name="_Toc184313263"/>
      <w:bookmarkEnd w:id="70"/>
      <w:bookmarkStart w:id="71" w:name="_Toc184313238"/>
      <w:bookmarkEnd w:id="71"/>
      <w:bookmarkStart w:id="72" w:name="_Toc184313260"/>
      <w:bookmarkEnd w:id="72"/>
      <w:bookmarkStart w:id="73" w:name="_Toc184310297"/>
      <w:bookmarkEnd w:id="73"/>
      <w:bookmarkStart w:id="74" w:name="_Toc184308047"/>
      <w:bookmarkEnd w:id="74"/>
      <w:bookmarkStart w:id="75" w:name="_Toc184310294"/>
      <w:bookmarkEnd w:id="75"/>
      <w:bookmarkStart w:id="76" w:name="_Toc184314479"/>
      <w:bookmarkEnd w:id="76"/>
      <w:bookmarkStart w:id="77" w:name="_Toc184314415"/>
      <w:bookmarkEnd w:id="77"/>
      <w:bookmarkStart w:id="78" w:name="_Toc184313257"/>
      <w:bookmarkEnd w:id="78"/>
      <w:bookmarkStart w:id="79" w:name="_Toc184310304"/>
      <w:bookmarkEnd w:id="79"/>
      <w:bookmarkStart w:id="80" w:name="_Toc184308086"/>
      <w:bookmarkEnd w:id="80"/>
      <w:bookmarkStart w:id="81" w:name="_Toc184313282"/>
      <w:bookmarkEnd w:id="81"/>
      <w:bookmarkStart w:id="82" w:name="_Toc184312133"/>
      <w:bookmarkEnd w:id="82"/>
      <w:bookmarkStart w:id="83" w:name="_Toc184313272"/>
      <w:bookmarkEnd w:id="83"/>
      <w:bookmarkStart w:id="84" w:name="_Toc184314469"/>
      <w:bookmarkEnd w:id="84"/>
      <w:bookmarkStart w:id="85" w:name="_Toc184312080"/>
      <w:bookmarkEnd w:id="85"/>
      <w:bookmarkStart w:id="86" w:name="_Toc184314475"/>
      <w:bookmarkEnd w:id="86"/>
      <w:bookmarkStart w:id="87" w:name="_Toc184308100"/>
      <w:bookmarkEnd w:id="87"/>
      <w:bookmarkStart w:id="88" w:name="_Toc184310273"/>
      <w:bookmarkEnd w:id="88"/>
      <w:bookmarkStart w:id="89" w:name="_Toc184313240"/>
      <w:bookmarkEnd w:id="89"/>
      <w:bookmarkStart w:id="90" w:name="_Toc184314440"/>
      <w:bookmarkEnd w:id="90"/>
      <w:bookmarkStart w:id="91" w:name="_Toc184312116"/>
      <w:bookmarkEnd w:id="91"/>
      <w:bookmarkStart w:id="92" w:name="_Toc184313267"/>
      <w:bookmarkEnd w:id="92"/>
      <w:bookmarkStart w:id="93" w:name="_Toc184308059"/>
      <w:bookmarkEnd w:id="93"/>
      <w:bookmarkStart w:id="94" w:name="_Toc184313299"/>
      <w:bookmarkEnd w:id="94"/>
      <w:bookmarkStart w:id="95" w:name="_Toc184308095"/>
      <w:bookmarkEnd w:id="95"/>
      <w:bookmarkStart w:id="96" w:name="_Toc184310295"/>
      <w:bookmarkEnd w:id="96"/>
      <w:bookmarkStart w:id="97" w:name="_Toc184314420"/>
      <w:bookmarkEnd w:id="97"/>
      <w:bookmarkStart w:id="98" w:name="_Toc184308063"/>
      <w:bookmarkEnd w:id="98"/>
      <w:bookmarkStart w:id="99" w:name="_Toc184308049"/>
      <w:bookmarkEnd w:id="99"/>
      <w:bookmarkStart w:id="100" w:name="_Toc184314424"/>
      <w:bookmarkEnd w:id="100"/>
      <w:bookmarkStart w:id="101" w:name="_Toc184313261"/>
      <w:bookmarkEnd w:id="101"/>
      <w:bookmarkStart w:id="102" w:name="_Toc184310308"/>
      <w:bookmarkEnd w:id="102"/>
      <w:bookmarkStart w:id="103" w:name="_Toc184310290"/>
      <w:bookmarkEnd w:id="103"/>
      <w:bookmarkStart w:id="104" w:name="_Toc184312118"/>
      <w:bookmarkEnd w:id="104"/>
      <w:bookmarkStart w:id="105" w:name="_Toc184313246"/>
      <w:bookmarkEnd w:id="105"/>
      <w:bookmarkStart w:id="106" w:name="_Toc184310322"/>
      <w:bookmarkEnd w:id="106"/>
      <w:bookmarkStart w:id="107" w:name="_Toc184312111"/>
      <w:bookmarkEnd w:id="107"/>
      <w:bookmarkStart w:id="108" w:name="_Toc184313278"/>
      <w:bookmarkEnd w:id="108"/>
      <w:bookmarkStart w:id="109" w:name="_Toc184312075"/>
      <w:bookmarkEnd w:id="109"/>
      <w:bookmarkStart w:id="110" w:name="_Toc184310276"/>
      <w:bookmarkEnd w:id="110"/>
      <w:bookmarkStart w:id="111" w:name="_Toc184310305"/>
      <w:bookmarkEnd w:id="111"/>
      <w:bookmarkStart w:id="112" w:name="_Toc184310328"/>
      <w:bookmarkEnd w:id="112"/>
      <w:bookmarkStart w:id="113" w:name="_Toc184310298"/>
      <w:bookmarkEnd w:id="113"/>
      <w:bookmarkStart w:id="114" w:name="_Toc184314452"/>
      <w:bookmarkEnd w:id="114"/>
      <w:bookmarkStart w:id="115" w:name="_Toc184312094"/>
      <w:bookmarkEnd w:id="115"/>
      <w:bookmarkStart w:id="116" w:name="_Toc184310274"/>
      <w:bookmarkEnd w:id="116"/>
      <w:bookmarkStart w:id="117" w:name="_Toc184313294"/>
      <w:bookmarkEnd w:id="117"/>
      <w:bookmarkStart w:id="118" w:name="_Toc184314412"/>
      <w:bookmarkEnd w:id="118"/>
      <w:bookmarkStart w:id="119" w:name="_Toc184312067"/>
      <w:bookmarkEnd w:id="119"/>
      <w:bookmarkStart w:id="120" w:name="_Toc184308062"/>
      <w:bookmarkEnd w:id="120"/>
      <w:bookmarkStart w:id="121" w:name="_Toc184310321"/>
      <w:bookmarkEnd w:id="121"/>
      <w:bookmarkStart w:id="122" w:name="_Toc184308088"/>
      <w:bookmarkEnd w:id="122"/>
      <w:bookmarkStart w:id="123" w:name="_Toc184313241"/>
      <w:bookmarkEnd w:id="123"/>
      <w:bookmarkStart w:id="124" w:name="_Toc184314474"/>
      <w:bookmarkEnd w:id="124"/>
      <w:bookmarkStart w:id="125" w:name="_Toc184312093"/>
      <w:bookmarkEnd w:id="125"/>
      <w:bookmarkStart w:id="126" w:name="_Toc184310342"/>
      <w:bookmarkEnd w:id="126"/>
      <w:bookmarkStart w:id="127" w:name="_Toc184312092"/>
      <w:bookmarkEnd w:id="127"/>
      <w:bookmarkStart w:id="128" w:name="_Toc184310281"/>
      <w:bookmarkEnd w:id="128"/>
      <w:bookmarkStart w:id="129" w:name="_Toc184310289"/>
      <w:bookmarkEnd w:id="129"/>
      <w:bookmarkStart w:id="130" w:name="_Toc184313287"/>
      <w:bookmarkEnd w:id="130"/>
      <w:bookmarkStart w:id="131" w:name="_Toc184314418"/>
      <w:bookmarkEnd w:id="131"/>
      <w:bookmarkStart w:id="132" w:name="_Toc184312081"/>
      <w:bookmarkEnd w:id="132"/>
      <w:bookmarkStart w:id="133" w:name="_Toc184308075"/>
      <w:bookmarkEnd w:id="133"/>
      <w:bookmarkStart w:id="134" w:name="_Toc184312104"/>
      <w:bookmarkEnd w:id="134"/>
      <w:bookmarkStart w:id="135" w:name="_Toc184312129"/>
      <w:bookmarkEnd w:id="135"/>
      <w:bookmarkStart w:id="136" w:name="_Toc184313244"/>
      <w:bookmarkEnd w:id="136"/>
      <w:bookmarkStart w:id="137" w:name="_Toc184313303"/>
      <w:bookmarkEnd w:id="137"/>
      <w:bookmarkStart w:id="138" w:name="_Toc184313254"/>
      <w:bookmarkEnd w:id="138"/>
      <w:bookmarkStart w:id="139" w:name="_Toc184313306"/>
      <w:bookmarkEnd w:id="139"/>
      <w:bookmarkStart w:id="140" w:name="_Toc184314461"/>
      <w:bookmarkEnd w:id="140"/>
      <w:bookmarkStart w:id="141" w:name="_Toc184310318"/>
      <w:bookmarkEnd w:id="141"/>
      <w:bookmarkStart w:id="142" w:name="_Toc184314478"/>
      <w:bookmarkEnd w:id="142"/>
      <w:bookmarkStart w:id="143" w:name="_Toc184313273"/>
      <w:bookmarkEnd w:id="143"/>
      <w:bookmarkStart w:id="144" w:name="_Toc184314455"/>
      <w:bookmarkEnd w:id="144"/>
      <w:bookmarkStart w:id="145" w:name="_Toc184308040"/>
      <w:bookmarkEnd w:id="145"/>
      <w:bookmarkStart w:id="146" w:name="_Toc184314417"/>
      <w:bookmarkEnd w:id="146"/>
      <w:bookmarkStart w:id="147" w:name="_Toc184313301"/>
      <w:bookmarkEnd w:id="147"/>
      <w:bookmarkStart w:id="148" w:name="_Toc184312110"/>
      <w:bookmarkEnd w:id="148"/>
      <w:bookmarkStart w:id="149" w:name="_Toc184308096"/>
      <w:bookmarkEnd w:id="149"/>
      <w:bookmarkStart w:id="150" w:name="_Toc184308106"/>
      <w:bookmarkEnd w:id="150"/>
      <w:bookmarkStart w:id="151" w:name="_Toc184312130"/>
      <w:bookmarkEnd w:id="151"/>
      <w:bookmarkStart w:id="152" w:name="_Toc184310285"/>
      <w:bookmarkEnd w:id="152"/>
      <w:bookmarkStart w:id="153" w:name="_Toc184314464"/>
      <w:bookmarkEnd w:id="153"/>
      <w:bookmarkStart w:id="154" w:name="_Toc184310337"/>
      <w:bookmarkEnd w:id="154"/>
      <w:bookmarkStart w:id="155" w:name="_Toc184310331"/>
      <w:bookmarkEnd w:id="155"/>
      <w:bookmarkStart w:id="156" w:name="_Toc184312132"/>
      <w:bookmarkEnd w:id="156"/>
      <w:bookmarkStart w:id="157" w:name="_Toc184314462"/>
      <w:bookmarkEnd w:id="157"/>
      <w:bookmarkStart w:id="158" w:name="_Toc184308071"/>
      <w:bookmarkEnd w:id="158"/>
      <w:bookmarkStart w:id="159" w:name="_Toc184308064"/>
      <w:bookmarkEnd w:id="159"/>
      <w:bookmarkStart w:id="160" w:name="_Toc184308103"/>
      <w:bookmarkEnd w:id="160"/>
      <w:bookmarkStart w:id="161" w:name="_Toc184313255"/>
      <w:bookmarkEnd w:id="161"/>
      <w:bookmarkStart w:id="162" w:name="_Toc184313308"/>
      <w:bookmarkEnd w:id="162"/>
      <w:bookmarkStart w:id="163" w:name="_Toc184310335"/>
      <w:bookmarkEnd w:id="163"/>
      <w:bookmarkStart w:id="164" w:name="_Toc184308038"/>
      <w:bookmarkEnd w:id="164"/>
      <w:bookmarkStart w:id="165" w:name="_Toc184312097"/>
      <w:bookmarkEnd w:id="165"/>
      <w:bookmarkStart w:id="166" w:name="_Toc184314411"/>
      <w:bookmarkEnd w:id="166"/>
      <w:bookmarkStart w:id="167" w:name="_Toc184314463"/>
      <w:bookmarkEnd w:id="167"/>
      <w:bookmarkStart w:id="168" w:name="_Toc184310293"/>
      <w:bookmarkEnd w:id="168"/>
      <w:bookmarkStart w:id="169" w:name="_Toc184310332"/>
      <w:bookmarkEnd w:id="169"/>
      <w:bookmarkStart w:id="170" w:name="_Toc184312112"/>
      <w:bookmarkEnd w:id="170"/>
      <w:bookmarkStart w:id="171" w:name="_Toc184308044"/>
      <w:bookmarkEnd w:id="171"/>
      <w:bookmarkStart w:id="172" w:name="_Toc184312124"/>
      <w:bookmarkEnd w:id="172"/>
      <w:bookmarkStart w:id="173" w:name="_Toc184310323"/>
      <w:bookmarkEnd w:id="173"/>
      <w:bookmarkStart w:id="174" w:name="_Toc184314429"/>
      <w:bookmarkEnd w:id="174"/>
      <w:bookmarkStart w:id="175" w:name="_Toc184310344"/>
      <w:bookmarkEnd w:id="175"/>
      <w:bookmarkStart w:id="176" w:name="_Toc184308058"/>
      <w:bookmarkEnd w:id="176"/>
      <w:bookmarkStart w:id="177" w:name="_Toc184310313"/>
      <w:bookmarkEnd w:id="177"/>
      <w:bookmarkStart w:id="178" w:name="_Toc184314423"/>
      <w:bookmarkEnd w:id="178"/>
      <w:bookmarkStart w:id="179" w:name="_Toc184312088"/>
      <w:bookmarkEnd w:id="179"/>
      <w:bookmarkStart w:id="180" w:name="_Toc184314436"/>
      <w:bookmarkEnd w:id="180"/>
      <w:bookmarkStart w:id="181" w:name="_Toc184310287"/>
      <w:bookmarkEnd w:id="181"/>
      <w:bookmarkStart w:id="182" w:name="_Toc184310316"/>
      <w:bookmarkEnd w:id="182"/>
      <w:bookmarkStart w:id="183" w:name="_Toc184312096"/>
      <w:bookmarkEnd w:id="183"/>
      <w:bookmarkStart w:id="184" w:name="_Toc184313245"/>
      <w:bookmarkEnd w:id="184"/>
      <w:bookmarkStart w:id="185" w:name="_Toc184312105"/>
      <w:bookmarkEnd w:id="185"/>
      <w:bookmarkStart w:id="186" w:name="_Toc184312115"/>
      <w:bookmarkEnd w:id="186"/>
      <w:bookmarkStart w:id="187" w:name="_Toc184313285"/>
      <w:bookmarkEnd w:id="187"/>
      <w:bookmarkStart w:id="188" w:name="_Toc184314435"/>
      <w:bookmarkEnd w:id="188"/>
      <w:bookmarkStart w:id="189" w:name="_Toc184308085"/>
      <w:bookmarkEnd w:id="189"/>
      <w:bookmarkStart w:id="190" w:name="_Toc184313252"/>
      <w:bookmarkEnd w:id="190"/>
      <w:bookmarkStart w:id="191" w:name="_Toc184308039"/>
      <w:bookmarkEnd w:id="191"/>
      <w:bookmarkStart w:id="192" w:name="_Toc184313239"/>
      <w:bookmarkEnd w:id="192"/>
      <w:bookmarkStart w:id="193" w:name="_Toc184312071"/>
      <w:bookmarkEnd w:id="193"/>
      <w:bookmarkStart w:id="194" w:name="_Toc184310278"/>
      <w:bookmarkEnd w:id="194"/>
      <w:bookmarkStart w:id="195" w:name="_Toc184314421"/>
      <w:bookmarkEnd w:id="195"/>
      <w:bookmarkStart w:id="196" w:name="_Toc184313300"/>
      <w:bookmarkEnd w:id="196"/>
      <w:bookmarkStart w:id="197" w:name="_Toc184310326"/>
      <w:bookmarkEnd w:id="197"/>
      <w:bookmarkStart w:id="198" w:name="_Toc184312123"/>
      <w:bookmarkEnd w:id="198"/>
      <w:bookmarkStart w:id="199" w:name="_Toc184314449"/>
      <w:bookmarkEnd w:id="199"/>
      <w:bookmarkStart w:id="200" w:name="_Toc184314471"/>
      <w:bookmarkEnd w:id="200"/>
      <w:bookmarkStart w:id="201" w:name="_Toc184308108"/>
      <w:bookmarkEnd w:id="201"/>
      <w:bookmarkStart w:id="202" w:name="_Toc184308041"/>
      <w:bookmarkEnd w:id="202"/>
      <w:bookmarkStart w:id="203" w:name="_Toc184312085"/>
      <w:bookmarkEnd w:id="203"/>
      <w:bookmarkStart w:id="204" w:name="_Toc184308105"/>
      <w:bookmarkEnd w:id="204"/>
      <w:bookmarkStart w:id="205" w:name="_Toc184310302"/>
      <w:bookmarkEnd w:id="205"/>
      <w:bookmarkStart w:id="206" w:name="_Toc184313281"/>
      <w:bookmarkEnd w:id="206"/>
      <w:bookmarkStart w:id="207" w:name="_Toc184313248"/>
      <w:bookmarkEnd w:id="207"/>
      <w:bookmarkStart w:id="208" w:name="_Toc184313279"/>
      <w:bookmarkEnd w:id="208"/>
      <w:bookmarkStart w:id="209" w:name="_Toc184312135"/>
      <w:bookmarkEnd w:id="209"/>
      <w:bookmarkStart w:id="210" w:name="_Toc184312083"/>
      <w:bookmarkEnd w:id="210"/>
      <w:bookmarkStart w:id="211" w:name="_Toc184310333"/>
      <w:bookmarkEnd w:id="211"/>
      <w:bookmarkStart w:id="212" w:name="_Toc184314446"/>
      <w:bookmarkEnd w:id="212"/>
      <w:bookmarkStart w:id="213" w:name="_Toc184312137"/>
      <w:bookmarkEnd w:id="213"/>
      <w:bookmarkStart w:id="214" w:name="_Toc184308055"/>
      <w:bookmarkEnd w:id="214"/>
      <w:bookmarkStart w:id="215" w:name="_Toc184312087"/>
      <w:bookmarkEnd w:id="215"/>
      <w:bookmarkStart w:id="216" w:name="_Toc184313289"/>
      <w:bookmarkEnd w:id="216"/>
      <w:bookmarkStart w:id="217" w:name="_Toc184312127"/>
      <w:bookmarkEnd w:id="217"/>
      <w:bookmarkStart w:id="218" w:name="_Toc184314437"/>
      <w:bookmarkEnd w:id="218"/>
      <w:bookmarkStart w:id="219" w:name="_Toc184310329"/>
      <w:bookmarkEnd w:id="219"/>
      <w:bookmarkStart w:id="220" w:name="_Toc184310300"/>
      <w:bookmarkEnd w:id="220"/>
      <w:bookmarkStart w:id="221" w:name="_Toc184312108"/>
      <w:bookmarkEnd w:id="221"/>
      <w:bookmarkStart w:id="222" w:name="_Toc184308076"/>
      <w:bookmarkEnd w:id="222"/>
      <w:bookmarkStart w:id="223" w:name="_Toc184312091"/>
      <w:bookmarkEnd w:id="223"/>
      <w:bookmarkStart w:id="224" w:name="_Toc184314414"/>
      <w:bookmarkEnd w:id="224"/>
      <w:bookmarkStart w:id="225" w:name="_Toc184312077"/>
      <w:bookmarkEnd w:id="225"/>
      <w:bookmarkStart w:id="226" w:name="_Toc184308052"/>
      <w:bookmarkEnd w:id="226"/>
      <w:bookmarkStart w:id="227" w:name="_Toc184308087"/>
      <w:bookmarkEnd w:id="227"/>
      <w:bookmarkStart w:id="228" w:name="_Toc184313264"/>
      <w:bookmarkEnd w:id="228"/>
      <w:bookmarkStart w:id="229" w:name="_Toc184308101"/>
      <w:bookmarkEnd w:id="229"/>
      <w:bookmarkStart w:id="230" w:name="_Toc184312119"/>
      <w:bookmarkEnd w:id="230"/>
      <w:bookmarkStart w:id="231" w:name="_Toc184310283"/>
      <w:bookmarkEnd w:id="231"/>
      <w:bookmarkStart w:id="232" w:name="_Toc184313269"/>
      <w:bookmarkEnd w:id="232"/>
      <w:bookmarkStart w:id="233" w:name="_Toc184312079"/>
      <w:bookmarkEnd w:id="233"/>
      <w:bookmarkStart w:id="234" w:name="_Toc184312098"/>
      <w:bookmarkEnd w:id="234"/>
      <w:bookmarkStart w:id="235" w:name="_Toc184314431"/>
      <w:bookmarkEnd w:id="235"/>
      <w:bookmarkStart w:id="236" w:name="_Toc184313290"/>
      <w:bookmarkEnd w:id="236"/>
      <w:bookmarkStart w:id="237" w:name="_Toc184310314"/>
      <w:bookmarkEnd w:id="237"/>
      <w:bookmarkStart w:id="238" w:name="_Toc184312078"/>
      <w:bookmarkEnd w:id="238"/>
      <w:bookmarkStart w:id="239" w:name="_Toc184308089"/>
      <w:bookmarkEnd w:id="239"/>
      <w:bookmarkStart w:id="240" w:name="_Toc184313276"/>
      <w:bookmarkEnd w:id="240"/>
      <w:bookmarkStart w:id="241" w:name="_Toc184308057"/>
      <w:bookmarkEnd w:id="241"/>
      <w:bookmarkStart w:id="242" w:name="_Toc184313243"/>
      <w:bookmarkEnd w:id="242"/>
      <w:bookmarkStart w:id="243" w:name="_Toc184310282"/>
      <w:bookmarkEnd w:id="243"/>
      <w:bookmarkStart w:id="244" w:name="_Toc184313297"/>
      <w:bookmarkEnd w:id="244"/>
      <w:bookmarkStart w:id="245" w:name="_Toc184310280"/>
      <w:bookmarkEnd w:id="245"/>
      <w:bookmarkStart w:id="246" w:name="_Toc184308070"/>
      <w:bookmarkEnd w:id="246"/>
      <w:bookmarkStart w:id="247" w:name="_Toc184314450"/>
      <w:bookmarkEnd w:id="247"/>
      <w:bookmarkStart w:id="248" w:name="_Toc184308083"/>
      <w:bookmarkEnd w:id="248"/>
      <w:bookmarkStart w:id="249" w:name="_Toc184312121"/>
      <w:bookmarkEnd w:id="249"/>
      <w:bookmarkStart w:id="250" w:name="_Toc184310307"/>
      <w:bookmarkEnd w:id="250"/>
      <w:bookmarkStart w:id="251" w:name="_Toc184310341"/>
      <w:bookmarkEnd w:id="251"/>
      <w:bookmarkStart w:id="252" w:name="_Toc184313296"/>
      <w:bookmarkEnd w:id="252"/>
      <w:bookmarkStart w:id="253" w:name="_Toc184310288"/>
      <w:bookmarkEnd w:id="253"/>
      <w:bookmarkStart w:id="254" w:name="_Toc184313302"/>
      <w:bookmarkEnd w:id="254"/>
      <w:bookmarkStart w:id="255" w:name="_Toc184312101"/>
      <w:bookmarkEnd w:id="255"/>
      <w:bookmarkStart w:id="256" w:name="_Toc184313292"/>
      <w:bookmarkEnd w:id="256"/>
      <w:bookmarkStart w:id="257" w:name="_Toc184314432"/>
      <w:bookmarkEnd w:id="257"/>
      <w:bookmarkStart w:id="258" w:name="_Toc184312114"/>
      <w:bookmarkEnd w:id="258"/>
      <w:bookmarkStart w:id="259" w:name="_Toc184308048"/>
      <w:bookmarkEnd w:id="259"/>
      <w:bookmarkStart w:id="260" w:name="_Toc184312125"/>
      <w:bookmarkEnd w:id="260"/>
      <w:bookmarkStart w:id="261" w:name="_Toc184308099"/>
      <w:bookmarkEnd w:id="261"/>
      <w:bookmarkStart w:id="262" w:name="_Toc184310296"/>
      <w:bookmarkEnd w:id="262"/>
      <w:bookmarkStart w:id="263" w:name="_Toc184310309"/>
      <w:bookmarkEnd w:id="263"/>
      <w:bookmarkStart w:id="264" w:name="_Toc184308091"/>
      <w:bookmarkEnd w:id="264"/>
      <w:bookmarkStart w:id="265" w:name="_Toc184308081"/>
      <w:bookmarkEnd w:id="265"/>
      <w:bookmarkStart w:id="266" w:name="_Toc184310339"/>
      <w:bookmarkEnd w:id="266"/>
      <w:bookmarkStart w:id="267" w:name="_Toc184312090"/>
      <w:bookmarkEnd w:id="267"/>
      <w:bookmarkStart w:id="268" w:name="_Toc184312103"/>
      <w:bookmarkEnd w:id="268"/>
      <w:bookmarkStart w:id="269" w:name="_Toc184314422"/>
      <w:bookmarkEnd w:id="269"/>
      <w:bookmarkStart w:id="270" w:name="_Toc184312084"/>
      <w:bookmarkEnd w:id="270"/>
      <w:bookmarkStart w:id="271" w:name="_Toc184312109"/>
      <w:bookmarkEnd w:id="271"/>
      <w:bookmarkStart w:id="272" w:name="_Toc184313298"/>
      <w:bookmarkEnd w:id="272"/>
      <w:bookmarkStart w:id="273" w:name="_Toc184310301"/>
      <w:bookmarkEnd w:id="273"/>
      <w:bookmarkStart w:id="274" w:name="_Toc184314473"/>
      <w:bookmarkEnd w:id="274"/>
      <w:bookmarkStart w:id="275" w:name="_Toc184314456"/>
      <w:bookmarkEnd w:id="275"/>
      <w:bookmarkStart w:id="276" w:name="_Toc184314454"/>
      <w:bookmarkEnd w:id="276"/>
      <w:bookmarkStart w:id="277" w:name="_Toc184308069"/>
      <w:bookmarkEnd w:id="277"/>
      <w:bookmarkStart w:id="278" w:name="_Toc184312095"/>
      <w:bookmarkEnd w:id="278"/>
      <w:bookmarkStart w:id="279" w:name="_Toc184310315"/>
      <w:bookmarkEnd w:id="279"/>
      <w:bookmarkStart w:id="280" w:name="_Toc184312074"/>
      <w:bookmarkEnd w:id="280"/>
      <w:bookmarkStart w:id="281" w:name="_Toc184310284"/>
      <w:bookmarkEnd w:id="281"/>
      <w:bookmarkStart w:id="282" w:name="_Toc184314425"/>
      <w:bookmarkEnd w:id="282"/>
      <w:bookmarkStart w:id="283" w:name="_Toc184312134"/>
      <w:bookmarkEnd w:id="283"/>
      <w:bookmarkStart w:id="284" w:name="_Toc184310343"/>
      <w:bookmarkEnd w:id="284"/>
      <w:bookmarkStart w:id="285" w:name="_Toc184313280"/>
      <w:bookmarkEnd w:id="285"/>
      <w:bookmarkStart w:id="286" w:name="_Toc184314438"/>
      <w:bookmarkEnd w:id="286"/>
      <w:bookmarkStart w:id="287" w:name="_Toc184310286"/>
      <w:bookmarkEnd w:id="287"/>
      <w:bookmarkStart w:id="288" w:name="_Toc184308067"/>
      <w:bookmarkEnd w:id="288"/>
      <w:bookmarkStart w:id="289" w:name="_Toc184310311"/>
      <w:bookmarkEnd w:id="289"/>
      <w:bookmarkStart w:id="290" w:name="_Toc184308094"/>
      <w:bookmarkEnd w:id="290"/>
      <w:bookmarkStart w:id="291" w:name="_Toc184314453"/>
      <w:bookmarkEnd w:id="291"/>
      <w:bookmarkStart w:id="292" w:name="_Toc184314444"/>
      <w:bookmarkEnd w:id="292"/>
      <w:bookmarkStart w:id="293" w:name="_Toc184313250"/>
      <w:bookmarkEnd w:id="293"/>
      <w:bookmarkStart w:id="294" w:name="_Toc184310310"/>
      <w:bookmarkEnd w:id="294"/>
      <w:bookmarkStart w:id="295" w:name="_Toc184313271"/>
      <w:bookmarkEnd w:id="295"/>
      <w:bookmarkStart w:id="296" w:name="_Toc184314467"/>
      <w:bookmarkEnd w:id="296"/>
      <w:bookmarkStart w:id="297" w:name="_Toc184312100"/>
      <w:bookmarkEnd w:id="297"/>
      <w:bookmarkStart w:id="298" w:name="_Toc184308080"/>
      <w:bookmarkEnd w:id="298"/>
      <w:bookmarkStart w:id="299" w:name="_Toc184314457"/>
      <w:bookmarkEnd w:id="299"/>
      <w:bookmarkStart w:id="300" w:name="_Toc184308098"/>
      <w:bookmarkEnd w:id="300"/>
      <w:bookmarkStart w:id="301" w:name="_Toc184314410"/>
      <w:bookmarkEnd w:id="301"/>
      <w:bookmarkStart w:id="302" w:name="_Toc184314427"/>
      <w:bookmarkEnd w:id="302"/>
      <w:bookmarkStart w:id="303" w:name="_Toc184310312"/>
      <w:bookmarkEnd w:id="303"/>
      <w:bookmarkStart w:id="304" w:name="_Toc184310272"/>
      <w:bookmarkEnd w:id="304"/>
      <w:bookmarkStart w:id="305" w:name="_Toc184310275"/>
      <w:bookmarkEnd w:id="305"/>
      <w:bookmarkStart w:id="306" w:name="_Toc184314482"/>
      <w:bookmarkEnd w:id="306"/>
      <w:bookmarkStart w:id="307" w:name="_Toc184314480"/>
      <w:bookmarkEnd w:id="307"/>
      <w:bookmarkStart w:id="308" w:name="_Toc184308050"/>
      <w:bookmarkEnd w:id="308"/>
      <w:bookmarkStart w:id="309" w:name="_Toc184308046"/>
      <w:bookmarkEnd w:id="309"/>
      <w:bookmarkStart w:id="310" w:name="_Toc184310327"/>
      <w:bookmarkEnd w:id="310"/>
      <w:bookmarkStart w:id="311" w:name="_Toc184313258"/>
      <w:bookmarkEnd w:id="311"/>
      <w:bookmarkStart w:id="312" w:name="_Toc184312099"/>
      <w:bookmarkEnd w:id="312"/>
      <w:bookmarkStart w:id="313" w:name="_Toc184313275"/>
      <w:bookmarkEnd w:id="313"/>
      <w:bookmarkStart w:id="314" w:name="_Toc184310299"/>
      <w:bookmarkEnd w:id="314"/>
      <w:bookmarkStart w:id="315" w:name="_Toc184312139"/>
      <w:bookmarkEnd w:id="315"/>
      <w:bookmarkStart w:id="316" w:name="_Toc184314451"/>
      <w:bookmarkEnd w:id="316"/>
      <w:bookmarkStart w:id="317" w:name="_Toc184313309"/>
      <w:bookmarkEnd w:id="317"/>
      <w:bookmarkStart w:id="318" w:name="_Toc184313310"/>
      <w:bookmarkEnd w:id="318"/>
      <w:bookmarkStart w:id="319" w:name="_Toc184314434"/>
      <w:bookmarkEnd w:id="319"/>
      <w:bookmarkStart w:id="320" w:name="_Toc184313249"/>
      <w:bookmarkEnd w:id="320"/>
      <w:bookmarkStart w:id="321" w:name="_Toc184310291"/>
      <w:bookmarkEnd w:id="321"/>
      <w:bookmarkStart w:id="322" w:name="_Toc184314481"/>
      <w:bookmarkEnd w:id="322"/>
      <w:bookmarkStart w:id="323" w:name="_Toc184308060"/>
      <w:bookmarkEnd w:id="323"/>
      <w:bookmarkStart w:id="324" w:name="_Toc184308092"/>
      <w:bookmarkEnd w:id="324"/>
      <w:bookmarkStart w:id="325" w:name="_Toc184312128"/>
      <w:bookmarkEnd w:id="325"/>
      <w:bookmarkStart w:id="326" w:name="_Toc184313266"/>
      <w:bookmarkEnd w:id="326"/>
      <w:bookmarkStart w:id="327" w:name="_Toc184310324"/>
      <w:bookmarkEnd w:id="327"/>
      <w:bookmarkStart w:id="328" w:name="_Toc184310317"/>
      <w:bookmarkEnd w:id="328"/>
      <w:bookmarkStart w:id="329" w:name="_Toc184308107"/>
      <w:bookmarkEnd w:id="329"/>
      <w:bookmarkStart w:id="330" w:name="_Toc184310325"/>
      <w:bookmarkEnd w:id="330"/>
      <w:bookmarkStart w:id="331" w:name="_Toc184310336"/>
      <w:bookmarkEnd w:id="331"/>
      <w:bookmarkStart w:id="332" w:name="_Toc184308042"/>
      <w:bookmarkEnd w:id="332"/>
      <w:bookmarkStart w:id="333" w:name="_Toc184313251"/>
      <w:bookmarkEnd w:id="333"/>
      <w:bookmarkStart w:id="334" w:name="_Toc184310306"/>
      <w:bookmarkEnd w:id="334"/>
      <w:bookmarkStart w:id="335" w:name="_Toc184313304"/>
      <w:bookmarkEnd w:id="335"/>
      <w:bookmarkStart w:id="336" w:name="_Toc184310340"/>
      <w:bookmarkEnd w:id="336"/>
      <w:bookmarkStart w:id="337" w:name="_Toc184308043"/>
      <w:bookmarkEnd w:id="337"/>
      <w:bookmarkStart w:id="338" w:name="_Toc184308056"/>
      <w:bookmarkEnd w:id="338"/>
      <w:bookmarkStart w:id="339" w:name="_Toc184313307"/>
      <w:bookmarkEnd w:id="339"/>
      <w:bookmarkStart w:id="340" w:name="_Toc184313286"/>
      <w:bookmarkEnd w:id="340"/>
      <w:bookmarkStart w:id="341" w:name="_Toc184312122"/>
      <w:bookmarkEnd w:id="341"/>
      <w:bookmarkStart w:id="342" w:name="_Toc184313291"/>
      <w:bookmarkEnd w:id="342"/>
      <w:bookmarkStart w:id="343" w:name="_Toc184312072"/>
      <w:bookmarkEnd w:id="343"/>
      <w:bookmarkStart w:id="344" w:name="_Toc184314476"/>
      <w:bookmarkEnd w:id="344"/>
      <w:bookmarkStart w:id="345" w:name="_Toc184314472"/>
      <w:bookmarkEnd w:id="345"/>
      <w:bookmarkStart w:id="346" w:name="_Toc184313293"/>
      <w:bookmarkEnd w:id="346"/>
      <w:bookmarkStart w:id="347" w:name="_Toc184313270"/>
      <w:bookmarkEnd w:id="347"/>
      <w:bookmarkStart w:id="348" w:name="_Toc184310330"/>
      <w:bookmarkEnd w:id="348"/>
      <w:bookmarkStart w:id="349" w:name="_Toc184308073"/>
      <w:bookmarkEnd w:id="349"/>
      <w:bookmarkStart w:id="350" w:name="_Toc184313268"/>
      <w:bookmarkEnd w:id="350"/>
      <w:bookmarkStart w:id="351" w:name="_Toc184312113"/>
      <w:bookmarkEnd w:id="351"/>
      <w:bookmarkStart w:id="352" w:name="_Toc184308104"/>
      <w:bookmarkEnd w:id="352"/>
      <w:bookmarkStart w:id="353" w:name="_Toc184314419"/>
      <w:bookmarkEnd w:id="353"/>
      <w:bookmarkStart w:id="354" w:name="_Toc184308078"/>
      <w:bookmarkEnd w:id="354"/>
      <w:bookmarkStart w:id="355" w:name="_Toc184314439"/>
      <w:bookmarkEnd w:id="355"/>
      <w:bookmarkStart w:id="356" w:name="_Toc184308102"/>
      <w:bookmarkEnd w:id="356"/>
      <w:bookmarkStart w:id="357" w:name="_Toc184312136"/>
      <w:bookmarkEnd w:id="357"/>
      <w:bookmarkStart w:id="358" w:name="_Toc184314447"/>
      <w:bookmarkEnd w:id="358"/>
      <w:bookmarkStart w:id="359" w:name="_Toc184312138"/>
      <w:bookmarkEnd w:id="359"/>
      <w:bookmarkStart w:id="360" w:name="_Toc184313259"/>
      <w:bookmarkEnd w:id="360"/>
      <w:bookmarkStart w:id="361" w:name="_Toc184308079"/>
      <w:bookmarkEnd w:id="361"/>
      <w:bookmarkStart w:id="362" w:name="_Toc184310320"/>
      <w:bookmarkEnd w:id="362"/>
      <w:bookmarkStart w:id="363" w:name="_Toc184314443"/>
      <w:bookmarkEnd w:id="363"/>
      <w:bookmarkStart w:id="364" w:name="_Toc184312131"/>
      <w:bookmarkEnd w:id="364"/>
      <w:bookmarkStart w:id="365" w:name="_Toc184310319"/>
      <w:bookmarkEnd w:id="365"/>
      <w:bookmarkStart w:id="366" w:name="_Toc184308097"/>
      <w:bookmarkEnd w:id="366"/>
      <w:bookmarkStart w:id="367" w:name="_Toc184312073"/>
      <w:bookmarkEnd w:id="367"/>
      <w:bookmarkStart w:id="368" w:name="_Toc184308045"/>
      <w:bookmarkEnd w:id="368"/>
      <w:bookmarkStart w:id="369" w:name="_Toc184312126"/>
      <w:bookmarkEnd w:id="369"/>
      <w:bookmarkStart w:id="370" w:name="_Toc184314430"/>
      <w:bookmarkEnd w:id="370"/>
      <w:bookmarkStart w:id="371" w:name="_Toc184310279"/>
      <w:bookmarkEnd w:id="371"/>
      <w:bookmarkStart w:id="372" w:name="_Toc184312076"/>
      <w:bookmarkEnd w:id="372"/>
      <w:bookmarkStart w:id="373" w:name="_Toc184313274"/>
      <w:bookmarkEnd w:id="373"/>
      <w:bookmarkStart w:id="374" w:name="_Toc184312069"/>
      <w:bookmarkEnd w:id="374"/>
      <w:bookmarkStart w:id="375" w:name="_Toc184310303"/>
      <w:bookmarkEnd w:id="375"/>
      <w:bookmarkStart w:id="376" w:name="_Toc184308036"/>
      <w:bookmarkEnd w:id="376"/>
      <w:bookmarkStart w:id="377" w:name="_Toc184313284"/>
      <w:bookmarkEnd w:id="377"/>
      <w:bookmarkStart w:id="378" w:name="_Toc184312089"/>
      <w:bookmarkEnd w:id="378"/>
      <w:bookmarkStart w:id="379" w:name="_Toc184312082"/>
      <w:bookmarkEnd w:id="379"/>
      <w:bookmarkStart w:id="380" w:name="_Toc184314448"/>
      <w:bookmarkEnd w:id="380"/>
      <w:bookmarkStart w:id="381" w:name="_Toc184314413"/>
      <w:bookmarkEnd w:id="381"/>
      <w:bookmarkStart w:id="382" w:name="_Toc184308077"/>
      <w:bookmarkEnd w:id="382"/>
      <w:bookmarkStart w:id="383" w:name="_Toc184314458"/>
      <w:bookmarkEnd w:id="383"/>
      <w:bookmarkStart w:id="384" w:name="_Toc184314465"/>
      <w:bookmarkEnd w:id="384"/>
      <w:bookmarkStart w:id="385" w:name="_Toc184308082"/>
      <w:bookmarkEnd w:id="385"/>
      <w:bookmarkStart w:id="386" w:name="_Toc184308072"/>
      <w:bookmarkEnd w:id="386"/>
      <w:bookmarkStart w:id="387" w:name="_Toc184312068"/>
      <w:bookmarkEnd w:id="387"/>
      <w:bookmarkStart w:id="388" w:name="_Toc184312120"/>
      <w:bookmarkEnd w:id="388"/>
      <w:bookmarkStart w:id="389" w:name="_Toc184308093"/>
      <w:bookmarkEnd w:id="389"/>
      <w:bookmarkStart w:id="390" w:name="_Toc184314460"/>
      <w:bookmarkEnd w:id="390"/>
      <w:bookmarkStart w:id="391" w:name="_Toc184313288"/>
      <w:bookmarkEnd w:id="391"/>
      <w:bookmarkStart w:id="392" w:name="_Toc184313247"/>
      <w:bookmarkEnd w:id="392"/>
      <w:bookmarkStart w:id="393" w:name="_Toc184313295"/>
      <w:bookmarkEnd w:id="393"/>
      <w:bookmarkStart w:id="394" w:name="_Toc184314426"/>
      <w:bookmarkEnd w:id="394"/>
      <w:bookmarkStart w:id="395" w:name="_Toc184312117"/>
      <w:bookmarkEnd w:id="395"/>
      <w:bookmarkStart w:id="396" w:name="_Toc184308037"/>
      <w:bookmarkEnd w:id="396"/>
      <w:bookmarkStart w:id="397" w:name="_Toc184308054"/>
      <w:bookmarkEnd w:id="397"/>
      <w:bookmarkStart w:id="398" w:name="_Toc184308053"/>
      <w:bookmarkEnd w:id="398"/>
      <w:bookmarkStart w:id="399" w:name="_Toc184308068"/>
      <w:bookmarkEnd w:id="399"/>
      <w:bookmarkStart w:id="400" w:name="_Toc184308065"/>
      <w:bookmarkEnd w:id="400"/>
      <w:bookmarkStart w:id="401" w:name="_Toc184312106"/>
      <w:bookmarkEnd w:id="401"/>
      <w:bookmarkStart w:id="402" w:name="_Toc184313277"/>
      <w:bookmarkEnd w:id="402"/>
      <w:bookmarkStart w:id="403" w:name="_Toc184312070"/>
      <w:bookmarkEnd w:id="403"/>
      <w:bookmarkStart w:id="404" w:name="_Toc184308084"/>
      <w:bookmarkEnd w:id="404"/>
      <w:bookmarkStart w:id="405" w:name="_Toc184314441"/>
      <w:bookmarkEnd w:id="405"/>
      <w:bookmarkStart w:id="406" w:name="_Toc184314466"/>
      <w:bookmarkEnd w:id="406"/>
      <w:bookmarkStart w:id="407" w:name="_Toc184310338"/>
      <w:bookmarkEnd w:id="407"/>
      <w:bookmarkStart w:id="408" w:name="_Toc184314468"/>
      <w:bookmarkEnd w:id="408"/>
      <w:bookmarkStart w:id="409" w:name="_Toc184308090"/>
      <w:bookmarkEnd w:id="409"/>
      <w:bookmarkStart w:id="410" w:name="_Toc184313305"/>
      <w:bookmarkEnd w:id="410"/>
      <w:bookmarkStart w:id="411" w:name="_Toc184314416"/>
      <w:bookmarkEnd w:id="411"/>
      <w:bookmarkStart w:id="412" w:name="_Toc184313262"/>
      <w:bookmarkEnd w:id="412"/>
      <w:bookmarkStart w:id="413" w:name="_Toc184313265"/>
      <w:bookmarkEnd w:id="413"/>
      <w:bookmarkStart w:id="414" w:name="_Toc184312107"/>
      <w:bookmarkEnd w:id="414"/>
      <w:bookmarkStart w:id="415" w:name="_Toc184313283"/>
      <w:bookmarkEnd w:id="415"/>
      <w:bookmarkStart w:id="416" w:name="_Toc184314459"/>
      <w:bookmarkEnd w:id="416"/>
      <w:bookmarkStart w:id="417" w:name="_Toc184313242"/>
      <w:bookmarkEnd w:id="417"/>
      <w:bookmarkStart w:id="418" w:name="_Toc184308051"/>
      <w:bookmarkEnd w:id="418"/>
      <w:bookmarkStart w:id="419" w:name="_Toc184314433"/>
      <w:bookmarkEnd w:id="419"/>
      <w:bookmarkStart w:id="420" w:name="_Toc184310334"/>
      <w:bookmarkEnd w:id="420"/>
      <w:bookmarkStart w:id="421" w:name="_Toc184308074"/>
      <w:bookmarkEnd w:id="421"/>
      <w:bookmarkStart w:id="422" w:name="_Toc184312086"/>
      <w:bookmarkEnd w:id="422"/>
      <w:bookmarkStart w:id="423" w:name="_Toc184313256"/>
      <w:bookmarkEnd w:id="423"/>
      <w:bookmarkStart w:id="424" w:name="_Toc184310292"/>
      <w:bookmarkEnd w:id="424"/>
      <w:bookmarkStart w:id="425" w:name="_Toc184312102"/>
      <w:bookmarkEnd w:id="425"/>
      <w:bookmarkStart w:id="426" w:name="_Toc184308061"/>
      <w:bookmarkEnd w:id="426"/>
      <w:bookmarkStart w:id="427" w:name="_Toc184314470"/>
      <w:bookmarkEnd w:id="427"/>
      <w:bookmarkStart w:id="428" w:name="_Toc184314442"/>
      <w:bookmarkEnd w:id="428"/>
      <w:bookmarkStart w:id="429" w:name="_Toc184313253"/>
      <w:bookmarkEnd w:id="429"/>
      <w:bookmarkStart w:id="430" w:name="_Toc184310277"/>
      <w:bookmarkEnd w:id="430"/>
      <w:bookmarkStart w:id="431" w:name="_Toc184314428"/>
      <w:bookmarkEnd w:id="431"/>
      <w:bookmarkStart w:id="432" w:name="_Toc184308066"/>
      <w:bookmarkEnd w:id="432"/>
      <w:bookmarkStart w:id="433" w:name="_Toc184314445"/>
      <w:bookmarkEnd w:id="433"/>
      <w:bookmarkStart w:id="434" w:name="_Toc184314477"/>
      <w:bookmarkEnd w:id="434"/>
      <w:r>
        <w:rPr>
          <w:rFonts w:hint="eastAsia" w:ascii="宋体" w:hAnsi="宋体" w:cs="宋体"/>
          <w:b/>
          <w:color w:val="auto"/>
          <w:sz w:val="36"/>
          <w:szCs w:val="36"/>
          <w:highlight w:val="none"/>
        </w:rPr>
        <w:t>评标办法</w:t>
      </w:r>
      <w:bookmarkEnd w:id="63"/>
      <w:bookmarkEnd w:id="64"/>
      <w:bookmarkEnd w:id="65"/>
      <w:bookmarkEnd w:id="66"/>
      <w:bookmarkEnd w:id="67"/>
      <w:bookmarkEnd w:id="68"/>
      <w:bookmarkEnd w:id="69"/>
    </w:p>
    <w:p w14:paraId="57BD8F41">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4996" w:type="pct"/>
        <w:tblInd w:w="0" w:type="dxa"/>
        <w:tblLayout w:type="fixed"/>
        <w:tblCellMar>
          <w:top w:w="0" w:type="dxa"/>
          <w:left w:w="108" w:type="dxa"/>
          <w:bottom w:w="0" w:type="dxa"/>
          <w:right w:w="108" w:type="dxa"/>
        </w:tblCellMar>
      </w:tblPr>
      <w:tblGrid>
        <w:gridCol w:w="954"/>
        <w:gridCol w:w="1207"/>
        <w:gridCol w:w="6402"/>
        <w:gridCol w:w="1056"/>
      </w:tblGrid>
      <w:tr w14:paraId="4863FEFB">
        <w:tblPrEx>
          <w:tblCellMar>
            <w:top w:w="0" w:type="dxa"/>
            <w:left w:w="108" w:type="dxa"/>
            <w:bottom w:w="0" w:type="dxa"/>
            <w:right w:w="108" w:type="dxa"/>
          </w:tblCellMar>
        </w:tblPrEx>
        <w:trPr>
          <w:trHeight w:val="5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7A90B">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85CC">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评审因素</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3018">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评分标准说明</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3AC6">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分值</w:t>
            </w:r>
          </w:p>
        </w:tc>
      </w:tr>
      <w:tr w14:paraId="2B0C5359">
        <w:tblPrEx>
          <w:tblCellMar>
            <w:top w:w="0" w:type="dxa"/>
            <w:left w:w="108" w:type="dxa"/>
            <w:bottom w:w="0" w:type="dxa"/>
            <w:right w:w="108" w:type="dxa"/>
          </w:tblCellMar>
        </w:tblPrEx>
        <w:trPr>
          <w:trHeight w:val="54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3CA1D">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一、价格部分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CF78">
            <w:pPr>
              <w:widowControl/>
              <w:jc w:val="center"/>
              <w:textAlignment w:val="center"/>
              <w:rPr>
                <w:b/>
                <w:bCs/>
                <w:color w:val="auto"/>
                <w:szCs w:val="21"/>
                <w:highlight w:val="none"/>
              </w:rPr>
            </w:pPr>
            <w:r>
              <w:rPr>
                <w:b/>
                <w:bCs/>
                <w:color w:val="auto"/>
                <w:kern w:val="0"/>
                <w:szCs w:val="21"/>
                <w:highlight w:val="none"/>
              </w:rPr>
              <w:t>30</w:t>
            </w:r>
            <w:r>
              <w:rPr>
                <w:rFonts w:hint="eastAsia" w:ascii="宋体" w:hAnsi="宋体" w:cs="宋体"/>
                <w:b/>
                <w:bCs/>
                <w:color w:val="auto"/>
                <w:kern w:val="0"/>
                <w:szCs w:val="21"/>
                <w:highlight w:val="none"/>
              </w:rPr>
              <w:t>分</w:t>
            </w:r>
          </w:p>
        </w:tc>
      </w:tr>
      <w:tr w14:paraId="68BF9FE9">
        <w:tblPrEx>
          <w:tblCellMar>
            <w:top w:w="0" w:type="dxa"/>
            <w:left w:w="108" w:type="dxa"/>
            <w:bottom w:w="0" w:type="dxa"/>
            <w:right w:w="108" w:type="dxa"/>
          </w:tblCellMar>
        </w:tblPrEx>
        <w:trPr>
          <w:trHeight w:val="9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562B0">
            <w:pPr>
              <w:widowControl/>
              <w:jc w:val="center"/>
              <w:textAlignment w:val="center"/>
              <w:rPr>
                <w:b/>
                <w:bCs/>
                <w:color w:val="auto"/>
                <w:szCs w:val="21"/>
                <w:highlight w:val="none"/>
              </w:rPr>
            </w:pPr>
            <w:r>
              <w:rPr>
                <w:b/>
                <w:bCs/>
                <w:color w:val="auto"/>
                <w:kern w:val="0"/>
                <w:szCs w:val="21"/>
                <w:highlight w:val="none"/>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8879">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价格分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5732">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（1）评标报价为投标人的投标报价进行政策性扣除后的价格，评标报价只是作为评标时使用。最终中标人的中标金额等于投标报价。</w:t>
            </w:r>
          </w:p>
          <w:p w14:paraId="7025929E">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（2）按照《政府采购促进中小企业发展管理办法》（财库〔2020〕46号）、《广西壮族自治区财政厅关于贯彻落实政府采购支持中小企业发展政策的通知》（桂财采〔2022〕31 号）的规定，在其投标文件中提供《中小企业声明函》，且其提供的货物全部由符合政策要求的小型、微型企业制造，即货物由小型、微型企业生产且使用该小型、微型企业商号或者注册商标，对其投标价格给予20%的扣除。</w:t>
            </w:r>
          </w:p>
          <w:p w14:paraId="54F36DAC">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2CBFA4F">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7248087">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（5）政策性扣除计算方法。</w:t>
            </w:r>
          </w:p>
          <w:p w14:paraId="2ADF81C1">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w:t>
            </w:r>
          </w:p>
          <w:p w14:paraId="3029EDF1">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除上述情况外，评标价＝投标报价。</w:t>
            </w:r>
          </w:p>
          <w:p w14:paraId="51B39F40">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（6）满足招标文件要求且评标报价最低的评标报价为评标基准价，基准价报价得分为30 分；</w:t>
            </w:r>
          </w:p>
          <w:p w14:paraId="6AA4C92F">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（7）价格分计算公式：</w:t>
            </w:r>
          </w:p>
          <w:p w14:paraId="0172EB61">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某投标人价格分 = 投标人最低评标价（金额）/某投标人评标价（金额）×30分</w:t>
            </w:r>
          </w:p>
          <w:p w14:paraId="5391756A">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（8）报价要求</w:t>
            </w:r>
          </w:p>
          <w:p w14:paraId="505A3856">
            <w:pPr>
              <w:keepNext w:val="0"/>
              <w:keepLines w:val="0"/>
              <w:pageBreakBefore w:val="0"/>
              <w:widowControl/>
              <w:kinsoku/>
              <w:wordWrap/>
              <w:overflowPunct/>
              <w:topLinePunct w:val="0"/>
              <w:autoSpaceDE/>
              <w:autoSpaceDN/>
              <w:bidi w:val="0"/>
              <w:adjustRightInd w:val="0"/>
              <w:snapToGrid/>
              <w:spacing w:line="360" w:lineRule="auto"/>
              <w:textAlignment w:val="center"/>
              <w:rPr>
                <w:rFonts w:ascii="宋体" w:hAnsi="宋体" w:cs="宋体"/>
                <w:color w:val="auto"/>
                <w:szCs w:val="21"/>
                <w:highlight w:val="none"/>
              </w:rPr>
            </w:pPr>
            <w:r>
              <w:rPr>
                <w:rFonts w:hint="eastAsia" w:ascii="宋体" w:hAnsi="宋体" w:cs="宋体"/>
                <w:color w:val="auto"/>
                <w:kern w:val="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A5E4">
            <w:pPr>
              <w:widowControl/>
              <w:jc w:val="center"/>
              <w:textAlignment w:val="center"/>
              <w:rPr>
                <w:color w:val="auto"/>
                <w:szCs w:val="21"/>
                <w:highlight w:val="none"/>
              </w:rPr>
            </w:pPr>
            <w:r>
              <w:rPr>
                <w:b/>
                <w:bCs/>
                <w:color w:val="auto"/>
                <w:kern w:val="0"/>
                <w:szCs w:val="21"/>
                <w:highlight w:val="none"/>
              </w:rPr>
              <w:t>30</w:t>
            </w:r>
            <w:r>
              <w:rPr>
                <w:rFonts w:hint="eastAsia"/>
                <w:b/>
                <w:bCs/>
                <w:color w:val="auto"/>
                <w:kern w:val="0"/>
                <w:szCs w:val="21"/>
                <w:highlight w:val="none"/>
              </w:rPr>
              <w:t>分</w:t>
            </w:r>
          </w:p>
        </w:tc>
      </w:tr>
      <w:tr w14:paraId="0BCCDB48">
        <w:tblPrEx>
          <w:tblCellMar>
            <w:top w:w="0" w:type="dxa"/>
            <w:left w:w="108" w:type="dxa"/>
            <w:bottom w:w="0" w:type="dxa"/>
            <w:right w:w="108" w:type="dxa"/>
          </w:tblCellMar>
        </w:tblPrEx>
        <w:trPr>
          <w:trHeight w:val="78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5D98D">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二、技术分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32B9">
            <w:pPr>
              <w:widowControl/>
              <w:jc w:val="center"/>
              <w:textAlignment w:val="center"/>
              <w:rPr>
                <w:b/>
                <w:bCs/>
                <w:color w:val="auto"/>
                <w:szCs w:val="21"/>
                <w:highlight w:val="none"/>
              </w:rPr>
            </w:pPr>
            <w:r>
              <w:rPr>
                <w:rFonts w:hint="eastAsia"/>
                <w:b/>
                <w:bCs/>
                <w:color w:val="auto"/>
                <w:kern w:val="0"/>
                <w:szCs w:val="21"/>
                <w:highlight w:val="none"/>
                <w:lang w:val="en-US" w:eastAsia="zh-CN"/>
              </w:rPr>
              <w:t>60</w:t>
            </w:r>
            <w:r>
              <w:rPr>
                <w:rFonts w:hint="eastAsia" w:ascii="宋体" w:hAnsi="宋体" w:cs="宋体"/>
                <w:b/>
                <w:bCs/>
                <w:color w:val="auto"/>
                <w:kern w:val="0"/>
                <w:szCs w:val="21"/>
                <w:highlight w:val="none"/>
              </w:rPr>
              <w:t>分</w:t>
            </w:r>
          </w:p>
        </w:tc>
      </w:tr>
      <w:tr w14:paraId="4FB88E0E">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CA27F">
            <w:pPr>
              <w:widowControl/>
              <w:jc w:val="center"/>
              <w:textAlignment w:val="center"/>
              <w:rPr>
                <w:b/>
                <w:bCs/>
                <w:color w:val="auto"/>
                <w:szCs w:val="21"/>
                <w:highlight w:val="none"/>
              </w:rPr>
            </w:pPr>
            <w:r>
              <w:rPr>
                <w:b/>
                <w:bCs/>
                <w:color w:val="auto"/>
                <w:kern w:val="0"/>
                <w:szCs w:val="21"/>
                <w:highlight w:val="none"/>
              </w:rPr>
              <w:t>1</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79F1">
            <w:pPr>
              <w:spacing w:line="360" w:lineRule="auto"/>
              <w:rPr>
                <w:rFonts w:hint="eastAsia" w:ascii="宋体" w:hAnsi="宋体" w:eastAsia="宋体" w:cs="宋体"/>
                <w:b/>
                <w:bCs/>
                <w:color w:val="auto"/>
                <w:szCs w:val="21"/>
                <w:highlight w:val="none"/>
                <w:lang w:val="en-US" w:eastAsia="zh-CN"/>
              </w:rPr>
            </w:pPr>
            <w:r>
              <w:rPr>
                <w:rFonts w:hint="eastAsia" w:ascii="宋体" w:hAnsi="宋体" w:cs="宋体"/>
                <w:bCs/>
                <w:color w:val="auto"/>
                <w:szCs w:val="21"/>
                <w:highlight w:val="none"/>
              </w:rPr>
              <w:t>核心原材料及成品技术响应</w:t>
            </w:r>
            <w:r>
              <w:rPr>
                <w:rFonts w:hint="eastAsia" w:ascii="宋体" w:hAnsi="宋体" w:cs="宋体"/>
                <w:bCs/>
                <w:color w:val="auto"/>
                <w:szCs w:val="21"/>
                <w:highlight w:val="none"/>
                <w:lang w:val="en-US" w:eastAsia="zh-CN"/>
              </w:rPr>
              <w:t>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tcPr>
          <w:p w14:paraId="30F5794B">
            <w:pPr>
              <w:pStyle w:val="964"/>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根据招标文件中核心原材料及成品技术要求的满足程度进行评分，</w:t>
            </w:r>
            <w:r>
              <w:rPr>
                <w:rFonts w:hint="eastAsia" w:ascii="宋体" w:hAnsi="宋体" w:eastAsia="宋体" w:cs="宋体"/>
                <w:color w:val="auto"/>
                <w:sz w:val="21"/>
                <w:szCs w:val="21"/>
                <w:highlight w:val="yellow"/>
                <w:lang w:val="en-US" w:eastAsia="zh-CN"/>
              </w:rPr>
              <w:t>每满足一项</w:t>
            </w:r>
            <w:r>
              <w:rPr>
                <w:rFonts w:hint="eastAsia" w:ascii="宋体" w:hAnsi="宋体" w:cs="宋体"/>
                <w:color w:val="auto"/>
                <w:sz w:val="21"/>
                <w:szCs w:val="21"/>
                <w:highlight w:val="yellow"/>
                <w:lang w:val="en-US" w:eastAsia="zh-CN"/>
              </w:rPr>
              <w:t>且同时提供以下材料佐证的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得0.5分，满分7分。（核心原材料及成品技术要求见第三部分采购需求）</w:t>
            </w:r>
            <w:r>
              <w:rPr>
                <w:rFonts w:hint="eastAsia" w:ascii="宋体" w:hAnsi="宋体" w:cs="宋体"/>
                <w:color w:val="auto"/>
                <w:sz w:val="21"/>
                <w:szCs w:val="21"/>
                <w:highlight w:val="none"/>
                <w:lang w:val="en-US" w:eastAsia="zh-CN"/>
              </w:rPr>
              <w:t>。</w:t>
            </w:r>
          </w:p>
          <w:p w14:paraId="612CB79B">
            <w:pPr>
              <w:pStyle w:val="964"/>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国家认可的第三方检验机构出具的检测报告扫描件，具有CMA或CNAS标志。投标文件中的检测（检验）报告扫描件内容必须涵盖从封面至结尾的所有报告内容，形成完整复印件，任何截选局部内容拼凑或者存在缺漏页的情况均视为无效。</w:t>
            </w:r>
          </w:p>
          <w:p w14:paraId="42890101">
            <w:pPr>
              <w:pStyle w:val="964"/>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2、提供检测（检验）报告在全国认证认可信息公共服务平台官网（http://cx.cnca.cn/）或者国家认证认可监督委员会官网(www.cnca.gov.cn/)的有效查询截图及链接。</w:t>
            </w:r>
          </w:p>
          <w:p w14:paraId="0BBB2AEA">
            <w:pPr>
              <w:pStyle w:val="964"/>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yellow"/>
                <w:lang w:val="en-US" w:eastAsia="zh-CN"/>
              </w:rPr>
              <w:t>不提供佐证材料不得分</w:t>
            </w:r>
            <w:r>
              <w:rPr>
                <w:rFonts w:hint="eastAsia" w:ascii="宋体" w:hAnsi="宋体" w:cs="宋体"/>
                <w:color w:val="auto"/>
                <w:sz w:val="21"/>
                <w:szCs w:val="21"/>
                <w:highlight w:val="none"/>
                <w:lang w:val="en-US" w:eastAsia="zh-CN"/>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773F">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分</w:t>
            </w:r>
          </w:p>
        </w:tc>
      </w:tr>
      <w:tr w14:paraId="48CD9EA7">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F085">
            <w:pPr>
              <w:widowControl/>
              <w:jc w:val="center"/>
              <w:textAlignment w:val="center"/>
              <w:rPr>
                <w:rFonts w:hint="eastAsia" w:eastAsia="宋体"/>
                <w:b/>
                <w:bCs/>
                <w:color w:val="auto"/>
                <w:kern w:val="0"/>
                <w:szCs w:val="21"/>
                <w:highlight w:val="none"/>
                <w:lang w:val="en-US" w:eastAsia="zh-CN"/>
              </w:rPr>
            </w:pPr>
            <w:r>
              <w:rPr>
                <w:rFonts w:hint="eastAsia"/>
                <w:b/>
                <w:bCs/>
                <w:color w:val="auto"/>
                <w:kern w:val="0"/>
                <w:szCs w:val="21"/>
                <w:highlight w:val="none"/>
                <w:lang w:val="en-US" w:eastAsia="zh-CN"/>
              </w:rPr>
              <w:t>2</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E241">
            <w:pPr>
              <w:spacing w:line="360" w:lineRule="auto"/>
              <w:rPr>
                <w:rFonts w:hint="eastAsia" w:ascii="宋体" w:hAnsi="宋体" w:cs="宋体"/>
                <w:bCs/>
                <w:color w:val="auto"/>
                <w:szCs w:val="21"/>
                <w:highlight w:val="none"/>
              </w:rPr>
            </w:pPr>
            <w:r>
              <w:rPr>
                <w:rFonts w:hint="eastAsia" w:ascii="宋体" w:hAnsi="宋体" w:cs="宋体"/>
                <w:b/>
                <w:szCs w:val="21"/>
                <w:highlight w:val="none"/>
              </w:rPr>
              <w:t>实施方案分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tcPr>
          <w:p w14:paraId="04A701F5">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提供实施方案，拟投入人员，根据实施方案的先进性、周密性、可行性等情况进行评价：不提供不得分。</w:t>
            </w:r>
          </w:p>
          <w:p w14:paraId="6AE20E6B">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 xml:space="preserve">一档（6分）：项目实施方案内容比较简单，能提供对接方案；提供项目实施的技术力量和人力资源安排及工作进度安排基本能满足项目要求。 </w:t>
            </w:r>
          </w:p>
          <w:p w14:paraId="2CF5BEA0">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二档（9分）：项目实施方案比较完善，能提供对接方案并且实施方法较合理；保证项目实施的技术力量和人力资源安排及工作进度安排能满足项目实施要求。</w:t>
            </w:r>
          </w:p>
          <w:p w14:paraId="3B832F7B">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 xml:space="preserve">三档（12分）：项目实施方案较完善、详细，能提供对接方案并且实施方法比较合理；保证项目实施的技术力量和人力资源安排及工作进度安排能较好满足项目实施要求，技术服务的服务内容和措施同比较完善。 </w:t>
            </w:r>
          </w:p>
          <w:p w14:paraId="6FDA6D25">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四档（15分）：项目实施方案详实，能切合本项目实际提供对接方案，方案能清楚的表明对本项目的熟悉程度，实施方案优良，技术路线清晰可信；保证项目实施的技术力量和人力资源安排及工作进度安排充足，技术服务的服务内容和措施完善，建议验收方法或方案同比更完善有效、更优化、切实可行。</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0CA3">
            <w:pPr>
              <w:widowControl/>
              <w:jc w:val="center"/>
              <w:textAlignment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rPr>
              <w:t>分</w:t>
            </w:r>
          </w:p>
        </w:tc>
      </w:tr>
      <w:tr w14:paraId="0DC69B5F">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8AA8">
            <w:pPr>
              <w:widowControl/>
              <w:jc w:val="center"/>
              <w:textAlignment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3</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F3CF">
            <w:pPr>
              <w:spacing w:line="360" w:lineRule="auto"/>
              <w:rPr>
                <w:rFonts w:hint="eastAsia" w:ascii="宋体" w:hAnsi="宋体" w:cs="宋体"/>
                <w:b/>
                <w:szCs w:val="21"/>
                <w:highlight w:val="none"/>
              </w:rPr>
            </w:pPr>
            <w:r>
              <w:rPr>
                <w:rFonts w:hint="eastAsia" w:ascii="宋体" w:hAnsi="宋体" w:cs="宋体"/>
                <w:b/>
                <w:szCs w:val="21"/>
                <w:highlight w:val="none"/>
              </w:rPr>
              <w:t>设计方案分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tcPr>
          <w:p w14:paraId="04BCC96A">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根据所投产品的产品设计，技术参数的响应程度，产品色彩搭配，产品的功能性，产品结构布局以及产品质量保证措施，布置设计图、设计效果图(颜色搭配设计、款式结构等内容)等综合评比。不提供不得分。</w:t>
            </w:r>
          </w:p>
          <w:p w14:paraId="230DA8A6">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一档（5分）：产品设计基本合格、设计效果图(空间利用率等)综合评达标</w:t>
            </w:r>
            <w:r>
              <w:rPr>
                <w:rFonts w:hint="eastAsia" w:ascii="宋体" w:hAnsi="宋体"/>
                <w:color w:val="auto"/>
                <w:szCs w:val="21"/>
                <w:highlight w:val="yellow"/>
              </w:rPr>
              <w:t>，所投产品符合招标文件</w:t>
            </w:r>
            <w:r>
              <w:rPr>
                <w:rFonts w:hint="eastAsia" w:ascii="宋体" w:hAnsi="宋体"/>
                <w:color w:val="auto"/>
                <w:szCs w:val="21"/>
                <w:highlight w:val="yellow"/>
                <w:lang w:val="en-US" w:eastAsia="zh-CN"/>
              </w:rPr>
              <w:t>不足</w:t>
            </w:r>
            <w:r>
              <w:rPr>
                <w:rFonts w:hint="eastAsia" w:ascii="宋体" w:hAnsi="宋体"/>
                <w:color w:val="auto"/>
                <w:szCs w:val="21"/>
                <w:highlight w:val="yellow"/>
              </w:rPr>
              <w:t xml:space="preserve"> 90%</w:t>
            </w:r>
            <w:r>
              <w:rPr>
                <w:rFonts w:hint="eastAsia" w:ascii="宋体" w:hAnsi="宋体"/>
                <w:color w:val="auto"/>
                <w:szCs w:val="21"/>
                <w:highlight w:val="yellow"/>
                <w:lang w:val="en-US" w:eastAsia="zh-CN"/>
              </w:rPr>
              <w:t>的</w:t>
            </w:r>
            <w:r>
              <w:rPr>
                <w:rFonts w:hint="eastAsia" w:ascii="宋体" w:hAnsi="宋体"/>
                <w:color w:val="auto"/>
                <w:szCs w:val="21"/>
                <w:highlight w:val="yellow"/>
              </w:rPr>
              <w:t>参数要</w:t>
            </w:r>
            <w:r>
              <w:rPr>
                <w:rFonts w:hint="eastAsia" w:ascii="宋体" w:hAnsi="宋体"/>
                <w:color w:val="auto"/>
                <w:szCs w:val="21"/>
                <w:highlight w:val="none"/>
              </w:rPr>
              <w:t>求，色彩搭配符合、产品功能性符合，结构布局布置符合，产品质量保证措施基本完善；</w:t>
            </w:r>
          </w:p>
          <w:p w14:paraId="0922E8C8">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二档（10分）：产品设计合格，设计效果图(空间利用率等) 综合评定较好，</w:t>
            </w:r>
            <w:r>
              <w:rPr>
                <w:rFonts w:hint="eastAsia" w:ascii="宋体" w:hAnsi="宋体"/>
                <w:color w:val="auto"/>
                <w:szCs w:val="21"/>
                <w:highlight w:val="yellow"/>
              </w:rPr>
              <w:t>所投产品符合招标文件 90%参数要</w:t>
            </w:r>
            <w:r>
              <w:rPr>
                <w:rFonts w:hint="eastAsia" w:ascii="宋体" w:hAnsi="宋体"/>
                <w:color w:val="auto"/>
                <w:szCs w:val="21"/>
                <w:highlight w:val="none"/>
              </w:rPr>
              <w:t>求，色彩搭配普通、产品功能性合格，结构布局布置普通，产品质量保证措施相对完善；</w:t>
            </w:r>
          </w:p>
          <w:p w14:paraId="52C6B84B">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三档（15分）：产品设计合格，设计效果图(空间利用率等) 综合评定优良，</w:t>
            </w:r>
            <w:r>
              <w:rPr>
                <w:rFonts w:hint="eastAsia" w:ascii="宋体" w:hAnsi="宋体"/>
                <w:color w:val="auto"/>
                <w:szCs w:val="21"/>
                <w:highlight w:val="yellow"/>
              </w:rPr>
              <w:t>所投产品符合招标文件95%参数要求</w:t>
            </w:r>
            <w:r>
              <w:rPr>
                <w:rFonts w:hint="eastAsia" w:ascii="宋体" w:hAnsi="宋体"/>
                <w:color w:val="auto"/>
                <w:szCs w:val="21"/>
                <w:highlight w:val="none"/>
              </w:rPr>
              <w:t>，色彩搭配较好、产品功能性合格，结构布局布置较合理，产品质量保证措施较完善；</w:t>
            </w:r>
          </w:p>
          <w:p w14:paraId="1A156B9E">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四档（20分）：产品设计新颖，设计效果图(空间利用率等) 综合评定优秀，所投产品完全符合招标文件参数要求，能够从招标单位的实际需求出发进行合理设计，色彩搭配更加合理、产品功能性更加完善，结构布局布置更加合理，产品质量保证措施同比更完善。</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444EE">
            <w:pPr>
              <w:widowControl/>
              <w:jc w:val="center"/>
              <w:textAlignment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20</w:t>
            </w:r>
            <w:r>
              <w:rPr>
                <w:rFonts w:hint="eastAsia" w:ascii="宋体" w:hAnsi="宋体" w:cs="宋体"/>
                <w:b/>
                <w:bCs/>
                <w:color w:val="auto"/>
                <w:kern w:val="0"/>
                <w:szCs w:val="21"/>
                <w:highlight w:val="none"/>
              </w:rPr>
              <w:t>分</w:t>
            </w:r>
          </w:p>
        </w:tc>
      </w:tr>
      <w:tr w14:paraId="4283F65A">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CE5D9">
            <w:pPr>
              <w:widowControl/>
              <w:jc w:val="center"/>
              <w:textAlignment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4</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A345">
            <w:pPr>
              <w:spacing w:line="360" w:lineRule="auto"/>
              <w:rPr>
                <w:rFonts w:hint="eastAsia" w:ascii="宋体" w:hAnsi="宋体" w:cs="宋体"/>
                <w:b/>
                <w:szCs w:val="21"/>
                <w:highlight w:val="none"/>
              </w:rPr>
            </w:pPr>
            <w:r>
              <w:rPr>
                <w:rFonts w:hint="eastAsia" w:ascii="宋体" w:hAnsi="宋体" w:cs="宋体"/>
                <w:b/>
                <w:bCs/>
                <w:szCs w:val="21"/>
                <w:highlight w:val="none"/>
              </w:rPr>
              <w:t>质量保证措施分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tcPr>
          <w:p w14:paraId="51DD6D87">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根据各投标人的质量保证措施情况对应以下要求独立评分，满分6分。不提供不得分。</w:t>
            </w:r>
          </w:p>
          <w:p w14:paraId="382927B9">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分）：提供相对简单的质量保证措施，没有针对性； </w:t>
            </w:r>
          </w:p>
          <w:p w14:paraId="0341592D">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6</w:t>
            </w:r>
            <w:r>
              <w:rPr>
                <w:rFonts w:hint="eastAsia" w:ascii="宋体" w:hAnsi="宋体"/>
                <w:color w:val="auto"/>
                <w:szCs w:val="21"/>
                <w:highlight w:val="none"/>
              </w:rPr>
              <w:t>分）：提供有较合理质量保证措施，较有针对性，但没有具体到各个流程。基本能保证项目质量；</w:t>
            </w:r>
          </w:p>
          <w:p w14:paraId="51FB70E6">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8</w:t>
            </w:r>
            <w:r>
              <w:rPr>
                <w:rFonts w:hint="eastAsia" w:ascii="宋体" w:hAnsi="宋体"/>
                <w:color w:val="auto"/>
                <w:szCs w:val="21"/>
                <w:highlight w:val="none"/>
              </w:rPr>
              <w:t>分）：提供有合理质量保证措施针对性强，有突发事件应对措施；能很好的保证项目质量；</w:t>
            </w:r>
          </w:p>
          <w:p w14:paraId="42FE24E5">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10</w:t>
            </w:r>
            <w:r>
              <w:rPr>
                <w:rFonts w:hint="eastAsia" w:ascii="宋体" w:hAnsi="宋体"/>
                <w:color w:val="auto"/>
                <w:szCs w:val="21"/>
                <w:highlight w:val="none"/>
              </w:rPr>
              <w:t>分）：质量保证措施针对性突出、体系严密、重点突出，有突发事件应对措施且可操作；具体详细的供货、物流配送、设备安装各环节的质量保护方案；能完全的保证项目质量。</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0EFB">
            <w:pPr>
              <w:widowControl/>
              <w:jc w:val="center"/>
              <w:textAlignment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14:paraId="56D95C9D">
        <w:tblPrEx>
          <w:tblCellMar>
            <w:top w:w="0" w:type="dxa"/>
            <w:left w:w="108" w:type="dxa"/>
            <w:bottom w:w="0" w:type="dxa"/>
            <w:right w:w="108" w:type="dxa"/>
          </w:tblCellMar>
        </w:tblPrEx>
        <w:trPr>
          <w:trHeight w:val="1593"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D24F">
            <w:pPr>
              <w:widowControl/>
              <w:jc w:val="center"/>
              <w:textAlignment w:val="center"/>
              <w:rPr>
                <w:rFonts w:hint="default"/>
                <w:b/>
                <w:bCs/>
                <w:color w:val="auto"/>
                <w:kern w:val="0"/>
                <w:szCs w:val="21"/>
                <w:highlight w:val="none"/>
                <w:lang w:val="en-US" w:eastAsia="zh-CN"/>
              </w:rPr>
            </w:pPr>
            <w:r>
              <w:rPr>
                <w:rFonts w:hint="eastAsia"/>
                <w:b/>
                <w:bCs/>
                <w:color w:val="auto"/>
                <w:kern w:val="0"/>
                <w:szCs w:val="21"/>
                <w:highlight w:val="none"/>
                <w:lang w:val="en-US" w:eastAsia="zh-CN"/>
              </w:rPr>
              <w:t>5</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1246">
            <w:pPr>
              <w:spacing w:line="360" w:lineRule="auto"/>
              <w:rPr>
                <w:rFonts w:hint="eastAsia" w:ascii="宋体" w:hAnsi="宋体" w:cs="宋体"/>
                <w:b/>
                <w:bCs/>
                <w:szCs w:val="21"/>
                <w:highlight w:val="none"/>
              </w:rPr>
            </w:pPr>
            <w:r>
              <w:rPr>
                <w:rFonts w:hint="eastAsia" w:ascii="宋体" w:hAnsi="宋体" w:cs="宋体"/>
                <w:b/>
                <w:bCs/>
                <w:szCs w:val="21"/>
                <w:highlight w:val="none"/>
              </w:rPr>
              <w:t>售后服务分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tcPr>
          <w:p w14:paraId="273BC946">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由评委根据投标文件提供的售后服务方案进行评审，综合评定由评委独立打分。如不提供售后服务，则为0分。</w:t>
            </w:r>
          </w:p>
          <w:p w14:paraId="42FF6A55">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2</w:t>
            </w:r>
            <w:r>
              <w:rPr>
                <w:rFonts w:hint="eastAsia" w:ascii="宋体" w:hAnsi="宋体"/>
                <w:color w:val="auto"/>
                <w:szCs w:val="21"/>
                <w:highlight w:val="none"/>
              </w:rPr>
              <w:t>分）：提供售后服务方案，基本满足采购文件要求；</w:t>
            </w:r>
          </w:p>
          <w:p w14:paraId="7D7F4C09">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4</w:t>
            </w:r>
            <w:r>
              <w:rPr>
                <w:rFonts w:hint="eastAsia" w:ascii="宋体" w:hAnsi="宋体"/>
                <w:color w:val="auto"/>
                <w:szCs w:val="21"/>
                <w:highlight w:val="none"/>
              </w:rPr>
              <w:t>分）：满足采购文件要求，有良好的培训计划，售后服务方案表述清晰、完整，措施具体有效可行，定期派人员上门负责维护设备，响应时间满足采购要求，提供定期回访的。</w:t>
            </w:r>
          </w:p>
          <w:p w14:paraId="277CD5FC">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三档（</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分）：满足采购文件要求，有良好的培训计划，有详细的售后服务方案，售后服务方案表述清晰、完整，措施具体有效可行，定期派人员上门负责维护设备，响应时间优于采购要求，本地化服务支持良好，有详细的售后服务流程，提供定期回访，并配具有技术服务队伍，能确保售后服务响应。      </w:t>
            </w:r>
          </w:p>
          <w:p w14:paraId="18BBE0C6">
            <w:pPr>
              <w:adjustRightInd w:val="0"/>
              <w:snapToGrid w:val="0"/>
              <w:spacing w:line="400" w:lineRule="exact"/>
              <w:ind w:right="105" w:rightChars="50" w:firstLine="420" w:firstLineChars="200"/>
              <w:rPr>
                <w:rFonts w:hint="eastAsia" w:ascii="宋体" w:hAnsi="宋体"/>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8</w:t>
            </w:r>
            <w:r>
              <w:rPr>
                <w:rFonts w:hint="eastAsia" w:ascii="宋体" w:hAnsi="宋体"/>
                <w:color w:val="auto"/>
                <w:szCs w:val="21"/>
                <w:highlight w:val="none"/>
              </w:rPr>
              <w:t>分）：满足采购文件要求，有良好的培训计划，有详细的售后服务方案，售后服务方案表述清晰、完整，措施具体有效可行，定期派人员上门负责维护设备，响应时间优于采购要求，本地化服务支持良好，有详细的售后服务流程，提供定期回访，并配具有技术服务队伍，能确保售后服务响应，有详细的应急处理方案描述，各项服务措施详细可行；综合考虑项目现场实际情况及本项目设备安装调试情况。</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4A7E">
            <w:pPr>
              <w:widowControl/>
              <w:jc w:val="center"/>
              <w:textAlignment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8分</w:t>
            </w:r>
          </w:p>
        </w:tc>
      </w:tr>
      <w:tr w14:paraId="329B97D4">
        <w:tblPrEx>
          <w:tblCellMar>
            <w:top w:w="0" w:type="dxa"/>
            <w:left w:w="108" w:type="dxa"/>
            <w:bottom w:w="0" w:type="dxa"/>
            <w:right w:w="108" w:type="dxa"/>
          </w:tblCellMar>
        </w:tblPrEx>
        <w:trPr>
          <w:trHeight w:val="82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48843">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商务</w:t>
            </w:r>
            <w:r>
              <w:rPr>
                <w:rFonts w:hint="eastAsia" w:ascii="宋体" w:hAnsi="宋体" w:cs="宋体"/>
                <w:b/>
                <w:bCs/>
                <w:color w:val="auto"/>
                <w:kern w:val="0"/>
                <w:szCs w:val="21"/>
                <w:highlight w:val="none"/>
              </w:rPr>
              <w:t>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372E">
            <w:pPr>
              <w:widowControl/>
              <w:jc w:val="center"/>
              <w:textAlignment w:val="center"/>
              <w:rPr>
                <w:b/>
                <w:bCs/>
                <w:color w:val="auto"/>
                <w:szCs w:val="21"/>
                <w:highlight w:val="none"/>
              </w:rPr>
            </w:pPr>
            <w:r>
              <w:rPr>
                <w:rFonts w:hint="eastAsia"/>
                <w:b/>
                <w:bCs/>
                <w:color w:val="auto"/>
                <w:kern w:val="0"/>
                <w:szCs w:val="21"/>
                <w:highlight w:val="none"/>
                <w:lang w:val="en-US" w:eastAsia="zh-CN"/>
              </w:rPr>
              <w:t>8</w:t>
            </w:r>
            <w:r>
              <w:rPr>
                <w:rFonts w:hint="eastAsia" w:ascii="宋体" w:hAnsi="宋体" w:cs="宋体"/>
                <w:b/>
                <w:bCs/>
                <w:color w:val="auto"/>
                <w:kern w:val="0"/>
                <w:szCs w:val="21"/>
                <w:highlight w:val="none"/>
              </w:rPr>
              <w:t>分</w:t>
            </w:r>
          </w:p>
        </w:tc>
      </w:tr>
      <w:tr w14:paraId="22C4C447">
        <w:tblPrEx>
          <w:tblCellMar>
            <w:top w:w="0" w:type="dxa"/>
            <w:left w:w="108" w:type="dxa"/>
            <w:bottom w:w="0" w:type="dxa"/>
            <w:right w:w="108" w:type="dxa"/>
          </w:tblCellMar>
        </w:tblPrEx>
        <w:trPr>
          <w:trHeight w:val="1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211F">
            <w:pPr>
              <w:widowControl/>
              <w:jc w:val="center"/>
              <w:textAlignment w:val="center"/>
              <w:rPr>
                <w:rFonts w:hint="eastAsia" w:eastAsia="宋体"/>
                <w:b/>
                <w:bCs/>
                <w:color w:val="auto"/>
                <w:szCs w:val="21"/>
                <w:highlight w:val="none"/>
                <w:lang w:eastAsia="zh-CN"/>
              </w:rPr>
            </w:pPr>
            <w:r>
              <w:rPr>
                <w:rFonts w:hint="eastAsia"/>
                <w:b/>
                <w:bCs/>
                <w:color w:val="auto"/>
                <w:kern w:val="0"/>
                <w:szCs w:val="21"/>
                <w:highlight w:val="none"/>
                <w:lang w:val="en-US" w:eastAsia="zh-CN"/>
              </w:rPr>
              <w:t>6</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245F">
            <w:pPr>
              <w:adjustRightInd w:val="0"/>
              <w:snapToGrid w:val="0"/>
              <w:spacing w:line="41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szCs w:val="21"/>
                <w:highlight w:val="none"/>
              </w:rPr>
              <w:t>业绩</w:t>
            </w:r>
            <w:r>
              <w:rPr>
                <w:rFonts w:hint="eastAsia" w:ascii="宋体" w:hAnsi="宋体" w:cs="宋体"/>
                <w:b/>
                <w:bCs/>
                <w:szCs w:val="21"/>
                <w:highlight w:val="none"/>
                <w:lang w:val="en-US" w:eastAsia="zh-CN"/>
              </w:rPr>
              <w:t>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F53FC">
            <w:pPr>
              <w:spacing w:line="400" w:lineRule="exact"/>
              <w:ind w:firstLine="420"/>
              <w:rPr>
                <w:rFonts w:ascii="宋体" w:hAnsi="宋体" w:cs="宋体"/>
                <w:color w:val="auto"/>
                <w:szCs w:val="21"/>
                <w:highlight w:val="none"/>
              </w:rPr>
            </w:pPr>
            <w:r>
              <w:rPr>
                <w:rFonts w:hint="eastAsia" w:ascii="宋体" w:hAnsi="宋体" w:cs="Courier New"/>
                <w:color w:val="auto"/>
                <w:szCs w:val="21"/>
                <w:highlight w:val="none"/>
              </w:rPr>
              <w:t>投标人</w:t>
            </w:r>
            <w:r>
              <w:rPr>
                <w:rFonts w:hint="eastAsia" w:ascii="宋体" w:hAnsi="宋体" w:cs="Courier New"/>
                <w:color w:val="auto"/>
                <w:szCs w:val="21"/>
                <w:highlight w:val="none"/>
                <w:lang w:eastAsia="zh-CN"/>
              </w:rPr>
              <w:t>或制造商</w:t>
            </w:r>
            <w:r>
              <w:rPr>
                <w:rFonts w:hint="eastAsia" w:ascii="宋体" w:hAnsi="宋体" w:cs="Courier New"/>
                <w:color w:val="auto"/>
                <w:szCs w:val="21"/>
                <w:highlight w:val="none"/>
              </w:rPr>
              <w:t>2022年以来的类似项目业绩，每提供 1 个得 0.5 分，最多得</w:t>
            </w:r>
            <w:r>
              <w:rPr>
                <w:rFonts w:hint="eastAsia" w:ascii="宋体" w:hAnsi="宋体" w:cs="Courier New"/>
                <w:color w:val="FF0000"/>
                <w:szCs w:val="21"/>
                <w:highlight w:val="none"/>
                <w:lang w:val="en-US" w:eastAsia="zh-CN"/>
              </w:rPr>
              <w:t>4</w:t>
            </w:r>
            <w:r>
              <w:rPr>
                <w:rFonts w:hint="eastAsia" w:ascii="宋体" w:hAnsi="宋体" w:cs="Courier New"/>
                <w:color w:val="auto"/>
                <w:szCs w:val="21"/>
                <w:highlight w:val="none"/>
              </w:rPr>
              <w:t>分。提供加盖投标人单位公章的合同和中标通知书复印件。</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E9AF9">
            <w:pPr>
              <w:widowControl/>
              <w:jc w:val="center"/>
              <w:textAlignment w:val="center"/>
              <w:rPr>
                <w:color w:val="auto"/>
                <w:szCs w:val="21"/>
                <w:highlight w:val="none"/>
              </w:rPr>
            </w:pPr>
            <w:r>
              <w:rPr>
                <w:rFonts w:hint="eastAsia"/>
                <w:b/>
                <w:bCs/>
                <w:color w:val="auto"/>
                <w:kern w:val="0"/>
                <w:szCs w:val="21"/>
                <w:highlight w:val="none"/>
                <w:lang w:val="en-US" w:eastAsia="zh-CN"/>
              </w:rPr>
              <w:t>4</w:t>
            </w:r>
            <w:r>
              <w:rPr>
                <w:rFonts w:hint="eastAsia" w:ascii="宋体" w:hAnsi="宋体" w:cs="宋体"/>
                <w:b/>
                <w:bCs/>
                <w:color w:val="auto"/>
                <w:kern w:val="0"/>
                <w:szCs w:val="21"/>
                <w:highlight w:val="none"/>
              </w:rPr>
              <w:t>分</w:t>
            </w:r>
          </w:p>
        </w:tc>
      </w:tr>
      <w:tr w14:paraId="3E3A45A2">
        <w:tblPrEx>
          <w:tblCellMar>
            <w:top w:w="0" w:type="dxa"/>
            <w:left w:w="108" w:type="dxa"/>
            <w:bottom w:w="0" w:type="dxa"/>
            <w:right w:w="108" w:type="dxa"/>
          </w:tblCellMar>
        </w:tblPrEx>
        <w:trPr>
          <w:trHeight w:val="22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2228">
            <w:pPr>
              <w:widowControl/>
              <w:jc w:val="center"/>
              <w:textAlignment w:val="center"/>
              <w:rPr>
                <w:rFonts w:hint="eastAsia" w:eastAsia="宋体"/>
                <w:b/>
                <w:bCs/>
                <w:color w:val="auto"/>
                <w:szCs w:val="21"/>
                <w:highlight w:val="none"/>
                <w:lang w:eastAsia="zh-CN"/>
              </w:rPr>
            </w:pPr>
            <w:r>
              <w:rPr>
                <w:rFonts w:hint="eastAsia"/>
                <w:b/>
                <w:bCs/>
                <w:color w:val="auto"/>
                <w:kern w:val="0"/>
                <w:szCs w:val="21"/>
                <w:highlight w:val="none"/>
                <w:lang w:val="en-US" w:eastAsia="zh-CN"/>
              </w:rPr>
              <w:t>7</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90255">
            <w:pPr>
              <w:adjustRightInd w:val="0"/>
              <w:snapToGrid w:val="0"/>
              <w:spacing w:line="41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szCs w:val="21"/>
                <w:highlight w:val="none"/>
              </w:rPr>
              <w:t>企业及产品认证</w:t>
            </w:r>
            <w:r>
              <w:rPr>
                <w:rFonts w:hint="eastAsia" w:ascii="宋体" w:hAnsi="宋体" w:cs="宋体"/>
                <w:b/>
                <w:bCs/>
                <w:szCs w:val="21"/>
                <w:highlight w:val="none"/>
                <w:lang w:val="en-US" w:eastAsia="zh-CN"/>
              </w:rPr>
              <w:t>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6D9E">
            <w:pPr>
              <w:adjustRightInd w:val="0"/>
              <w:snapToGrid w:val="0"/>
              <w:spacing w:line="400"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1、投标人或制造商具有在有效期内的质量管理体系认证证书 得1分。</w:t>
            </w:r>
          </w:p>
          <w:p w14:paraId="7B626A22">
            <w:pPr>
              <w:adjustRightInd w:val="0"/>
              <w:snapToGrid w:val="0"/>
              <w:spacing w:line="400"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2、投标人或制造商具有在有效期内的环境管理体系认证证书 得1分。</w:t>
            </w:r>
          </w:p>
          <w:p w14:paraId="0EE92903">
            <w:pPr>
              <w:adjustRightInd w:val="0"/>
              <w:snapToGrid w:val="0"/>
              <w:spacing w:line="400" w:lineRule="exact"/>
              <w:ind w:firstLine="420" w:firstLineChars="200"/>
              <w:jc w:val="left"/>
              <w:rPr>
                <w:rFonts w:hint="eastAsia" w:ascii="宋体" w:hAnsi="宋体" w:cs="Courier New"/>
                <w:color w:val="auto"/>
                <w:szCs w:val="21"/>
                <w:highlight w:val="none"/>
              </w:rPr>
            </w:pPr>
            <w:r>
              <w:rPr>
                <w:rFonts w:hint="eastAsia" w:ascii="宋体" w:hAnsi="宋体" w:cs="Courier New"/>
                <w:color w:val="auto"/>
                <w:szCs w:val="21"/>
                <w:highlight w:val="none"/>
              </w:rPr>
              <w:t>3、投标人或制造商具有在有效期内的职业健康安全管理体系认证证书，得1分。</w:t>
            </w:r>
          </w:p>
          <w:p w14:paraId="580A7578">
            <w:pPr>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Courier New"/>
                <w:color w:val="auto"/>
                <w:szCs w:val="21"/>
                <w:highlight w:val="none"/>
              </w:rPr>
              <w:t>4、投标人或制造商具有在有效期内的</w:t>
            </w:r>
            <w:r>
              <w:rPr>
                <w:rFonts w:hint="eastAsia" w:ascii="宋体" w:hAnsi="宋体" w:eastAsia="宋体" w:cs="宋体"/>
                <w:color w:val="auto"/>
                <w:sz w:val="21"/>
                <w:szCs w:val="21"/>
                <w:highlight w:val="none"/>
                <w:lang w:val="en-US" w:eastAsia="zh-CN"/>
              </w:rPr>
              <w:t>中国绿色产品认证证书</w:t>
            </w:r>
            <w:r>
              <w:rPr>
                <w:rFonts w:hint="eastAsia" w:ascii="宋体" w:hAnsi="宋体" w:cs="Courier New"/>
                <w:color w:val="auto"/>
                <w:szCs w:val="21"/>
                <w:highlight w:val="none"/>
              </w:rPr>
              <w:t>，得1分。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F782">
            <w:pPr>
              <w:widowControl/>
              <w:jc w:val="center"/>
              <w:textAlignment w:val="center"/>
              <w:rPr>
                <w:color w:val="auto"/>
                <w:szCs w:val="21"/>
                <w:highlight w:val="none"/>
              </w:rPr>
            </w:pPr>
            <w:r>
              <w:rPr>
                <w:rFonts w:hint="eastAsia"/>
                <w:b/>
                <w:bCs/>
                <w:color w:val="auto"/>
                <w:kern w:val="0"/>
                <w:szCs w:val="21"/>
                <w:highlight w:val="none"/>
                <w:lang w:val="en-US" w:eastAsia="zh-CN"/>
              </w:rPr>
              <w:t>4</w:t>
            </w:r>
            <w:r>
              <w:rPr>
                <w:rFonts w:hint="eastAsia" w:ascii="宋体" w:hAnsi="宋体" w:cs="宋体"/>
                <w:b/>
                <w:bCs/>
                <w:color w:val="auto"/>
                <w:kern w:val="0"/>
                <w:szCs w:val="21"/>
                <w:highlight w:val="none"/>
              </w:rPr>
              <w:t>分</w:t>
            </w:r>
          </w:p>
        </w:tc>
      </w:tr>
      <w:tr w14:paraId="42273F20">
        <w:tblPrEx>
          <w:tblCellMar>
            <w:top w:w="0" w:type="dxa"/>
            <w:left w:w="108" w:type="dxa"/>
            <w:bottom w:w="0" w:type="dxa"/>
            <w:right w:w="108" w:type="dxa"/>
          </w:tblCellMar>
        </w:tblPrEx>
        <w:trPr>
          <w:trHeight w:val="925"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CB668">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四、政策加分</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15CA">
            <w:pPr>
              <w:widowControl/>
              <w:jc w:val="center"/>
              <w:textAlignment w:val="center"/>
              <w:rPr>
                <w:b/>
                <w:bCs/>
                <w:color w:val="auto"/>
                <w:szCs w:val="21"/>
                <w:highlight w:val="none"/>
              </w:rPr>
            </w:pPr>
            <w:r>
              <w:rPr>
                <w:rFonts w:hint="eastAsia"/>
                <w:b/>
                <w:bCs/>
                <w:color w:val="auto"/>
                <w:kern w:val="0"/>
                <w:szCs w:val="21"/>
                <w:highlight w:val="none"/>
                <w:lang w:val="en-US" w:eastAsia="zh-CN"/>
              </w:rPr>
              <w:t>2</w:t>
            </w:r>
            <w:r>
              <w:rPr>
                <w:rFonts w:hint="eastAsia" w:ascii="宋体" w:hAnsi="宋体" w:cs="宋体"/>
                <w:b/>
                <w:bCs/>
                <w:color w:val="auto"/>
                <w:kern w:val="0"/>
                <w:szCs w:val="21"/>
                <w:highlight w:val="none"/>
              </w:rPr>
              <w:t>分</w:t>
            </w:r>
          </w:p>
        </w:tc>
      </w:tr>
      <w:tr w14:paraId="3C242704">
        <w:tblPrEx>
          <w:tblCellMar>
            <w:top w:w="0" w:type="dxa"/>
            <w:left w:w="108" w:type="dxa"/>
            <w:bottom w:w="0" w:type="dxa"/>
            <w:right w:w="108" w:type="dxa"/>
          </w:tblCellMar>
        </w:tblPrEx>
        <w:trPr>
          <w:trHeight w:val="2174"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7207">
            <w:pPr>
              <w:widowControl/>
              <w:jc w:val="center"/>
              <w:textAlignment w:val="center"/>
              <w:rPr>
                <w:rFonts w:hint="eastAsia" w:eastAsia="宋体"/>
                <w:b/>
                <w:bCs/>
                <w:color w:val="auto"/>
                <w:szCs w:val="21"/>
                <w:highlight w:val="none"/>
                <w:lang w:eastAsia="zh-CN"/>
              </w:rPr>
            </w:pPr>
            <w:r>
              <w:rPr>
                <w:rFonts w:hint="eastAsia"/>
                <w:b/>
                <w:bCs/>
                <w:color w:val="auto"/>
                <w:kern w:val="0"/>
                <w:szCs w:val="21"/>
                <w:highlight w:val="none"/>
                <w:lang w:val="en-US" w:eastAsia="zh-CN"/>
              </w:rPr>
              <w:t>8</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61F7">
            <w:pPr>
              <w:adjustRightInd w:val="0"/>
              <w:snapToGrid w:val="0"/>
              <w:spacing w:line="410" w:lineRule="exact"/>
              <w:jc w:val="center"/>
              <w:rPr>
                <w:rFonts w:ascii="宋体" w:hAnsi="宋体" w:cs="宋体"/>
                <w:b/>
                <w:bCs/>
                <w:color w:val="auto"/>
                <w:szCs w:val="21"/>
                <w:highlight w:val="none"/>
              </w:rPr>
            </w:pPr>
            <w:r>
              <w:rPr>
                <w:rFonts w:hint="eastAsia" w:ascii="宋体" w:hAnsi="宋体" w:cs="宋体"/>
                <w:b/>
                <w:bCs/>
                <w:szCs w:val="21"/>
                <w:highlight w:val="none"/>
              </w:rPr>
              <w:t>政策分</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4136">
            <w:pPr>
              <w:adjustRightInd w:val="0"/>
              <w:snapToGrid w:val="0"/>
              <w:spacing w:line="400" w:lineRule="exact"/>
              <w:ind w:firstLine="411" w:firstLineChars="196"/>
              <w:jc w:val="left"/>
              <w:rPr>
                <w:rFonts w:hint="eastAsia" w:ascii="宋体" w:hAnsi="宋体" w:cs="Courier New"/>
                <w:color w:val="auto"/>
                <w:szCs w:val="21"/>
                <w:highlight w:val="none"/>
              </w:rPr>
            </w:pPr>
            <w:r>
              <w:rPr>
                <w:rFonts w:hint="eastAsia" w:ascii="宋体" w:hAnsi="宋体" w:cs="Courier New"/>
                <w:color w:val="auto"/>
                <w:szCs w:val="21"/>
                <w:highlight w:val="none"/>
              </w:rPr>
              <w:t>（1）投标产品纳入财政部 国家发展改革委《关于印发节能产品政府采购品目清单的通知》（财库[2019]19号）中节能产品政府采购品目清单的，毎有一项得0.5分，满分1分。（投标时须提供国家确定的认证机构出具的、处于有效期之内的有效的节能产品认证证书复印件并加盖投标人公章。适用于非强制采购节能产品）</w:t>
            </w:r>
          </w:p>
          <w:p w14:paraId="7DBAEEFC">
            <w:pPr>
              <w:adjustRightInd w:val="0"/>
              <w:snapToGrid w:val="0"/>
              <w:spacing w:line="400" w:lineRule="exact"/>
              <w:ind w:firstLine="411" w:firstLineChars="196"/>
              <w:jc w:val="left"/>
              <w:rPr>
                <w:rFonts w:ascii="宋体" w:hAnsi="宋体" w:cs="宋体"/>
                <w:color w:val="auto"/>
                <w:szCs w:val="21"/>
                <w:highlight w:val="none"/>
              </w:rPr>
            </w:pPr>
            <w:r>
              <w:rPr>
                <w:rFonts w:hint="eastAsia" w:ascii="宋体" w:hAnsi="宋体" w:cs="Courier New"/>
                <w:color w:val="auto"/>
                <w:szCs w:val="21"/>
                <w:highlight w:val="none"/>
              </w:rPr>
              <w:t>（2）投标产品纳入财政部 国家发展改革委《关于印发环境标志产品政府采购品目清单的通知》（财库[2019]18号）中环境标志产品政府采购品目清单的，毎有一项得0.5分，满分1分。（投标时须提供国家确定的认证机构出具的、处于有效期之内的有效的认证证书复印件并加盖投标人公章。）</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3D9FC">
            <w:pPr>
              <w:widowControl/>
              <w:jc w:val="center"/>
              <w:textAlignment w:val="center"/>
              <w:rPr>
                <w:color w:val="auto"/>
                <w:szCs w:val="21"/>
                <w:highlight w:val="none"/>
              </w:rPr>
            </w:pPr>
            <w:r>
              <w:rPr>
                <w:rFonts w:hint="eastAsia"/>
                <w:b/>
                <w:bCs/>
                <w:color w:val="auto"/>
                <w:kern w:val="0"/>
                <w:szCs w:val="21"/>
                <w:highlight w:val="none"/>
                <w:lang w:val="en-US" w:eastAsia="zh-CN"/>
              </w:rPr>
              <w:t>2</w:t>
            </w:r>
            <w:r>
              <w:rPr>
                <w:rFonts w:hint="eastAsia" w:ascii="宋体" w:hAnsi="宋体" w:cs="宋体"/>
                <w:b/>
                <w:bCs/>
                <w:color w:val="auto"/>
                <w:kern w:val="0"/>
                <w:szCs w:val="21"/>
                <w:highlight w:val="none"/>
              </w:rPr>
              <w:t>分</w:t>
            </w:r>
          </w:p>
        </w:tc>
      </w:tr>
      <w:tr w14:paraId="57A93004">
        <w:tblPrEx>
          <w:tblCellMar>
            <w:top w:w="0" w:type="dxa"/>
            <w:left w:w="108" w:type="dxa"/>
            <w:bottom w:w="0" w:type="dxa"/>
            <w:right w:w="108" w:type="dxa"/>
          </w:tblCellMar>
        </w:tblPrEx>
        <w:trPr>
          <w:trHeight w:val="8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9F65E8">
            <w:pPr>
              <w:widowControl/>
              <w:jc w:val="left"/>
              <w:textAlignment w:val="center"/>
              <w:rPr>
                <w:b/>
                <w:bCs/>
                <w:color w:val="auto"/>
                <w:szCs w:val="21"/>
                <w:highlight w:val="none"/>
              </w:rPr>
            </w:pPr>
            <w:r>
              <w:rPr>
                <w:rFonts w:hint="eastAsia" w:ascii="宋体" w:hAnsi="宋体" w:cs="宋体"/>
                <w:b/>
                <w:bCs/>
                <w:color w:val="auto"/>
                <w:kern w:val="0"/>
                <w:szCs w:val="21"/>
                <w:highlight w:val="none"/>
              </w:rPr>
              <w:t xml:space="preserve">总得分 </w:t>
            </w:r>
            <w:r>
              <w:rPr>
                <w:b/>
                <w:bCs/>
                <w:color w:val="auto"/>
                <w:kern w:val="0"/>
                <w:szCs w:val="21"/>
                <w:highlight w:val="none"/>
              </w:rPr>
              <w:t xml:space="preserve">= </w:t>
            </w:r>
            <w:r>
              <w:rPr>
                <w:rFonts w:hint="eastAsia" w:ascii="宋体" w:hAnsi="宋体" w:eastAsia="宋体" w:cs="宋体"/>
                <w:b/>
                <w:bCs/>
                <w:color w:val="auto"/>
                <w:kern w:val="0"/>
                <w:szCs w:val="21"/>
                <w:highlight w:val="none"/>
              </w:rPr>
              <w:t>一 + 二 + 三 + 四</w:t>
            </w:r>
          </w:p>
        </w:tc>
      </w:tr>
    </w:tbl>
    <w:p w14:paraId="5B57AD11">
      <w:pPr>
        <w:tabs>
          <w:tab w:val="left" w:pos="432"/>
        </w:tabs>
        <w:jc w:val="center"/>
        <w:rPr>
          <w:color w:val="auto"/>
          <w:highlight w:val="none"/>
        </w:rPr>
      </w:pPr>
    </w:p>
    <w:p w14:paraId="5F539480">
      <w:pPr>
        <w:snapToGrid w:val="0"/>
        <w:spacing w:line="360" w:lineRule="auto"/>
        <w:ind w:firstLine="400" w:firstLineChars="200"/>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eastAsia="宋体" w:cs="仿宋_GB2312"/>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183E7CB2">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36848CF6">
      <w:pPr>
        <w:adjustRightInd/>
        <w:spacing w:line="360" w:lineRule="auto"/>
        <w:ind w:firstLine="482" w:firstLineChars="200"/>
        <w:outlineLvl w:val="2"/>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70E8AA00">
      <w:pPr>
        <w:adjustRightInd/>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251A0DD">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7D37715E">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4270DA7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29275513">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F9766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68C2F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568CDC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6DD58482">
      <w:pPr>
        <w:spacing w:line="360" w:lineRule="auto"/>
        <w:ind w:firstLine="472" w:firstLineChars="196"/>
        <w:outlineLvl w:val="2"/>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D6DA36">
      <w:pPr>
        <w:pStyle w:val="128"/>
        <w:spacing w:before="0"/>
        <w:ind w:firstLine="508" w:firstLineChars="212"/>
        <w:outlineLvl w:val="3"/>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B94BFE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197CE8E">
      <w:pPr>
        <w:pStyle w:val="128"/>
        <w:spacing w:before="0"/>
        <w:ind w:firstLine="480"/>
        <w:outlineLvl w:val="4"/>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7997CE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41E15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8CF5C4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14C3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782D63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EF97B6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75582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95857F0">
      <w:pPr>
        <w:spacing w:line="360" w:lineRule="auto"/>
        <w:ind w:firstLine="482" w:firstLineChars="200"/>
        <w:outlineLvl w:val="2"/>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223C0C5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0DA4A68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135ED83">
      <w:pPr>
        <w:pStyle w:val="82"/>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6D07FE54">
      <w:pPr>
        <w:pStyle w:val="82"/>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4864166B">
      <w:pPr>
        <w:keepNext w:val="0"/>
        <w:keepLines w:val="0"/>
        <w:pageBreakBefore w:val="0"/>
        <w:kinsoku/>
        <w:wordWrap/>
        <w:overflowPunct/>
        <w:topLinePunct w:val="0"/>
        <w:autoSpaceDE/>
        <w:autoSpaceDN/>
        <w:bidi w:val="0"/>
        <w:spacing w:line="440" w:lineRule="exact"/>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FA23D4">
      <w:pPr>
        <w:keepNext w:val="0"/>
        <w:keepLines w:val="0"/>
        <w:pageBreakBefore w:val="0"/>
        <w:widowControl/>
        <w:shd w:val="clear" w:color="auto" w:fill="FFFFFF"/>
        <w:kinsoku/>
        <w:wordWrap/>
        <w:overflowPunct/>
        <w:topLinePunct w:val="0"/>
        <w:autoSpaceDE/>
        <w:autoSpaceDN/>
        <w:bidi w:val="0"/>
        <w:adjustRightInd/>
        <w:spacing w:line="440" w:lineRule="exact"/>
        <w:jc w:val="left"/>
        <w:textAlignment w:val="auto"/>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9A87410">
      <w:pPr>
        <w:pStyle w:val="128"/>
        <w:keepNext w:val="0"/>
        <w:keepLines w:val="0"/>
        <w:pageBreakBefore w:val="0"/>
        <w:kinsoku/>
        <w:wordWrap/>
        <w:overflowPunct/>
        <w:topLinePunct w:val="0"/>
        <w:autoSpaceDE/>
        <w:autoSpaceDN/>
        <w:bidi w:val="0"/>
        <w:spacing w:before="0" w:line="440" w:lineRule="exact"/>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531635">
      <w:pPr>
        <w:pStyle w:val="24"/>
        <w:keepNext w:val="0"/>
        <w:keepLines w:val="0"/>
        <w:pageBreakBefore w:val="0"/>
        <w:kinsoku/>
        <w:wordWrap/>
        <w:overflowPunct/>
        <w:topLinePunct w:val="0"/>
        <w:autoSpaceDE/>
        <w:autoSpaceDN/>
        <w:bidi w:val="0"/>
        <w:spacing w:line="440" w:lineRule="exact"/>
        <w:ind w:left="954" w:leftChars="226" w:hanging="479" w:firstLineChars="0"/>
        <w:textAlignment w:val="auto"/>
        <w:outlineLvl w:val="2"/>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EEC83EB">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936F637">
      <w:pPr>
        <w:keepNext w:val="0"/>
        <w:keepLines w:val="0"/>
        <w:pageBreakBefore w:val="0"/>
        <w:kinsoku/>
        <w:wordWrap/>
        <w:overflowPunct/>
        <w:topLinePunct w:val="0"/>
        <w:autoSpaceDE/>
        <w:autoSpaceDN/>
        <w:bidi w:val="0"/>
        <w:spacing w:line="440" w:lineRule="exact"/>
        <w:ind w:firstLine="480" w:firstLineChars="200"/>
        <w:textAlignment w:val="auto"/>
        <w:outlineLvl w:val="3"/>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718B0C8">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517CA6F">
      <w:pPr>
        <w:keepNext w:val="0"/>
        <w:keepLines w:val="0"/>
        <w:pageBreakBefore w:val="0"/>
        <w:kinsoku/>
        <w:wordWrap/>
        <w:overflowPunct/>
        <w:topLinePunct w:val="0"/>
        <w:autoSpaceDE/>
        <w:autoSpaceDN/>
        <w:bidi w:val="0"/>
        <w:spacing w:line="440" w:lineRule="exact"/>
        <w:ind w:firstLine="480" w:firstLineChars="200"/>
        <w:textAlignment w:val="auto"/>
        <w:outlineLvl w:val="3"/>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8FFA9B8">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13ADCB7">
      <w:pPr>
        <w:keepNext w:val="0"/>
        <w:keepLines w:val="0"/>
        <w:pageBreakBefore w:val="0"/>
        <w:kinsoku/>
        <w:wordWrap/>
        <w:overflowPunct/>
        <w:topLinePunct w:val="0"/>
        <w:autoSpaceDE/>
        <w:autoSpaceDN/>
        <w:bidi w:val="0"/>
        <w:snapToGrid w:val="0"/>
        <w:spacing w:line="440" w:lineRule="exact"/>
        <w:ind w:firstLine="120" w:firstLineChars="50"/>
        <w:jc w:val="left"/>
        <w:textAlignment w:val="auto"/>
        <w:outlineLvl w:val="3"/>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0DDCF85">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955B9A">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B9BE154">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C14ADA1">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E13B281">
      <w:pPr>
        <w:keepNext w:val="0"/>
        <w:keepLines w:val="0"/>
        <w:pageBreakBefore w:val="0"/>
        <w:kinsoku/>
        <w:wordWrap/>
        <w:overflowPunct/>
        <w:topLinePunct w:val="0"/>
        <w:autoSpaceDE/>
        <w:autoSpaceDN/>
        <w:bidi w:val="0"/>
        <w:spacing w:line="440" w:lineRule="exact"/>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0816D6C">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170CCEF">
      <w:pPr>
        <w:pStyle w:val="82"/>
        <w:keepNext w:val="0"/>
        <w:keepLines w:val="0"/>
        <w:pageBreakBefore w:val="0"/>
        <w:kinsoku/>
        <w:wordWrap/>
        <w:overflowPunct/>
        <w:topLinePunct w:val="0"/>
        <w:autoSpaceDE/>
        <w:autoSpaceDN/>
        <w:bidi w:val="0"/>
        <w:spacing w:line="440" w:lineRule="exact"/>
        <w:textAlignment w:val="auto"/>
        <w:rPr>
          <w:b/>
          <w:bCs/>
          <w:color w:val="auto"/>
          <w:highlight w:val="none"/>
        </w:rPr>
      </w:pPr>
      <w:r>
        <w:rPr>
          <w:rFonts w:hint="eastAsia"/>
          <w:color w:val="auto"/>
          <w:highlight w:val="none"/>
        </w:rPr>
        <w:t>4.2.13 投标文件不满足招标文件采购需求中技术参数及性能配置要求的；</w:t>
      </w:r>
    </w:p>
    <w:p w14:paraId="6E9C97B5">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1D2B062">
      <w:pPr>
        <w:pStyle w:val="24"/>
        <w:keepNext w:val="0"/>
        <w:keepLines w:val="0"/>
        <w:pageBreakBefore w:val="0"/>
        <w:kinsoku/>
        <w:wordWrap/>
        <w:overflowPunct/>
        <w:topLinePunct w:val="0"/>
        <w:autoSpaceDE/>
        <w:autoSpaceDN/>
        <w:bidi w:val="0"/>
        <w:snapToGrid w:val="0"/>
        <w:spacing w:line="440" w:lineRule="exact"/>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1A4B83B">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84889D4">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5.2出现影响采购公正的违法、违规行为的；</w:t>
      </w:r>
    </w:p>
    <w:p w14:paraId="2C21DC9E">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5.3投标人的报价均超过了采购预算，采购人不能支付的；</w:t>
      </w:r>
    </w:p>
    <w:p w14:paraId="3B7FF838">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5.4因重大变故，采购任务取消的。</w:t>
      </w:r>
    </w:p>
    <w:p w14:paraId="672ABFD2">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废标后，采购代理机构应当将废标理由通知所有投标人。</w:t>
      </w:r>
    </w:p>
    <w:p w14:paraId="51DE8515">
      <w:pPr>
        <w:pStyle w:val="24"/>
        <w:keepNext w:val="0"/>
        <w:keepLines w:val="0"/>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9467B7">
      <w:pPr>
        <w:pStyle w:val="24"/>
        <w:keepNext w:val="0"/>
        <w:keepLines w:val="0"/>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D0C5036">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784E9E9C">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B72771">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795E212">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7784501F">
      <w:pPr>
        <w:pStyle w:val="24"/>
        <w:keepNext w:val="0"/>
        <w:keepLines w:val="0"/>
        <w:pageBreakBefore w:val="0"/>
        <w:kinsoku/>
        <w:wordWrap/>
        <w:overflowPunct/>
        <w:topLinePunct w:val="0"/>
        <w:autoSpaceDE/>
        <w:autoSpaceDN/>
        <w:bidi w:val="0"/>
        <w:snapToGrid w:val="0"/>
        <w:spacing w:line="440" w:lineRule="exact"/>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417A0D2">
      <w:pPr>
        <w:pStyle w:val="82"/>
        <w:keepNext w:val="0"/>
        <w:keepLines w:val="0"/>
        <w:pageBreakBefore w:val="0"/>
        <w:kinsoku/>
        <w:wordWrap/>
        <w:overflowPunct/>
        <w:topLinePunct w:val="0"/>
        <w:autoSpaceDE/>
        <w:autoSpaceDN/>
        <w:bidi w:val="0"/>
        <w:spacing w:line="440" w:lineRule="exact"/>
        <w:ind w:firstLine="0"/>
        <w:textAlignment w:val="auto"/>
        <w:outlineLvl w:val="1"/>
        <w:rPr>
          <w:b/>
          <w:color w:val="auto"/>
          <w:sz w:val="32"/>
          <w:szCs w:val="32"/>
          <w:highlight w:val="none"/>
        </w:rPr>
      </w:pPr>
      <w:r>
        <w:rPr>
          <w:rFonts w:hint="eastAsia"/>
          <w:b/>
          <w:color w:val="auto"/>
          <w:sz w:val="32"/>
          <w:szCs w:val="32"/>
          <w:highlight w:val="none"/>
        </w:rPr>
        <w:t>五、评审过程的保密与录像</w:t>
      </w:r>
    </w:p>
    <w:p w14:paraId="0E7789C9">
      <w:pPr>
        <w:keepNext w:val="0"/>
        <w:keepLines w:val="0"/>
        <w:pageBreakBefore w:val="0"/>
        <w:widowControl/>
        <w:kinsoku/>
        <w:wordWrap/>
        <w:overflowPunct/>
        <w:topLinePunct w:val="0"/>
        <w:autoSpaceDE/>
        <w:autoSpaceDN/>
        <w:bidi w:val="0"/>
        <w:spacing w:line="440" w:lineRule="exact"/>
        <w:ind w:firstLine="482" w:firstLineChars="200"/>
        <w:textAlignment w:val="auto"/>
        <w:rPr>
          <w:rFonts w:ascii="宋体" w:hAnsi="宋体" w:eastAsia="宋体" w:cs="仿宋_GB2312"/>
          <w:color w:val="auto"/>
          <w:sz w:val="24"/>
          <w:highlight w:val="none"/>
        </w:rPr>
      </w:pPr>
      <w:r>
        <w:rPr>
          <w:rFonts w:hint="eastAsia" w:ascii="宋体" w:hAnsi="宋体" w:eastAsia="宋体" w:cs="仿宋_GB2312"/>
          <w:b/>
          <w:color w:val="auto"/>
          <w:sz w:val="24"/>
          <w:highlight w:val="none"/>
        </w:rPr>
        <w:t>8.1.保密。</w:t>
      </w:r>
      <w:r>
        <w:rPr>
          <w:rFonts w:hint="eastAsia" w:ascii="宋体" w:hAnsi="宋体" w:eastAsia="宋体" w:cs="仿宋_GB2312"/>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3B3CAAC">
      <w:pPr>
        <w:pStyle w:val="24"/>
        <w:keepNext w:val="0"/>
        <w:keepLines w:val="0"/>
        <w:pageBreakBefore w:val="0"/>
        <w:kinsoku/>
        <w:wordWrap/>
        <w:overflowPunct/>
        <w:topLinePunct w:val="0"/>
        <w:autoSpaceDE/>
        <w:autoSpaceDN/>
        <w:bidi w:val="0"/>
        <w:snapToGrid w:val="0"/>
        <w:spacing w:line="440" w:lineRule="exact"/>
        <w:ind w:firstLine="482"/>
        <w:textAlignment w:val="auto"/>
        <w:rPr>
          <w:rFonts w:cs="宋体"/>
          <w:color w:val="auto"/>
          <w:highlight w:val="none"/>
        </w:rPr>
      </w:pPr>
      <w:r>
        <w:rPr>
          <w:rFonts w:hint="eastAsia" w:ascii="宋体" w:hAnsi="宋体" w:eastAsia="宋体" w:cs="仿宋_GB2312"/>
          <w:b/>
          <w:color w:val="auto"/>
          <w:highlight w:val="none"/>
        </w:rPr>
        <w:t>8.2.录音录像。</w:t>
      </w:r>
      <w:r>
        <w:rPr>
          <w:rFonts w:hint="eastAsia" w:ascii="宋体" w:hAnsi="宋体" w:eastAsia="宋体" w:cs="仿宋_GB2312"/>
          <w:color w:val="auto"/>
          <w:highlight w:val="none"/>
        </w:rPr>
        <w:t>采购代理机构对评审工作现场进行全过程录音录像，录音录像资料作为采购项目文件随其他文件一并存档。</w:t>
      </w:r>
    </w:p>
    <w:bookmarkEnd w:id="57"/>
    <w:p w14:paraId="3B8696A8">
      <w:pPr>
        <w:spacing w:line="360" w:lineRule="auto"/>
        <w:ind w:left="720" w:leftChars="343" w:firstLine="1084" w:firstLineChars="300"/>
        <w:rPr>
          <w:rFonts w:ascii="宋体" w:hAnsi="宋体" w:cs="宋体"/>
          <w:b/>
          <w:color w:val="auto"/>
          <w:sz w:val="36"/>
          <w:szCs w:val="36"/>
          <w:highlight w:val="none"/>
        </w:rPr>
      </w:pPr>
      <w:bookmarkStart w:id="435" w:name="第五部分"/>
      <w:bookmarkStart w:id="436" w:name="_Toc86217003"/>
    </w:p>
    <w:p w14:paraId="56961A8D">
      <w:pPr>
        <w:spacing w:line="360" w:lineRule="auto"/>
        <w:ind w:left="720" w:leftChars="343" w:firstLine="1084" w:firstLineChars="30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6C427FD">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357E8FE">
      <w:pPr>
        <w:spacing w:line="360" w:lineRule="auto"/>
        <w:jc w:val="center"/>
        <w:outlineLvl w:val="9"/>
        <w:rPr>
          <w:rFonts w:hint="eastAsia" w:ascii="宋体" w:hAnsi="宋体" w:cs="宋体"/>
          <w:b/>
          <w:color w:val="auto"/>
          <w:sz w:val="36"/>
          <w:szCs w:val="36"/>
          <w:highlight w:val="none"/>
        </w:rPr>
      </w:pPr>
      <w:bookmarkStart w:id="437" w:name="_Toc176343852"/>
      <w:bookmarkStart w:id="438" w:name="_Toc703"/>
      <w:bookmarkStart w:id="439" w:name="_Toc176185125"/>
    </w:p>
    <w:p w14:paraId="1710B8BF">
      <w:pPr>
        <w:spacing w:line="360" w:lineRule="auto"/>
        <w:jc w:val="center"/>
        <w:outlineLvl w:val="9"/>
        <w:rPr>
          <w:rFonts w:hint="eastAsia" w:ascii="宋体" w:hAnsi="宋体" w:cs="宋体"/>
          <w:b/>
          <w:color w:val="auto"/>
          <w:sz w:val="36"/>
          <w:szCs w:val="36"/>
          <w:highlight w:val="none"/>
        </w:rPr>
      </w:pPr>
    </w:p>
    <w:p w14:paraId="2A1434BF">
      <w:pPr>
        <w:spacing w:line="360" w:lineRule="auto"/>
        <w:jc w:val="center"/>
        <w:outlineLvl w:val="9"/>
        <w:rPr>
          <w:rFonts w:hint="eastAsia" w:ascii="宋体" w:hAnsi="宋体" w:cs="宋体"/>
          <w:b/>
          <w:color w:val="auto"/>
          <w:sz w:val="36"/>
          <w:szCs w:val="36"/>
          <w:highlight w:val="none"/>
        </w:rPr>
      </w:pPr>
    </w:p>
    <w:p w14:paraId="4D7B95B5">
      <w:pPr>
        <w:spacing w:line="360" w:lineRule="auto"/>
        <w:jc w:val="center"/>
        <w:outlineLvl w:val="9"/>
        <w:rPr>
          <w:rFonts w:hint="eastAsia" w:ascii="宋体" w:hAnsi="宋体" w:cs="宋体"/>
          <w:b/>
          <w:color w:val="auto"/>
          <w:sz w:val="36"/>
          <w:szCs w:val="36"/>
          <w:highlight w:val="none"/>
        </w:rPr>
      </w:pPr>
    </w:p>
    <w:p w14:paraId="2058A188">
      <w:pPr>
        <w:spacing w:line="360" w:lineRule="auto"/>
        <w:jc w:val="center"/>
        <w:outlineLvl w:val="9"/>
        <w:rPr>
          <w:rFonts w:hint="eastAsia" w:ascii="宋体" w:hAnsi="宋体" w:cs="宋体"/>
          <w:b/>
          <w:color w:val="auto"/>
          <w:sz w:val="36"/>
          <w:szCs w:val="36"/>
          <w:highlight w:val="none"/>
        </w:rPr>
      </w:pPr>
    </w:p>
    <w:p w14:paraId="5E7584DA">
      <w:pPr>
        <w:spacing w:line="360" w:lineRule="auto"/>
        <w:jc w:val="center"/>
        <w:outlineLvl w:val="9"/>
        <w:rPr>
          <w:rFonts w:hint="eastAsia" w:ascii="宋体" w:hAnsi="宋体" w:cs="宋体"/>
          <w:b/>
          <w:color w:val="auto"/>
          <w:sz w:val="36"/>
          <w:szCs w:val="36"/>
          <w:highlight w:val="none"/>
        </w:rPr>
      </w:pPr>
    </w:p>
    <w:p w14:paraId="51769FDD">
      <w:pPr>
        <w:spacing w:line="360" w:lineRule="auto"/>
        <w:jc w:val="center"/>
        <w:outlineLvl w:val="9"/>
        <w:rPr>
          <w:rFonts w:hint="eastAsia" w:ascii="宋体" w:hAnsi="宋体" w:cs="宋体"/>
          <w:b/>
          <w:color w:val="auto"/>
          <w:sz w:val="36"/>
          <w:szCs w:val="36"/>
          <w:highlight w:val="none"/>
        </w:rPr>
      </w:pPr>
    </w:p>
    <w:p w14:paraId="36455CB2">
      <w:pPr>
        <w:spacing w:line="360" w:lineRule="auto"/>
        <w:jc w:val="center"/>
        <w:outlineLvl w:val="9"/>
        <w:rPr>
          <w:rFonts w:hint="eastAsia" w:ascii="宋体" w:hAnsi="宋体" w:cs="宋体"/>
          <w:b/>
          <w:color w:val="auto"/>
          <w:sz w:val="36"/>
          <w:szCs w:val="36"/>
          <w:highlight w:val="none"/>
        </w:rPr>
      </w:pPr>
    </w:p>
    <w:p w14:paraId="6D4554F4">
      <w:pPr>
        <w:spacing w:line="360" w:lineRule="auto"/>
        <w:jc w:val="center"/>
        <w:outlineLvl w:val="0"/>
        <w:rPr>
          <w:rFonts w:ascii="宋体" w:hAnsi="宋体" w:cs="宋体"/>
          <w:b/>
          <w:color w:val="auto"/>
          <w:sz w:val="36"/>
          <w:szCs w:val="36"/>
          <w:highlight w:val="none"/>
        </w:rPr>
      </w:pPr>
      <w:bookmarkStart w:id="440" w:name="_Toc15634"/>
      <w:bookmarkStart w:id="441" w:name="_Toc8286"/>
      <w:bookmarkStart w:id="442" w:name="_Toc18808"/>
      <w:bookmarkStart w:id="443" w:name="_Toc26991"/>
      <w:r>
        <w:rPr>
          <w:rFonts w:hint="eastAsia" w:ascii="宋体" w:hAnsi="宋体" w:cs="宋体"/>
          <w:b/>
          <w:color w:val="auto"/>
          <w:sz w:val="36"/>
          <w:szCs w:val="36"/>
          <w:highlight w:val="none"/>
        </w:rPr>
        <w:t>第五部分  拟签订的合同文本</w:t>
      </w:r>
      <w:bookmarkEnd w:id="437"/>
      <w:bookmarkEnd w:id="438"/>
      <w:bookmarkEnd w:id="439"/>
      <w:bookmarkEnd w:id="440"/>
      <w:bookmarkEnd w:id="441"/>
      <w:bookmarkEnd w:id="442"/>
      <w:bookmarkEnd w:id="443"/>
    </w:p>
    <w:p w14:paraId="07788B77">
      <w:pPr>
        <w:adjustRightInd/>
        <w:spacing w:line="600" w:lineRule="exact"/>
        <w:ind w:firstLine="1044"/>
        <w:rPr>
          <w:rFonts w:ascii="宋体" w:hAnsi="宋体" w:cs="宋体"/>
          <w:b/>
          <w:color w:val="auto"/>
          <w:kern w:val="0"/>
          <w:sz w:val="52"/>
          <w:szCs w:val="52"/>
          <w:highlight w:val="none"/>
        </w:rPr>
      </w:pPr>
    </w:p>
    <w:p w14:paraId="3E0B928E">
      <w:pPr>
        <w:adjustRightInd/>
        <w:jc w:val="center"/>
        <w:rPr>
          <w:rFonts w:ascii="宋体" w:hAnsi="宋体" w:cs="宋体"/>
          <w:b/>
          <w:bCs/>
          <w:color w:val="auto"/>
          <w:spacing w:val="-20"/>
          <w:kern w:val="44"/>
          <w:sz w:val="48"/>
          <w:szCs w:val="48"/>
          <w:highlight w:val="none"/>
        </w:rPr>
      </w:pPr>
      <w:bookmarkStart w:id="444" w:name="_Toc3995"/>
    </w:p>
    <w:p w14:paraId="7A177642">
      <w:pPr>
        <w:adjustRightInd/>
        <w:jc w:val="center"/>
        <w:rPr>
          <w:rFonts w:ascii="宋体" w:hAnsi="宋体" w:cs="宋体"/>
          <w:b/>
          <w:bCs/>
          <w:color w:val="auto"/>
          <w:spacing w:val="-20"/>
          <w:kern w:val="44"/>
          <w:sz w:val="48"/>
          <w:szCs w:val="48"/>
          <w:highlight w:val="none"/>
        </w:rPr>
      </w:pPr>
    </w:p>
    <w:p w14:paraId="77CADEE8">
      <w:pPr>
        <w:adjustRightInd/>
        <w:jc w:val="center"/>
        <w:rPr>
          <w:rFonts w:ascii="宋体" w:hAnsi="宋体" w:cs="宋体"/>
          <w:b/>
          <w:bCs/>
          <w:color w:val="auto"/>
          <w:spacing w:val="-20"/>
          <w:kern w:val="44"/>
          <w:sz w:val="48"/>
          <w:szCs w:val="48"/>
          <w:highlight w:val="none"/>
        </w:rPr>
      </w:pPr>
    </w:p>
    <w:p w14:paraId="2175C810">
      <w:pPr>
        <w:adjustRightInd/>
        <w:jc w:val="center"/>
        <w:rPr>
          <w:rFonts w:ascii="宋体" w:hAnsi="宋体" w:cs="宋体"/>
          <w:b/>
          <w:bCs/>
          <w:color w:val="auto"/>
          <w:spacing w:val="-20"/>
          <w:kern w:val="44"/>
          <w:sz w:val="48"/>
          <w:szCs w:val="48"/>
          <w:highlight w:val="none"/>
        </w:rPr>
      </w:pPr>
    </w:p>
    <w:p w14:paraId="0D31E35C">
      <w:pPr>
        <w:adjustRightInd/>
        <w:jc w:val="center"/>
        <w:rPr>
          <w:rFonts w:ascii="宋体" w:hAnsi="宋体" w:cs="宋体"/>
          <w:b/>
          <w:bCs/>
          <w:color w:val="auto"/>
          <w:spacing w:val="-20"/>
          <w:kern w:val="44"/>
          <w:sz w:val="48"/>
          <w:szCs w:val="48"/>
          <w:highlight w:val="none"/>
        </w:rPr>
      </w:pPr>
    </w:p>
    <w:p w14:paraId="1B3F31CA">
      <w:pPr>
        <w:adjustRightInd/>
        <w:jc w:val="center"/>
        <w:rPr>
          <w:rFonts w:hint="eastAsia" w:ascii="宋体" w:hAnsi="宋体" w:cs="宋体"/>
          <w:b/>
          <w:bCs/>
          <w:color w:val="auto"/>
          <w:spacing w:val="-20"/>
          <w:kern w:val="44"/>
          <w:sz w:val="48"/>
          <w:szCs w:val="48"/>
          <w:highlight w:val="none"/>
        </w:rPr>
      </w:pPr>
    </w:p>
    <w:p w14:paraId="10CB3D10">
      <w:pPr>
        <w:adjustRightInd/>
        <w:jc w:val="center"/>
        <w:rPr>
          <w:rFonts w:hint="eastAsia" w:ascii="宋体" w:hAnsi="宋体" w:cs="宋体"/>
          <w:b/>
          <w:bCs/>
          <w:color w:val="auto"/>
          <w:spacing w:val="-20"/>
          <w:kern w:val="44"/>
          <w:sz w:val="48"/>
          <w:szCs w:val="48"/>
          <w:highlight w:val="none"/>
        </w:rPr>
      </w:pPr>
    </w:p>
    <w:p w14:paraId="620738BF">
      <w:pPr>
        <w:adjustRightInd/>
        <w:jc w:val="center"/>
        <w:rPr>
          <w:rFonts w:hint="eastAsia" w:ascii="宋体" w:hAnsi="宋体" w:cs="宋体"/>
          <w:b/>
          <w:bCs/>
          <w:color w:val="auto"/>
          <w:spacing w:val="-20"/>
          <w:kern w:val="44"/>
          <w:sz w:val="48"/>
          <w:szCs w:val="48"/>
          <w:highlight w:val="none"/>
        </w:rPr>
      </w:pPr>
    </w:p>
    <w:p w14:paraId="6BEA6DF7">
      <w:pPr>
        <w:adjustRightInd/>
        <w:jc w:val="center"/>
        <w:rPr>
          <w:rFonts w:hint="eastAsia" w:ascii="宋体" w:hAnsi="宋体" w:cs="宋体"/>
          <w:b/>
          <w:bCs/>
          <w:color w:val="auto"/>
          <w:spacing w:val="-20"/>
          <w:kern w:val="44"/>
          <w:sz w:val="48"/>
          <w:szCs w:val="48"/>
          <w:highlight w:val="none"/>
        </w:rPr>
      </w:pPr>
    </w:p>
    <w:p w14:paraId="67ADFA05">
      <w:pPr>
        <w:adjustRightInd/>
        <w:jc w:val="center"/>
        <w:rPr>
          <w:rFonts w:hint="eastAsia" w:ascii="宋体" w:hAnsi="宋体" w:cs="宋体"/>
          <w:b/>
          <w:bCs/>
          <w:color w:val="auto"/>
          <w:spacing w:val="-20"/>
          <w:kern w:val="44"/>
          <w:sz w:val="48"/>
          <w:szCs w:val="48"/>
          <w:highlight w:val="none"/>
        </w:rPr>
      </w:pPr>
    </w:p>
    <w:p w14:paraId="15CA2009">
      <w:pPr>
        <w:adjustRightInd/>
        <w:jc w:val="center"/>
        <w:rPr>
          <w:rFonts w:hint="eastAsia" w:ascii="宋体" w:hAnsi="宋体" w:cs="宋体"/>
          <w:b/>
          <w:bCs/>
          <w:color w:val="auto"/>
          <w:spacing w:val="-20"/>
          <w:kern w:val="44"/>
          <w:sz w:val="48"/>
          <w:szCs w:val="48"/>
          <w:highlight w:val="none"/>
        </w:rPr>
      </w:pPr>
    </w:p>
    <w:p w14:paraId="5B6A473C">
      <w:pPr>
        <w:adjustRightInd/>
        <w:jc w:val="center"/>
        <w:rPr>
          <w:rFonts w:hint="eastAsia" w:ascii="宋体" w:hAnsi="宋体" w:cs="宋体"/>
          <w:b/>
          <w:bCs/>
          <w:color w:val="auto"/>
          <w:spacing w:val="-20"/>
          <w:kern w:val="44"/>
          <w:sz w:val="48"/>
          <w:szCs w:val="48"/>
          <w:highlight w:val="none"/>
        </w:rPr>
      </w:pPr>
    </w:p>
    <w:p w14:paraId="096DA609">
      <w:pPr>
        <w:adjustRightInd/>
        <w:jc w:val="center"/>
        <w:rPr>
          <w:rFonts w:hint="eastAsia" w:ascii="宋体" w:hAnsi="宋体" w:cs="宋体"/>
          <w:b/>
          <w:bCs/>
          <w:color w:val="auto"/>
          <w:spacing w:val="-20"/>
          <w:kern w:val="44"/>
          <w:sz w:val="48"/>
          <w:szCs w:val="48"/>
          <w:highlight w:val="none"/>
        </w:rPr>
      </w:pPr>
    </w:p>
    <w:p w14:paraId="38690B57">
      <w:pPr>
        <w:adjustRightInd/>
        <w:jc w:val="center"/>
        <w:rPr>
          <w:rFonts w:hint="eastAsia" w:ascii="宋体" w:hAnsi="宋体" w:cs="宋体"/>
          <w:b/>
          <w:bCs/>
          <w:color w:val="auto"/>
          <w:spacing w:val="-20"/>
          <w:kern w:val="44"/>
          <w:sz w:val="48"/>
          <w:szCs w:val="48"/>
          <w:highlight w:val="none"/>
        </w:rPr>
      </w:pPr>
    </w:p>
    <w:p w14:paraId="2775B445">
      <w:pPr>
        <w:adjustRightInd/>
        <w:jc w:val="center"/>
        <w:rPr>
          <w:rFonts w:hint="eastAsia" w:ascii="宋体" w:hAnsi="宋体" w:cs="宋体"/>
          <w:b/>
          <w:bCs/>
          <w:color w:val="auto"/>
          <w:spacing w:val="-20"/>
          <w:kern w:val="44"/>
          <w:sz w:val="48"/>
          <w:szCs w:val="48"/>
          <w:highlight w:val="none"/>
        </w:rPr>
      </w:pPr>
    </w:p>
    <w:p w14:paraId="485719EE">
      <w:pPr>
        <w:adjustRightInd/>
        <w:jc w:val="center"/>
        <w:outlineLvl w:val="1"/>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14:paraId="28B6DC56">
      <w:pPr>
        <w:adjustRightInd/>
        <w:jc w:val="center"/>
        <w:rPr>
          <w:rFonts w:ascii="宋体" w:hAnsi="宋体" w:cs="宋体"/>
          <w:b/>
          <w:bCs/>
          <w:color w:val="auto"/>
          <w:spacing w:val="-20"/>
          <w:kern w:val="44"/>
          <w:sz w:val="48"/>
          <w:szCs w:val="48"/>
          <w:highlight w:val="none"/>
        </w:rPr>
      </w:pPr>
    </w:p>
    <w:p w14:paraId="0BEF9B06">
      <w:pPr>
        <w:adjustRightInd/>
        <w:rPr>
          <w:rFonts w:ascii="宋体" w:hAnsi="宋体" w:cs="宋体"/>
          <w:b/>
          <w:bCs/>
          <w:color w:val="auto"/>
          <w:spacing w:val="-20"/>
          <w:kern w:val="44"/>
          <w:sz w:val="40"/>
          <w:szCs w:val="40"/>
          <w:highlight w:val="none"/>
        </w:rPr>
      </w:pPr>
    </w:p>
    <w:p w14:paraId="1D13F907">
      <w:pPr>
        <w:adjustRightInd/>
        <w:rPr>
          <w:rFonts w:ascii="宋体" w:hAnsi="宋体" w:cs="宋体"/>
          <w:b/>
          <w:bCs/>
          <w:color w:val="auto"/>
          <w:spacing w:val="-20"/>
          <w:kern w:val="44"/>
          <w:sz w:val="40"/>
          <w:szCs w:val="40"/>
          <w:highlight w:val="none"/>
        </w:rPr>
      </w:pPr>
    </w:p>
    <w:p w14:paraId="09007128">
      <w:pPr>
        <w:adjustRightInd/>
        <w:rPr>
          <w:rFonts w:ascii="宋体" w:hAnsi="宋体" w:cs="宋体"/>
          <w:b/>
          <w:bCs/>
          <w:color w:val="auto"/>
          <w:spacing w:val="-20"/>
          <w:kern w:val="44"/>
          <w:sz w:val="40"/>
          <w:szCs w:val="40"/>
          <w:highlight w:val="none"/>
        </w:rPr>
      </w:pPr>
    </w:p>
    <w:p w14:paraId="067C1478">
      <w:pPr>
        <w:adjustRightInd/>
        <w:spacing w:line="360" w:lineRule="auto"/>
        <w:ind w:left="1680" w:leftChars="800"/>
        <w:rPr>
          <w:color w:val="auto"/>
          <w:sz w:val="32"/>
          <w:szCs w:val="32"/>
          <w:highlight w:val="none"/>
        </w:rPr>
      </w:pPr>
      <w:r>
        <w:rPr>
          <w:rFonts w:hint="eastAsia" w:ascii="宋体" w:hAnsi="宋体" w:cs="宋体"/>
          <w:color w:val="auto"/>
          <w:kern w:val="0"/>
          <w:sz w:val="32"/>
          <w:szCs w:val="32"/>
          <w:highlight w:val="none"/>
        </w:rPr>
        <w:t>项目名称：</w:t>
      </w:r>
      <w:r>
        <w:rPr>
          <w:color w:val="auto"/>
          <w:sz w:val="32"/>
          <w:szCs w:val="32"/>
          <w:highlight w:val="none"/>
          <w:u w:val="single"/>
        </w:rPr>
        <w:t xml:space="preserve"> </w:t>
      </w:r>
      <w:r>
        <w:rPr>
          <w:rFonts w:hint="eastAsia"/>
          <w:color w:val="auto"/>
          <w:sz w:val="32"/>
          <w:szCs w:val="32"/>
          <w:highlight w:val="none"/>
          <w:u w:val="single"/>
        </w:rPr>
        <w:t>合浦县第五人民医院门诊医技综合楼改扩建项目医疗配套设施采购</w:t>
      </w:r>
      <w:r>
        <w:rPr>
          <w:color w:val="auto"/>
          <w:sz w:val="32"/>
          <w:szCs w:val="32"/>
          <w:highlight w:val="none"/>
          <w:u w:val="single"/>
        </w:rPr>
        <w:t xml:space="preserve"> </w:t>
      </w:r>
    </w:p>
    <w:p w14:paraId="633DD651">
      <w:pPr>
        <w:adjustRightInd/>
        <w:spacing w:line="360" w:lineRule="auto"/>
        <w:ind w:left="1680" w:leftChars="800"/>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1D77B0CE">
      <w:pPr>
        <w:adjustRightInd/>
        <w:spacing w:line="360" w:lineRule="auto"/>
        <w:ind w:left="1680" w:leftChars="800"/>
        <w:rPr>
          <w:color w:val="auto"/>
          <w:sz w:val="32"/>
          <w:szCs w:val="32"/>
          <w:highlight w:val="none"/>
        </w:rPr>
      </w:pPr>
      <w:r>
        <w:rPr>
          <w:rFonts w:hint="eastAsia"/>
          <w:color w:val="auto"/>
          <w:sz w:val="32"/>
          <w:szCs w:val="32"/>
          <w:highlight w:val="none"/>
        </w:rPr>
        <w:t>甲</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r>
        <w:rPr>
          <w:rFonts w:hint="eastAsia"/>
          <w:color w:val="auto"/>
          <w:sz w:val="32"/>
          <w:szCs w:val="32"/>
          <w:highlight w:val="none"/>
          <w:u w:val="single"/>
        </w:rPr>
        <w:t>合浦县公馆镇中心卫生院</w:t>
      </w:r>
      <w:r>
        <w:rPr>
          <w:color w:val="auto"/>
          <w:sz w:val="32"/>
          <w:szCs w:val="32"/>
          <w:highlight w:val="none"/>
          <w:u w:val="single"/>
        </w:rPr>
        <w:t xml:space="preserve"> </w:t>
      </w:r>
    </w:p>
    <w:p w14:paraId="2E060B5F">
      <w:pPr>
        <w:adjustRightInd/>
        <w:spacing w:line="360" w:lineRule="auto"/>
        <w:ind w:left="1680" w:leftChars="800"/>
        <w:rPr>
          <w:color w:val="auto"/>
          <w:sz w:val="32"/>
          <w:szCs w:val="32"/>
          <w:highlight w:val="none"/>
          <w:u w:val="single"/>
        </w:rPr>
      </w:pPr>
      <w:r>
        <w:rPr>
          <w:rFonts w:hint="eastAsia"/>
          <w:color w:val="auto"/>
          <w:sz w:val="32"/>
          <w:szCs w:val="32"/>
          <w:highlight w:val="none"/>
        </w:rPr>
        <w:t>乙</w:t>
      </w:r>
      <w:r>
        <w:rPr>
          <w:color w:val="auto"/>
          <w:sz w:val="32"/>
          <w:szCs w:val="32"/>
          <w:highlight w:val="none"/>
        </w:rPr>
        <w:t xml:space="preserve">    </w:t>
      </w:r>
      <w:r>
        <w:rPr>
          <w:rFonts w:hint="eastAsia"/>
          <w:color w:val="auto"/>
          <w:sz w:val="32"/>
          <w:szCs w:val="32"/>
          <w:highlight w:val="none"/>
        </w:rPr>
        <w:t>方：</w:t>
      </w:r>
      <w:r>
        <w:rPr>
          <w:color w:val="auto"/>
          <w:sz w:val="32"/>
          <w:szCs w:val="32"/>
          <w:highlight w:val="none"/>
          <w:u w:val="single"/>
        </w:rPr>
        <w:t xml:space="preserve">                             </w:t>
      </w:r>
    </w:p>
    <w:p w14:paraId="4E6EE1C0">
      <w:pPr>
        <w:adjustRightInd/>
        <w:spacing w:line="360" w:lineRule="auto"/>
        <w:ind w:left="1680" w:leftChars="800"/>
        <w:rPr>
          <w:color w:val="auto"/>
          <w:sz w:val="32"/>
          <w:szCs w:val="32"/>
          <w:highlight w:val="none"/>
        </w:rPr>
      </w:pPr>
      <w:r>
        <w:rPr>
          <w:rFonts w:hint="eastAsia"/>
          <w:color w:val="auto"/>
          <w:sz w:val="32"/>
          <w:szCs w:val="32"/>
          <w:highlight w:val="none"/>
        </w:rPr>
        <w:t>签订时间：</w:t>
      </w:r>
      <w:r>
        <w:rPr>
          <w:color w:val="auto"/>
          <w:sz w:val="32"/>
          <w:szCs w:val="32"/>
          <w:highlight w:val="none"/>
          <w:u w:val="single"/>
        </w:rPr>
        <w:t xml:space="preserve">                             </w:t>
      </w:r>
    </w:p>
    <w:p w14:paraId="001EF9C9">
      <w:pPr>
        <w:adjustRightInd/>
        <w:rPr>
          <w:color w:val="auto"/>
          <w:highlight w:val="none"/>
        </w:rPr>
      </w:pPr>
    </w:p>
    <w:p w14:paraId="1B066193">
      <w:pPr>
        <w:adjustRightInd/>
        <w:jc w:val="center"/>
        <w:outlineLvl w:val="1"/>
        <w:rPr>
          <w:rFonts w:ascii="黑体" w:hAnsi="黑体" w:eastAsia="黑体"/>
          <w:color w:val="auto"/>
          <w:sz w:val="28"/>
          <w:szCs w:val="28"/>
          <w:highlight w:val="none"/>
        </w:rPr>
      </w:pPr>
      <w:r>
        <w:rPr>
          <w:rFonts w:eastAsia="黑体"/>
          <w:color w:val="auto"/>
          <w:sz w:val="44"/>
          <w:szCs w:val="44"/>
          <w:highlight w:val="none"/>
        </w:rPr>
        <w:br w:type="page"/>
      </w:r>
      <w:bookmarkEnd w:id="444"/>
      <w:bookmarkStart w:id="445" w:name="_Toc22209"/>
      <w:r>
        <w:rPr>
          <w:rFonts w:hint="eastAsia" w:ascii="黑体" w:hAnsi="黑体" w:eastAsia="黑体"/>
          <w:color w:val="auto"/>
          <w:sz w:val="28"/>
          <w:szCs w:val="28"/>
          <w:highlight w:val="none"/>
        </w:rPr>
        <w:t>第一节 政府采购合同协议书</w:t>
      </w:r>
      <w:bookmarkEnd w:id="445"/>
    </w:p>
    <w:p w14:paraId="11DB703A">
      <w:pPr>
        <w:pStyle w:val="82"/>
        <w:rPr>
          <w:color w:val="auto"/>
          <w:highlight w:val="none"/>
        </w:rPr>
      </w:pPr>
    </w:p>
    <w:p w14:paraId="7777C9C4">
      <w:pPr>
        <w:pStyle w:val="82"/>
        <w:ind w:firstLine="0"/>
        <w:rPr>
          <w:color w:val="auto"/>
          <w:highlight w:val="none"/>
        </w:rPr>
      </w:pPr>
      <w:r>
        <w:rPr>
          <w:rFonts w:hint="eastAsia"/>
          <w:color w:val="auto"/>
          <w:highlight w:val="none"/>
        </w:rPr>
        <w:t>甲方（全称）：</w:t>
      </w:r>
      <w:r>
        <w:rPr>
          <w:rFonts w:hint="eastAsia"/>
          <w:color w:val="auto"/>
          <w:highlight w:val="none"/>
          <w:u w:val="single"/>
        </w:rPr>
        <w:t xml:space="preserve"> 合浦县公馆镇中心卫生院 </w:t>
      </w:r>
    </w:p>
    <w:p w14:paraId="214D10E2">
      <w:pPr>
        <w:pStyle w:val="82"/>
        <w:ind w:firstLine="0"/>
        <w:rPr>
          <w:color w:val="auto"/>
          <w:highlight w:val="none"/>
        </w:rPr>
      </w:pPr>
      <w:r>
        <w:rPr>
          <w:rFonts w:hint="eastAsia"/>
          <w:color w:val="auto"/>
          <w:highlight w:val="none"/>
        </w:rPr>
        <w:t>乙方（全称）：</w:t>
      </w:r>
      <w:r>
        <w:rPr>
          <w:rFonts w:hint="eastAsia"/>
          <w:color w:val="auto"/>
          <w:highlight w:val="none"/>
          <w:u w:val="single"/>
        </w:rPr>
        <w:t xml:space="preserve">                       </w:t>
      </w:r>
    </w:p>
    <w:p w14:paraId="0C42CF10">
      <w:pPr>
        <w:adjustRightInd/>
        <w:spacing w:line="400" w:lineRule="exact"/>
        <w:rPr>
          <w:color w:val="auto"/>
          <w:highlight w:val="none"/>
        </w:rPr>
      </w:pPr>
    </w:p>
    <w:p w14:paraId="587C86C0">
      <w:pPr>
        <w:pStyle w:val="82"/>
        <w:ind w:firstLine="480" w:firstLineChars="200"/>
        <w:rPr>
          <w:color w:val="auto"/>
          <w:highlight w:val="none"/>
        </w:rPr>
      </w:pPr>
      <w:r>
        <w:rPr>
          <w:rFonts w:hint="eastAsia"/>
          <w:color w:val="auto"/>
          <w:highlight w:val="none"/>
        </w:rPr>
        <w:t xml:space="preserve">依据《中华人民共和国民法典》、《中华人民共和国政府采购法》等有关的法律法规，以及本采购项目的招标文件、乙方的《投标文件》及《中标通知书》，甲乙双方同意签订本合同。具体情况及要求如下：     </w:t>
      </w:r>
    </w:p>
    <w:p w14:paraId="063A7E67">
      <w:pPr>
        <w:pStyle w:val="82"/>
        <w:ind w:firstLine="0"/>
        <w:outlineLvl w:val="2"/>
        <w:rPr>
          <w:b/>
          <w:color w:val="auto"/>
          <w:highlight w:val="none"/>
        </w:rPr>
      </w:pPr>
      <w:r>
        <w:rPr>
          <w:rFonts w:hint="eastAsia"/>
          <w:b/>
          <w:color w:val="auto"/>
          <w:highlight w:val="none"/>
        </w:rPr>
        <w:t>1.项目信息</w:t>
      </w:r>
    </w:p>
    <w:p w14:paraId="1796BE7C">
      <w:pPr>
        <w:pStyle w:val="82"/>
        <w:ind w:firstLine="480" w:firstLineChars="200"/>
        <w:rPr>
          <w:color w:val="auto"/>
          <w:highlight w:val="none"/>
          <w:u w:val="single"/>
        </w:rPr>
      </w:pPr>
      <w:r>
        <w:rPr>
          <w:rFonts w:hint="eastAsia"/>
          <w:color w:val="auto"/>
          <w:highlight w:val="none"/>
        </w:rPr>
        <w:t>（1）采购项目名称：</w:t>
      </w:r>
      <w:r>
        <w:rPr>
          <w:rFonts w:hint="eastAsia"/>
          <w:color w:val="auto"/>
          <w:highlight w:val="none"/>
          <w:u w:val="single"/>
        </w:rPr>
        <w:t xml:space="preserve"> 合浦县第五人民医院门诊医技综合楼改扩建项目医疗配套设施采购 </w:t>
      </w:r>
    </w:p>
    <w:p w14:paraId="5B0F17F4">
      <w:pPr>
        <w:pStyle w:val="82"/>
        <w:ind w:firstLine="1080" w:firstLineChars="450"/>
        <w:rPr>
          <w:color w:val="auto"/>
          <w:highlight w:val="none"/>
        </w:rPr>
      </w:pPr>
      <w:r>
        <w:rPr>
          <w:rFonts w:hint="eastAsia"/>
          <w:color w:val="auto"/>
          <w:highlight w:val="none"/>
        </w:rPr>
        <w:t>采购项目编号：</w:t>
      </w:r>
      <w:r>
        <w:rPr>
          <w:rFonts w:hint="eastAsia"/>
          <w:color w:val="auto"/>
          <w:highlight w:val="none"/>
          <w:u w:val="single"/>
        </w:rPr>
        <w:t xml:space="preserve"> </w:t>
      </w:r>
      <w:r>
        <w:rPr>
          <w:rFonts w:hint="eastAsia"/>
          <w:color w:val="auto"/>
          <w:highlight w:val="none"/>
          <w:u w:val="single"/>
          <w:lang w:eastAsia="zh-CN"/>
        </w:rPr>
        <w:t>BHZC2025-G1-210007-CGZX</w:t>
      </w:r>
      <w:r>
        <w:rPr>
          <w:rFonts w:hint="eastAsia"/>
          <w:color w:val="auto"/>
          <w:highlight w:val="none"/>
          <w:u w:val="single"/>
        </w:rPr>
        <w:t xml:space="preserve"> </w:t>
      </w:r>
    </w:p>
    <w:p w14:paraId="7B932C79">
      <w:pPr>
        <w:pStyle w:val="82"/>
        <w:ind w:firstLine="480" w:firstLineChars="200"/>
        <w:rPr>
          <w:color w:val="auto"/>
          <w:highlight w:val="none"/>
        </w:rPr>
      </w:pPr>
      <w:r>
        <w:rPr>
          <w:rFonts w:hint="eastAsia"/>
          <w:color w:val="auto"/>
          <w:highlight w:val="none"/>
        </w:rPr>
        <w:t>（2）采购计划编号：</w:t>
      </w:r>
      <w:r>
        <w:rPr>
          <w:rFonts w:hint="eastAsia"/>
          <w:color w:val="auto"/>
          <w:highlight w:val="none"/>
          <w:u w:val="single"/>
        </w:rPr>
        <w:t xml:space="preserve">                                          </w:t>
      </w:r>
      <w:r>
        <w:rPr>
          <w:rFonts w:hint="eastAsia"/>
          <w:color w:val="auto"/>
          <w:highlight w:val="none"/>
        </w:rPr>
        <w:t xml:space="preserve"> </w:t>
      </w:r>
    </w:p>
    <w:p w14:paraId="3C286620">
      <w:pPr>
        <w:pStyle w:val="82"/>
        <w:ind w:firstLine="480" w:firstLineChars="200"/>
        <w:outlineLvl w:val="3"/>
        <w:rPr>
          <w:color w:val="auto"/>
          <w:highlight w:val="none"/>
        </w:rPr>
      </w:pPr>
      <w:r>
        <w:rPr>
          <w:rFonts w:hint="eastAsia"/>
          <w:color w:val="auto"/>
          <w:highlight w:val="none"/>
        </w:rPr>
        <w:t>（3）项目内容：</w:t>
      </w:r>
    </w:p>
    <w:p w14:paraId="587C7DE0">
      <w:pPr>
        <w:pStyle w:val="82"/>
        <w:ind w:firstLine="480" w:firstLineChars="200"/>
        <w:rPr>
          <w:color w:val="auto"/>
          <w:highlight w:val="none"/>
        </w:rPr>
      </w:pPr>
      <w:r>
        <w:rPr>
          <w:rFonts w:hint="eastAsia"/>
          <w:color w:val="auto"/>
          <w:highlight w:val="none"/>
        </w:rPr>
        <w:t xml:space="preserve">     采购标的及数量（台/套/个/架/组等）：</w:t>
      </w:r>
      <w:r>
        <w:rPr>
          <w:rFonts w:hint="eastAsia"/>
          <w:color w:val="auto"/>
          <w:highlight w:val="none"/>
          <w:u w:val="single"/>
        </w:rPr>
        <w:t xml:space="preserve">               </w:t>
      </w:r>
      <w:r>
        <w:rPr>
          <w:rFonts w:hint="eastAsia"/>
          <w:color w:val="auto"/>
          <w:highlight w:val="none"/>
        </w:rPr>
        <w:t xml:space="preserve">   </w:t>
      </w:r>
    </w:p>
    <w:p w14:paraId="42E8AC6B">
      <w:pPr>
        <w:pStyle w:val="82"/>
        <w:ind w:firstLine="480" w:firstLineChars="200"/>
        <w:rPr>
          <w:rFonts w:cs="宋体"/>
          <w:color w:val="auto"/>
          <w:highlight w:val="none"/>
        </w:rPr>
      </w:pPr>
      <w:r>
        <w:rPr>
          <w:rFonts w:hint="eastAsia"/>
          <w:color w:val="auto"/>
          <w:highlight w:val="none"/>
        </w:rPr>
        <w:t xml:space="preserve">     </w:t>
      </w:r>
      <w:r>
        <w:rPr>
          <w:rFonts w:hint="eastAsia" w:cs="宋体"/>
          <w:color w:val="auto"/>
          <w:highlight w:val="none"/>
        </w:rPr>
        <w:t>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p>
    <w:p w14:paraId="6CA214FF">
      <w:pPr>
        <w:pStyle w:val="82"/>
        <w:ind w:firstLine="480" w:firstLineChars="200"/>
        <w:rPr>
          <w:color w:val="auto"/>
          <w:highlight w:val="none"/>
          <w:u w:val="single"/>
        </w:rPr>
      </w:pPr>
      <w:r>
        <w:rPr>
          <w:rFonts w:hint="eastAsia"/>
          <w:color w:val="auto"/>
          <w:highlight w:val="none"/>
        </w:rPr>
        <w:t>采购标的的技术要求、商务要求具体见附件。</w:t>
      </w:r>
    </w:p>
    <w:p w14:paraId="6D798598">
      <w:pPr>
        <w:pStyle w:val="82"/>
        <w:ind w:firstLine="480" w:firstLineChars="200"/>
        <w:rPr>
          <w:rFonts w:cs="宋体"/>
          <w:color w:val="auto"/>
          <w:highlight w:val="none"/>
        </w:rPr>
      </w:pPr>
      <w:r>
        <w:rPr>
          <w:rFonts w:hint="eastAsia" w:cs="宋体"/>
          <w:color w:val="auto"/>
          <w:highlight w:val="none"/>
        </w:rPr>
        <w:t>（4）政府采购组织形式：</w:t>
      </w:r>
      <w:r>
        <w:rPr>
          <w:rFonts w:cs="宋体"/>
          <w:color w:val="auto"/>
          <w:highlight w:val="none"/>
        </w:rPr>
        <w:sym w:font="Wingdings" w:char="00FE"/>
      </w:r>
      <w:r>
        <w:rPr>
          <w:rFonts w:hint="eastAsia" w:cs="宋体"/>
          <w:color w:val="auto"/>
          <w:highlight w:val="none"/>
        </w:rPr>
        <w:t xml:space="preserve">政府集中采购  </w:t>
      </w:r>
      <w:r>
        <w:rPr>
          <w:rFonts w:cs="宋体"/>
          <w:color w:val="auto"/>
          <w:highlight w:val="none"/>
        </w:rPr>
        <w:sym w:font="Wingdings" w:char="F0A8"/>
      </w:r>
      <w:r>
        <w:rPr>
          <w:rFonts w:hint="eastAsia" w:cs="宋体"/>
          <w:color w:val="auto"/>
          <w:highlight w:val="none"/>
        </w:rPr>
        <w:t xml:space="preserve">部门集中采购  </w:t>
      </w:r>
      <w:r>
        <w:rPr>
          <w:rFonts w:cs="宋体"/>
          <w:color w:val="auto"/>
          <w:highlight w:val="none"/>
        </w:rPr>
        <w:sym w:font="Wingdings" w:char="F0A8"/>
      </w:r>
      <w:r>
        <w:rPr>
          <w:rFonts w:hint="eastAsia" w:cs="宋体"/>
          <w:color w:val="auto"/>
          <w:highlight w:val="none"/>
        </w:rPr>
        <w:t>分散采购</w:t>
      </w:r>
    </w:p>
    <w:p w14:paraId="38F414F8">
      <w:pPr>
        <w:pStyle w:val="82"/>
        <w:ind w:firstLine="480" w:firstLineChars="200"/>
        <w:rPr>
          <w:rFonts w:cs="宋体"/>
          <w:color w:val="auto"/>
          <w:highlight w:val="none"/>
        </w:rPr>
      </w:pPr>
      <w:r>
        <w:rPr>
          <w:rFonts w:hint="eastAsia" w:cs="宋体"/>
          <w:color w:val="auto"/>
          <w:highlight w:val="none"/>
        </w:rPr>
        <w:t>（5）政府采购方式：</w:t>
      </w:r>
      <w:r>
        <w:rPr>
          <w:rFonts w:cs="宋体"/>
          <w:color w:val="auto"/>
          <w:highlight w:val="none"/>
        </w:rPr>
        <w:sym w:font="Wingdings" w:char="00FE"/>
      </w:r>
      <w:r>
        <w:rPr>
          <w:rFonts w:hint="eastAsia" w:cs="宋体"/>
          <w:color w:val="auto"/>
          <w:highlight w:val="none"/>
        </w:rPr>
        <w:t xml:space="preserve">公开招标 </w:t>
      </w:r>
      <w:r>
        <w:rPr>
          <w:rFonts w:cs="宋体"/>
          <w:color w:val="auto"/>
          <w:highlight w:val="none"/>
        </w:rPr>
        <w:sym w:font="Wingdings" w:char="F0A8"/>
      </w:r>
      <w:r>
        <w:rPr>
          <w:rFonts w:hint="eastAsia" w:cs="宋体"/>
          <w:color w:val="auto"/>
          <w:highlight w:val="none"/>
        </w:rPr>
        <w:t xml:space="preserve">邀请招标 </w:t>
      </w:r>
      <w:r>
        <w:rPr>
          <w:rFonts w:cs="宋体"/>
          <w:color w:val="auto"/>
          <w:highlight w:val="none"/>
        </w:rPr>
        <w:sym w:font="Wingdings" w:char="F0A8"/>
      </w:r>
      <w:r>
        <w:rPr>
          <w:rFonts w:hint="eastAsia" w:cs="宋体"/>
          <w:color w:val="auto"/>
          <w:highlight w:val="none"/>
        </w:rPr>
        <w:t xml:space="preserve">竞争性谈判 </w:t>
      </w:r>
      <w:r>
        <w:rPr>
          <w:rFonts w:cs="宋体"/>
          <w:color w:val="auto"/>
          <w:highlight w:val="none"/>
        </w:rPr>
        <w:sym w:font="Wingdings" w:char="F0A8"/>
      </w:r>
      <w:r>
        <w:rPr>
          <w:rFonts w:hint="eastAsia" w:cs="宋体"/>
          <w:color w:val="auto"/>
          <w:highlight w:val="none"/>
        </w:rPr>
        <w:t>竞争性磋商</w:t>
      </w:r>
    </w:p>
    <w:p w14:paraId="530F01AA">
      <w:pPr>
        <w:pStyle w:val="82"/>
        <w:ind w:firstLine="440" w:firstLineChars="200"/>
        <w:rPr>
          <w:rFonts w:cs="宋体"/>
          <w:color w:val="auto"/>
          <w:highlight w:val="none"/>
          <w:u w:val="single"/>
        </w:rPr>
      </w:pPr>
      <w:r>
        <w:rPr>
          <w:rFonts w:hint="eastAsia" w:eastAsia="华文楷体" w:cs="宋体"/>
          <w:color w:val="auto"/>
          <w:sz w:val="22"/>
          <w:highlight w:val="none"/>
        </w:rPr>
        <w:t xml:space="preserve">                     </w:t>
      </w:r>
      <w:r>
        <w:rPr>
          <w:rFonts w:cs="宋体"/>
          <w:color w:val="auto"/>
          <w:highlight w:val="none"/>
        </w:rPr>
        <w:sym w:font="Wingdings" w:char="F0A8"/>
      </w:r>
      <w:r>
        <w:rPr>
          <w:rFonts w:hint="eastAsia" w:cs="宋体"/>
          <w:color w:val="auto"/>
          <w:highlight w:val="none"/>
        </w:rPr>
        <w:t xml:space="preserve">询价 </w:t>
      </w:r>
      <w:r>
        <w:rPr>
          <w:rFonts w:cs="宋体"/>
          <w:color w:val="auto"/>
          <w:highlight w:val="none"/>
        </w:rPr>
        <w:sym w:font="Wingdings" w:char="F0A8"/>
      </w:r>
      <w:r>
        <w:rPr>
          <w:rFonts w:hint="eastAsia" w:cs="宋体"/>
          <w:color w:val="auto"/>
          <w:highlight w:val="none"/>
        </w:rPr>
        <w:t xml:space="preserve">单一来源 </w:t>
      </w:r>
      <w:r>
        <w:rPr>
          <w:rFonts w:cs="宋体"/>
          <w:color w:val="auto"/>
          <w:highlight w:val="none"/>
        </w:rPr>
        <w:sym w:font="Wingdings" w:char="F0A8"/>
      </w:r>
      <w:r>
        <w:rPr>
          <w:rFonts w:hint="eastAsia" w:cs="宋体"/>
          <w:color w:val="auto"/>
          <w:highlight w:val="none"/>
        </w:rPr>
        <w:t xml:space="preserve">框架协议 </w:t>
      </w:r>
      <w:r>
        <w:rPr>
          <w:rFonts w:cs="宋体"/>
          <w:color w:val="auto"/>
          <w:highlight w:val="none"/>
        </w:rPr>
        <w:sym w:font="Wingdings" w:char="F0A8"/>
      </w:r>
      <w:r>
        <w:rPr>
          <w:rFonts w:hint="eastAsia" w:cs="宋体"/>
          <w:color w:val="auto"/>
          <w:highlight w:val="none"/>
        </w:rPr>
        <w:t>其他：</w:t>
      </w:r>
      <w:r>
        <w:rPr>
          <w:rFonts w:hint="eastAsia" w:cs="宋体"/>
          <w:color w:val="auto"/>
          <w:highlight w:val="none"/>
          <w:u w:val="single"/>
        </w:rPr>
        <w:t xml:space="preserve">          </w:t>
      </w:r>
    </w:p>
    <w:p w14:paraId="3CCA2280">
      <w:pPr>
        <w:pStyle w:val="82"/>
        <w:ind w:firstLine="480" w:firstLineChars="200"/>
        <w:rPr>
          <w:rFonts w:cs="宋体"/>
          <w:color w:val="auto"/>
          <w:highlight w:val="none"/>
        </w:rPr>
      </w:pPr>
      <w:r>
        <w:rPr>
          <w:rFonts w:hint="eastAsia" w:cs="宋体"/>
          <w:color w:val="auto"/>
          <w:highlight w:val="none"/>
        </w:rPr>
        <w:t>（注：在框架协议采购的第二阶段，可选择使用该合同文本）</w:t>
      </w:r>
    </w:p>
    <w:p w14:paraId="025DEA5B">
      <w:pPr>
        <w:pStyle w:val="82"/>
        <w:ind w:firstLine="440" w:firstLineChars="200"/>
        <w:rPr>
          <w:color w:val="auto"/>
          <w:highlight w:val="none"/>
        </w:rPr>
      </w:pPr>
      <w:r>
        <w:rPr>
          <w:rFonts w:hint="eastAsia" w:eastAsia="华文楷体" w:cs="华文楷体"/>
          <w:color w:val="auto"/>
          <w:sz w:val="22"/>
          <w:highlight w:val="none"/>
        </w:rPr>
        <w:t>（6）</w:t>
      </w:r>
      <w:r>
        <w:rPr>
          <w:rFonts w:hint="eastAsia"/>
          <w:color w:val="auto"/>
          <w:highlight w:val="none"/>
        </w:rPr>
        <w:t>中标（成交）采购标的制造商是否为中小企业：</w:t>
      </w: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否</w:t>
      </w:r>
    </w:p>
    <w:p w14:paraId="5C8D47D7">
      <w:pPr>
        <w:pStyle w:val="82"/>
        <w:ind w:firstLine="480" w:firstLineChars="200"/>
        <w:rPr>
          <w:iCs/>
          <w:color w:val="auto"/>
          <w:highlight w:val="none"/>
        </w:rPr>
      </w:pPr>
      <w:r>
        <w:rPr>
          <w:rFonts w:hint="eastAsia"/>
          <w:color w:val="auto"/>
          <w:highlight w:val="none"/>
        </w:rPr>
        <w:t>本合同是否为专门面向中小企业的采购合同（中小企业预留合同）：</w:t>
      </w:r>
      <w:r>
        <w:rPr>
          <w:iCs/>
          <w:color w:val="auto"/>
          <w:highlight w:val="none"/>
        </w:rPr>
        <w:sym w:font="Wingdings" w:char="F0A8"/>
      </w:r>
      <w:r>
        <w:rPr>
          <w:rFonts w:hint="eastAsia"/>
          <w:iCs/>
          <w:color w:val="auto"/>
          <w:highlight w:val="none"/>
        </w:rPr>
        <w:t xml:space="preserve">是    </w:t>
      </w:r>
      <w:r>
        <w:rPr>
          <w:iCs/>
          <w:color w:val="auto"/>
          <w:highlight w:val="none"/>
        </w:rPr>
        <w:sym w:font="Wingdings" w:char="00FE"/>
      </w:r>
      <w:r>
        <w:rPr>
          <w:rFonts w:hint="eastAsia"/>
          <w:iCs/>
          <w:color w:val="auto"/>
          <w:highlight w:val="none"/>
        </w:rPr>
        <w:t>否</w:t>
      </w:r>
    </w:p>
    <w:p w14:paraId="7D355108">
      <w:pPr>
        <w:pStyle w:val="82"/>
        <w:ind w:firstLine="480" w:firstLineChars="200"/>
        <w:rPr>
          <w:iCs/>
          <w:color w:val="auto"/>
          <w:highlight w:val="none"/>
        </w:rPr>
      </w:pPr>
      <w:r>
        <w:rPr>
          <w:rFonts w:hint="eastAsia"/>
          <w:color w:val="auto"/>
          <w:highlight w:val="none"/>
        </w:rPr>
        <w:t>若本项目不专门面向中小企业采购，是否给予小微企业评审优惠：</w:t>
      </w:r>
      <w:r>
        <w:rPr>
          <w:iCs/>
          <w:color w:val="auto"/>
          <w:highlight w:val="none"/>
        </w:rPr>
        <w:sym w:font="Wingdings" w:char="00FE"/>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51A90AEE">
      <w:pPr>
        <w:pStyle w:val="82"/>
        <w:ind w:firstLine="480" w:firstLineChars="200"/>
        <w:rPr>
          <w:iCs/>
          <w:color w:val="auto"/>
          <w:highlight w:val="none"/>
        </w:rPr>
      </w:pPr>
      <w:r>
        <w:rPr>
          <w:rFonts w:hint="eastAsia"/>
          <w:color w:val="auto"/>
          <w:highlight w:val="none"/>
        </w:rPr>
        <w:t>中标（成交）采购标的制造商是否为残疾人福利性单位：</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1E6DC3DE">
      <w:pPr>
        <w:pStyle w:val="82"/>
        <w:ind w:firstLine="480" w:firstLineChars="200"/>
        <w:rPr>
          <w:color w:val="auto"/>
          <w:highlight w:val="none"/>
        </w:rPr>
      </w:pPr>
      <w:r>
        <w:rPr>
          <w:rFonts w:hint="eastAsia"/>
          <w:color w:val="auto"/>
          <w:highlight w:val="none"/>
        </w:rPr>
        <w:t>中标（成交）采购标的制造商是否为监狱企业：</w:t>
      </w:r>
      <w:r>
        <w:rPr>
          <w:iCs/>
          <w:color w:val="auto"/>
          <w:highlight w:val="none"/>
        </w:rPr>
        <w:sym w:font="Wingdings" w:char="F0A8"/>
      </w:r>
      <w:r>
        <w:rPr>
          <w:rFonts w:hint="eastAsia"/>
          <w:iCs/>
          <w:color w:val="auto"/>
          <w:highlight w:val="none"/>
        </w:rPr>
        <w:t xml:space="preserve">是       </w:t>
      </w:r>
      <w:r>
        <w:rPr>
          <w:iCs/>
          <w:color w:val="auto"/>
          <w:highlight w:val="none"/>
        </w:rPr>
        <w:sym w:font="Wingdings" w:char="F0A8"/>
      </w:r>
      <w:r>
        <w:rPr>
          <w:rFonts w:hint="eastAsia"/>
          <w:iCs/>
          <w:color w:val="auto"/>
          <w:highlight w:val="none"/>
        </w:rPr>
        <w:t>否</w:t>
      </w:r>
    </w:p>
    <w:p w14:paraId="55B71558">
      <w:pPr>
        <w:pStyle w:val="82"/>
        <w:ind w:firstLine="480" w:firstLineChars="200"/>
        <w:outlineLvl w:val="3"/>
        <w:rPr>
          <w:color w:val="auto"/>
          <w:highlight w:val="none"/>
        </w:rPr>
      </w:pPr>
      <w:r>
        <w:rPr>
          <w:rFonts w:hint="eastAsia"/>
          <w:color w:val="auto"/>
          <w:highlight w:val="none"/>
        </w:rPr>
        <w:t>（7）合同是否分包：</w:t>
      </w:r>
      <w:r>
        <w:rPr>
          <w:iCs/>
          <w:color w:val="auto"/>
          <w:highlight w:val="none"/>
        </w:rPr>
        <w:sym w:font="Wingdings" w:char="F0A8"/>
      </w:r>
      <w:r>
        <w:rPr>
          <w:rFonts w:hint="eastAsia"/>
          <w:iCs/>
          <w:color w:val="auto"/>
          <w:highlight w:val="none"/>
        </w:rPr>
        <w:t xml:space="preserve">是       </w:t>
      </w:r>
      <w:r>
        <w:rPr>
          <w:iCs/>
          <w:color w:val="auto"/>
          <w:highlight w:val="none"/>
        </w:rPr>
        <w:sym w:font="Wingdings" w:char="00FE"/>
      </w:r>
      <w:r>
        <w:rPr>
          <w:rFonts w:hint="eastAsia"/>
          <w:iCs/>
          <w:color w:val="auto"/>
          <w:highlight w:val="none"/>
        </w:rPr>
        <w:t>否</w:t>
      </w:r>
    </w:p>
    <w:p w14:paraId="6EA5C35A">
      <w:pPr>
        <w:pStyle w:val="82"/>
        <w:ind w:firstLine="480" w:firstLineChars="200"/>
        <w:rPr>
          <w:color w:val="auto"/>
          <w:highlight w:val="none"/>
          <w:u w:val="single"/>
        </w:rPr>
      </w:pPr>
      <w:r>
        <w:rPr>
          <w:rFonts w:hint="eastAsia"/>
          <w:color w:val="auto"/>
          <w:highlight w:val="none"/>
        </w:rPr>
        <w:t>分包主要内容：</w:t>
      </w:r>
      <w:r>
        <w:rPr>
          <w:rFonts w:hint="eastAsia"/>
          <w:color w:val="auto"/>
          <w:highlight w:val="none"/>
          <w:u w:val="single"/>
        </w:rPr>
        <w:t xml:space="preserve">                                            </w:t>
      </w:r>
    </w:p>
    <w:p w14:paraId="34ABEB9E">
      <w:pPr>
        <w:pStyle w:val="82"/>
        <w:ind w:firstLine="480" w:firstLineChars="200"/>
        <w:rPr>
          <w:color w:val="auto"/>
          <w:highlight w:val="none"/>
        </w:rPr>
      </w:pPr>
      <w:r>
        <w:rPr>
          <w:rFonts w:hint="eastAsia"/>
          <w:color w:val="auto"/>
          <w:highlight w:val="none"/>
        </w:rPr>
        <w:t>分包供应商/制造商名称（如供应商和制造商不同，请分别填写）：</w:t>
      </w:r>
    </w:p>
    <w:p w14:paraId="6A152304">
      <w:pPr>
        <w:pStyle w:val="82"/>
        <w:ind w:firstLine="480" w:firstLineChars="200"/>
        <w:rPr>
          <w:color w:val="auto"/>
          <w:highlight w:val="none"/>
          <w:u w:val="single"/>
        </w:rPr>
      </w:pPr>
      <w:r>
        <w:rPr>
          <w:rFonts w:hint="eastAsia"/>
          <w:color w:val="auto"/>
          <w:highlight w:val="none"/>
        </w:rPr>
        <w:t xml:space="preserve"> </w:t>
      </w:r>
      <w:r>
        <w:rPr>
          <w:rFonts w:hint="eastAsia"/>
          <w:color w:val="auto"/>
          <w:highlight w:val="none"/>
          <w:u w:val="single"/>
        </w:rPr>
        <w:t xml:space="preserve">                                                          </w:t>
      </w:r>
    </w:p>
    <w:p w14:paraId="79AF9EB5">
      <w:pPr>
        <w:pStyle w:val="82"/>
        <w:ind w:firstLine="480" w:firstLineChars="200"/>
        <w:rPr>
          <w:color w:val="auto"/>
          <w:highlight w:val="none"/>
        </w:rPr>
      </w:pPr>
      <w:r>
        <w:rPr>
          <w:rFonts w:hint="eastAsia"/>
          <w:color w:val="auto"/>
          <w:highlight w:val="none"/>
        </w:rPr>
        <w:t>分包供应商/制造商类型（如果供应商和制造商不同，只填写制造商类型）：</w:t>
      </w:r>
    </w:p>
    <w:p w14:paraId="69578C0C">
      <w:pPr>
        <w:pStyle w:val="82"/>
        <w:ind w:firstLine="480" w:firstLineChars="200"/>
        <w:rPr>
          <w:iCs/>
          <w:color w:val="auto"/>
          <w:highlight w:val="none"/>
        </w:rPr>
      </w:pPr>
      <w:r>
        <w:rPr>
          <w:iCs/>
          <w:color w:val="auto"/>
          <w:highlight w:val="none"/>
        </w:rPr>
        <w:sym w:font="Wingdings" w:char="F0A8"/>
      </w:r>
      <w:r>
        <w:rPr>
          <w:rFonts w:hint="eastAsia"/>
          <w:iCs/>
          <w:color w:val="auto"/>
          <w:highlight w:val="none"/>
        </w:rPr>
        <w:t xml:space="preserve">大型企业  </w:t>
      </w:r>
      <w:r>
        <w:rPr>
          <w:iCs/>
          <w:color w:val="auto"/>
          <w:highlight w:val="none"/>
        </w:rPr>
        <w:sym w:font="Wingdings" w:char="F0A8"/>
      </w:r>
      <w:r>
        <w:rPr>
          <w:rFonts w:hint="eastAsia"/>
          <w:iCs/>
          <w:color w:val="auto"/>
          <w:highlight w:val="none"/>
        </w:rPr>
        <w:t xml:space="preserve">中型企业  </w:t>
      </w:r>
      <w:r>
        <w:rPr>
          <w:iCs/>
          <w:color w:val="auto"/>
          <w:highlight w:val="none"/>
        </w:rPr>
        <w:sym w:font="Wingdings" w:char="F0A8"/>
      </w:r>
      <w:r>
        <w:rPr>
          <w:rFonts w:hint="eastAsia"/>
          <w:iCs/>
          <w:color w:val="auto"/>
          <w:highlight w:val="none"/>
        </w:rPr>
        <w:t xml:space="preserve">小微型企业  </w:t>
      </w:r>
    </w:p>
    <w:p w14:paraId="51537D4C">
      <w:pPr>
        <w:pStyle w:val="82"/>
        <w:ind w:firstLine="480" w:firstLineChars="200"/>
        <w:rPr>
          <w:rFonts w:eastAsia="华文楷体"/>
          <w:color w:val="auto"/>
          <w:highlight w:val="none"/>
        </w:rPr>
      </w:pPr>
      <w:r>
        <w:rPr>
          <w:iCs/>
          <w:color w:val="auto"/>
          <w:highlight w:val="none"/>
        </w:rPr>
        <w:sym w:font="Wingdings" w:char="F0A8"/>
      </w:r>
      <w:r>
        <w:rPr>
          <w:rFonts w:hint="eastAsia"/>
          <w:iCs/>
          <w:color w:val="auto"/>
          <w:highlight w:val="none"/>
        </w:rPr>
        <w:t xml:space="preserve">残疾人福利性单位 </w:t>
      </w:r>
      <w:r>
        <w:rPr>
          <w:iCs/>
          <w:color w:val="auto"/>
          <w:highlight w:val="none"/>
        </w:rPr>
        <w:sym w:font="Wingdings" w:char="F0A8"/>
      </w:r>
      <w:r>
        <w:rPr>
          <w:rFonts w:hint="eastAsia"/>
          <w:iCs/>
          <w:color w:val="auto"/>
          <w:highlight w:val="none"/>
        </w:rPr>
        <w:t xml:space="preserve">监狱企业 </w:t>
      </w:r>
      <w:r>
        <w:rPr>
          <w:iCs/>
          <w:color w:val="auto"/>
          <w:highlight w:val="none"/>
        </w:rPr>
        <w:sym w:font="Wingdings" w:char="F0A8"/>
      </w:r>
      <w:r>
        <w:rPr>
          <w:rFonts w:hint="eastAsia"/>
          <w:iCs/>
          <w:color w:val="auto"/>
          <w:highlight w:val="none"/>
        </w:rPr>
        <w:t>其他</w:t>
      </w:r>
    </w:p>
    <w:p w14:paraId="41AF2D92">
      <w:pPr>
        <w:pStyle w:val="82"/>
        <w:ind w:firstLine="480" w:firstLineChars="200"/>
        <w:rPr>
          <w:rFonts w:cs="宋体"/>
          <w:iCs/>
          <w:color w:val="auto"/>
          <w:highlight w:val="none"/>
        </w:rPr>
      </w:pPr>
      <w:r>
        <w:rPr>
          <w:rFonts w:hint="eastAsia" w:cs="宋体"/>
          <w:color w:val="auto"/>
          <w:highlight w:val="none"/>
        </w:rPr>
        <w:t>（8）中标（成交）供应商是否为外商投资企业：</w:t>
      </w:r>
      <w:r>
        <w:rPr>
          <w:rFonts w:cs="宋体"/>
          <w:iCs/>
          <w:color w:val="auto"/>
          <w:highlight w:val="none"/>
        </w:rPr>
        <w:sym w:font="Wingdings" w:char="F0A8"/>
      </w:r>
      <w:r>
        <w:rPr>
          <w:rFonts w:hint="eastAsia" w:cs="宋体"/>
          <w:iCs/>
          <w:color w:val="auto"/>
          <w:highlight w:val="none"/>
        </w:rPr>
        <w:t xml:space="preserve">是       </w:t>
      </w:r>
      <w:r>
        <w:rPr>
          <w:rFonts w:cs="宋体"/>
          <w:iCs/>
          <w:color w:val="auto"/>
          <w:highlight w:val="none"/>
        </w:rPr>
        <w:sym w:font="Wingdings" w:char="F0A8"/>
      </w:r>
      <w:r>
        <w:rPr>
          <w:rFonts w:hint="eastAsia" w:cs="宋体"/>
          <w:iCs/>
          <w:color w:val="auto"/>
          <w:highlight w:val="none"/>
        </w:rPr>
        <w:t>否</w:t>
      </w:r>
    </w:p>
    <w:p w14:paraId="7964B9F9">
      <w:pPr>
        <w:pStyle w:val="82"/>
        <w:ind w:firstLine="480" w:firstLineChars="200"/>
        <w:rPr>
          <w:rFonts w:cs="宋体"/>
          <w:color w:val="auto"/>
          <w:highlight w:val="none"/>
          <w:u w:val="single"/>
        </w:rPr>
      </w:pPr>
      <w:r>
        <w:rPr>
          <w:rFonts w:hint="eastAsia" w:cs="宋体"/>
          <w:color w:val="auto"/>
          <w:highlight w:val="none"/>
        </w:rPr>
        <w:t xml:space="preserve">     外商投资企业类型：</w:t>
      </w:r>
      <w:r>
        <w:rPr>
          <w:rFonts w:cs="宋体"/>
          <w:iCs/>
          <w:color w:val="auto"/>
          <w:highlight w:val="none"/>
        </w:rPr>
        <w:sym w:font="Wingdings" w:char="F0A8"/>
      </w:r>
      <w:r>
        <w:rPr>
          <w:rFonts w:hint="eastAsia" w:cs="宋体"/>
          <w:color w:val="auto"/>
          <w:highlight w:val="none"/>
        </w:rPr>
        <w:t xml:space="preserve">全部由外国投资者投资  </w:t>
      </w:r>
      <w:r>
        <w:rPr>
          <w:rFonts w:cs="宋体"/>
          <w:iCs/>
          <w:color w:val="auto"/>
          <w:highlight w:val="none"/>
        </w:rPr>
        <w:sym w:font="Wingdings" w:char="F0A8"/>
      </w:r>
      <w:r>
        <w:rPr>
          <w:rFonts w:hint="eastAsia" w:cs="宋体"/>
          <w:iCs/>
          <w:color w:val="auto"/>
          <w:highlight w:val="none"/>
        </w:rPr>
        <w:t>部分由外国投资者投资</w:t>
      </w:r>
    </w:p>
    <w:p w14:paraId="1E2936DA">
      <w:pPr>
        <w:pStyle w:val="82"/>
        <w:ind w:firstLine="480" w:firstLineChars="200"/>
        <w:outlineLvl w:val="3"/>
        <w:rPr>
          <w:rFonts w:cs="宋体"/>
          <w:color w:val="auto"/>
          <w:highlight w:val="none"/>
        </w:rPr>
      </w:pPr>
      <w:r>
        <w:rPr>
          <w:rFonts w:hint="eastAsia" w:cs="宋体"/>
          <w:color w:val="auto"/>
          <w:highlight w:val="none"/>
        </w:rPr>
        <w:t>（9）是否涉及进口产品：</w:t>
      </w:r>
    </w:p>
    <w:p w14:paraId="70099D19">
      <w:pPr>
        <w:pStyle w:val="82"/>
        <w:ind w:firstLine="480" w:firstLineChars="200"/>
        <w:rPr>
          <w:rFonts w:cs="宋体"/>
          <w:color w:val="auto"/>
          <w:highlight w:val="none"/>
          <w:u w:val="single"/>
        </w:rPr>
      </w:pPr>
      <w:r>
        <w:rPr>
          <w:rFonts w:cs="宋体"/>
          <w:color w:val="auto"/>
          <w:highlight w:val="none"/>
        </w:rPr>
        <w:sym w:font="Wingdings" w:char="F0A8"/>
      </w:r>
      <w:r>
        <w:rPr>
          <w:rFonts w:hint="eastAsia" w:cs="宋体"/>
          <w:color w:val="auto"/>
          <w:highlight w:val="none"/>
        </w:rPr>
        <w:t>是，《政府采购品目分类目录》底级品目名称：</w:t>
      </w:r>
      <w:r>
        <w:rPr>
          <w:rFonts w:hint="eastAsia" w:cs="宋体"/>
          <w:color w:val="auto"/>
          <w:highlight w:val="none"/>
          <w:u w:val="single"/>
        </w:rPr>
        <w:t xml:space="preserve">         </w:t>
      </w:r>
      <w:r>
        <w:rPr>
          <w:rFonts w:hint="eastAsia" w:cs="宋体"/>
          <w:color w:val="auto"/>
          <w:highlight w:val="none"/>
        </w:rPr>
        <w:t xml:space="preserve"> 金额：</w:t>
      </w:r>
      <w:r>
        <w:rPr>
          <w:rFonts w:hint="eastAsia" w:cs="宋体"/>
          <w:color w:val="auto"/>
          <w:highlight w:val="none"/>
          <w:u w:val="single"/>
        </w:rPr>
        <w:t xml:space="preserve">        </w:t>
      </w:r>
    </w:p>
    <w:p w14:paraId="5DBBB733">
      <w:pPr>
        <w:pStyle w:val="82"/>
        <w:ind w:firstLine="480" w:firstLineChars="200"/>
        <w:rPr>
          <w:color w:val="auto"/>
          <w:highlight w:val="none"/>
        </w:rPr>
      </w:pPr>
      <w:r>
        <w:rPr>
          <w:rFonts w:hint="eastAsia" w:cs="宋体"/>
          <w:color w:val="auto"/>
          <w:highlight w:val="none"/>
        </w:rPr>
        <w:t xml:space="preserve">        国别：</w:t>
      </w:r>
      <w:r>
        <w:rPr>
          <w:rFonts w:hint="eastAsia" w:cs="宋体"/>
          <w:color w:val="auto"/>
          <w:highlight w:val="none"/>
          <w:u w:val="single"/>
        </w:rPr>
        <w:t xml:space="preserve">        </w:t>
      </w:r>
      <w:r>
        <w:rPr>
          <w:rFonts w:hint="eastAsia" w:cs="宋体"/>
          <w:color w:val="auto"/>
          <w:highlight w:val="none"/>
        </w:rPr>
        <w:t xml:space="preserve"> 品牌：</w:t>
      </w:r>
      <w:r>
        <w:rPr>
          <w:rFonts w:hint="eastAsia" w:cs="宋体"/>
          <w:color w:val="auto"/>
          <w:highlight w:val="none"/>
          <w:u w:val="single"/>
        </w:rPr>
        <w:t xml:space="preserve">        </w:t>
      </w:r>
      <w:r>
        <w:rPr>
          <w:rFonts w:hint="eastAsia" w:cs="宋体"/>
          <w:color w:val="auto"/>
          <w:highlight w:val="none"/>
        </w:rPr>
        <w:t xml:space="preserve"> 规格型号：</w:t>
      </w:r>
      <w:r>
        <w:rPr>
          <w:rFonts w:hint="eastAsia" w:cs="宋体"/>
          <w:color w:val="auto"/>
          <w:highlight w:val="none"/>
          <w:u w:val="single"/>
        </w:rPr>
        <w:t xml:space="preserve">        </w:t>
      </w:r>
      <w:r>
        <w:rPr>
          <w:rFonts w:hint="eastAsia"/>
          <w:color w:val="auto"/>
          <w:highlight w:val="none"/>
        </w:rPr>
        <w:t xml:space="preserve">      </w:t>
      </w:r>
    </w:p>
    <w:p w14:paraId="4083244D">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4319BC0C">
      <w:pPr>
        <w:pStyle w:val="82"/>
        <w:ind w:firstLine="480" w:firstLineChars="200"/>
        <w:outlineLvl w:val="3"/>
        <w:rPr>
          <w:color w:val="auto"/>
          <w:highlight w:val="none"/>
        </w:rPr>
      </w:pPr>
      <w:r>
        <w:rPr>
          <w:rFonts w:hint="eastAsia"/>
          <w:color w:val="auto"/>
          <w:highlight w:val="none"/>
        </w:rPr>
        <w:t>（10）是否涉及节能产品：</w:t>
      </w:r>
    </w:p>
    <w:p w14:paraId="02EC90B7">
      <w:pPr>
        <w:pStyle w:val="82"/>
        <w:ind w:firstLine="480" w:firstLineChars="200"/>
        <w:rPr>
          <w:iCs/>
          <w:color w:val="auto"/>
          <w:highlight w:val="none"/>
        </w:rPr>
      </w:pPr>
      <w:r>
        <w:rPr>
          <w:color w:val="auto"/>
          <w:highlight w:val="none"/>
        </w:rPr>
        <w:sym w:font="Wingdings" w:char="F0A8"/>
      </w:r>
      <w:r>
        <w:rPr>
          <w:rFonts w:hint="eastAsia"/>
          <w:color w:val="auto"/>
          <w:highlight w:val="none"/>
        </w:rPr>
        <w:t>是，《节能产品政府采购品目清单》的底级品目名称：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4BC6E0D1">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46590B0C">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58C10E8B">
      <w:pPr>
        <w:pStyle w:val="82"/>
        <w:ind w:firstLine="480" w:firstLineChars="200"/>
        <w:rPr>
          <w:color w:val="auto"/>
          <w:highlight w:val="none"/>
        </w:rPr>
      </w:pPr>
      <w:r>
        <w:rPr>
          <w:rFonts w:hint="eastAsia"/>
          <w:color w:val="auto"/>
          <w:highlight w:val="none"/>
        </w:rPr>
        <w:t>是否涉及环境标志产品：</w:t>
      </w:r>
    </w:p>
    <w:p w14:paraId="3722565E">
      <w:pPr>
        <w:pStyle w:val="82"/>
        <w:ind w:firstLine="480" w:firstLineChars="200"/>
        <w:rPr>
          <w:color w:val="auto"/>
          <w:highlight w:val="none"/>
        </w:rPr>
      </w:pPr>
      <w:r>
        <w:rPr>
          <w:color w:val="auto"/>
          <w:highlight w:val="none"/>
        </w:rPr>
        <w:sym w:font="Wingdings" w:char="F0A8"/>
      </w:r>
      <w:r>
        <w:rPr>
          <w:rFonts w:hint="eastAsia"/>
          <w:color w:val="auto"/>
          <w:highlight w:val="none"/>
        </w:rPr>
        <w:t>是，《环境标志产品政府采购品目清单》的底级品目名称：</w:t>
      </w:r>
      <w:r>
        <w:rPr>
          <w:rFonts w:hint="eastAsia"/>
          <w:color w:val="auto"/>
          <w:highlight w:val="none"/>
          <w:u w:val="single"/>
        </w:rPr>
        <w:t xml:space="preserve">         </w:t>
      </w:r>
      <w:r>
        <w:rPr>
          <w:rFonts w:hint="eastAsia"/>
          <w:iCs/>
          <w:color w:val="auto"/>
          <w:highlight w:val="none"/>
        </w:rPr>
        <w:t xml:space="preserve"> </w:t>
      </w:r>
    </w:p>
    <w:p w14:paraId="230E4426">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7079B005">
      <w:pPr>
        <w:pStyle w:val="82"/>
        <w:ind w:firstLine="480" w:firstLineChars="200"/>
        <w:rPr>
          <w:color w:val="auto"/>
          <w:highlight w:val="none"/>
        </w:rPr>
      </w:pPr>
      <w:r>
        <w:rPr>
          <w:color w:val="auto"/>
          <w:highlight w:val="none"/>
        </w:rPr>
        <w:sym w:font="Wingdings" w:char="F0A8"/>
      </w:r>
      <w:r>
        <w:rPr>
          <w:rFonts w:hint="eastAsia"/>
          <w:color w:val="auto"/>
          <w:highlight w:val="none"/>
        </w:rPr>
        <w:t>否</w:t>
      </w:r>
    </w:p>
    <w:p w14:paraId="58A41232">
      <w:pPr>
        <w:pStyle w:val="82"/>
        <w:ind w:firstLine="480" w:firstLineChars="200"/>
        <w:rPr>
          <w:color w:val="auto"/>
          <w:highlight w:val="none"/>
        </w:rPr>
      </w:pPr>
      <w:r>
        <w:rPr>
          <w:rFonts w:hint="eastAsia"/>
          <w:color w:val="auto"/>
          <w:highlight w:val="none"/>
        </w:rPr>
        <w:t xml:space="preserve">是否涉及绿色产品： </w:t>
      </w:r>
    </w:p>
    <w:p w14:paraId="5F9BDC8E">
      <w:pPr>
        <w:pStyle w:val="82"/>
        <w:ind w:firstLine="480" w:firstLineChars="200"/>
        <w:rPr>
          <w:rFonts w:cs="华文楷体"/>
          <w:color w:val="auto"/>
          <w:sz w:val="22"/>
          <w:highlight w:val="none"/>
          <w:u w:val="single"/>
        </w:rPr>
      </w:pPr>
      <w:r>
        <w:rPr>
          <w:color w:val="auto"/>
          <w:highlight w:val="none"/>
        </w:rPr>
        <w:sym w:font="Wingdings" w:char="F0A8"/>
      </w:r>
      <w:r>
        <w:rPr>
          <w:rFonts w:hint="eastAsia"/>
          <w:color w:val="auto"/>
          <w:highlight w:val="none"/>
        </w:rPr>
        <w:t>是，绿色产品政府采购相关政策确定的底级品目名称：</w:t>
      </w:r>
      <w:r>
        <w:rPr>
          <w:rFonts w:hint="eastAsia" w:cs="华文楷体"/>
          <w:color w:val="auto"/>
          <w:sz w:val="22"/>
          <w:highlight w:val="none"/>
          <w:u w:val="single"/>
        </w:rPr>
        <w:t xml:space="preserve">         </w:t>
      </w:r>
    </w:p>
    <w:p w14:paraId="3CAF65C7">
      <w:pPr>
        <w:pStyle w:val="82"/>
        <w:ind w:left="360" w:firstLine="480" w:firstLineChars="200"/>
        <w:rPr>
          <w:iCs/>
          <w:color w:val="auto"/>
          <w:highlight w:val="none"/>
        </w:rPr>
      </w:pPr>
      <w:r>
        <w:rPr>
          <w:iCs/>
          <w:color w:val="auto"/>
          <w:highlight w:val="none"/>
        </w:rPr>
        <w:sym w:font="Wingdings" w:char="F0A8"/>
      </w:r>
      <w:r>
        <w:rPr>
          <w:rFonts w:hint="eastAsia"/>
          <w:iCs/>
          <w:color w:val="auto"/>
          <w:highlight w:val="none"/>
        </w:rPr>
        <w:t xml:space="preserve">强制采购       </w:t>
      </w:r>
      <w:r>
        <w:rPr>
          <w:iCs/>
          <w:color w:val="auto"/>
          <w:highlight w:val="none"/>
        </w:rPr>
        <w:sym w:font="Wingdings" w:char="F0A8"/>
      </w:r>
      <w:r>
        <w:rPr>
          <w:rFonts w:hint="eastAsia"/>
          <w:iCs/>
          <w:color w:val="auto"/>
          <w:highlight w:val="none"/>
        </w:rPr>
        <w:t xml:space="preserve">优先采购    </w:t>
      </w:r>
    </w:p>
    <w:p w14:paraId="49C0EE39">
      <w:pPr>
        <w:pStyle w:val="82"/>
        <w:ind w:firstLine="480" w:firstLineChars="200"/>
        <w:rPr>
          <w:rFonts w:eastAsia="华文楷体" w:cs="华文楷体"/>
          <w:color w:val="auto"/>
          <w:highlight w:val="none"/>
        </w:rPr>
      </w:pPr>
      <w:r>
        <w:rPr>
          <w:color w:val="auto"/>
          <w:highlight w:val="none"/>
        </w:rPr>
        <w:sym w:font="Wingdings" w:char="F0A8"/>
      </w:r>
      <w:r>
        <w:rPr>
          <w:rFonts w:hint="eastAsia"/>
          <w:color w:val="auto"/>
          <w:highlight w:val="none"/>
        </w:rPr>
        <w:t>否</w:t>
      </w:r>
    </w:p>
    <w:p w14:paraId="1EEF6DC5">
      <w:pPr>
        <w:pStyle w:val="82"/>
        <w:ind w:firstLine="480" w:firstLineChars="200"/>
        <w:rPr>
          <w:color w:val="auto"/>
          <w:highlight w:val="none"/>
        </w:rPr>
      </w:pPr>
      <w:r>
        <w:rPr>
          <w:rFonts w:hint="eastAsia"/>
          <w:color w:val="auto"/>
          <w:highlight w:val="none"/>
        </w:rPr>
        <w:t>（11）涉及商品包装和快递包装的，是否参考《商品包装政府采购需求标准（试行）》、《快递包装政府采购需求标准（试行）》明确产品及相关快递服务的具体包装要求：</w:t>
      </w:r>
    </w:p>
    <w:p w14:paraId="13B701DE">
      <w:pPr>
        <w:pStyle w:val="82"/>
        <w:ind w:firstLine="480" w:firstLineChars="200"/>
        <w:rPr>
          <w:color w:val="auto"/>
          <w:highlight w:val="none"/>
        </w:rPr>
      </w:pPr>
      <w:r>
        <w:rPr>
          <w:color w:val="auto"/>
          <w:highlight w:val="none"/>
        </w:rPr>
        <w:sym w:font="Wingdings" w:char="F0A8"/>
      </w:r>
      <w:r>
        <w:rPr>
          <w:rFonts w:hint="eastAsia"/>
          <w:color w:val="auto"/>
          <w:highlight w:val="none"/>
        </w:rPr>
        <w:t xml:space="preserve">是       </w:t>
      </w:r>
      <w:r>
        <w:rPr>
          <w:color w:val="auto"/>
          <w:highlight w:val="none"/>
        </w:rPr>
        <w:sym w:font="Wingdings" w:char="F0A8"/>
      </w:r>
      <w:r>
        <w:rPr>
          <w:rFonts w:hint="eastAsia"/>
          <w:color w:val="auto"/>
          <w:highlight w:val="none"/>
        </w:rPr>
        <w:t xml:space="preserve">否      </w:t>
      </w:r>
      <w:r>
        <w:rPr>
          <w:color w:val="auto"/>
          <w:highlight w:val="none"/>
        </w:rPr>
        <w:sym w:font="Wingdings" w:char="F0A8"/>
      </w:r>
      <w:r>
        <w:rPr>
          <w:rFonts w:hint="eastAsia"/>
          <w:color w:val="auto"/>
          <w:highlight w:val="none"/>
        </w:rPr>
        <w:t>不涉及</w:t>
      </w:r>
    </w:p>
    <w:p w14:paraId="15939702">
      <w:pPr>
        <w:pStyle w:val="82"/>
        <w:ind w:firstLineChars="200"/>
        <w:outlineLvl w:val="2"/>
        <w:rPr>
          <w:b/>
          <w:color w:val="auto"/>
          <w:highlight w:val="none"/>
        </w:rPr>
      </w:pPr>
      <w:r>
        <w:rPr>
          <w:rFonts w:hint="eastAsia"/>
          <w:b/>
          <w:color w:val="auto"/>
          <w:highlight w:val="none"/>
        </w:rPr>
        <w:t>2.合同金额</w:t>
      </w:r>
    </w:p>
    <w:p w14:paraId="0A73DF50">
      <w:pPr>
        <w:pStyle w:val="82"/>
        <w:ind w:firstLine="480" w:firstLineChars="200"/>
        <w:rPr>
          <w:color w:val="auto"/>
          <w:highlight w:val="none"/>
        </w:rPr>
      </w:pPr>
      <w:r>
        <w:rPr>
          <w:rFonts w:hint="eastAsia"/>
          <w:color w:val="auto"/>
          <w:highlight w:val="none"/>
        </w:rPr>
        <w:t>（1）合同金额小写：</w:t>
      </w:r>
      <w:r>
        <w:rPr>
          <w:rFonts w:hint="eastAsia"/>
          <w:color w:val="auto"/>
          <w:highlight w:val="none"/>
          <w:u w:val="single"/>
        </w:rPr>
        <w:t xml:space="preserve">                           </w:t>
      </w:r>
    </w:p>
    <w:p w14:paraId="67D2363F">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11A42623">
      <w:pPr>
        <w:pStyle w:val="82"/>
        <w:ind w:firstLine="480" w:firstLineChars="200"/>
        <w:rPr>
          <w:color w:val="auto"/>
          <w:highlight w:val="none"/>
        </w:rPr>
      </w:pPr>
      <w:r>
        <w:rPr>
          <w:rFonts w:hint="eastAsia"/>
          <w:color w:val="auto"/>
          <w:highlight w:val="none"/>
        </w:rPr>
        <w:t xml:space="preserve">     分包金额（如有）小写：</w:t>
      </w:r>
      <w:r>
        <w:rPr>
          <w:rFonts w:hint="eastAsia"/>
          <w:color w:val="auto"/>
          <w:highlight w:val="none"/>
          <w:u w:val="single"/>
        </w:rPr>
        <w:t xml:space="preserve">                   </w:t>
      </w:r>
    </w:p>
    <w:p w14:paraId="20B93435">
      <w:pPr>
        <w:pStyle w:val="82"/>
        <w:ind w:firstLine="480" w:firstLineChars="200"/>
        <w:rPr>
          <w:color w:val="auto"/>
          <w:highlight w:val="none"/>
          <w:u w:val="single"/>
        </w:rPr>
      </w:pPr>
      <w:r>
        <w:rPr>
          <w:rFonts w:hint="eastAsia"/>
          <w:color w:val="auto"/>
          <w:highlight w:val="none"/>
        </w:rPr>
        <w:t xml:space="preserve">                     大写：</w:t>
      </w:r>
      <w:r>
        <w:rPr>
          <w:rFonts w:hint="eastAsia"/>
          <w:color w:val="auto"/>
          <w:highlight w:val="none"/>
          <w:u w:val="single"/>
        </w:rPr>
        <w:t xml:space="preserve">                   </w:t>
      </w:r>
    </w:p>
    <w:p w14:paraId="4C149EBB">
      <w:pPr>
        <w:pStyle w:val="82"/>
        <w:ind w:firstLine="480" w:firstLineChars="200"/>
        <w:outlineLvl w:val="3"/>
        <w:rPr>
          <w:color w:val="auto"/>
          <w:highlight w:val="none"/>
        </w:rPr>
      </w:pPr>
      <w:r>
        <w:rPr>
          <w:rFonts w:hint="eastAsia"/>
          <w:color w:val="auto"/>
          <w:highlight w:val="none"/>
        </w:rPr>
        <w:t xml:space="preserve">    （注：固定单价合同应填写单价和最高限价）</w:t>
      </w:r>
    </w:p>
    <w:p w14:paraId="2A5C90DC">
      <w:pPr>
        <w:pStyle w:val="82"/>
        <w:ind w:firstLine="480" w:firstLineChars="200"/>
        <w:outlineLvl w:val="3"/>
        <w:rPr>
          <w:color w:val="auto"/>
          <w:highlight w:val="none"/>
        </w:rPr>
      </w:pPr>
      <w:r>
        <w:rPr>
          <w:rFonts w:hint="eastAsia"/>
          <w:color w:val="auto"/>
          <w:highlight w:val="none"/>
        </w:rPr>
        <w:t>（2）合同定价方式（采用组合定价方式的，可以勾选多项）：</w:t>
      </w:r>
    </w:p>
    <w:p w14:paraId="512E9C80">
      <w:pPr>
        <w:pStyle w:val="82"/>
        <w:ind w:firstLine="480" w:firstLineChars="200"/>
        <w:rPr>
          <w:color w:val="auto"/>
          <w:highlight w:val="none"/>
        </w:rPr>
      </w:pPr>
      <w:r>
        <w:rPr>
          <w:iCs/>
          <w:color w:val="auto"/>
          <w:highlight w:val="none"/>
        </w:rPr>
        <w:sym w:font="Wingdings" w:char="F0A8"/>
      </w:r>
      <w:r>
        <w:rPr>
          <w:rFonts w:hint="eastAsia"/>
          <w:iCs/>
          <w:color w:val="auto"/>
          <w:highlight w:val="none"/>
        </w:rPr>
        <w:t xml:space="preserve">固定总价 </w:t>
      </w:r>
      <w:r>
        <w:rPr>
          <w:iCs/>
          <w:color w:val="auto"/>
          <w:highlight w:val="none"/>
        </w:rPr>
        <w:sym w:font="Wingdings" w:char="F0FE"/>
      </w:r>
      <w:r>
        <w:rPr>
          <w:rFonts w:hint="eastAsia"/>
          <w:iCs/>
          <w:color w:val="auto"/>
          <w:highlight w:val="none"/>
        </w:rPr>
        <w:t xml:space="preserve">固定单价 </w:t>
      </w:r>
      <w:r>
        <w:rPr>
          <w:iCs/>
          <w:color w:val="auto"/>
          <w:highlight w:val="none"/>
        </w:rPr>
        <w:sym w:font="Wingdings" w:char="F0A8"/>
      </w:r>
      <w:r>
        <w:rPr>
          <w:rFonts w:hint="eastAsia"/>
          <w:iCs/>
          <w:color w:val="auto"/>
          <w:highlight w:val="none"/>
        </w:rPr>
        <w:t xml:space="preserve">固定费率 </w:t>
      </w:r>
      <w:r>
        <w:rPr>
          <w:iCs/>
          <w:color w:val="auto"/>
          <w:highlight w:val="none"/>
        </w:rPr>
        <w:sym w:font="Wingdings" w:char="F0A8"/>
      </w:r>
      <w:r>
        <w:rPr>
          <w:rFonts w:hint="eastAsia"/>
          <w:iCs/>
          <w:color w:val="auto"/>
          <w:highlight w:val="none"/>
        </w:rPr>
        <w:t xml:space="preserve">成本补偿 </w:t>
      </w:r>
      <w:r>
        <w:rPr>
          <w:iCs/>
          <w:color w:val="auto"/>
          <w:highlight w:val="none"/>
        </w:rPr>
        <w:sym w:font="Wingdings" w:char="F0A8"/>
      </w:r>
      <w:r>
        <w:rPr>
          <w:rFonts w:hint="eastAsia"/>
          <w:iCs/>
          <w:color w:val="auto"/>
          <w:highlight w:val="none"/>
        </w:rPr>
        <w:t xml:space="preserve">绩效激励 </w:t>
      </w:r>
      <w:r>
        <w:rPr>
          <w:iCs/>
          <w:color w:val="auto"/>
          <w:highlight w:val="none"/>
        </w:rPr>
        <w:sym w:font="Wingdings" w:char="F0A8"/>
      </w:r>
      <w:r>
        <w:rPr>
          <w:rFonts w:hint="eastAsia"/>
          <w:iCs/>
          <w:color w:val="auto"/>
          <w:highlight w:val="none"/>
        </w:rPr>
        <w:t>其他</w:t>
      </w:r>
      <w:r>
        <w:rPr>
          <w:rFonts w:hint="eastAsia"/>
          <w:color w:val="auto"/>
          <w:highlight w:val="none"/>
          <w:u w:val="single"/>
        </w:rPr>
        <w:t xml:space="preserve">       </w:t>
      </w:r>
    </w:p>
    <w:p w14:paraId="0AF3F0BC">
      <w:pPr>
        <w:pStyle w:val="82"/>
        <w:ind w:firstLine="480" w:firstLineChars="200"/>
        <w:outlineLvl w:val="3"/>
        <w:rPr>
          <w:color w:val="auto"/>
          <w:highlight w:val="none"/>
        </w:rPr>
      </w:pPr>
      <w:r>
        <w:rPr>
          <w:rFonts w:hint="eastAsia"/>
          <w:color w:val="auto"/>
          <w:highlight w:val="none"/>
        </w:rPr>
        <w:t>（3）付款方式（按项目实际勾选填写）：</w:t>
      </w:r>
    </w:p>
    <w:p w14:paraId="2AE4FEE9">
      <w:pPr>
        <w:pStyle w:val="82"/>
        <w:ind w:firstLine="480" w:firstLineChars="200"/>
        <w:rPr>
          <w:color w:val="auto"/>
          <w:highlight w:val="none"/>
          <w:u w:val="single"/>
        </w:rPr>
      </w:pPr>
      <w:r>
        <w:rPr>
          <w:color w:val="auto"/>
          <w:highlight w:val="none"/>
        </w:rPr>
        <w:sym w:font="Wingdings" w:char="F0A8"/>
      </w:r>
      <w:r>
        <w:rPr>
          <w:rFonts w:hint="eastAsia"/>
          <w:color w:val="auto"/>
          <w:highlight w:val="none"/>
        </w:rPr>
        <w:t>全额付款：</w:t>
      </w:r>
      <w:r>
        <w:rPr>
          <w:rFonts w:hint="eastAsia"/>
          <w:color w:val="auto"/>
          <w:highlight w:val="none"/>
          <w:u w:val="single"/>
        </w:rPr>
        <w:t xml:space="preserve">     （应明确一次性支付合同款项的条件）                    </w:t>
      </w:r>
    </w:p>
    <w:p w14:paraId="78C1F494">
      <w:pPr>
        <w:pStyle w:val="82"/>
        <w:ind w:firstLine="480" w:firstLineChars="200"/>
        <w:rPr>
          <w:color w:val="auto"/>
          <w:highlight w:val="none"/>
        </w:rPr>
      </w:pPr>
      <w:r>
        <w:rPr>
          <w:color w:val="auto"/>
          <w:highlight w:val="none"/>
        </w:rPr>
        <w:sym w:font="Wingdings" w:char="F0A8"/>
      </w:r>
      <w:r>
        <w:rPr>
          <w:rFonts w:hint="eastAsia"/>
          <w:color w:val="auto"/>
          <w:highlight w:val="none"/>
        </w:rPr>
        <w:t>分期付款：</w:t>
      </w:r>
      <w:r>
        <w:rPr>
          <w:rFonts w:hint="eastAsia"/>
          <w:color w:val="auto"/>
          <w:highlight w:val="none"/>
          <w:u w:val="single"/>
        </w:rPr>
        <w:t xml:space="preserve">  （应明确分期支付合同款项的各期比例和支付条件，各期支付条件应与分期履约验收情况挂钩） </w:t>
      </w:r>
      <w:r>
        <w:rPr>
          <w:rFonts w:hint="eastAsia"/>
          <w:color w:val="auto"/>
          <w:highlight w:val="none"/>
        </w:rPr>
        <w:t>，其中涉及预付款的：</w:t>
      </w:r>
      <w:r>
        <w:rPr>
          <w:rFonts w:hint="eastAsia"/>
          <w:color w:val="auto"/>
          <w:highlight w:val="none"/>
          <w:u w:val="single"/>
        </w:rPr>
        <w:t xml:space="preserve"> （应明确预付款的支付比例和支付条件） </w:t>
      </w:r>
    </w:p>
    <w:p w14:paraId="21947E38">
      <w:pPr>
        <w:pStyle w:val="82"/>
        <w:ind w:firstLine="480" w:firstLineChars="200"/>
        <w:rPr>
          <w:color w:val="auto"/>
          <w:highlight w:val="none"/>
          <w:u w:val="single"/>
        </w:rPr>
      </w:pPr>
      <w:r>
        <w:rPr>
          <w:color w:val="auto"/>
          <w:highlight w:val="none"/>
        </w:rPr>
        <w:sym w:font="Wingdings" w:char="F0A8"/>
      </w:r>
      <w:r>
        <w:rPr>
          <w:rFonts w:hint="eastAsia"/>
          <w:color w:val="auto"/>
          <w:highlight w:val="none"/>
        </w:rPr>
        <w:t>成本补偿：</w:t>
      </w:r>
      <w:r>
        <w:rPr>
          <w:rFonts w:hint="eastAsia"/>
          <w:color w:val="auto"/>
          <w:highlight w:val="none"/>
          <w:u w:val="single"/>
        </w:rPr>
        <w:t xml:space="preserve">      （应明确按照成本补偿方式的支付方式和支付条件）   </w:t>
      </w:r>
    </w:p>
    <w:p w14:paraId="6C2B9C28">
      <w:pPr>
        <w:pStyle w:val="82"/>
        <w:ind w:firstLine="480" w:firstLineChars="200"/>
        <w:rPr>
          <w:color w:val="auto"/>
          <w:highlight w:val="none"/>
        </w:rPr>
      </w:pPr>
      <w:r>
        <w:rPr>
          <w:color w:val="auto"/>
          <w:highlight w:val="none"/>
        </w:rPr>
        <w:sym w:font="Wingdings" w:char="F0A8"/>
      </w:r>
      <w:r>
        <w:rPr>
          <w:rFonts w:hint="eastAsia"/>
          <w:color w:val="auto"/>
          <w:highlight w:val="none"/>
        </w:rPr>
        <w:t>绩效激励：</w:t>
      </w:r>
      <w:r>
        <w:rPr>
          <w:rFonts w:hint="eastAsia"/>
          <w:color w:val="auto"/>
          <w:highlight w:val="none"/>
          <w:u w:val="single"/>
        </w:rPr>
        <w:t xml:space="preserve">      （应明确按照绩效激励方式的支付方式和支付条件）   </w:t>
      </w:r>
    </w:p>
    <w:p w14:paraId="42297197">
      <w:pPr>
        <w:pStyle w:val="82"/>
        <w:ind w:firstLineChars="200"/>
        <w:outlineLvl w:val="2"/>
        <w:rPr>
          <w:b/>
          <w:color w:val="auto"/>
          <w:highlight w:val="none"/>
          <w:u w:val="single"/>
        </w:rPr>
      </w:pPr>
      <w:r>
        <w:rPr>
          <w:rFonts w:hint="eastAsia"/>
          <w:b/>
          <w:color w:val="auto"/>
          <w:highlight w:val="none"/>
        </w:rPr>
        <w:t>3.合同履行</w:t>
      </w:r>
    </w:p>
    <w:p w14:paraId="2BDA6125">
      <w:pPr>
        <w:pStyle w:val="82"/>
        <w:ind w:firstLine="480" w:firstLineChars="200"/>
        <w:rPr>
          <w:rFonts w:cs="宋体"/>
          <w:color w:val="auto"/>
          <w:highlight w:val="none"/>
        </w:rPr>
      </w:pPr>
      <w:r>
        <w:rPr>
          <w:rFonts w:hint="eastAsia" w:cs="宋体"/>
          <w:color w:val="auto"/>
          <w:highlight w:val="none"/>
        </w:rPr>
        <w:t>（1）起始日期：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日，完成日期：</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w:t>
      </w:r>
    </w:p>
    <w:p w14:paraId="502A34C8">
      <w:pPr>
        <w:pStyle w:val="82"/>
        <w:ind w:firstLine="480" w:firstLineChars="200"/>
        <w:rPr>
          <w:rFonts w:cs="宋体"/>
          <w:color w:val="auto"/>
          <w:highlight w:val="none"/>
          <w:u w:val="single"/>
        </w:rPr>
      </w:pPr>
      <w:r>
        <w:rPr>
          <w:rFonts w:hint="eastAsia" w:cs="宋体"/>
          <w:color w:val="auto"/>
          <w:highlight w:val="none"/>
        </w:rPr>
        <w:t>（2）履约地点</w:t>
      </w:r>
      <w:r>
        <w:rPr>
          <w:rFonts w:hint="eastAsia" w:cs="宋体"/>
          <w:bCs/>
          <w:color w:val="auto"/>
          <w:highlight w:val="none"/>
        </w:rPr>
        <w:t>：</w:t>
      </w:r>
      <w:r>
        <w:rPr>
          <w:rFonts w:hint="eastAsia" w:cs="宋体"/>
          <w:color w:val="auto"/>
          <w:highlight w:val="none"/>
          <w:u w:val="single"/>
        </w:rPr>
        <w:t xml:space="preserve">                             </w:t>
      </w:r>
    </w:p>
    <w:p w14:paraId="7018219B">
      <w:pPr>
        <w:pStyle w:val="82"/>
        <w:ind w:firstLine="480" w:firstLineChars="200"/>
        <w:outlineLvl w:val="3"/>
        <w:rPr>
          <w:rFonts w:cs="宋体"/>
          <w:color w:val="auto"/>
          <w:highlight w:val="none"/>
        </w:rPr>
      </w:pPr>
      <w:r>
        <w:rPr>
          <w:rFonts w:hint="eastAsia" w:cs="宋体"/>
          <w:bCs/>
          <w:color w:val="auto"/>
          <w:highlight w:val="none"/>
        </w:rPr>
        <w:t>（3）履约担保：</w:t>
      </w:r>
      <w:r>
        <w:rPr>
          <w:rFonts w:hint="eastAsia" w:cs="宋体"/>
          <w:color w:val="auto"/>
          <w:highlight w:val="none"/>
        </w:rPr>
        <w:t>是否收取履约保证金：</w:t>
      </w:r>
      <w:r>
        <w:rPr>
          <w:rFonts w:cs="宋体"/>
          <w:color w:val="auto"/>
          <w:highlight w:val="none"/>
        </w:rPr>
        <w:sym w:font="Wingdings" w:char="F0A8"/>
      </w:r>
      <w:r>
        <w:rPr>
          <w:rFonts w:hint="eastAsia" w:cs="宋体"/>
          <w:color w:val="auto"/>
          <w:highlight w:val="none"/>
        </w:rPr>
        <w:t xml:space="preserve">是    </w:t>
      </w:r>
      <w:r>
        <w:rPr>
          <w:rFonts w:cs="宋体"/>
          <w:color w:val="auto"/>
          <w:highlight w:val="none"/>
        </w:rPr>
        <w:sym w:font="Wingdings" w:char="F0A8"/>
      </w:r>
      <w:r>
        <w:rPr>
          <w:rFonts w:hint="eastAsia" w:cs="宋体"/>
          <w:color w:val="auto"/>
          <w:highlight w:val="none"/>
        </w:rPr>
        <w:t>否</w:t>
      </w:r>
    </w:p>
    <w:p w14:paraId="4F772E4F">
      <w:pPr>
        <w:pStyle w:val="82"/>
        <w:ind w:firstLine="480" w:firstLineChars="200"/>
        <w:rPr>
          <w:rFonts w:cs="宋体"/>
          <w:color w:val="auto"/>
          <w:highlight w:val="none"/>
        </w:rPr>
      </w:pPr>
      <w:r>
        <w:rPr>
          <w:rFonts w:hint="eastAsia" w:cs="宋体"/>
          <w:color w:val="auto"/>
          <w:highlight w:val="none"/>
        </w:rPr>
        <w:t>收取履约保证金形式：</w:t>
      </w:r>
      <w:r>
        <w:rPr>
          <w:rFonts w:hint="eastAsia" w:cs="宋体"/>
          <w:bCs/>
          <w:color w:val="auto"/>
          <w:highlight w:val="none"/>
          <w:u w:val="single"/>
        </w:rPr>
        <w:t xml:space="preserve">                            </w:t>
      </w:r>
    </w:p>
    <w:p w14:paraId="7A0CE7EE">
      <w:pPr>
        <w:pStyle w:val="82"/>
        <w:ind w:firstLine="480" w:firstLineChars="200"/>
        <w:rPr>
          <w:rFonts w:cs="宋体"/>
          <w:color w:val="auto"/>
          <w:highlight w:val="none"/>
        </w:rPr>
      </w:pPr>
      <w:r>
        <w:rPr>
          <w:rFonts w:hint="eastAsia" w:cs="宋体"/>
          <w:color w:val="auto"/>
          <w:highlight w:val="none"/>
        </w:rPr>
        <w:t>收取履约保证金金额：</w:t>
      </w:r>
      <w:r>
        <w:rPr>
          <w:rFonts w:hint="eastAsia" w:cs="宋体"/>
          <w:bCs/>
          <w:color w:val="auto"/>
          <w:highlight w:val="none"/>
          <w:u w:val="single"/>
        </w:rPr>
        <w:t xml:space="preserve">                            </w:t>
      </w:r>
    </w:p>
    <w:p w14:paraId="3505A0F9">
      <w:pPr>
        <w:pStyle w:val="82"/>
        <w:ind w:firstLine="480" w:firstLineChars="200"/>
        <w:rPr>
          <w:rFonts w:cs="宋体"/>
          <w:color w:val="auto"/>
          <w:highlight w:val="none"/>
        </w:rPr>
      </w:pPr>
      <w:r>
        <w:rPr>
          <w:rFonts w:hint="eastAsia" w:cs="宋体"/>
          <w:bCs/>
          <w:color w:val="auto"/>
          <w:highlight w:val="none"/>
        </w:rPr>
        <w:t>履约担保期限：</w:t>
      </w:r>
      <w:r>
        <w:rPr>
          <w:rFonts w:hint="eastAsia" w:cs="宋体"/>
          <w:bCs/>
          <w:color w:val="auto"/>
          <w:highlight w:val="none"/>
          <w:u w:val="single"/>
        </w:rPr>
        <w:t xml:space="preserve">                                  </w:t>
      </w:r>
    </w:p>
    <w:p w14:paraId="680B79E5">
      <w:pPr>
        <w:pStyle w:val="82"/>
        <w:ind w:firstLine="480" w:firstLineChars="200"/>
        <w:rPr>
          <w:rFonts w:cs="宋体"/>
          <w:bCs/>
          <w:color w:val="auto"/>
          <w:highlight w:val="none"/>
        </w:rPr>
      </w:pPr>
      <w:r>
        <w:rPr>
          <w:rFonts w:hint="eastAsia" w:cs="宋体"/>
          <w:bCs/>
          <w:color w:val="auto"/>
          <w:highlight w:val="none"/>
        </w:rPr>
        <w:t>（4）分期履行要求：</w:t>
      </w:r>
      <w:r>
        <w:rPr>
          <w:rFonts w:hint="eastAsia" w:cs="宋体"/>
          <w:bCs/>
          <w:color w:val="auto"/>
          <w:highlight w:val="none"/>
          <w:u w:val="single"/>
        </w:rPr>
        <w:t xml:space="preserve">                                                        </w:t>
      </w:r>
    </w:p>
    <w:p w14:paraId="78C93D08">
      <w:pPr>
        <w:pStyle w:val="82"/>
        <w:ind w:firstLine="480" w:firstLineChars="200"/>
        <w:rPr>
          <w:rFonts w:cs="宋体"/>
          <w:color w:val="auto"/>
          <w:highlight w:val="none"/>
          <w:u w:val="single"/>
        </w:rPr>
      </w:pPr>
      <w:r>
        <w:rPr>
          <w:rFonts w:hint="eastAsia" w:cs="宋体"/>
          <w:bCs/>
          <w:color w:val="auto"/>
          <w:highlight w:val="none"/>
        </w:rPr>
        <w:t>（5）风险处置措施和替代方案：</w:t>
      </w:r>
      <w:r>
        <w:rPr>
          <w:rFonts w:hint="eastAsia" w:cs="宋体"/>
          <w:color w:val="auto"/>
          <w:highlight w:val="none"/>
          <w:u w:val="single"/>
        </w:rPr>
        <w:t xml:space="preserve">                                                               </w:t>
      </w:r>
    </w:p>
    <w:p w14:paraId="5A3C2FB6">
      <w:pPr>
        <w:pStyle w:val="82"/>
        <w:ind w:firstLineChars="200"/>
        <w:outlineLvl w:val="2"/>
        <w:rPr>
          <w:b/>
          <w:color w:val="auto"/>
          <w:highlight w:val="none"/>
        </w:rPr>
      </w:pPr>
      <w:r>
        <w:rPr>
          <w:rFonts w:hint="eastAsia"/>
          <w:b/>
          <w:color w:val="auto"/>
          <w:highlight w:val="none"/>
        </w:rPr>
        <w:t>4.合同验收</w:t>
      </w:r>
    </w:p>
    <w:p w14:paraId="6E5EF8AA">
      <w:pPr>
        <w:pStyle w:val="82"/>
        <w:ind w:firstLine="480" w:firstLineChars="200"/>
        <w:rPr>
          <w:bCs/>
          <w:color w:val="auto"/>
          <w:highlight w:val="none"/>
        </w:rPr>
      </w:pPr>
      <w:r>
        <w:rPr>
          <w:rFonts w:hint="eastAsia"/>
          <w:bCs/>
          <w:color w:val="auto"/>
          <w:highlight w:val="none"/>
        </w:rPr>
        <w:t>验收组织方式：</w:t>
      </w:r>
      <w:r>
        <w:rPr>
          <w:rFonts w:cs="宋体"/>
          <w:color w:val="auto"/>
          <w:highlight w:val="none"/>
        </w:rPr>
        <w:sym w:font="Wingdings" w:char="F0A8"/>
      </w:r>
      <w:r>
        <w:rPr>
          <w:rFonts w:hint="eastAsia"/>
          <w:bCs/>
          <w:color w:val="auto"/>
          <w:highlight w:val="none"/>
        </w:rPr>
        <w:t xml:space="preserve">自行组织 </w:t>
      </w:r>
      <w:r>
        <w:rPr>
          <w:rFonts w:cs="宋体"/>
          <w:color w:val="auto"/>
          <w:highlight w:val="none"/>
        </w:rPr>
        <w:sym w:font="Wingdings" w:char="F0A8"/>
      </w:r>
      <w:r>
        <w:rPr>
          <w:rFonts w:hint="eastAsia"/>
          <w:bCs/>
          <w:color w:val="auto"/>
          <w:highlight w:val="none"/>
        </w:rPr>
        <w:t>委托第三方组织</w:t>
      </w:r>
    </w:p>
    <w:p w14:paraId="409EAB85">
      <w:pPr>
        <w:pStyle w:val="82"/>
        <w:ind w:firstLine="480" w:firstLineChars="200"/>
        <w:rPr>
          <w:bCs/>
          <w:color w:val="auto"/>
          <w:highlight w:val="none"/>
        </w:rPr>
      </w:pPr>
      <w:r>
        <w:rPr>
          <w:rFonts w:hint="eastAsia"/>
          <w:bCs/>
          <w:color w:val="auto"/>
          <w:highlight w:val="none"/>
        </w:rPr>
        <w:t>验收主体：</w:t>
      </w:r>
      <w:r>
        <w:rPr>
          <w:rFonts w:hint="eastAsia"/>
          <w:bCs/>
          <w:color w:val="auto"/>
          <w:highlight w:val="none"/>
          <w:u w:val="single"/>
        </w:rPr>
        <w:t xml:space="preserve">                  </w:t>
      </w:r>
    </w:p>
    <w:p w14:paraId="211AE61B">
      <w:pPr>
        <w:pStyle w:val="82"/>
        <w:ind w:firstLine="480" w:firstLineChars="200"/>
        <w:rPr>
          <w:bCs/>
          <w:color w:val="auto"/>
          <w:highlight w:val="none"/>
        </w:rPr>
      </w:pPr>
      <w:r>
        <w:rPr>
          <w:rFonts w:hint="eastAsia"/>
          <w:bCs/>
          <w:color w:val="auto"/>
          <w:highlight w:val="none"/>
        </w:rPr>
        <w:t>是否邀请本项目的其他供应商参加验收：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6C892219">
      <w:pPr>
        <w:pStyle w:val="82"/>
        <w:ind w:firstLine="480" w:firstLineChars="200"/>
        <w:rPr>
          <w:bCs/>
          <w:color w:val="auto"/>
          <w:highlight w:val="none"/>
        </w:rPr>
      </w:pPr>
      <w:r>
        <w:rPr>
          <w:rFonts w:hint="eastAsia"/>
          <w:bCs/>
          <w:color w:val="auto"/>
          <w:highlight w:val="none"/>
        </w:rPr>
        <w:t>是否邀请专家参加验收：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58E709D5">
      <w:pPr>
        <w:pStyle w:val="82"/>
        <w:ind w:firstLine="480" w:firstLineChars="200"/>
        <w:rPr>
          <w:bCs/>
          <w:color w:val="auto"/>
          <w:highlight w:val="none"/>
        </w:rPr>
      </w:pPr>
      <w:r>
        <w:rPr>
          <w:rFonts w:hint="eastAsia"/>
          <w:bCs/>
          <w:color w:val="auto"/>
          <w:highlight w:val="none"/>
        </w:rPr>
        <w:t>是否邀请服务对象参加验收：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26F86CA8">
      <w:pPr>
        <w:pStyle w:val="82"/>
        <w:ind w:firstLine="480" w:firstLineChars="200"/>
        <w:rPr>
          <w:bCs/>
          <w:color w:val="auto"/>
          <w:highlight w:val="none"/>
        </w:rPr>
      </w:pPr>
      <w:r>
        <w:rPr>
          <w:rFonts w:hint="eastAsia"/>
          <w:bCs/>
          <w:color w:val="auto"/>
          <w:highlight w:val="none"/>
        </w:rPr>
        <w:t>是否邀请第三方检测机构参加验收：</w:t>
      </w:r>
      <w:r>
        <w:rPr>
          <w:rFonts w:cs="宋体"/>
          <w:color w:val="auto"/>
          <w:highlight w:val="none"/>
        </w:rPr>
        <w:sym w:font="Wingdings" w:char="F0A8"/>
      </w:r>
      <w:r>
        <w:rPr>
          <w:rFonts w:hint="eastAsia"/>
          <w:bCs/>
          <w:color w:val="auto"/>
          <w:highlight w:val="none"/>
        </w:rPr>
        <w:t xml:space="preserve">是  </w:t>
      </w:r>
      <w:r>
        <w:rPr>
          <w:rFonts w:cs="宋体"/>
          <w:color w:val="auto"/>
          <w:highlight w:val="none"/>
        </w:rPr>
        <w:sym w:font="Wingdings" w:char="F0A8"/>
      </w:r>
      <w:r>
        <w:rPr>
          <w:rFonts w:hint="eastAsia"/>
          <w:bCs/>
          <w:color w:val="auto"/>
          <w:highlight w:val="none"/>
        </w:rPr>
        <w:t>否</w:t>
      </w:r>
    </w:p>
    <w:p w14:paraId="5F4354E4">
      <w:pPr>
        <w:pStyle w:val="82"/>
        <w:ind w:firstLine="480" w:firstLineChars="200"/>
        <w:rPr>
          <w:bCs/>
          <w:color w:val="auto"/>
          <w:highlight w:val="none"/>
        </w:rPr>
      </w:pPr>
      <w:r>
        <w:rPr>
          <w:rFonts w:hint="eastAsia"/>
          <w:bCs/>
          <w:color w:val="auto"/>
          <w:highlight w:val="none"/>
        </w:rPr>
        <w:t>是否进行抽查检测：</w:t>
      </w:r>
      <w:r>
        <w:rPr>
          <w:rFonts w:cs="宋体"/>
          <w:color w:val="auto"/>
          <w:highlight w:val="none"/>
        </w:rPr>
        <w:sym w:font="Wingdings" w:char="F0A8"/>
      </w:r>
      <w:r>
        <w:rPr>
          <w:rFonts w:hint="eastAsia"/>
          <w:bCs/>
          <w:color w:val="auto"/>
          <w:highlight w:val="none"/>
        </w:rPr>
        <w:t>是，抽查比例：</w:t>
      </w:r>
      <w:r>
        <w:rPr>
          <w:rFonts w:hint="eastAsia"/>
          <w:bCs/>
          <w:color w:val="auto"/>
          <w:highlight w:val="none"/>
          <w:u w:val="single"/>
        </w:rPr>
        <w:t xml:space="preserve">        </w:t>
      </w: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568B166A">
      <w:pPr>
        <w:pStyle w:val="82"/>
        <w:ind w:firstLine="480" w:firstLineChars="200"/>
        <w:rPr>
          <w:bCs/>
          <w:color w:val="auto"/>
          <w:highlight w:val="none"/>
          <w:u w:val="single"/>
        </w:rPr>
      </w:pPr>
      <w:r>
        <w:rPr>
          <w:rFonts w:hint="eastAsia"/>
          <w:bCs/>
          <w:color w:val="auto"/>
          <w:highlight w:val="none"/>
        </w:rPr>
        <w:t>是否存在破坏性检测：</w:t>
      </w:r>
      <w:r>
        <w:rPr>
          <w:rFonts w:cs="宋体"/>
          <w:color w:val="auto"/>
          <w:highlight w:val="none"/>
        </w:rPr>
        <w:sym w:font="Wingdings" w:char="F0A8"/>
      </w:r>
      <w:r>
        <w:rPr>
          <w:rFonts w:hint="eastAsia"/>
          <w:bCs/>
          <w:color w:val="auto"/>
          <w:highlight w:val="none"/>
        </w:rPr>
        <w:t>是，</w:t>
      </w:r>
      <w:r>
        <w:rPr>
          <w:rFonts w:hint="eastAsia"/>
          <w:bCs/>
          <w:color w:val="auto"/>
          <w:highlight w:val="none"/>
          <w:u w:val="single"/>
        </w:rPr>
        <w:t>（应明确对被破坏的检测产品的处理方式）</w:t>
      </w:r>
    </w:p>
    <w:p w14:paraId="474AF203">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否</w:t>
      </w:r>
    </w:p>
    <w:p w14:paraId="46B91209">
      <w:pPr>
        <w:pStyle w:val="82"/>
        <w:ind w:firstLine="480" w:firstLineChars="200"/>
        <w:rPr>
          <w:bCs/>
          <w:color w:val="auto"/>
          <w:highlight w:val="none"/>
          <w:u w:val="single"/>
        </w:rPr>
      </w:pPr>
      <w:r>
        <w:rPr>
          <w:rFonts w:hint="eastAsia"/>
          <w:bCs/>
          <w:color w:val="auto"/>
          <w:highlight w:val="none"/>
        </w:rPr>
        <w:t>验收组织的其他事项：</w:t>
      </w:r>
      <w:r>
        <w:rPr>
          <w:rFonts w:hint="eastAsia"/>
          <w:bCs/>
          <w:color w:val="auto"/>
          <w:highlight w:val="none"/>
          <w:u w:val="single"/>
        </w:rPr>
        <w:t xml:space="preserve">                </w:t>
      </w:r>
    </w:p>
    <w:p w14:paraId="6E10DC83">
      <w:pPr>
        <w:pStyle w:val="82"/>
        <w:ind w:firstLine="480" w:firstLineChars="200"/>
        <w:rPr>
          <w:bCs/>
          <w:color w:val="auto"/>
          <w:highlight w:val="none"/>
          <w:u w:val="single"/>
        </w:rPr>
      </w:pPr>
      <w:r>
        <w:rPr>
          <w:rFonts w:hint="eastAsia"/>
          <w:bCs/>
          <w:color w:val="auto"/>
          <w:highlight w:val="none"/>
        </w:rPr>
        <w:t>（2）履约验收时间：</w:t>
      </w:r>
      <w:r>
        <w:rPr>
          <w:rFonts w:hint="eastAsia"/>
          <w:bCs/>
          <w:color w:val="auto"/>
          <w:highlight w:val="none"/>
          <w:u w:val="single"/>
        </w:rPr>
        <w:t xml:space="preserve">（计划于何时验收/供应商提出验收申请之日起   日内组织验收） </w:t>
      </w:r>
    </w:p>
    <w:p w14:paraId="524476FB">
      <w:pPr>
        <w:pStyle w:val="82"/>
        <w:ind w:firstLine="480" w:firstLineChars="200"/>
        <w:outlineLvl w:val="3"/>
        <w:rPr>
          <w:bCs/>
          <w:color w:val="auto"/>
          <w:highlight w:val="none"/>
        </w:rPr>
      </w:pPr>
      <w:r>
        <w:rPr>
          <w:rFonts w:hint="eastAsia"/>
          <w:bCs/>
          <w:color w:val="auto"/>
          <w:highlight w:val="none"/>
        </w:rPr>
        <w:t>（3）履约验收方式：</w:t>
      </w:r>
      <w:r>
        <w:rPr>
          <w:rFonts w:cs="宋体"/>
          <w:color w:val="auto"/>
          <w:highlight w:val="none"/>
        </w:rPr>
        <w:sym w:font="Wingdings" w:char="F0A8"/>
      </w:r>
      <w:r>
        <w:rPr>
          <w:rFonts w:hint="eastAsia"/>
          <w:bCs/>
          <w:color w:val="auto"/>
          <w:highlight w:val="none"/>
        </w:rPr>
        <w:t xml:space="preserve">一次性验收         </w:t>
      </w:r>
    </w:p>
    <w:p w14:paraId="6823932B">
      <w:pPr>
        <w:pStyle w:val="82"/>
        <w:ind w:firstLine="480" w:firstLineChars="200"/>
        <w:rPr>
          <w:bCs/>
          <w:color w:val="auto"/>
          <w:highlight w:val="none"/>
        </w:rPr>
      </w:pPr>
      <w:r>
        <w:rPr>
          <w:rFonts w:hint="eastAsia"/>
          <w:bCs/>
          <w:color w:val="auto"/>
          <w:highlight w:val="none"/>
        </w:rPr>
        <w:t xml:space="preserve">                   </w:t>
      </w:r>
      <w:r>
        <w:rPr>
          <w:rFonts w:cs="宋体"/>
          <w:color w:val="auto"/>
          <w:highlight w:val="none"/>
        </w:rPr>
        <w:sym w:font="Wingdings" w:char="F0A8"/>
      </w:r>
      <w:r>
        <w:rPr>
          <w:rFonts w:hint="eastAsia"/>
          <w:bCs/>
          <w:color w:val="auto"/>
          <w:highlight w:val="none"/>
        </w:rPr>
        <w:t>分期/分项验收：</w:t>
      </w:r>
      <w:r>
        <w:rPr>
          <w:rFonts w:hint="eastAsia"/>
          <w:bCs/>
          <w:color w:val="auto"/>
          <w:highlight w:val="none"/>
          <w:u w:val="single"/>
        </w:rPr>
        <w:t xml:space="preserve"> （应明确分期/分项验收的工作安排）  </w:t>
      </w:r>
    </w:p>
    <w:p w14:paraId="797A87AA">
      <w:pPr>
        <w:pStyle w:val="82"/>
        <w:ind w:firstLine="480" w:firstLineChars="200"/>
        <w:rPr>
          <w:bCs/>
          <w:color w:val="auto"/>
          <w:highlight w:val="none"/>
        </w:rPr>
      </w:pPr>
      <w:r>
        <w:rPr>
          <w:rFonts w:hint="eastAsia"/>
          <w:bCs/>
          <w:color w:val="auto"/>
          <w:highlight w:val="none"/>
        </w:rPr>
        <w:t>（4）履约验收程序：</w:t>
      </w:r>
      <w:r>
        <w:rPr>
          <w:rFonts w:hint="eastAsia"/>
          <w:bCs/>
          <w:color w:val="auto"/>
          <w:highlight w:val="none"/>
          <w:u w:val="single"/>
        </w:rPr>
        <w:t xml:space="preserve">                                         </w:t>
      </w:r>
    </w:p>
    <w:p w14:paraId="107B6A69">
      <w:pPr>
        <w:pStyle w:val="82"/>
        <w:ind w:firstLine="480" w:firstLineChars="200"/>
        <w:rPr>
          <w:bCs/>
          <w:color w:val="auto"/>
          <w:highlight w:val="none"/>
          <w:u w:val="single"/>
        </w:rPr>
      </w:pPr>
      <w:r>
        <w:rPr>
          <w:rFonts w:hint="eastAsia"/>
          <w:bCs/>
          <w:color w:val="auto"/>
          <w:highlight w:val="none"/>
        </w:rPr>
        <w:t>（5）履约验收的内容：</w:t>
      </w:r>
      <w:r>
        <w:rPr>
          <w:rFonts w:hint="eastAsia"/>
          <w:bCs/>
          <w:color w:val="auto"/>
          <w:highlight w:val="none"/>
          <w:u w:val="single"/>
        </w:rPr>
        <w:t xml:space="preserve"> （应当包括每一项技术和商务要求的履约情况，特别是落实政府采购扶持中小企业，支持绿色发展和乡村振兴等政策情况）                                      </w:t>
      </w:r>
    </w:p>
    <w:p w14:paraId="2F9E2531">
      <w:pPr>
        <w:pStyle w:val="82"/>
        <w:ind w:firstLine="480" w:firstLineChars="200"/>
        <w:rPr>
          <w:bCs/>
          <w:color w:val="auto"/>
          <w:highlight w:val="none"/>
          <w:u w:val="single"/>
        </w:rPr>
      </w:pPr>
      <w:r>
        <w:rPr>
          <w:rFonts w:hint="eastAsia"/>
          <w:bCs/>
          <w:color w:val="auto"/>
          <w:highlight w:val="none"/>
        </w:rPr>
        <w:t>（6）履约验收标准：</w:t>
      </w:r>
      <w:r>
        <w:rPr>
          <w:rFonts w:hint="eastAsia"/>
          <w:bCs/>
          <w:color w:val="auto"/>
          <w:highlight w:val="none"/>
          <w:u w:val="single"/>
        </w:rPr>
        <w:t xml:space="preserve">                                         </w:t>
      </w:r>
    </w:p>
    <w:p w14:paraId="45D50069">
      <w:pPr>
        <w:pStyle w:val="82"/>
        <w:ind w:firstLine="480" w:firstLineChars="200"/>
        <w:outlineLvl w:val="3"/>
        <w:rPr>
          <w:rFonts w:cs="宋体"/>
          <w:color w:val="auto"/>
          <w:highlight w:val="none"/>
        </w:rPr>
      </w:pPr>
      <w:r>
        <w:rPr>
          <w:rFonts w:hint="eastAsia" w:cs="宋体"/>
          <w:bCs/>
          <w:color w:val="auto"/>
          <w:highlight w:val="none"/>
        </w:rPr>
        <w:t>（7）是否以采购活动中供应商提供的样品作为参考：</w:t>
      </w:r>
      <w:r>
        <w:rPr>
          <w:rFonts w:cs="宋体"/>
          <w:color w:val="auto"/>
          <w:highlight w:val="none"/>
        </w:rPr>
        <w:sym w:font="Wingdings" w:char="F0A8"/>
      </w:r>
      <w:r>
        <w:rPr>
          <w:rFonts w:hint="eastAsia" w:cs="宋体"/>
          <w:bCs/>
          <w:color w:val="auto"/>
          <w:highlight w:val="none"/>
        </w:rPr>
        <w:t xml:space="preserve">是  </w:t>
      </w:r>
      <w:r>
        <w:rPr>
          <w:rFonts w:cs="宋体"/>
          <w:color w:val="auto"/>
          <w:highlight w:val="none"/>
        </w:rPr>
        <w:sym w:font="Wingdings" w:char="F0A8"/>
      </w:r>
      <w:r>
        <w:rPr>
          <w:rFonts w:hint="eastAsia" w:cs="宋体"/>
          <w:bCs/>
          <w:color w:val="auto"/>
          <w:highlight w:val="none"/>
        </w:rPr>
        <w:t>否</w:t>
      </w:r>
    </w:p>
    <w:p w14:paraId="2C7D43A8">
      <w:pPr>
        <w:pStyle w:val="82"/>
        <w:ind w:firstLine="480" w:firstLineChars="200"/>
        <w:rPr>
          <w:rFonts w:cs="宋体"/>
          <w:bCs/>
          <w:color w:val="auto"/>
          <w:highlight w:val="none"/>
          <w:u w:val="single"/>
        </w:rPr>
      </w:pPr>
      <w:r>
        <w:rPr>
          <w:rFonts w:hint="eastAsia" w:cs="宋体"/>
          <w:bCs/>
          <w:color w:val="auto"/>
          <w:highlight w:val="none"/>
        </w:rPr>
        <w:t>（8）履约验收其他事项：</w:t>
      </w:r>
      <w:r>
        <w:rPr>
          <w:rFonts w:hint="eastAsia" w:cs="宋体"/>
          <w:bCs/>
          <w:color w:val="auto"/>
          <w:highlight w:val="none"/>
          <w:u w:val="single"/>
        </w:rPr>
        <w:t xml:space="preserve">      （产权过户登记等）          </w:t>
      </w:r>
    </w:p>
    <w:p w14:paraId="112A5544">
      <w:pPr>
        <w:pStyle w:val="82"/>
        <w:ind w:firstLineChars="200"/>
        <w:outlineLvl w:val="2"/>
        <w:rPr>
          <w:b/>
          <w:color w:val="auto"/>
          <w:highlight w:val="none"/>
        </w:rPr>
      </w:pPr>
      <w:r>
        <w:rPr>
          <w:rFonts w:hint="eastAsia"/>
          <w:b/>
          <w:color w:val="auto"/>
          <w:highlight w:val="none"/>
        </w:rPr>
        <w:t>5.组成合同的文件</w:t>
      </w:r>
    </w:p>
    <w:p w14:paraId="431FDEE5">
      <w:pPr>
        <w:pStyle w:val="82"/>
        <w:ind w:firstLine="480" w:firstLineChars="200"/>
        <w:rPr>
          <w:color w:val="auto"/>
          <w:highlight w:val="none"/>
        </w:rPr>
      </w:pPr>
      <w:r>
        <w:rPr>
          <w:rFonts w:hint="eastAsia"/>
          <w:color w:val="auto"/>
          <w:highlight w:val="none"/>
        </w:rPr>
        <w:t>本协议书与下列文件一起构成合同文件，如下述文件之间有任何抵触、矛盾或歧义，应按以下顺序解释：</w:t>
      </w:r>
    </w:p>
    <w:p w14:paraId="3E80D87E">
      <w:pPr>
        <w:pStyle w:val="82"/>
        <w:ind w:firstLine="480" w:firstLineChars="200"/>
        <w:rPr>
          <w:color w:val="auto"/>
          <w:highlight w:val="none"/>
        </w:rPr>
      </w:pPr>
      <w:r>
        <w:rPr>
          <w:rFonts w:hint="eastAsia"/>
          <w:color w:val="auto"/>
          <w:highlight w:val="none"/>
        </w:rPr>
        <w:t>（1）政府采购合同协议书及其变更、补充协议</w:t>
      </w:r>
    </w:p>
    <w:p w14:paraId="183BFABB">
      <w:pPr>
        <w:pStyle w:val="82"/>
        <w:ind w:firstLine="480" w:firstLineChars="200"/>
        <w:rPr>
          <w:color w:val="auto"/>
          <w:highlight w:val="none"/>
        </w:rPr>
      </w:pPr>
      <w:r>
        <w:rPr>
          <w:rFonts w:hint="eastAsia"/>
          <w:color w:val="auto"/>
          <w:highlight w:val="none"/>
        </w:rPr>
        <w:t>（2）政府采购合同专用条款</w:t>
      </w:r>
    </w:p>
    <w:p w14:paraId="6932667A">
      <w:pPr>
        <w:pStyle w:val="82"/>
        <w:ind w:firstLine="480" w:firstLineChars="200"/>
        <w:rPr>
          <w:color w:val="auto"/>
          <w:highlight w:val="none"/>
        </w:rPr>
      </w:pPr>
      <w:r>
        <w:rPr>
          <w:rFonts w:hint="eastAsia"/>
          <w:color w:val="auto"/>
          <w:highlight w:val="none"/>
        </w:rPr>
        <w:t>（3）政府采购合同通用条款</w:t>
      </w:r>
    </w:p>
    <w:p w14:paraId="50D522AC">
      <w:pPr>
        <w:pStyle w:val="82"/>
        <w:ind w:firstLine="480" w:firstLineChars="200"/>
        <w:rPr>
          <w:color w:val="auto"/>
          <w:highlight w:val="none"/>
        </w:rPr>
      </w:pPr>
      <w:r>
        <w:rPr>
          <w:rFonts w:hint="eastAsia"/>
          <w:color w:val="auto"/>
          <w:highlight w:val="none"/>
        </w:rPr>
        <w:t>（4）中标（成交）通知书</w:t>
      </w:r>
    </w:p>
    <w:p w14:paraId="0A63514A">
      <w:pPr>
        <w:pStyle w:val="82"/>
        <w:ind w:firstLine="480" w:firstLineChars="200"/>
        <w:rPr>
          <w:color w:val="auto"/>
          <w:highlight w:val="none"/>
        </w:rPr>
      </w:pPr>
      <w:r>
        <w:rPr>
          <w:rFonts w:hint="eastAsia"/>
          <w:color w:val="auto"/>
          <w:highlight w:val="none"/>
        </w:rPr>
        <w:t>（5）投标（响应）文件</w:t>
      </w:r>
    </w:p>
    <w:p w14:paraId="0F79F861">
      <w:pPr>
        <w:pStyle w:val="82"/>
        <w:ind w:firstLine="480" w:firstLineChars="200"/>
        <w:rPr>
          <w:color w:val="auto"/>
          <w:highlight w:val="none"/>
        </w:rPr>
      </w:pPr>
      <w:r>
        <w:rPr>
          <w:rFonts w:hint="eastAsia"/>
          <w:color w:val="auto"/>
          <w:highlight w:val="none"/>
        </w:rPr>
        <w:t>（6）采购文件</w:t>
      </w:r>
    </w:p>
    <w:p w14:paraId="4FC4A1D7">
      <w:pPr>
        <w:pStyle w:val="82"/>
        <w:ind w:firstLine="480" w:firstLineChars="200"/>
        <w:rPr>
          <w:color w:val="auto"/>
          <w:highlight w:val="none"/>
        </w:rPr>
      </w:pPr>
      <w:r>
        <w:rPr>
          <w:rFonts w:hint="eastAsia"/>
          <w:color w:val="auto"/>
          <w:highlight w:val="none"/>
        </w:rPr>
        <w:t>（7）有关技术文件，图纸</w:t>
      </w:r>
    </w:p>
    <w:p w14:paraId="24134414">
      <w:pPr>
        <w:pStyle w:val="82"/>
        <w:ind w:firstLine="480" w:firstLineChars="200"/>
        <w:rPr>
          <w:rFonts w:cs="宋体"/>
          <w:color w:val="auto"/>
          <w:highlight w:val="none"/>
        </w:rPr>
      </w:pPr>
      <w:r>
        <w:rPr>
          <w:rFonts w:hint="eastAsia" w:cs="宋体"/>
          <w:color w:val="auto"/>
          <w:highlight w:val="none"/>
        </w:rPr>
        <w:t>（8）国家法律、行政法规和规章制度规定或合同约定的作为合同组成部分的其他文件</w:t>
      </w:r>
    </w:p>
    <w:p w14:paraId="08804851">
      <w:pPr>
        <w:pStyle w:val="82"/>
        <w:ind w:firstLineChars="200"/>
        <w:outlineLvl w:val="2"/>
        <w:rPr>
          <w:b/>
          <w:color w:val="auto"/>
          <w:highlight w:val="none"/>
        </w:rPr>
      </w:pPr>
      <w:r>
        <w:rPr>
          <w:rFonts w:hint="eastAsia"/>
          <w:b/>
          <w:color w:val="auto"/>
          <w:highlight w:val="none"/>
        </w:rPr>
        <w:t>6.合同生效</w:t>
      </w:r>
    </w:p>
    <w:p w14:paraId="2C5F5BC8">
      <w:pPr>
        <w:pStyle w:val="82"/>
        <w:ind w:firstLine="480" w:firstLineChars="200"/>
        <w:rPr>
          <w:color w:val="auto"/>
          <w:highlight w:val="none"/>
        </w:rPr>
      </w:pPr>
      <w:r>
        <w:rPr>
          <w:rFonts w:hint="eastAsia"/>
          <w:color w:val="auto"/>
          <w:highlight w:val="none"/>
        </w:rPr>
        <w:t>本合同自</w:t>
      </w:r>
      <w:r>
        <w:rPr>
          <w:rFonts w:hint="eastAsia"/>
          <w:color w:val="auto"/>
          <w:highlight w:val="none"/>
          <w:u w:val="single"/>
        </w:rPr>
        <w:t xml:space="preserve">                             </w:t>
      </w:r>
      <w:r>
        <w:rPr>
          <w:rFonts w:hint="eastAsia"/>
          <w:color w:val="auto"/>
          <w:highlight w:val="none"/>
        </w:rPr>
        <w:t>生效。</w:t>
      </w:r>
    </w:p>
    <w:p w14:paraId="568525CE">
      <w:pPr>
        <w:pStyle w:val="82"/>
        <w:ind w:firstLineChars="200"/>
        <w:outlineLvl w:val="2"/>
        <w:rPr>
          <w:b/>
          <w:color w:val="auto"/>
          <w:highlight w:val="none"/>
        </w:rPr>
      </w:pPr>
      <w:r>
        <w:rPr>
          <w:rFonts w:hint="eastAsia"/>
          <w:b/>
          <w:color w:val="auto"/>
          <w:highlight w:val="none"/>
        </w:rPr>
        <w:t>7.合同份数</w:t>
      </w:r>
    </w:p>
    <w:p w14:paraId="439FD85E">
      <w:pPr>
        <w:pStyle w:val="82"/>
        <w:ind w:firstLine="480" w:firstLineChars="200"/>
        <w:rPr>
          <w:color w:val="auto"/>
          <w:highlight w:val="none"/>
        </w:rPr>
      </w:pPr>
      <w:r>
        <w:rPr>
          <w:rFonts w:hint="eastAsia"/>
          <w:color w:val="auto"/>
          <w:highlight w:val="none"/>
        </w:rPr>
        <w:t>本合同一式</w:t>
      </w:r>
      <w:r>
        <w:rPr>
          <w:rFonts w:hint="eastAsia"/>
          <w:color w:val="auto"/>
          <w:highlight w:val="none"/>
          <w:u w:val="single"/>
        </w:rPr>
        <w:t xml:space="preserve">    </w:t>
      </w:r>
      <w:r>
        <w:rPr>
          <w:rFonts w:hint="eastAsia"/>
          <w:color w:val="auto"/>
          <w:highlight w:val="none"/>
        </w:rPr>
        <w:t>份，甲方执</w:t>
      </w:r>
      <w:r>
        <w:rPr>
          <w:rFonts w:hint="eastAsia"/>
          <w:color w:val="auto"/>
          <w:highlight w:val="none"/>
          <w:u w:val="single"/>
        </w:rPr>
        <w:t xml:space="preserve">    </w:t>
      </w:r>
      <w:r>
        <w:rPr>
          <w:rFonts w:hint="eastAsia"/>
          <w:color w:val="auto"/>
          <w:highlight w:val="none"/>
        </w:rPr>
        <w:t>份，乙方执</w:t>
      </w:r>
      <w:r>
        <w:rPr>
          <w:rFonts w:hint="eastAsia"/>
          <w:color w:val="auto"/>
          <w:highlight w:val="none"/>
          <w:u w:val="single"/>
        </w:rPr>
        <w:t xml:space="preserve">    </w:t>
      </w:r>
      <w:r>
        <w:rPr>
          <w:rFonts w:hint="eastAsia"/>
          <w:color w:val="auto"/>
          <w:highlight w:val="none"/>
        </w:rPr>
        <w:t>份，均具有同等法律效力。</w:t>
      </w:r>
    </w:p>
    <w:p w14:paraId="6CA6D8CA">
      <w:pPr>
        <w:pStyle w:val="82"/>
        <w:ind w:firstLine="480" w:firstLineChars="200"/>
        <w:rPr>
          <w:color w:val="auto"/>
          <w:highlight w:val="none"/>
        </w:rPr>
      </w:pPr>
      <w:r>
        <w:rPr>
          <w:rFonts w:hint="eastAsia"/>
          <w:color w:val="auto"/>
          <w:highlight w:val="none"/>
        </w:rPr>
        <w:t>合同订立时间：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37932FD0">
      <w:pPr>
        <w:pStyle w:val="82"/>
        <w:ind w:firstLine="480" w:firstLineChars="200"/>
        <w:rPr>
          <w:color w:val="auto"/>
          <w:highlight w:val="none"/>
        </w:rPr>
      </w:pPr>
      <w:r>
        <w:rPr>
          <w:rFonts w:hint="eastAsia"/>
          <w:color w:val="auto"/>
          <w:highlight w:val="none"/>
        </w:rPr>
        <w:t>合同订立地点：</w:t>
      </w:r>
      <w:r>
        <w:rPr>
          <w:rFonts w:hint="eastAsia"/>
          <w:color w:val="auto"/>
          <w:highlight w:val="none"/>
          <w:u w:val="single"/>
        </w:rPr>
        <w:t xml:space="preserve">                           </w:t>
      </w:r>
    </w:p>
    <w:p w14:paraId="47ED2979">
      <w:pPr>
        <w:pStyle w:val="82"/>
        <w:ind w:firstLine="480" w:firstLineChars="200"/>
        <w:rPr>
          <w:color w:val="auto"/>
          <w:highlight w:val="none"/>
        </w:rPr>
      </w:pPr>
      <w:r>
        <w:rPr>
          <w:rFonts w:hint="eastAsia"/>
          <w:color w:val="auto"/>
          <w:highlight w:val="none"/>
        </w:rPr>
        <w:t>附件：具体标的及其技术要求和商务要求、联合协议、分包意向协议等。</w:t>
      </w:r>
    </w:p>
    <w:p w14:paraId="35F04720">
      <w:pPr>
        <w:pStyle w:val="82"/>
        <w:rPr>
          <w:color w:val="auto"/>
          <w:highlight w:val="none"/>
        </w:rPr>
      </w:pPr>
    </w:p>
    <w:p w14:paraId="3FEFC23F">
      <w:pPr>
        <w:pStyle w:val="82"/>
        <w:rPr>
          <w:color w:val="auto"/>
          <w:szCs w:val="21"/>
          <w:highlight w:val="none"/>
        </w:rPr>
      </w:pPr>
      <w:r>
        <w:rPr>
          <w:color w:val="auto"/>
          <w:highlight w:val="none"/>
        </w:rPr>
        <w:t xml:space="preserve">   </w:t>
      </w:r>
    </w:p>
    <w:p w14:paraId="20533D46">
      <w:pPr>
        <w:adjustRightInd/>
        <w:rPr>
          <w:color w:val="auto"/>
          <w:highlight w:val="none"/>
        </w:rPr>
      </w:pPr>
      <w:r>
        <w:rPr>
          <w:color w:val="auto"/>
          <w:highlight w:val="none"/>
        </w:rPr>
        <w:br w:type="page"/>
      </w:r>
    </w:p>
    <w:p w14:paraId="5E7A0BA6">
      <w:pPr>
        <w:adjustRightInd/>
        <w:ind w:firstLine="420" w:firstLineChars="200"/>
        <w:rPr>
          <w:color w:val="auto"/>
          <w:szCs w:val="21"/>
          <w:highlight w:val="none"/>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4"/>
        <w:gridCol w:w="2235"/>
        <w:gridCol w:w="2391"/>
      </w:tblGrid>
      <w:tr w14:paraId="22ED9C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6C8228E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9A8D28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乙方</w:t>
            </w:r>
          </w:p>
        </w:tc>
      </w:tr>
      <w:tr w14:paraId="5DEB07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4CC8BF1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C61A725">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565BA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0CC8C9A">
            <w:pPr>
              <w:snapToGrid w:val="0"/>
              <w:spacing w:line="360" w:lineRule="auto"/>
              <w:jc w:val="center"/>
              <w:rPr>
                <w:rFonts w:ascii="Calibri" w:hAnsi="Calibri"/>
                <w:color w:val="auto"/>
                <w:spacing w:val="20"/>
                <w:sz w:val="24"/>
                <w:highlight w:val="none"/>
              </w:rPr>
            </w:pPr>
          </w:p>
        </w:tc>
      </w:tr>
      <w:tr w14:paraId="3244C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45CEF5F0">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57F78A75">
            <w:pPr>
              <w:snapToGrid w:val="0"/>
              <w:spacing w:line="360" w:lineRule="auto"/>
              <w:ind w:firstLine="115" w:firstLineChars="48"/>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128BD319">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97B9F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法定代表人</w:t>
            </w:r>
          </w:p>
          <w:p w14:paraId="71D1EF7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2CD038A1">
            <w:pPr>
              <w:snapToGrid w:val="0"/>
              <w:spacing w:line="360" w:lineRule="auto"/>
              <w:jc w:val="center"/>
              <w:rPr>
                <w:rFonts w:ascii="Calibri" w:hAnsi="Calibri"/>
                <w:color w:val="auto"/>
                <w:sz w:val="24"/>
                <w:highlight w:val="none"/>
              </w:rPr>
            </w:pPr>
          </w:p>
        </w:tc>
      </w:tr>
      <w:tr w14:paraId="42C502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435E70AA">
            <w:pPr>
              <w:widowControl/>
              <w:adjustRightInd/>
              <w:spacing w:line="360" w:lineRule="auto"/>
              <w:jc w:val="left"/>
              <w:rPr>
                <w:rFonts w:ascii="Calibri" w:hAnsi="Calibri"/>
                <w:color w:val="auto"/>
                <w:sz w:val="24"/>
                <w:highlight w:val="none"/>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60289F25">
            <w:pPr>
              <w:widowControl/>
              <w:adjustRightInd/>
              <w:spacing w:line="360" w:lineRule="auto"/>
              <w:jc w:val="left"/>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01BA8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248CA97B">
            <w:pPr>
              <w:snapToGrid w:val="0"/>
              <w:spacing w:line="360" w:lineRule="auto"/>
              <w:jc w:val="center"/>
              <w:rPr>
                <w:rFonts w:ascii="Calibri" w:hAnsi="Calibri"/>
                <w:color w:val="auto"/>
                <w:spacing w:val="20"/>
                <w:sz w:val="24"/>
                <w:highlight w:val="none"/>
              </w:rPr>
            </w:pPr>
          </w:p>
        </w:tc>
      </w:tr>
      <w:tr w14:paraId="611701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DB6BBF2">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4ED204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D67D2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住</w:t>
            </w:r>
            <w:r>
              <w:rPr>
                <w:rFonts w:ascii="Calibri" w:hAnsi="Calibri"/>
                <w:color w:val="auto"/>
                <w:sz w:val="24"/>
                <w:highlight w:val="none"/>
              </w:rPr>
              <w:t xml:space="preserve">  </w:t>
            </w:r>
            <w:r>
              <w:rPr>
                <w:rFonts w:hint="eastAsia" w:ascii="Calibri" w:hAnsi="Calibri"/>
                <w:color w:val="auto"/>
                <w:sz w:val="24"/>
                <w:highlight w:val="none"/>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5E1EB0F7">
            <w:pPr>
              <w:snapToGrid w:val="0"/>
              <w:spacing w:line="360" w:lineRule="auto"/>
              <w:jc w:val="center"/>
              <w:rPr>
                <w:rFonts w:ascii="Calibri" w:hAnsi="Calibri"/>
                <w:color w:val="auto"/>
                <w:spacing w:val="20"/>
                <w:sz w:val="24"/>
                <w:highlight w:val="none"/>
              </w:rPr>
            </w:pPr>
          </w:p>
        </w:tc>
      </w:tr>
      <w:tr w14:paraId="5BF755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0D0FF6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07D7773D">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9C82CB">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w:t>
            </w:r>
            <w:r>
              <w:rPr>
                <w:rFonts w:ascii="Calibri" w:hAnsi="Calibri"/>
                <w:color w:val="auto"/>
                <w:sz w:val="24"/>
                <w:highlight w:val="none"/>
              </w:rPr>
              <w:t xml:space="preserve"> </w:t>
            </w:r>
            <w:r>
              <w:rPr>
                <w:rFonts w:hint="eastAsia" w:ascii="Calibri" w:hAnsi="Calibri"/>
                <w:color w:val="auto"/>
                <w:sz w:val="24"/>
                <w:highlight w:val="none"/>
              </w:rPr>
              <w:t>系</w:t>
            </w:r>
            <w:r>
              <w:rPr>
                <w:rFonts w:ascii="Calibri" w:hAnsi="Calibri"/>
                <w:color w:val="auto"/>
                <w:sz w:val="24"/>
                <w:highlight w:val="none"/>
              </w:rPr>
              <w:t xml:space="preserve"> </w:t>
            </w:r>
            <w:r>
              <w:rPr>
                <w:rFonts w:hint="eastAsia" w:ascii="Calibri" w:hAnsi="Calibri"/>
                <w:color w:val="auto"/>
                <w:sz w:val="24"/>
                <w:highlight w:val="none"/>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7E837375">
            <w:pPr>
              <w:snapToGrid w:val="0"/>
              <w:spacing w:line="360" w:lineRule="auto"/>
              <w:jc w:val="center"/>
              <w:rPr>
                <w:rFonts w:ascii="Calibri" w:hAnsi="Calibri"/>
                <w:color w:val="auto"/>
                <w:spacing w:val="20"/>
                <w:sz w:val="24"/>
                <w:highlight w:val="none"/>
              </w:rPr>
            </w:pPr>
          </w:p>
        </w:tc>
      </w:tr>
      <w:tr w14:paraId="14C3AF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D50BAA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0CF6672">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E32D1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17E5B297">
            <w:pPr>
              <w:snapToGrid w:val="0"/>
              <w:spacing w:line="360" w:lineRule="auto"/>
              <w:jc w:val="center"/>
              <w:rPr>
                <w:rFonts w:ascii="Calibri" w:hAnsi="Calibri"/>
                <w:color w:val="auto"/>
                <w:spacing w:val="20"/>
                <w:sz w:val="24"/>
                <w:highlight w:val="none"/>
              </w:rPr>
            </w:pPr>
          </w:p>
        </w:tc>
      </w:tr>
      <w:tr w14:paraId="45F77A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79E848">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685BE8B">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C21D6AC">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654359FD">
            <w:pPr>
              <w:snapToGrid w:val="0"/>
              <w:spacing w:line="360" w:lineRule="auto"/>
              <w:jc w:val="center"/>
              <w:rPr>
                <w:rFonts w:ascii="Calibri" w:hAnsi="Calibri"/>
                <w:color w:val="auto"/>
                <w:spacing w:val="20"/>
                <w:sz w:val="24"/>
                <w:highlight w:val="none"/>
              </w:rPr>
            </w:pPr>
          </w:p>
        </w:tc>
      </w:tr>
      <w:tr w14:paraId="168770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D84F37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D2B581C">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F4622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57AF0CE">
            <w:pPr>
              <w:snapToGrid w:val="0"/>
              <w:spacing w:line="360" w:lineRule="auto"/>
              <w:jc w:val="center"/>
              <w:rPr>
                <w:rFonts w:ascii="Calibri" w:hAnsi="Calibri"/>
                <w:color w:val="auto"/>
                <w:spacing w:val="20"/>
                <w:sz w:val="24"/>
                <w:highlight w:val="none"/>
              </w:rPr>
            </w:pPr>
          </w:p>
        </w:tc>
      </w:tr>
      <w:tr w14:paraId="6F2C22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9C4033A">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66501E8">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9807AE4">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3BAB1A5">
            <w:pPr>
              <w:snapToGrid w:val="0"/>
              <w:spacing w:line="360" w:lineRule="auto"/>
              <w:jc w:val="center"/>
              <w:rPr>
                <w:rFonts w:ascii="Calibri" w:hAnsi="Calibri"/>
                <w:color w:val="auto"/>
                <w:spacing w:val="20"/>
                <w:sz w:val="24"/>
                <w:highlight w:val="none"/>
              </w:rPr>
            </w:pPr>
          </w:p>
        </w:tc>
      </w:tr>
      <w:tr w14:paraId="453D0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37ABF15">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CF8B113">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C8CF9F">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1CD0E51B">
            <w:pPr>
              <w:snapToGrid w:val="0"/>
              <w:spacing w:line="360" w:lineRule="auto"/>
              <w:jc w:val="center"/>
              <w:rPr>
                <w:rFonts w:ascii="Calibri" w:hAnsi="Calibri"/>
                <w:color w:val="auto"/>
                <w:spacing w:val="20"/>
                <w:sz w:val="24"/>
                <w:highlight w:val="none"/>
              </w:rPr>
            </w:pPr>
          </w:p>
        </w:tc>
      </w:tr>
      <w:tr w14:paraId="5BDA8E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44ABAB0">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E6534D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CDF51E">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2B009D4">
            <w:pPr>
              <w:snapToGrid w:val="0"/>
              <w:spacing w:line="360" w:lineRule="auto"/>
              <w:jc w:val="center"/>
              <w:rPr>
                <w:rFonts w:ascii="Calibri" w:hAnsi="Calibri"/>
                <w:color w:val="auto"/>
                <w:spacing w:val="20"/>
                <w:sz w:val="24"/>
                <w:highlight w:val="none"/>
              </w:rPr>
            </w:pPr>
          </w:p>
        </w:tc>
      </w:tr>
      <w:tr w14:paraId="3CE3CCB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03F6ABE">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0CBAE7F">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CF3567">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658E75D4">
            <w:pPr>
              <w:snapToGrid w:val="0"/>
              <w:spacing w:line="360" w:lineRule="auto"/>
              <w:jc w:val="center"/>
              <w:rPr>
                <w:rFonts w:ascii="Calibri" w:hAnsi="Calibri"/>
                <w:color w:val="auto"/>
                <w:spacing w:val="20"/>
                <w:sz w:val="24"/>
                <w:highlight w:val="none"/>
              </w:rPr>
            </w:pPr>
          </w:p>
        </w:tc>
      </w:tr>
      <w:tr w14:paraId="3A3385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4EFF96B">
            <w:pPr>
              <w:snapToGrid w:val="0"/>
              <w:spacing w:line="360" w:lineRule="auto"/>
              <w:jc w:val="center"/>
              <w:rPr>
                <w:rFonts w:ascii="Calibri" w:hAnsi="Calibri"/>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B45146E">
            <w:pPr>
              <w:snapToGrid w:val="0"/>
              <w:spacing w:line="360" w:lineRule="auto"/>
              <w:jc w:val="center"/>
              <w:rPr>
                <w:rFonts w:ascii="Calibri" w:hAnsi="Calibri"/>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B7DFE31">
            <w:pPr>
              <w:snapToGrid w:val="0"/>
              <w:spacing w:line="360" w:lineRule="auto"/>
              <w:jc w:val="center"/>
              <w:rPr>
                <w:rFonts w:ascii="Calibri" w:hAnsi="Calibri"/>
                <w:color w:val="auto"/>
                <w:sz w:val="24"/>
                <w:highlight w:val="none"/>
              </w:rPr>
            </w:pPr>
            <w:r>
              <w:rPr>
                <w:rFonts w:hint="eastAsia" w:ascii="Calibri" w:hAnsi="Calibri"/>
                <w:color w:val="auto"/>
                <w:sz w:val="24"/>
                <w:highlight w:val="none"/>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4A172776">
            <w:pPr>
              <w:snapToGrid w:val="0"/>
              <w:spacing w:line="360" w:lineRule="auto"/>
              <w:jc w:val="center"/>
              <w:rPr>
                <w:rFonts w:ascii="Calibri" w:hAnsi="Calibri"/>
                <w:color w:val="auto"/>
                <w:spacing w:val="20"/>
                <w:sz w:val="24"/>
                <w:highlight w:val="none"/>
              </w:rPr>
            </w:pPr>
          </w:p>
        </w:tc>
      </w:tr>
      <w:tr w14:paraId="26D0FE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6E3F3694">
            <w:pPr>
              <w:snapToGrid w:val="0"/>
              <w:spacing w:line="360" w:lineRule="auto"/>
              <w:jc w:val="left"/>
              <w:rPr>
                <w:rFonts w:ascii="Calibri" w:hAnsi="Calibri"/>
                <w:color w:val="auto"/>
                <w:spacing w:val="20"/>
                <w:sz w:val="24"/>
                <w:highlight w:val="none"/>
              </w:rPr>
            </w:pPr>
            <w:r>
              <w:rPr>
                <w:rFonts w:hint="eastAsia" w:ascii="宋体" w:hAnsi="宋体"/>
                <w:color w:val="auto"/>
                <w:sz w:val="24"/>
                <w:highlight w:val="none"/>
              </w:rPr>
              <w:t>注：涉及联合体或其他合同主体的信息应按上表格式加列。</w:t>
            </w:r>
          </w:p>
        </w:tc>
      </w:tr>
    </w:tbl>
    <w:p w14:paraId="6A24FCDE">
      <w:pPr>
        <w:keepNext/>
        <w:keepLines/>
        <w:snapToGrid w:val="0"/>
        <w:spacing w:before="120" w:beforeLines="50" w:line="360" w:lineRule="auto"/>
        <w:jc w:val="center"/>
        <w:outlineLvl w:val="1"/>
        <w:rPr>
          <w:rFonts w:ascii="黑体" w:hAnsi="黑体" w:eastAsia="黑体"/>
          <w:b/>
          <w:bCs/>
          <w:color w:val="auto"/>
          <w:sz w:val="28"/>
          <w:szCs w:val="28"/>
          <w:highlight w:val="none"/>
        </w:rPr>
      </w:pPr>
      <w:r>
        <w:rPr>
          <w:rFonts w:hint="eastAsia" w:ascii="宋体" w:hAnsi="宋体"/>
          <w:b/>
          <w:bCs/>
          <w:color w:val="auto"/>
          <w:szCs w:val="21"/>
          <w:highlight w:val="none"/>
          <w:u w:val="single"/>
        </w:rPr>
        <w:br w:type="page"/>
      </w:r>
      <w:bookmarkStart w:id="446" w:name="_Toc27624"/>
      <w:r>
        <w:rPr>
          <w:rFonts w:hint="eastAsia" w:ascii="黑体" w:hAnsi="黑体" w:eastAsia="黑体"/>
          <w:color w:val="auto"/>
          <w:sz w:val="28"/>
          <w:szCs w:val="28"/>
          <w:highlight w:val="none"/>
        </w:rPr>
        <w:t>第二节 政府采购合同通用条款</w:t>
      </w:r>
      <w:bookmarkEnd w:id="446"/>
    </w:p>
    <w:p w14:paraId="1F427FE0">
      <w:pPr>
        <w:tabs>
          <w:tab w:val="left" w:pos="8820"/>
          <w:tab w:val="left" w:pos="9345"/>
          <w:tab w:val="left" w:pos="9765"/>
        </w:tabs>
        <w:snapToGrid w:val="0"/>
        <w:spacing w:line="360" w:lineRule="auto"/>
        <w:jc w:val="left"/>
        <w:outlineLvl w:val="2"/>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5733039A">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1.1合同当事人</w:t>
      </w:r>
    </w:p>
    <w:p w14:paraId="7260773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（1）采购人（以下称甲方）是指使用财政性资金，通过政府采购方式向供应商购买货物及其相关服务的国家机关、事业单位、团体组织。</w:t>
      </w:r>
    </w:p>
    <w:p w14:paraId="4C8597F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（2）供应商（以下称乙方）是指参加政府采购活动并且中标（成交），向采购人提供合同约定的货物及其相关服务的法人、非法人组织或者自然人。</w:t>
      </w:r>
    </w:p>
    <w:p w14:paraId="6831EA2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（3）其他合同主体是指除采购人和供应商以外，</w:t>
      </w:r>
      <w:r>
        <w:rPr>
          <w:rFonts w:hint="eastAsia" w:ascii="宋体" w:hAnsi="宋体" w:cs="宋体"/>
          <w:bCs/>
          <w:color w:val="auto"/>
          <w:sz w:val="24"/>
          <w:highlight w:val="none"/>
        </w:rPr>
        <w:t>依法参与合同缔结或履行，享有权利、承担义务的合同当事人</w:t>
      </w:r>
      <w:r>
        <w:rPr>
          <w:rFonts w:hint="eastAsia" w:ascii="宋体" w:hAnsi="宋体"/>
          <w:color w:val="auto"/>
          <w:sz w:val="24"/>
          <w:highlight w:val="none"/>
        </w:rPr>
        <w:t>。</w:t>
      </w:r>
    </w:p>
    <w:p w14:paraId="026A5717">
      <w:pPr>
        <w:tabs>
          <w:tab w:val="left" w:pos="570"/>
          <w:tab w:val="left" w:pos="9240"/>
          <w:tab w:val="left" w:pos="9555"/>
        </w:tabs>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1.2本合同下列术语应解释为：</w:t>
      </w:r>
    </w:p>
    <w:p w14:paraId="3845F81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（1）“合同”系指</w:t>
      </w:r>
      <w:r>
        <w:rPr>
          <w:rFonts w:hint="eastAsia" w:ascii="宋体" w:hAnsi="宋体" w:cs="宋体"/>
          <w:bCs/>
          <w:color w:val="auto"/>
          <w:sz w:val="24"/>
          <w:highlight w:val="none"/>
        </w:rPr>
        <w:t>合同当事人意思表示达成一致的任何协议，包括签署的</w:t>
      </w:r>
      <w:r>
        <w:rPr>
          <w:rFonts w:hint="eastAsia" w:ascii="宋体" w:hAnsi="宋体"/>
          <w:color w:val="auto"/>
          <w:sz w:val="24"/>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 w:val="24"/>
          <w:highlight w:val="none"/>
        </w:rPr>
        <w:t>国家法律、行政法规和规章制度规定或合同约定的作为合同组成部分的其他文件</w:t>
      </w:r>
      <w:r>
        <w:rPr>
          <w:rFonts w:hint="eastAsia" w:ascii="宋体" w:hAnsi="宋体"/>
          <w:color w:val="auto"/>
          <w:sz w:val="24"/>
          <w:highlight w:val="none"/>
        </w:rPr>
        <w:t>。</w:t>
      </w:r>
    </w:p>
    <w:p w14:paraId="23251E0B">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（2）“合同价款”系指根据本合同规定乙方在全面履行合同义务后甲方应支付给乙方的价款。</w:t>
      </w:r>
    </w:p>
    <w:p w14:paraId="67CF116E">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（3）“货物”系指乙方根据本合同规定须向甲方提供的各种形态和种类的物品，包括原材料、设备、产品（包括软件）及相关的其备品备件、工具、手册及其他技术资料和材料等。</w:t>
      </w:r>
    </w:p>
    <w:p w14:paraId="3A82743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D26456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605F7CBC">
      <w:pPr>
        <w:tabs>
          <w:tab w:val="left" w:pos="570"/>
          <w:tab w:val="left" w:pos="9240"/>
          <w:tab w:val="left" w:pos="9555"/>
        </w:tabs>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023C78A4">
      <w:pPr>
        <w:tabs>
          <w:tab w:val="left" w:pos="570"/>
          <w:tab w:val="left" w:pos="9240"/>
          <w:tab w:val="left" w:pos="9555"/>
        </w:tabs>
        <w:snapToGrid w:val="0"/>
        <w:spacing w:line="360" w:lineRule="auto"/>
        <w:ind w:firstLine="480" w:firstLineChars="200"/>
        <w:jc w:val="left"/>
        <w:outlineLvl w:val="4"/>
        <w:rPr>
          <w:rFonts w:ascii="宋体" w:hAnsi="宋体"/>
          <w:color w:val="auto"/>
          <w:sz w:val="24"/>
          <w:highlight w:val="none"/>
        </w:rPr>
      </w:pPr>
      <w:r>
        <w:rPr>
          <w:rFonts w:hint="eastAsia" w:ascii="宋体" w:hAnsi="宋体"/>
          <w:color w:val="auto"/>
          <w:sz w:val="24"/>
          <w:highlight w:val="none"/>
        </w:rPr>
        <w:t>（7）其他术语解释，见【</w:t>
      </w:r>
      <w:r>
        <w:rPr>
          <w:rFonts w:hint="eastAsia" w:ascii="宋体" w:hAnsi="宋体"/>
          <w:b/>
          <w:bCs/>
          <w:color w:val="auto"/>
          <w:sz w:val="24"/>
          <w:highlight w:val="none"/>
        </w:rPr>
        <w:t>政府采购合同专用条款</w:t>
      </w:r>
      <w:r>
        <w:rPr>
          <w:rFonts w:hint="eastAsia" w:ascii="宋体" w:hAnsi="宋体"/>
          <w:color w:val="auto"/>
          <w:sz w:val="24"/>
          <w:highlight w:val="none"/>
        </w:rPr>
        <w:t>】。</w:t>
      </w:r>
    </w:p>
    <w:p w14:paraId="13678A32">
      <w:pPr>
        <w:tabs>
          <w:tab w:val="left" w:pos="8820"/>
          <w:tab w:val="left" w:pos="9345"/>
          <w:tab w:val="left" w:pos="9765"/>
        </w:tabs>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 合同标的及金额</w:t>
      </w:r>
    </w:p>
    <w:p w14:paraId="30A19348">
      <w:pPr>
        <w:autoSpaceDE w:val="0"/>
        <w:autoSpaceDN w:val="0"/>
        <w:snapToGrid w:val="0"/>
        <w:spacing w:line="360" w:lineRule="auto"/>
        <w:ind w:firstLine="480" w:firstLineChars="200"/>
        <w:jc w:val="left"/>
        <w:rPr>
          <w:rFonts w:ascii="宋体" w:hAnsi="宋体"/>
          <w:b/>
          <w:bCs/>
          <w:i/>
          <w:iCs/>
          <w:color w:val="auto"/>
          <w:sz w:val="24"/>
          <w:highlight w:val="none"/>
        </w:rPr>
      </w:pPr>
      <w:r>
        <w:rPr>
          <w:rFonts w:hint="eastAsia" w:ascii="宋体" w:hAnsi="宋体"/>
          <w:color w:val="auto"/>
          <w:sz w:val="24"/>
          <w:highlight w:val="none"/>
        </w:rPr>
        <w:t>2.1 合同标的及金额应与中标（成交）结果一致。乙方为履行本合同而发生的所有费用均应包含在合同价款中，甲方不再另行支付其他任何费用。</w:t>
      </w:r>
    </w:p>
    <w:p w14:paraId="07126A6D">
      <w:pPr>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3. 履行合同的时间、地点和方式</w:t>
      </w:r>
    </w:p>
    <w:p w14:paraId="03A8CF13">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sz w:val="24"/>
          <w:highlight w:val="none"/>
        </w:rPr>
        <w:t>乙方应当在约定的时间、地点，按照约定方式履行合同。</w:t>
      </w:r>
    </w:p>
    <w:p w14:paraId="5C7512BE">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4. 甲方的权利和义务</w:t>
      </w:r>
    </w:p>
    <w:p w14:paraId="39207D4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4C08D80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4035303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4.3 甲方有权要求乙方对缺陷部分予以修复，并按合同约定享有货物保修及其他合同约定的权利。</w:t>
      </w:r>
    </w:p>
    <w:p w14:paraId="0CA8B3A7">
      <w:pPr>
        <w:adjustRightInd/>
        <w:snapToGrid w:val="0"/>
        <w:spacing w:line="360" w:lineRule="auto"/>
        <w:ind w:firstLine="480" w:firstLineChars="200"/>
        <w:rPr>
          <w:rFonts w:eastAsia="华文楷体"/>
          <w:color w:val="auto"/>
          <w:sz w:val="24"/>
          <w:highlight w:val="none"/>
        </w:rPr>
      </w:pPr>
      <w:r>
        <w:rPr>
          <w:rFonts w:hint="eastAsia" w:ascii="宋体" w:hAnsi="宋体"/>
          <w:color w:val="auto"/>
          <w:sz w:val="24"/>
          <w:highlight w:val="none"/>
        </w:rPr>
        <w:t>4.4 甲方应当按照合同约定及时对交付的货物进行验收，</w:t>
      </w:r>
      <w:r>
        <w:rPr>
          <w:rFonts w:hint="eastAsia" w:ascii="宋体" w:hAnsi="宋体" w:cs="宋体"/>
          <w:color w:val="auto"/>
          <w:sz w:val="24"/>
          <w:highlight w:val="none"/>
        </w:rPr>
        <w:t>未</w:t>
      </w:r>
      <w:r>
        <w:rPr>
          <w:rFonts w:hint="eastAsia" w:ascii="宋体" w:hAnsi="宋体"/>
          <w:color w:val="auto"/>
          <w:sz w:val="24"/>
          <w:highlight w:val="none"/>
        </w:rPr>
        <w:t>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约定的期限内对乙方履约提出任何异议或者向乙方作出任何说明的，</w:t>
      </w:r>
      <w:r>
        <w:rPr>
          <w:rFonts w:hint="eastAsia" w:ascii="宋体" w:hAnsi="宋体"/>
          <w:color w:val="auto"/>
          <w:sz w:val="24"/>
          <w:highlight w:val="none"/>
        </w:rPr>
        <w:t>视为验收通过。</w:t>
      </w:r>
    </w:p>
    <w:p w14:paraId="0FEE305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4.5 甲方应当根据合同约定及时向乙方支付合同价款，不得以内部人员变更、履行内部付款流程等为由，拒绝或迟延支付。</w:t>
      </w:r>
    </w:p>
    <w:p w14:paraId="62767DC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4.6 国家法律法规规定及</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约定应由甲方承担的其他义务和责任。</w:t>
      </w:r>
    </w:p>
    <w:p w14:paraId="402FEE13">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5. 乙方的权利和义务</w:t>
      </w:r>
    </w:p>
    <w:p w14:paraId="62DFB7D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5.1 签署合同后，乙方应确定项目负责人（或项目联系人），负责与本合同有关的事务。</w:t>
      </w:r>
    </w:p>
    <w:p w14:paraId="6307DCB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E9F8075">
      <w:pPr>
        <w:adjustRightInd/>
        <w:spacing w:line="360" w:lineRule="auto"/>
        <w:ind w:firstLine="422" w:firstLineChars="176"/>
        <w:outlineLvl w:val="3"/>
        <w:rPr>
          <w:rFonts w:ascii="宋体" w:hAnsi="宋体" w:cs="宋体"/>
          <w:color w:val="auto"/>
          <w:sz w:val="24"/>
          <w:highlight w:val="none"/>
        </w:rPr>
      </w:pPr>
      <w:r>
        <w:rPr>
          <w:rFonts w:hint="eastAsia" w:ascii="宋体" w:hAnsi="宋体"/>
          <w:color w:val="auto"/>
          <w:sz w:val="24"/>
          <w:highlight w:val="none"/>
        </w:rPr>
        <w:t>5.3乙方有权</w:t>
      </w:r>
      <w:r>
        <w:rPr>
          <w:rFonts w:hint="eastAsia" w:ascii="宋体" w:hAnsi="宋体" w:cs="宋体"/>
          <w:color w:val="auto"/>
          <w:sz w:val="24"/>
          <w:highlight w:val="none"/>
        </w:rPr>
        <w:t>根据合同约定向甲方收取合同价款。</w:t>
      </w:r>
    </w:p>
    <w:p w14:paraId="549F11B0">
      <w:pPr>
        <w:adjustRightInd/>
        <w:spacing w:line="360" w:lineRule="auto"/>
        <w:ind w:firstLine="422" w:firstLineChars="176"/>
        <w:rPr>
          <w:rFonts w:ascii="宋体" w:hAnsi="宋体" w:cs="宋体"/>
          <w:color w:val="auto"/>
          <w:sz w:val="24"/>
          <w:highlight w:val="none"/>
        </w:rPr>
      </w:pPr>
      <w:r>
        <w:rPr>
          <w:rFonts w:hint="eastAsia" w:ascii="宋体" w:hAnsi="宋体"/>
          <w:color w:val="auto"/>
          <w:sz w:val="24"/>
          <w:highlight w:val="none"/>
        </w:rPr>
        <w:t>5.4</w:t>
      </w:r>
      <w:r>
        <w:rPr>
          <w:rFonts w:hint="eastAsia" w:ascii="宋体" w:hAnsi="宋体" w:cs="宋体"/>
          <w:color w:val="auto"/>
          <w:sz w:val="24"/>
          <w:highlight w:val="none"/>
        </w:rPr>
        <w:t>国家法律法规规定</w:t>
      </w:r>
      <w:r>
        <w:rPr>
          <w:rFonts w:hint="eastAsia" w:ascii="宋体" w:hAnsi="宋体"/>
          <w:color w:val="auto"/>
          <w:sz w:val="24"/>
          <w:highlight w:val="none"/>
        </w:rPr>
        <w:t>及</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约定应由乙方承担的其他义务和责任。</w:t>
      </w:r>
    </w:p>
    <w:p w14:paraId="5186BC98">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6.合同履行</w:t>
      </w:r>
    </w:p>
    <w:p w14:paraId="32B3F15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6.1 甲乙双方应当按照</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约定顺序履行合同义务；如果没有先后顺序的，应当同时履行。</w:t>
      </w:r>
    </w:p>
    <w:p w14:paraId="6F751A52">
      <w:pPr>
        <w:autoSpaceDE w:val="0"/>
        <w:autoSpaceDN w:val="0"/>
        <w:snapToGrid w:val="0"/>
        <w:spacing w:line="360" w:lineRule="auto"/>
        <w:ind w:firstLine="480" w:firstLineChars="200"/>
        <w:jc w:val="left"/>
        <w:rPr>
          <w:color w:val="auto"/>
          <w:sz w:val="24"/>
          <w:highlight w:val="none"/>
        </w:rPr>
      </w:pPr>
      <w:r>
        <w:rPr>
          <w:rFonts w:hint="eastAsia" w:ascii="宋体" w:hAnsi="宋体"/>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73513992">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6B4DD43F">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7.1 本合同</w:t>
      </w:r>
      <w:r>
        <w:rPr>
          <w:rFonts w:hint="eastAsia" w:ascii="宋体" w:hAnsi="宋体"/>
          <w:bCs/>
          <w:color w:val="auto"/>
          <w:sz w:val="24"/>
          <w:highlight w:val="none"/>
        </w:rPr>
        <w:t>涉及商品包装、快递包装的，</w:t>
      </w:r>
      <w:r>
        <w:rPr>
          <w:rFonts w:hint="eastAsia" w:ascii="宋体" w:hAnsi="宋体"/>
          <w:color w:val="auto"/>
          <w:sz w:val="24"/>
          <w:highlight w:val="none"/>
        </w:rPr>
        <w:t>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包装应适应远距离运输、防潮、防震、防锈和防野蛮装卸等要求，确保货物安全无损地运抵</w:t>
      </w:r>
      <w:r>
        <w:rPr>
          <w:rFonts w:hint="eastAsia" w:ascii="宋体" w:hAnsi="宋体"/>
          <w:b/>
          <w:color w:val="auto"/>
          <w:sz w:val="24"/>
          <w:highlight w:val="none"/>
        </w:rPr>
        <w:t>【政府采购合同专用条款】</w:t>
      </w:r>
      <w:r>
        <w:rPr>
          <w:rFonts w:hint="eastAsia" w:ascii="宋体" w:hAnsi="宋体"/>
          <w:bCs/>
          <w:color w:val="auto"/>
          <w:sz w:val="24"/>
          <w:highlight w:val="none"/>
        </w:rPr>
        <w:t>约定的</w:t>
      </w:r>
      <w:r>
        <w:rPr>
          <w:rFonts w:hint="eastAsia" w:ascii="宋体" w:hAnsi="宋体"/>
          <w:color w:val="auto"/>
          <w:sz w:val="24"/>
          <w:highlight w:val="none"/>
        </w:rPr>
        <w:t>指定现场。</w:t>
      </w:r>
    </w:p>
    <w:p w14:paraId="40A32A5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 除</w:t>
      </w:r>
      <w:r>
        <w:rPr>
          <w:rFonts w:hint="eastAsia" w:ascii="宋体" w:hAnsi="宋体"/>
          <w:b/>
          <w:color w:val="auto"/>
          <w:sz w:val="24"/>
          <w:highlight w:val="none"/>
        </w:rPr>
        <w:t>【政府采购合同专用条款】</w:t>
      </w:r>
      <w:r>
        <w:rPr>
          <w:rFonts w:hint="eastAsia" w:ascii="宋体" w:hAnsi="宋体"/>
          <w:bCs/>
          <w:color w:val="auto"/>
          <w:sz w:val="24"/>
          <w:highlight w:val="none"/>
        </w:rPr>
        <w:t>另有约定外，</w:t>
      </w:r>
      <w:r>
        <w:rPr>
          <w:rFonts w:hint="eastAsia" w:ascii="宋体" w:hAnsi="宋体"/>
          <w:color w:val="auto"/>
          <w:sz w:val="24"/>
          <w:highlight w:val="none"/>
        </w:rPr>
        <w:t>乙方负责办理将货物运抵本合同规定的交货地点，并装卸、交付至甲方的一切运输事项，相关费用应包含在合同价款中。</w:t>
      </w:r>
    </w:p>
    <w:p w14:paraId="1AACA09D">
      <w:pPr>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7.3 货物保险要求按</w:t>
      </w:r>
      <w:r>
        <w:rPr>
          <w:rFonts w:hint="eastAsia" w:ascii="宋体" w:hAnsi="宋体"/>
          <w:b/>
          <w:color w:val="auto"/>
          <w:sz w:val="24"/>
          <w:highlight w:val="none"/>
        </w:rPr>
        <w:t>【政府采购合同专用条款】</w:t>
      </w:r>
      <w:r>
        <w:rPr>
          <w:rFonts w:hint="eastAsia" w:ascii="宋体" w:hAnsi="宋体"/>
          <w:bCs/>
          <w:color w:val="auto"/>
          <w:sz w:val="24"/>
          <w:highlight w:val="none"/>
        </w:rPr>
        <w:t>规定执行</w:t>
      </w:r>
      <w:r>
        <w:rPr>
          <w:rFonts w:hint="eastAsia" w:ascii="宋体" w:hAnsi="宋体"/>
          <w:color w:val="auto"/>
          <w:sz w:val="24"/>
          <w:highlight w:val="none"/>
        </w:rPr>
        <w:t>。</w:t>
      </w:r>
    </w:p>
    <w:p w14:paraId="4B37009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B6B5AA7">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7.5 </w:t>
      </w:r>
      <w:r>
        <w:rPr>
          <w:rFonts w:hint="eastAsia" w:ascii="宋体" w:hAnsi="宋体" w:cs="宋体"/>
          <w:color w:val="auto"/>
          <w:sz w:val="24"/>
          <w:highlight w:val="none"/>
        </w:rPr>
        <w:t>乙方在运输到达之前应提前通知甲方，并提示货物运输装卸的注意事项，甲方配合乙方做好货物的接收工作。</w:t>
      </w:r>
    </w:p>
    <w:p w14:paraId="744C5216">
      <w:pPr>
        <w:widowControl/>
        <w:autoSpaceDE w:val="0"/>
        <w:autoSpaceDN w:val="0"/>
        <w:spacing w:line="360" w:lineRule="auto"/>
        <w:ind w:firstLine="480" w:firstLineChars="200"/>
        <w:jc w:val="left"/>
        <w:rPr>
          <w:rFonts w:ascii="华文楷体" w:hAnsi="华文楷体" w:eastAsia="华文楷体" w:cs="华文楷体"/>
          <w:color w:val="auto"/>
          <w:kern w:val="0"/>
          <w:sz w:val="24"/>
          <w:highlight w:val="none"/>
        </w:rPr>
      </w:pPr>
      <w:r>
        <w:rPr>
          <w:rFonts w:hint="eastAsia" w:ascii="宋体" w:hAnsi="宋体"/>
          <w:color w:val="auto"/>
          <w:sz w:val="24"/>
          <w:highlight w:val="none"/>
        </w:rPr>
        <w:t>7.6 如因包装、运输问题导致货物损毁、丢失或者品质下降，甲方有权要求降价、换货、拒收部分或整批货物，由此产生的费用和损失，均由乙方承担。</w:t>
      </w:r>
    </w:p>
    <w:p w14:paraId="7F7667F3">
      <w:pPr>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8. 质量标准和保证</w:t>
      </w:r>
    </w:p>
    <w:p w14:paraId="6B25218E">
      <w:pPr>
        <w:snapToGrid w:val="0"/>
        <w:spacing w:line="360" w:lineRule="auto"/>
        <w:ind w:firstLine="480" w:firstLineChars="200"/>
        <w:jc w:val="left"/>
        <w:outlineLvl w:val="3"/>
        <w:rPr>
          <w:rFonts w:ascii="宋体" w:hAnsi="宋体" w:cs="Courier New"/>
          <w:b/>
          <w:color w:val="auto"/>
          <w:sz w:val="24"/>
          <w:highlight w:val="none"/>
        </w:rPr>
      </w:pPr>
      <w:r>
        <w:rPr>
          <w:rFonts w:hint="eastAsia" w:ascii="宋体" w:hAnsi="宋体" w:cs="Courier New"/>
          <w:color w:val="auto"/>
          <w:sz w:val="24"/>
          <w:highlight w:val="none"/>
        </w:rPr>
        <w:t>8.1 质量标准</w:t>
      </w:r>
    </w:p>
    <w:p w14:paraId="5F1D146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（1）本合同下提供的货物应符合合同</w:t>
      </w:r>
      <w:r>
        <w:rPr>
          <w:rFonts w:hint="eastAsia" w:ascii="宋体" w:hAnsi="宋体" w:cs="宋体"/>
          <w:color w:val="auto"/>
          <w:sz w:val="24"/>
          <w:highlight w:val="none"/>
        </w:rPr>
        <w:t>约定的品牌、规格型号、技术性能、配置、质量、数量等要求。</w:t>
      </w:r>
      <w:r>
        <w:rPr>
          <w:rFonts w:hint="eastAsia" w:ascii="宋体" w:hAnsi="宋体"/>
          <w:color w:val="auto"/>
          <w:sz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C8AAC7">
      <w:pPr>
        <w:snapToGrid w:val="0"/>
        <w:spacing w:line="360" w:lineRule="auto"/>
        <w:ind w:firstLine="480" w:firstLineChars="200"/>
        <w:jc w:val="left"/>
        <w:rPr>
          <w:rFonts w:ascii="宋体" w:hAnsi="宋体" w:cs="Courier New"/>
          <w:color w:val="auto"/>
          <w:sz w:val="24"/>
          <w:highlight w:val="none"/>
        </w:rPr>
      </w:pPr>
      <w:r>
        <w:rPr>
          <w:rFonts w:hint="eastAsia" w:ascii="宋体" w:hAnsi="宋体" w:cs="Courier New"/>
          <w:color w:val="auto"/>
          <w:sz w:val="24"/>
          <w:highlight w:val="none"/>
        </w:rPr>
        <w:t>（2）采用中华人民共和国法定计量单位。</w:t>
      </w:r>
    </w:p>
    <w:p w14:paraId="01B6A73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（3）乙方所提供的货物应符合国家有关安全、环保、卫生的规定。</w:t>
      </w:r>
    </w:p>
    <w:p w14:paraId="5A1BB61E">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0FF299E9">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8.2 保证</w:t>
      </w:r>
    </w:p>
    <w:p w14:paraId="197FF7A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（1）乙方应保证提供的货物完全符合合同规定的质量、规格和性能要求。乙方应保证货物在正确安装、正常使用和保养条件下，</w:t>
      </w:r>
      <w:r>
        <w:rPr>
          <w:rFonts w:hint="eastAsia" w:ascii="宋体" w:hAnsi="宋体" w:cs="宋体"/>
          <w:color w:val="auto"/>
          <w:sz w:val="24"/>
          <w:highlight w:val="none"/>
        </w:rPr>
        <w:t>在其使用寿命期内具备合同约定的性能</w:t>
      </w:r>
      <w:r>
        <w:rPr>
          <w:rFonts w:hint="eastAsia" w:ascii="宋体" w:hAnsi="宋体"/>
          <w:color w:val="auto"/>
          <w:sz w:val="24"/>
          <w:highlight w:val="none"/>
        </w:rPr>
        <w:t>。存在质量保证期的，货物最终交付验收合格后在</w:t>
      </w:r>
      <w:r>
        <w:rPr>
          <w:rFonts w:hint="eastAsia" w:ascii="宋体" w:hAnsi="宋体"/>
          <w:b/>
          <w:color w:val="auto"/>
          <w:sz w:val="24"/>
          <w:highlight w:val="none"/>
        </w:rPr>
        <w:t>【政府采购合同专用条款】</w:t>
      </w:r>
      <w:r>
        <w:rPr>
          <w:rFonts w:hint="eastAsia" w:ascii="宋体" w:hAnsi="宋体"/>
          <w:color w:val="auto"/>
          <w:sz w:val="24"/>
          <w:highlight w:val="none"/>
        </w:rPr>
        <w:t>规定或乙方书面承诺（两者以较长的为准）的质量保证期内，本保证保持有效。</w:t>
      </w:r>
    </w:p>
    <w:p w14:paraId="3A134B9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（2）在质量保证期内所发现的缺陷，甲方应尽快以书面形式通知乙方。</w:t>
      </w:r>
    </w:p>
    <w:p w14:paraId="21BB376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（3）乙方收到通知后，应在</w:t>
      </w:r>
      <w:r>
        <w:rPr>
          <w:rFonts w:hint="eastAsia" w:ascii="宋体" w:hAnsi="宋体"/>
          <w:b/>
          <w:color w:val="auto"/>
          <w:sz w:val="24"/>
          <w:highlight w:val="none"/>
        </w:rPr>
        <w:t>【政府采购合同专用条款】</w:t>
      </w:r>
      <w:r>
        <w:rPr>
          <w:rFonts w:hint="eastAsia" w:ascii="宋体" w:hAnsi="宋体"/>
          <w:color w:val="auto"/>
          <w:sz w:val="24"/>
          <w:highlight w:val="none"/>
        </w:rPr>
        <w:t>规定的响应时间内以合理的速度免费维修或更换有缺陷的货物或部件。</w:t>
      </w:r>
    </w:p>
    <w:p w14:paraId="6CE86E89">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0E7A4D74">
      <w:pPr>
        <w:snapToGrid w:val="0"/>
        <w:spacing w:line="360" w:lineRule="auto"/>
        <w:ind w:firstLine="480" w:firstLineChars="200"/>
        <w:jc w:val="left"/>
        <w:rPr>
          <w:color w:val="auto"/>
          <w:sz w:val="24"/>
          <w:highlight w:val="none"/>
        </w:rPr>
      </w:pPr>
      <w:r>
        <w:rPr>
          <w:rFonts w:hint="eastAsia" w:ascii="宋体" w:hAnsi="宋体"/>
          <w:color w:val="auto"/>
          <w:sz w:val="24"/>
          <w:highlight w:val="none"/>
        </w:rPr>
        <w:t>（5）乙方在约定的时间内未能弥补缺陷，甲方可采取必要的补救措施，但其风险和费用将由乙方承担，甲方根据合同约定对乙方行使的其他权利不受影响。</w:t>
      </w:r>
    </w:p>
    <w:p w14:paraId="5626E0B1">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9. 权利瑕疵担保</w:t>
      </w:r>
    </w:p>
    <w:p w14:paraId="5FC00F6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9.1 乙方保证对其出售的货物享有合法的权利。</w:t>
      </w:r>
    </w:p>
    <w:p w14:paraId="2C0B1A54">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9.2 </w:t>
      </w:r>
      <w:r>
        <w:rPr>
          <w:rFonts w:hint="eastAsia" w:ascii="宋体" w:hAnsi="宋体" w:cs="宋体"/>
          <w:color w:val="auto"/>
          <w:sz w:val="24"/>
          <w:highlight w:val="none"/>
        </w:rPr>
        <w:t>乙方保证在交付的货物上不存在抵押权等担保物权。</w:t>
      </w:r>
    </w:p>
    <w:p w14:paraId="0E5D794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9.3 如甲方使用上述货物构成对第三人侵权的，则由乙方承担全部责任。</w:t>
      </w:r>
    </w:p>
    <w:p w14:paraId="6231493A">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10. 知识产权保护</w:t>
      </w:r>
    </w:p>
    <w:p w14:paraId="06E35EC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10.1 乙方对其所销售的货物应当享有知识产权或经权利人合法授权，保证没有侵犯任何第三人的知识产权等权利。</w:t>
      </w:r>
      <w:bookmarkStart w:id="447" w:name="_Hlk163047038"/>
      <w:r>
        <w:rPr>
          <w:rFonts w:hint="eastAsia" w:ascii="宋体" w:hAnsi="宋体" w:cs="宋体"/>
          <w:color w:val="auto"/>
          <w:sz w:val="24"/>
          <w:highlight w:val="none"/>
        </w:rPr>
        <w:t>因违反前述约定对第三人构成侵权的，应当由乙方向第三人承担法律责任；甲方依法向第三人赔偿后，有权向乙方追偿。甲方有其他损失的，乙方应当赔偿</w:t>
      </w:r>
      <w:bookmarkEnd w:id="447"/>
      <w:r>
        <w:rPr>
          <w:rFonts w:hint="eastAsia" w:ascii="宋体" w:hAnsi="宋体"/>
          <w:color w:val="auto"/>
          <w:sz w:val="24"/>
          <w:highlight w:val="none"/>
        </w:rPr>
        <w:t>。</w:t>
      </w:r>
    </w:p>
    <w:p w14:paraId="67FB593D">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11. 保密义务</w:t>
      </w:r>
    </w:p>
    <w:p w14:paraId="4631EDFD">
      <w:pPr>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中约定。</w:t>
      </w:r>
    </w:p>
    <w:p w14:paraId="0628D633">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12. 合同价款支付</w:t>
      </w:r>
    </w:p>
    <w:p w14:paraId="0D11D3B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12.1 合同价款支付按照国库集中支付制度及财政管理相关规定执行。</w:t>
      </w:r>
    </w:p>
    <w:p w14:paraId="45D47787">
      <w:pPr>
        <w:keepNext/>
        <w:keepLines/>
        <w:adjustRightInd/>
        <w:spacing w:line="360" w:lineRule="auto"/>
        <w:ind w:firstLine="480" w:firstLineChars="200"/>
        <w:rPr>
          <w:rFonts w:ascii="Arial" w:hAnsi="Arial"/>
          <w:b/>
          <w:bCs/>
          <w:color w:val="auto"/>
          <w:sz w:val="24"/>
          <w:highlight w:val="none"/>
        </w:rPr>
      </w:pPr>
      <w:r>
        <w:rPr>
          <w:rFonts w:hint="eastAsia" w:ascii="宋体" w:hAnsi="宋体"/>
          <w:color w:val="auto"/>
          <w:sz w:val="24"/>
          <w:highlight w:val="none"/>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 w:val="24"/>
          <w:highlight w:val="none"/>
        </w:rPr>
        <w:t>政府采购合同专用条款</w:t>
      </w:r>
      <w:r>
        <w:rPr>
          <w:rFonts w:hint="eastAsia" w:ascii="宋体" w:hAnsi="宋体"/>
          <w:color w:val="auto"/>
          <w:sz w:val="24"/>
          <w:highlight w:val="none"/>
        </w:rPr>
        <w:t>】中约定。</w:t>
      </w:r>
    </w:p>
    <w:p w14:paraId="316D7861">
      <w:pPr>
        <w:adjustRightInd/>
        <w:spacing w:line="360" w:lineRule="auto"/>
        <w:outlineLvl w:val="2"/>
        <w:rPr>
          <w:rFonts w:ascii="宋体" w:hAnsi="宋体"/>
          <w:b/>
          <w:bCs/>
          <w:color w:val="auto"/>
          <w:sz w:val="24"/>
          <w:highlight w:val="none"/>
        </w:rPr>
      </w:pPr>
      <w:r>
        <w:rPr>
          <w:rFonts w:hint="eastAsia" w:ascii="宋体" w:hAnsi="宋体"/>
          <w:b/>
          <w:bCs/>
          <w:color w:val="auto"/>
          <w:sz w:val="24"/>
          <w:highlight w:val="none"/>
        </w:rPr>
        <w:t>13. 履约保证金</w:t>
      </w:r>
    </w:p>
    <w:p w14:paraId="28E6F9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13.1 </w:t>
      </w:r>
      <w:r>
        <w:rPr>
          <w:rFonts w:hint="eastAsia" w:ascii="宋体" w:hAnsi="宋体" w:cs="宋体"/>
          <w:color w:val="auto"/>
          <w:sz w:val="24"/>
          <w:highlight w:val="none"/>
        </w:rPr>
        <w:t>乙方应当以支票、汇票、本票或者金融机构、担保机构出具的保函等非现金形式提交。</w:t>
      </w:r>
    </w:p>
    <w:p w14:paraId="0228386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13.2 如果乙方出现</w:t>
      </w:r>
      <w:r>
        <w:rPr>
          <w:rFonts w:hint="eastAsia" w:ascii="宋体" w:hAnsi="宋体" w:cs="宋体"/>
          <w:b/>
          <w:bCs/>
          <w:color w:val="auto"/>
          <w:sz w:val="24"/>
          <w:highlight w:val="none"/>
        </w:rPr>
        <w:t>【政府采购合同专用条款】</w:t>
      </w:r>
      <w:r>
        <w:rPr>
          <w:rFonts w:hint="eastAsia" w:ascii="宋体" w:hAnsi="宋体" w:cs="宋体"/>
          <w:color w:val="auto"/>
          <w:sz w:val="24"/>
          <w:highlight w:val="none"/>
        </w:rPr>
        <w:t>约定情形的</w:t>
      </w:r>
      <w:r>
        <w:rPr>
          <w:rFonts w:hint="eastAsia" w:ascii="宋体" w:hAnsi="宋体"/>
          <w:color w:val="auto"/>
          <w:sz w:val="24"/>
          <w:highlight w:val="none"/>
        </w:rPr>
        <w:t>，履约保证金不予退还；如果乙方未能按合同约定全面履行义务，甲方有权从履约保证金中取得补偿或赔偿，且不影响甲方要求乙方承担合同约定的超过履约保证金的违约责任的权利。</w:t>
      </w:r>
    </w:p>
    <w:p w14:paraId="73D660A2">
      <w:pPr>
        <w:adjustRightInd/>
        <w:spacing w:line="360" w:lineRule="auto"/>
        <w:ind w:firstLine="420"/>
        <w:rPr>
          <w:color w:val="auto"/>
          <w:sz w:val="24"/>
          <w:highlight w:val="none"/>
        </w:rPr>
      </w:pPr>
      <w:r>
        <w:rPr>
          <w:rFonts w:hint="eastAsia" w:ascii="宋体" w:hAnsi="宋体"/>
          <w:color w:val="auto"/>
          <w:sz w:val="24"/>
          <w:highlight w:val="none"/>
        </w:rPr>
        <w:t>13.3 甲方在项目通过验收后按照</w:t>
      </w:r>
      <w:r>
        <w:rPr>
          <w:rFonts w:hint="eastAsia" w:ascii="宋体" w:hAnsi="宋体"/>
          <w:b/>
          <w:color w:val="auto"/>
          <w:sz w:val="24"/>
          <w:highlight w:val="none"/>
        </w:rPr>
        <w:t>【政府采购合同专用条款】</w:t>
      </w:r>
      <w:r>
        <w:rPr>
          <w:rFonts w:hint="eastAsia" w:ascii="宋体" w:hAnsi="宋体"/>
          <w:color w:val="auto"/>
          <w:sz w:val="24"/>
          <w:highlight w:val="none"/>
        </w:rPr>
        <w:t>规定的时间内将履约保证金退还乙方；逾期退还的，乙方可要求甲方支付违约金，违约金按照</w:t>
      </w:r>
      <w:r>
        <w:rPr>
          <w:rFonts w:hint="eastAsia" w:ascii="宋体" w:hAnsi="宋体"/>
          <w:b/>
          <w:color w:val="auto"/>
          <w:sz w:val="24"/>
          <w:highlight w:val="none"/>
        </w:rPr>
        <w:t>【政府采购合同专用条款】</w:t>
      </w:r>
      <w:r>
        <w:rPr>
          <w:rFonts w:hint="eastAsia" w:ascii="宋体" w:hAnsi="宋体"/>
          <w:color w:val="auto"/>
          <w:sz w:val="24"/>
          <w:highlight w:val="none"/>
        </w:rPr>
        <w:t>规定支付。</w:t>
      </w:r>
    </w:p>
    <w:p w14:paraId="31433109">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5D68D84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14.1 除项目不涉及或采购活动中明确约定无须承担外，乙方还应提供下列服务：</w:t>
      </w:r>
    </w:p>
    <w:p w14:paraId="1A07139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（1）货物的现场移动、安装、调试、启动监督及技术支持；</w:t>
      </w:r>
    </w:p>
    <w:p w14:paraId="5A2F66F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（2）提供货物组装和维修所需的专用工具和辅助材料；</w:t>
      </w:r>
    </w:p>
    <w:p w14:paraId="6A3C8D0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（3）在</w:t>
      </w:r>
      <w:r>
        <w:rPr>
          <w:rFonts w:hint="eastAsia" w:ascii="宋体" w:hAnsi="宋体" w:cs="宋体"/>
          <w:b/>
          <w:bCs/>
          <w:color w:val="auto"/>
          <w:sz w:val="24"/>
          <w:highlight w:val="none"/>
        </w:rPr>
        <w:t>【政府采购合同专用条款】</w:t>
      </w:r>
      <w:r>
        <w:rPr>
          <w:rFonts w:hint="eastAsia" w:ascii="宋体" w:hAnsi="宋体"/>
          <w:color w:val="auto"/>
          <w:sz w:val="24"/>
          <w:highlight w:val="none"/>
        </w:rPr>
        <w:t>约定的期限内对所有的货物实施运行监督、维修，但前提条件是该服务并不能免除乙方在质量保证期内所承担的义务；</w:t>
      </w:r>
    </w:p>
    <w:p w14:paraId="1ED8FC8A">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（4）在制造商所在地或指定现场就货物的安装、启动、运营、维护、废弃处置等对甲方操作人员进行培训</w:t>
      </w:r>
      <w:r>
        <w:rPr>
          <w:rFonts w:hint="eastAsia" w:ascii="宋体" w:hAnsi="宋体" w:cs="宋体"/>
          <w:color w:val="auto"/>
          <w:sz w:val="24"/>
          <w:highlight w:val="none"/>
        </w:rPr>
        <w:t>；</w:t>
      </w:r>
    </w:p>
    <w:p w14:paraId="3F678C58">
      <w:pPr>
        <w:widowControl/>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（5）依照法律、行政法规的规定或者按照</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约定，货物在有效使用年限届满后应予回收的，乙方负有自行或者委托第三人对货物予以回收的义务；</w:t>
      </w:r>
    </w:p>
    <w:p w14:paraId="1087CA47">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【政府采购合同专用条款】</w:t>
      </w:r>
      <w:r>
        <w:rPr>
          <w:rFonts w:hint="eastAsia" w:ascii="宋体" w:hAnsi="宋体"/>
          <w:color w:val="auto"/>
          <w:sz w:val="24"/>
          <w:highlight w:val="none"/>
        </w:rPr>
        <w:t>规定由乙方提供的其他服务。</w:t>
      </w:r>
    </w:p>
    <w:p w14:paraId="3E676B5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14.2 乙方提供的售后服务的费用已包含在合同价款中，甲方不再另行支付。</w:t>
      </w:r>
    </w:p>
    <w:p w14:paraId="161AFC78">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15. 违约责任</w:t>
      </w:r>
    </w:p>
    <w:p w14:paraId="27807011">
      <w:pPr>
        <w:snapToGrid w:val="0"/>
        <w:spacing w:line="360" w:lineRule="auto"/>
        <w:ind w:firstLine="480" w:firstLineChars="200"/>
        <w:jc w:val="left"/>
        <w:outlineLvl w:val="3"/>
        <w:rPr>
          <w:rFonts w:ascii="宋体" w:hAnsi="宋体"/>
          <w:bCs/>
          <w:color w:val="auto"/>
          <w:sz w:val="24"/>
          <w:highlight w:val="none"/>
        </w:rPr>
      </w:pPr>
      <w:r>
        <w:rPr>
          <w:rFonts w:hint="eastAsia" w:ascii="宋体" w:hAnsi="宋体"/>
          <w:bCs/>
          <w:color w:val="auto"/>
          <w:sz w:val="24"/>
          <w:highlight w:val="none"/>
        </w:rPr>
        <w:t>15.1质量瑕疵的违约责任</w:t>
      </w:r>
    </w:p>
    <w:p w14:paraId="25F1789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乙方提供的产品不符合合同约定的质量标准或存在产品质量缺陷，甲方有权要求乙方根据</w:t>
      </w:r>
      <w:r>
        <w:rPr>
          <w:rFonts w:hint="eastAsia" w:ascii="宋体" w:hAnsi="宋体"/>
          <w:b/>
          <w:color w:val="auto"/>
          <w:sz w:val="24"/>
          <w:highlight w:val="none"/>
        </w:rPr>
        <w:t>【政府采购合同专用条款】</w:t>
      </w:r>
      <w:r>
        <w:rPr>
          <w:rFonts w:hint="eastAsia" w:ascii="宋体" w:hAnsi="宋体"/>
          <w:bCs/>
          <w:color w:val="auto"/>
          <w:sz w:val="24"/>
          <w:highlight w:val="none"/>
        </w:rPr>
        <w:t>要求</w:t>
      </w:r>
      <w:r>
        <w:rPr>
          <w:rFonts w:hint="eastAsia" w:ascii="宋体" w:hAnsi="宋体"/>
          <w:color w:val="auto"/>
          <w:sz w:val="24"/>
          <w:highlight w:val="none"/>
        </w:rPr>
        <w:t>及时修理、重作、更换，并承担由此给甲方造成的损失。</w:t>
      </w:r>
    </w:p>
    <w:p w14:paraId="253204D8">
      <w:pPr>
        <w:autoSpaceDE w:val="0"/>
        <w:autoSpaceDN w:val="0"/>
        <w:snapToGrid w:val="0"/>
        <w:spacing w:line="360" w:lineRule="auto"/>
        <w:ind w:firstLine="480" w:firstLineChars="200"/>
        <w:jc w:val="left"/>
        <w:outlineLvl w:val="3"/>
        <w:rPr>
          <w:rFonts w:ascii="宋体" w:hAnsi="宋体"/>
          <w:bCs/>
          <w:color w:val="auto"/>
          <w:sz w:val="24"/>
          <w:highlight w:val="none"/>
        </w:rPr>
      </w:pPr>
      <w:r>
        <w:rPr>
          <w:rFonts w:hint="eastAsia" w:ascii="宋体" w:hAnsi="宋体"/>
          <w:bCs/>
          <w:color w:val="auto"/>
          <w:sz w:val="24"/>
          <w:highlight w:val="none"/>
        </w:rPr>
        <w:t>15.2 迟延交货的违约责任</w:t>
      </w:r>
    </w:p>
    <w:p w14:paraId="33055A1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F06BC2B">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 w:val="24"/>
          <w:highlight w:val="none"/>
        </w:rPr>
        <w:t>【政府采购合同专用条款】</w:t>
      </w:r>
      <w:r>
        <w:rPr>
          <w:rFonts w:hint="eastAsia" w:ascii="宋体" w:hAnsi="宋体"/>
          <w:color w:val="auto"/>
          <w:sz w:val="24"/>
          <w:highlight w:val="none"/>
        </w:rPr>
        <w:t>规定执行。如果涉及公共利益，且赔偿金额无法弥补公共利益损失，甲方可要求继续履行或者采取其他补救措施。</w:t>
      </w:r>
    </w:p>
    <w:p w14:paraId="1D9BAF07">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15.3 迟延支付的违约责任</w:t>
      </w:r>
    </w:p>
    <w:p w14:paraId="7BA4402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甲方存在迟延支付乙方合同款项的，应当承担</w:t>
      </w:r>
      <w:r>
        <w:rPr>
          <w:rFonts w:hint="eastAsia" w:ascii="宋体" w:hAnsi="宋体"/>
          <w:b/>
          <w:bCs/>
          <w:color w:val="auto"/>
          <w:sz w:val="24"/>
          <w:highlight w:val="none"/>
        </w:rPr>
        <w:t>【政府采购合同专用条款】</w:t>
      </w:r>
      <w:r>
        <w:rPr>
          <w:rFonts w:hint="eastAsia" w:ascii="宋体" w:hAnsi="宋体"/>
          <w:color w:val="auto"/>
          <w:sz w:val="24"/>
          <w:highlight w:val="none"/>
        </w:rPr>
        <w:t>规定的逾期付款利息。</w:t>
      </w:r>
    </w:p>
    <w:p w14:paraId="0C613EE5">
      <w:pPr>
        <w:snapToGrid w:val="0"/>
        <w:spacing w:line="360" w:lineRule="auto"/>
        <w:ind w:firstLine="480" w:firstLineChars="200"/>
        <w:jc w:val="left"/>
        <w:rPr>
          <w:rFonts w:ascii="宋体" w:hAnsi="宋体"/>
          <w:color w:val="auto"/>
          <w:sz w:val="24"/>
          <w:highlight w:val="none"/>
        </w:rPr>
      </w:pPr>
      <w:r>
        <w:rPr>
          <w:rFonts w:hint="eastAsia" w:ascii="宋体" w:hAnsi="宋体"/>
          <w:bCs/>
          <w:color w:val="auto"/>
          <w:sz w:val="24"/>
          <w:highlight w:val="none"/>
        </w:rPr>
        <w:t>15.4其他违约责任根据项目实际需要按</w:t>
      </w:r>
      <w:r>
        <w:rPr>
          <w:rFonts w:hint="eastAsia" w:ascii="宋体" w:hAnsi="宋体"/>
          <w:b/>
          <w:bCs/>
          <w:color w:val="auto"/>
          <w:sz w:val="24"/>
          <w:highlight w:val="none"/>
        </w:rPr>
        <w:t>【政府采购合同专用条款】</w:t>
      </w:r>
      <w:r>
        <w:rPr>
          <w:rFonts w:hint="eastAsia" w:ascii="宋体" w:hAnsi="宋体"/>
          <w:color w:val="auto"/>
          <w:sz w:val="24"/>
          <w:highlight w:val="none"/>
        </w:rPr>
        <w:t>规定执行。</w:t>
      </w:r>
    </w:p>
    <w:p w14:paraId="3A56002C">
      <w:pPr>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16. 合同变更、中止与终止</w:t>
      </w:r>
    </w:p>
    <w:p w14:paraId="038F5448">
      <w:pPr>
        <w:snapToGrid w:val="0"/>
        <w:spacing w:line="360" w:lineRule="auto"/>
        <w:jc w:val="left"/>
        <w:outlineLvl w:val="3"/>
        <w:rPr>
          <w:rFonts w:ascii="宋体" w:hAnsi="宋体"/>
          <w:color w:val="auto"/>
          <w:sz w:val="24"/>
          <w:highlight w:val="none"/>
        </w:rPr>
      </w:pPr>
      <w:r>
        <w:rPr>
          <w:rFonts w:hint="eastAsia" w:ascii="宋体" w:hAnsi="宋体"/>
          <w:color w:val="auto"/>
          <w:sz w:val="24"/>
          <w:highlight w:val="none"/>
        </w:rPr>
        <w:t xml:space="preserve">    16.1合同的变更</w:t>
      </w:r>
    </w:p>
    <w:p w14:paraId="537FEB63">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政府采购合同履行中，在不改变合同其他条款的前提下，甲方可以在合同价款10%的范围内追加与合同标的相同的货物，并就此与乙方协商一致后签订补充协议。</w:t>
      </w:r>
    </w:p>
    <w:p w14:paraId="506D83B0">
      <w:pPr>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16.2合同的中止</w:t>
      </w:r>
    </w:p>
    <w:p w14:paraId="12AF89DC">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（1）合同履行过程中因供应商就采购文件、采购过程或结果提起投诉的，甲方认为有必要的，可以中止合同的履行。</w:t>
      </w:r>
    </w:p>
    <w:p w14:paraId="24DF20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1DED85">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（3）乙方分立、合并或者变更住所的，应当及时以书面形式告知甲方。乙方没有及时告知甲方，致使合同履行发生困难的，甲方可以中止合同履行并要求乙方承担由此给甲方造成的损失。</w:t>
      </w:r>
    </w:p>
    <w:p w14:paraId="29CF53B0">
      <w:pPr>
        <w:adjustRightInd/>
        <w:snapToGrid w:val="0"/>
        <w:spacing w:line="360" w:lineRule="auto"/>
        <w:ind w:firstLine="480" w:firstLineChars="200"/>
        <w:jc w:val="left"/>
        <w:rPr>
          <w:color w:val="auto"/>
          <w:sz w:val="24"/>
          <w:highlight w:val="none"/>
        </w:rPr>
      </w:pPr>
      <w:r>
        <w:rPr>
          <w:rFonts w:hint="eastAsia" w:ascii="宋体" w:hAnsi="宋体"/>
          <w:color w:val="auto"/>
          <w:sz w:val="24"/>
          <w:highlight w:val="none"/>
        </w:rPr>
        <w:t>（4）甲方不得以行政区划调整、政府换届、机构或者职能调整以及相关责任人更替为由中止合同。</w:t>
      </w:r>
    </w:p>
    <w:p w14:paraId="6AE6AFB4">
      <w:pPr>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16.3合同的终止</w:t>
      </w:r>
    </w:p>
    <w:p w14:paraId="13463159">
      <w:pPr>
        <w:autoSpaceDE w:val="0"/>
        <w:autoSpaceDN w:val="0"/>
        <w:snapToGrid w:val="0"/>
        <w:spacing w:line="360" w:lineRule="auto"/>
        <w:ind w:firstLine="480" w:firstLineChars="200"/>
        <w:jc w:val="left"/>
        <w:outlineLvl w:val="4"/>
        <w:rPr>
          <w:rFonts w:ascii="宋体" w:hAnsi="宋体"/>
          <w:color w:val="auto"/>
          <w:sz w:val="24"/>
          <w:highlight w:val="none"/>
        </w:rPr>
      </w:pPr>
      <w:r>
        <w:rPr>
          <w:rFonts w:hint="eastAsia" w:ascii="宋体" w:hAnsi="宋体"/>
          <w:color w:val="auto"/>
          <w:sz w:val="24"/>
          <w:highlight w:val="none"/>
        </w:rPr>
        <w:t>（1）合同因有效期限届满而终止；</w:t>
      </w:r>
    </w:p>
    <w:p w14:paraId="525E4BD7">
      <w:pPr>
        <w:adjustRightInd/>
        <w:snapToGri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（2）乙方未按合同约定履行，构成根本性违约的，甲方有权终止合同，</w:t>
      </w:r>
      <w:r>
        <w:rPr>
          <w:rFonts w:hint="eastAsia" w:ascii="宋体" w:hAnsi="宋体" w:cs="宋体"/>
          <w:color w:val="auto"/>
          <w:sz w:val="24"/>
          <w:highlight w:val="none"/>
        </w:rPr>
        <w:t>并追究乙方的违约责任</w:t>
      </w:r>
      <w:r>
        <w:rPr>
          <w:rFonts w:hint="eastAsia" w:ascii="宋体" w:hAnsi="宋体"/>
          <w:color w:val="auto"/>
          <w:sz w:val="24"/>
          <w:highlight w:val="none"/>
        </w:rPr>
        <w:t>。</w:t>
      </w:r>
    </w:p>
    <w:p w14:paraId="35E6AE7F">
      <w:pPr>
        <w:widowControl/>
        <w:autoSpaceDE w:val="0"/>
        <w:autoSpaceDN w:val="0"/>
        <w:spacing w:line="360" w:lineRule="auto"/>
        <w:ind w:firstLine="480" w:firstLineChars="200"/>
        <w:jc w:val="left"/>
        <w:outlineLvl w:val="3"/>
        <w:rPr>
          <w:rFonts w:ascii="宋体" w:hAnsi="宋体" w:eastAsia="华文楷体" w:cs="华文楷体"/>
          <w:color w:val="auto"/>
          <w:kern w:val="0"/>
          <w:sz w:val="24"/>
          <w:highlight w:val="none"/>
        </w:rPr>
      </w:pPr>
      <w:r>
        <w:rPr>
          <w:rFonts w:hint="eastAsia" w:ascii="宋体" w:hAnsi="宋体" w:eastAsia="华文楷体" w:cs="华文楷体"/>
          <w:color w:val="auto"/>
          <w:kern w:val="0"/>
          <w:sz w:val="24"/>
          <w:highlight w:val="none"/>
        </w:rPr>
        <w:t xml:space="preserve">16.4 </w:t>
      </w:r>
      <w:r>
        <w:rPr>
          <w:rFonts w:hint="eastAsia" w:ascii="宋体" w:hAnsi="宋体"/>
          <w:color w:val="auto"/>
          <w:sz w:val="24"/>
          <w:highlight w:val="none"/>
        </w:rPr>
        <w:t>涉及国家利益、社会公共利益的情形</w:t>
      </w:r>
    </w:p>
    <w:p w14:paraId="47FCD0C7">
      <w:pPr>
        <w:widowControl/>
        <w:autoSpaceDE w:val="0"/>
        <w:autoSpaceDN w:val="0"/>
        <w:spacing w:line="360" w:lineRule="auto"/>
        <w:ind w:firstLine="480" w:firstLineChars="200"/>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政府采购合同继续履行将损害国家利益和社会公共利益的，双方当事人应当变更、中止或者终止合同。有过错的一方应当承担赔偿责任，双方都有过错的，各自承担相应的责任。</w:t>
      </w:r>
    </w:p>
    <w:p w14:paraId="305FC4E9">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17. 合同分包</w:t>
      </w:r>
    </w:p>
    <w:p w14:paraId="760FE6C0">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17.1 乙方不得将合同转包给其他供应商。涉及合同分包的，乙方应根据采购文件和投标（响应）文件规定进行合同分包。</w:t>
      </w:r>
    </w:p>
    <w:p w14:paraId="51E11CD6">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17.2 乙方执行政府采购政策向中小企业依法分包的，乙方应当按采购文件和投标（响应）文件签订分包意向协议，分包意向协议属于本合同组成部分。</w:t>
      </w:r>
    </w:p>
    <w:p w14:paraId="3013FB99">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18. 不可抗力</w:t>
      </w:r>
    </w:p>
    <w:p w14:paraId="73AFB095">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18.1 不可抗力是指合同双方不能预见、不能避免且不能克服的客观情况。</w:t>
      </w:r>
    </w:p>
    <w:p w14:paraId="404663ED">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18.2 任何一方对由于不可抗力造成的部分或全部不能履行合同不承担违约责任。但迟延履行后发生不可抗力的，不能免除责任。</w:t>
      </w:r>
    </w:p>
    <w:p w14:paraId="77467E51">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94D35D4">
      <w:pPr>
        <w:autoSpaceDE w:val="0"/>
        <w:autoSpaceDN w:val="0"/>
        <w:snapToGrid w:val="0"/>
        <w:spacing w:line="360" w:lineRule="auto"/>
        <w:jc w:val="left"/>
        <w:outlineLvl w:val="2"/>
        <w:rPr>
          <w:rFonts w:ascii="宋体" w:hAnsi="宋体"/>
          <w:b/>
          <w:bCs/>
          <w:color w:val="auto"/>
          <w:sz w:val="24"/>
          <w:highlight w:val="none"/>
        </w:rPr>
      </w:pPr>
      <w:r>
        <w:rPr>
          <w:rFonts w:hint="eastAsia" w:ascii="宋体" w:hAnsi="宋体"/>
          <w:b/>
          <w:bCs/>
          <w:color w:val="auto"/>
          <w:sz w:val="24"/>
          <w:highlight w:val="none"/>
        </w:rPr>
        <w:t>19. 解决争议的方法</w:t>
      </w:r>
    </w:p>
    <w:p w14:paraId="326B1FCD">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158DD3E">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19.2 选择仲裁的，应在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中明确仲裁机构及仲裁地；通过诉讼方式解决的，可以在</w:t>
      </w:r>
      <w:r>
        <w:rPr>
          <w:rFonts w:hint="eastAsia" w:ascii="宋体" w:hAnsi="宋体" w:cs="宋体"/>
          <w:b/>
          <w:bCs/>
          <w:color w:val="auto"/>
          <w:kern w:val="0"/>
          <w:sz w:val="24"/>
          <w:highlight w:val="none"/>
        </w:rPr>
        <w:t>【政府采购合同专用条款】</w:t>
      </w:r>
      <w:r>
        <w:rPr>
          <w:rFonts w:hint="eastAsia" w:ascii="宋体" w:hAnsi="宋体" w:cs="宋体"/>
          <w:color w:val="auto"/>
          <w:kern w:val="0"/>
          <w:sz w:val="24"/>
          <w:highlight w:val="none"/>
        </w:rPr>
        <w:t>中进一步约定选择与争议有实际联系的地点的人民法院管辖，但管辖法院的约定不得违反级别管辖和专属管辖的规定。</w:t>
      </w:r>
    </w:p>
    <w:p w14:paraId="52DA2EA0">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19.3 如甲乙双方有争议的事项不影响合同其他部分的履行，在争议解决期间，合同其他部分应当继续履行。</w:t>
      </w:r>
    </w:p>
    <w:p w14:paraId="1D4DA29A">
      <w:pPr>
        <w:autoSpaceDE w:val="0"/>
        <w:autoSpaceDN w:val="0"/>
        <w:snapToGrid w:val="0"/>
        <w:spacing w:line="360" w:lineRule="auto"/>
        <w:jc w:val="left"/>
        <w:outlineLvl w:val="2"/>
        <w:rPr>
          <w:rFonts w:ascii="宋体" w:hAnsi="宋体"/>
          <w:color w:val="auto"/>
          <w:sz w:val="24"/>
          <w:highlight w:val="none"/>
        </w:rPr>
      </w:pPr>
      <w:r>
        <w:rPr>
          <w:rFonts w:hint="eastAsia" w:ascii="宋体" w:hAnsi="宋体"/>
          <w:b/>
          <w:color w:val="auto"/>
          <w:sz w:val="24"/>
          <w:highlight w:val="none"/>
        </w:rPr>
        <w:t>20. 政府采购政策</w:t>
      </w:r>
    </w:p>
    <w:p w14:paraId="49131604">
      <w:pPr>
        <w:autoSpaceDE w:val="0"/>
        <w:autoSpaceDN w:val="0"/>
        <w:snapToGrid w:val="0"/>
        <w:spacing w:line="360" w:lineRule="auto"/>
        <w:ind w:firstLine="480" w:firstLineChars="200"/>
        <w:jc w:val="left"/>
        <w:outlineLvl w:val="3"/>
        <w:rPr>
          <w:rFonts w:ascii="宋体" w:hAnsi="宋体"/>
          <w:color w:val="auto"/>
          <w:sz w:val="24"/>
          <w:highlight w:val="none"/>
        </w:rPr>
      </w:pPr>
      <w:r>
        <w:rPr>
          <w:rFonts w:hint="eastAsia" w:ascii="宋体" w:hAnsi="宋体"/>
          <w:color w:val="auto"/>
          <w:sz w:val="24"/>
          <w:highlight w:val="none"/>
        </w:rPr>
        <w:t xml:space="preserve">20.1 </w:t>
      </w:r>
      <w:r>
        <w:rPr>
          <w:rFonts w:hint="eastAsia" w:ascii="宋体" w:hAnsi="宋体" w:cs="宋体"/>
          <w:color w:val="auto"/>
          <w:sz w:val="24"/>
          <w:highlight w:val="none"/>
          <w:lang w:val="en-GB"/>
        </w:rPr>
        <w:t>本合同应当按照规定执行政府采购政策。</w:t>
      </w:r>
    </w:p>
    <w:p w14:paraId="6EA83EB8">
      <w:pPr>
        <w:autoSpaceDE w:val="0"/>
        <w:autoSpaceDN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20.2 本合同依法执行政府采购政策的方式和内容，属于合同履约验收的范围。</w:t>
      </w:r>
      <w:r>
        <w:rPr>
          <w:rFonts w:hint="eastAsia" w:ascii="宋体" w:hAnsi="宋体" w:cs="宋体"/>
          <w:color w:val="auto"/>
          <w:sz w:val="24"/>
          <w:highlight w:val="none"/>
        </w:rPr>
        <w:t>甲乙双方</w:t>
      </w:r>
      <w:r>
        <w:rPr>
          <w:rFonts w:hint="eastAsia" w:ascii="宋体" w:hAnsi="宋体" w:cs="宋体"/>
          <w:color w:val="auto"/>
          <w:sz w:val="24"/>
          <w:highlight w:val="none"/>
          <w:lang w:val="en-GB"/>
        </w:rPr>
        <w:t>未按规定要求执行政府采购政策造成损失的</w:t>
      </w:r>
      <w:r>
        <w:rPr>
          <w:rFonts w:hint="eastAsia" w:ascii="宋体" w:hAnsi="宋体"/>
          <w:color w:val="auto"/>
          <w:sz w:val="24"/>
          <w:highlight w:val="none"/>
        </w:rPr>
        <w:t>，有过错的一方应当承担赔偿责任，双方都有过错的，各自承担相应的责任。</w:t>
      </w:r>
    </w:p>
    <w:p w14:paraId="5D00D249">
      <w:pPr>
        <w:adjustRightInd/>
        <w:spacing w:line="360" w:lineRule="auto"/>
        <w:ind w:firstLine="480" w:firstLineChars="200"/>
        <w:rPr>
          <w:rFonts w:ascii="Calibri" w:hAnsi="Calibri"/>
          <w:color w:val="auto"/>
          <w:sz w:val="24"/>
          <w:highlight w:val="none"/>
        </w:rPr>
      </w:pPr>
      <w:r>
        <w:rPr>
          <w:rFonts w:hint="eastAsia" w:ascii="宋体" w:hAnsi="宋体"/>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94DFEB2">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21. 法律适用</w:t>
      </w:r>
    </w:p>
    <w:p w14:paraId="6906E157">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21.1 本合同的订立、生效、解释、履行及与本合同有关的争议解决，均适用法律、行政法规。</w:t>
      </w:r>
    </w:p>
    <w:p w14:paraId="7F2A9B29">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21.2 本合同条款与法律、行政法规的强制性规定不一致的，双方当事人应按照法律、行政法规的强制性规定修改本合同的相关条款。</w:t>
      </w:r>
    </w:p>
    <w:p w14:paraId="2E2785A5">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22. 通知</w:t>
      </w:r>
    </w:p>
    <w:p w14:paraId="35472631">
      <w:pPr>
        <w:widowControl/>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22.1 本合同任何一方向对方发出的通知、信件、数据电文等，应当发送至本合同第一部分《政府采购合同协议书》所约定的通讯地址、联系人、联系电话或电子邮箱。</w:t>
      </w:r>
    </w:p>
    <w:p w14:paraId="0DEF9D95">
      <w:pPr>
        <w:widowControl/>
        <w:autoSpaceDE w:val="0"/>
        <w:autoSpaceDN w:val="0"/>
        <w:spacing w:line="360" w:lineRule="auto"/>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 xml:space="preserve">    22.2 一方当事人变更名称、住所、联系人、联系电话或电子邮箱等信息的，应当在变更后3日内及时书面通知对方，对方实际收到变更通知前的送达仍为有效送达。</w:t>
      </w:r>
    </w:p>
    <w:p w14:paraId="65C3A02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22.3本合同一方给另一方的通知均应采用书面形式，传真或快递送到本合同中规定的对方的地址和办理签收手续。</w:t>
      </w:r>
    </w:p>
    <w:p w14:paraId="1A76D56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22.4通知以送达之日或通知书中规定的生效之日起生效，两者中以较迟之日为准。</w:t>
      </w:r>
    </w:p>
    <w:p w14:paraId="40096B1E">
      <w:pPr>
        <w:autoSpaceDE w:val="0"/>
        <w:autoSpaceDN w:val="0"/>
        <w:snapToGrid w:val="0"/>
        <w:spacing w:line="360" w:lineRule="auto"/>
        <w:jc w:val="left"/>
        <w:outlineLvl w:val="2"/>
        <w:rPr>
          <w:rFonts w:ascii="宋体" w:hAnsi="宋体"/>
          <w:b/>
          <w:color w:val="auto"/>
          <w:sz w:val="24"/>
          <w:highlight w:val="none"/>
        </w:rPr>
      </w:pPr>
      <w:r>
        <w:rPr>
          <w:rFonts w:hint="eastAsia" w:ascii="宋体" w:hAnsi="宋体"/>
          <w:b/>
          <w:color w:val="auto"/>
          <w:sz w:val="24"/>
          <w:highlight w:val="none"/>
        </w:rPr>
        <w:t>23. 合同未尽事项</w:t>
      </w:r>
    </w:p>
    <w:p w14:paraId="0AF41D14">
      <w:pPr>
        <w:snapToGrid w:val="0"/>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23.1合同未尽事项见</w:t>
      </w:r>
      <w:r>
        <w:rPr>
          <w:rFonts w:hint="eastAsia" w:ascii="宋体" w:hAnsi="宋体"/>
          <w:b/>
          <w:color w:val="auto"/>
          <w:sz w:val="24"/>
          <w:highlight w:val="none"/>
        </w:rPr>
        <w:t>【政府采购合同专用条款】</w:t>
      </w:r>
      <w:r>
        <w:rPr>
          <w:rFonts w:hint="eastAsia" w:ascii="宋体" w:hAnsi="宋体"/>
          <w:bCs/>
          <w:color w:val="auto"/>
          <w:sz w:val="24"/>
          <w:highlight w:val="none"/>
        </w:rPr>
        <w:t>。</w:t>
      </w:r>
    </w:p>
    <w:p w14:paraId="64DBCABE">
      <w:pPr>
        <w:snapToGrid w:val="0"/>
        <w:spacing w:line="360" w:lineRule="auto"/>
        <w:jc w:val="left"/>
        <w:rPr>
          <w:rFonts w:ascii="黑体" w:hAnsi="华文中宋" w:eastAsia="黑体"/>
          <w:color w:val="auto"/>
          <w:sz w:val="24"/>
          <w:highlight w:val="none"/>
        </w:rPr>
      </w:pPr>
      <w:r>
        <w:rPr>
          <w:rFonts w:hint="eastAsia" w:ascii="宋体" w:hAnsi="宋体"/>
          <w:bCs/>
          <w:color w:val="auto"/>
          <w:sz w:val="24"/>
          <w:highlight w:val="none"/>
        </w:rPr>
        <w:t xml:space="preserve">    23.2 合同附件与合同正文具有同等的法律效力。</w:t>
      </w:r>
      <w:bookmarkStart w:id="448" w:name="_Toc20313"/>
      <w:r>
        <w:rPr>
          <w:rFonts w:hint="eastAsia" w:ascii="黑体" w:hAnsi="华文中宋" w:eastAsia="黑体"/>
          <w:color w:val="auto"/>
          <w:sz w:val="24"/>
          <w:highlight w:val="none"/>
        </w:rPr>
        <w:br w:type="page"/>
      </w:r>
    </w:p>
    <w:p w14:paraId="374E1463">
      <w:pPr>
        <w:keepNext/>
        <w:keepLines/>
        <w:snapToGrid w:val="0"/>
        <w:spacing w:line="360" w:lineRule="auto"/>
        <w:jc w:val="center"/>
        <w:outlineLvl w:val="1"/>
        <w:rPr>
          <w:rFonts w:ascii="黑体" w:hAnsi="华文中宋" w:eastAsia="黑体"/>
          <w:color w:val="auto"/>
          <w:sz w:val="24"/>
          <w:highlight w:val="none"/>
        </w:rPr>
      </w:pPr>
      <w:r>
        <w:rPr>
          <w:rFonts w:hint="eastAsia" w:ascii="黑体" w:hAnsi="华文中宋" w:eastAsia="黑体"/>
          <w:color w:val="auto"/>
          <w:sz w:val="24"/>
          <w:highlight w:val="none"/>
        </w:rPr>
        <w:t>第三节 政府采购合同专用条款</w:t>
      </w:r>
      <w:bookmarkEnd w:id="448"/>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16BA8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172276B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AD7DE9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0A748837">
            <w:pPr>
              <w:snapToGrid w:val="0"/>
              <w:spacing w:line="360" w:lineRule="auto"/>
              <w:jc w:val="left"/>
              <w:rPr>
                <w:rFonts w:ascii="宋体" w:hAnsi="宋体"/>
                <w:color w:val="auto"/>
                <w:sz w:val="24"/>
                <w:highlight w:val="none"/>
              </w:rPr>
            </w:pPr>
            <w:r>
              <w:rPr>
                <w:rFonts w:hint="eastAsia" w:ascii="宋体" w:hAnsi="宋体"/>
                <w:color w:val="auto"/>
                <w:sz w:val="24"/>
                <w:highlight w:val="none"/>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0154E8C">
            <w:pPr>
              <w:snapToGrid w:val="0"/>
              <w:spacing w:line="360" w:lineRule="auto"/>
              <w:jc w:val="left"/>
              <w:rPr>
                <w:rFonts w:ascii="宋体" w:hAnsi="宋体"/>
                <w:color w:val="auto"/>
                <w:sz w:val="24"/>
                <w:highlight w:val="none"/>
              </w:rPr>
            </w:pPr>
          </w:p>
        </w:tc>
      </w:tr>
      <w:tr w14:paraId="56DB2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79A02EBA">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C881CB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70E57CD9">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DDDF34A">
            <w:pPr>
              <w:snapToGrid w:val="0"/>
              <w:spacing w:line="360" w:lineRule="auto"/>
              <w:jc w:val="left"/>
              <w:rPr>
                <w:rFonts w:ascii="宋体" w:hAnsi="宋体"/>
                <w:color w:val="auto"/>
                <w:sz w:val="24"/>
                <w:highlight w:val="none"/>
              </w:rPr>
            </w:pPr>
          </w:p>
        </w:tc>
      </w:tr>
      <w:tr w14:paraId="0D9854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7F6526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735613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624760C2">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2ADB3FA6">
            <w:pPr>
              <w:snapToGrid w:val="0"/>
              <w:spacing w:line="360" w:lineRule="auto"/>
              <w:jc w:val="left"/>
              <w:rPr>
                <w:rFonts w:ascii="宋体" w:hAnsi="宋体"/>
                <w:color w:val="auto"/>
                <w:sz w:val="24"/>
                <w:highlight w:val="none"/>
              </w:rPr>
            </w:pPr>
          </w:p>
        </w:tc>
      </w:tr>
      <w:tr w14:paraId="6B4D1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AB3CF2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BE2313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173D66E3">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1218CAC">
            <w:pPr>
              <w:snapToGrid w:val="0"/>
              <w:spacing w:line="360" w:lineRule="auto"/>
              <w:jc w:val="left"/>
              <w:rPr>
                <w:rFonts w:ascii="宋体" w:hAnsi="宋体"/>
                <w:color w:val="auto"/>
                <w:sz w:val="24"/>
                <w:highlight w:val="none"/>
              </w:rPr>
            </w:pPr>
          </w:p>
        </w:tc>
      </w:tr>
      <w:tr w14:paraId="46ED7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BC05C8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5850D629">
            <w:pPr>
              <w:adjustRightInd/>
              <w:snapToGrid w:val="0"/>
              <w:spacing w:line="360" w:lineRule="auto"/>
              <w:jc w:val="center"/>
              <w:rPr>
                <w:rFonts w:ascii="Calibri" w:hAnsi="Calibri"/>
                <w:color w:val="auto"/>
                <w:sz w:val="24"/>
                <w:highlight w:val="none"/>
              </w:rPr>
            </w:pPr>
            <w:r>
              <w:rPr>
                <w:rFonts w:hint="eastAsia" w:ascii="宋体" w:hAnsi="宋体"/>
                <w:color w:val="auto"/>
                <w:sz w:val="24"/>
                <w:highlight w:val="none"/>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467DFA4A">
            <w:pPr>
              <w:snapToGrid w:val="0"/>
              <w:spacing w:line="360" w:lineRule="auto"/>
              <w:jc w:val="left"/>
              <w:rPr>
                <w:rFonts w:ascii="宋体" w:hAnsi="宋体"/>
                <w:color w:val="auto"/>
                <w:sz w:val="24"/>
                <w:highlight w:val="none"/>
              </w:rPr>
            </w:pPr>
            <w:r>
              <w:rPr>
                <w:rFonts w:hint="eastAsia" w:ascii="宋体" w:hAnsi="宋体"/>
                <w:color w:val="auto"/>
                <w:sz w:val="24"/>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6AB1D645">
            <w:pPr>
              <w:snapToGrid w:val="0"/>
              <w:spacing w:line="360" w:lineRule="auto"/>
              <w:jc w:val="left"/>
              <w:rPr>
                <w:rFonts w:ascii="宋体" w:hAnsi="宋体"/>
                <w:color w:val="auto"/>
                <w:sz w:val="24"/>
                <w:highlight w:val="none"/>
              </w:rPr>
            </w:pPr>
          </w:p>
        </w:tc>
      </w:tr>
      <w:tr w14:paraId="4A4115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858643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710DE77">
            <w:pPr>
              <w:adjustRightInd/>
              <w:snapToGrid w:val="0"/>
              <w:spacing w:line="360" w:lineRule="auto"/>
              <w:jc w:val="center"/>
              <w:rPr>
                <w:rFonts w:ascii="宋体" w:hAnsi="宋体"/>
                <w:color w:val="auto"/>
                <w:sz w:val="24"/>
                <w:highlight w:val="none"/>
              </w:rPr>
            </w:pPr>
            <w:r>
              <w:rPr>
                <w:rFonts w:hint="eastAsia" w:ascii="宋体" w:hAnsi="宋体"/>
                <w:color w:val="auto"/>
                <w:sz w:val="24"/>
                <w:highlight w:val="none"/>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699FB70A">
            <w:pPr>
              <w:snapToGrid w:val="0"/>
              <w:spacing w:line="360" w:lineRule="auto"/>
              <w:jc w:val="left"/>
              <w:rPr>
                <w:rFonts w:ascii="宋体" w:hAnsi="宋体"/>
                <w:color w:val="auto"/>
                <w:sz w:val="24"/>
                <w:highlight w:val="none"/>
              </w:rPr>
            </w:pPr>
            <w:r>
              <w:rPr>
                <w:rFonts w:hint="eastAsia" w:ascii="宋体" w:hAnsi="宋体"/>
                <w:color w:val="auto"/>
                <w:sz w:val="24"/>
                <w:highlight w:val="none"/>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3D3816F2">
            <w:pPr>
              <w:snapToGrid w:val="0"/>
              <w:spacing w:line="360" w:lineRule="auto"/>
              <w:jc w:val="left"/>
              <w:rPr>
                <w:rFonts w:ascii="宋体" w:hAnsi="宋体"/>
                <w:color w:val="auto"/>
                <w:sz w:val="24"/>
                <w:highlight w:val="none"/>
              </w:rPr>
            </w:pPr>
          </w:p>
        </w:tc>
      </w:tr>
      <w:tr w14:paraId="741BD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5EFA6A5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70F8B1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4B685D3D">
            <w:pPr>
              <w:snapToGrid w:val="0"/>
              <w:spacing w:line="360" w:lineRule="auto"/>
              <w:jc w:val="left"/>
              <w:rPr>
                <w:rFonts w:ascii="宋体" w:hAnsi="宋体"/>
                <w:color w:val="auto"/>
                <w:sz w:val="24"/>
                <w:highlight w:val="none"/>
              </w:rPr>
            </w:pPr>
            <w:r>
              <w:rPr>
                <w:rFonts w:hint="eastAsia" w:ascii="宋体" w:hAnsi="宋体"/>
                <w:color w:val="auto"/>
                <w:sz w:val="24"/>
                <w:highlight w:val="none"/>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92EA6EC">
            <w:pPr>
              <w:adjustRightInd/>
              <w:spacing w:line="360" w:lineRule="auto"/>
              <w:rPr>
                <w:rFonts w:ascii="Calibri" w:hAnsi="Calibri"/>
                <w:color w:val="auto"/>
                <w:sz w:val="24"/>
                <w:highlight w:val="none"/>
              </w:rPr>
            </w:pPr>
          </w:p>
        </w:tc>
      </w:tr>
      <w:tr w14:paraId="5CE43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D9AE7E2">
            <w:pPr>
              <w:widowControl/>
              <w:adjustRightInd/>
              <w:spacing w:line="360" w:lineRule="auto"/>
              <w:jc w:val="left"/>
              <w:rPr>
                <w:rFonts w:ascii="宋体" w:hAnsi="宋体"/>
                <w:color w:val="auto"/>
                <w:sz w:val="24"/>
                <w:highlight w:val="none"/>
              </w:rPr>
            </w:pPr>
          </w:p>
        </w:tc>
        <w:tc>
          <w:tcPr>
            <w:tcW w:w="1742" w:type="dxa"/>
            <w:tcBorders>
              <w:top w:val="single" w:color="auto" w:sz="6" w:space="0"/>
              <w:left w:val="single" w:color="auto" w:sz="6" w:space="0"/>
              <w:bottom w:val="single" w:color="auto" w:sz="6" w:space="0"/>
              <w:right w:val="single" w:color="auto" w:sz="6" w:space="0"/>
            </w:tcBorders>
            <w:vAlign w:val="center"/>
          </w:tcPr>
          <w:p w14:paraId="356C0D46">
            <w:pPr>
              <w:snapToGrid w:val="0"/>
              <w:spacing w:line="360" w:lineRule="auto"/>
              <w:jc w:val="left"/>
              <w:rPr>
                <w:rFonts w:ascii="宋体" w:hAnsi="宋体"/>
                <w:color w:val="auto"/>
                <w:sz w:val="24"/>
                <w:highlight w:val="none"/>
              </w:rPr>
            </w:pPr>
            <w:r>
              <w:rPr>
                <w:rFonts w:hint="eastAsia" w:ascii="宋体" w:hAnsi="宋体"/>
                <w:color w:val="auto"/>
                <w:sz w:val="24"/>
                <w:highlight w:val="none"/>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0C53CB9A">
            <w:pPr>
              <w:adjustRightInd/>
              <w:spacing w:line="360" w:lineRule="auto"/>
              <w:rPr>
                <w:rFonts w:ascii="Calibri" w:hAnsi="Calibri"/>
                <w:color w:val="auto"/>
                <w:sz w:val="24"/>
                <w:highlight w:val="none"/>
              </w:rPr>
            </w:pPr>
          </w:p>
        </w:tc>
      </w:tr>
      <w:tr w14:paraId="64A99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3F8F65B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477389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0F37CED5">
            <w:pPr>
              <w:snapToGrid w:val="0"/>
              <w:spacing w:line="360" w:lineRule="auto"/>
              <w:jc w:val="left"/>
              <w:rPr>
                <w:rFonts w:ascii="宋体" w:hAnsi="宋体"/>
                <w:color w:val="auto"/>
                <w:sz w:val="24"/>
                <w:highlight w:val="none"/>
              </w:rPr>
            </w:pPr>
            <w:r>
              <w:rPr>
                <w:rFonts w:hint="eastAsia" w:ascii="宋体" w:hAnsi="宋体"/>
                <w:color w:val="auto"/>
                <w:sz w:val="24"/>
                <w:highlight w:val="none"/>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D3FF817">
            <w:pPr>
              <w:adjustRightInd/>
              <w:spacing w:line="360" w:lineRule="auto"/>
              <w:rPr>
                <w:rFonts w:ascii="Calibri" w:hAnsi="Calibri"/>
                <w:color w:val="auto"/>
                <w:sz w:val="24"/>
                <w:highlight w:val="none"/>
              </w:rPr>
            </w:pPr>
          </w:p>
        </w:tc>
      </w:tr>
      <w:tr w14:paraId="0CE62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953205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6FF15DB">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7C2DD6BD">
            <w:pPr>
              <w:snapToGrid w:val="0"/>
              <w:spacing w:line="360" w:lineRule="auto"/>
              <w:jc w:val="left"/>
              <w:rPr>
                <w:rFonts w:ascii="宋体" w:hAnsi="宋体"/>
                <w:color w:val="auto"/>
                <w:sz w:val="24"/>
                <w:highlight w:val="none"/>
              </w:rPr>
            </w:pPr>
            <w:r>
              <w:rPr>
                <w:rFonts w:hint="eastAsia" w:ascii="宋体" w:hAnsi="宋体"/>
                <w:color w:val="auto"/>
                <w:sz w:val="24"/>
                <w:highlight w:val="none"/>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2F7F6B54">
            <w:pPr>
              <w:adjustRightInd/>
              <w:spacing w:line="360" w:lineRule="auto"/>
              <w:rPr>
                <w:rFonts w:ascii="Calibri" w:hAnsi="Calibri"/>
                <w:color w:val="auto"/>
                <w:sz w:val="24"/>
                <w:highlight w:val="none"/>
              </w:rPr>
            </w:pPr>
          </w:p>
        </w:tc>
      </w:tr>
      <w:tr w14:paraId="25E2D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DFC3A0">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90A1116">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44EB8D13">
            <w:pPr>
              <w:snapToGrid w:val="0"/>
              <w:spacing w:line="360" w:lineRule="auto"/>
              <w:jc w:val="left"/>
              <w:rPr>
                <w:rFonts w:ascii="宋体" w:hAnsi="宋体"/>
                <w:color w:val="auto"/>
                <w:sz w:val="24"/>
                <w:highlight w:val="none"/>
              </w:rPr>
            </w:pPr>
            <w:r>
              <w:rPr>
                <w:rFonts w:hint="eastAsia" w:ascii="宋体" w:hAnsi="宋体"/>
                <w:color w:val="auto"/>
                <w:sz w:val="24"/>
                <w:highlight w:val="none"/>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B69ECF1">
            <w:pPr>
              <w:autoSpaceDE w:val="0"/>
              <w:autoSpaceDN w:val="0"/>
              <w:snapToGrid w:val="0"/>
              <w:spacing w:line="360" w:lineRule="auto"/>
              <w:ind w:firstLine="480" w:firstLineChars="200"/>
              <w:jc w:val="left"/>
              <w:rPr>
                <w:rFonts w:ascii="宋体" w:hAnsi="宋体"/>
                <w:color w:val="auto"/>
                <w:sz w:val="24"/>
                <w:highlight w:val="none"/>
              </w:rPr>
            </w:pPr>
          </w:p>
        </w:tc>
      </w:tr>
      <w:tr w14:paraId="362C1C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F591402">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02C2FD9">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7DC0376D">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货物质量缺陷</w:t>
            </w:r>
          </w:p>
          <w:p w14:paraId="4B0673EA">
            <w:pPr>
              <w:snapToGrid w:val="0"/>
              <w:spacing w:line="360" w:lineRule="auto"/>
              <w:jc w:val="left"/>
              <w:rPr>
                <w:rFonts w:ascii="宋体" w:hAnsi="宋体"/>
                <w:color w:val="auto"/>
                <w:sz w:val="24"/>
                <w:highlight w:val="none"/>
              </w:rPr>
            </w:pPr>
            <w:r>
              <w:rPr>
                <w:rFonts w:hint="eastAsia" w:ascii="宋体" w:hAnsi="宋体"/>
                <w:color w:val="auto"/>
                <w:sz w:val="24"/>
                <w:highlight w:val="none"/>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3997087C">
            <w:pPr>
              <w:snapToGrid w:val="0"/>
              <w:spacing w:line="360" w:lineRule="auto"/>
              <w:jc w:val="left"/>
              <w:rPr>
                <w:rFonts w:ascii="宋体" w:hAnsi="宋体"/>
                <w:color w:val="auto"/>
                <w:sz w:val="24"/>
                <w:highlight w:val="none"/>
              </w:rPr>
            </w:pPr>
          </w:p>
        </w:tc>
      </w:tr>
      <w:tr w14:paraId="0B0A2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C09FF12">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第二节</w:t>
            </w:r>
          </w:p>
          <w:p w14:paraId="79B24800">
            <w:pPr>
              <w:widowControl/>
              <w:autoSpaceDE w:val="0"/>
              <w:autoSpaceDN w:val="0"/>
              <w:spacing w:line="360" w:lineRule="auto"/>
              <w:jc w:val="center"/>
              <w:rPr>
                <w:rFonts w:ascii="华文楷体" w:hAnsi="华文楷体" w:eastAsia="华文楷体" w:cs="华文楷体"/>
                <w:color w:val="auto"/>
                <w:kern w:val="0"/>
                <w:sz w:val="24"/>
                <w:highlight w:val="none"/>
              </w:rPr>
            </w:pPr>
            <w:r>
              <w:rPr>
                <w:rFonts w:hint="eastAsia" w:ascii="宋体" w:hAnsi="宋体" w:cs="宋体"/>
                <w:color w:val="auto"/>
                <w:kern w:val="0"/>
                <w:sz w:val="24"/>
                <w:highlight w:val="none"/>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266EC25B">
            <w:pPr>
              <w:snapToGrid w:val="0"/>
              <w:spacing w:line="360" w:lineRule="auto"/>
              <w:rPr>
                <w:rFonts w:ascii="宋体" w:hAnsi="宋体"/>
                <w:color w:val="auto"/>
                <w:sz w:val="24"/>
                <w:highlight w:val="none"/>
              </w:rPr>
            </w:pPr>
            <w:r>
              <w:rPr>
                <w:rFonts w:hint="eastAsia" w:ascii="宋体" w:hAnsi="宋体"/>
                <w:color w:val="auto"/>
                <w:sz w:val="24"/>
                <w:highlight w:val="none"/>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38327D4F">
            <w:pPr>
              <w:snapToGrid w:val="0"/>
              <w:spacing w:line="360" w:lineRule="auto"/>
              <w:jc w:val="left"/>
              <w:rPr>
                <w:rFonts w:ascii="宋体" w:hAnsi="宋体"/>
                <w:color w:val="auto"/>
                <w:sz w:val="24"/>
                <w:highlight w:val="none"/>
              </w:rPr>
            </w:pPr>
          </w:p>
        </w:tc>
      </w:tr>
      <w:tr w14:paraId="5BA8C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0343FCC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98BCEF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5AB8ED35">
            <w:pPr>
              <w:snapToGrid w:val="0"/>
              <w:spacing w:line="360" w:lineRule="auto"/>
              <w:jc w:val="left"/>
              <w:rPr>
                <w:rFonts w:ascii="宋体" w:hAnsi="宋体"/>
                <w:color w:val="auto"/>
                <w:sz w:val="24"/>
                <w:highlight w:val="none"/>
              </w:rPr>
            </w:pPr>
            <w:r>
              <w:rPr>
                <w:rFonts w:hint="eastAsia" w:ascii="宋体" w:hAnsi="宋体"/>
                <w:color w:val="auto"/>
                <w:sz w:val="24"/>
                <w:highlight w:val="none"/>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4B8F8535">
            <w:pPr>
              <w:snapToGrid w:val="0"/>
              <w:spacing w:line="360" w:lineRule="auto"/>
              <w:jc w:val="left"/>
              <w:rPr>
                <w:rFonts w:ascii="宋体" w:hAnsi="宋体"/>
                <w:color w:val="auto"/>
                <w:sz w:val="24"/>
                <w:highlight w:val="none"/>
              </w:rPr>
            </w:pPr>
          </w:p>
        </w:tc>
      </w:tr>
      <w:tr w14:paraId="17B429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14FF1215">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5C0325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4A31A9D">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7F3BD31">
            <w:pPr>
              <w:snapToGrid w:val="0"/>
              <w:spacing w:line="360" w:lineRule="auto"/>
              <w:jc w:val="left"/>
              <w:rPr>
                <w:rFonts w:ascii="宋体" w:hAnsi="宋体"/>
                <w:color w:val="auto"/>
                <w:sz w:val="24"/>
                <w:highlight w:val="none"/>
              </w:rPr>
            </w:pPr>
          </w:p>
        </w:tc>
      </w:tr>
      <w:tr w14:paraId="689496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96B05E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568367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46F5858C">
            <w:pPr>
              <w:snapToGrid w:val="0"/>
              <w:spacing w:line="360" w:lineRule="auto"/>
              <w:jc w:val="left"/>
              <w:rPr>
                <w:rFonts w:ascii="宋体" w:hAnsi="宋体"/>
                <w:color w:val="auto"/>
                <w:sz w:val="24"/>
                <w:highlight w:val="none"/>
              </w:rPr>
            </w:pPr>
            <w:r>
              <w:rPr>
                <w:rFonts w:hint="eastAsia" w:ascii="宋体" w:hAnsi="宋体"/>
                <w:color w:val="auto"/>
                <w:sz w:val="24"/>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601DFCBC">
            <w:pPr>
              <w:snapToGrid w:val="0"/>
              <w:spacing w:line="360" w:lineRule="auto"/>
              <w:jc w:val="left"/>
              <w:rPr>
                <w:rFonts w:ascii="宋体" w:hAnsi="宋体"/>
                <w:color w:val="auto"/>
                <w:sz w:val="24"/>
                <w:highlight w:val="none"/>
              </w:rPr>
            </w:pPr>
          </w:p>
        </w:tc>
      </w:tr>
      <w:tr w14:paraId="45F694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AA94EC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5DB6D6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61401BD0">
            <w:pPr>
              <w:snapToGrid w:val="0"/>
              <w:spacing w:line="360" w:lineRule="auto"/>
              <w:jc w:val="left"/>
              <w:rPr>
                <w:rFonts w:ascii="宋体" w:hAnsi="宋体"/>
                <w:color w:val="auto"/>
                <w:sz w:val="24"/>
                <w:highlight w:val="none"/>
              </w:rPr>
            </w:pPr>
            <w:r>
              <w:rPr>
                <w:rFonts w:hint="eastAsia" w:ascii="宋体" w:hAnsi="宋体"/>
                <w:color w:val="auto"/>
                <w:sz w:val="24"/>
                <w:highlight w:val="none"/>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DBA4663">
            <w:pPr>
              <w:snapToGrid w:val="0"/>
              <w:spacing w:line="360" w:lineRule="auto"/>
              <w:jc w:val="left"/>
              <w:rPr>
                <w:rFonts w:ascii="宋体" w:hAnsi="宋体"/>
                <w:color w:val="auto"/>
                <w:sz w:val="24"/>
                <w:highlight w:val="none"/>
              </w:rPr>
            </w:pPr>
          </w:p>
        </w:tc>
      </w:tr>
      <w:tr w14:paraId="6206A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6519311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7945282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53ABFBB5">
            <w:pPr>
              <w:snapToGrid w:val="0"/>
              <w:spacing w:line="360" w:lineRule="auto"/>
              <w:jc w:val="left"/>
              <w:rPr>
                <w:rFonts w:ascii="宋体" w:hAnsi="宋体"/>
                <w:color w:val="auto"/>
                <w:sz w:val="24"/>
                <w:highlight w:val="none"/>
              </w:rPr>
            </w:pPr>
            <w:r>
              <w:rPr>
                <w:rFonts w:hint="eastAsia" w:ascii="宋体" w:hAnsi="宋体"/>
                <w:color w:val="auto"/>
                <w:sz w:val="24"/>
                <w:highlight w:val="none"/>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0BED63E2">
            <w:pPr>
              <w:snapToGrid w:val="0"/>
              <w:spacing w:line="360" w:lineRule="auto"/>
              <w:jc w:val="left"/>
              <w:rPr>
                <w:rFonts w:ascii="宋体" w:hAnsi="宋体"/>
                <w:color w:val="auto"/>
                <w:sz w:val="24"/>
                <w:highlight w:val="none"/>
              </w:rPr>
            </w:pPr>
          </w:p>
        </w:tc>
      </w:tr>
      <w:tr w14:paraId="61A9C5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0115A1">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353DBA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51EDD2FB">
            <w:pPr>
              <w:snapToGrid w:val="0"/>
              <w:spacing w:line="360" w:lineRule="auto"/>
              <w:jc w:val="left"/>
              <w:rPr>
                <w:rFonts w:ascii="宋体" w:hAnsi="宋体"/>
                <w:color w:val="auto"/>
                <w:sz w:val="24"/>
                <w:highlight w:val="none"/>
              </w:rPr>
            </w:pPr>
            <w:r>
              <w:rPr>
                <w:rFonts w:hint="eastAsia" w:ascii="宋体" w:hAnsi="宋体"/>
                <w:color w:val="auto"/>
                <w:sz w:val="24"/>
                <w:highlight w:val="none"/>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6E428C70">
            <w:pPr>
              <w:snapToGrid w:val="0"/>
              <w:spacing w:line="360" w:lineRule="auto"/>
              <w:jc w:val="left"/>
              <w:rPr>
                <w:rFonts w:ascii="宋体" w:hAnsi="宋体"/>
                <w:color w:val="auto"/>
                <w:sz w:val="24"/>
                <w:highlight w:val="none"/>
              </w:rPr>
            </w:pPr>
          </w:p>
        </w:tc>
      </w:tr>
      <w:tr w14:paraId="0DDE9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A3AE42D">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545ED8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59C7747B">
            <w:pPr>
              <w:snapToGrid w:val="0"/>
              <w:spacing w:line="360" w:lineRule="auto"/>
              <w:jc w:val="left"/>
              <w:rPr>
                <w:rFonts w:ascii="宋体" w:hAnsi="宋体"/>
                <w:color w:val="auto"/>
                <w:sz w:val="24"/>
                <w:highlight w:val="none"/>
              </w:rPr>
            </w:pPr>
            <w:r>
              <w:rPr>
                <w:rFonts w:hint="eastAsia" w:ascii="宋体" w:hAnsi="宋体"/>
                <w:color w:val="auto"/>
                <w:sz w:val="24"/>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11870DE7">
            <w:pPr>
              <w:snapToGrid w:val="0"/>
              <w:spacing w:line="360" w:lineRule="auto"/>
              <w:jc w:val="left"/>
              <w:rPr>
                <w:rFonts w:ascii="宋体" w:hAnsi="宋体"/>
                <w:color w:val="auto"/>
                <w:sz w:val="24"/>
                <w:highlight w:val="none"/>
              </w:rPr>
            </w:pPr>
          </w:p>
        </w:tc>
      </w:tr>
      <w:tr w14:paraId="3DFD5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958B838">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3845083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1E47521F">
            <w:pPr>
              <w:snapToGrid w:val="0"/>
              <w:spacing w:line="360" w:lineRule="auto"/>
              <w:jc w:val="left"/>
              <w:rPr>
                <w:rFonts w:ascii="宋体" w:hAnsi="宋体"/>
                <w:color w:val="auto"/>
                <w:sz w:val="24"/>
                <w:highlight w:val="none"/>
              </w:rPr>
            </w:pPr>
            <w:r>
              <w:rPr>
                <w:rFonts w:hint="eastAsia" w:ascii="宋体" w:hAnsi="宋体"/>
                <w:color w:val="auto"/>
                <w:sz w:val="24"/>
                <w:highlight w:val="none"/>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04B930C0">
            <w:pPr>
              <w:snapToGrid w:val="0"/>
              <w:spacing w:line="360" w:lineRule="auto"/>
              <w:jc w:val="left"/>
              <w:rPr>
                <w:rFonts w:ascii="宋体" w:hAnsi="宋体"/>
                <w:color w:val="auto"/>
                <w:sz w:val="24"/>
                <w:highlight w:val="none"/>
                <w:u w:val="single"/>
              </w:rPr>
            </w:pPr>
          </w:p>
        </w:tc>
      </w:tr>
      <w:tr w14:paraId="0C8C8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AA6511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1CA2E69E">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25A4645">
            <w:pPr>
              <w:snapToGrid w:val="0"/>
              <w:spacing w:line="360" w:lineRule="auto"/>
              <w:jc w:val="left"/>
              <w:rPr>
                <w:rFonts w:ascii="宋体" w:hAnsi="宋体"/>
                <w:color w:val="auto"/>
                <w:sz w:val="24"/>
                <w:highlight w:val="none"/>
              </w:rPr>
            </w:pPr>
            <w:r>
              <w:rPr>
                <w:rFonts w:hint="eastAsia" w:ascii="宋体" w:hAnsi="宋体"/>
                <w:color w:val="auto"/>
                <w:sz w:val="24"/>
                <w:highlight w:val="none"/>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775BDE66">
            <w:pPr>
              <w:snapToGrid w:val="0"/>
              <w:spacing w:line="360" w:lineRule="auto"/>
              <w:jc w:val="left"/>
              <w:rPr>
                <w:rFonts w:ascii="宋体" w:hAnsi="宋体"/>
                <w:color w:val="auto"/>
                <w:sz w:val="24"/>
                <w:highlight w:val="none"/>
                <w:u w:val="single"/>
              </w:rPr>
            </w:pPr>
          </w:p>
        </w:tc>
      </w:tr>
      <w:tr w14:paraId="073BF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73DF8ADF">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6741517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5A100BAB">
            <w:pPr>
              <w:snapToGrid w:val="0"/>
              <w:spacing w:line="360" w:lineRule="auto"/>
              <w:jc w:val="left"/>
              <w:rPr>
                <w:rFonts w:ascii="宋体" w:hAnsi="宋体"/>
                <w:color w:val="auto"/>
                <w:sz w:val="24"/>
                <w:highlight w:val="none"/>
              </w:rPr>
            </w:pPr>
            <w:r>
              <w:rPr>
                <w:rFonts w:hint="eastAsia" w:ascii="宋体" w:hAnsi="宋体"/>
                <w:color w:val="auto"/>
                <w:sz w:val="24"/>
                <w:highlight w:val="none"/>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06DEE628">
            <w:pPr>
              <w:snapToGrid w:val="0"/>
              <w:spacing w:line="360" w:lineRule="auto"/>
              <w:jc w:val="left"/>
              <w:rPr>
                <w:rFonts w:ascii="宋体" w:hAnsi="宋体"/>
                <w:color w:val="auto"/>
                <w:sz w:val="24"/>
                <w:highlight w:val="none"/>
                <w:u w:val="single"/>
              </w:rPr>
            </w:pPr>
          </w:p>
        </w:tc>
      </w:tr>
      <w:tr w14:paraId="3ABD2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39B48143">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0D609F74">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59B36A8">
            <w:pPr>
              <w:snapToGrid w:val="0"/>
              <w:spacing w:line="360" w:lineRule="auto"/>
              <w:jc w:val="left"/>
              <w:rPr>
                <w:rFonts w:ascii="宋体" w:hAnsi="宋体"/>
                <w:color w:val="auto"/>
                <w:sz w:val="24"/>
                <w:highlight w:val="none"/>
              </w:rPr>
            </w:pPr>
            <w:r>
              <w:rPr>
                <w:rFonts w:hint="eastAsia" w:ascii="宋体" w:hAnsi="宋体"/>
                <w:color w:val="auto"/>
                <w:sz w:val="24"/>
                <w:highlight w:val="none"/>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32155FC5">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因本合同及合同有关事项发生的争议，按下列第</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种方式解决：</w:t>
            </w:r>
          </w:p>
          <w:p w14:paraId="5704C6B8">
            <w:pPr>
              <w:autoSpaceDE w:val="0"/>
              <w:autoSpaceDN w:val="0"/>
              <w:snapToGrid w:val="0"/>
              <w:spacing w:line="360" w:lineRule="auto"/>
              <w:jc w:val="left"/>
              <w:rPr>
                <w:rFonts w:ascii="宋体" w:hAnsi="宋体" w:cs="宋体"/>
                <w:iCs/>
                <w:color w:val="auto"/>
                <w:sz w:val="24"/>
                <w:highlight w:val="none"/>
              </w:rPr>
            </w:pPr>
            <w:r>
              <w:rPr>
                <w:rFonts w:hint="eastAsia" w:ascii="宋体" w:hAnsi="宋体" w:cs="宋体"/>
                <w:iCs/>
                <w:color w:val="auto"/>
                <w:sz w:val="24"/>
                <w:highlight w:val="none"/>
              </w:rPr>
              <w:t>（1）向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仲裁委员会申请仲裁，仲裁地点为</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w:t>
            </w:r>
          </w:p>
          <w:p w14:paraId="10FB4C8C">
            <w:pPr>
              <w:snapToGrid w:val="0"/>
              <w:spacing w:line="360" w:lineRule="auto"/>
              <w:jc w:val="left"/>
              <w:rPr>
                <w:rFonts w:ascii="宋体" w:hAnsi="宋体"/>
                <w:color w:val="auto"/>
                <w:sz w:val="24"/>
                <w:highlight w:val="none"/>
                <w:u w:val="single"/>
              </w:rPr>
            </w:pPr>
            <w:r>
              <w:rPr>
                <w:rFonts w:hint="eastAsia" w:ascii="宋体" w:hAnsi="宋体" w:cs="宋体"/>
                <w:iCs/>
                <w:color w:val="auto"/>
                <w:sz w:val="24"/>
                <w:highlight w:val="none"/>
              </w:rPr>
              <w:t>（2）向</w:t>
            </w:r>
            <w:r>
              <w:rPr>
                <w:rFonts w:hint="eastAsia" w:ascii="宋体" w:hAnsi="宋体" w:cs="宋体"/>
                <w:iCs/>
                <w:color w:val="auto"/>
                <w:sz w:val="24"/>
                <w:highlight w:val="none"/>
                <w:u w:val="single"/>
              </w:rPr>
              <w:t xml:space="preserve">                    </w:t>
            </w:r>
            <w:r>
              <w:rPr>
                <w:rFonts w:hint="eastAsia" w:ascii="宋体" w:hAnsi="宋体" w:cs="宋体"/>
                <w:iCs/>
                <w:color w:val="auto"/>
                <w:sz w:val="24"/>
                <w:highlight w:val="none"/>
              </w:rPr>
              <w:t>人民法院起诉。</w:t>
            </w:r>
          </w:p>
        </w:tc>
      </w:tr>
      <w:tr w14:paraId="6466C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5CC5B13C">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第二节</w:t>
            </w:r>
          </w:p>
          <w:p w14:paraId="48FBD347">
            <w:pPr>
              <w:snapToGrid w:val="0"/>
              <w:spacing w:line="360" w:lineRule="auto"/>
              <w:jc w:val="center"/>
              <w:rPr>
                <w:rFonts w:ascii="宋体" w:hAnsi="宋体"/>
                <w:color w:val="auto"/>
                <w:sz w:val="24"/>
                <w:highlight w:val="none"/>
              </w:rPr>
            </w:pPr>
            <w:r>
              <w:rPr>
                <w:rFonts w:hint="eastAsia" w:ascii="宋体" w:hAnsi="宋体"/>
                <w:color w:val="auto"/>
                <w:sz w:val="24"/>
                <w:highlight w:val="none"/>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7ED3E96D">
            <w:pPr>
              <w:snapToGrid w:val="0"/>
              <w:spacing w:line="360" w:lineRule="auto"/>
              <w:jc w:val="left"/>
              <w:rPr>
                <w:rFonts w:ascii="宋体" w:hAnsi="宋体"/>
                <w:color w:val="auto"/>
                <w:sz w:val="24"/>
                <w:highlight w:val="none"/>
              </w:rPr>
            </w:pPr>
            <w:r>
              <w:rPr>
                <w:rFonts w:hint="eastAsia" w:ascii="宋体" w:hAnsi="宋体"/>
                <w:bCs/>
                <w:color w:val="auto"/>
                <w:sz w:val="24"/>
                <w:highlight w:val="none"/>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7F813C84">
            <w:pPr>
              <w:snapToGrid w:val="0"/>
              <w:spacing w:line="360" w:lineRule="auto"/>
              <w:jc w:val="left"/>
              <w:rPr>
                <w:rFonts w:ascii="宋体" w:hAnsi="宋体"/>
                <w:color w:val="auto"/>
                <w:sz w:val="24"/>
                <w:highlight w:val="none"/>
              </w:rPr>
            </w:pPr>
          </w:p>
        </w:tc>
      </w:tr>
    </w:tbl>
    <w:p w14:paraId="4129DCEA">
      <w:pPr>
        <w:adjustRightInd/>
        <w:rPr>
          <w:color w:val="auto"/>
          <w:highlight w:val="none"/>
        </w:rPr>
      </w:pPr>
    </w:p>
    <w:p w14:paraId="1B7ABCD7">
      <w:pPr>
        <w:adjustRightInd/>
        <w:rPr>
          <w:color w:val="auto"/>
          <w:highlight w:val="none"/>
        </w:rPr>
      </w:pPr>
    </w:p>
    <w:p w14:paraId="20B6AE4D">
      <w:pPr>
        <w:spacing w:line="360" w:lineRule="auto"/>
        <w:ind w:left="-420" w:leftChars="-200" w:right="-420" w:rightChars="-200"/>
        <w:rPr>
          <w:rFonts w:ascii="宋体" w:hAnsi="宋体" w:cs="宋体"/>
          <w:color w:val="auto"/>
          <w:sz w:val="24"/>
          <w:highlight w:val="none"/>
        </w:rPr>
      </w:pPr>
    </w:p>
    <w:p w14:paraId="0798889C">
      <w:pPr>
        <w:tabs>
          <w:tab w:val="left" w:pos="432"/>
        </w:tabs>
        <w:rPr>
          <w:color w:val="auto"/>
          <w:highlight w:val="none"/>
        </w:rPr>
      </w:pPr>
      <w:r>
        <w:rPr>
          <w:color w:val="auto"/>
          <w:highlight w:val="none"/>
        </w:rPr>
        <w:br w:type="page"/>
      </w:r>
    </w:p>
    <w:p w14:paraId="4D8D2504">
      <w:pPr>
        <w:rPr>
          <w:color w:val="auto"/>
          <w:highlight w:val="none"/>
        </w:rPr>
      </w:pPr>
    </w:p>
    <w:p w14:paraId="1787BA43">
      <w:pPr>
        <w:spacing w:line="360" w:lineRule="auto"/>
        <w:ind w:left="720" w:firstLine="723" w:firstLineChars="200"/>
        <w:outlineLvl w:val="0"/>
        <w:rPr>
          <w:rFonts w:ascii="宋体" w:hAnsi="宋体" w:cs="宋体"/>
          <w:b/>
          <w:color w:val="auto"/>
          <w:sz w:val="36"/>
          <w:szCs w:val="20"/>
          <w:highlight w:val="none"/>
        </w:rPr>
      </w:pPr>
      <w:bookmarkStart w:id="449" w:name="_Toc29013"/>
      <w:bookmarkStart w:id="450" w:name="_Toc29474"/>
      <w:bookmarkStart w:id="451" w:name="_Toc176343853"/>
      <w:bookmarkStart w:id="452" w:name="_Toc3788"/>
      <w:bookmarkStart w:id="453" w:name="_Toc19564"/>
      <w:bookmarkStart w:id="454" w:name="_Toc176185126"/>
      <w:bookmarkStart w:id="455" w:name="_Toc10303"/>
      <w:r>
        <w:rPr>
          <w:rFonts w:hint="eastAsia" w:ascii="宋体" w:hAnsi="宋体" w:cs="宋体"/>
          <w:b/>
          <w:color w:val="auto"/>
          <w:sz w:val="36"/>
          <w:szCs w:val="20"/>
          <w:highlight w:val="none"/>
        </w:rPr>
        <w:t>第六部分</w:t>
      </w:r>
      <w:bookmarkEnd w:id="435"/>
      <w:r>
        <w:rPr>
          <w:rFonts w:hint="eastAsia" w:ascii="宋体" w:hAnsi="宋体" w:cs="宋体"/>
          <w:b/>
          <w:color w:val="auto"/>
          <w:sz w:val="36"/>
          <w:szCs w:val="20"/>
          <w:highlight w:val="none"/>
        </w:rPr>
        <w:t xml:space="preserve"> </w:t>
      </w:r>
      <w:bookmarkEnd w:id="436"/>
      <w:r>
        <w:rPr>
          <w:rFonts w:hint="eastAsia" w:ascii="宋体" w:hAnsi="宋体" w:cs="宋体"/>
          <w:b/>
          <w:color w:val="auto"/>
          <w:sz w:val="36"/>
          <w:szCs w:val="20"/>
          <w:highlight w:val="none"/>
        </w:rPr>
        <w:t xml:space="preserve"> 应提交的有关格式范例</w:t>
      </w:r>
      <w:bookmarkEnd w:id="449"/>
      <w:bookmarkEnd w:id="450"/>
      <w:bookmarkEnd w:id="451"/>
      <w:bookmarkEnd w:id="452"/>
      <w:bookmarkEnd w:id="453"/>
      <w:bookmarkEnd w:id="454"/>
      <w:bookmarkEnd w:id="455"/>
    </w:p>
    <w:p w14:paraId="5734DCA8">
      <w:pPr>
        <w:pStyle w:val="82"/>
        <w:rPr>
          <w:color w:val="auto"/>
          <w:highlight w:val="none"/>
        </w:rPr>
      </w:pPr>
    </w:p>
    <w:p w14:paraId="00E4B7AE">
      <w:pPr>
        <w:spacing w:line="360" w:lineRule="auto"/>
        <w:jc w:val="center"/>
        <w:outlineLvl w:val="1"/>
        <w:rPr>
          <w:rFonts w:ascii="宋体" w:hAnsi="宋体" w:cs="宋体"/>
          <w:b/>
          <w:color w:val="auto"/>
          <w:kern w:val="0"/>
          <w:sz w:val="36"/>
          <w:szCs w:val="36"/>
          <w:highlight w:val="none"/>
        </w:rPr>
      </w:pPr>
      <w:bookmarkStart w:id="456" w:name="OLE_LINK13"/>
      <w:r>
        <w:rPr>
          <w:rFonts w:hint="eastAsia" w:ascii="宋体" w:hAnsi="宋体" w:cs="宋体"/>
          <w:b/>
          <w:color w:val="auto"/>
          <w:kern w:val="0"/>
          <w:sz w:val="36"/>
          <w:szCs w:val="36"/>
          <w:highlight w:val="none"/>
        </w:rPr>
        <w:t>资格文件部分</w:t>
      </w:r>
    </w:p>
    <w:bookmarkEnd w:id="456"/>
    <w:p w14:paraId="1971101E">
      <w:pPr>
        <w:spacing w:before="0" w:beforeLines="0" w:after="0" w:afterLines="0" w:line="240" w:lineRule="auto"/>
        <w:ind w:left="0" w:leftChars="0" w:right="0" w:rightChars="0" w:firstLine="0" w:firstLineChars="0"/>
        <w:jc w:val="center"/>
      </w:pPr>
    </w:p>
    <w:p w14:paraId="18C2601F">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sz w:val="28"/>
          <w:szCs w:val="28"/>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0D25CA9D">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_Toc12395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一、 符合参加政府采购活动应当具备的一般条件的承诺函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_Toc12395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558251AF">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_Toc762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二、联合协议（如果有）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_Toc762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7B20CCBD">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_Toc12676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三、落实政府采购政策需满足的资格要求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_Toc12676 \h </w:instrText>
      </w:r>
      <w:r>
        <w:rPr>
          <w:rFonts w:hint="eastAsia" w:ascii="宋体" w:hAnsi="宋体" w:eastAsia="宋体" w:cs="宋体"/>
          <w:sz w:val="28"/>
          <w:szCs w:val="28"/>
        </w:rPr>
        <w:fldChar w:fldCharType="separate"/>
      </w:r>
      <w:r>
        <w:rPr>
          <w:rFonts w:hint="eastAsia" w:ascii="宋体" w:hAnsi="宋体" w:eastAsia="宋体" w:cs="宋体"/>
          <w:sz w:val="28"/>
          <w:szCs w:val="28"/>
        </w:rPr>
        <w:t>83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7A2D4D38">
      <w:pPr>
        <w:pStyle w:val="963"/>
        <w:keepNext w:val="0"/>
        <w:keepLines w:val="0"/>
        <w:pageBreakBefore w:val="0"/>
        <w:tabs>
          <w:tab w:val="right" w:leader="dot" w:pos="9070"/>
        </w:tabs>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_Toc15602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四、本项目的特定资格要求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_Toc15602 \h </w:instrText>
      </w:r>
      <w:r>
        <w:rPr>
          <w:rFonts w:hint="eastAsia" w:ascii="宋体" w:hAnsi="宋体" w:eastAsia="宋体" w:cs="宋体"/>
          <w:sz w:val="28"/>
          <w:szCs w:val="28"/>
        </w:rPr>
        <w:fldChar w:fldCharType="separate"/>
      </w:r>
      <w:r>
        <w:rPr>
          <w:rFonts w:hint="eastAsia" w:ascii="宋体" w:hAnsi="宋体" w:eastAsia="宋体" w:cs="宋体"/>
          <w:sz w:val="28"/>
          <w:szCs w:val="28"/>
        </w:rPr>
        <w:t>83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14:paraId="0F22A66C">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“▲”系指实质性要求，必须提供，否则投标无效。</w:t>
      </w:r>
    </w:p>
    <w:p w14:paraId="4E37E123">
      <w:pPr>
        <w:pStyle w:val="963"/>
        <w:tabs>
          <w:tab w:val="right" w:leader="dot" w:pos="9070"/>
        </w:tabs>
      </w:pPr>
    </w:p>
    <w:p w14:paraId="09647A0F">
      <w:pPr>
        <w:pStyle w:val="82"/>
        <w:ind w:firstLine="482" w:firstLineChars="0"/>
        <w:outlineLvl w:val="9"/>
      </w:pPr>
      <w:r>
        <w:rPr>
          <w:color w:val="auto"/>
          <w:highlight w:val="none"/>
        </w:rPr>
        <w:fldChar w:fldCharType="end"/>
      </w:r>
    </w:p>
    <w:p w14:paraId="751D8982">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54B49D42">
      <w:pPr>
        <w:keepNext w:val="0"/>
        <w:keepLines w:val="0"/>
        <w:pageBreakBefore w:val="0"/>
        <w:widowControl w:val="0"/>
        <w:kinsoku/>
        <w:wordWrap/>
        <w:overflowPunct/>
        <w:topLinePunct w:val="0"/>
        <w:autoSpaceDE/>
        <w:autoSpaceDN/>
        <w:bidi w:val="0"/>
        <w:adjustRightInd w:val="0"/>
        <w:snapToGrid w:val="0"/>
        <w:spacing w:line="360" w:lineRule="auto"/>
        <w:ind w:right="482"/>
        <w:jc w:val="center"/>
        <w:textAlignment w:val="auto"/>
        <w:outlineLvl w:val="1"/>
        <w:rPr>
          <w:rStyle w:val="966"/>
        </w:rPr>
      </w:pPr>
      <w:r>
        <w:rPr>
          <w:rFonts w:hint="eastAsia" w:ascii="宋体" w:hAnsi="宋体" w:cs="宋体"/>
          <w:b/>
          <w:color w:val="auto"/>
          <w:kern w:val="0"/>
          <w:sz w:val="32"/>
          <w:szCs w:val="32"/>
          <w:highlight w:val="none"/>
        </w:rPr>
        <w:t xml:space="preserve"> </w:t>
      </w:r>
      <w:bookmarkStart w:id="457" w:name="_Toc15983"/>
      <w:bookmarkStart w:id="458" w:name="_Toc13032"/>
      <w:bookmarkStart w:id="459" w:name="_Toc19545"/>
      <w:r>
        <w:rPr>
          <w:rStyle w:val="280"/>
          <w:rFonts w:hint="eastAsia"/>
          <w:sz w:val="28"/>
          <w:szCs w:val="28"/>
        </w:rPr>
        <w:t xml:space="preserve"> </w:t>
      </w:r>
      <w:bookmarkStart w:id="460" w:name="_Toc12395"/>
      <w:r>
        <w:rPr>
          <w:rStyle w:val="280"/>
          <w:rFonts w:hint="eastAsia"/>
          <w:sz w:val="28"/>
          <w:szCs w:val="28"/>
        </w:rPr>
        <w:t>一、 符合参加政府采购活动应当具备的一般条件的承诺函</w:t>
      </w:r>
      <w:bookmarkEnd w:id="457"/>
      <w:bookmarkEnd w:id="458"/>
      <w:bookmarkEnd w:id="459"/>
      <w:bookmarkEnd w:id="460"/>
    </w:p>
    <w:p w14:paraId="46326A5D">
      <w:pPr>
        <w:snapToGrid w:val="0"/>
        <w:spacing w:line="360" w:lineRule="auto"/>
        <w:ind w:right="480"/>
        <w:jc w:val="center"/>
        <w:rPr>
          <w:rFonts w:ascii="宋体" w:hAnsi="宋体" w:cs="宋体"/>
          <w:color w:val="auto"/>
          <w:sz w:val="24"/>
          <w:highlight w:val="none"/>
        </w:rPr>
      </w:pPr>
    </w:p>
    <w:p w14:paraId="6E83764F">
      <w:pPr>
        <w:snapToGrid w:val="0"/>
        <w:spacing w:line="360" w:lineRule="auto"/>
        <w:jc w:val="center"/>
        <w:outlineLvl w:val="2"/>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209EB3F3">
      <w:pPr>
        <w:snapToGrid w:val="0"/>
        <w:spacing w:line="360" w:lineRule="auto"/>
        <w:rPr>
          <w:rFonts w:ascii="宋体" w:hAnsi="宋体" w:cs="宋体"/>
          <w:color w:val="auto"/>
          <w:sz w:val="24"/>
          <w:highlight w:val="none"/>
        </w:rPr>
      </w:pPr>
    </w:p>
    <w:p w14:paraId="57C07AA7">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20A0589F">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1034DFAA">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6272169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040A8FE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343AD6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0DCD21C6">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5A194031">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5C2714C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12924FA6">
      <w:pPr>
        <w:snapToGrid w:val="0"/>
        <w:spacing w:line="360" w:lineRule="auto"/>
        <w:ind w:right="482" w:firstLine="480" w:firstLineChars="200"/>
        <w:outlineLvl w:val="2"/>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E33922C">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7991C6AE">
      <w:pPr>
        <w:snapToGrid w:val="0"/>
        <w:spacing w:line="360" w:lineRule="auto"/>
        <w:ind w:right="480"/>
        <w:rPr>
          <w:rFonts w:ascii="宋体" w:hAnsi="宋体" w:cs="宋体"/>
          <w:color w:val="auto"/>
          <w:sz w:val="24"/>
          <w:highlight w:val="none"/>
        </w:rPr>
      </w:pPr>
    </w:p>
    <w:p w14:paraId="629D31A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F95EEC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C9AC2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466A1A3">
      <w:pPr>
        <w:snapToGrid w:val="0"/>
        <w:spacing w:line="360" w:lineRule="auto"/>
        <w:ind w:right="480"/>
        <w:rPr>
          <w:rFonts w:ascii="宋体" w:hAnsi="宋体" w:cs="宋体"/>
          <w:color w:val="auto"/>
          <w:sz w:val="24"/>
          <w:highlight w:val="none"/>
        </w:rPr>
      </w:pPr>
    </w:p>
    <w:p w14:paraId="7178118B">
      <w:pPr>
        <w:rPr>
          <w:rFonts w:ascii="宋体" w:hAnsi="宋体" w:cs="宋体"/>
          <w:color w:val="auto"/>
          <w:highlight w:val="none"/>
        </w:rPr>
      </w:pPr>
    </w:p>
    <w:p w14:paraId="00BBD122">
      <w:pPr>
        <w:pStyle w:val="2"/>
        <w:keepNext/>
        <w:keepLines/>
        <w:pageBreakBefore w:val="0"/>
        <w:widowControl w:val="0"/>
        <w:kinsoku/>
        <w:wordWrap/>
        <w:overflowPunct/>
        <w:topLinePunct w:val="0"/>
        <w:autoSpaceDE/>
        <w:autoSpaceDN/>
        <w:bidi w:val="0"/>
        <w:adjustRightInd w:val="0"/>
        <w:snapToGrid/>
        <w:spacing w:line="579" w:lineRule="auto"/>
        <w:ind w:left="431" w:hanging="431"/>
        <w:jc w:val="center"/>
        <w:textAlignment w:val="auto"/>
        <w:outlineLvl w:val="1"/>
        <w:rPr>
          <w:sz w:val="28"/>
          <w:szCs w:val="28"/>
        </w:rPr>
      </w:pPr>
      <w:bookmarkStart w:id="461" w:name="_Toc762"/>
      <w:r>
        <w:rPr>
          <w:rFonts w:hint="eastAsia"/>
          <w:sz w:val="28"/>
          <w:szCs w:val="28"/>
        </w:rPr>
        <w:t>二、联合协议（如果有）</w:t>
      </w:r>
      <w:bookmarkEnd w:id="461"/>
    </w:p>
    <w:p w14:paraId="18D1F79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E8D334D">
      <w:pPr>
        <w:snapToGrid w:val="0"/>
        <w:spacing w:line="360" w:lineRule="auto"/>
        <w:ind w:right="480"/>
        <w:jc w:val="center"/>
        <w:rPr>
          <w:rFonts w:ascii="宋体" w:hAnsi="宋体" w:cs="宋体"/>
          <w:b/>
          <w:color w:val="auto"/>
          <w:kern w:val="0"/>
          <w:sz w:val="32"/>
          <w:szCs w:val="32"/>
          <w:highlight w:val="none"/>
        </w:rPr>
      </w:pPr>
    </w:p>
    <w:p w14:paraId="5784BEA4">
      <w:pPr>
        <w:pStyle w:val="2"/>
        <w:bidi w:val="0"/>
        <w:jc w:val="center"/>
        <w:outlineLvl w:val="1"/>
        <w:rPr>
          <w:sz w:val="28"/>
          <w:szCs w:val="28"/>
        </w:rPr>
      </w:pPr>
      <w:bookmarkStart w:id="462" w:name="_Toc12676"/>
      <w:r>
        <w:rPr>
          <w:rFonts w:hint="eastAsia"/>
          <w:sz w:val="28"/>
          <w:szCs w:val="28"/>
        </w:rPr>
        <w:t>三、落实政府采购政策需满足的资格要求</w:t>
      </w:r>
      <w:bookmarkEnd w:id="462"/>
    </w:p>
    <w:p w14:paraId="539D494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A004BB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E86FF6F">
      <w:pPr>
        <w:widowControl/>
        <w:spacing w:line="360" w:lineRule="auto"/>
        <w:ind w:firstLine="480"/>
        <w:jc w:val="left"/>
        <w:rPr>
          <w:rFonts w:ascii="宋体" w:hAnsi="宋体" w:cs="宋体"/>
          <w:color w:val="auto"/>
          <w:sz w:val="24"/>
          <w:highlight w:val="none"/>
        </w:rPr>
      </w:pPr>
    </w:p>
    <w:p w14:paraId="3E2ECD1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7B51A8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5E543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E6421AC">
      <w:pPr>
        <w:widowControl/>
        <w:spacing w:line="360" w:lineRule="auto"/>
        <w:ind w:left="150"/>
        <w:jc w:val="center"/>
        <w:rPr>
          <w:rFonts w:ascii="宋体" w:hAnsi="宋体" w:cs="宋体"/>
          <w:b/>
          <w:color w:val="auto"/>
          <w:kern w:val="0"/>
          <w:sz w:val="32"/>
          <w:szCs w:val="32"/>
          <w:highlight w:val="none"/>
        </w:rPr>
      </w:pPr>
    </w:p>
    <w:p w14:paraId="09435517">
      <w:pPr>
        <w:pStyle w:val="2"/>
        <w:bidi w:val="0"/>
        <w:jc w:val="center"/>
        <w:outlineLvl w:val="1"/>
        <w:rPr>
          <w:sz w:val="28"/>
          <w:szCs w:val="28"/>
        </w:rPr>
      </w:pPr>
      <w:bookmarkStart w:id="463" w:name="_Toc15602"/>
      <w:r>
        <w:rPr>
          <w:rFonts w:hint="eastAsia"/>
          <w:sz w:val="28"/>
          <w:szCs w:val="28"/>
        </w:rPr>
        <w:t>四、本项目的特定资格要求</w:t>
      </w:r>
      <w:bookmarkEnd w:id="463"/>
    </w:p>
    <w:p w14:paraId="665BB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8D28F56">
      <w:pPr>
        <w:rPr>
          <w:rFonts w:ascii="宋体" w:hAnsi="宋体" w:cs="宋体"/>
          <w:color w:val="auto"/>
          <w:highlight w:val="none"/>
        </w:rPr>
      </w:pPr>
    </w:p>
    <w:p w14:paraId="7089FEF0">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1C34C75">
      <w:pPr>
        <w:pStyle w:val="2"/>
        <w:bidi w:val="0"/>
        <w:jc w:val="center"/>
        <w:outlineLvl w:val="9"/>
        <w:rPr>
          <w:rFonts w:hint="eastAsia"/>
        </w:rPr>
        <w:sectPr>
          <w:headerReference r:id="rId6" w:type="first"/>
          <w:footerReference r:id="rId8" w:type="first"/>
          <w:headerReference r:id="rId5" w:type="default"/>
          <w:footerReference r:id="rId7" w:type="default"/>
          <w:pgSz w:w="11906" w:h="16838"/>
          <w:pgMar w:top="1276" w:right="1077" w:bottom="1247" w:left="1418" w:header="567" w:footer="680" w:gutter="0"/>
          <w:pgNumType w:fmt="decimal" w:start="1"/>
          <w:cols w:space="720" w:num="1"/>
          <w:titlePg/>
          <w:docGrid w:linePitch="312" w:charSpace="0"/>
        </w:sectPr>
      </w:pPr>
      <w:bookmarkStart w:id="464" w:name="OLE_LINK14"/>
    </w:p>
    <w:p w14:paraId="1AA4B6EE">
      <w:pPr>
        <w:bidi w:val="0"/>
        <w:jc w:val="center"/>
        <w:rPr>
          <w:rFonts w:hint="eastAsia"/>
          <w:b/>
          <w:bCs/>
          <w:sz w:val="44"/>
          <w:szCs w:val="44"/>
        </w:rPr>
      </w:pPr>
    </w:p>
    <w:p w14:paraId="36C565C6">
      <w:pPr>
        <w:bidi w:val="0"/>
        <w:jc w:val="center"/>
        <w:rPr>
          <w:b/>
          <w:bCs/>
          <w:sz w:val="44"/>
          <w:szCs w:val="44"/>
        </w:rPr>
      </w:pPr>
      <w:r>
        <w:rPr>
          <w:rFonts w:hint="eastAsia"/>
          <w:b/>
          <w:bCs/>
          <w:sz w:val="44"/>
          <w:szCs w:val="44"/>
        </w:rPr>
        <w:t>商务技术文件部分</w:t>
      </w:r>
    </w:p>
    <w:bookmarkEnd w:id="464"/>
    <w:p w14:paraId="1FD12777">
      <w:pPr>
        <w:widowControl/>
        <w:adjustRightInd/>
        <w:jc w:val="center"/>
        <w:outlineLvl w:val="9"/>
        <w:rPr>
          <w:rFonts w:hint="eastAsia" w:ascii="宋体" w:hAnsi="宋体" w:cs="宋体"/>
          <w:b/>
          <w:color w:val="auto"/>
          <w:kern w:val="0"/>
          <w:sz w:val="36"/>
          <w:szCs w:val="36"/>
          <w:highlight w:val="none"/>
        </w:rPr>
      </w:pPr>
    </w:p>
    <w:p w14:paraId="00B4855F">
      <w:pPr>
        <w:spacing w:before="0" w:beforeLines="0" w:after="0" w:afterLines="0" w:line="240" w:lineRule="auto"/>
        <w:ind w:left="0" w:leftChars="0" w:right="0" w:rightChars="0" w:firstLine="0" w:firstLineChars="0"/>
        <w:jc w:val="center"/>
      </w:pPr>
    </w:p>
    <w:p w14:paraId="09B3979F">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_Toc5875 </w:instrText>
      </w:r>
      <w:r>
        <w:rPr>
          <w:rFonts w:hint="eastAsia" w:ascii="宋体" w:hAnsi="宋体" w:eastAsia="宋体" w:cs="宋体"/>
          <w:sz w:val="28"/>
          <w:szCs w:val="28"/>
        </w:rPr>
        <w:fldChar w:fldCharType="separate"/>
      </w:r>
      <w:r>
        <w:rPr>
          <w:rFonts w:hint="eastAsia" w:ascii="宋体" w:hAnsi="宋体" w:eastAsia="宋体" w:cs="宋体"/>
          <w:sz w:val="28"/>
          <w:szCs w:val="28"/>
        </w:rPr>
        <w:t>一、投标函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_Toc5875 \h </w:instrText>
      </w:r>
      <w:r>
        <w:rPr>
          <w:rFonts w:hint="eastAsia" w:ascii="宋体" w:hAnsi="宋体" w:eastAsia="宋体" w:cs="宋体"/>
          <w:sz w:val="28"/>
          <w:szCs w:val="28"/>
        </w:rPr>
        <w:fldChar w:fldCharType="separate"/>
      </w:r>
      <w:r>
        <w:rPr>
          <w:rFonts w:hint="eastAsia" w:ascii="宋体" w:hAnsi="宋体" w:eastAsia="宋体" w:cs="宋体"/>
          <w:sz w:val="28"/>
          <w:szCs w:val="28"/>
        </w:rPr>
        <w:t>85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9F43A3D">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highlight w:val="none"/>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_Toc27114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二、授权委托书或法定代表人（单位负责人、自然人本人）身份证明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_Toc27114 \h </w:instrText>
      </w:r>
      <w:r>
        <w:rPr>
          <w:rFonts w:hint="eastAsia" w:ascii="宋体" w:hAnsi="宋体" w:eastAsia="宋体" w:cs="宋体"/>
          <w:sz w:val="28"/>
          <w:szCs w:val="28"/>
        </w:rPr>
        <w:fldChar w:fldCharType="separate"/>
      </w:r>
      <w:r>
        <w:rPr>
          <w:rFonts w:hint="eastAsia" w:ascii="宋体" w:hAnsi="宋体" w:eastAsia="宋体" w:cs="宋体"/>
          <w:sz w:val="28"/>
          <w:szCs w:val="28"/>
        </w:rPr>
        <w:t>86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CCB66C">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_Toc2348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三、分包意向协议（如果有）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_Toc2348 \h </w:instrText>
      </w:r>
      <w:r>
        <w:rPr>
          <w:rFonts w:hint="eastAsia" w:ascii="宋体" w:hAnsi="宋体" w:eastAsia="宋体" w:cs="宋体"/>
          <w:sz w:val="28"/>
          <w:szCs w:val="28"/>
        </w:rPr>
        <w:fldChar w:fldCharType="separate"/>
      </w:r>
      <w:r>
        <w:rPr>
          <w:rFonts w:hint="eastAsia" w:ascii="宋体" w:hAnsi="宋体" w:eastAsia="宋体" w:cs="宋体"/>
          <w:sz w:val="28"/>
          <w:szCs w:val="28"/>
        </w:rPr>
        <w:t>88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C2043DC">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_Toc15456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四、符合性审查资料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_Toc15456 \h </w:instrText>
      </w:r>
      <w:r>
        <w:rPr>
          <w:rFonts w:hint="eastAsia" w:ascii="宋体" w:hAnsi="宋体" w:eastAsia="宋体" w:cs="宋体"/>
          <w:sz w:val="28"/>
          <w:szCs w:val="28"/>
        </w:rPr>
        <w:fldChar w:fldCharType="separate"/>
      </w:r>
      <w:r>
        <w:rPr>
          <w:rFonts w:hint="eastAsia" w:ascii="宋体" w:hAnsi="宋体" w:eastAsia="宋体" w:cs="宋体"/>
          <w:sz w:val="28"/>
          <w:szCs w:val="28"/>
        </w:rPr>
        <w:t>88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50F42E">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_Toc9097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五、评标标准相应的商务技术资料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_Toc9097 \h </w:instrText>
      </w:r>
      <w:r>
        <w:rPr>
          <w:rFonts w:hint="eastAsia" w:ascii="宋体" w:hAnsi="宋体" w:eastAsia="宋体" w:cs="宋体"/>
          <w:sz w:val="28"/>
          <w:szCs w:val="28"/>
        </w:rPr>
        <w:fldChar w:fldCharType="separate"/>
      </w:r>
      <w:r>
        <w:rPr>
          <w:rFonts w:hint="eastAsia" w:ascii="宋体" w:hAnsi="宋体" w:eastAsia="宋体" w:cs="宋体"/>
          <w:sz w:val="28"/>
          <w:szCs w:val="28"/>
        </w:rPr>
        <w:t>88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A5CCA0">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_Toc4274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六、投标标的清单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_Toc4274 \h </w:instrText>
      </w:r>
      <w:r>
        <w:rPr>
          <w:rFonts w:hint="eastAsia" w:ascii="宋体" w:hAnsi="宋体" w:eastAsia="宋体" w:cs="宋体"/>
          <w:sz w:val="28"/>
          <w:szCs w:val="28"/>
        </w:rPr>
        <w:fldChar w:fldCharType="separate"/>
      </w:r>
      <w:r>
        <w:rPr>
          <w:rFonts w:hint="eastAsia" w:ascii="宋体" w:hAnsi="宋体" w:eastAsia="宋体" w:cs="宋体"/>
          <w:sz w:val="28"/>
          <w:szCs w:val="28"/>
        </w:rPr>
        <w:t>89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506DF7">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highlight w:val="none"/>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_Toc12926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七、商务技术偏离表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_Toc12926 \h </w:instrText>
      </w:r>
      <w:r>
        <w:rPr>
          <w:rFonts w:hint="eastAsia" w:ascii="宋体" w:hAnsi="宋体" w:eastAsia="宋体" w:cs="宋体"/>
          <w:sz w:val="28"/>
          <w:szCs w:val="28"/>
        </w:rPr>
        <w:fldChar w:fldCharType="separate"/>
      </w:r>
      <w:r>
        <w:rPr>
          <w:rFonts w:hint="eastAsia" w:ascii="宋体" w:hAnsi="宋体" w:eastAsia="宋体" w:cs="宋体"/>
          <w:sz w:val="28"/>
          <w:szCs w:val="28"/>
        </w:rPr>
        <w:t>89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CDE134">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highlight w:val="none"/>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_Toc23986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八、政府采购供应商廉洁自律承诺书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_Toc23986 \h </w:instrText>
      </w:r>
      <w:r>
        <w:rPr>
          <w:rFonts w:hint="eastAsia" w:ascii="宋体" w:hAnsi="宋体" w:eastAsia="宋体" w:cs="宋体"/>
          <w:sz w:val="28"/>
          <w:szCs w:val="28"/>
        </w:rPr>
        <w:fldChar w:fldCharType="separate"/>
      </w:r>
      <w:r>
        <w:rPr>
          <w:rFonts w:hint="eastAsia" w:ascii="宋体" w:hAnsi="宋体" w:eastAsia="宋体" w:cs="宋体"/>
          <w:sz w:val="28"/>
          <w:szCs w:val="28"/>
        </w:rPr>
        <w:t>90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ECC40F">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highlight w:val="none"/>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_Toc1280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九、承诺函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_Toc1280 \h </w:instrText>
      </w:r>
      <w:r>
        <w:rPr>
          <w:rFonts w:hint="eastAsia" w:ascii="宋体" w:hAnsi="宋体" w:eastAsia="宋体" w:cs="宋体"/>
          <w:sz w:val="28"/>
          <w:szCs w:val="28"/>
        </w:rPr>
        <w:fldChar w:fldCharType="separate"/>
      </w:r>
      <w:r>
        <w:rPr>
          <w:rFonts w:hint="eastAsia"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74C152">
      <w:pPr>
        <w:pStyle w:val="42"/>
        <w:keepNext w:val="0"/>
        <w:keepLines w:val="0"/>
        <w:pageBreakBefore w:val="0"/>
        <w:tabs>
          <w:tab w:val="right" w:leader="dot" w:pos="9411"/>
        </w:tabs>
        <w:kinsoku/>
        <w:wordWrap/>
        <w:overflowPunct/>
        <w:topLinePunct w:val="0"/>
        <w:autoSpaceDE/>
        <w:autoSpaceDN/>
        <w:bidi w:val="0"/>
        <w:snapToGrid/>
        <w:spacing w:line="420" w:lineRule="exact"/>
        <w:textAlignment w:val="auto"/>
        <w:rPr>
          <w:rFonts w:hint="eastAsia" w:ascii="宋体" w:hAnsi="宋体" w:eastAsia="宋体" w:cs="宋体"/>
          <w:sz w:val="28"/>
          <w:szCs w:val="28"/>
        </w:rPr>
      </w:pPr>
    </w:p>
    <w:p w14:paraId="268FD963">
      <w:pPr>
        <w:keepNext w:val="0"/>
        <w:keepLines w:val="0"/>
        <w:pageBreakBefore w:val="0"/>
        <w:kinsoku/>
        <w:wordWrap/>
        <w:overflowPunct/>
        <w:topLinePunct w:val="0"/>
        <w:autoSpaceDE/>
        <w:autoSpaceDN/>
        <w:bidi w:val="0"/>
        <w:snapToGrid/>
        <w:spacing w:line="420" w:lineRule="exact"/>
        <w:textAlignment w:val="auto"/>
        <w:rPr>
          <w:rFonts w:hint="eastAsia" w:ascii="宋体" w:hAnsi="宋体" w:eastAsia="宋体" w:cs="宋体"/>
          <w:kern w:val="2"/>
          <w:sz w:val="28"/>
          <w:szCs w:val="28"/>
          <w:lang w:val="zh-CN" w:eastAsia="zh-CN" w:bidi="ar-SA"/>
        </w:rPr>
      </w:pPr>
      <w:r>
        <w:rPr>
          <w:rFonts w:hint="eastAsia" w:ascii="宋体" w:hAnsi="宋体" w:eastAsia="宋体" w:cs="宋体"/>
          <w:sz w:val="28"/>
          <w:szCs w:val="28"/>
        </w:rPr>
        <w:fldChar w:fldCharType="end"/>
      </w:r>
    </w:p>
    <w:p w14:paraId="0BFBE642">
      <w:pPr>
        <w:snapToGrid w:val="0"/>
        <w:spacing w:line="360" w:lineRule="auto"/>
        <w:outlineLvl w:val="2"/>
        <w:rPr>
          <w:rFonts w:hint="eastAsia" w:ascii="宋体" w:hAnsi="宋体" w:eastAsia="宋体" w:cs="宋体"/>
          <w:kern w:val="2"/>
          <w:sz w:val="28"/>
          <w:szCs w:val="28"/>
          <w:lang w:val="zh-CN" w:eastAsia="zh-CN" w:bidi="ar-SA"/>
        </w:rPr>
      </w:pPr>
      <w:r>
        <w:rPr>
          <w:rFonts w:hint="eastAsia" w:ascii="宋体" w:hAnsi="宋体" w:eastAsia="宋体" w:cs="宋体"/>
          <w:kern w:val="2"/>
          <w:sz w:val="28"/>
          <w:szCs w:val="28"/>
          <w:lang w:val="zh-CN" w:eastAsia="zh-CN" w:bidi="ar-SA"/>
        </w:rPr>
        <w:t>“▲”系指实质性要求，必须提供，否则投标无效。</w:t>
      </w:r>
    </w:p>
    <w:p w14:paraId="4DF1526D">
      <w:pPr>
        <w:pStyle w:val="82"/>
        <w:outlineLvl w:val="9"/>
        <w:rPr>
          <w:rFonts w:hint="eastAsia" w:ascii="宋体" w:hAnsi="宋体" w:eastAsia="宋体" w:cs="宋体"/>
          <w:kern w:val="2"/>
          <w:sz w:val="28"/>
          <w:szCs w:val="28"/>
          <w:lang w:val="zh-CN" w:eastAsia="zh-CN" w:bidi="ar-SA"/>
        </w:rPr>
      </w:pPr>
    </w:p>
    <w:p w14:paraId="0923A97E">
      <w:pPr>
        <w:snapToGrid w:val="0"/>
        <w:spacing w:line="360" w:lineRule="auto"/>
        <w:jc w:val="center"/>
        <w:outlineLvl w:val="9"/>
        <w:rPr>
          <w:rFonts w:ascii="宋体" w:hAnsi="宋体" w:cs="宋体"/>
          <w:b/>
          <w:color w:val="auto"/>
          <w:kern w:val="0"/>
          <w:sz w:val="32"/>
          <w:szCs w:val="32"/>
          <w:highlight w:val="none"/>
        </w:rPr>
      </w:pPr>
    </w:p>
    <w:p w14:paraId="6EA96864">
      <w:pPr>
        <w:snapToGrid w:val="0"/>
        <w:spacing w:line="360" w:lineRule="auto"/>
        <w:jc w:val="center"/>
        <w:rPr>
          <w:rFonts w:ascii="宋体" w:hAnsi="宋体" w:cs="宋体"/>
          <w:b/>
          <w:color w:val="auto"/>
          <w:kern w:val="0"/>
          <w:sz w:val="32"/>
          <w:szCs w:val="32"/>
          <w:highlight w:val="none"/>
          <w:lang w:val="zh-CN"/>
        </w:rPr>
      </w:pPr>
    </w:p>
    <w:p w14:paraId="511AC0E0">
      <w:pPr>
        <w:snapToGrid w:val="0"/>
        <w:spacing w:line="360" w:lineRule="auto"/>
        <w:jc w:val="center"/>
        <w:rPr>
          <w:rFonts w:ascii="宋体" w:hAnsi="宋体" w:cs="宋体"/>
          <w:b/>
          <w:color w:val="auto"/>
          <w:kern w:val="0"/>
          <w:sz w:val="32"/>
          <w:szCs w:val="32"/>
          <w:highlight w:val="none"/>
          <w:lang w:val="zh-CN"/>
        </w:rPr>
      </w:pPr>
    </w:p>
    <w:p w14:paraId="7C5732BB">
      <w:pPr>
        <w:snapToGrid w:val="0"/>
        <w:spacing w:line="360" w:lineRule="auto"/>
        <w:jc w:val="center"/>
        <w:rPr>
          <w:rFonts w:ascii="宋体" w:hAnsi="宋体" w:cs="宋体"/>
          <w:b/>
          <w:color w:val="auto"/>
          <w:kern w:val="0"/>
          <w:sz w:val="32"/>
          <w:szCs w:val="32"/>
          <w:highlight w:val="none"/>
          <w:lang w:val="zh-CN"/>
        </w:rPr>
      </w:pPr>
    </w:p>
    <w:p w14:paraId="7BEB1E27">
      <w:pPr>
        <w:snapToGrid w:val="0"/>
        <w:spacing w:line="360" w:lineRule="auto"/>
        <w:rPr>
          <w:rFonts w:ascii="宋体" w:hAnsi="宋体" w:cs="宋体"/>
          <w:b/>
          <w:color w:val="auto"/>
          <w:kern w:val="0"/>
          <w:sz w:val="32"/>
          <w:szCs w:val="32"/>
          <w:highlight w:val="none"/>
        </w:rPr>
      </w:pPr>
    </w:p>
    <w:p w14:paraId="2189C7E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0EC7794">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pPr>
      <w:bookmarkStart w:id="465" w:name="_Toc10243"/>
      <w:bookmarkStart w:id="466" w:name="_Toc5875"/>
      <w:r>
        <w:rPr>
          <w:rFonts w:hint="eastAsia"/>
        </w:rPr>
        <w:t>一、投标函</w:t>
      </w:r>
      <w:bookmarkEnd w:id="465"/>
      <w:bookmarkEnd w:id="466"/>
    </w:p>
    <w:p w14:paraId="19AB0F70">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w:t>
      </w:r>
    </w:p>
    <w:p w14:paraId="0AA6C3E5">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我方参加你方组织的（项目名称）【招标编号：（采购编号）】招标的有关活动，并对此项目进行投标。为此：</w:t>
      </w:r>
    </w:p>
    <w:p w14:paraId="6B32B8D1">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天（不少于60天），本投标文件在投标有效期满之前均具有约束力。</w:t>
      </w:r>
    </w:p>
    <w:p w14:paraId="1B9D4D97">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2、我方的投标文件包括以下内容：</w:t>
      </w:r>
    </w:p>
    <w:p w14:paraId="5BE3B6D2">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outlineLvl w:val="3"/>
        <w:rPr>
          <w:rFonts w:ascii="宋体" w:hAnsi="宋体" w:cs="宋体"/>
          <w:color w:val="auto"/>
          <w:sz w:val="24"/>
          <w:szCs w:val="24"/>
          <w:highlight w:val="none"/>
        </w:rPr>
      </w:pPr>
      <w:r>
        <w:rPr>
          <w:rFonts w:hint="eastAsia" w:ascii="宋体" w:hAnsi="宋体" w:cs="宋体"/>
          <w:color w:val="auto"/>
          <w:sz w:val="24"/>
          <w:szCs w:val="24"/>
          <w:highlight w:val="none"/>
        </w:rPr>
        <w:t>2.1资格文件：</w:t>
      </w:r>
    </w:p>
    <w:p w14:paraId="404779DA">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2.1.1承诺函；</w:t>
      </w:r>
    </w:p>
    <w:p w14:paraId="7F9C15BD">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snapToGrid w:val="0"/>
          <w:color w:val="auto"/>
          <w:kern w:val="28"/>
          <w:sz w:val="24"/>
          <w:szCs w:val="24"/>
          <w:highlight w:val="none"/>
        </w:rPr>
        <w:t>联合协议（如果有)；</w:t>
      </w:r>
    </w:p>
    <w:p w14:paraId="51EEA15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.1.3</w:t>
      </w:r>
      <w:r>
        <w:rPr>
          <w:rFonts w:hint="eastAsia" w:ascii="宋体" w:hAnsi="宋体" w:cs="宋体"/>
          <w:color w:val="auto"/>
          <w:sz w:val="24"/>
          <w:szCs w:val="24"/>
          <w:highlight w:val="none"/>
        </w:rPr>
        <w:t>落实政府采购政策需满足的资格要求</w:t>
      </w:r>
      <w:r>
        <w:rPr>
          <w:rFonts w:hint="eastAsia" w:ascii="宋体" w:hAnsi="宋体" w:cs="宋体"/>
          <w:snapToGrid w:val="0"/>
          <w:color w:val="auto"/>
          <w:kern w:val="28"/>
          <w:sz w:val="24"/>
          <w:szCs w:val="24"/>
          <w:highlight w:val="none"/>
        </w:rPr>
        <w:t>（如果有）</w:t>
      </w:r>
      <w:r>
        <w:rPr>
          <w:rFonts w:hint="eastAsia" w:ascii="宋体" w:hAnsi="宋体" w:cs="宋体"/>
          <w:color w:val="auto"/>
          <w:sz w:val="24"/>
          <w:szCs w:val="24"/>
          <w:highlight w:val="none"/>
        </w:rPr>
        <w:t>；</w:t>
      </w:r>
    </w:p>
    <w:p w14:paraId="2375BC30">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2.1.</w:t>
      </w:r>
      <w:r>
        <w:rPr>
          <w:rFonts w:ascii="宋体" w:hAnsi="宋体" w:cs="宋体"/>
          <w:color w:val="auto"/>
          <w:sz w:val="24"/>
          <w:szCs w:val="24"/>
          <w:highlight w:val="none"/>
        </w:rPr>
        <w:t>4</w:t>
      </w:r>
      <w:r>
        <w:rPr>
          <w:rFonts w:hint="eastAsia" w:ascii="宋体" w:hAnsi="宋体" w:cs="宋体"/>
          <w:color w:val="auto"/>
          <w:sz w:val="24"/>
          <w:szCs w:val="24"/>
          <w:highlight w:val="none"/>
        </w:rPr>
        <w:t>本项目的特定资格要求</w:t>
      </w:r>
      <w:r>
        <w:rPr>
          <w:rFonts w:hint="eastAsia" w:ascii="宋体" w:hAnsi="宋体" w:cs="宋体"/>
          <w:snapToGrid w:val="0"/>
          <w:color w:val="auto"/>
          <w:kern w:val="28"/>
          <w:sz w:val="24"/>
          <w:szCs w:val="24"/>
          <w:highlight w:val="none"/>
        </w:rPr>
        <w:t>（如果有）</w:t>
      </w:r>
      <w:r>
        <w:rPr>
          <w:rFonts w:hint="eastAsia" w:ascii="宋体" w:hAnsi="宋体" w:cs="宋体"/>
          <w:color w:val="auto"/>
          <w:sz w:val="24"/>
          <w:szCs w:val="24"/>
          <w:highlight w:val="none"/>
        </w:rPr>
        <w:t>。</w:t>
      </w:r>
    </w:p>
    <w:p w14:paraId="18B6801B">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outlineLvl w:val="3"/>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18CCD973">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2.2.1投标函；</w:t>
      </w:r>
      <w:r>
        <w:rPr>
          <w:rFonts w:hint="eastAsia" w:ascii="宋体" w:hAnsi="宋体" w:cs="宋体"/>
          <w:color w:val="auto"/>
          <w:sz w:val="24"/>
          <w:szCs w:val="24"/>
          <w:highlight w:val="none"/>
          <w:lang w:val="zh-CN"/>
        </w:rPr>
        <w:t xml:space="preserve"> </w:t>
      </w:r>
    </w:p>
    <w:p w14:paraId="642D8B11">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2.2.2授权委托书或法定代表人（单位负责人）身份证明；</w:t>
      </w:r>
    </w:p>
    <w:p w14:paraId="1A9A57E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3</w:t>
      </w:r>
      <w:r>
        <w:rPr>
          <w:rFonts w:hint="eastAsia" w:ascii="宋体" w:hAnsi="宋体" w:cs="宋体"/>
          <w:color w:val="auto"/>
          <w:sz w:val="24"/>
          <w:szCs w:val="24"/>
          <w:highlight w:val="none"/>
        </w:rPr>
        <w:t>分包意向协议</w:t>
      </w:r>
      <w:r>
        <w:rPr>
          <w:rFonts w:hint="eastAsia" w:ascii="宋体" w:hAnsi="宋体" w:cs="宋体"/>
          <w:snapToGrid w:val="0"/>
          <w:color w:val="auto"/>
          <w:kern w:val="28"/>
          <w:sz w:val="24"/>
          <w:szCs w:val="24"/>
          <w:highlight w:val="none"/>
        </w:rPr>
        <w:t>（如果有）</w:t>
      </w:r>
      <w:r>
        <w:rPr>
          <w:rFonts w:hint="eastAsia" w:ascii="宋体" w:hAnsi="宋体" w:cs="宋体"/>
          <w:color w:val="auto"/>
          <w:sz w:val="24"/>
          <w:szCs w:val="24"/>
          <w:highlight w:val="none"/>
        </w:rPr>
        <w:t>；</w:t>
      </w:r>
    </w:p>
    <w:p w14:paraId="0E099554">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4</w:t>
      </w:r>
      <w:r>
        <w:rPr>
          <w:rFonts w:hint="eastAsia" w:ascii="宋体" w:hAnsi="宋体" w:cs="宋体"/>
          <w:color w:val="auto"/>
          <w:sz w:val="24"/>
          <w:szCs w:val="24"/>
          <w:highlight w:val="none"/>
        </w:rPr>
        <w:t>符合性审查资料；</w:t>
      </w:r>
    </w:p>
    <w:p w14:paraId="2C0C0097">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5</w:t>
      </w:r>
      <w:r>
        <w:rPr>
          <w:rFonts w:hint="eastAsia" w:ascii="宋体" w:hAnsi="宋体" w:cs="宋体"/>
          <w:color w:val="auto"/>
          <w:sz w:val="24"/>
          <w:szCs w:val="24"/>
          <w:highlight w:val="none"/>
        </w:rPr>
        <w:t>评标标准相应的商务技术资料（如果有）；</w:t>
      </w:r>
    </w:p>
    <w:p w14:paraId="30789D61">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6</w:t>
      </w:r>
      <w:r>
        <w:rPr>
          <w:rFonts w:hint="eastAsia" w:ascii="宋体" w:hAnsi="宋体" w:cs="宋体"/>
          <w:color w:val="auto"/>
          <w:sz w:val="24"/>
          <w:szCs w:val="24"/>
          <w:highlight w:val="none"/>
        </w:rPr>
        <w:t>投标标的清单（如果有）；</w:t>
      </w:r>
    </w:p>
    <w:p w14:paraId="3DF4ADAC">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7</w:t>
      </w:r>
      <w:r>
        <w:rPr>
          <w:rFonts w:hint="eastAsia" w:ascii="宋体" w:hAnsi="宋体" w:cs="宋体"/>
          <w:color w:val="auto"/>
          <w:sz w:val="24"/>
          <w:szCs w:val="24"/>
          <w:highlight w:val="none"/>
        </w:rPr>
        <w:t>商务技术偏离表；</w:t>
      </w:r>
    </w:p>
    <w:p w14:paraId="1C764FA8">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p>
    <w:p w14:paraId="684B34BA">
      <w:pPr>
        <w:pStyle w:val="82"/>
        <w:keepNext w:val="0"/>
        <w:keepLines w:val="0"/>
        <w:pageBreakBefore w:val="0"/>
        <w:widowControl w:val="0"/>
        <w:kinsoku/>
        <w:wordWrap/>
        <w:overflowPunct/>
        <w:topLinePunct w:val="0"/>
        <w:autoSpaceDE/>
        <w:autoSpaceDN/>
        <w:bidi w:val="0"/>
        <w:adjustRightInd w:val="0"/>
        <w:spacing w:line="380" w:lineRule="exact"/>
        <w:ind w:left="420" w:leftChars="200" w:firstLine="480" w:firstLineChars="200"/>
        <w:textAlignment w:val="auto"/>
        <w:rPr>
          <w:color w:val="auto"/>
          <w:sz w:val="24"/>
          <w:szCs w:val="24"/>
          <w:highlight w:val="none"/>
        </w:rPr>
      </w:pPr>
      <w:r>
        <w:rPr>
          <w:rFonts w:hint="eastAsia" w:cs="宋体"/>
          <w:color w:val="auto"/>
          <w:sz w:val="24"/>
          <w:szCs w:val="24"/>
          <w:highlight w:val="none"/>
        </w:rPr>
        <w:t>2</w:t>
      </w:r>
      <w:r>
        <w:rPr>
          <w:rFonts w:hint="eastAsia" w:cs="宋体"/>
          <w:color w:val="auto"/>
          <w:sz w:val="24"/>
          <w:szCs w:val="24"/>
          <w:highlight w:val="none"/>
          <w:lang w:val="zh-CN"/>
        </w:rPr>
        <w:t>.</w:t>
      </w:r>
      <w:r>
        <w:rPr>
          <w:rFonts w:hint="eastAsia" w:cs="宋体"/>
          <w:color w:val="auto"/>
          <w:sz w:val="24"/>
          <w:szCs w:val="24"/>
          <w:highlight w:val="none"/>
        </w:rPr>
        <w:t>2</w:t>
      </w:r>
      <w:r>
        <w:rPr>
          <w:rFonts w:hint="eastAsia" w:cs="宋体"/>
          <w:color w:val="auto"/>
          <w:sz w:val="24"/>
          <w:szCs w:val="24"/>
          <w:highlight w:val="none"/>
          <w:lang w:val="zh-CN"/>
        </w:rPr>
        <w:t>.</w:t>
      </w:r>
      <w:r>
        <w:rPr>
          <w:rFonts w:hint="eastAsia" w:cs="宋体"/>
          <w:color w:val="auto"/>
          <w:sz w:val="24"/>
          <w:szCs w:val="24"/>
          <w:highlight w:val="none"/>
        </w:rPr>
        <w:t>9</w:t>
      </w:r>
      <w:r>
        <w:rPr>
          <w:rFonts w:hint="eastAsia" w:cs="宋体"/>
          <w:color w:val="auto"/>
          <w:sz w:val="24"/>
          <w:szCs w:val="24"/>
          <w:highlight w:val="none"/>
          <w:lang w:val="zh-CN"/>
        </w:rPr>
        <w:t>承诺函；</w:t>
      </w:r>
    </w:p>
    <w:p w14:paraId="22F42D72">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outlineLvl w:val="3"/>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3报价文件</w:t>
      </w:r>
    </w:p>
    <w:p w14:paraId="6BBA1FC2">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2.3.1开标一览表（报价表）；</w:t>
      </w:r>
    </w:p>
    <w:p w14:paraId="20D901DB">
      <w:pPr>
        <w:keepNext w:val="0"/>
        <w:keepLines w:val="0"/>
        <w:pageBreakBefore w:val="0"/>
        <w:widowControl w:val="0"/>
        <w:kinsoku/>
        <w:wordWrap/>
        <w:overflowPunct/>
        <w:topLinePunct w:val="0"/>
        <w:autoSpaceDE/>
        <w:autoSpaceDN/>
        <w:bidi w:val="0"/>
        <w:adjustRightInd w:val="0"/>
        <w:snapToGrid w:val="0"/>
        <w:spacing w:line="380" w:lineRule="exact"/>
        <w:ind w:left="420" w:leftChars="2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2.3.2中小企业声明函（如果有）。</w:t>
      </w:r>
    </w:p>
    <w:p w14:paraId="67C97314">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3、我方承诺除商务技术偏离表列出的偏离外，我方响应招标文件的全部要求。</w:t>
      </w:r>
    </w:p>
    <w:p w14:paraId="0B3479A4">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3D1B9518">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5D8AF35C">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66D2F92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4.3按照招标文件要求提交履约保证金； </w:t>
      </w:r>
    </w:p>
    <w:p w14:paraId="5090D673">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0B97F569">
      <w:pPr>
        <w:keepNext w:val="0"/>
        <w:keepLines w:val="0"/>
        <w:pageBreakBefore w:val="0"/>
        <w:widowControl w:val="0"/>
        <w:kinsoku/>
        <w:wordWrap/>
        <w:overflowPunct/>
        <w:topLinePunct w:val="0"/>
        <w:autoSpaceDE/>
        <w:autoSpaceDN/>
        <w:bidi w:val="0"/>
        <w:adjustRightInd w:val="0"/>
        <w:snapToGrid w:val="0"/>
        <w:spacing w:line="380" w:lineRule="exact"/>
        <w:ind w:left="210" w:leftChars="10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4F19A15">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投标人名称（公章）：</w:t>
      </w:r>
    </w:p>
    <w:p w14:paraId="39496268">
      <w:pPr>
        <w:keepNext w:val="0"/>
        <w:keepLines w:val="0"/>
        <w:pageBreakBefore w:val="0"/>
        <w:widowControl w:val="0"/>
        <w:kinsoku/>
        <w:wordWrap/>
        <w:overflowPunct/>
        <w:topLinePunct w:val="0"/>
        <w:autoSpaceDE/>
        <w:autoSpaceDN/>
        <w:bidi w:val="0"/>
        <w:adjustRightInd w:val="0"/>
        <w:spacing w:line="380" w:lineRule="exact"/>
        <w:ind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法定代表人（负责人）或委托代理人(签名)：                          </w:t>
      </w:r>
    </w:p>
    <w:p w14:paraId="285D4A1A">
      <w:pPr>
        <w:keepNext w:val="0"/>
        <w:keepLines w:val="0"/>
        <w:pageBreakBefore w:val="0"/>
        <w:widowControl w:val="0"/>
        <w:kinsoku/>
        <w:wordWrap/>
        <w:overflowPunct/>
        <w:topLinePunct w:val="0"/>
        <w:autoSpaceDE/>
        <w:autoSpaceDN/>
        <w:bidi w:val="0"/>
        <w:adjustRightInd w:val="0"/>
        <w:spacing w:line="38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248BA67A">
      <w:pPr>
        <w:keepNext w:val="0"/>
        <w:keepLines w:val="0"/>
        <w:pageBreakBefore w:val="0"/>
        <w:widowControl w:val="0"/>
        <w:kinsoku/>
        <w:wordWrap/>
        <w:overflowPunct/>
        <w:topLinePunct w:val="0"/>
        <w:autoSpaceDE/>
        <w:autoSpaceDN/>
        <w:bidi w:val="0"/>
        <w:adjustRightInd w:val="0"/>
        <w:spacing w:line="380" w:lineRule="exact"/>
        <w:ind w:right="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074A8464">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sz w:val="30"/>
          <w:szCs w:val="30"/>
          <w:lang w:val="zh-CN"/>
        </w:rPr>
      </w:pPr>
      <w:bookmarkStart w:id="467" w:name="_Toc24900"/>
      <w:bookmarkStart w:id="468" w:name="_Toc27114"/>
      <w:r>
        <w:rPr>
          <w:rFonts w:hint="eastAsia"/>
          <w:sz w:val="30"/>
          <w:szCs w:val="30"/>
          <w:lang w:val="zh-CN"/>
        </w:rPr>
        <w:t>二、授权委托书或法定代表人（单位负责人、自然人本人）身份证明</w:t>
      </w:r>
      <w:bookmarkEnd w:id="467"/>
      <w:bookmarkEnd w:id="468"/>
    </w:p>
    <w:p w14:paraId="2DD5CB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9412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05F1F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35B39E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ED015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10947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61FBBF4">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0C89DA48">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7290A59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8EA54F">
      <w:pPr>
        <w:snapToGrid w:val="0"/>
        <w:spacing w:line="360" w:lineRule="auto"/>
        <w:rPr>
          <w:rFonts w:ascii="宋体" w:hAnsi="宋体" w:cs="宋体"/>
          <w:color w:val="auto"/>
          <w:sz w:val="24"/>
          <w:highlight w:val="none"/>
        </w:rPr>
      </w:pPr>
    </w:p>
    <w:p w14:paraId="50C5BD05">
      <w:pPr>
        <w:snapToGrid w:val="0"/>
        <w:spacing w:line="360" w:lineRule="auto"/>
        <w:rPr>
          <w:rFonts w:ascii="宋体" w:hAnsi="宋体" w:cs="宋体"/>
          <w:color w:val="auto"/>
          <w:sz w:val="24"/>
          <w:highlight w:val="none"/>
        </w:rPr>
      </w:pPr>
    </w:p>
    <w:p w14:paraId="4E1B9C79">
      <w:pPr>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07867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A6449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50A9F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1AA35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48542F">
      <w:pPr>
        <w:jc w:val="center"/>
        <w:rPr>
          <w:rFonts w:ascii="宋体" w:hAnsi="宋体" w:cs="宋体"/>
          <w:b/>
          <w:color w:val="auto"/>
          <w:kern w:val="0"/>
          <w:sz w:val="32"/>
          <w:szCs w:val="32"/>
          <w:highlight w:val="none"/>
        </w:rPr>
      </w:pPr>
    </w:p>
    <w:p w14:paraId="3796779D">
      <w:pPr>
        <w:jc w:val="center"/>
        <w:rPr>
          <w:rFonts w:ascii="宋体" w:hAnsi="宋体" w:cs="宋体"/>
          <w:b/>
          <w:color w:val="auto"/>
          <w:kern w:val="0"/>
          <w:sz w:val="32"/>
          <w:szCs w:val="32"/>
          <w:highlight w:val="none"/>
        </w:rPr>
      </w:pPr>
    </w:p>
    <w:p w14:paraId="05B475F7">
      <w:pPr>
        <w:rPr>
          <w:rFonts w:ascii="宋体" w:hAnsi="宋体" w:cs="宋体"/>
          <w:color w:val="auto"/>
          <w:highlight w:val="none"/>
        </w:rPr>
      </w:pPr>
    </w:p>
    <w:p w14:paraId="724698E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BEE3FF6">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30AC831A">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5B5C8E31">
      <w:pPr>
        <w:pStyle w:val="82"/>
        <w:ind w:firstLine="5040" w:firstLineChars="2100"/>
        <w:rPr>
          <w:color w:val="auto"/>
          <w:highlight w:val="none"/>
        </w:rPr>
      </w:pPr>
      <w:r>
        <w:rPr>
          <w:rFonts w:hint="eastAsia"/>
          <w:color w:val="auto"/>
          <w:highlight w:val="none"/>
        </w:rPr>
        <w:t>法定代表人（负责人） (签名)：</w:t>
      </w:r>
    </w:p>
    <w:p w14:paraId="22AD590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E0F697">
      <w:pPr>
        <w:snapToGrid w:val="0"/>
        <w:spacing w:line="360" w:lineRule="auto"/>
        <w:rPr>
          <w:rFonts w:hint="eastAsia" w:ascii="宋体" w:hAnsi="宋体" w:cs="宋体"/>
          <w:color w:val="auto"/>
          <w:kern w:val="0"/>
          <w:sz w:val="24"/>
          <w:highlight w:val="none"/>
          <w:lang w:val="zh-CN"/>
        </w:rPr>
      </w:pPr>
    </w:p>
    <w:p w14:paraId="051E855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DD8F48A">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FF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BF113F">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775DB56">
            <w:pPr>
              <w:pStyle w:val="146"/>
              <w:adjustRightInd w:val="0"/>
              <w:spacing w:line="360" w:lineRule="auto"/>
              <w:rPr>
                <w:rFonts w:hAnsi="宋体" w:cs="宋体"/>
                <w:bCs/>
                <w:color w:val="auto"/>
                <w:sz w:val="24"/>
                <w:highlight w:val="none"/>
              </w:rPr>
            </w:pPr>
          </w:p>
        </w:tc>
      </w:tr>
    </w:tbl>
    <w:p w14:paraId="15AC300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D6E69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4BC5D34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FCCFFE">
      <w:pPr>
        <w:jc w:val="center"/>
        <w:rPr>
          <w:rFonts w:ascii="宋体" w:hAnsi="宋体" w:cs="宋体"/>
          <w:b/>
          <w:color w:val="auto"/>
          <w:kern w:val="0"/>
          <w:sz w:val="32"/>
          <w:szCs w:val="32"/>
          <w:highlight w:val="none"/>
        </w:rPr>
      </w:pPr>
    </w:p>
    <w:p w14:paraId="111A6C49">
      <w:pPr>
        <w:jc w:val="center"/>
        <w:rPr>
          <w:rFonts w:ascii="宋体" w:hAnsi="宋体" w:cs="宋体"/>
          <w:b/>
          <w:color w:val="auto"/>
          <w:kern w:val="0"/>
          <w:sz w:val="32"/>
          <w:szCs w:val="32"/>
          <w:highlight w:val="none"/>
        </w:rPr>
      </w:pPr>
    </w:p>
    <w:p w14:paraId="7E49CB32">
      <w:pPr>
        <w:jc w:val="center"/>
        <w:rPr>
          <w:rFonts w:ascii="宋体" w:hAnsi="宋体" w:cs="宋体"/>
          <w:b/>
          <w:color w:val="auto"/>
          <w:kern w:val="0"/>
          <w:sz w:val="32"/>
          <w:szCs w:val="32"/>
          <w:highlight w:val="none"/>
        </w:rPr>
      </w:pPr>
    </w:p>
    <w:p w14:paraId="1ED89743">
      <w:pPr>
        <w:jc w:val="center"/>
        <w:rPr>
          <w:rFonts w:ascii="宋体" w:hAnsi="宋体" w:cs="宋体"/>
          <w:b/>
          <w:color w:val="auto"/>
          <w:kern w:val="0"/>
          <w:sz w:val="32"/>
          <w:szCs w:val="32"/>
          <w:highlight w:val="none"/>
        </w:rPr>
      </w:pPr>
    </w:p>
    <w:p w14:paraId="78CFAA49">
      <w:pPr>
        <w:jc w:val="center"/>
        <w:rPr>
          <w:rFonts w:ascii="宋体" w:hAnsi="宋体" w:cs="宋体"/>
          <w:b/>
          <w:color w:val="auto"/>
          <w:kern w:val="0"/>
          <w:sz w:val="32"/>
          <w:szCs w:val="32"/>
          <w:highlight w:val="none"/>
        </w:rPr>
      </w:pPr>
    </w:p>
    <w:p w14:paraId="18DC8CD4">
      <w:pPr>
        <w:jc w:val="center"/>
        <w:rPr>
          <w:rFonts w:ascii="宋体" w:hAnsi="宋体" w:cs="宋体"/>
          <w:b/>
          <w:color w:val="auto"/>
          <w:kern w:val="0"/>
          <w:sz w:val="32"/>
          <w:szCs w:val="32"/>
          <w:highlight w:val="none"/>
        </w:rPr>
      </w:pPr>
    </w:p>
    <w:p w14:paraId="36B02DF9">
      <w:pPr>
        <w:jc w:val="center"/>
        <w:rPr>
          <w:rFonts w:ascii="宋体" w:hAnsi="宋体" w:cs="宋体"/>
          <w:b/>
          <w:color w:val="auto"/>
          <w:kern w:val="0"/>
          <w:sz w:val="32"/>
          <w:szCs w:val="32"/>
          <w:highlight w:val="none"/>
        </w:rPr>
      </w:pPr>
    </w:p>
    <w:p w14:paraId="6D869BEE">
      <w:pPr>
        <w:jc w:val="center"/>
        <w:rPr>
          <w:rFonts w:ascii="宋体" w:hAnsi="宋体" w:cs="宋体"/>
          <w:b/>
          <w:color w:val="auto"/>
          <w:kern w:val="0"/>
          <w:sz w:val="32"/>
          <w:szCs w:val="32"/>
          <w:highlight w:val="none"/>
        </w:rPr>
      </w:pPr>
    </w:p>
    <w:p w14:paraId="17FFD567">
      <w:pPr>
        <w:jc w:val="center"/>
        <w:rPr>
          <w:rFonts w:ascii="宋体" w:hAnsi="宋体" w:cs="宋体"/>
          <w:b/>
          <w:color w:val="auto"/>
          <w:kern w:val="0"/>
          <w:sz w:val="32"/>
          <w:szCs w:val="32"/>
          <w:highlight w:val="none"/>
        </w:rPr>
      </w:pPr>
    </w:p>
    <w:p w14:paraId="1A411DE6">
      <w:pPr>
        <w:jc w:val="center"/>
        <w:rPr>
          <w:rFonts w:ascii="宋体" w:hAnsi="宋体" w:cs="宋体"/>
          <w:b/>
          <w:color w:val="auto"/>
          <w:kern w:val="0"/>
          <w:sz w:val="32"/>
          <w:szCs w:val="32"/>
          <w:highlight w:val="none"/>
        </w:rPr>
      </w:pPr>
    </w:p>
    <w:p w14:paraId="0E55AD89">
      <w:pPr>
        <w:snapToGrid w:val="0"/>
        <w:spacing w:line="360" w:lineRule="auto"/>
        <w:ind w:right="480"/>
        <w:rPr>
          <w:rFonts w:ascii="宋体" w:hAnsi="宋体" w:cs="宋体"/>
          <w:b/>
          <w:color w:val="auto"/>
          <w:kern w:val="0"/>
          <w:sz w:val="32"/>
          <w:szCs w:val="32"/>
          <w:highlight w:val="none"/>
        </w:rPr>
        <w:sectPr>
          <w:footerReference r:id="rId10" w:type="first"/>
          <w:footerReference r:id="rId9" w:type="default"/>
          <w:pgSz w:w="11906" w:h="16838"/>
          <w:pgMar w:top="1276" w:right="1077" w:bottom="1247" w:left="1418" w:header="567" w:footer="680" w:gutter="0"/>
          <w:pgNumType w:fmt="decimal" w:start="84"/>
          <w:cols w:space="720" w:num="1"/>
          <w:titlePg/>
          <w:docGrid w:linePitch="312" w:charSpace="0"/>
        </w:sectPr>
      </w:pPr>
    </w:p>
    <w:p w14:paraId="00FC3346">
      <w:pPr>
        <w:pStyle w:val="3"/>
        <w:bidi w:val="0"/>
        <w:jc w:val="center"/>
        <w:outlineLvl w:val="9"/>
        <w:rPr>
          <w:rFonts w:hint="eastAsia" w:ascii="宋体" w:hAnsi="宋体" w:eastAsia="宋体" w:cs="宋体"/>
          <w:sz w:val="28"/>
          <w:szCs w:val="28"/>
          <w:lang w:val="zh-CN"/>
        </w:rPr>
      </w:pPr>
    </w:p>
    <w:p w14:paraId="21BA297F">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sz w:val="30"/>
          <w:szCs w:val="30"/>
          <w:lang w:val="zh-CN"/>
        </w:rPr>
      </w:pPr>
      <w:bookmarkStart w:id="469" w:name="_Toc2348"/>
      <w:bookmarkStart w:id="470" w:name="_Toc30007"/>
      <w:r>
        <w:rPr>
          <w:rFonts w:hint="eastAsia"/>
          <w:sz w:val="30"/>
          <w:szCs w:val="30"/>
          <w:lang w:val="zh-CN"/>
        </w:rPr>
        <w:t>三、分包意向协议（如果有）</w:t>
      </w:r>
      <w:bookmarkEnd w:id="469"/>
      <w:bookmarkEnd w:id="470"/>
    </w:p>
    <w:p w14:paraId="2C81C9AE">
      <w:pPr>
        <w:widowControl/>
        <w:spacing w:line="360" w:lineRule="auto"/>
        <w:ind w:firstLine="120" w:firstLineChars="50"/>
        <w:jc w:val="left"/>
        <w:rPr>
          <w:rFonts w:ascii="宋体" w:hAnsi="宋体" w:cs="宋体"/>
          <w:color w:val="auto"/>
          <w:sz w:val="24"/>
          <w:highlight w:val="none"/>
        </w:rPr>
      </w:pPr>
      <w:bookmarkStart w:id="471"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71"/>
    <w:p w14:paraId="7BDC4DD8">
      <w:pPr>
        <w:pStyle w:val="3"/>
        <w:bidi w:val="0"/>
        <w:jc w:val="center"/>
        <w:outlineLvl w:val="9"/>
        <w:rPr>
          <w:rFonts w:hint="eastAsia" w:ascii="宋体" w:hAnsi="宋体" w:eastAsia="宋体" w:cs="宋体"/>
          <w:lang w:val="zh-CN"/>
        </w:rPr>
      </w:pPr>
    </w:p>
    <w:p w14:paraId="644E625E">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sz w:val="30"/>
          <w:szCs w:val="30"/>
          <w:lang w:val="zh-CN"/>
        </w:rPr>
      </w:pPr>
      <w:bookmarkStart w:id="472" w:name="_Toc15456"/>
      <w:bookmarkStart w:id="473" w:name="_Toc19695"/>
      <w:r>
        <w:rPr>
          <w:rFonts w:hint="eastAsia"/>
          <w:sz w:val="30"/>
          <w:szCs w:val="30"/>
          <w:lang w:val="zh-CN"/>
        </w:rPr>
        <w:t>四、符合性审查资料</w:t>
      </w:r>
      <w:bookmarkEnd w:id="472"/>
      <w:bookmarkEnd w:id="473"/>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A4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DE32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63091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4D35A9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BC5E6D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A1E20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38C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8320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60CCBCB">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2676BB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3ADD40DC">
            <w:pPr>
              <w:rPr>
                <w:rFonts w:ascii="宋体" w:hAnsi="宋体" w:cs="宋体"/>
                <w:color w:val="auto"/>
                <w:sz w:val="24"/>
                <w:highlight w:val="none"/>
              </w:rPr>
            </w:pPr>
          </w:p>
          <w:p w14:paraId="025435C9">
            <w:pPr>
              <w:rPr>
                <w:rFonts w:ascii="宋体" w:hAnsi="宋体" w:cs="宋体"/>
                <w:color w:val="auto"/>
                <w:sz w:val="24"/>
                <w:highlight w:val="none"/>
              </w:rPr>
            </w:pPr>
            <w:r>
              <w:rPr>
                <w:rFonts w:hint="eastAsia" w:ascii="宋体" w:hAnsi="宋体" w:cs="宋体"/>
                <w:color w:val="auto"/>
                <w:sz w:val="24"/>
                <w:highlight w:val="none"/>
              </w:rPr>
              <w:t>见投标文件</w:t>
            </w:r>
          </w:p>
          <w:p w14:paraId="113FFBC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FF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EB405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3978A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E0EE17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7ABB09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51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4D297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22F9CF8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011335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54B54D2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94116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B59F04">
      <w:pPr>
        <w:jc w:val="center"/>
        <w:rPr>
          <w:rFonts w:ascii="宋体" w:hAnsi="宋体" w:cs="宋体"/>
          <w:b/>
          <w:color w:val="auto"/>
          <w:kern w:val="0"/>
          <w:sz w:val="32"/>
          <w:szCs w:val="32"/>
          <w:highlight w:val="none"/>
        </w:rPr>
      </w:pPr>
    </w:p>
    <w:p w14:paraId="03035250">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lang w:val="zh-CN" w:eastAsia="zh-CN"/>
        </w:rPr>
      </w:pPr>
      <w:bookmarkStart w:id="474" w:name="_Toc9097"/>
      <w:bookmarkStart w:id="475" w:name="_Toc21249"/>
      <w:r>
        <w:rPr>
          <w:rFonts w:hint="eastAsia"/>
          <w:lang w:val="zh-CN" w:eastAsia="zh-CN"/>
        </w:rPr>
        <w:t>五、评标标准相应的商务技术资料</w:t>
      </w:r>
      <w:bookmarkEnd w:id="474"/>
      <w:bookmarkEnd w:id="475"/>
    </w:p>
    <w:p w14:paraId="6258983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98BFB57">
      <w:pPr>
        <w:jc w:val="center"/>
        <w:rPr>
          <w:rFonts w:ascii="宋体" w:hAnsi="宋体" w:cs="宋体"/>
          <w:b/>
          <w:color w:val="auto"/>
          <w:kern w:val="0"/>
          <w:sz w:val="32"/>
          <w:szCs w:val="32"/>
          <w:highlight w:val="none"/>
        </w:rPr>
      </w:pPr>
    </w:p>
    <w:p w14:paraId="4988B211">
      <w:pPr>
        <w:jc w:val="center"/>
        <w:rPr>
          <w:rFonts w:ascii="宋体" w:hAnsi="宋体" w:cs="宋体"/>
          <w:b/>
          <w:color w:val="auto"/>
          <w:kern w:val="0"/>
          <w:sz w:val="32"/>
          <w:szCs w:val="32"/>
          <w:highlight w:val="none"/>
        </w:rPr>
      </w:pPr>
    </w:p>
    <w:p w14:paraId="24D264B4">
      <w:pPr>
        <w:pStyle w:val="5"/>
        <w:rPr>
          <w:rFonts w:hint="eastAsia" w:ascii="宋体" w:hAnsi="宋体" w:eastAsia="宋体" w:cs="宋体"/>
          <w:sz w:val="28"/>
          <w:szCs w:val="28"/>
          <w:lang w:val="zh-CN"/>
        </w:rPr>
      </w:pPr>
    </w:p>
    <w:p w14:paraId="44F1EB4A">
      <w:pPr>
        <w:rPr>
          <w:rFonts w:hint="eastAsia" w:ascii="宋体" w:hAnsi="宋体" w:eastAsia="宋体" w:cs="宋体"/>
          <w:sz w:val="28"/>
          <w:szCs w:val="28"/>
          <w:lang w:val="zh-CN"/>
        </w:rPr>
      </w:pPr>
    </w:p>
    <w:p w14:paraId="6F79B740">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lang w:val="zh-CN" w:eastAsia="zh-CN"/>
        </w:rPr>
      </w:pPr>
      <w:bookmarkStart w:id="476" w:name="_Toc326"/>
      <w:bookmarkStart w:id="477" w:name="_Toc4274"/>
      <w:r>
        <w:rPr>
          <w:rFonts w:hint="eastAsia"/>
          <w:lang w:val="zh-CN" w:eastAsia="zh-CN"/>
        </w:rPr>
        <w:t>六、投标标的清单</w:t>
      </w:r>
      <w:bookmarkEnd w:id="476"/>
      <w:bookmarkEnd w:id="477"/>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6EC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1FD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11A8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DC9AAC">
            <w:pPr>
              <w:spacing w:line="360" w:lineRule="auto"/>
              <w:jc w:val="center"/>
              <w:rPr>
                <w:rFonts w:ascii="宋体" w:hAnsi="宋体" w:cs="宋体"/>
                <w:b/>
                <w:color w:val="auto"/>
                <w:sz w:val="24"/>
                <w:highlight w:val="none"/>
              </w:rPr>
            </w:pPr>
          </w:p>
          <w:p w14:paraId="5AE964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A365E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34563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36F7A5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A43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D528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CEF1A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AE15C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06F72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AD86B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91F5E8">
            <w:pPr>
              <w:spacing w:line="360" w:lineRule="auto"/>
              <w:jc w:val="center"/>
              <w:rPr>
                <w:rFonts w:ascii="宋体" w:hAnsi="宋体" w:cs="宋体"/>
                <w:color w:val="auto"/>
                <w:sz w:val="24"/>
                <w:highlight w:val="none"/>
              </w:rPr>
            </w:pPr>
          </w:p>
        </w:tc>
      </w:tr>
      <w:tr w14:paraId="1290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5944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4A4910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AB023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6EFA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AF2EE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6E4F728">
            <w:pPr>
              <w:spacing w:line="360" w:lineRule="auto"/>
              <w:jc w:val="center"/>
              <w:rPr>
                <w:rFonts w:ascii="宋体" w:hAnsi="宋体" w:cs="宋体"/>
                <w:color w:val="auto"/>
                <w:sz w:val="24"/>
                <w:highlight w:val="none"/>
              </w:rPr>
            </w:pPr>
          </w:p>
        </w:tc>
      </w:tr>
      <w:tr w14:paraId="3FEE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8615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EFAC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CDAE1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3074D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4A3F6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3369D9">
            <w:pPr>
              <w:spacing w:line="360" w:lineRule="auto"/>
              <w:jc w:val="center"/>
              <w:rPr>
                <w:rFonts w:ascii="宋体" w:hAnsi="宋体" w:cs="宋体"/>
                <w:color w:val="auto"/>
                <w:sz w:val="24"/>
                <w:highlight w:val="none"/>
              </w:rPr>
            </w:pPr>
          </w:p>
        </w:tc>
      </w:tr>
    </w:tbl>
    <w:p w14:paraId="29FB1A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E00929">
      <w:pPr>
        <w:pStyle w:val="3"/>
        <w:bidi w:val="0"/>
        <w:jc w:val="center"/>
        <w:outlineLvl w:val="9"/>
        <w:rPr>
          <w:rFonts w:hint="eastAsia"/>
        </w:rPr>
      </w:pPr>
    </w:p>
    <w:p w14:paraId="62AA84D3">
      <w:pPr>
        <w:pStyle w:val="3"/>
        <w:bidi w:val="0"/>
        <w:jc w:val="center"/>
        <w:outlineLvl w:val="9"/>
        <w:rPr>
          <w:rFonts w:hint="eastAsia"/>
        </w:rPr>
      </w:pPr>
    </w:p>
    <w:p w14:paraId="50E59686">
      <w:pPr>
        <w:pStyle w:val="3"/>
        <w:bidi w:val="0"/>
        <w:jc w:val="center"/>
        <w:outlineLvl w:val="9"/>
        <w:rPr>
          <w:rFonts w:hint="eastAsia"/>
        </w:rPr>
      </w:pPr>
    </w:p>
    <w:p w14:paraId="24B4EAAA">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lang w:val="zh-CN" w:eastAsia="zh-CN"/>
        </w:rPr>
      </w:pPr>
      <w:bookmarkStart w:id="478" w:name="_Toc12926"/>
      <w:bookmarkStart w:id="479" w:name="_Toc15480"/>
      <w:r>
        <w:rPr>
          <w:rFonts w:hint="eastAsia"/>
          <w:lang w:val="zh-CN" w:eastAsia="zh-CN"/>
        </w:rPr>
        <w:t>七、商务技术偏离表</w:t>
      </w:r>
      <w:bookmarkEnd w:id="478"/>
      <w:bookmarkEnd w:id="479"/>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06B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8C424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313AD0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A6C199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5FB464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5ED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289C9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5CB7E03">
            <w:pPr>
              <w:jc w:val="center"/>
              <w:rPr>
                <w:rFonts w:ascii="宋体" w:hAnsi="宋体" w:cs="宋体"/>
                <w:b/>
                <w:color w:val="auto"/>
                <w:kern w:val="0"/>
                <w:sz w:val="32"/>
                <w:szCs w:val="32"/>
                <w:highlight w:val="none"/>
              </w:rPr>
            </w:pPr>
          </w:p>
        </w:tc>
        <w:tc>
          <w:tcPr>
            <w:tcW w:w="3546" w:type="dxa"/>
          </w:tcPr>
          <w:p w14:paraId="132BDA12">
            <w:pPr>
              <w:jc w:val="center"/>
              <w:rPr>
                <w:rFonts w:ascii="宋体" w:hAnsi="宋体" w:cs="宋体"/>
                <w:b/>
                <w:color w:val="auto"/>
                <w:kern w:val="0"/>
                <w:sz w:val="32"/>
                <w:szCs w:val="32"/>
                <w:highlight w:val="none"/>
              </w:rPr>
            </w:pPr>
          </w:p>
        </w:tc>
        <w:tc>
          <w:tcPr>
            <w:tcW w:w="1276" w:type="dxa"/>
          </w:tcPr>
          <w:p w14:paraId="1BB9C631">
            <w:pPr>
              <w:jc w:val="center"/>
              <w:rPr>
                <w:rFonts w:ascii="宋体" w:hAnsi="宋体" w:cs="宋体"/>
                <w:b/>
                <w:color w:val="auto"/>
                <w:kern w:val="0"/>
                <w:sz w:val="32"/>
                <w:szCs w:val="32"/>
                <w:highlight w:val="none"/>
              </w:rPr>
            </w:pPr>
          </w:p>
        </w:tc>
      </w:tr>
      <w:tr w14:paraId="3A3D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52EB7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98750B7">
            <w:pPr>
              <w:jc w:val="center"/>
              <w:rPr>
                <w:rFonts w:ascii="宋体" w:hAnsi="宋体" w:cs="宋体"/>
                <w:b/>
                <w:color w:val="auto"/>
                <w:kern w:val="0"/>
                <w:sz w:val="32"/>
                <w:szCs w:val="32"/>
                <w:highlight w:val="none"/>
              </w:rPr>
            </w:pPr>
          </w:p>
        </w:tc>
        <w:tc>
          <w:tcPr>
            <w:tcW w:w="3546" w:type="dxa"/>
          </w:tcPr>
          <w:p w14:paraId="3C9A7183">
            <w:pPr>
              <w:jc w:val="center"/>
              <w:rPr>
                <w:rFonts w:ascii="宋体" w:hAnsi="宋体" w:cs="宋体"/>
                <w:b/>
                <w:color w:val="auto"/>
                <w:kern w:val="0"/>
                <w:sz w:val="32"/>
                <w:szCs w:val="32"/>
                <w:highlight w:val="none"/>
              </w:rPr>
            </w:pPr>
          </w:p>
        </w:tc>
        <w:tc>
          <w:tcPr>
            <w:tcW w:w="1276" w:type="dxa"/>
          </w:tcPr>
          <w:p w14:paraId="474AA8A6">
            <w:pPr>
              <w:jc w:val="center"/>
              <w:rPr>
                <w:rFonts w:ascii="宋体" w:hAnsi="宋体" w:cs="宋体"/>
                <w:b/>
                <w:color w:val="auto"/>
                <w:kern w:val="0"/>
                <w:sz w:val="32"/>
                <w:szCs w:val="32"/>
                <w:highlight w:val="none"/>
              </w:rPr>
            </w:pPr>
          </w:p>
        </w:tc>
      </w:tr>
      <w:tr w14:paraId="7BDF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371A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0BB3154">
            <w:pPr>
              <w:jc w:val="center"/>
              <w:rPr>
                <w:rFonts w:ascii="宋体" w:hAnsi="宋体" w:cs="宋体"/>
                <w:b/>
                <w:color w:val="auto"/>
                <w:kern w:val="0"/>
                <w:sz w:val="32"/>
                <w:szCs w:val="32"/>
                <w:highlight w:val="none"/>
              </w:rPr>
            </w:pPr>
          </w:p>
        </w:tc>
        <w:tc>
          <w:tcPr>
            <w:tcW w:w="3546" w:type="dxa"/>
          </w:tcPr>
          <w:p w14:paraId="67DA3114">
            <w:pPr>
              <w:jc w:val="center"/>
              <w:rPr>
                <w:rFonts w:ascii="宋体" w:hAnsi="宋体" w:cs="宋体"/>
                <w:b/>
                <w:color w:val="auto"/>
                <w:kern w:val="0"/>
                <w:sz w:val="32"/>
                <w:szCs w:val="32"/>
                <w:highlight w:val="none"/>
              </w:rPr>
            </w:pPr>
          </w:p>
        </w:tc>
        <w:tc>
          <w:tcPr>
            <w:tcW w:w="1276" w:type="dxa"/>
          </w:tcPr>
          <w:p w14:paraId="46EB01FA">
            <w:pPr>
              <w:jc w:val="center"/>
              <w:rPr>
                <w:rFonts w:ascii="宋体" w:hAnsi="宋体" w:cs="宋体"/>
                <w:b/>
                <w:color w:val="auto"/>
                <w:kern w:val="0"/>
                <w:sz w:val="32"/>
                <w:szCs w:val="32"/>
                <w:highlight w:val="none"/>
              </w:rPr>
            </w:pPr>
          </w:p>
        </w:tc>
      </w:tr>
    </w:tbl>
    <w:p w14:paraId="0893350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E8247DC">
      <w:pPr>
        <w:spacing w:line="360" w:lineRule="auto"/>
        <w:ind w:firstLine="3600" w:firstLineChars="1500"/>
        <w:rPr>
          <w:rFonts w:ascii="宋体" w:hAnsi="宋体" w:cs="宋体"/>
          <w:color w:val="auto"/>
          <w:sz w:val="24"/>
          <w:highlight w:val="none"/>
        </w:rPr>
      </w:pPr>
    </w:p>
    <w:p w14:paraId="6B2D8DC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AA9AFF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4715B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C3A11D">
      <w:pPr>
        <w:jc w:val="center"/>
        <w:rPr>
          <w:rFonts w:ascii="宋体" w:hAnsi="宋体" w:cs="宋体"/>
          <w:b/>
          <w:color w:val="auto"/>
          <w:kern w:val="0"/>
          <w:sz w:val="32"/>
          <w:szCs w:val="32"/>
          <w:highlight w:val="none"/>
        </w:rPr>
      </w:pPr>
    </w:p>
    <w:p w14:paraId="0EFA76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472E04">
      <w:pPr>
        <w:ind w:firstLine="1911" w:firstLineChars="595"/>
        <w:rPr>
          <w:rFonts w:ascii="宋体" w:hAnsi="宋体" w:cs="宋体"/>
          <w:b/>
          <w:bCs/>
          <w:color w:val="auto"/>
          <w:sz w:val="32"/>
          <w:szCs w:val="32"/>
          <w:highlight w:val="none"/>
        </w:rPr>
      </w:pPr>
    </w:p>
    <w:p w14:paraId="2BD8246F">
      <w:pPr>
        <w:ind w:firstLine="1911" w:firstLineChars="595"/>
        <w:rPr>
          <w:rFonts w:ascii="宋体" w:hAnsi="宋体" w:cs="宋体"/>
          <w:b/>
          <w:bCs/>
          <w:color w:val="auto"/>
          <w:sz w:val="32"/>
          <w:szCs w:val="32"/>
          <w:highlight w:val="none"/>
        </w:rPr>
      </w:pPr>
    </w:p>
    <w:p w14:paraId="39C8A132">
      <w:pPr>
        <w:ind w:firstLine="1911" w:firstLineChars="595"/>
        <w:rPr>
          <w:rFonts w:ascii="宋体" w:hAnsi="宋体" w:cs="宋体"/>
          <w:b/>
          <w:bCs/>
          <w:color w:val="auto"/>
          <w:sz w:val="32"/>
          <w:szCs w:val="32"/>
          <w:highlight w:val="none"/>
        </w:rPr>
      </w:pPr>
    </w:p>
    <w:p w14:paraId="5ECA1AC2">
      <w:pPr>
        <w:ind w:firstLine="1911" w:firstLineChars="595"/>
        <w:rPr>
          <w:rFonts w:ascii="宋体" w:hAnsi="宋体" w:cs="宋体"/>
          <w:b/>
          <w:bCs/>
          <w:color w:val="auto"/>
          <w:sz w:val="32"/>
          <w:szCs w:val="32"/>
          <w:highlight w:val="none"/>
        </w:rPr>
      </w:pPr>
    </w:p>
    <w:p w14:paraId="4FC99883">
      <w:pPr>
        <w:ind w:firstLine="1911" w:firstLineChars="595"/>
        <w:rPr>
          <w:rFonts w:ascii="宋体" w:hAnsi="宋体" w:cs="宋体"/>
          <w:b/>
          <w:bCs/>
          <w:color w:val="auto"/>
          <w:sz w:val="32"/>
          <w:szCs w:val="32"/>
          <w:highlight w:val="none"/>
        </w:rPr>
      </w:pPr>
    </w:p>
    <w:p w14:paraId="55FE9141">
      <w:pPr>
        <w:ind w:firstLine="1911" w:firstLineChars="595"/>
        <w:rPr>
          <w:rFonts w:ascii="宋体" w:hAnsi="宋体" w:cs="宋体"/>
          <w:b/>
          <w:bCs/>
          <w:color w:val="auto"/>
          <w:sz w:val="32"/>
          <w:szCs w:val="32"/>
          <w:highlight w:val="none"/>
        </w:rPr>
      </w:pPr>
    </w:p>
    <w:p w14:paraId="24D33754">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lang w:val="zh-CN" w:eastAsia="zh-CN"/>
        </w:rPr>
      </w:pPr>
      <w:bookmarkStart w:id="480" w:name="_Toc23986"/>
      <w:bookmarkStart w:id="481" w:name="_Toc25238"/>
      <w:r>
        <w:rPr>
          <w:rFonts w:hint="eastAsia"/>
          <w:lang w:val="zh-CN" w:eastAsia="zh-CN"/>
        </w:rPr>
        <w:t>八、政府采购供应商廉洁自律承诺书</w:t>
      </w:r>
      <w:bookmarkEnd w:id="480"/>
      <w:bookmarkEnd w:id="481"/>
    </w:p>
    <w:p w14:paraId="752DBE23">
      <w:pPr>
        <w:snapToGrid w:val="0"/>
        <w:spacing w:line="360" w:lineRule="auto"/>
        <w:rPr>
          <w:rFonts w:ascii="宋体" w:hAnsi="宋体" w:cs="宋体"/>
          <w:color w:val="auto"/>
          <w:sz w:val="24"/>
          <w:highlight w:val="none"/>
        </w:rPr>
      </w:pPr>
    </w:p>
    <w:p w14:paraId="371D03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AB63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A0C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85E0F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B80B56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FD28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26400F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88403C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B177B73">
      <w:pPr>
        <w:autoSpaceDE w:val="0"/>
        <w:autoSpaceDN w:val="0"/>
        <w:spacing w:line="360" w:lineRule="auto"/>
        <w:ind w:left="481" w:leftChars="229"/>
        <w:jc w:val="left"/>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454B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B8FD69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1ACB0F0">
      <w:pPr>
        <w:autoSpaceDE w:val="0"/>
        <w:autoSpaceDN w:val="0"/>
        <w:spacing w:line="360" w:lineRule="auto"/>
        <w:ind w:left="2"/>
        <w:jc w:val="left"/>
        <w:rPr>
          <w:rFonts w:ascii="宋体" w:hAnsi="宋体" w:cs="宋体"/>
          <w:color w:val="auto"/>
          <w:kern w:val="0"/>
          <w:sz w:val="24"/>
          <w:highlight w:val="none"/>
          <w:lang w:val="zh-CN"/>
        </w:rPr>
      </w:pPr>
    </w:p>
    <w:p w14:paraId="31EB6A73">
      <w:pPr>
        <w:autoSpaceDE w:val="0"/>
        <w:autoSpaceDN w:val="0"/>
        <w:spacing w:line="360" w:lineRule="auto"/>
        <w:ind w:left="2"/>
        <w:jc w:val="left"/>
        <w:rPr>
          <w:rFonts w:ascii="宋体" w:hAnsi="宋体" w:cs="宋体"/>
          <w:color w:val="auto"/>
          <w:kern w:val="0"/>
          <w:sz w:val="24"/>
          <w:highlight w:val="none"/>
          <w:lang w:val="zh-CN"/>
        </w:rPr>
      </w:pPr>
    </w:p>
    <w:p w14:paraId="7C098DDE">
      <w:pPr>
        <w:autoSpaceDE w:val="0"/>
        <w:autoSpaceDN w:val="0"/>
        <w:spacing w:line="360" w:lineRule="auto"/>
        <w:ind w:left="2"/>
        <w:jc w:val="left"/>
        <w:rPr>
          <w:rFonts w:ascii="宋体" w:hAnsi="宋体" w:cs="宋体"/>
          <w:color w:val="auto"/>
          <w:kern w:val="0"/>
          <w:sz w:val="24"/>
          <w:highlight w:val="none"/>
          <w:lang w:val="zh-CN"/>
        </w:rPr>
      </w:pPr>
    </w:p>
    <w:p w14:paraId="23D52E5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4F95003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F045C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978A40">
      <w:pPr>
        <w:spacing w:line="360" w:lineRule="auto"/>
        <w:ind w:left="4620" w:leftChars="2200"/>
        <w:rPr>
          <w:rFonts w:ascii="宋体" w:hAnsi="宋体" w:cs="宋体"/>
          <w:color w:val="auto"/>
          <w:sz w:val="24"/>
          <w:highlight w:val="none"/>
        </w:rPr>
      </w:pPr>
    </w:p>
    <w:p w14:paraId="704CB369">
      <w:pPr>
        <w:spacing w:line="360" w:lineRule="auto"/>
        <w:jc w:val="center"/>
        <w:rPr>
          <w:rFonts w:ascii="宋体" w:hAnsi="宋体" w:cs="宋体"/>
          <w:b/>
          <w:bCs/>
          <w:color w:val="auto"/>
          <w:sz w:val="24"/>
          <w:highlight w:val="none"/>
        </w:rPr>
      </w:pPr>
    </w:p>
    <w:p w14:paraId="2DEF10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6784B4">
      <w:pPr>
        <w:ind w:firstLine="1911" w:firstLineChars="595"/>
        <w:jc w:val="center"/>
        <w:rPr>
          <w:rFonts w:ascii="宋体" w:hAnsi="宋体" w:cs="宋体"/>
          <w:b/>
          <w:bCs/>
          <w:color w:val="auto"/>
          <w:sz w:val="32"/>
          <w:szCs w:val="32"/>
          <w:highlight w:val="none"/>
        </w:rPr>
      </w:pPr>
    </w:p>
    <w:p w14:paraId="45F3E9BB">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lang w:val="zh-CN" w:eastAsia="zh-CN"/>
        </w:rPr>
      </w:pPr>
      <w:bookmarkStart w:id="482" w:name="_Toc1280"/>
      <w:bookmarkStart w:id="483" w:name="_Toc11280"/>
      <w:r>
        <w:rPr>
          <w:rFonts w:hint="eastAsia"/>
          <w:lang w:val="zh-CN" w:eastAsia="zh-CN"/>
        </w:rPr>
        <w:t>九、承诺函</w:t>
      </w:r>
      <w:bookmarkEnd w:id="482"/>
      <w:bookmarkEnd w:id="483"/>
    </w:p>
    <w:p w14:paraId="3CFD996E">
      <w:pPr>
        <w:widowControl/>
        <w:adjustRightInd/>
        <w:ind w:firstLine="640" w:firstLineChars="200"/>
        <w:jc w:val="left"/>
        <w:rPr>
          <w:rFonts w:ascii="宋体" w:hAnsi="宋体" w:cs="宋体"/>
          <w:color w:val="auto"/>
          <w:kern w:val="0"/>
          <w:sz w:val="32"/>
          <w:szCs w:val="21"/>
          <w:highlight w:val="none"/>
        </w:rPr>
      </w:pPr>
    </w:p>
    <w:p w14:paraId="4A85ECA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25ABD8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7B5EFAB6">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169A0DC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0ADB4CB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6D779A2E">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7A68975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6F76563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0597C88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1FFDE2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66C60C8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7A0C73E4">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25223C2E">
      <w:pPr>
        <w:widowControl/>
        <w:adjustRightInd/>
        <w:spacing w:line="360" w:lineRule="auto"/>
        <w:ind w:firstLine="480" w:firstLineChars="200"/>
        <w:jc w:val="left"/>
        <w:rPr>
          <w:rFonts w:ascii="宋体" w:hAnsi="宋体" w:cs="宋体"/>
          <w:color w:val="auto"/>
          <w:kern w:val="0"/>
          <w:sz w:val="24"/>
          <w:highlight w:val="none"/>
        </w:rPr>
      </w:pPr>
    </w:p>
    <w:p w14:paraId="73679BA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F0FB8E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36A955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F2B673A">
      <w:pPr>
        <w:spacing w:line="360" w:lineRule="auto"/>
        <w:jc w:val="center"/>
        <w:rPr>
          <w:rFonts w:ascii="宋体" w:hAnsi="宋体" w:cs="宋体"/>
          <w:b/>
          <w:bCs/>
          <w:color w:val="auto"/>
          <w:sz w:val="24"/>
          <w:highlight w:val="none"/>
        </w:rPr>
      </w:pPr>
    </w:p>
    <w:p w14:paraId="2D82AA65">
      <w:pPr>
        <w:spacing w:line="360" w:lineRule="auto"/>
        <w:ind w:right="420"/>
        <w:rPr>
          <w:rFonts w:ascii="宋体" w:hAnsi="宋体" w:cs="宋体"/>
          <w:b/>
          <w:bCs/>
          <w:color w:val="auto"/>
          <w:sz w:val="24"/>
          <w:highlight w:val="none"/>
        </w:rPr>
      </w:pPr>
      <w:r>
        <w:rPr>
          <w:rFonts w:hint="eastAsia" w:ascii="宋体" w:hAnsi="宋体" w:cs="宋体"/>
          <w:b/>
          <w:bCs/>
          <w:color w:val="auto"/>
          <w:sz w:val="24"/>
          <w:highlight w:val="none"/>
        </w:rPr>
        <w:t>注：按本格式和要求提供。</w:t>
      </w:r>
    </w:p>
    <w:p w14:paraId="63685B14">
      <w:pPr>
        <w:spacing w:line="360" w:lineRule="auto"/>
        <w:jc w:val="center"/>
        <w:rPr>
          <w:rFonts w:ascii="宋体" w:hAnsi="宋体" w:cs="宋体"/>
          <w:b/>
          <w:bCs/>
          <w:color w:val="auto"/>
          <w:sz w:val="24"/>
          <w:highlight w:val="none"/>
        </w:rPr>
      </w:pPr>
    </w:p>
    <w:p w14:paraId="0E0FFB5F">
      <w:pPr>
        <w:pStyle w:val="3"/>
        <w:outlineLvl w:val="9"/>
        <w:rPr>
          <w:color w:val="auto"/>
          <w:highlight w:val="none"/>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341D8ED2">
      <w:pPr>
        <w:spacing w:line="360" w:lineRule="auto"/>
        <w:jc w:val="center"/>
        <w:outlineLvl w:val="2"/>
        <w:rPr>
          <w:rFonts w:hint="eastAsia" w:ascii="宋体" w:hAnsi="宋体" w:cs="宋体"/>
          <w:b/>
          <w:color w:val="auto"/>
          <w:kern w:val="0"/>
          <w:sz w:val="36"/>
          <w:szCs w:val="36"/>
          <w:highlight w:val="none"/>
        </w:rPr>
      </w:pPr>
    </w:p>
    <w:p w14:paraId="0ADD4FD6">
      <w:pPr>
        <w:spacing w:line="360" w:lineRule="auto"/>
        <w:jc w:val="center"/>
        <w:outlineLvl w:val="2"/>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sdt>
      <w:sdtPr>
        <w:rPr>
          <w:rFonts w:ascii="宋体" w:hAnsi="宋体" w:eastAsia="宋体" w:cs="Times New Roman"/>
          <w:kern w:val="2"/>
          <w:sz w:val="21"/>
          <w:szCs w:val="24"/>
          <w:lang w:val="en-US" w:eastAsia="zh-CN" w:bidi="ar-SA"/>
        </w:rPr>
        <w:id w:val="147451281"/>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156EAF53">
          <w:pPr>
            <w:spacing w:before="0" w:beforeLines="0" w:after="0" w:afterLines="0" w:line="240" w:lineRule="auto"/>
            <w:ind w:left="0" w:leftChars="0" w:right="0" w:rightChars="0" w:firstLine="0" w:firstLineChars="0"/>
            <w:jc w:val="center"/>
          </w:pPr>
        </w:p>
        <w:p w14:paraId="591365EA">
          <w:pPr>
            <w:pStyle w:val="963"/>
            <w:tabs>
              <w:tab w:val="right" w:leader="dot" w:pos="9070"/>
            </w:tabs>
          </w:pPr>
          <w:r>
            <w:fldChar w:fldCharType="begin"/>
          </w:r>
          <w:r>
            <w:instrText xml:space="preserve">TOC \o "1-1" \h \u </w:instrText>
          </w:r>
          <w:r>
            <w:fldChar w:fldCharType="separate"/>
          </w:r>
        </w:p>
        <w:p w14:paraId="65FD18C1">
          <w:pPr>
            <w:pStyle w:val="963"/>
            <w:tabs>
              <w:tab w:val="right" w:leader="dot" w:pos="9070"/>
            </w:tabs>
            <w:rPr>
              <w:rFonts w:hint="eastAsia" w:ascii="宋体" w:hAnsi="宋体" w:eastAsia="宋体" w:cs="宋体"/>
              <w:sz w:val="30"/>
              <w:szCs w:val="30"/>
            </w:rPr>
          </w:pPr>
          <w:r>
            <w:rPr>
              <w:rFonts w:hint="eastAsia" w:ascii="宋体" w:hAnsi="宋体" w:eastAsia="宋体" w:cs="宋体"/>
              <w:color w:val="auto"/>
              <w:sz w:val="30"/>
              <w:szCs w:val="30"/>
              <w:highlight w:val="none"/>
            </w:rPr>
            <w:t>▲</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_Toc4949 </w:instrText>
          </w:r>
          <w:r>
            <w:rPr>
              <w:rFonts w:hint="eastAsia" w:ascii="宋体" w:hAnsi="宋体" w:eastAsia="宋体" w:cs="宋体"/>
              <w:sz w:val="30"/>
              <w:szCs w:val="30"/>
            </w:rPr>
            <w:fldChar w:fldCharType="separate"/>
          </w:r>
          <w:r>
            <w:rPr>
              <w:rFonts w:hint="eastAsia" w:ascii="宋体" w:hAnsi="宋体" w:eastAsia="宋体" w:cs="宋体"/>
              <w:sz w:val="30"/>
              <w:szCs w:val="30"/>
            </w:rPr>
            <w:t>一、开标一览表（报价表）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_Toc4949 \h </w:instrText>
          </w:r>
          <w:r>
            <w:rPr>
              <w:rFonts w:hint="eastAsia" w:ascii="宋体" w:hAnsi="宋体" w:eastAsia="宋体" w:cs="宋体"/>
              <w:sz w:val="30"/>
              <w:szCs w:val="30"/>
            </w:rPr>
            <w:fldChar w:fldCharType="separate"/>
          </w:r>
          <w:r>
            <w:rPr>
              <w:rFonts w:hint="eastAsia" w:ascii="宋体" w:hAnsi="宋体" w:eastAsia="宋体" w:cs="宋体"/>
              <w:sz w:val="30"/>
              <w:szCs w:val="30"/>
            </w:rPr>
            <w:t>94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1E0B3FA0">
          <w:pPr>
            <w:pStyle w:val="963"/>
            <w:tabs>
              <w:tab w:val="right" w:leader="dot" w:pos="9070"/>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_Toc27866 </w:instrText>
          </w:r>
          <w:r>
            <w:rPr>
              <w:rFonts w:hint="eastAsia" w:ascii="宋体" w:hAnsi="宋体" w:eastAsia="宋体" w:cs="宋体"/>
              <w:sz w:val="30"/>
              <w:szCs w:val="30"/>
            </w:rPr>
            <w:fldChar w:fldCharType="separate"/>
          </w:r>
          <w:r>
            <w:rPr>
              <w:rFonts w:hint="eastAsia" w:ascii="宋体" w:hAnsi="宋体" w:eastAsia="宋体" w:cs="宋体"/>
              <w:sz w:val="30"/>
              <w:szCs w:val="30"/>
            </w:rPr>
            <w:t>二、中小企业声明函（如果有）</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_Toc27866 \h </w:instrText>
          </w:r>
          <w:r>
            <w:rPr>
              <w:rFonts w:hint="eastAsia" w:ascii="宋体" w:hAnsi="宋体" w:eastAsia="宋体" w:cs="宋体"/>
              <w:sz w:val="30"/>
              <w:szCs w:val="30"/>
            </w:rPr>
            <w:fldChar w:fldCharType="separate"/>
          </w:r>
          <w:r>
            <w:rPr>
              <w:rFonts w:hint="eastAsia" w:ascii="宋体" w:hAnsi="宋体" w:eastAsia="宋体" w:cs="宋体"/>
              <w:sz w:val="30"/>
              <w:szCs w:val="30"/>
            </w:rPr>
            <w:t>96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878ECC0">
          <w:pPr>
            <w:pStyle w:val="963"/>
            <w:tabs>
              <w:tab w:val="right" w:leader="dot" w:pos="9070"/>
            </w:tabs>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_Toc25341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中小企业声明函（货物）</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_Toc25341 \h </w:instrText>
          </w:r>
          <w:r>
            <w:rPr>
              <w:rFonts w:hint="eastAsia" w:ascii="宋体" w:hAnsi="宋体" w:eastAsia="宋体" w:cs="宋体"/>
              <w:sz w:val="30"/>
              <w:szCs w:val="30"/>
            </w:rPr>
            <w:fldChar w:fldCharType="separate"/>
          </w:r>
          <w:r>
            <w:rPr>
              <w:rFonts w:hint="eastAsia" w:ascii="宋体" w:hAnsi="宋体" w:eastAsia="宋体" w:cs="宋体"/>
              <w:sz w:val="30"/>
              <w:szCs w:val="30"/>
            </w:rPr>
            <w:t>97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316B88D">
          <w:r>
            <w:fldChar w:fldCharType="end"/>
          </w:r>
        </w:p>
      </w:sdtContent>
    </w:sdt>
    <w:p w14:paraId="04936A4B">
      <w:pPr>
        <w:snapToGrid w:val="0"/>
        <w:spacing w:line="360" w:lineRule="auto"/>
        <w:ind w:right="480" w:firstLine="210" w:firstLineChars="100"/>
        <w:rPr>
          <w:rFonts w:ascii="宋体" w:hAnsi="宋体" w:cs="宋体"/>
          <w:b/>
          <w:color w:val="auto"/>
          <w:kern w:val="0"/>
          <w:sz w:val="32"/>
          <w:szCs w:val="32"/>
          <w:highlight w:val="none"/>
        </w:rPr>
      </w:pPr>
      <w:r>
        <w:rPr>
          <w:rFonts w:hint="eastAsia" w:ascii="宋体" w:hAnsi="宋体" w:cs="宋体"/>
          <w:color w:val="auto"/>
          <w:szCs w:val="21"/>
          <w:highlight w:val="none"/>
        </w:rPr>
        <w:t>“▲”系指实质性要求，必须提供，否则投标无效。</w:t>
      </w:r>
    </w:p>
    <w:p w14:paraId="4224BF6E">
      <w:pPr>
        <w:snapToGrid w:val="0"/>
        <w:spacing w:line="360" w:lineRule="auto"/>
        <w:ind w:right="480"/>
        <w:jc w:val="center"/>
        <w:rPr>
          <w:rFonts w:ascii="宋体" w:hAnsi="宋体" w:cs="宋体"/>
          <w:b/>
          <w:color w:val="auto"/>
          <w:kern w:val="0"/>
          <w:sz w:val="32"/>
          <w:szCs w:val="32"/>
          <w:highlight w:val="none"/>
        </w:rPr>
      </w:pPr>
    </w:p>
    <w:p w14:paraId="260C3A43">
      <w:pPr>
        <w:snapToGrid w:val="0"/>
        <w:spacing w:line="360" w:lineRule="auto"/>
        <w:ind w:right="480"/>
        <w:jc w:val="center"/>
        <w:rPr>
          <w:rFonts w:ascii="宋体" w:hAnsi="宋体" w:cs="宋体"/>
          <w:b/>
          <w:color w:val="auto"/>
          <w:kern w:val="0"/>
          <w:sz w:val="32"/>
          <w:szCs w:val="32"/>
          <w:highlight w:val="none"/>
        </w:rPr>
      </w:pPr>
    </w:p>
    <w:p w14:paraId="5DB6DCEF">
      <w:pPr>
        <w:snapToGrid w:val="0"/>
        <w:spacing w:line="360" w:lineRule="auto"/>
        <w:ind w:right="480"/>
        <w:jc w:val="center"/>
        <w:rPr>
          <w:rFonts w:ascii="宋体" w:hAnsi="宋体" w:cs="宋体"/>
          <w:b/>
          <w:color w:val="auto"/>
          <w:kern w:val="0"/>
          <w:sz w:val="32"/>
          <w:szCs w:val="32"/>
          <w:highlight w:val="none"/>
        </w:rPr>
      </w:pPr>
    </w:p>
    <w:p w14:paraId="607C555E">
      <w:pPr>
        <w:snapToGrid w:val="0"/>
        <w:spacing w:line="360" w:lineRule="auto"/>
        <w:ind w:right="480"/>
        <w:jc w:val="center"/>
        <w:rPr>
          <w:rFonts w:ascii="宋体" w:hAnsi="宋体" w:cs="宋体"/>
          <w:b/>
          <w:color w:val="auto"/>
          <w:kern w:val="0"/>
          <w:sz w:val="32"/>
          <w:szCs w:val="32"/>
          <w:highlight w:val="none"/>
        </w:rPr>
      </w:pPr>
    </w:p>
    <w:p w14:paraId="21ADC61F">
      <w:pPr>
        <w:snapToGrid w:val="0"/>
        <w:spacing w:line="360" w:lineRule="auto"/>
        <w:ind w:right="480"/>
        <w:jc w:val="center"/>
        <w:rPr>
          <w:rFonts w:ascii="宋体" w:hAnsi="宋体" w:cs="宋体"/>
          <w:b/>
          <w:color w:val="auto"/>
          <w:kern w:val="0"/>
          <w:sz w:val="32"/>
          <w:szCs w:val="32"/>
          <w:highlight w:val="none"/>
        </w:rPr>
      </w:pPr>
    </w:p>
    <w:p w14:paraId="22DEB94D">
      <w:pPr>
        <w:snapToGrid w:val="0"/>
        <w:spacing w:line="360" w:lineRule="auto"/>
        <w:ind w:right="480"/>
        <w:jc w:val="center"/>
        <w:rPr>
          <w:rFonts w:ascii="宋体" w:hAnsi="宋体" w:cs="宋体"/>
          <w:b/>
          <w:color w:val="auto"/>
          <w:kern w:val="0"/>
          <w:sz w:val="32"/>
          <w:szCs w:val="32"/>
          <w:highlight w:val="none"/>
        </w:rPr>
      </w:pPr>
    </w:p>
    <w:p w14:paraId="38D6F04A">
      <w:pPr>
        <w:snapToGrid w:val="0"/>
        <w:spacing w:line="360" w:lineRule="auto"/>
        <w:ind w:right="480"/>
        <w:jc w:val="center"/>
        <w:rPr>
          <w:rFonts w:ascii="宋体" w:hAnsi="宋体" w:cs="宋体"/>
          <w:b/>
          <w:color w:val="auto"/>
          <w:kern w:val="0"/>
          <w:sz w:val="32"/>
          <w:szCs w:val="32"/>
          <w:highlight w:val="none"/>
        </w:rPr>
      </w:pPr>
    </w:p>
    <w:p w14:paraId="6ED0A68C">
      <w:pPr>
        <w:snapToGrid w:val="0"/>
        <w:spacing w:line="360" w:lineRule="auto"/>
        <w:ind w:right="480"/>
        <w:jc w:val="center"/>
        <w:rPr>
          <w:rFonts w:ascii="宋体" w:hAnsi="宋体" w:cs="宋体"/>
          <w:b/>
          <w:color w:val="auto"/>
          <w:kern w:val="0"/>
          <w:sz w:val="32"/>
          <w:szCs w:val="32"/>
          <w:highlight w:val="none"/>
        </w:rPr>
      </w:pPr>
    </w:p>
    <w:p w14:paraId="0DCBAEBE">
      <w:pPr>
        <w:snapToGrid w:val="0"/>
        <w:spacing w:line="360" w:lineRule="auto"/>
        <w:ind w:right="480"/>
        <w:jc w:val="center"/>
        <w:rPr>
          <w:rFonts w:ascii="宋体" w:hAnsi="宋体" w:cs="宋体"/>
          <w:b/>
          <w:color w:val="auto"/>
          <w:kern w:val="0"/>
          <w:sz w:val="32"/>
          <w:szCs w:val="32"/>
          <w:highlight w:val="none"/>
        </w:rPr>
      </w:pPr>
    </w:p>
    <w:p w14:paraId="149235DA">
      <w:pPr>
        <w:snapToGrid w:val="0"/>
        <w:spacing w:line="360" w:lineRule="auto"/>
        <w:ind w:right="480"/>
        <w:jc w:val="center"/>
        <w:rPr>
          <w:rFonts w:ascii="宋体" w:hAnsi="宋体" w:cs="宋体"/>
          <w:b/>
          <w:color w:val="auto"/>
          <w:kern w:val="0"/>
          <w:sz w:val="32"/>
          <w:szCs w:val="32"/>
          <w:highlight w:val="none"/>
        </w:rPr>
      </w:pPr>
    </w:p>
    <w:p w14:paraId="7FBE7959">
      <w:pPr>
        <w:snapToGrid w:val="0"/>
        <w:spacing w:line="360" w:lineRule="auto"/>
        <w:ind w:right="480"/>
        <w:jc w:val="center"/>
        <w:rPr>
          <w:rFonts w:ascii="宋体" w:hAnsi="宋体" w:cs="宋体"/>
          <w:b/>
          <w:color w:val="auto"/>
          <w:kern w:val="0"/>
          <w:sz w:val="32"/>
          <w:szCs w:val="32"/>
          <w:highlight w:val="none"/>
        </w:rPr>
      </w:pPr>
    </w:p>
    <w:p w14:paraId="349CADC8">
      <w:pPr>
        <w:snapToGrid w:val="0"/>
        <w:spacing w:line="360" w:lineRule="auto"/>
        <w:ind w:right="480"/>
        <w:jc w:val="center"/>
        <w:rPr>
          <w:rFonts w:ascii="宋体" w:hAnsi="宋体" w:cs="宋体"/>
          <w:b/>
          <w:color w:val="auto"/>
          <w:kern w:val="0"/>
          <w:sz w:val="32"/>
          <w:szCs w:val="32"/>
          <w:highlight w:val="none"/>
        </w:rPr>
      </w:pPr>
    </w:p>
    <w:p w14:paraId="38AA9FDA">
      <w:pPr>
        <w:snapToGrid w:val="0"/>
        <w:spacing w:line="360" w:lineRule="auto"/>
        <w:ind w:right="480"/>
        <w:jc w:val="center"/>
        <w:rPr>
          <w:rFonts w:ascii="宋体" w:hAnsi="宋体" w:cs="宋体"/>
          <w:b/>
          <w:color w:val="auto"/>
          <w:kern w:val="0"/>
          <w:sz w:val="32"/>
          <w:szCs w:val="32"/>
          <w:highlight w:val="none"/>
        </w:rPr>
      </w:pPr>
    </w:p>
    <w:p w14:paraId="3E2BA397">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2135276C">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pPr>
      <w:bookmarkStart w:id="484" w:name="_Toc176185127"/>
      <w:bookmarkStart w:id="485" w:name="_Toc4949"/>
      <w:r>
        <w:rPr>
          <w:rFonts w:hint="eastAsia"/>
        </w:rPr>
        <w:t>一、开标一览表（报价表）</w:t>
      </w:r>
      <w:bookmarkEnd w:id="484"/>
      <w:bookmarkEnd w:id="485"/>
    </w:p>
    <w:p w14:paraId="4D15814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06647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131F580">
      <w:pPr>
        <w:spacing w:line="360" w:lineRule="auto"/>
        <w:jc w:val="center"/>
        <w:outlineLvl w:val="2"/>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A7E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14CB3D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E69C0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3860FF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7BC32D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A3750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489920C">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单位</w:t>
            </w:r>
          </w:p>
        </w:tc>
        <w:tc>
          <w:tcPr>
            <w:tcW w:w="1559" w:type="dxa"/>
            <w:vAlign w:val="center"/>
          </w:tcPr>
          <w:p w14:paraId="6B2352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71B61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17D6880">
            <w:pPr>
              <w:spacing w:line="360" w:lineRule="auto"/>
              <w:jc w:val="center"/>
              <w:rPr>
                <w:rFonts w:ascii="宋体" w:hAnsi="宋体" w:cs="宋体"/>
                <w:b/>
                <w:color w:val="auto"/>
                <w:sz w:val="24"/>
                <w:highlight w:val="none"/>
              </w:rPr>
            </w:pPr>
          </w:p>
          <w:p w14:paraId="4CD80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8690F94">
            <w:pPr>
              <w:spacing w:line="360" w:lineRule="auto"/>
              <w:jc w:val="center"/>
              <w:rPr>
                <w:rFonts w:ascii="宋体" w:hAnsi="宋体" w:cs="宋体"/>
                <w:b/>
                <w:color w:val="auto"/>
                <w:sz w:val="24"/>
                <w:highlight w:val="none"/>
              </w:rPr>
            </w:pPr>
          </w:p>
        </w:tc>
      </w:tr>
      <w:tr w14:paraId="7AF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B0F0B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0261AD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0377807">
            <w:pPr>
              <w:snapToGrid w:val="0"/>
              <w:spacing w:line="360" w:lineRule="auto"/>
              <w:jc w:val="center"/>
              <w:rPr>
                <w:rFonts w:ascii="宋体" w:hAnsi="宋体" w:cs="宋体"/>
                <w:color w:val="auto"/>
                <w:sz w:val="24"/>
                <w:highlight w:val="none"/>
              </w:rPr>
            </w:pPr>
          </w:p>
        </w:tc>
        <w:tc>
          <w:tcPr>
            <w:tcW w:w="3118" w:type="dxa"/>
            <w:vAlign w:val="center"/>
          </w:tcPr>
          <w:p w14:paraId="712025D7">
            <w:pPr>
              <w:snapToGrid w:val="0"/>
              <w:spacing w:line="360" w:lineRule="auto"/>
              <w:jc w:val="center"/>
              <w:rPr>
                <w:rFonts w:ascii="宋体" w:hAnsi="宋体" w:cs="宋体"/>
                <w:color w:val="auto"/>
                <w:sz w:val="24"/>
                <w:highlight w:val="none"/>
              </w:rPr>
            </w:pPr>
          </w:p>
        </w:tc>
        <w:tc>
          <w:tcPr>
            <w:tcW w:w="993" w:type="dxa"/>
            <w:vAlign w:val="center"/>
          </w:tcPr>
          <w:p w14:paraId="79CC0ED3">
            <w:pPr>
              <w:snapToGrid w:val="0"/>
              <w:spacing w:line="360" w:lineRule="auto"/>
              <w:jc w:val="center"/>
              <w:rPr>
                <w:rFonts w:ascii="宋体" w:hAnsi="宋体" w:cs="宋体"/>
                <w:color w:val="auto"/>
                <w:sz w:val="24"/>
                <w:highlight w:val="none"/>
              </w:rPr>
            </w:pPr>
          </w:p>
        </w:tc>
        <w:tc>
          <w:tcPr>
            <w:tcW w:w="1559" w:type="dxa"/>
            <w:vAlign w:val="center"/>
          </w:tcPr>
          <w:p w14:paraId="080CE126">
            <w:pPr>
              <w:spacing w:line="360" w:lineRule="auto"/>
              <w:jc w:val="center"/>
              <w:rPr>
                <w:rFonts w:ascii="宋体" w:hAnsi="宋体" w:cs="宋体"/>
                <w:color w:val="auto"/>
                <w:sz w:val="24"/>
                <w:highlight w:val="none"/>
              </w:rPr>
            </w:pPr>
          </w:p>
        </w:tc>
        <w:tc>
          <w:tcPr>
            <w:tcW w:w="1984" w:type="dxa"/>
            <w:vAlign w:val="center"/>
          </w:tcPr>
          <w:p w14:paraId="5C9F6C4E">
            <w:pPr>
              <w:spacing w:line="360" w:lineRule="auto"/>
              <w:jc w:val="center"/>
              <w:rPr>
                <w:rFonts w:ascii="宋体" w:hAnsi="宋体" w:cs="宋体"/>
                <w:color w:val="auto"/>
                <w:sz w:val="24"/>
                <w:highlight w:val="none"/>
              </w:rPr>
            </w:pPr>
          </w:p>
        </w:tc>
        <w:tc>
          <w:tcPr>
            <w:tcW w:w="3119" w:type="dxa"/>
            <w:vAlign w:val="center"/>
          </w:tcPr>
          <w:p w14:paraId="1A6D1F0E">
            <w:pPr>
              <w:spacing w:line="360" w:lineRule="auto"/>
              <w:jc w:val="center"/>
              <w:rPr>
                <w:rFonts w:ascii="宋体" w:hAnsi="宋体" w:cs="宋体"/>
                <w:color w:val="auto"/>
                <w:sz w:val="24"/>
                <w:highlight w:val="none"/>
              </w:rPr>
            </w:pPr>
          </w:p>
        </w:tc>
      </w:tr>
      <w:tr w14:paraId="2C63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04004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623829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AA3D3C0">
            <w:pPr>
              <w:snapToGrid w:val="0"/>
              <w:spacing w:line="360" w:lineRule="auto"/>
              <w:jc w:val="center"/>
              <w:rPr>
                <w:rFonts w:ascii="宋体" w:hAnsi="宋体" w:cs="宋体"/>
                <w:color w:val="auto"/>
                <w:sz w:val="24"/>
                <w:highlight w:val="none"/>
              </w:rPr>
            </w:pPr>
          </w:p>
        </w:tc>
        <w:tc>
          <w:tcPr>
            <w:tcW w:w="3118" w:type="dxa"/>
            <w:vAlign w:val="center"/>
          </w:tcPr>
          <w:p w14:paraId="0EFCD13C">
            <w:pPr>
              <w:snapToGrid w:val="0"/>
              <w:spacing w:line="360" w:lineRule="auto"/>
              <w:jc w:val="center"/>
              <w:rPr>
                <w:rFonts w:ascii="宋体" w:hAnsi="宋体" w:cs="宋体"/>
                <w:color w:val="auto"/>
                <w:sz w:val="24"/>
                <w:highlight w:val="none"/>
              </w:rPr>
            </w:pPr>
          </w:p>
        </w:tc>
        <w:tc>
          <w:tcPr>
            <w:tcW w:w="993" w:type="dxa"/>
            <w:vAlign w:val="center"/>
          </w:tcPr>
          <w:p w14:paraId="7C831965">
            <w:pPr>
              <w:snapToGrid w:val="0"/>
              <w:spacing w:line="360" w:lineRule="auto"/>
              <w:jc w:val="center"/>
              <w:rPr>
                <w:rFonts w:ascii="宋体" w:hAnsi="宋体" w:cs="宋体"/>
                <w:color w:val="auto"/>
                <w:sz w:val="24"/>
                <w:highlight w:val="none"/>
              </w:rPr>
            </w:pPr>
          </w:p>
        </w:tc>
        <w:tc>
          <w:tcPr>
            <w:tcW w:w="1559" w:type="dxa"/>
            <w:vAlign w:val="center"/>
          </w:tcPr>
          <w:p w14:paraId="7A12BE2E">
            <w:pPr>
              <w:spacing w:line="360" w:lineRule="auto"/>
              <w:jc w:val="center"/>
              <w:rPr>
                <w:rFonts w:ascii="宋体" w:hAnsi="宋体" w:cs="宋体"/>
                <w:color w:val="auto"/>
                <w:sz w:val="24"/>
                <w:highlight w:val="none"/>
              </w:rPr>
            </w:pPr>
          </w:p>
        </w:tc>
        <w:tc>
          <w:tcPr>
            <w:tcW w:w="1984" w:type="dxa"/>
            <w:vAlign w:val="center"/>
          </w:tcPr>
          <w:p w14:paraId="2C486444">
            <w:pPr>
              <w:spacing w:line="360" w:lineRule="auto"/>
              <w:jc w:val="center"/>
              <w:rPr>
                <w:rFonts w:ascii="宋体" w:hAnsi="宋体" w:cs="宋体"/>
                <w:color w:val="auto"/>
                <w:sz w:val="24"/>
                <w:highlight w:val="none"/>
              </w:rPr>
            </w:pPr>
          </w:p>
        </w:tc>
        <w:tc>
          <w:tcPr>
            <w:tcW w:w="3119" w:type="dxa"/>
            <w:vAlign w:val="center"/>
          </w:tcPr>
          <w:p w14:paraId="69BE680E">
            <w:pPr>
              <w:spacing w:line="360" w:lineRule="auto"/>
              <w:jc w:val="center"/>
              <w:rPr>
                <w:rFonts w:ascii="宋体" w:hAnsi="宋体" w:cs="宋体"/>
                <w:color w:val="auto"/>
                <w:sz w:val="24"/>
                <w:highlight w:val="none"/>
              </w:rPr>
            </w:pPr>
          </w:p>
        </w:tc>
      </w:tr>
      <w:tr w14:paraId="2317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31447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9140678">
            <w:pPr>
              <w:snapToGrid w:val="0"/>
              <w:spacing w:line="360" w:lineRule="auto"/>
              <w:jc w:val="center"/>
              <w:rPr>
                <w:rFonts w:ascii="宋体" w:hAnsi="宋体" w:cs="宋体"/>
                <w:color w:val="auto"/>
                <w:sz w:val="24"/>
                <w:highlight w:val="none"/>
              </w:rPr>
            </w:pPr>
          </w:p>
        </w:tc>
        <w:tc>
          <w:tcPr>
            <w:tcW w:w="1843" w:type="dxa"/>
            <w:vAlign w:val="center"/>
          </w:tcPr>
          <w:p w14:paraId="02E0BBA9">
            <w:pPr>
              <w:snapToGrid w:val="0"/>
              <w:spacing w:line="360" w:lineRule="auto"/>
              <w:jc w:val="center"/>
              <w:rPr>
                <w:rFonts w:ascii="宋体" w:hAnsi="宋体" w:cs="宋体"/>
                <w:color w:val="auto"/>
                <w:sz w:val="24"/>
                <w:highlight w:val="none"/>
              </w:rPr>
            </w:pPr>
          </w:p>
        </w:tc>
        <w:tc>
          <w:tcPr>
            <w:tcW w:w="3118" w:type="dxa"/>
            <w:vAlign w:val="center"/>
          </w:tcPr>
          <w:p w14:paraId="5E571028">
            <w:pPr>
              <w:snapToGrid w:val="0"/>
              <w:spacing w:line="360" w:lineRule="auto"/>
              <w:jc w:val="center"/>
              <w:rPr>
                <w:rFonts w:ascii="宋体" w:hAnsi="宋体" w:cs="宋体"/>
                <w:color w:val="auto"/>
                <w:sz w:val="24"/>
                <w:highlight w:val="none"/>
              </w:rPr>
            </w:pPr>
          </w:p>
        </w:tc>
        <w:tc>
          <w:tcPr>
            <w:tcW w:w="993" w:type="dxa"/>
            <w:vAlign w:val="center"/>
          </w:tcPr>
          <w:p w14:paraId="158E4BDE">
            <w:pPr>
              <w:snapToGrid w:val="0"/>
              <w:spacing w:line="360" w:lineRule="auto"/>
              <w:jc w:val="center"/>
              <w:rPr>
                <w:rFonts w:ascii="宋体" w:hAnsi="宋体" w:cs="宋体"/>
                <w:color w:val="auto"/>
                <w:sz w:val="24"/>
                <w:highlight w:val="none"/>
              </w:rPr>
            </w:pPr>
          </w:p>
        </w:tc>
        <w:tc>
          <w:tcPr>
            <w:tcW w:w="1559" w:type="dxa"/>
            <w:vAlign w:val="center"/>
          </w:tcPr>
          <w:p w14:paraId="762AD436">
            <w:pPr>
              <w:spacing w:line="360" w:lineRule="auto"/>
              <w:jc w:val="center"/>
              <w:rPr>
                <w:rFonts w:ascii="宋体" w:hAnsi="宋体" w:cs="宋体"/>
                <w:color w:val="auto"/>
                <w:sz w:val="24"/>
                <w:highlight w:val="none"/>
              </w:rPr>
            </w:pPr>
          </w:p>
        </w:tc>
        <w:tc>
          <w:tcPr>
            <w:tcW w:w="1984" w:type="dxa"/>
            <w:vAlign w:val="center"/>
          </w:tcPr>
          <w:p w14:paraId="108B5921">
            <w:pPr>
              <w:spacing w:line="360" w:lineRule="auto"/>
              <w:jc w:val="center"/>
              <w:rPr>
                <w:rFonts w:ascii="宋体" w:hAnsi="宋体" w:cs="宋体"/>
                <w:color w:val="auto"/>
                <w:sz w:val="24"/>
                <w:highlight w:val="none"/>
              </w:rPr>
            </w:pPr>
          </w:p>
        </w:tc>
        <w:tc>
          <w:tcPr>
            <w:tcW w:w="3119" w:type="dxa"/>
            <w:vAlign w:val="center"/>
          </w:tcPr>
          <w:p w14:paraId="3B298840">
            <w:pPr>
              <w:spacing w:line="360" w:lineRule="auto"/>
              <w:jc w:val="center"/>
              <w:rPr>
                <w:rFonts w:ascii="宋体" w:hAnsi="宋体" w:cs="宋体"/>
                <w:color w:val="auto"/>
                <w:sz w:val="24"/>
                <w:highlight w:val="none"/>
              </w:rPr>
            </w:pPr>
          </w:p>
        </w:tc>
      </w:tr>
      <w:tr w14:paraId="2840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BFED344">
            <w:pPr>
              <w:spacing w:line="360" w:lineRule="auto"/>
              <w:jc w:val="center"/>
              <w:rPr>
                <w:rFonts w:ascii="宋体" w:hAnsi="宋体" w:cs="宋体"/>
                <w:color w:val="auto"/>
                <w:sz w:val="24"/>
                <w:highlight w:val="none"/>
              </w:rPr>
            </w:pPr>
          </w:p>
        </w:tc>
        <w:tc>
          <w:tcPr>
            <w:tcW w:w="1417" w:type="dxa"/>
            <w:vAlign w:val="center"/>
          </w:tcPr>
          <w:p w14:paraId="7DC5CF1B">
            <w:pPr>
              <w:snapToGrid w:val="0"/>
              <w:spacing w:line="360" w:lineRule="auto"/>
              <w:jc w:val="center"/>
              <w:rPr>
                <w:rFonts w:ascii="宋体" w:hAnsi="宋体" w:cs="宋体"/>
                <w:color w:val="auto"/>
                <w:sz w:val="24"/>
                <w:highlight w:val="none"/>
              </w:rPr>
            </w:pPr>
          </w:p>
        </w:tc>
        <w:tc>
          <w:tcPr>
            <w:tcW w:w="1843" w:type="dxa"/>
            <w:vAlign w:val="center"/>
          </w:tcPr>
          <w:p w14:paraId="4675DD10">
            <w:pPr>
              <w:snapToGrid w:val="0"/>
              <w:spacing w:line="360" w:lineRule="auto"/>
              <w:jc w:val="center"/>
              <w:rPr>
                <w:rFonts w:ascii="宋体" w:hAnsi="宋体" w:cs="宋体"/>
                <w:color w:val="auto"/>
                <w:sz w:val="24"/>
                <w:highlight w:val="none"/>
              </w:rPr>
            </w:pPr>
          </w:p>
        </w:tc>
        <w:tc>
          <w:tcPr>
            <w:tcW w:w="3118" w:type="dxa"/>
            <w:vAlign w:val="center"/>
          </w:tcPr>
          <w:p w14:paraId="78AD79EB">
            <w:pPr>
              <w:snapToGrid w:val="0"/>
              <w:spacing w:line="360" w:lineRule="auto"/>
              <w:jc w:val="center"/>
              <w:rPr>
                <w:rFonts w:ascii="宋体" w:hAnsi="宋体" w:cs="宋体"/>
                <w:color w:val="auto"/>
                <w:sz w:val="24"/>
                <w:highlight w:val="none"/>
              </w:rPr>
            </w:pPr>
          </w:p>
        </w:tc>
        <w:tc>
          <w:tcPr>
            <w:tcW w:w="993" w:type="dxa"/>
            <w:vAlign w:val="center"/>
          </w:tcPr>
          <w:p w14:paraId="727658E7">
            <w:pPr>
              <w:snapToGrid w:val="0"/>
              <w:spacing w:line="360" w:lineRule="auto"/>
              <w:jc w:val="center"/>
              <w:rPr>
                <w:rFonts w:ascii="宋体" w:hAnsi="宋体" w:cs="宋体"/>
                <w:color w:val="auto"/>
                <w:sz w:val="24"/>
                <w:highlight w:val="none"/>
              </w:rPr>
            </w:pPr>
          </w:p>
        </w:tc>
        <w:tc>
          <w:tcPr>
            <w:tcW w:w="1559" w:type="dxa"/>
            <w:vAlign w:val="center"/>
          </w:tcPr>
          <w:p w14:paraId="030F07DB">
            <w:pPr>
              <w:spacing w:line="360" w:lineRule="auto"/>
              <w:jc w:val="center"/>
              <w:rPr>
                <w:rFonts w:ascii="宋体" w:hAnsi="宋体" w:cs="宋体"/>
                <w:color w:val="auto"/>
                <w:sz w:val="24"/>
                <w:highlight w:val="none"/>
              </w:rPr>
            </w:pPr>
          </w:p>
        </w:tc>
        <w:tc>
          <w:tcPr>
            <w:tcW w:w="1984" w:type="dxa"/>
            <w:vAlign w:val="center"/>
          </w:tcPr>
          <w:p w14:paraId="6107C1E7">
            <w:pPr>
              <w:spacing w:line="360" w:lineRule="auto"/>
              <w:jc w:val="center"/>
              <w:rPr>
                <w:rFonts w:ascii="宋体" w:hAnsi="宋体" w:cs="宋体"/>
                <w:color w:val="auto"/>
                <w:sz w:val="24"/>
                <w:highlight w:val="none"/>
              </w:rPr>
            </w:pPr>
          </w:p>
        </w:tc>
        <w:tc>
          <w:tcPr>
            <w:tcW w:w="3119" w:type="dxa"/>
            <w:vAlign w:val="center"/>
          </w:tcPr>
          <w:p w14:paraId="1A74344F">
            <w:pPr>
              <w:spacing w:line="360" w:lineRule="auto"/>
              <w:jc w:val="center"/>
              <w:rPr>
                <w:rFonts w:ascii="宋体" w:hAnsi="宋体" w:cs="宋体"/>
                <w:color w:val="auto"/>
                <w:sz w:val="24"/>
                <w:highlight w:val="none"/>
              </w:rPr>
            </w:pPr>
          </w:p>
        </w:tc>
      </w:tr>
      <w:tr w14:paraId="0AFA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C876B41">
            <w:pPr>
              <w:spacing w:line="360" w:lineRule="auto"/>
              <w:jc w:val="center"/>
              <w:rPr>
                <w:rFonts w:ascii="宋体" w:hAnsi="宋体" w:cs="宋体"/>
                <w:color w:val="auto"/>
                <w:sz w:val="24"/>
                <w:highlight w:val="none"/>
              </w:rPr>
            </w:pPr>
          </w:p>
        </w:tc>
        <w:tc>
          <w:tcPr>
            <w:tcW w:w="1417" w:type="dxa"/>
            <w:vAlign w:val="center"/>
          </w:tcPr>
          <w:p w14:paraId="2DDB6E7E">
            <w:pPr>
              <w:snapToGrid w:val="0"/>
              <w:spacing w:line="360" w:lineRule="auto"/>
              <w:jc w:val="center"/>
              <w:rPr>
                <w:rFonts w:ascii="宋体" w:hAnsi="宋体" w:cs="宋体"/>
                <w:color w:val="auto"/>
                <w:sz w:val="24"/>
                <w:highlight w:val="none"/>
              </w:rPr>
            </w:pPr>
          </w:p>
        </w:tc>
        <w:tc>
          <w:tcPr>
            <w:tcW w:w="1843" w:type="dxa"/>
            <w:vAlign w:val="center"/>
          </w:tcPr>
          <w:p w14:paraId="457F07E0">
            <w:pPr>
              <w:snapToGrid w:val="0"/>
              <w:spacing w:line="360" w:lineRule="auto"/>
              <w:jc w:val="center"/>
              <w:rPr>
                <w:rFonts w:ascii="宋体" w:hAnsi="宋体" w:cs="宋体"/>
                <w:color w:val="auto"/>
                <w:sz w:val="24"/>
                <w:highlight w:val="none"/>
              </w:rPr>
            </w:pPr>
          </w:p>
        </w:tc>
        <w:tc>
          <w:tcPr>
            <w:tcW w:w="3118" w:type="dxa"/>
            <w:vAlign w:val="center"/>
          </w:tcPr>
          <w:p w14:paraId="3578D9DB">
            <w:pPr>
              <w:snapToGrid w:val="0"/>
              <w:spacing w:line="360" w:lineRule="auto"/>
              <w:jc w:val="center"/>
              <w:rPr>
                <w:rFonts w:ascii="宋体" w:hAnsi="宋体" w:cs="宋体"/>
                <w:color w:val="auto"/>
                <w:sz w:val="24"/>
                <w:highlight w:val="none"/>
              </w:rPr>
            </w:pPr>
          </w:p>
        </w:tc>
        <w:tc>
          <w:tcPr>
            <w:tcW w:w="993" w:type="dxa"/>
            <w:vAlign w:val="center"/>
          </w:tcPr>
          <w:p w14:paraId="523D79B1">
            <w:pPr>
              <w:snapToGrid w:val="0"/>
              <w:spacing w:line="360" w:lineRule="auto"/>
              <w:jc w:val="center"/>
              <w:rPr>
                <w:rFonts w:ascii="宋体" w:hAnsi="宋体" w:cs="宋体"/>
                <w:color w:val="auto"/>
                <w:sz w:val="24"/>
                <w:highlight w:val="none"/>
              </w:rPr>
            </w:pPr>
          </w:p>
        </w:tc>
        <w:tc>
          <w:tcPr>
            <w:tcW w:w="1559" w:type="dxa"/>
            <w:vAlign w:val="center"/>
          </w:tcPr>
          <w:p w14:paraId="5A6B1381">
            <w:pPr>
              <w:spacing w:line="360" w:lineRule="auto"/>
              <w:jc w:val="center"/>
              <w:rPr>
                <w:rFonts w:ascii="宋体" w:hAnsi="宋体" w:cs="宋体"/>
                <w:color w:val="auto"/>
                <w:sz w:val="24"/>
                <w:highlight w:val="none"/>
              </w:rPr>
            </w:pPr>
          </w:p>
        </w:tc>
        <w:tc>
          <w:tcPr>
            <w:tcW w:w="1984" w:type="dxa"/>
            <w:vAlign w:val="center"/>
          </w:tcPr>
          <w:p w14:paraId="182C109D">
            <w:pPr>
              <w:spacing w:line="360" w:lineRule="auto"/>
              <w:jc w:val="center"/>
              <w:rPr>
                <w:rFonts w:ascii="宋体" w:hAnsi="宋体" w:cs="宋体"/>
                <w:color w:val="auto"/>
                <w:sz w:val="24"/>
                <w:highlight w:val="none"/>
              </w:rPr>
            </w:pPr>
          </w:p>
        </w:tc>
        <w:tc>
          <w:tcPr>
            <w:tcW w:w="3119" w:type="dxa"/>
            <w:vAlign w:val="center"/>
          </w:tcPr>
          <w:p w14:paraId="0577F83D">
            <w:pPr>
              <w:spacing w:line="360" w:lineRule="auto"/>
              <w:jc w:val="center"/>
              <w:rPr>
                <w:rFonts w:ascii="宋体" w:hAnsi="宋体" w:cs="宋体"/>
                <w:color w:val="auto"/>
                <w:sz w:val="24"/>
                <w:highlight w:val="none"/>
              </w:rPr>
            </w:pPr>
          </w:p>
        </w:tc>
      </w:tr>
      <w:tr w14:paraId="2635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753E5C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（小写）</w:t>
            </w:r>
          </w:p>
        </w:tc>
        <w:tc>
          <w:tcPr>
            <w:tcW w:w="7655" w:type="dxa"/>
            <w:gridSpan w:val="4"/>
            <w:vAlign w:val="center"/>
          </w:tcPr>
          <w:p w14:paraId="50A0DE40">
            <w:pPr>
              <w:spacing w:line="360" w:lineRule="auto"/>
              <w:jc w:val="center"/>
              <w:rPr>
                <w:rFonts w:ascii="宋体" w:hAnsi="宋体" w:cs="宋体"/>
                <w:color w:val="auto"/>
                <w:sz w:val="24"/>
                <w:highlight w:val="none"/>
              </w:rPr>
            </w:pPr>
          </w:p>
        </w:tc>
      </w:tr>
      <w:tr w14:paraId="3B0B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2BC019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合计</w:t>
            </w:r>
            <w:r>
              <w:rPr>
                <w:rFonts w:hint="eastAsia" w:ascii="宋体" w:hAnsi="宋体" w:cs="宋体"/>
                <w:b/>
                <w:color w:val="auto"/>
                <w:sz w:val="24"/>
                <w:highlight w:val="none"/>
              </w:rPr>
              <w:t>（大写）</w:t>
            </w:r>
          </w:p>
        </w:tc>
        <w:tc>
          <w:tcPr>
            <w:tcW w:w="7655" w:type="dxa"/>
            <w:gridSpan w:val="4"/>
            <w:vAlign w:val="center"/>
          </w:tcPr>
          <w:p w14:paraId="086C4546">
            <w:pPr>
              <w:spacing w:line="360" w:lineRule="auto"/>
              <w:jc w:val="center"/>
              <w:rPr>
                <w:rFonts w:ascii="宋体" w:hAnsi="宋体" w:cs="宋体"/>
                <w:color w:val="auto"/>
                <w:sz w:val="24"/>
                <w:highlight w:val="none"/>
              </w:rPr>
            </w:pPr>
          </w:p>
        </w:tc>
      </w:tr>
    </w:tbl>
    <w:p w14:paraId="09C9458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132194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F1CB2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AAC358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E7A0AB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C11733">
      <w:pPr>
        <w:autoSpaceDE w:val="0"/>
        <w:autoSpaceDN w:val="0"/>
        <w:spacing w:line="360" w:lineRule="auto"/>
        <w:ind w:left="2"/>
        <w:jc w:val="left"/>
        <w:rPr>
          <w:rFonts w:ascii="宋体" w:hAnsi="宋体" w:cs="宋体"/>
          <w:color w:val="auto"/>
          <w:kern w:val="0"/>
          <w:sz w:val="24"/>
          <w:highlight w:val="none"/>
          <w:lang w:val="zh-CN"/>
        </w:rPr>
      </w:pPr>
    </w:p>
    <w:p w14:paraId="3EA24ECE">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08FE452D">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7DD258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B2A79C">
      <w:pPr>
        <w:spacing w:line="360" w:lineRule="auto"/>
        <w:ind w:firstLine="482" w:firstLineChars="200"/>
        <w:rPr>
          <w:rFonts w:ascii="宋体" w:hAnsi="宋体" w:cs="宋体"/>
          <w:b/>
          <w:color w:val="auto"/>
          <w:kern w:val="0"/>
          <w:sz w:val="24"/>
          <w:highlight w:val="none"/>
        </w:rPr>
      </w:pPr>
    </w:p>
    <w:p w14:paraId="031AB40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A4E2B1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61565CE0">
      <w:pPr>
        <w:pStyle w:val="2"/>
        <w:keepNext/>
        <w:keepLines/>
        <w:pageBreakBefore w:val="0"/>
        <w:widowControl w:val="0"/>
        <w:kinsoku/>
        <w:wordWrap/>
        <w:overflowPunct/>
        <w:topLinePunct w:val="0"/>
        <w:autoSpaceDE/>
        <w:autoSpaceDN/>
        <w:bidi w:val="0"/>
        <w:adjustRightInd w:val="0"/>
        <w:snapToGrid/>
        <w:spacing w:line="520" w:lineRule="exact"/>
        <w:ind w:left="431" w:hanging="431"/>
        <w:jc w:val="center"/>
        <w:textAlignment w:val="auto"/>
        <w:rPr>
          <w:rFonts w:hint="eastAsia"/>
        </w:rPr>
      </w:pPr>
      <w:bookmarkStart w:id="486" w:name="_Toc27866"/>
      <w:bookmarkStart w:id="487" w:name="_Toc176185128"/>
      <w:r>
        <w:rPr>
          <w:rFonts w:hint="eastAsia"/>
        </w:rPr>
        <w:t>二、中小企业声明函</w:t>
      </w:r>
      <w:bookmarkStart w:id="488" w:name="_Hlk101259491"/>
      <w:r>
        <w:rPr>
          <w:rFonts w:hint="eastAsia"/>
        </w:rPr>
        <w:t>（如果有）</w:t>
      </w:r>
      <w:bookmarkEnd w:id="486"/>
      <w:bookmarkEnd w:id="487"/>
      <w:bookmarkEnd w:id="488"/>
    </w:p>
    <w:p w14:paraId="3BDAFC44">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bookmarkStart w:id="489" w:name="_Toc5917"/>
      <w:bookmarkStart w:id="490" w:name="_Toc484"/>
      <w:bookmarkStart w:id="491" w:name="_Toc954"/>
    </w:p>
    <w:p w14:paraId="177C853D">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510E9D3F">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8E98CB9">
      <w:pPr>
        <w:keepNext w:val="0"/>
        <w:keepLines w:val="0"/>
        <w:pageBreakBefore w:val="0"/>
        <w:widowControl/>
        <w:kinsoku/>
        <w:wordWrap/>
        <w:overflowPunct/>
        <w:topLinePunct w:val="0"/>
        <w:autoSpaceDE/>
        <w:autoSpaceDN/>
        <w:bidi w:val="0"/>
        <w:adjustRightInd w:val="0"/>
        <w:spacing w:line="400" w:lineRule="exact"/>
        <w:ind w:firstLine="141" w:firstLineChars="50"/>
        <w:jc w:val="left"/>
        <w:textAlignment w:val="auto"/>
        <w:rPr>
          <w:rFonts w:ascii="宋体" w:hAnsi="宋体" w:cs="宋体"/>
          <w:b/>
          <w:color w:val="auto"/>
          <w:sz w:val="28"/>
          <w:szCs w:val="28"/>
          <w:highlight w:val="none"/>
        </w:rPr>
      </w:pPr>
      <w:r>
        <w:rPr>
          <w:rFonts w:hint="eastAsia" w:ascii="宋体" w:hAnsi="宋体" w:cs="宋体"/>
          <w:b/>
          <w:color w:val="auto"/>
          <w:sz w:val="28"/>
          <w:szCs w:val="28"/>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F64D631">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B0A439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62E9DA5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0F5B344">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173E0C7">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2AB68D0">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67E03540">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FD52B21">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4E816E46">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18A59C7E">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11AFFFE">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5A2739E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100A7C59">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3A5C0581">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35F415D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493F9C5">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6D21AD7">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4FD3C8D">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A925993">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7D82B280">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4CC35FCF">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510FC66">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4BBFDFD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180A82A">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0D918A85">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33BD285C">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64A7382B">
      <w:pPr>
        <w:keepNext w:val="0"/>
        <w:keepLines w:val="0"/>
        <w:pageBreakBefore w:val="0"/>
        <w:kinsoku/>
        <w:wordWrap/>
        <w:overflowPunct/>
        <w:topLinePunct w:val="0"/>
        <w:autoSpaceDE/>
        <w:autoSpaceDN/>
        <w:bidi w:val="0"/>
        <w:adjustRightInd w:val="0"/>
        <w:spacing w:line="400" w:lineRule="exact"/>
        <w:jc w:val="center"/>
        <w:textAlignment w:val="auto"/>
        <w:outlineLvl w:val="0"/>
        <w:rPr>
          <w:rFonts w:hint="eastAsia" w:ascii="宋体" w:hAnsi="宋体" w:cs="宋体"/>
          <w:b/>
          <w:color w:val="auto"/>
          <w:sz w:val="28"/>
          <w:szCs w:val="28"/>
          <w:highlight w:val="none"/>
        </w:rPr>
      </w:pPr>
      <w:bookmarkStart w:id="492" w:name="_Toc25341"/>
      <w:r>
        <w:rPr>
          <w:rFonts w:hint="eastAsia" w:ascii="宋体" w:hAnsi="宋体" w:cs="宋体"/>
          <w:b/>
          <w:color w:val="auto"/>
          <w:sz w:val="28"/>
          <w:szCs w:val="28"/>
          <w:highlight w:val="none"/>
        </w:rPr>
        <w:t>中小企业声明函（货物）</w:t>
      </w:r>
      <w:bookmarkEnd w:id="489"/>
      <w:bookmarkEnd w:id="490"/>
      <w:bookmarkEnd w:id="491"/>
      <w:bookmarkEnd w:id="492"/>
    </w:p>
    <w:p w14:paraId="47A76AF8">
      <w:pPr>
        <w:keepNext w:val="0"/>
        <w:keepLines w:val="0"/>
        <w:pageBreakBefore w:val="0"/>
        <w:kinsoku/>
        <w:wordWrap/>
        <w:overflowPunct/>
        <w:topLinePunct w:val="0"/>
        <w:autoSpaceDE/>
        <w:autoSpaceDN/>
        <w:bidi w:val="0"/>
        <w:adjustRightInd w:val="0"/>
        <w:spacing w:line="400" w:lineRule="exact"/>
        <w:jc w:val="center"/>
        <w:textAlignment w:val="auto"/>
        <w:outlineLvl w:val="9"/>
        <w:rPr>
          <w:rFonts w:hint="eastAsia" w:ascii="宋体" w:hAnsi="宋体" w:cs="宋体"/>
          <w:b/>
          <w:color w:val="auto"/>
          <w:sz w:val="28"/>
          <w:szCs w:val="28"/>
          <w:highlight w:val="none"/>
        </w:rPr>
      </w:pPr>
    </w:p>
    <w:p w14:paraId="2AFB6ADC">
      <w:pPr>
        <w:keepNext w:val="0"/>
        <w:keepLines w:val="0"/>
        <w:pageBreakBefore w:val="0"/>
        <w:kinsoku/>
        <w:wordWrap/>
        <w:overflowPunct/>
        <w:topLinePunct w:val="0"/>
        <w:autoSpaceDE/>
        <w:autoSpaceDN/>
        <w:bidi w:val="0"/>
        <w:adjustRightInd w:val="0"/>
        <w:spacing w:line="40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 xml:space="preserve">本公司（联合体）郑重声明，根据《政府采购促进中小企业发展管理办法》（财库﹝2020﹞46 号）的规定，本公司（联合体）参加 </w:t>
      </w:r>
      <w:r>
        <w:rPr>
          <w:rFonts w:hint="eastAsia" w:ascii="宋体" w:hAnsi="宋体" w:cs="宋体"/>
          <w:color w:val="auto"/>
          <w:sz w:val="28"/>
          <w:szCs w:val="28"/>
          <w:highlight w:val="none"/>
          <w:u w:val="single"/>
        </w:rPr>
        <w:t xml:space="preserve">（采购人） </w:t>
      </w:r>
      <w:r>
        <w:rPr>
          <w:rFonts w:hint="eastAsia" w:ascii="宋体" w:hAnsi="宋体" w:cs="宋体"/>
          <w:color w:val="auto"/>
          <w:sz w:val="28"/>
          <w:szCs w:val="28"/>
          <w:highlight w:val="none"/>
        </w:rPr>
        <w:t xml:space="preserve">的 </w:t>
      </w: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 xml:space="preserve"> 采购活动，提供的货物全部由符合政策要求的中小企业制造。相关企业（含联合体中的中小企业、签订分包意向协议的中小企业）的具体情况如下：</w:t>
      </w:r>
    </w:p>
    <w:p w14:paraId="771AB46E">
      <w:pPr>
        <w:keepNext w:val="0"/>
        <w:keepLines w:val="0"/>
        <w:pageBreakBefore w:val="0"/>
        <w:kinsoku/>
        <w:wordWrap/>
        <w:overflowPunct/>
        <w:topLinePunct w:val="0"/>
        <w:autoSpaceDE/>
        <w:autoSpaceDN/>
        <w:bidi w:val="0"/>
        <w:adjustRightInd w:val="0"/>
        <w:spacing w:line="40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 xml:space="preserve">1. </w:t>
      </w:r>
      <w:r>
        <w:rPr>
          <w:rFonts w:hint="eastAsia" w:ascii="宋体" w:hAnsi="宋体" w:cs="宋体"/>
          <w:color w:val="auto"/>
          <w:sz w:val="28"/>
          <w:szCs w:val="28"/>
          <w:highlight w:val="none"/>
          <w:u w:val="single"/>
        </w:rPr>
        <w:t>（标的名称）</w:t>
      </w:r>
      <w:r>
        <w:rPr>
          <w:rFonts w:hint="eastAsia" w:ascii="宋体" w:hAnsi="宋体" w:cs="宋体"/>
          <w:color w:val="auto"/>
          <w:sz w:val="28"/>
          <w:szCs w:val="28"/>
          <w:highlight w:val="none"/>
        </w:rPr>
        <w:t xml:space="preserve"> ，属于 </w:t>
      </w:r>
      <w:r>
        <w:rPr>
          <w:rFonts w:hint="eastAsia" w:ascii="宋体" w:hAnsi="宋体" w:cs="宋体"/>
          <w:color w:val="auto"/>
          <w:sz w:val="28"/>
          <w:szCs w:val="28"/>
          <w:highlight w:val="none"/>
          <w:u w:val="single"/>
        </w:rPr>
        <w:t>（采购文件中明确的所属行业）</w:t>
      </w:r>
      <w:r>
        <w:rPr>
          <w:rFonts w:hint="eastAsia" w:ascii="宋体" w:hAnsi="宋体" w:cs="宋体"/>
          <w:color w:val="auto"/>
          <w:sz w:val="28"/>
          <w:szCs w:val="28"/>
          <w:highlight w:val="none"/>
        </w:rPr>
        <w:t>行业 ；制造商为</w:t>
      </w:r>
      <w:r>
        <w:rPr>
          <w:rFonts w:hint="eastAsia" w:ascii="宋体" w:hAnsi="宋体" w:cs="宋体"/>
          <w:color w:val="auto"/>
          <w:sz w:val="28"/>
          <w:szCs w:val="28"/>
          <w:highlight w:val="none"/>
          <w:u w:val="single"/>
        </w:rPr>
        <w:t xml:space="preserve"> （企业名称）</w:t>
      </w:r>
      <w:r>
        <w:rPr>
          <w:rFonts w:hint="eastAsia" w:ascii="宋体" w:hAnsi="宋体" w:cs="宋体"/>
          <w:color w:val="auto"/>
          <w:sz w:val="28"/>
          <w:szCs w:val="28"/>
          <w:highlight w:val="none"/>
        </w:rPr>
        <w:t xml:space="preserve"> ，从业人员</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人，营业收入为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万元，资产总额为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万元，属于</w:t>
      </w:r>
      <w:r>
        <w:rPr>
          <w:rFonts w:hint="eastAsia" w:ascii="宋体" w:hAnsi="宋体" w:cs="宋体"/>
          <w:color w:val="auto"/>
          <w:sz w:val="28"/>
          <w:szCs w:val="28"/>
          <w:highlight w:val="none"/>
          <w:u w:val="single"/>
        </w:rPr>
        <w:t xml:space="preserve"> （中型企业、小型企业、微型企业）</w:t>
      </w:r>
      <w:r>
        <w:rPr>
          <w:rFonts w:hint="eastAsia" w:ascii="宋体" w:hAnsi="宋体" w:cs="宋体"/>
          <w:color w:val="auto"/>
          <w:sz w:val="28"/>
          <w:szCs w:val="28"/>
          <w:highlight w:val="none"/>
        </w:rPr>
        <w:t xml:space="preserve"> ；</w:t>
      </w:r>
    </w:p>
    <w:p w14:paraId="6E00BB9E">
      <w:pPr>
        <w:keepNext w:val="0"/>
        <w:keepLines w:val="0"/>
        <w:pageBreakBefore w:val="0"/>
        <w:kinsoku/>
        <w:wordWrap/>
        <w:overflowPunct/>
        <w:topLinePunct w:val="0"/>
        <w:autoSpaceDE/>
        <w:autoSpaceDN/>
        <w:bidi w:val="0"/>
        <w:adjustRightInd w:val="0"/>
        <w:spacing w:line="40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 xml:space="preserve">2. </w:t>
      </w:r>
      <w:r>
        <w:rPr>
          <w:rFonts w:hint="eastAsia" w:ascii="宋体" w:hAnsi="宋体" w:cs="宋体"/>
          <w:color w:val="auto"/>
          <w:sz w:val="28"/>
          <w:szCs w:val="28"/>
          <w:highlight w:val="none"/>
          <w:u w:val="single"/>
        </w:rPr>
        <w:t>（标的名称）</w:t>
      </w:r>
      <w:r>
        <w:rPr>
          <w:rFonts w:hint="eastAsia" w:ascii="宋体" w:hAnsi="宋体" w:cs="宋体"/>
          <w:color w:val="auto"/>
          <w:sz w:val="28"/>
          <w:szCs w:val="28"/>
          <w:highlight w:val="none"/>
        </w:rPr>
        <w:t xml:space="preserve"> ，属于 </w:t>
      </w:r>
      <w:r>
        <w:rPr>
          <w:rFonts w:hint="eastAsia" w:ascii="宋体" w:hAnsi="宋体" w:cs="宋体"/>
          <w:color w:val="auto"/>
          <w:sz w:val="28"/>
          <w:szCs w:val="28"/>
          <w:highlight w:val="none"/>
          <w:u w:val="single"/>
        </w:rPr>
        <w:t>（采购文件中明确的所属行业）</w:t>
      </w:r>
      <w:r>
        <w:rPr>
          <w:rFonts w:hint="eastAsia" w:ascii="宋体" w:hAnsi="宋体" w:cs="宋体"/>
          <w:color w:val="auto"/>
          <w:sz w:val="28"/>
          <w:szCs w:val="28"/>
          <w:highlight w:val="none"/>
        </w:rPr>
        <w:t>行业 ；制造商为</w:t>
      </w:r>
      <w:r>
        <w:rPr>
          <w:rFonts w:hint="eastAsia" w:ascii="宋体" w:hAnsi="宋体" w:cs="宋体"/>
          <w:color w:val="auto"/>
          <w:sz w:val="28"/>
          <w:szCs w:val="28"/>
          <w:highlight w:val="none"/>
          <w:u w:val="single"/>
        </w:rPr>
        <w:t xml:space="preserve"> （企业名称）</w:t>
      </w:r>
      <w:r>
        <w:rPr>
          <w:rFonts w:hint="eastAsia" w:ascii="宋体" w:hAnsi="宋体" w:cs="宋体"/>
          <w:color w:val="auto"/>
          <w:sz w:val="28"/>
          <w:szCs w:val="28"/>
          <w:highlight w:val="none"/>
        </w:rPr>
        <w:t xml:space="preserve"> ，从业人员</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人，营业收入为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万元，资产总额为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万元，属于</w:t>
      </w:r>
      <w:r>
        <w:rPr>
          <w:rFonts w:hint="eastAsia" w:ascii="宋体" w:hAnsi="宋体" w:cs="宋体"/>
          <w:color w:val="auto"/>
          <w:sz w:val="28"/>
          <w:szCs w:val="28"/>
          <w:highlight w:val="none"/>
          <w:u w:val="single"/>
        </w:rPr>
        <w:t xml:space="preserve"> （中型企业、小型企业、微型企业）</w:t>
      </w:r>
      <w:r>
        <w:rPr>
          <w:rFonts w:hint="eastAsia" w:ascii="宋体" w:hAnsi="宋体" w:cs="宋体"/>
          <w:color w:val="auto"/>
          <w:sz w:val="28"/>
          <w:szCs w:val="28"/>
          <w:highlight w:val="none"/>
        </w:rPr>
        <w:t xml:space="preserve"> ；</w:t>
      </w:r>
    </w:p>
    <w:p w14:paraId="20CFF076">
      <w:pPr>
        <w:keepNext w:val="0"/>
        <w:keepLines w:val="0"/>
        <w:pageBreakBefore w:val="0"/>
        <w:kinsoku/>
        <w:wordWrap/>
        <w:overflowPunct/>
        <w:topLinePunct w:val="0"/>
        <w:autoSpaceDE/>
        <w:autoSpaceDN/>
        <w:bidi w:val="0"/>
        <w:adjustRightInd w:val="0"/>
        <w:spacing w:line="40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w:t>
      </w:r>
    </w:p>
    <w:p w14:paraId="489F3AA8">
      <w:pPr>
        <w:keepNext w:val="0"/>
        <w:keepLines w:val="0"/>
        <w:pageBreakBefore w:val="0"/>
        <w:kinsoku/>
        <w:wordWrap/>
        <w:overflowPunct/>
        <w:topLinePunct w:val="0"/>
        <w:autoSpaceDE/>
        <w:autoSpaceDN/>
        <w:bidi w:val="0"/>
        <w:adjustRightInd w:val="0"/>
        <w:spacing w:line="40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以上企业，不属于大企业的分支机构，不存在控股股东为大企业的情形，也不存在与大企业的负责人为同一人的情形。</w:t>
      </w:r>
    </w:p>
    <w:p w14:paraId="1EFD72F5">
      <w:pPr>
        <w:keepNext w:val="0"/>
        <w:keepLines w:val="0"/>
        <w:pageBreakBefore w:val="0"/>
        <w:kinsoku/>
        <w:wordWrap/>
        <w:overflowPunct/>
        <w:topLinePunct w:val="0"/>
        <w:autoSpaceDE/>
        <w:autoSpaceDN/>
        <w:bidi w:val="0"/>
        <w:adjustRightInd w:val="0"/>
        <w:spacing w:line="400" w:lineRule="exact"/>
        <w:ind w:firstLine="560" w:firstLineChars="200"/>
        <w:textAlignment w:val="auto"/>
        <w:rPr>
          <w:rFonts w:ascii="宋体" w:hAnsi="宋体" w:cs="宋体"/>
          <w:color w:val="auto"/>
          <w:sz w:val="28"/>
          <w:szCs w:val="28"/>
          <w:highlight w:val="none"/>
        </w:rPr>
      </w:pPr>
      <w:r>
        <w:rPr>
          <w:rFonts w:hint="eastAsia" w:ascii="宋体" w:hAnsi="宋体" w:cs="宋体"/>
          <w:color w:val="auto"/>
          <w:sz w:val="28"/>
          <w:szCs w:val="28"/>
          <w:highlight w:val="none"/>
        </w:rPr>
        <w:t>本企业对上述声明内容的真实性负责。如有虚假，将依法承担相应责任。</w:t>
      </w:r>
    </w:p>
    <w:p w14:paraId="628717CB">
      <w:pPr>
        <w:keepNext w:val="0"/>
        <w:keepLines w:val="0"/>
        <w:pageBreakBefore w:val="0"/>
        <w:kinsoku/>
        <w:wordWrap/>
        <w:overflowPunct/>
        <w:topLinePunct w:val="0"/>
        <w:autoSpaceDE/>
        <w:autoSpaceDN/>
        <w:bidi w:val="0"/>
        <w:adjustRightInd w:val="0"/>
        <w:snapToGrid w:val="0"/>
        <w:spacing w:line="400" w:lineRule="exact"/>
        <w:ind w:firstLine="6020" w:firstLineChars="2150"/>
        <w:textAlignment w:val="auto"/>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zh-CN"/>
        </w:rPr>
        <w:t>投标人名称(公章)：</w:t>
      </w:r>
    </w:p>
    <w:p w14:paraId="4E2CADB6">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 xml:space="preserve">                                           日期</w:t>
      </w:r>
      <w:r>
        <w:rPr>
          <w:rFonts w:hint="eastAsia" w:ascii="宋体" w:hAnsi="宋体" w:cs="宋体"/>
          <w:color w:val="auto"/>
          <w:kern w:val="0"/>
          <w:sz w:val="28"/>
          <w:szCs w:val="28"/>
          <w:highlight w:val="none"/>
        </w:rPr>
        <w:t xml:space="preserve">：  年  </w:t>
      </w:r>
      <w:r>
        <w:rPr>
          <w:rFonts w:hint="eastAsia" w:ascii="宋体" w:hAnsi="宋体" w:cs="宋体"/>
          <w:color w:val="auto"/>
          <w:kern w:val="0"/>
          <w:sz w:val="28"/>
          <w:szCs w:val="28"/>
          <w:highlight w:val="none"/>
          <w:lang w:val="zh-CN"/>
        </w:rPr>
        <w:t>月</w:t>
      </w:r>
      <w:r>
        <w:rPr>
          <w:rFonts w:hint="eastAsia" w:ascii="宋体" w:hAnsi="宋体" w:cs="宋体"/>
          <w:color w:val="auto"/>
          <w:kern w:val="0"/>
          <w:sz w:val="28"/>
          <w:szCs w:val="28"/>
          <w:highlight w:val="none"/>
        </w:rPr>
        <w:t xml:space="preserve">   </w:t>
      </w:r>
      <w:r>
        <w:rPr>
          <w:rFonts w:hint="eastAsia" w:ascii="宋体" w:hAnsi="宋体" w:cs="宋体"/>
          <w:color w:val="auto"/>
          <w:kern w:val="0"/>
          <w:sz w:val="28"/>
          <w:szCs w:val="28"/>
          <w:highlight w:val="none"/>
          <w:lang w:val="zh-CN"/>
        </w:rPr>
        <w:t>日</w:t>
      </w:r>
    </w:p>
    <w:p w14:paraId="47F845D1">
      <w:pPr>
        <w:keepNext w:val="0"/>
        <w:keepLines w:val="0"/>
        <w:pageBreakBefore w:val="0"/>
        <w:kinsoku/>
        <w:wordWrap/>
        <w:overflowPunct/>
        <w:topLinePunct w:val="0"/>
        <w:autoSpaceDE/>
        <w:autoSpaceDN/>
        <w:bidi w:val="0"/>
        <w:adjustRightInd w:val="0"/>
        <w:spacing w:line="400" w:lineRule="exact"/>
        <w:ind w:right="42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15B1415A">
      <w:pPr>
        <w:keepNext w:val="0"/>
        <w:keepLines w:val="0"/>
        <w:pageBreakBefore w:val="0"/>
        <w:kinsoku/>
        <w:wordWrap/>
        <w:overflowPunct/>
        <w:topLinePunct w:val="0"/>
        <w:autoSpaceDE/>
        <w:autoSpaceDN/>
        <w:bidi w:val="0"/>
        <w:adjustRightInd w:val="0"/>
        <w:spacing w:line="400" w:lineRule="exact"/>
        <w:ind w:right="42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61621F7">
      <w:pPr>
        <w:keepNext w:val="0"/>
        <w:keepLines w:val="0"/>
        <w:pageBreakBefore w:val="0"/>
        <w:kinsoku/>
        <w:wordWrap/>
        <w:overflowPunct/>
        <w:topLinePunct w:val="0"/>
        <w:autoSpaceDE/>
        <w:autoSpaceDN/>
        <w:bidi w:val="0"/>
        <w:adjustRightInd w:val="0"/>
        <w:spacing w:line="400" w:lineRule="exact"/>
        <w:ind w:right="42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DB169C8">
      <w:pPr>
        <w:keepNext w:val="0"/>
        <w:keepLines w:val="0"/>
        <w:pageBreakBefore w:val="0"/>
        <w:widowControl/>
        <w:kinsoku/>
        <w:wordWrap/>
        <w:overflowPunct/>
        <w:topLinePunct w:val="0"/>
        <w:autoSpaceDE/>
        <w:autoSpaceDN/>
        <w:bidi w:val="0"/>
        <w:adjustRightInd w:val="0"/>
        <w:spacing w:line="400" w:lineRule="exact"/>
        <w:ind w:firstLine="141" w:firstLineChars="50"/>
        <w:jc w:val="left"/>
        <w:textAlignment w:val="auto"/>
        <w:rPr>
          <w:rFonts w:hint="eastAsia" w:ascii="宋体" w:hAnsi="宋体" w:cs="宋体"/>
          <w:b/>
          <w:color w:val="auto"/>
          <w:sz w:val="28"/>
          <w:szCs w:val="28"/>
          <w:highlight w:val="none"/>
        </w:rPr>
      </w:pPr>
    </w:p>
    <w:p w14:paraId="7A13E15D">
      <w:pPr>
        <w:spacing w:line="360" w:lineRule="auto"/>
        <w:ind w:right="420" w:firstLine="3614" w:firstLineChars="1000"/>
        <w:rPr>
          <w:rFonts w:ascii="宋体" w:hAnsi="宋体" w:cs="宋体"/>
          <w:b/>
          <w:color w:val="auto"/>
          <w:kern w:val="0"/>
          <w:sz w:val="36"/>
          <w:szCs w:val="36"/>
          <w:highlight w:val="none"/>
        </w:rPr>
      </w:pPr>
    </w:p>
    <w:p w14:paraId="716E35A1">
      <w:pPr>
        <w:pStyle w:val="82"/>
        <w:jc w:val="center"/>
        <w:outlineLvl w:val="2"/>
        <w:rPr>
          <w:b/>
          <w:color w:val="auto"/>
          <w:sz w:val="36"/>
          <w:szCs w:val="36"/>
          <w:highlight w:val="none"/>
        </w:rPr>
      </w:pPr>
      <w:bookmarkStart w:id="493" w:name="_Toc465665161"/>
      <w:r>
        <w:rPr>
          <w:rFonts w:hint="eastAsia"/>
          <w:b/>
          <w:color w:val="auto"/>
          <w:sz w:val="36"/>
          <w:szCs w:val="36"/>
          <w:highlight w:val="none"/>
        </w:rPr>
        <w:t>附件</w:t>
      </w:r>
      <w:bookmarkEnd w:id="493"/>
    </w:p>
    <w:p w14:paraId="76748E9A">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FD5EA0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23289E7B">
      <w:pPr>
        <w:spacing w:line="360" w:lineRule="auto"/>
        <w:rPr>
          <w:rFonts w:ascii="宋体" w:hAnsi="宋体" w:cs="宋体"/>
          <w:b/>
          <w:color w:val="auto"/>
          <w:spacing w:val="6"/>
          <w:sz w:val="30"/>
          <w:szCs w:val="30"/>
          <w:highlight w:val="none"/>
        </w:rPr>
      </w:pPr>
    </w:p>
    <w:p w14:paraId="7F9081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AE88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EEF5E07">
      <w:pPr>
        <w:spacing w:line="360" w:lineRule="auto"/>
        <w:ind w:firstLine="480" w:firstLineChars="200"/>
        <w:rPr>
          <w:rFonts w:ascii="宋体" w:hAnsi="宋体" w:cs="宋体"/>
          <w:color w:val="auto"/>
          <w:sz w:val="24"/>
          <w:highlight w:val="none"/>
        </w:rPr>
      </w:pPr>
    </w:p>
    <w:p w14:paraId="01E6FBE4">
      <w:pPr>
        <w:spacing w:line="360" w:lineRule="auto"/>
        <w:ind w:firstLine="480" w:firstLineChars="200"/>
        <w:rPr>
          <w:rFonts w:ascii="宋体" w:hAnsi="宋体" w:cs="宋体"/>
          <w:color w:val="auto"/>
          <w:sz w:val="24"/>
          <w:highlight w:val="none"/>
        </w:rPr>
      </w:pPr>
    </w:p>
    <w:p w14:paraId="6313B46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239B9FE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A6279E">
      <w:pPr>
        <w:spacing w:line="360" w:lineRule="auto"/>
        <w:ind w:firstLine="480" w:firstLineChars="200"/>
        <w:rPr>
          <w:rFonts w:ascii="宋体" w:hAnsi="宋体" w:cs="宋体"/>
          <w:color w:val="auto"/>
          <w:sz w:val="24"/>
          <w:highlight w:val="none"/>
        </w:rPr>
      </w:pPr>
    </w:p>
    <w:p w14:paraId="164ECE52">
      <w:pPr>
        <w:spacing w:line="360" w:lineRule="auto"/>
        <w:ind w:firstLine="420" w:firstLineChars="200"/>
        <w:rPr>
          <w:rFonts w:ascii="宋体" w:hAnsi="宋体" w:cs="宋体"/>
          <w:color w:val="auto"/>
          <w:highlight w:val="none"/>
        </w:rPr>
      </w:pPr>
    </w:p>
    <w:p w14:paraId="6E0767D8">
      <w:pPr>
        <w:spacing w:line="360" w:lineRule="auto"/>
        <w:ind w:firstLine="420" w:firstLineChars="200"/>
        <w:rPr>
          <w:rFonts w:ascii="宋体" w:hAnsi="宋体" w:cs="宋体"/>
          <w:color w:val="auto"/>
          <w:highlight w:val="none"/>
        </w:rPr>
      </w:pPr>
    </w:p>
    <w:p w14:paraId="622D1004">
      <w:pPr>
        <w:spacing w:line="360" w:lineRule="auto"/>
        <w:ind w:firstLine="420" w:firstLineChars="200"/>
        <w:rPr>
          <w:rFonts w:ascii="宋体" w:hAnsi="宋体" w:cs="宋体"/>
          <w:color w:val="auto"/>
          <w:highlight w:val="none"/>
        </w:rPr>
      </w:pPr>
    </w:p>
    <w:p w14:paraId="453BCD36">
      <w:pPr>
        <w:spacing w:line="360" w:lineRule="auto"/>
        <w:ind w:firstLine="420" w:firstLineChars="200"/>
        <w:rPr>
          <w:rFonts w:ascii="宋体" w:hAnsi="宋体" w:cs="宋体"/>
          <w:color w:val="auto"/>
          <w:highlight w:val="none"/>
        </w:rPr>
      </w:pPr>
    </w:p>
    <w:p w14:paraId="6F9328CB">
      <w:pPr>
        <w:spacing w:line="360" w:lineRule="auto"/>
        <w:rPr>
          <w:rFonts w:ascii="宋体" w:hAnsi="宋体" w:cs="宋体"/>
          <w:b/>
          <w:color w:val="auto"/>
          <w:sz w:val="24"/>
          <w:highlight w:val="none"/>
        </w:rPr>
      </w:pPr>
    </w:p>
    <w:p w14:paraId="51CBF92A">
      <w:pPr>
        <w:spacing w:line="360" w:lineRule="auto"/>
        <w:rPr>
          <w:rFonts w:ascii="宋体" w:hAnsi="宋体" w:cs="宋体"/>
          <w:b/>
          <w:color w:val="auto"/>
          <w:sz w:val="24"/>
          <w:highlight w:val="none"/>
        </w:rPr>
      </w:pPr>
    </w:p>
    <w:p w14:paraId="75205064">
      <w:pPr>
        <w:spacing w:line="360" w:lineRule="auto"/>
        <w:rPr>
          <w:rFonts w:ascii="宋体" w:hAnsi="宋体" w:cs="宋体"/>
          <w:b/>
          <w:color w:val="auto"/>
          <w:sz w:val="24"/>
          <w:highlight w:val="none"/>
        </w:rPr>
      </w:pPr>
    </w:p>
    <w:p w14:paraId="00C94716">
      <w:pPr>
        <w:spacing w:line="360" w:lineRule="auto"/>
        <w:rPr>
          <w:rFonts w:ascii="宋体" w:hAnsi="宋体" w:cs="宋体"/>
          <w:b/>
          <w:color w:val="auto"/>
          <w:sz w:val="24"/>
          <w:highlight w:val="none"/>
        </w:rPr>
      </w:pPr>
    </w:p>
    <w:p w14:paraId="45DCE6B7">
      <w:pPr>
        <w:spacing w:line="360" w:lineRule="auto"/>
        <w:rPr>
          <w:rFonts w:ascii="宋体" w:hAnsi="宋体" w:cs="宋体"/>
          <w:b/>
          <w:color w:val="auto"/>
          <w:sz w:val="24"/>
          <w:highlight w:val="none"/>
        </w:rPr>
      </w:pPr>
    </w:p>
    <w:p w14:paraId="2F0BC09B">
      <w:pPr>
        <w:spacing w:line="360" w:lineRule="auto"/>
        <w:rPr>
          <w:rFonts w:ascii="宋体" w:hAnsi="宋体" w:cs="宋体"/>
          <w:b/>
          <w:color w:val="auto"/>
          <w:sz w:val="24"/>
          <w:highlight w:val="none"/>
        </w:rPr>
      </w:pPr>
    </w:p>
    <w:p w14:paraId="369868F0">
      <w:pPr>
        <w:spacing w:line="360" w:lineRule="auto"/>
        <w:rPr>
          <w:rFonts w:ascii="宋体" w:hAnsi="宋体" w:cs="宋体"/>
          <w:b/>
          <w:color w:val="auto"/>
          <w:sz w:val="24"/>
          <w:highlight w:val="none"/>
        </w:rPr>
      </w:pPr>
    </w:p>
    <w:p w14:paraId="5D85020B">
      <w:pPr>
        <w:spacing w:line="360" w:lineRule="auto"/>
        <w:rPr>
          <w:rFonts w:ascii="宋体" w:hAnsi="宋体" w:cs="宋体"/>
          <w:b/>
          <w:color w:val="auto"/>
          <w:sz w:val="24"/>
          <w:highlight w:val="none"/>
        </w:rPr>
      </w:pPr>
    </w:p>
    <w:p w14:paraId="3F4946C6">
      <w:pPr>
        <w:spacing w:line="360" w:lineRule="auto"/>
        <w:rPr>
          <w:rFonts w:ascii="宋体" w:hAnsi="宋体" w:cs="宋体"/>
          <w:b/>
          <w:color w:val="auto"/>
          <w:sz w:val="24"/>
          <w:highlight w:val="none"/>
        </w:rPr>
      </w:pPr>
    </w:p>
    <w:p w14:paraId="624B2A7A">
      <w:pPr>
        <w:spacing w:line="360" w:lineRule="auto"/>
        <w:jc w:val="left"/>
        <w:rPr>
          <w:rFonts w:ascii="宋体" w:hAnsi="宋体" w:cs="宋体"/>
          <w:b/>
          <w:color w:val="auto"/>
          <w:spacing w:val="6"/>
          <w:sz w:val="32"/>
          <w:szCs w:val="32"/>
          <w:highlight w:val="none"/>
        </w:rPr>
      </w:pPr>
    </w:p>
    <w:p w14:paraId="0BE003B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C15614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81FCD3">
      <w:pPr>
        <w:snapToGrid w:val="0"/>
        <w:spacing w:before="240" w:beforeLines="100" w:line="360" w:lineRule="auto"/>
        <w:outlineLvl w:val="1"/>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8EBD8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6568A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9EBC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1530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5CB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785AC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E2ED05">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5CD6B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B7F91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BE185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8F9C0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8C2F534">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633708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7E2CE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D7444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7280F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3105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08D6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6A16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88766AC">
      <w:pPr>
        <w:snapToGrid w:val="0"/>
        <w:spacing w:line="360" w:lineRule="auto"/>
        <w:outlineLvl w:val="1"/>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A48C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1EF5B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1E226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94704EA">
      <w:pPr>
        <w:spacing w:line="360" w:lineRule="auto"/>
        <w:jc w:val="center"/>
        <w:rPr>
          <w:rFonts w:ascii="宋体" w:hAnsi="宋体" w:cs="宋体"/>
          <w:b/>
          <w:bCs/>
          <w:color w:val="auto"/>
          <w:sz w:val="24"/>
          <w:highlight w:val="none"/>
        </w:rPr>
      </w:pPr>
    </w:p>
    <w:p w14:paraId="09B3AA1B">
      <w:pPr>
        <w:spacing w:line="360" w:lineRule="auto"/>
        <w:rPr>
          <w:rFonts w:ascii="宋体" w:hAnsi="宋体" w:cs="宋体"/>
          <w:b/>
          <w:color w:val="auto"/>
          <w:sz w:val="24"/>
          <w:highlight w:val="none"/>
        </w:rPr>
      </w:pPr>
    </w:p>
    <w:p w14:paraId="79BED155">
      <w:pPr>
        <w:spacing w:line="360" w:lineRule="auto"/>
        <w:rPr>
          <w:rFonts w:ascii="宋体" w:hAnsi="宋体" w:cs="宋体"/>
          <w:b/>
          <w:color w:val="auto"/>
          <w:sz w:val="24"/>
          <w:highlight w:val="none"/>
        </w:rPr>
      </w:pPr>
    </w:p>
    <w:p w14:paraId="478D40AF">
      <w:pPr>
        <w:spacing w:line="360" w:lineRule="auto"/>
        <w:rPr>
          <w:rFonts w:ascii="宋体" w:hAnsi="宋体" w:cs="宋体"/>
          <w:b/>
          <w:color w:val="auto"/>
          <w:sz w:val="24"/>
          <w:highlight w:val="none"/>
        </w:rPr>
      </w:pPr>
    </w:p>
    <w:p w14:paraId="1F847B2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DDFD406">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A256B4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88ED1A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5A1AA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6371BEC">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7F46F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67E163">
      <w:pPr>
        <w:widowControl/>
        <w:spacing w:line="360" w:lineRule="auto"/>
        <w:ind w:firstLine="600" w:firstLineChars="200"/>
        <w:jc w:val="left"/>
        <w:rPr>
          <w:rFonts w:ascii="宋体" w:hAnsi="宋体" w:cs="宋体"/>
          <w:color w:val="auto"/>
          <w:sz w:val="30"/>
          <w:szCs w:val="30"/>
          <w:highlight w:val="none"/>
        </w:rPr>
      </w:pPr>
    </w:p>
    <w:p w14:paraId="7FBF83FE">
      <w:pPr>
        <w:spacing w:line="360" w:lineRule="auto"/>
        <w:jc w:val="center"/>
        <w:rPr>
          <w:rFonts w:ascii="宋体" w:hAnsi="宋体" w:cs="宋体"/>
          <w:b/>
          <w:color w:val="auto"/>
          <w:spacing w:val="6"/>
          <w:sz w:val="32"/>
          <w:szCs w:val="32"/>
          <w:highlight w:val="none"/>
        </w:rPr>
      </w:pPr>
    </w:p>
    <w:p w14:paraId="167F774D">
      <w:pPr>
        <w:spacing w:line="360" w:lineRule="auto"/>
        <w:jc w:val="center"/>
        <w:rPr>
          <w:rFonts w:ascii="宋体" w:hAnsi="宋体" w:cs="宋体"/>
          <w:b/>
          <w:color w:val="auto"/>
          <w:spacing w:val="6"/>
          <w:sz w:val="32"/>
          <w:szCs w:val="32"/>
          <w:highlight w:val="none"/>
        </w:rPr>
      </w:pPr>
    </w:p>
    <w:p w14:paraId="18ABD20A">
      <w:pPr>
        <w:spacing w:line="360" w:lineRule="auto"/>
        <w:jc w:val="center"/>
        <w:rPr>
          <w:rFonts w:ascii="宋体" w:hAnsi="宋体" w:cs="宋体"/>
          <w:b/>
          <w:color w:val="auto"/>
          <w:spacing w:val="6"/>
          <w:sz w:val="32"/>
          <w:szCs w:val="32"/>
          <w:highlight w:val="none"/>
        </w:rPr>
      </w:pPr>
    </w:p>
    <w:p w14:paraId="44328577">
      <w:pPr>
        <w:spacing w:line="360" w:lineRule="auto"/>
        <w:jc w:val="center"/>
        <w:rPr>
          <w:rFonts w:ascii="宋体" w:hAnsi="宋体" w:cs="宋体"/>
          <w:b/>
          <w:color w:val="auto"/>
          <w:spacing w:val="6"/>
          <w:sz w:val="32"/>
          <w:szCs w:val="32"/>
          <w:highlight w:val="none"/>
        </w:rPr>
      </w:pPr>
    </w:p>
    <w:p w14:paraId="3D0D1871">
      <w:pPr>
        <w:spacing w:line="360" w:lineRule="auto"/>
        <w:jc w:val="center"/>
        <w:rPr>
          <w:rFonts w:ascii="宋体" w:hAnsi="宋体" w:cs="宋体"/>
          <w:b/>
          <w:color w:val="auto"/>
          <w:spacing w:val="6"/>
          <w:sz w:val="32"/>
          <w:szCs w:val="32"/>
          <w:highlight w:val="none"/>
        </w:rPr>
      </w:pPr>
    </w:p>
    <w:p w14:paraId="4C2EC008">
      <w:pPr>
        <w:spacing w:line="360" w:lineRule="auto"/>
        <w:jc w:val="center"/>
        <w:rPr>
          <w:rFonts w:ascii="宋体" w:hAnsi="宋体" w:cs="宋体"/>
          <w:b/>
          <w:color w:val="auto"/>
          <w:spacing w:val="6"/>
          <w:sz w:val="32"/>
          <w:szCs w:val="32"/>
          <w:highlight w:val="none"/>
        </w:rPr>
      </w:pPr>
    </w:p>
    <w:p w14:paraId="691B6855">
      <w:pPr>
        <w:spacing w:line="360" w:lineRule="auto"/>
        <w:jc w:val="center"/>
        <w:rPr>
          <w:rFonts w:ascii="宋体" w:hAnsi="宋体" w:cs="宋体"/>
          <w:b/>
          <w:color w:val="auto"/>
          <w:spacing w:val="6"/>
          <w:sz w:val="32"/>
          <w:szCs w:val="32"/>
          <w:highlight w:val="none"/>
        </w:rPr>
      </w:pPr>
    </w:p>
    <w:p w14:paraId="77C68769">
      <w:pPr>
        <w:spacing w:line="360" w:lineRule="auto"/>
        <w:jc w:val="center"/>
        <w:rPr>
          <w:rFonts w:ascii="宋体" w:hAnsi="宋体" w:cs="宋体"/>
          <w:b/>
          <w:color w:val="auto"/>
          <w:spacing w:val="6"/>
          <w:sz w:val="32"/>
          <w:szCs w:val="32"/>
          <w:highlight w:val="none"/>
        </w:rPr>
      </w:pPr>
    </w:p>
    <w:p w14:paraId="7EA9EAB1">
      <w:pPr>
        <w:spacing w:line="360" w:lineRule="auto"/>
        <w:jc w:val="center"/>
        <w:rPr>
          <w:rFonts w:ascii="宋体" w:hAnsi="宋体" w:cs="宋体"/>
          <w:b/>
          <w:color w:val="auto"/>
          <w:spacing w:val="6"/>
          <w:sz w:val="32"/>
          <w:szCs w:val="32"/>
          <w:highlight w:val="none"/>
        </w:rPr>
      </w:pPr>
    </w:p>
    <w:p w14:paraId="2D73D81D">
      <w:pPr>
        <w:spacing w:line="360" w:lineRule="auto"/>
        <w:jc w:val="center"/>
        <w:rPr>
          <w:rFonts w:ascii="宋体" w:hAnsi="宋体" w:cs="宋体"/>
          <w:b/>
          <w:color w:val="auto"/>
          <w:spacing w:val="6"/>
          <w:sz w:val="32"/>
          <w:szCs w:val="32"/>
          <w:highlight w:val="none"/>
        </w:rPr>
      </w:pPr>
    </w:p>
    <w:p w14:paraId="46D908B2">
      <w:pPr>
        <w:spacing w:line="360" w:lineRule="auto"/>
        <w:jc w:val="center"/>
        <w:rPr>
          <w:rFonts w:ascii="宋体" w:hAnsi="宋体" w:cs="宋体"/>
          <w:b/>
          <w:color w:val="auto"/>
          <w:spacing w:val="6"/>
          <w:sz w:val="32"/>
          <w:szCs w:val="32"/>
          <w:highlight w:val="none"/>
        </w:rPr>
      </w:pPr>
    </w:p>
    <w:p w14:paraId="0337D979">
      <w:pPr>
        <w:spacing w:line="360" w:lineRule="auto"/>
        <w:jc w:val="center"/>
        <w:rPr>
          <w:rFonts w:ascii="宋体" w:hAnsi="宋体" w:cs="宋体"/>
          <w:b/>
          <w:color w:val="auto"/>
          <w:spacing w:val="6"/>
          <w:sz w:val="32"/>
          <w:szCs w:val="32"/>
          <w:highlight w:val="none"/>
        </w:rPr>
      </w:pPr>
    </w:p>
    <w:p w14:paraId="22A59985">
      <w:pPr>
        <w:spacing w:line="360" w:lineRule="auto"/>
        <w:jc w:val="left"/>
        <w:rPr>
          <w:rFonts w:ascii="宋体" w:hAnsi="宋体" w:cs="宋体"/>
          <w:b/>
          <w:color w:val="auto"/>
          <w:spacing w:val="6"/>
          <w:sz w:val="32"/>
          <w:szCs w:val="32"/>
          <w:highlight w:val="none"/>
        </w:rPr>
      </w:pPr>
    </w:p>
    <w:p w14:paraId="09393EEC">
      <w:pPr>
        <w:spacing w:line="360" w:lineRule="auto"/>
        <w:jc w:val="left"/>
        <w:rPr>
          <w:rFonts w:ascii="宋体" w:hAnsi="宋体" w:cs="宋体"/>
          <w:b/>
          <w:color w:val="auto"/>
          <w:spacing w:val="6"/>
          <w:sz w:val="32"/>
          <w:szCs w:val="32"/>
          <w:highlight w:val="none"/>
        </w:rPr>
      </w:pPr>
    </w:p>
    <w:p w14:paraId="44C9FB61">
      <w:pPr>
        <w:spacing w:line="360" w:lineRule="auto"/>
        <w:jc w:val="left"/>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B13508C">
      <w:pPr>
        <w:spacing w:line="360" w:lineRule="auto"/>
        <w:jc w:val="center"/>
        <w:rPr>
          <w:rFonts w:ascii="宋体" w:hAnsi="宋体" w:cs="宋体"/>
          <w:b/>
          <w:color w:val="auto"/>
          <w:sz w:val="24"/>
          <w:highlight w:val="none"/>
        </w:rPr>
      </w:pPr>
    </w:p>
    <w:p w14:paraId="74D2B45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8893B9B">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25DC5E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53E93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A0C0F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25BDD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FB9F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4C77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0703F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0A6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6E8B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B3011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FB701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CE0C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4387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03C3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40B3C2">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二、投诉项目基本情况</w:t>
      </w:r>
    </w:p>
    <w:p w14:paraId="7487CD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DD99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731CCA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2E06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88A5E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6EFA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FD2FC0">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三、质疑基本情况</w:t>
      </w:r>
    </w:p>
    <w:p w14:paraId="5C99BB5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681A26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5FA1C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C0B443E">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四、投诉事项具体内容</w:t>
      </w:r>
    </w:p>
    <w:p w14:paraId="027A51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EF0BBD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DF6A1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1B705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1DE8D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3985FF">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75B665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5ACB03">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AA2861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06BA0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76AD2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53BC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77B424">
      <w:pPr>
        <w:spacing w:line="360" w:lineRule="auto"/>
        <w:rPr>
          <w:rFonts w:ascii="宋体" w:hAnsi="宋体" w:cs="宋体"/>
          <w:b/>
          <w:color w:val="auto"/>
          <w:sz w:val="24"/>
          <w:highlight w:val="none"/>
        </w:rPr>
      </w:pPr>
    </w:p>
    <w:p w14:paraId="5A41294E">
      <w:pPr>
        <w:spacing w:line="360" w:lineRule="auto"/>
        <w:rPr>
          <w:rFonts w:ascii="宋体" w:hAnsi="宋体" w:cs="宋体"/>
          <w:b/>
          <w:color w:val="auto"/>
          <w:sz w:val="24"/>
          <w:highlight w:val="none"/>
        </w:rPr>
      </w:pPr>
    </w:p>
    <w:p w14:paraId="14CEF16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AAE1A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F00CE3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C820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A06E2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28CB0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4272C3F">
      <w:pPr>
        <w:widowControl/>
        <w:spacing w:line="360" w:lineRule="auto"/>
        <w:ind w:firstLine="480" w:firstLineChars="200"/>
        <w:jc w:val="left"/>
        <w:outlineLvl w:val="2"/>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F96E50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0BB089">
      <w:pPr>
        <w:spacing w:line="360" w:lineRule="auto"/>
        <w:rPr>
          <w:rFonts w:ascii="宋体" w:hAnsi="宋体" w:cs="宋体"/>
          <w:b/>
          <w:color w:val="auto"/>
          <w:sz w:val="24"/>
          <w:highlight w:val="none"/>
        </w:rPr>
      </w:pPr>
    </w:p>
    <w:p w14:paraId="6EC8F02F">
      <w:pPr>
        <w:autoSpaceDE w:val="0"/>
        <w:autoSpaceDN w:val="0"/>
        <w:jc w:val="center"/>
        <w:rPr>
          <w:rFonts w:ascii="宋体" w:hAnsi="宋体" w:cs="宋体"/>
          <w:b/>
          <w:color w:val="auto"/>
          <w:spacing w:val="6"/>
          <w:sz w:val="32"/>
          <w:szCs w:val="32"/>
          <w:highlight w:val="none"/>
        </w:rPr>
      </w:pPr>
    </w:p>
    <w:p w14:paraId="5C393FF7">
      <w:pPr>
        <w:autoSpaceDE w:val="0"/>
        <w:autoSpaceDN w:val="0"/>
        <w:jc w:val="center"/>
        <w:rPr>
          <w:rFonts w:ascii="宋体" w:hAnsi="宋体" w:cs="宋体"/>
          <w:b/>
          <w:color w:val="auto"/>
          <w:spacing w:val="6"/>
          <w:sz w:val="32"/>
          <w:szCs w:val="32"/>
          <w:highlight w:val="none"/>
        </w:rPr>
      </w:pPr>
    </w:p>
    <w:p w14:paraId="18823872">
      <w:pPr>
        <w:autoSpaceDE w:val="0"/>
        <w:autoSpaceDN w:val="0"/>
        <w:jc w:val="left"/>
        <w:outlineLvl w:val="1"/>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31F0826">
      <w:pPr>
        <w:spacing w:line="360" w:lineRule="auto"/>
        <w:rPr>
          <w:rFonts w:ascii="宋体" w:hAnsi="宋体" w:cs="宋体"/>
          <w:color w:val="auto"/>
          <w:sz w:val="24"/>
          <w:highlight w:val="none"/>
          <w:u w:val="single"/>
        </w:rPr>
      </w:pPr>
    </w:p>
    <w:p w14:paraId="7AC9755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9728B9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91D53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E32B75B">
      <w:pPr>
        <w:spacing w:line="360" w:lineRule="auto"/>
        <w:ind w:firstLine="494"/>
        <w:rPr>
          <w:rFonts w:ascii="宋体" w:hAnsi="宋体" w:cs="宋体"/>
          <w:color w:val="auto"/>
          <w:sz w:val="24"/>
          <w:highlight w:val="none"/>
        </w:rPr>
      </w:pPr>
    </w:p>
    <w:p w14:paraId="714C8A9C">
      <w:pPr>
        <w:spacing w:line="360" w:lineRule="auto"/>
        <w:ind w:firstLine="494"/>
        <w:rPr>
          <w:rFonts w:ascii="宋体" w:hAnsi="宋体" w:cs="宋体"/>
          <w:color w:val="auto"/>
          <w:sz w:val="24"/>
          <w:highlight w:val="none"/>
        </w:rPr>
      </w:pPr>
    </w:p>
    <w:p w14:paraId="3B1794B6">
      <w:pPr>
        <w:spacing w:line="360" w:lineRule="auto"/>
        <w:ind w:firstLine="494"/>
        <w:rPr>
          <w:rFonts w:ascii="宋体" w:hAnsi="宋体" w:cs="宋体"/>
          <w:color w:val="auto"/>
          <w:sz w:val="24"/>
          <w:highlight w:val="none"/>
        </w:rPr>
      </w:pPr>
    </w:p>
    <w:p w14:paraId="7506170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64EBF3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87E544">
      <w:pPr>
        <w:rPr>
          <w:rFonts w:ascii="宋体" w:hAnsi="宋体" w:cs="宋体"/>
          <w:color w:val="auto"/>
          <w:sz w:val="24"/>
          <w:highlight w:val="none"/>
        </w:rPr>
      </w:pPr>
      <w:r>
        <w:rPr>
          <w:rFonts w:hint="eastAsia" w:ascii="宋体" w:hAnsi="宋体" w:cs="宋体"/>
          <w:b/>
          <w:bCs/>
          <w:color w:val="auto"/>
          <w:sz w:val="24"/>
          <w:highlight w:val="none"/>
        </w:rPr>
        <w:t>附：</w:t>
      </w:r>
    </w:p>
    <w:p w14:paraId="4077AA7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EAFF72E">
      <w:pPr>
        <w:autoSpaceDE w:val="0"/>
        <w:autoSpaceDN w:val="0"/>
        <w:jc w:val="center"/>
        <w:rPr>
          <w:rFonts w:ascii="宋体" w:hAnsi="宋体" w:cs="宋体"/>
          <w:b/>
          <w:color w:val="auto"/>
          <w:spacing w:val="6"/>
          <w:sz w:val="32"/>
          <w:szCs w:val="32"/>
          <w:highlight w:val="none"/>
        </w:rPr>
      </w:pPr>
    </w:p>
    <w:p w14:paraId="26B4EA68">
      <w:pPr>
        <w:autoSpaceDE w:val="0"/>
        <w:autoSpaceDN w:val="0"/>
        <w:jc w:val="center"/>
        <w:rPr>
          <w:rFonts w:ascii="宋体" w:hAnsi="宋体" w:cs="宋体"/>
          <w:b/>
          <w:color w:val="auto"/>
          <w:spacing w:val="6"/>
          <w:sz w:val="32"/>
          <w:szCs w:val="32"/>
          <w:highlight w:val="none"/>
        </w:rPr>
      </w:pPr>
    </w:p>
    <w:p w14:paraId="7CA4A679">
      <w:pPr>
        <w:autoSpaceDE w:val="0"/>
        <w:autoSpaceDN w:val="0"/>
        <w:jc w:val="center"/>
        <w:rPr>
          <w:rFonts w:ascii="宋体" w:hAnsi="宋体" w:cs="宋体"/>
          <w:b/>
          <w:color w:val="auto"/>
          <w:spacing w:val="6"/>
          <w:sz w:val="32"/>
          <w:szCs w:val="32"/>
          <w:highlight w:val="none"/>
        </w:rPr>
      </w:pPr>
    </w:p>
    <w:p w14:paraId="51F6ADC8">
      <w:pPr>
        <w:autoSpaceDE w:val="0"/>
        <w:autoSpaceDN w:val="0"/>
        <w:jc w:val="center"/>
        <w:rPr>
          <w:rFonts w:ascii="宋体" w:hAnsi="宋体" w:cs="宋体"/>
          <w:b/>
          <w:color w:val="auto"/>
          <w:spacing w:val="6"/>
          <w:sz w:val="32"/>
          <w:szCs w:val="32"/>
          <w:highlight w:val="none"/>
        </w:rPr>
      </w:pPr>
    </w:p>
    <w:p w14:paraId="1725BBF7">
      <w:pPr>
        <w:autoSpaceDE w:val="0"/>
        <w:autoSpaceDN w:val="0"/>
        <w:jc w:val="center"/>
        <w:rPr>
          <w:rFonts w:ascii="宋体" w:hAnsi="宋体" w:cs="宋体"/>
          <w:b/>
          <w:color w:val="auto"/>
          <w:spacing w:val="6"/>
          <w:sz w:val="32"/>
          <w:szCs w:val="32"/>
          <w:highlight w:val="none"/>
        </w:rPr>
      </w:pPr>
    </w:p>
    <w:p w14:paraId="7B285385">
      <w:pPr>
        <w:autoSpaceDE w:val="0"/>
        <w:autoSpaceDN w:val="0"/>
        <w:jc w:val="center"/>
        <w:rPr>
          <w:rFonts w:ascii="宋体" w:hAnsi="宋体" w:cs="宋体"/>
          <w:b/>
          <w:color w:val="auto"/>
          <w:spacing w:val="6"/>
          <w:sz w:val="32"/>
          <w:szCs w:val="32"/>
          <w:highlight w:val="none"/>
        </w:rPr>
      </w:pPr>
    </w:p>
    <w:p w14:paraId="6A966979">
      <w:pPr>
        <w:autoSpaceDE w:val="0"/>
        <w:autoSpaceDN w:val="0"/>
        <w:jc w:val="center"/>
        <w:rPr>
          <w:rFonts w:ascii="宋体" w:hAnsi="宋体" w:cs="宋体"/>
          <w:b/>
          <w:color w:val="auto"/>
          <w:spacing w:val="6"/>
          <w:sz w:val="32"/>
          <w:szCs w:val="32"/>
          <w:highlight w:val="none"/>
        </w:rPr>
      </w:pPr>
    </w:p>
    <w:p w14:paraId="66478146">
      <w:pPr>
        <w:autoSpaceDE w:val="0"/>
        <w:autoSpaceDN w:val="0"/>
        <w:jc w:val="center"/>
        <w:rPr>
          <w:rFonts w:ascii="宋体" w:hAnsi="宋体" w:cs="宋体"/>
          <w:b/>
          <w:color w:val="auto"/>
          <w:spacing w:val="6"/>
          <w:sz w:val="32"/>
          <w:szCs w:val="32"/>
          <w:highlight w:val="none"/>
        </w:rPr>
      </w:pPr>
    </w:p>
    <w:p w14:paraId="470CC10B">
      <w:pPr>
        <w:autoSpaceDE w:val="0"/>
        <w:autoSpaceDN w:val="0"/>
        <w:jc w:val="center"/>
        <w:rPr>
          <w:rFonts w:ascii="宋体" w:hAnsi="宋体" w:cs="宋体"/>
          <w:b/>
          <w:color w:val="auto"/>
          <w:spacing w:val="6"/>
          <w:sz w:val="32"/>
          <w:szCs w:val="32"/>
          <w:highlight w:val="none"/>
        </w:rPr>
      </w:pPr>
    </w:p>
    <w:p w14:paraId="07A57E82">
      <w:pPr>
        <w:autoSpaceDE w:val="0"/>
        <w:autoSpaceDN w:val="0"/>
        <w:jc w:val="center"/>
        <w:rPr>
          <w:rFonts w:ascii="宋体" w:hAnsi="宋体" w:cs="宋体"/>
          <w:b/>
          <w:color w:val="auto"/>
          <w:spacing w:val="6"/>
          <w:sz w:val="32"/>
          <w:szCs w:val="32"/>
          <w:highlight w:val="none"/>
        </w:rPr>
      </w:pPr>
    </w:p>
    <w:p w14:paraId="3948AFD2">
      <w:pPr>
        <w:autoSpaceDE w:val="0"/>
        <w:autoSpaceDN w:val="0"/>
        <w:jc w:val="center"/>
        <w:rPr>
          <w:rFonts w:ascii="宋体" w:hAnsi="宋体" w:cs="宋体"/>
          <w:b/>
          <w:color w:val="auto"/>
          <w:spacing w:val="6"/>
          <w:sz w:val="32"/>
          <w:szCs w:val="32"/>
          <w:highlight w:val="none"/>
        </w:rPr>
      </w:pPr>
    </w:p>
    <w:p w14:paraId="0751584C">
      <w:pPr>
        <w:autoSpaceDE w:val="0"/>
        <w:autoSpaceDN w:val="0"/>
        <w:jc w:val="center"/>
        <w:rPr>
          <w:rFonts w:ascii="宋体" w:hAnsi="宋体" w:cs="宋体"/>
          <w:b/>
          <w:color w:val="auto"/>
          <w:spacing w:val="6"/>
          <w:sz w:val="32"/>
          <w:szCs w:val="32"/>
          <w:highlight w:val="none"/>
        </w:rPr>
      </w:pPr>
    </w:p>
    <w:p w14:paraId="15929D76">
      <w:pPr>
        <w:autoSpaceDE w:val="0"/>
        <w:autoSpaceDN w:val="0"/>
        <w:jc w:val="center"/>
        <w:rPr>
          <w:rFonts w:ascii="宋体" w:hAnsi="宋体" w:cs="宋体"/>
          <w:b/>
          <w:color w:val="auto"/>
          <w:spacing w:val="6"/>
          <w:sz w:val="32"/>
          <w:szCs w:val="32"/>
          <w:highlight w:val="none"/>
        </w:rPr>
      </w:pPr>
    </w:p>
    <w:p w14:paraId="6390CEDA">
      <w:pPr>
        <w:autoSpaceDE w:val="0"/>
        <w:autoSpaceDN w:val="0"/>
        <w:jc w:val="center"/>
        <w:rPr>
          <w:rFonts w:ascii="宋体" w:hAnsi="宋体" w:cs="宋体"/>
          <w:b/>
          <w:color w:val="auto"/>
          <w:spacing w:val="6"/>
          <w:sz w:val="32"/>
          <w:szCs w:val="32"/>
          <w:highlight w:val="none"/>
        </w:rPr>
      </w:pPr>
    </w:p>
    <w:p w14:paraId="34C5DE33">
      <w:pPr>
        <w:autoSpaceDE w:val="0"/>
        <w:autoSpaceDN w:val="0"/>
        <w:jc w:val="center"/>
        <w:rPr>
          <w:rFonts w:ascii="宋体" w:hAnsi="宋体" w:cs="宋体"/>
          <w:b/>
          <w:color w:val="auto"/>
          <w:spacing w:val="6"/>
          <w:sz w:val="32"/>
          <w:szCs w:val="32"/>
          <w:highlight w:val="none"/>
        </w:rPr>
      </w:pPr>
    </w:p>
    <w:p w14:paraId="63CCB018">
      <w:pPr>
        <w:autoSpaceDE w:val="0"/>
        <w:autoSpaceDN w:val="0"/>
        <w:jc w:val="center"/>
        <w:rPr>
          <w:rFonts w:ascii="宋体" w:hAnsi="宋体" w:cs="宋体"/>
          <w:b/>
          <w:color w:val="auto"/>
          <w:spacing w:val="6"/>
          <w:sz w:val="32"/>
          <w:szCs w:val="32"/>
          <w:highlight w:val="none"/>
        </w:rPr>
      </w:pPr>
    </w:p>
    <w:p w14:paraId="6E6809A3">
      <w:pPr>
        <w:autoSpaceDE w:val="0"/>
        <w:autoSpaceDN w:val="0"/>
        <w:jc w:val="center"/>
        <w:rPr>
          <w:rFonts w:ascii="宋体" w:hAnsi="宋体" w:cs="宋体"/>
          <w:b/>
          <w:color w:val="auto"/>
          <w:spacing w:val="6"/>
          <w:sz w:val="32"/>
          <w:szCs w:val="32"/>
          <w:highlight w:val="none"/>
        </w:rPr>
      </w:pPr>
    </w:p>
    <w:p w14:paraId="6C37F8AF">
      <w:pPr>
        <w:autoSpaceDE w:val="0"/>
        <w:autoSpaceDN w:val="0"/>
        <w:jc w:val="center"/>
        <w:rPr>
          <w:rFonts w:ascii="宋体" w:hAnsi="宋体" w:cs="宋体"/>
          <w:b/>
          <w:color w:val="auto"/>
          <w:spacing w:val="6"/>
          <w:sz w:val="32"/>
          <w:szCs w:val="32"/>
          <w:highlight w:val="none"/>
        </w:rPr>
      </w:pPr>
    </w:p>
    <w:p w14:paraId="0B13508B">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2839A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BE712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FC5B2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6724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A776750">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41AF032">
      <w:pPr>
        <w:snapToGrid w:val="0"/>
        <w:spacing w:line="360" w:lineRule="auto"/>
        <w:ind w:firstLine="576"/>
        <w:rPr>
          <w:rFonts w:ascii="宋体" w:hAnsi="宋体" w:cs="宋体"/>
          <w:color w:val="auto"/>
          <w:kern w:val="0"/>
          <w:sz w:val="24"/>
          <w:highlight w:val="none"/>
          <w:lang w:val="zh-CN"/>
        </w:rPr>
      </w:pPr>
      <w:bookmarkStart w:id="49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40A9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C9DB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94"/>
    <w:p w14:paraId="258A6CFF">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170C22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5B8B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58657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59FA65B">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44AE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55445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465F5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9B80A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4A3F6EC3">
      <w:pPr>
        <w:snapToGrid w:val="0"/>
        <w:spacing w:line="360" w:lineRule="auto"/>
        <w:ind w:firstLine="5040" w:firstLineChars="2100"/>
        <w:rPr>
          <w:rStyle w:val="81"/>
          <w:color w:val="auto"/>
          <w:highlight w:val="none"/>
        </w:rPr>
      </w:pPr>
      <w:r>
        <w:rPr>
          <w:rStyle w:val="81"/>
          <w:rFonts w:hint="eastAsia"/>
          <w:color w:val="auto"/>
          <w:highlight w:val="none"/>
        </w:rPr>
        <w:t>法定代表人（负责人） (签名)：</w:t>
      </w:r>
    </w:p>
    <w:p w14:paraId="41F3214C">
      <w:pPr>
        <w:snapToGrid w:val="0"/>
        <w:spacing w:line="360" w:lineRule="auto"/>
        <w:ind w:firstLine="5040" w:firstLineChars="2100"/>
        <w:rPr>
          <w:rFonts w:ascii="宋体" w:hAnsi="宋体" w:cs="宋体"/>
          <w:color w:val="auto"/>
          <w:kern w:val="0"/>
          <w:sz w:val="24"/>
          <w:highlight w:val="none"/>
          <w:lang w:val="zh-CN"/>
        </w:rPr>
      </w:pPr>
      <w:r>
        <w:rPr>
          <w:rStyle w:val="81"/>
          <w:rFonts w:hint="eastAsia"/>
          <w:color w:val="auto"/>
          <w:highlight w:val="none"/>
        </w:rPr>
        <w:t>联合体成</w:t>
      </w:r>
      <w:r>
        <w:rPr>
          <w:rFonts w:hint="eastAsia" w:ascii="宋体" w:hAnsi="宋体" w:cs="宋体"/>
          <w:color w:val="auto"/>
          <w:kern w:val="0"/>
          <w:sz w:val="24"/>
          <w:highlight w:val="none"/>
          <w:lang w:val="zh-CN"/>
        </w:rPr>
        <w:t>员名称(公章)：</w:t>
      </w:r>
    </w:p>
    <w:p w14:paraId="0097CB4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4A2CE41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715ED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63E8B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970812">
      <w:pPr>
        <w:autoSpaceDE w:val="0"/>
        <w:autoSpaceDN w:val="0"/>
        <w:jc w:val="center"/>
        <w:rPr>
          <w:rFonts w:ascii="宋体" w:hAnsi="宋体" w:cs="宋体"/>
          <w:b/>
          <w:color w:val="auto"/>
          <w:spacing w:val="6"/>
          <w:sz w:val="32"/>
          <w:szCs w:val="32"/>
          <w:highlight w:val="none"/>
        </w:rPr>
      </w:pPr>
    </w:p>
    <w:p w14:paraId="66742C97">
      <w:pPr>
        <w:autoSpaceDE w:val="0"/>
        <w:autoSpaceDN w:val="0"/>
        <w:jc w:val="center"/>
        <w:rPr>
          <w:rFonts w:ascii="宋体" w:hAnsi="宋体" w:cs="宋体"/>
          <w:b/>
          <w:color w:val="auto"/>
          <w:spacing w:val="6"/>
          <w:sz w:val="32"/>
          <w:szCs w:val="32"/>
          <w:highlight w:val="none"/>
        </w:rPr>
      </w:pPr>
    </w:p>
    <w:p w14:paraId="107B3CF9">
      <w:pPr>
        <w:autoSpaceDE w:val="0"/>
        <w:autoSpaceDN w:val="0"/>
        <w:jc w:val="center"/>
        <w:rPr>
          <w:rFonts w:ascii="宋体" w:hAnsi="宋体" w:cs="宋体"/>
          <w:b/>
          <w:color w:val="auto"/>
          <w:spacing w:val="6"/>
          <w:sz w:val="32"/>
          <w:szCs w:val="32"/>
          <w:highlight w:val="none"/>
        </w:rPr>
      </w:pPr>
    </w:p>
    <w:p w14:paraId="2007FD05">
      <w:pPr>
        <w:autoSpaceDE w:val="0"/>
        <w:autoSpaceDN w:val="0"/>
        <w:jc w:val="center"/>
        <w:rPr>
          <w:rFonts w:ascii="宋体" w:hAnsi="宋体" w:cs="宋体"/>
          <w:b/>
          <w:color w:val="auto"/>
          <w:spacing w:val="6"/>
          <w:sz w:val="32"/>
          <w:szCs w:val="32"/>
          <w:highlight w:val="none"/>
        </w:rPr>
      </w:pPr>
    </w:p>
    <w:p w14:paraId="257E606A">
      <w:pPr>
        <w:autoSpaceDE w:val="0"/>
        <w:autoSpaceDN w:val="0"/>
        <w:jc w:val="center"/>
        <w:rPr>
          <w:rFonts w:ascii="宋体" w:hAnsi="宋体" w:cs="宋体"/>
          <w:b/>
          <w:color w:val="auto"/>
          <w:spacing w:val="6"/>
          <w:sz w:val="32"/>
          <w:szCs w:val="32"/>
          <w:highlight w:val="none"/>
        </w:rPr>
      </w:pPr>
    </w:p>
    <w:p w14:paraId="43320E1B">
      <w:pPr>
        <w:autoSpaceDE w:val="0"/>
        <w:autoSpaceDN w:val="0"/>
        <w:jc w:val="center"/>
        <w:rPr>
          <w:rFonts w:ascii="宋体" w:hAnsi="宋体" w:cs="宋体"/>
          <w:b/>
          <w:color w:val="auto"/>
          <w:spacing w:val="6"/>
          <w:sz w:val="32"/>
          <w:szCs w:val="32"/>
          <w:highlight w:val="none"/>
        </w:rPr>
      </w:pPr>
    </w:p>
    <w:p w14:paraId="1A0846BE">
      <w:pPr>
        <w:autoSpaceDE w:val="0"/>
        <w:autoSpaceDN w:val="0"/>
        <w:jc w:val="center"/>
        <w:rPr>
          <w:rFonts w:ascii="宋体" w:hAnsi="宋体" w:cs="宋体"/>
          <w:b/>
          <w:color w:val="auto"/>
          <w:spacing w:val="6"/>
          <w:sz w:val="32"/>
          <w:szCs w:val="32"/>
          <w:highlight w:val="none"/>
        </w:rPr>
      </w:pPr>
    </w:p>
    <w:p w14:paraId="75956957">
      <w:pPr>
        <w:autoSpaceDE w:val="0"/>
        <w:autoSpaceDN w:val="0"/>
        <w:jc w:val="center"/>
        <w:rPr>
          <w:rFonts w:ascii="宋体" w:hAnsi="宋体" w:cs="宋体"/>
          <w:b/>
          <w:color w:val="auto"/>
          <w:spacing w:val="6"/>
          <w:sz w:val="32"/>
          <w:szCs w:val="32"/>
          <w:highlight w:val="none"/>
        </w:rPr>
      </w:pPr>
    </w:p>
    <w:p w14:paraId="3EFBE3FA">
      <w:pPr>
        <w:autoSpaceDE w:val="0"/>
        <w:autoSpaceDN w:val="0"/>
        <w:jc w:val="center"/>
        <w:rPr>
          <w:rFonts w:ascii="宋体" w:hAnsi="宋体" w:cs="宋体"/>
          <w:b/>
          <w:color w:val="auto"/>
          <w:spacing w:val="6"/>
          <w:sz w:val="32"/>
          <w:szCs w:val="32"/>
          <w:highlight w:val="none"/>
        </w:rPr>
      </w:pPr>
    </w:p>
    <w:p w14:paraId="0D6857B2">
      <w:pPr>
        <w:autoSpaceDE w:val="0"/>
        <w:autoSpaceDN w:val="0"/>
        <w:jc w:val="center"/>
        <w:rPr>
          <w:rFonts w:ascii="宋体" w:hAnsi="宋体" w:cs="宋体"/>
          <w:b/>
          <w:color w:val="auto"/>
          <w:spacing w:val="6"/>
          <w:sz w:val="32"/>
          <w:szCs w:val="32"/>
          <w:highlight w:val="none"/>
        </w:rPr>
      </w:pPr>
    </w:p>
    <w:p w14:paraId="7D7D60A6">
      <w:pPr>
        <w:autoSpaceDE w:val="0"/>
        <w:autoSpaceDN w:val="0"/>
        <w:jc w:val="center"/>
        <w:rPr>
          <w:rFonts w:ascii="宋体" w:hAnsi="宋体" w:cs="宋体"/>
          <w:b/>
          <w:color w:val="auto"/>
          <w:spacing w:val="6"/>
          <w:sz w:val="32"/>
          <w:szCs w:val="32"/>
          <w:highlight w:val="none"/>
        </w:rPr>
      </w:pPr>
    </w:p>
    <w:p w14:paraId="38FF7CA3">
      <w:pPr>
        <w:autoSpaceDE w:val="0"/>
        <w:autoSpaceDN w:val="0"/>
        <w:jc w:val="center"/>
        <w:rPr>
          <w:rFonts w:ascii="宋体" w:hAnsi="宋体" w:cs="宋体"/>
          <w:b/>
          <w:color w:val="auto"/>
          <w:spacing w:val="6"/>
          <w:sz w:val="32"/>
          <w:szCs w:val="32"/>
          <w:highlight w:val="none"/>
        </w:rPr>
      </w:pPr>
    </w:p>
    <w:p w14:paraId="16BD20E6">
      <w:pPr>
        <w:autoSpaceDE w:val="0"/>
        <w:autoSpaceDN w:val="0"/>
        <w:jc w:val="center"/>
        <w:rPr>
          <w:rFonts w:ascii="宋体" w:hAnsi="宋体" w:cs="宋体"/>
          <w:b/>
          <w:color w:val="auto"/>
          <w:spacing w:val="6"/>
          <w:sz w:val="32"/>
          <w:szCs w:val="32"/>
          <w:highlight w:val="none"/>
        </w:rPr>
      </w:pPr>
    </w:p>
    <w:p w14:paraId="29C567C8">
      <w:pPr>
        <w:autoSpaceDE w:val="0"/>
        <w:autoSpaceDN w:val="0"/>
        <w:jc w:val="center"/>
        <w:rPr>
          <w:rFonts w:ascii="宋体" w:hAnsi="宋体" w:cs="宋体"/>
          <w:b/>
          <w:color w:val="auto"/>
          <w:spacing w:val="6"/>
          <w:sz w:val="32"/>
          <w:szCs w:val="32"/>
          <w:highlight w:val="none"/>
        </w:rPr>
      </w:pPr>
    </w:p>
    <w:p w14:paraId="1D454459">
      <w:pPr>
        <w:autoSpaceDE w:val="0"/>
        <w:autoSpaceDN w:val="0"/>
        <w:jc w:val="center"/>
        <w:rPr>
          <w:rFonts w:ascii="宋体" w:hAnsi="宋体" w:cs="宋体"/>
          <w:b/>
          <w:color w:val="auto"/>
          <w:spacing w:val="6"/>
          <w:sz w:val="32"/>
          <w:szCs w:val="32"/>
          <w:highlight w:val="none"/>
        </w:rPr>
      </w:pPr>
    </w:p>
    <w:p w14:paraId="4B3BD693">
      <w:pPr>
        <w:autoSpaceDE w:val="0"/>
        <w:autoSpaceDN w:val="0"/>
        <w:jc w:val="center"/>
        <w:rPr>
          <w:rFonts w:ascii="宋体" w:hAnsi="宋体" w:cs="宋体"/>
          <w:b/>
          <w:color w:val="auto"/>
          <w:spacing w:val="6"/>
          <w:sz w:val="32"/>
          <w:szCs w:val="32"/>
          <w:highlight w:val="none"/>
        </w:rPr>
      </w:pPr>
    </w:p>
    <w:p w14:paraId="1A681F21">
      <w:pPr>
        <w:autoSpaceDE w:val="0"/>
        <w:autoSpaceDN w:val="0"/>
        <w:jc w:val="center"/>
        <w:rPr>
          <w:rFonts w:ascii="宋体" w:hAnsi="宋体" w:cs="宋体"/>
          <w:b/>
          <w:color w:val="auto"/>
          <w:spacing w:val="6"/>
          <w:sz w:val="32"/>
          <w:szCs w:val="32"/>
          <w:highlight w:val="none"/>
        </w:rPr>
      </w:pPr>
    </w:p>
    <w:p w14:paraId="55F55842">
      <w:pPr>
        <w:autoSpaceDE w:val="0"/>
        <w:autoSpaceDN w:val="0"/>
        <w:jc w:val="center"/>
        <w:rPr>
          <w:rFonts w:ascii="宋体" w:hAnsi="宋体" w:cs="宋体"/>
          <w:b/>
          <w:color w:val="auto"/>
          <w:spacing w:val="6"/>
          <w:sz w:val="32"/>
          <w:szCs w:val="32"/>
          <w:highlight w:val="none"/>
        </w:rPr>
      </w:pPr>
    </w:p>
    <w:p w14:paraId="2E63BC30">
      <w:pPr>
        <w:autoSpaceDE w:val="0"/>
        <w:autoSpaceDN w:val="0"/>
        <w:jc w:val="center"/>
        <w:rPr>
          <w:rFonts w:ascii="宋体" w:hAnsi="宋体" w:cs="宋体"/>
          <w:b/>
          <w:color w:val="auto"/>
          <w:spacing w:val="6"/>
          <w:sz w:val="32"/>
          <w:szCs w:val="32"/>
          <w:highlight w:val="none"/>
        </w:rPr>
      </w:pPr>
    </w:p>
    <w:p w14:paraId="09CE20BD">
      <w:pPr>
        <w:autoSpaceDE w:val="0"/>
        <w:autoSpaceDN w:val="0"/>
        <w:jc w:val="center"/>
        <w:rPr>
          <w:rFonts w:ascii="宋体" w:hAnsi="宋体" w:cs="宋体"/>
          <w:b/>
          <w:color w:val="auto"/>
          <w:spacing w:val="6"/>
          <w:sz w:val="32"/>
          <w:szCs w:val="32"/>
          <w:highlight w:val="none"/>
        </w:rPr>
      </w:pPr>
    </w:p>
    <w:p w14:paraId="4E061997">
      <w:pPr>
        <w:autoSpaceDE w:val="0"/>
        <w:autoSpaceDN w:val="0"/>
        <w:jc w:val="center"/>
        <w:rPr>
          <w:rFonts w:ascii="宋体" w:hAnsi="宋体" w:cs="宋体"/>
          <w:b/>
          <w:color w:val="auto"/>
          <w:spacing w:val="6"/>
          <w:sz w:val="32"/>
          <w:szCs w:val="32"/>
          <w:highlight w:val="none"/>
        </w:rPr>
      </w:pPr>
    </w:p>
    <w:p w14:paraId="26C94944">
      <w:pPr>
        <w:autoSpaceDE w:val="0"/>
        <w:autoSpaceDN w:val="0"/>
        <w:jc w:val="center"/>
        <w:rPr>
          <w:rFonts w:ascii="宋体" w:hAnsi="宋体" w:cs="宋体"/>
          <w:b/>
          <w:color w:val="auto"/>
          <w:spacing w:val="6"/>
          <w:sz w:val="32"/>
          <w:szCs w:val="32"/>
          <w:highlight w:val="none"/>
        </w:rPr>
      </w:pPr>
    </w:p>
    <w:p w14:paraId="3D740D01">
      <w:pPr>
        <w:autoSpaceDE w:val="0"/>
        <w:autoSpaceDN w:val="0"/>
        <w:jc w:val="center"/>
        <w:rPr>
          <w:rFonts w:ascii="宋体" w:hAnsi="宋体" w:cs="宋体"/>
          <w:b/>
          <w:color w:val="auto"/>
          <w:spacing w:val="6"/>
          <w:sz w:val="32"/>
          <w:szCs w:val="32"/>
          <w:highlight w:val="none"/>
        </w:rPr>
      </w:pPr>
    </w:p>
    <w:p w14:paraId="109238B7">
      <w:pPr>
        <w:autoSpaceDE w:val="0"/>
        <w:autoSpaceDN w:val="0"/>
        <w:jc w:val="center"/>
        <w:rPr>
          <w:rFonts w:ascii="宋体" w:hAnsi="宋体" w:cs="宋体"/>
          <w:b/>
          <w:color w:val="auto"/>
          <w:spacing w:val="6"/>
          <w:sz w:val="32"/>
          <w:szCs w:val="32"/>
          <w:highlight w:val="none"/>
        </w:rPr>
      </w:pPr>
    </w:p>
    <w:p w14:paraId="04CC59C9">
      <w:pPr>
        <w:autoSpaceDE w:val="0"/>
        <w:autoSpaceDN w:val="0"/>
        <w:jc w:val="center"/>
        <w:rPr>
          <w:rFonts w:ascii="宋体" w:hAnsi="宋体" w:cs="宋体"/>
          <w:b/>
          <w:color w:val="auto"/>
          <w:spacing w:val="6"/>
          <w:sz w:val="32"/>
          <w:szCs w:val="32"/>
          <w:highlight w:val="none"/>
        </w:rPr>
      </w:pPr>
    </w:p>
    <w:p w14:paraId="7A9CFD57">
      <w:pPr>
        <w:snapToGrid w:val="0"/>
        <w:spacing w:line="360" w:lineRule="auto"/>
        <w:jc w:val="left"/>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C6CC3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EAC92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C20126F">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972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72FE6F6">
      <w:pPr>
        <w:pStyle w:val="82"/>
        <w:rPr>
          <w:color w:val="auto"/>
          <w:highlight w:val="none"/>
        </w:rPr>
      </w:pPr>
      <w:r>
        <w:rPr>
          <w:rFonts w:hint="eastAsia"/>
          <w:color w:val="auto"/>
          <w:highlight w:val="none"/>
        </w:rPr>
        <w:t>……</w:t>
      </w:r>
    </w:p>
    <w:p w14:paraId="07C3CF10">
      <w:pPr>
        <w:snapToGrid w:val="0"/>
        <w:spacing w:line="360" w:lineRule="auto"/>
        <w:ind w:firstLine="576"/>
        <w:outlineLvl w:val="1"/>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205D07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E38AC3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9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95"/>
    </w:p>
    <w:p w14:paraId="229B4B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8AB895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1C9A5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39057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CA2A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D26B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91249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60312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9C90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F737F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C429F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29165F2E">
      <w:pPr>
        <w:snapToGrid w:val="0"/>
        <w:spacing w:line="360" w:lineRule="auto"/>
        <w:rPr>
          <w:rStyle w:val="81"/>
          <w:color w:val="auto"/>
          <w:highlight w:val="none"/>
        </w:rPr>
      </w:pPr>
      <w:r>
        <w:rPr>
          <w:rStyle w:val="81"/>
          <w:rFonts w:hint="eastAsia"/>
          <w:color w:val="auto"/>
          <w:highlight w:val="none"/>
        </w:rPr>
        <w:t xml:space="preserve">                                              法定代表人（负责人） (签名)：</w:t>
      </w:r>
    </w:p>
    <w:p w14:paraId="35B8AD19">
      <w:pPr>
        <w:snapToGrid w:val="0"/>
        <w:spacing w:line="360" w:lineRule="auto"/>
        <w:ind w:right="480"/>
        <w:rPr>
          <w:rFonts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4D022ECF">
      <w:pPr>
        <w:pStyle w:val="82"/>
        <w:ind w:firstLine="5520" w:firstLineChars="2300"/>
        <w:jc w:val="both"/>
        <w:rPr>
          <w:color w:val="auto"/>
          <w:highlight w:val="none"/>
        </w:rPr>
      </w:pPr>
      <w:r>
        <w:rPr>
          <w:rStyle w:val="81"/>
          <w:rFonts w:hint="eastAsia"/>
          <w:color w:val="auto"/>
          <w:highlight w:val="none"/>
        </w:rPr>
        <w:t>法定代表人（负责人） (签名)：</w:t>
      </w:r>
    </w:p>
    <w:p w14:paraId="3A2F67C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rPr>
        <w:t>……</w:t>
      </w:r>
    </w:p>
    <w:p w14:paraId="4086787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1D118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F67A08">
      <w:pPr>
        <w:autoSpaceDE w:val="0"/>
        <w:autoSpaceDN w:val="0"/>
        <w:jc w:val="center"/>
        <w:rPr>
          <w:rFonts w:ascii="宋体" w:hAnsi="宋体" w:cs="宋体"/>
          <w:b/>
          <w:color w:val="auto"/>
          <w:spacing w:val="6"/>
          <w:sz w:val="32"/>
          <w:szCs w:val="32"/>
          <w:highlight w:val="none"/>
        </w:rPr>
      </w:pPr>
    </w:p>
    <w:p w14:paraId="72603241">
      <w:pPr>
        <w:autoSpaceDE w:val="0"/>
        <w:autoSpaceDN w:val="0"/>
        <w:jc w:val="center"/>
        <w:rPr>
          <w:rFonts w:ascii="宋体" w:hAnsi="宋体" w:cs="宋体"/>
          <w:b/>
          <w:color w:val="auto"/>
          <w:spacing w:val="6"/>
          <w:sz w:val="32"/>
          <w:szCs w:val="32"/>
          <w:highlight w:val="none"/>
        </w:rPr>
      </w:pPr>
    </w:p>
    <w:p w14:paraId="54DA4398">
      <w:pPr>
        <w:autoSpaceDE w:val="0"/>
        <w:autoSpaceDN w:val="0"/>
        <w:jc w:val="center"/>
        <w:rPr>
          <w:rFonts w:ascii="宋体" w:hAnsi="宋体" w:cs="宋体"/>
          <w:b/>
          <w:color w:val="auto"/>
          <w:spacing w:val="6"/>
          <w:sz w:val="32"/>
          <w:szCs w:val="32"/>
          <w:highlight w:val="none"/>
        </w:rPr>
      </w:pPr>
    </w:p>
    <w:p w14:paraId="06B2BC01">
      <w:pPr>
        <w:autoSpaceDE w:val="0"/>
        <w:autoSpaceDN w:val="0"/>
        <w:jc w:val="center"/>
        <w:rPr>
          <w:rFonts w:ascii="宋体" w:hAnsi="宋体" w:cs="宋体"/>
          <w:b/>
          <w:color w:val="auto"/>
          <w:spacing w:val="6"/>
          <w:sz w:val="32"/>
          <w:szCs w:val="32"/>
          <w:highlight w:val="none"/>
        </w:rPr>
      </w:pPr>
    </w:p>
    <w:p w14:paraId="18834249">
      <w:pPr>
        <w:autoSpaceDE w:val="0"/>
        <w:autoSpaceDN w:val="0"/>
        <w:jc w:val="center"/>
        <w:rPr>
          <w:rFonts w:ascii="宋体" w:hAnsi="宋体" w:cs="宋体"/>
          <w:b/>
          <w:color w:val="auto"/>
          <w:spacing w:val="6"/>
          <w:sz w:val="32"/>
          <w:szCs w:val="32"/>
          <w:highlight w:val="none"/>
        </w:rPr>
      </w:pPr>
    </w:p>
    <w:p w14:paraId="4DD07335">
      <w:pPr>
        <w:autoSpaceDE w:val="0"/>
        <w:autoSpaceDN w:val="0"/>
        <w:jc w:val="center"/>
        <w:rPr>
          <w:rFonts w:ascii="宋体" w:hAnsi="宋体" w:cs="宋体"/>
          <w:b/>
          <w:color w:val="auto"/>
          <w:spacing w:val="6"/>
          <w:sz w:val="32"/>
          <w:szCs w:val="32"/>
          <w:highlight w:val="none"/>
        </w:rPr>
      </w:pPr>
    </w:p>
    <w:p w14:paraId="3A5CA75B">
      <w:pPr>
        <w:autoSpaceDE w:val="0"/>
        <w:autoSpaceDN w:val="0"/>
        <w:jc w:val="center"/>
        <w:rPr>
          <w:rFonts w:ascii="宋体" w:hAnsi="宋体" w:cs="宋体"/>
          <w:b/>
          <w:color w:val="auto"/>
          <w:spacing w:val="6"/>
          <w:sz w:val="32"/>
          <w:szCs w:val="32"/>
          <w:highlight w:val="none"/>
        </w:rPr>
      </w:pPr>
    </w:p>
    <w:p w14:paraId="393A6ACC">
      <w:pPr>
        <w:autoSpaceDE w:val="0"/>
        <w:autoSpaceDN w:val="0"/>
        <w:jc w:val="center"/>
        <w:rPr>
          <w:rFonts w:ascii="宋体" w:hAnsi="宋体" w:cs="宋体"/>
          <w:b/>
          <w:color w:val="auto"/>
          <w:spacing w:val="6"/>
          <w:sz w:val="32"/>
          <w:szCs w:val="32"/>
          <w:highlight w:val="none"/>
        </w:rPr>
      </w:pPr>
    </w:p>
    <w:p w14:paraId="41F4FFFE">
      <w:pPr>
        <w:autoSpaceDE w:val="0"/>
        <w:autoSpaceDN w:val="0"/>
        <w:jc w:val="center"/>
        <w:rPr>
          <w:rFonts w:ascii="宋体" w:hAnsi="宋体" w:cs="宋体"/>
          <w:b/>
          <w:color w:val="auto"/>
          <w:spacing w:val="6"/>
          <w:sz w:val="32"/>
          <w:szCs w:val="32"/>
          <w:highlight w:val="none"/>
        </w:rPr>
      </w:pPr>
    </w:p>
    <w:p w14:paraId="7106C570">
      <w:pPr>
        <w:autoSpaceDE w:val="0"/>
        <w:autoSpaceDN w:val="0"/>
        <w:jc w:val="center"/>
        <w:rPr>
          <w:rFonts w:ascii="宋体" w:hAnsi="宋体" w:cs="宋体"/>
          <w:b/>
          <w:color w:val="auto"/>
          <w:spacing w:val="6"/>
          <w:sz w:val="32"/>
          <w:szCs w:val="32"/>
          <w:highlight w:val="none"/>
        </w:rPr>
      </w:pPr>
    </w:p>
    <w:p w14:paraId="53539311">
      <w:pPr>
        <w:autoSpaceDE w:val="0"/>
        <w:autoSpaceDN w:val="0"/>
        <w:jc w:val="center"/>
        <w:rPr>
          <w:rFonts w:ascii="宋体" w:hAnsi="宋体" w:cs="宋体"/>
          <w:b/>
          <w:color w:val="auto"/>
          <w:spacing w:val="6"/>
          <w:sz w:val="32"/>
          <w:szCs w:val="32"/>
          <w:highlight w:val="none"/>
        </w:rPr>
      </w:pPr>
    </w:p>
    <w:p w14:paraId="1EC9C3FB">
      <w:pPr>
        <w:autoSpaceDE w:val="0"/>
        <w:autoSpaceDN w:val="0"/>
        <w:jc w:val="center"/>
        <w:rPr>
          <w:rFonts w:ascii="宋体" w:hAnsi="宋体" w:cs="宋体"/>
          <w:b/>
          <w:color w:val="auto"/>
          <w:spacing w:val="6"/>
          <w:sz w:val="32"/>
          <w:szCs w:val="32"/>
          <w:highlight w:val="none"/>
        </w:rPr>
      </w:pPr>
    </w:p>
    <w:p w14:paraId="7A7A842A">
      <w:pPr>
        <w:autoSpaceDE w:val="0"/>
        <w:autoSpaceDN w:val="0"/>
        <w:jc w:val="center"/>
        <w:rPr>
          <w:rFonts w:ascii="宋体" w:hAnsi="宋体" w:cs="宋体"/>
          <w:b/>
          <w:color w:val="auto"/>
          <w:spacing w:val="6"/>
          <w:sz w:val="32"/>
          <w:szCs w:val="32"/>
          <w:highlight w:val="none"/>
        </w:rPr>
      </w:pPr>
    </w:p>
    <w:p w14:paraId="1B4BC981">
      <w:pPr>
        <w:autoSpaceDE w:val="0"/>
        <w:autoSpaceDN w:val="0"/>
        <w:jc w:val="center"/>
        <w:rPr>
          <w:rFonts w:ascii="宋体" w:hAnsi="宋体" w:cs="宋体"/>
          <w:b/>
          <w:color w:val="auto"/>
          <w:spacing w:val="6"/>
          <w:sz w:val="32"/>
          <w:szCs w:val="32"/>
          <w:highlight w:val="none"/>
        </w:rPr>
      </w:pPr>
    </w:p>
    <w:p w14:paraId="29839E5F">
      <w:pPr>
        <w:autoSpaceDE w:val="0"/>
        <w:autoSpaceDN w:val="0"/>
        <w:jc w:val="center"/>
        <w:rPr>
          <w:rFonts w:ascii="宋体" w:hAnsi="宋体" w:cs="宋体"/>
          <w:b/>
          <w:color w:val="auto"/>
          <w:spacing w:val="6"/>
          <w:sz w:val="32"/>
          <w:szCs w:val="32"/>
          <w:highlight w:val="none"/>
        </w:rPr>
      </w:pPr>
    </w:p>
    <w:p w14:paraId="3AED1986">
      <w:pPr>
        <w:autoSpaceDE w:val="0"/>
        <w:autoSpaceDN w:val="0"/>
        <w:jc w:val="center"/>
        <w:rPr>
          <w:rFonts w:ascii="宋体" w:hAnsi="宋体" w:cs="宋体"/>
          <w:b/>
          <w:color w:val="auto"/>
          <w:spacing w:val="6"/>
          <w:sz w:val="32"/>
          <w:szCs w:val="32"/>
          <w:highlight w:val="none"/>
        </w:rPr>
      </w:pPr>
    </w:p>
    <w:p w14:paraId="0EF57E9F">
      <w:pPr>
        <w:autoSpaceDE w:val="0"/>
        <w:autoSpaceDN w:val="0"/>
        <w:jc w:val="center"/>
        <w:rPr>
          <w:rFonts w:ascii="宋体" w:hAnsi="宋体" w:cs="宋体"/>
          <w:b/>
          <w:color w:val="auto"/>
          <w:spacing w:val="6"/>
          <w:sz w:val="32"/>
          <w:szCs w:val="32"/>
          <w:highlight w:val="none"/>
        </w:rPr>
      </w:pPr>
    </w:p>
    <w:p w14:paraId="63960AB7">
      <w:pPr>
        <w:autoSpaceDE w:val="0"/>
        <w:autoSpaceDN w:val="0"/>
        <w:jc w:val="center"/>
        <w:rPr>
          <w:rFonts w:ascii="宋体" w:hAnsi="宋体" w:cs="宋体"/>
          <w:b/>
          <w:color w:val="auto"/>
          <w:spacing w:val="6"/>
          <w:sz w:val="32"/>
          <w:szCs w:val="32"/>
          <w:highlight w:val="none"/>
        </w:rPr>
      </w:pPr>
    </w:p>
    <w:p w14:paraId="78B438C8">
      <w:pPr>
        <w:autoSpaceDE w:val="0"/>
        <w:autoSpaceDN w:val="0"/>
        <w:jc w:val="center"/>
        <w:rPr>
          <w:rFonts w:ascii="宋体" w:hAnsi="宋体" w:cs="宋体"/>
          <w:b/>
          <w:color w:val="auto"/>
          <w:spacing w:val="6"/>
          <w:sz w:val="32"/>
          <w:szCs w:val="32"/>
          <w:highlight w:val="none"/>
        </w:rPr>
      </w:pPr>
    </w:p>
    <w:p w14:paraId="56904A9D">
      <w:pPr>
        <w:autoSpaceDE w:val="0"/>
        <w:autoSpaceDN w:val="0"/>
        <w:jc w:val="center"/>
        <w:rPr>
          <w:rFonts w:ascii="宋体" w:hAnsi="宋体" w:cs="宋体"/>
          <w:b/>
          <w:color w:val="auto"/>
          <w:spacing w:val="6"/>
          <w:sz w:val="32"/>
          <w:szCs w:val="32"/>
          <w:highlight w:val="none"/>
        </w:rPr>
      </w:pPr>
    </w:p>
    <w:p w14:paraId="33858367">
      <w:pPr>
        <w:autoSpaceDE w:val="0"/>
        <w:autoSpaceDN w:val="0"/>
        <w:jc w:val="center"/>
        <w:rPr>
          <w:rFonts w:ascii="宋体" w:hAnsi="宋体" w:cs="宋体"/>
          <w:b/>
          <w:color w:val="auto"/>
          <w:spacing w:val="6"/>
          <w:sz w:val="32"/>
          <w:szCs w:val="32"/>
          <w:highlight w:val="none"/>
        </w:rPr>
      </w:pPr>
    </w:p>
    <w:p w14:paraId="2B67BC5E">
      <w:pPr>
        <w:autoSpaceDE w:val="0"/>
        <w:autoSpaceDN w:val="0"/>
        <w:jc w:val="center"/>
        <w:rPr>
          <w:rFonts w:ascii="宋体" w:hAnsi="宋体" w:cs="宋体"/>
          <w:b/>
          <w:color w:val="auto"/>
          <w:spacing w:val="6"/>
          <w:sz w:val="32"/>
          <w:szCs w:val="32"/>
          <w:highlight w:val="none"/>
        </w:rPr>
      </w:pPr>
    </w:p>
    <w:p w14:paraId="3685B8C1">
      <w:pPr>
        <w:widowControl/>
        <w:adjustRightInd/>
        <w:jc w:val="left"/>
        <w:rPr>
          <w:rFonts w:ascii="宋体" w:hAnsi="宋体" w:cs="宋体"/>
          <w:b/>
          <w:color w:val="auto"/>
          <w:sz w:val="32"/>
          <w:szCs w:val="32"/>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Futura Bk">
    <w:altName w:val="Segoe Print"/>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Segoe Print"/>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2020204"/>
    <w:charset w:val="00"/>
    <w:family w:val="swiss"/>
    <w:pitch w:val="default"/>
    <w:sig w:usb0="00000000" w:usb1="00000000" w:usb2="00000000" w:usb3="00000000" w:csb0="00000000" w:csb1="00000000"/>
  </w:font>
  <w:font w:name="Cumberland">
    <w:altName w:val="Segoe Print"/>
    <w:panose1 w:val="00000000000000000000"/>
    <w:charset w:val="00"/>
    <w:family w:val="roman"/>
    <w:pitch w:val="default"/>
    <w:sig w:usb0="00000000" w:usb1="00000000" w:usb2="00000000" w:usb3="00000000" w:csb0="00000000" w:csb1="00000000"/>
  </w:font>
  <w:font w:name="方正宋体">
    <w:altName w:val="宋体"/>
    <w:panose1 w:val="00000000000000000000"/>
    <w:charset w:val="86"/>
    <w:family w:val="roman"/>
    <w:pitch w:val="default"/>
    <w:sig w:usb0="00000000" w:usb1="00000000" w:usb2="00000000" w:usb3="00000000" w:csb0="00000000" w:csb1="00000000"/>
  </w:font>
  <w:font w:name="Futura Hv">
    <w:altName w:val="Segoe Print"/>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0" w:csb1="00000000"/>
  </w:font>
  <w:font w:name=".PingFang S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5937">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48FDB76">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ju4YDTAQAAngMAAA4AAAAAAAAAAQAgAAAAHwEA&#10;AGRycy9lMm9Eb2MueG1sUEsFBgAAAAAGAAYAWQEAAGQFAAAAAA==&#10;">
              <v:fill on="f" focussize="0,0"/>
              <v:stroke on="f"/>
              <v:imagedata o:title=""/>
              <o:lock v:ext="edit" aspectratio="f"/>
              <v:textbox inset="0mm,0mm,0mm,0mm" style="mso-fit-shape-to-text:t;">
                <w:txbxContent>
                  <w:p w14:paraId="048FDB76">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83E">
    <w:pPr>
      <w:pStyle w:val="39"/>
      <w:framePr w:wrap="around" w:vAnchor="text" w:hAnchor="margin" w:xAlign="right" w:y="1"/>
      <w:rPr>
        <w:rStyle w:val="72"/>
      </w:rPr>
    </w:pPr>
    <w:r>
      <w:fldChar w:fldCharType="begin"/>
    </w:r>
    <w:r>
      <w:rPr>
        <w:rStyle w:val="72"/>
      </w:rPr>
      <w:instrText xml:space="preserve">PAGE  </w:instrText>
    </w:r>
    <w:r>
      <w:fldChar w:fldCharType="end"/>
    </w:r>
  </w:p>
  <w:p w14:paraId="4369D07D">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3622">
    <w:pPr>
      <w:pStyle w:val="39"/>
      <w:rPr>
        <w:rFonts w:ascii="仿宋_GB2312" w:eastAsia="仿宋_GB2312"/>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151F83">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ziKRb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pvOHPC0ptffv64/Ppz&#10;+f2dVc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ziKRbTAQAAnwMAAA4AAAAAAAAAAQAgAAAAHwEA&#10;AGRycy9lMm9Eb2MueG1sUEsFBgAAAAAGAAYAWQEAAGQFAAAAAA==&#10;">
              <v:fill on="f" focussize="0,0"/>
              <v:stroke on="f"/>
              <v:imagedata o:title=""/>
              <o:lock v:ext="edit" aspectratio="f"/>
              <v:textbox inset="0mm,0mm,0mm,0mm" style="mso-fit-shape-to-text:t;">
                <w:txbxContent>
                  <w:p w14:paraId="63151F83">
                    <w:pPr>
                      <w:pStyle w:val="39"/>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D447">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5698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26569849">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C36C">
    <w:pPr>
      <w:rPr>
        <w:rFonts w:ascii="仿宋_GB2312" w:eastAsia="仿宋_GB2312"/>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DD9FCF">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7o2izPAQAAmwMAAA4AAABkcnMvZTJvRG9jLnhtbK1TzYrbMBC+F/oO&#10;QvfGTqA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QJnDlh6cEvP75ffv6+/PrG&#10;3iZ7+oAVnXoMDzBlSGHSOrRg05dUsCFber5aqobIJG0u16v1uiS3JdXmhHCKp+sBMN4pb1kKag70&#10;ZtlKcfqAcTw6H0ndjEur87famLGadopEcySWojjsh4nt3jdnkkgTT+Cdh6+c9fTeNXc03pyZe0d2&#10;ptGYA5iD/RwIJ+lizSNnxwD60OUxSjQwvD9GopJ5psZjt4kPvVlWOs1XGoq/83zq6Z/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3ujaLM8BAACbAwAADgAAAAAAAAABACAAAAAfAQAAZHJz&#10;L2Uyb0RvYy54bWxQSwUGAAAAAAYABgBZAQAAYAUAAAAA&#10;">
              <v:fill on="f" focussize="0,0"/>
              <v:stroke on="f"/>
              <v:imagedata o:title=""/>
              <o:lock v:ext="edit" aspectratio="f"/>
              <v:textbox inset="0mm,0mm,0mm,0mm" style="mso-fit-shape-to-text:t;">
                <w:txbxContent>
                  <w:p w14:paraId="5DDD9FCF">
                    <w:pPr>
                      <w:pStyle w:val="3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CB52">
    <w:pPr>
      <w:rPr>
        <w:rFonts w:ascii="仿宋_GB2312" w:eastAsia="仿宋_GB2312"/>
      </w:rPr>
    </w:pPr>
    <w:r>
      <w:rPr>
        <w:sz w:val="21"/>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F7E9F8">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NtgcJ88BAACbAwAADgAAAAAAAAABACAAAAAfAQAAZHJz&#10;L2Uyb0RvYy54bWxQSwUGAAAAAAYABgBZAQAAYAUAAAAA&#10;">
              <v:fill on="f" focussize="0,0"/>
              <v:stroke on="f"/>
              <v:imagedata o:title=""/>
              <o:lock v:ext="edit" aspectratio="f"/>
              <v:textbox inset="0mm,0mm,0mm,0mm" style="mso-fit-shape-to-text:t;">
                <w:txbxContent>
                  <w:p w14:paraId="4CF7E9F8">
                    <w:pPr>
                      <w:pStyle w:val="39"/>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B60E">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62F293">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14:paraId="3962F293">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52F11">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7354FE">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mV8SrQAQAAngMAAA4AAAAAAAAAAQAgAAAAHwEAAGRy&#10;cy9lMm9Eb2MueG1sUEsFBgAAAAAGAAYAWQEAAGEFAAAAAA==&#10;">
              <v:fill on="f" focussize="0,0"/>
              <v:stroke on="f"/>
              <v:imagedata o:title=""/>
              <o:lock v:ext="edit" aspectratio="f"/>
              <v:textbox inset="0mm,0mm,0mm,0mm" style="mso-fit-shape-to-text:t;">
                <w:txbxContent>
                  <w:p w14:paraId="7B7354FE">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CBA9">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F7EA99">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HnJrSAQAAng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ecmtIBAACeAwAADgAAAAAAAAABACAAAAAfAQAA&#10;ZHJzL2Uyb0RvYy54bWxQSwUGAAAAAAYABgBZAQAAYwUAAAAA&#10;">
              <v:fill on="f" focussize="0,0"/>
              <v:stroke on="f"/>
              <v:imagedata o:title=""/>
              <o:lock v:ext="edit" aspectratio="f"/>
              <v:textbox inset="0mm,0mm,0mm,0mm" style="mso-fit-shape-to-text:t;">
                <w:txbxContent>
                  <w:p w14:paraId="56F7EA99">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6CC63">
    <w:pPr>
      <w:rPr>
        <w:rFonts w:ascii="仿宋_GB2312" w:eastAsia="仿宋_GB2312"/>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4E1D9A">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5iIXP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3LJmROW3vzy4/vl5+/L&#10;r2+syhb1Add08jE8ABmWMqQw6R1asOlLStiQbT1fbVVDZJI2q9VytSrJcUm1OSGc4nY9AMZ3yluW&#10;gpoDvVu2U5w+YByPzkdSN+PS6vy9Nmaspp3iRixFcdgPE9u9b84kk6aewDsPXznr6c1r7mjEOTPv&#10;HVmaxmMOYA72cyCcpIs1j5wdA+hDl0cp0cDw9hiJSuaZGo/dJj70blnpN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YiFz0QEAAJ8DAAAOAAAAAAAAAAEAIAAAAB8BAABk&#10;cnMvZTJvRG9jLnhtbFBLBQYAAAAABgAGAFkBAABiBQAAAAA=&#10;">
              <v:fill on="f" focussize="0,0"/>
              <v:stroke on="f"/>
              <v:imagedata o:title=""/>
              <o:lock v:ext="edit" aspectratio="f"/>
              <v:textbox inset="0mm,0mm,0mm,0mm" style="mso-fit-shape-to-text:t;">
                <w:txbxContent>
                  <w:p w14:paraId="774E1D9A">
                    <w:pPr>
                      <w:pStyle w:val="39"/>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5FEB">
    <w:pPr>
      <w:pStyle w:val="39"/>
      <w:rPr>
        <w:rFonts w:ascii="仿宋_GB2312" w:eastAsia="仿宋_GB2312"/>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95FD5E">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i1RMHS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crXnDlh6c0vP39cfv25&#10;/P7Oqi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LVEwdIBAACfAwAADgAAAAAAAAABACAAAAAfAQAA&#10;ZHJzL2Uyb0RvYy54bWxQSwUGAAAAAAYABgBZAQAAYwUAAAAA&#10;">
              <v:fill on="f" focussize="0,0"/>
              <v:stroke on="f"/>
              <v:imagedata o:title=""/>
              <o:lock v:ext="edit" aspectratio="f"/>
              <v:textbox inset="0mm,0mm,0mm,0mm" style="mso-fit-shape-to-text:t;">
                <w:txbxContent>
                  <w:p w14:paraId="5A95FD5E">
                    <w:pPr>
                      <w:pStyle w:val="39"/>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3C7B9">
    <w:pPr>
      <w:pStyle w:val="40"/>
      <w:pBdr>
        <w:bottom w:val="single" w:color="auto" w:sz="6" w:space="0"/>
      </w:pBdr>
      <w:ind w:right="90"/>
      <w:jc w:val="right"/>
      <w:rPr>
        <w:rFonts w:ascii="仿宋_GB2312" w:eastAsia="仿宋_GB2312"/>
        <w:b/>
        <w:i/>
        <w:sz w:val="21"/>
        <w:szCs w:val="21"/>
        <w:u w:val="single"/>
      </w:rPr>
    </w:pPr>
    <w:r>
      <w:rPr>
        <w:rFonts w:hint="eastAsia"/>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6190">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1156">
    <w:pPr>
      <w:pStyle w:val="40"/>
      <w:pBdr>
        <w:bottom w:val="single" w:color="auto" w:sz="6" w:space="0"/>
      </w:pBdr>
      <w:tabs>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E1153">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5BADF">
    <w:pPr>
      <w:pStyle w:val="40"/>
    </w:pPr>
    <w:r>
      <w:t></w:t>
    </w:r>
    <w:r>
      <w:rPr>
        <w:rFonts w:hint="eastAsia"/>
      </w:rPr>
      <w:t xml:space="preserve">         </w:t>
    </w:r>
  </w:p>
  <w:p w14:paraId="39A01D52">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6964">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690F63F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9371">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BC6F3">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4295B7A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3498">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6EC0">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42A1A"/>
    <w:multiLevelType w:val="singleLevel"/>
    <w:tmpl w:val="B3242A1A"/>
    <w:lvl w:ilvl="0" w:tentative="0">
      <w:start w:val="1"/>
      <w:numFmt w:val="chineseCounting"/>
      <w:suff w:val="nothing"/>
      <w:lvlText w:val="%1、"/>
      <w:lvlJc w:val="left"/>
      <w:rPr>
        <w:rFonts w:hint="eastAsia"/>
      </w:rPr>
    </w:lvl>
  </w:abstractNum>
  <w:abstractNum w:abstractNumId="1">
    <w:nsid w:val="E6EF0A0E"/>
    <w:multiLevelType w:val="singleLevel"/>
    <w:tmpl w:val="E6EF0A0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mM3MGRkNjliZTUwYzcyMmJlYWM5MmY3ZDBmZjAifQ=="/>
    <w:docVar w:name="KSO_WPS_MARK_KEY" w:val="d21d46aa-6cea-439a-83b9-b8431666dfe3"/>
  </w:docVars>
  <w:rsids>
    <w:rsidRoot w:val="00000000"/>
    <w:rsid w:val="02B7449E"/>
    <w:rsid w:val="050A3946"/>
    <w:rsid w:val="05976809"/>
    <w:rsid w:val="066F0F20"/>
    <w:rsid w:val="082F30B8"/>
    <w:rsid w:val="08C74B52"/>
    <w:rsid w:val="094E5DE0"/>
    <w:rsid w:val="0A3D3ED5"/>
    <w:rsid w:val="0BE107DE"/>
    <w:rsid w:val="0D8519B7"/>
    <w:rsid w:val="101171CB"/>
    <w:rsid w:val="14A75F77"/>
    <w:rsid w:val="14ED3A5E"/>
    <w:rsid w:val="16377978"/>
    <w:rsid w:val="1A5403CD"/>
    <w:rsid w:val="1A770648"/>
    <w:rsid w:val="1B852F33"/>
    <w:rsid w:val="1C6E505A"/>
    <w:rsid w:val="1CE2313D"/>
    <w:rsid w:val="1CE65C54"/>
    <w:rsid w:val="1D6C5975"/>
    <w:rsid w:val="1E0754F1"/>
    <w:rsid w:val="1EF36406"/>
    <w:rsid w:val="2046290D"/>
    <w:rsid w:val="217E28FF"/>
    <w:rsid w:val="26D20FF7"/>
    <w:rsid w:val="276357F9"/>
    <w:rsid w:val="27BB6190"/>
    <w:rsid w:val="2D340315"/>
    <w:rsid w:val="2DAD7E55"/>
    <w:rsid w:val="2E420EAE"/>
    <w:rsid w:val="2EB601AA"/>
    <w:rsid w:val="325B4596"/>
    <w:rsid w:val="32C44F4A"/>
    <w:rsid w:val="34AA04AA"/>
    <w:rsid w:val="36B57130"/>
    <w:rsid w:val="38787C50"/>
    <w:rsid w:val="38F70BBC"/>
    <w:rsid w:val="3A1E4827"/>
    <w:rsid w:val="3E725142"/>
    <w:rsid w:val="405D772B"/>
    <w:rsid w:val="42025F5C"/>
    <w:rsid w:val="42505332"/>
    <w:rsid w:val="44B46AA4"/>
    <w:rsid w:val="459638BA"/>
    <w:rsid w:val="47B61E19"/>
    <w:rsid w:val="47D65A7C"/>
    <w:rsid w:val="4A7144FF"/>
    <w:rsid w:val="4C8428B7"/>
    <w:rsid w:val="5114167D"/>
    <w:rsid w:val="512D4888"/>
    <w:rsid w:val="541E7226"/>
    <w:rsid w:val="55115E79"/>
    <w:rsid w:val="59940B5B"/>
    <w:rsid w:val="5E6F6657"/>
    <w:rsid w:val="5EA96D0D"/>
    <w:rsid w:val="5F1D2E7B"/>
    <w:rsid w:val="60D87A48"/>
    <w:rsid w:val="616A4053"/>
    <w:rsid w:val="627E3805"/>
    <w:rsid w:val="63E75A3B"/>
    <w:rsid w:val="64D52505"/>
    <w:rsid w:val="67CF5C31"/>
    <w:rsid w:val="6F6D0E8A"/>
    <w:rsid w:val="703F03E2"/>
    <w:rsid w:val="730C516A"/>
    <w:rsid w:val="750B288E"/>
    <w:rsid w:val="75C17839"/>
    <w:rsid w:val="77112A42"/>
    <w:rsid w:val="775B156B"/>
    <w:rsid w:val="799139C7"/>
    <w:rsid w:val="7CA97C85"/>
    <w:rsid w:val="7E613E84"/>
    <w:rsid w:val="7F10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6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_28267869-16fb-4b83-947a-eafa0e0424dd"/>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_0d98efbf-c11c-440c-8aa3-b6a2677403c8"/>
    <w:qFormat/>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_0513c813-4a1d-4dc5-839c-9e9c127895d8"/>
    <w:qFormat/>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basedOn w:val="69"/>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_1ee7d3f7-abf3-4cfa-b7d5-c63ea731a9fa"/>
    <w:qFormat/>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after="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table" w:customStyle="1" w:styleId="962">
    <w:name w:val="Table Normal"/>
    <w:basedOn w:val="62"/>
    <w:qFormat/>
    <w:uiPriority w:val="0"/>
    <w:rPr>
      <w:rFonts w:ascii="Arial" w:hAnsi="Arial" w:cs="Arial"/>
    </w:rPr>
    <w:tblPr>
      <w:tblCellMar>
        <w:top w:w="0" w:type="dxa"/>
        <w:left w:w="0" w:type="dxa"/>
        <w:bottom w:w="0" w:type="dxa"/>
        <w:right w:w="0" w:type="dxa"/>
      </w:tblCellMar>
    </w:tblPr>
  </w:style>
  <w:style w:type="paragraph" w:customStyle="1" w:styleId="963">
    <w:name w:val="WPSOffice手动目录 1"/>
    <w:qFormat/>
    <w:uiPriority w:val="0"/>
    <w:pPr>
      <w:ind w:leftChars="0"/>
    </w:pPr>
    <w:rPr>
      <w:rFonts w:ascii="Times New Roman" w:hAnsi="Times New Roman" w:eastAsia="宋体" w:cs="Times New Roman"/>
      <w:sz w:val="20"/>
      <w:szCs w:val="20"/>
    </w:rPr>
  </w:style>
  <w:style w:type="paragraph" w:customStyle="1" w:styleId="964">
    <w:name w:val="null3"/>
    <w:qFormat/>
    <w:uiPriority w:val="0"/>
    <w:rPr>
      <w:rFonts w:hint="eastAsia" w:ascii="Calibri" w:hAnsi="Calibri" w:eastAsia="宋体" w:cs="宋体"/>
      <w:lang w:val="en-US"/>
    </w:rPr>
  </w:style>
  <w:style w:type="character" w:customStyle="1" w:styleId="965">
    <w:name w:val="标题 2 Char1"/>
    <w:link w:val="3"/>
    <w:qFormat/>
    <w:uiPriority w:val="0"/>
    <w:rPr>
      <w:rFonts w:ascii="仿宋_GB2312" w:hAnsi="仿宋" w:eastAsia="仿宋_GB2312"/>
      <w:b/>
      <w:bCs/>
      <w:sz w:val="32"/>
      <w:szCs w:val="32"/>
      <w:lang w:val="zh-CN"/>
    </w:rPr>
  </w:style>
  <w:style w:type="character" w:customStyle="1" w:styleId="966">
    <w:name w:val="标题 3 Char"/>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49fe1-3f27-45e1-823b-035f16c400b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15450</Words>
  <Characters>16721</Characters>
  <Paragraphs>2785</Paragraphs>
  <TotalTime>0</TotalTime>
  <ScaleCrop>false</ScaleCrop>
  <LinksUpToDate>false</LinksUpToDate>
  <CharactersWithSpaces>17396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2024-11-28T08:24:00Z</dcterms:created>
  <dc:creator>北海市政府采购中心</dc:creator>
  <cp:lastModifiedBy>WPS_1526954301</cp:lastModifiedBy>
  <cp:lastPrinted>2025-01-24T02:07:00Z</cp:lastPrinted>
  <dcterms:modified xsi:type="dcterms:W3CDTF">2025-02-24T09:33:19Z</dcterms:modified>
  <dc:title>北海市政府采购中心</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5DF1294B03804B65865F0D8866E946A4_13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1733305582</vt:lpwstr>
  </property>
  <property fmtid="{D5CDD505-2E9C-101B-9397-08002B2CF9AE}" pid="9" name="KSOTemplateDocerSaveRecord">
    <vt:lpwstr>eyJoZGlkIjoiNmI4NjNjMzYzNDdlYmMzMDAxYjYwOTgwNGI5MjE1NjEiLCJ1c2VySWQiOiIzNzI1ODIwNjgifQ==</vt:lpwstr>
  </property>
</Properties>
</file>