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cs="仿宋_GB2312" w:asciiTheme="minorEastAsia" w:hAnsiTheme="minorEastAsia" w:eastAsiaTheme="minorEastAsia"/>
          <w:b/>
          <w:color w:val="auto"/>
          <w:sz w:val="24"/>
          <w:highlight w:val="none"/>
        </w:rPr>
      </w:pPr>
    </w:p>
    <w:p>
      <w:pPr>
        <w:spacing w:line="360" w:lineRule="auto"/>
        <w:jc w:val="center"/>
        <w:rPr>
          <w:rFonts w:hint="eastAsia" w:cs="仿宋_GB2312" w:asciiTheme="minorEastAsia" w:hAnsiTheme="minorEastAsia" w:eastAsiaTheme="minorEastAsia"/>
          <w:b/>
          <w:color w:val="auto"/>
          <w:sz w:val="24"/>
          <w:highlight w:val="none"/>
        </w:rPr>
      </w:pPr>
    </w:p>
    <w:p>
      <w:pPr>
        <w:adjustRightInd/>
        <w:spacing w:line="360" w:lineRule="auto"/>
        <w:jc w:val="center"/>
        <w:rPr>
          <w:rFonts w:hint="eastAsia" w:cs="仿宋_GB2312" w:asciiTheme="minorEastAsia" w:hAnsiTheme="minorEastAsia" w:eastAsiaTheme="minorEastAsia"/>
          <w:b/>
          <w:color w:val="auto"/>
          <w:sz w:val="44"/>
          <w:szCs w:val="44"/>
          <w:highlight w:val="none"/>
        </w:rPr>
      </w:pPr>
    </w:p>
    <w:p>
      <w:pPr>
        <w:adjustRightInd/>
        <w:spacing w:line="360" w:lineRule="auto"/>
        <w:jc w:val="center"/>
        <w:rPr>
          <w:rFonts w:hint="eastAsia" w:cs="仿宋_GB2312" w:asciiTheme="minorEastAsia" w:hAnsiTheme="minorEastAsia" w:eastAsiaTheme="minorEastAsia"/>
          <w:b/>
          <w:color w:val="auto"/>
          <w:sz w:val="44"/>
          <w:szCs w:val="44"/>
          <w:highlight w:val="none"/>
        </w:rPr>
      </w:pPr>
    </w:p>
    <w:p>
      <w:pPr>
        <w:adjustRightInd/>
        <w:spacing w:line="360" w:lineRule="auto"/>
        <w:jc w:val="center"/>
        <w:rPr>
          <w:rFonts w:hint="eastAsia"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2025“一带一路”国际帆船赛</w:t>
      </w:r>
    </w:p>
    <w:p>
      <w:pPr>
        <w:adjustRightInd/>
        <w:spacing w:line="360" w:lineRule="auto"/>
        <w:jc w:val="center"/>
        <w:rPr>
          <w:rFonts w:hint="eastAsia" w:cs="仿宋_GB2312" w:asciiTheme="minorEastAsia" w:hAnsiTheme="minorEastAsia" w:eastAsiaTheme="minorEastAsia"/>
          <w:b/>
          <w:bCs/>
          <w:color w:val="auto"/>
          <w:w w:val="95"/>
          <w:sz w:val="72"/>
          <w:szCs w:val="72"/>
          <w:highlight w:val="none"/>
          <w:lang w:val="zh-CN"/>
        </w:rPr>
      </w:pPr>
    </w:p>
    <w:p>
      <w:pPr>
        <w:adjustRightInd/>
        <w:spacing w:line="360" w:lineRule="auto"/>
        <w:jc w:val="center"/>
        <w:rPr>
          <w:rFonts w:hint="eastAsia"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竞争性磋商</w:t>
      </w:r>
      <w:r>
        <w:rPr>
          <w:rFonts w:hint="eastAsia" w:cs="仿宋_GB2312" w:asciiTheme="minorEastAsia" w:hAnsiTheme="minorEastAsia" w:eastAsiaTheme="minorEastAsia"/>
          <w:b/>
          <w:color w:val="auto"/>
          <w:sz w:val="72"/>
          <w:szCs w:val="72"/>
          <w:highlight w:val="none"/>
        </w:rPr>
        <w:t>文件</w:t>
      </w:r>
    </w:p>
    <w:p>
      <w:pPr>
        <w:adjustRightInd/>
        <w:spacing w:line="360" w:lineRule="auto"/>
        <w:jc w:val="center"/>
        <w:rPr>
          <w:rFonts w:hint="eastAsia"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pPr>
        <w:snapToGrid w:val="0"/>
        <w:spacing w:line="360" w:lineRule="auto"/>
        <w:jc w:val="center"/>
        <w:rPr>
          <w:rFonts w:hint="eastAsia" w:cs="仿宋_GB2312" w:asciiTheme="minorEastAsia" w:hAnsiTheme="minorEastAsia" w:eastAsiaTheme="minorEastAsia"/>
          <w:color w:val="auto"/>
          <w:sz w:val="30"/>
          <w:szCs w:val="30"/>
          <w:highlight w:val="none"/>
        </w:rPr>
      </w:pPr>
    </w:p>
    <w:p>
      <w:pPr>
        <w:snapToGrid w:val="0"/>
        <w:spacing w:line="360" w:lineRule="auto"/>
        <w:jc w:val="center"/>
        <w:rPr>
          <w:rFonts w:hint="eastAsia"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color w:val="auto"/>
          <w:sz w:val="30"/>
          <w:szCs w:val="30"/>
          <w:highlight w:val="none"/>
        </w:rPr>
        <w:t>项目编号:BHZC2025-C3-990288-CGZX</w:t>
      </w:r>
    </w:p>
    <w:p>
      <w:pPr>
        <w:pStyle w:val="182"/>
        <w:widowControl w:val="0"/>
        <w:spacing w:before="0" w:beforeAutospacing="0" w:after="0" w:afterAutospacing="0" w:line="360" w:lineRule="auto"/>
        <w:jc w:val="both"/>
        <w:textAlignment w:val="auto"/>
        <w:rPr>
          <w:rFonts w:cs="仿宋_GB2312" w:asciiTheme="minorEastAsia" w:hAnsiTheme="minorEastAsia" w:eastAsiaTheme="minorEastAsia"/>
          <w:color w:val="auto"/>
          <w:kern w:val="2"/>
          <w:highlight w:val="none"/>
        </w:rPr>
      </w:pPr>
    </w:p>
    <w:p>
      <w:pPr>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pPr>
        <w:snapToGrid w:val="0"/>
        <w:spacing w:line="360" w:lineRule="auto"/>
        <w:jc w:val="center"/>
        <w:rPr>
          <w:rFonts w:hint="eastAsia" w:cs="仿宋_GB2312" w:asciiTheme="minorEastAsia" w:hAnsiTheme="minorEastAsia" w:eastAsiaTheme="minorEastAsia"/>
          <w:color w:val="auto"/>
          <w:sz w:val="32"/>
          <w:szCs w:val="32"/>
          <w:highlight w:val="none"/>
        </w:rPr>
      </w:pPr>
    </w:p>
    <w:p>
      <w:pPr>
        <w:snapToGrid w:val="0"/>
        <w:spacing w:line="360" w:lineRule="auto"/>
        <w:jc w:val="center"/>
        <w:rPr>
          <w:rFonts w:hint="eastAsia" w:cs="仿宋_GB2312" w:asciiTheme="minorEastAsia" w:hAnsiTheme="minorEastAsia" w:eastAsiaTheme="minorEastAsia"/>
          <w:color w:val="auto"/>
          <w:sz w:val="32"/>
          <w:szCs w:val="32"/>
          <w:highlight w:val="none"/>
        </w:rPr>
      </w:pPr>
      <w:r>
        <w:rPr>
          <w:rFonts w:hint="eastAsia" w:ascii="宋体" w:hAnsi="宋体" w:cs="宋体"/>
          <w:color w:val="auto"/>
          <w:sz w:val="32"/>
          <w:szCs w:val="32"/>
          <w:highlight w:val="none"/>
        </w:rPr>
        <w:t>（采购人：北海市旅游文体局）</w:t>
      </w:r>
    </w:p>
    <w:p>
      <w:pPr>
        <w:spacing w:line="360" w:lineRule="auto"/>
        <w:jc w:val="center"/>
        <w:rPr>
          <w:rFonts w:hint="eastAsia" w:cs="仿宋_GB2312" w:asciiTheme="minorEastAsia" w:hAnsiTheme="minorEastAsia" w:eastAsiaTheme="minorEastAsia"/>
          <w:bCs/>
          <w:color w:val="auto"/>
          <w:sz w:val="32"/>
          <w:szCs w:val="32"/>
          <w:highlight w:val="none"/>
        </w:rPr>
      </w:pPr>
      <w:r>
        <w:rPr>
          <w:rFonts w:hint="eastAsia" w:ascii="宋体" w:hAnsi="宋体" w:cs="宋体"/>
          <w:bCs/>
          <w:color w:val="auto"/>
          <w:sz w:val="32"/>
          <w:szCs w:val="32"/>
          <w:highlight w:val="none"/>
        </w:rPr>
        <w:t>（采购代理机构:北海市政府采购中心）</w:t>
      </w:r>
    </w:p>
    <w:p>
      <w:pPr>
        <w:snapToGrid w:val="0"/>
        <w:spacing w:line="360" w:lineRule="auto"/>
        <w:jc w:val="center"/>
        <w:rPr>
          <w:rFonts w:hint="eastAsia" w:cs="仿宋_GB2312" w:asciiTheme="minorEastAsia" w:hAnsiTheme="minorEastAsia" w:eastAsiaTheme="minorEastAsia"/>
          <w:bCs/>
          <w:color w:val="auto"/>
          <w:sz w:val="32"/>
          <w:szCs w:val="32"/>
          <w:highlight w:val="none"/>
          <w:lang w:eastAsia="zh-CN"/>
        </w:rPr>
      </w:pPr>
      <w:r>
        <w:rPr>
          <w:rFonts w:hint="eastAsia" w:cs="仿宋_GB2312" w:asciiTheme="minorEastAsia" w:hAnsiTheme="minorEastAsia" w:eastAsiaTheme="minorEastAsia"/>
          <w:bCs/>
          <w:color w:val="auto"/>
          <w:sz w:val="32"/>
          <w:szCs w:val="32"/>
          <w:highlight w:val="none"/>
          <w:lang w:eastAsia="zh-CN"/>
        </w:rPr>
        <w:t>2025年11月10日</w:t>
      </w:r>
    </w:p>
    <w:p>
      <w:pPr>
        <w:tabs>
          <w:tab w:val="left" w:pos="2268"/>
        </w:tabs>
        <w:spacing w:line="360" w:lineRule="auto"/>
        <w:jc w:val="center"/>
        <w:rPr>
          <w:rFonts w:hint="eastAsia" w:cs="仿宋_GB2312" w:asciiTheme="minorEastAsia" w:hAnsiTheme="minorEastAsia" w:eastAsiaTheme="minorEastAsia"/>
          <w:color w:val="auto"/>
          <w:sz w:val="24"/>
          <w:highlight w:val="none"/>
        </w:rPr>
        <w:sectPr>
          <w:headerReference r:id="rId4" w:type="first"/>
          <w:headerReference r:id="rId3" w:type="default"/>
          <w:footerReference r:id="rId5" w:type="even"/>
          <w:pgSz w:w="11906" w:h="16838"/>
          <w:pgMar w:top="1247" w:right="1418" w:bottom="1276" w:left="1418" w:header="851" w:footer="992" w:gutter="0"/>
          <w:cols w:space="720" w:num="1"/>
          <w:titlePg/>
          <w:docGrid w:linePitch="312" w:charSpace="0"/>
        </w:sectPr>
      </w:pPr>
    </w:p>
    <w:p>
      <w:pPr>
        <w:tabs>
          <w:tab w:val="left" w:pos="2268"/>
        </w:tabs>
        <w:spacing w:line="360" w:lineRule="auto"/>
        <w:jc w:val="center"/>
        <w:rPr>
          <w:rFonts w:hint="eastAsia" w:cs="仿宋_GB2312" w:asciiTheme="minorEastAsia" w:hAnsiTheme="minorEastAsia" w:eastAsiaTheme="minorEastAsia"/>
          <w:color w:val="auto"/>
          <w:sz w:val="24"/>
          <w:highlight w:val="none"/>
        </w:rPr>
      </w:pPr>
    </w:p>
    <w:p>
      <w:pPr>
        <w:spacing w:line="360" w:lineRule="auto"/>
        <w:jc w:val="center"/>
        <w:rPr>
          <w:rFonts w:hint="eastAsia"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pPr>
        <w:spacing w:line="360" w:lineRule="auto"/>
        <w:rPr>
          <w:rFonts w:hint="eastAsia" w:cs="仿宋_GB2312" w:asciiTheme="minorEastAsia" w:hAnsiTheme="minorEastAsia" w:eastAsiaTheme="minorEastAsia"/>
          <w:color w:val="auto"/>
          <w:sz w:val="32"/>
          <w:szCs w:val="32"/>
          <w:highlight w:val="none"/>
        </w:rPr>
      </w:pPr>
    </w:p>
    <w:p>
      <w:pPr>
        <w:spacing w:line="360" w:lineRule="auto"/>
        <w:rPr>
          <w:rFonts w:hint="eastAsia" w:cs="仿宋_GB2312" w:asciiTheme="minorEastAsia" w:hAnsiTheme="minorEastAsia" w:eastAsiaTheme="minorEastAsia"/>
          <w:color w:val="auto"/>
          <w:sz w:val="32"/>
          <w:szCs w:val="32"/>
          <w:highlight w:val="none"/>
        </w:rPr>
      </w:pPr>
    </w:p>
    <w:p>
      <w:pPr>
        <w:pStyle w:val="41"/>
        <w:tabs>
          <w:tab w:val="right" w:leader="dot" w:pos="9060"/>
        </w:tabs>
        <w:spacing w:line="360" w:lineRule="auto"/>
        <w:rPr>
          <w:rFonts w:hint="eastAsia" w:asciiTheme="minorEastAsia" w:hAnsiTheme="minorEastAsia" w:eastAsiaTheme="minorEastAsia" w:cstheme="minorBidi"/>
          <w:color w:val="auto"/>
          <w:sz w:val="32"/>
          <w:szCs w:val="32"/>
          <w:highlight w:val="none"/>
        </w:rPr>
      </w:pPr>
      <w:bookmarkStart w:id="0" w:name="_Hlt91233176"/>
      <w:bookmarkEnd w:id="0"/>
      <w:bookmarkStart w:id="1"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w:instrText>
      </w:r>
      <w:r>
        <w:rPr>
          <w:rFonts w:hint="eastAsia" w:cs="仿宋_GB2312" w:asciiTheme="minorEastAsia" w:hAnsiTheme="minorEastAsia" w:eastAsiaTheme="minorEastAsia"/>
          <w:color w:val="auto"/>
          <w:sz w:val="32"/>
          <w:szCs w:val="32"/>
          <w:highlight w:val="none"/>
        </w:rPr>
        <w:instrText xml:space="preserve">TOC \o "1-1" \h \z \u</w:instrText>
      </w:r>
      <w:r>
        <w:rPr>
          <w:rFonts w:cs="仿宋_GB2312" w:asciiTheme="minorEastAsia" w:hAnsiTheme="minorEastAsia" w:eastAsiaTheme="minorEastAsia"/>
          <w:color w:val="auto"/>
          <w:sz w:val="32"/>
          <w:szCs w:val="32"/>
          <w:highlight w:val="none"/>
        </w:rPr>
        <w:instrText xml:space="preserve"> </w:instrText>
      </w:r>
      <w:r>
        <w:rPr>
          <w:rFonts w:cs="仿宋_GB2312"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"_Toc181203094"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第一部分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邀请供应商</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rPr>
        <w:t>3</w:t>
      </w:r>
      <w:r>
        <w:rPr>
          <w:rFonts w:hint="eastAsia" w:asciiTheme="minorEastAsia" w:hAnsiTheme="minorEastAsia" w:eastAsiaTheme="minorEastAsia"/>
          <w:color w:val="auto"/>
          <w:sz w:val="32"/>
          <w:szCs w:val="32"/>
          <w:highlight w:val="none"/>
        </w:rPr>
        <w:fldChar w:fldCharType="end"/>
      </w:r>
    </w:p>
    <w:p>
      <w:pPr>
        <w:pStyle w:val="41"/>
        <w:tabs>
          <w:tab w:val="right" w:leader="dot" w:pos="9060"/>
        </w:tabs>
        <w:spacing w:line="360" w:lineRule="auto"/>
        <w:rPr>
          <w:rFonts w:hint="eastAsia"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"_Toc181203095"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第二部分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竞争性磋商流程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_Toc181203095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6</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1"/>
        <w:tabs>
          <w:tab w:val="right" w:leader="dot" w:pos="9060"/>
        </w:tabs>
        <w:spacing w:line="360" w:lineRule="auto"/>
        <w:rPr>
          <w:rFonts w:hint="eastAsia"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"_Toc181203096"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第三部分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供应商须知</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_Toc181203096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11</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1"/>
        <w:tabs>
          <w:tab w:val="right" w:leader="dot" w:pos="9060"/>
        </w:tabs>
        <w:spacing w:line="360" w:lineRule="auto"/>
        <w:rPr>
          <w:rFonts w:hint="eastAsia"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"_Toc181203097"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第四部分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采购需求</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_Toc181203097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w:t>
      </w:r>
      <w:r>
        <w:rPr>
          <w:rFonts w:hint="eastAsia" w:asciiTheme="minorEastAsia" w:hAnsiTheme="minorEastAsia" w:eastAsiaTheme="minorEastAsia"/>
          <w:color w:val="auto"/>
          <w:sz w:val="32"/>
          <w:szCs w:val="32"/>
          <w:highlight w:val="none"/>
        </w:rPr>
        <w:t>4</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1"/>
        <w:tabs>
          <w:tab w:val="right" w:leader="dot" w:pos="9060"/>
        </w:tabs>
        <w:spacing w:line="360" w:lineRule="auto"/>
        <w:rPr>
          <w:rFonts w:hint="eastAsia"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"_Toc181203098"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第五部分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评审方法及评审标准</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_Toc181203098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w:t>
      </w:r>
      <w:r>
        <w:rPr>
          <w:rFonts w:hint="eastAsia" w:asciiTheme="minorEastAsia" w:hAnsiTheme="minorEastAsia" w:eastAsiaTheme="minorEastAsia"/>
          <w:color w:val="auto"/>
          <w:sz w:val="32"/>
          <w:szCs w:val="32"/>
          <w:highlight w:val="none"/>
        </w:rPr>
        <w:t>8</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1"/>
        <w:tabs>
          <w:tab w:val="right" w:leader="dot" w:pos="9060"/>
        </w:tabs>
        <w:spacing w:line="360" w:lineRule="auto"/>
        <w:rPr>
          <w:rFonts w:hint="eastAsia"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"_Toc181203099"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第六部分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拟签订的合同文本</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_Toc181203099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4</w:t>
      </w:r>
      <w:r>
        <w:rPr>
          <w:rFonts w:hint="eastAsia" w:asciiTheme="minorEastAsia" w:hAnsiTheme="minorEastAsia" w:eastAsiaTheme="minorEastAsia"/>
          <w:color w:val="auto"/>
          <w:sz w:val="32"/>
          <w:szCs w:val="32"/>
          <w:highlight w:val="none"/>
        </w:rPr>
        <w:t>7</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1"/>
        <w:tabs>
          <w:tab w:val="right" w:leader="dot" w:pos="9060"/>
        </w:tabs>
        <w:spacing w:line="360" w:lineRule="auto"/>
        <w:rPr>
          <w:rFonts w:hint="eastAsia"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"_Toc181203100"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第七部分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应提交的有关格式范例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_Toc181203100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5</w:t>
      </w:r>
      <w:r>
        <w:rPr>
          <w:rFonts w:hint="eastAsia" w:asciiTheme="minorEastAsia" w:hAnsiTheme="minorEastAsia" w:eastAsiaTheme="minorEastAsia"/>
          <w:color w:val="auto"/>
          <w:sz w:val="32"/>
          <w:szCs w:val="32"/>
          <w:highlight w:val="none"/>
        </w:rPr>
        <w:t>7</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1"/>
        <w:tabs>
          <w:tab w:val="right" w:leader="dot" w:pos="9060"/>
        </w:tabs>
        <w:spacing w:line="360" w:lineRule="auto"/>
        <w:rPr>
          <w:rFonts w:hint="eastAsia"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"_Toc181203101"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第八部分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最后报价格式</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_Toc181203101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7</w:t>
      </w:r>
      <w:r>
        <w:rPr>
          <w:rFonts w:hint="eastAsia" w:asciiTheme="minorEastAsia" w:hAnsiTheme="minorEastAsia" w:eastAsiaTheme="minorEastAsia"/>
          <w:color w:val="auto"/>
          <w:sz w:val="32"/>
          <w:szCs w:val="32"/>
          <w:highlight w:val="none"/>
        </w:rPr>
        <w:t>9</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spacing w:line="360" w:lineRule="auto"/>
        <w:ind w:firstLine="732" w:firstLineChars="229"/>
        <w:rPr>
          <w:rFonts w:hint="eastAsia"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32"/>
          <w:szCs w:val="32"/>
          <w:highlight w:val="none"/>
        </w:rPr>
        <w:fldChar w:fldCharType="end"/>
      </w: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rPr>
          <w:rFonts w:hint="eastAsia" w:cs="仿宋_GB2312" w:asciiTheme="minorEastAsia" w:hAnsiTheme="minorEastAsia" w:eastAsiaTheme="minorEastAsia"/>
          <w:color w:val="auto"/>
          <w:sz w:val="24"/>
          <w:highlight w:val="none"/>
        </w:rPr>
      </w:pPr>
    </w:p>
    <w:bookmarkEnd w:id="1"/>
    <w:p>
      <w:pPr>
        <w:adjustRightInd/>
        <w:jc w:val="center"/>
        <w:outlineLvl w:val="0"/>
        <w:rPr>
          <w:rFonts w:hint="eastAsia" w:cs="仿宋_GB2312" w:asciiTheme="minorEastAsia" w:hAnsiTheme="minorEastAsia" w:eastAsiaTheme="minorEastAsia"/>
          <w:b/>
          <w:color w:val="auto"/>
          <w:sz w:val="36"/>
          <w:szCs w:val="20"/>
          <w:highlight w:val="none"/>
        </w:rPr>
        <w:sectPr>
          <w:footerReference r:id="rId7" w:type="first"/>
          <w:footerReference r:id="rId6" w:type="default"/>
          <w:pgSz w:w="11906" w:h="16838"/>
          <w:pgMar w:top="1247" w:right="1418" w:bottom="1276" w:left="1418" w:header="851" w:footer="992" w:gutter="0"/>
          <w:pgNumType w:start="1"/>
          <w:cols w:space="720" w:num="1"/>
          <w:docGrid w:linePitch="312" w:charSpace="0"/>
        </w:sectPr>
      </w:pPr>
      <w:bookmarkStart w:id="2" w:name="_Hlt74728647"/>
      <w:bookmarkEnd w:id="2"/>
      <w:bookmarkStart w:id="3" w:name="_Hlt74649545"/>
      <w:bookmarkEnd w:id="3"/>
      <w:bookmarkStart w:id="4" w:name="_Hlt74707423"/>
      <w:bookmarkEnd w:id="4"/>
      <w:bookmarkStart w:id="5" w:name="_Hlt74729822"/>
      <w:bookmarkEnd w:id="5"/>
      <w:bookmarkStart w:id="6" w:name="第二部分"/>
      <w:bookmarkStart w:id="7" w:name="_Toc91899870"/>
      <w:bookmarkStart w:id="8" w:name="_Toc91899871"/>
    </w:p>
    <w:p>
      <w:pPr>
        <w:adjustRightInd/>
        <w:jc w:val="center"/>
        <w:outlineLvl w:val="0"/>
        <w:rPr>
          <w:rFonts w:hint="eastAsia"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2"/>
          <w:szCs w:val="32"/>
          <w:highlight w:val="none"/>
        </w:rPr>
        <w:t>北海市政府采购中心关于北海市旅游文体局2025“一带一路”国际帆船赛(BHZC2025-C3-990288-CGZX)竞争性磋商公告</w:t>
      </w:r>
    </w:p>
    <w:p>
      <w:pPr>
        <w:spacing w:line="360" w:lineRule="auto"/>
        <w:rPr>
          <w:rFonts w:hint="eastAsia" w:asciiTheme="minorEastAsia" w:hAnsiTheme="minorEastAsia" w:eastAsiaTheme="minorEastAsia"/>
          <w:color w:val="auto"/>
          <w:sz w:val="24"/>
          <w:highlight w:val="none"/>
        </w:rPr>
      </w:pPr>
    </w:p>
    <w:p>
      <w:pPr>
        <w:pBdr>
          <w:top w:val="single" w:color="auto" w:sz="4" w:space="1"/>
          <w:left w:val="single" w:color="auto" w:sz="4" w:space="4"/>
          <w:bottom w:val="single" w:color="auto" w:sz="4" w:space="1"/>
          <w:right w:val="single" w:color="auto" w:sz="4" w:space="4"/>
        </w:pBdr>
        <w:spacing w:line="360" w:lineRule="exact"/>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项目概况</w:t>
      </w:r>
    </w:p>
    <w:p>
      <w:pPr>
        <w:pBdr>
          <w:top w:val="single" w:color="auto" w:sz="4" w:space="1"/>
          <w:left w:val="single" w:color="auto" w:sz="4" w:space="4"/>
          <w:bottom w:val="single" w:color="auto" w:sz="4" w:space="1"/>
          <w:right w:val="single" w:color="auto" w:sz="4" w:space="4"/>
        </w:pBdr>
        <w:spacing w:line="360" w:lineRule="exact"/>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2025“一带一路”国际帆船赛的潜在供应商应在广西政府采购云平台（网址：http://www.gcy.zfcg.gxzf.gov.cn）获取采购文件，并于</w:t>
      </w:r>
      <w:r>
        <w:rPr>
          <w:rFonts w:hint="eastAsia" w:asciiTheme="minorEastAsia" w:hAnsiTheme="minorEastAsia" w:eastAsiaTheme="minorEastAsia"/>
          <w:color w:val="auto"/>
          <w:szCs w:val="21"/>
          <w:highlight w:val="none"/>
          <w:lang w:eastAsia="zh-CN"/>
        </w:rPr>
        <w:t>2025年11月21日9时</w:t>
      </w:r>
      <w:r>
        <w:rPr>
          <w:rFonts w:hint="eastAsia" w:asciiTheme="minorEastAsia" w:hAnsiTheme="minorEastAsia" w:eastAsiaTheme="minorEastAsia"/>
          <w:color w:val="auto"/>
          <w:szCs w:val="21"/>
          <w:highlight w:val="none"/>
        </w:rPr>
        <w:t>（北京时间）前提交响应文件。</w:t>
      </w:r>
    </w:p>
    <w:p>
      <w:pPr>
        <w:spacing w:line="360" w:lineRule="auto"/>
        <w:rPr>
          <w:rFonts w:hint="eastAsia" w:asciiTheme="minorEastAsia" w:hAnsiTheme="minorEastAsia" w:eastAsiaTheme="minorEastAsia"/>
          <w:color w:val="auto"/>
          <w:sz w:val="24"/>
          <w:highlight w:val="none"/>
        </w:rPr>
      </w:pPr>
    </w:p>
    <w:p>
      <w:pPr>
        <w:adjustRightInd/>
        <w:spacing w:line="360" w:lineRule="exact"/>
        <w:rPr>
          <w:rFonts w:hint="eastAsia" w:ascii="宋体" w:hAnsi="宋体" w:cs="宋体"/>
          <w:b/>
          <w:bCs/>
          <w:color w:val="auto"/>
          <w:highlight w:val="none"/>
        </w:rPr>
      </w:pPr>
      <w:r>
        <w:rPr>
          <w:rFonts w:hint="eastAsia" w:ascii="宋体" w:hAnsi="宋体" w:cs="宋体"/>
          <w:b/>
          <w:bCs/>
          <w:color w:val="auto"/>
          <w:highlight w:val="none"/>
        </w:rPr>
        <w:t>一、项目基本情况</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项目编号：BHZC2025-C3-990288-CGZX </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项目名称：2025“一带一路”国际帆船赛 </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采购方式：竞争性磋商 </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预算总金额（元）：2,000,000.00  </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采购需求：</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标项名称:2025“一带一路”国际帆船赛</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数量:1</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预算金额（元）:2,000,000.00</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简要规格描述或项目基本概况介绍、用途：2025“一带一路”国际帆船赛赛事服务一项，详见磋商文件。</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最高限价（如有）：2,000,000.00</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合同履约期限：签订合同后 15 个日历日，供应商所提供的器材租赁至一带一路国际帆船赛结束（具体以采购人书面通知为准）。</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本标项（否）接受联合体投标</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备注：</w:t>
      </w:r>
    </w:p>
    <w:p>
      <w:pPr>
        <w:adjustRightInd/>
        <w:spacing w:line="360" w:lineRule="exact"/>
        <w:ind w:firstLine="420" w:firstLineChars="200"/>
        <w:jc w:val="left"/>
        <w:rPr>
          <w:rFonts w:hint="eastAsia" w:ascii="宋体" w:hAnsi="宋体" w:cs="宋体"/>
          <w:color w:val="auto"/>
          <w:szCs w:val="21"/>
          <w:highlight w:val="none"/>
        </w:rPr>
      </w:pPr>
    </w:p>
    <w:p>
      <w:pPr>
        <w:adjustRightInd/>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二、申请人的资格要求</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2.落实政府采购政策需满足的资格要求：全部由符合政策要求的小微企业承接，提供中小企业声明函；</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3.本项目的特定资格要求：无</w:t>
      </w:r>
    </w:p>
    <w:p>
      <w:pPr>
        <w:adjustRightInd/>
        <w:spacing w:line="360" w:lineRule="exact"/>
        <w:rPr>
          <w:rFonts w:hint="eastAsia" w:ascii="宋体" w:hAnsi="宋体" w:cs="宋体"/>
          <w:b/>
          <w:bCs/>
          <w:color w:val="auto"/>
          <w:highlight w:val="none"/>
        </w:rPr>
      </w:pPr>
      <w:r>
        <w:rPr>
          <w:rFonts w:hint="eastAsia" w:ascii="宋体" w:hAnsi="宋体" w:cs="宋体"/>
          <w:b/>
          <w:bCs/>
          <w:color w:val="auto"/>
          <w:highlight w:val="none"/>
        </w:rPr>
        <w:t>三、获取采购文件</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2025年11月10日</w:t>
      </w:r>
      <w:r>
        <w:rPr>
          <w:rFonts w:hint="eastAsia" w:ascii="宋体" w:hAnsi="宋体" w:cs="宋体"/>
          <w:color w:val="auto"/>
          <w:szCs w:val="21"/>
          <w:highlight w:val="none"/>
        </w:rPr>
        <w:t>至2025年11月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7日，每天上午00:00至12:00，下午12:00至23:59（北京时间，法定节假日除外）</w:t>
      </w:r>
    </w:p>
    <w:p>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地点（网址）：</w:t>
      </w:r>
      <w:r>
        <w:rPr>
          <w:rFonts w:ascii="宋体" w:hAnsi="宋体" w:cs="宋体"/>
          <w:color w:val="auto"/>
          <w:szCs w:val="21"/>
          <w:highlight w:val="none"/>
        </w:rPr>
        <w:t>广西政府采购云平台（网址：http://www.gcy.zfcg.gxzf.gov.cn）</w:t>
      </w:r>
    </w:p>
    <w:p>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方式：供应商登录</w:t>
      </w:r>
      <w:r>
        <w:rPr>
          <w:rFonts w:ascii="宋体" w:hAnsi="宋体" w:cs="宋体"/>
          <w:color w:val="auto"/>
          <w:szCs w:val="21"/>
          <w:highlight w:val="none"/>
        </w:rPr>
        <w:t>广西政府采购云平台</w:t>
      </w:r>
      <w:r>
        <w:rPr>
          <w:rFonts w:hint="eastAsia" w:ascii="宋体" w:hAnsi="宋体" w:cs="宋体"/>
          <w:color w:val="auto"/>
          <w:szCs w:val="21"/>
          <w:highlight w:val="none"/>
        </w:rPr>
        <w:t>（</w:t>
      </w:r>
      <w:r>
        <w:rPr>
          <w:rFonts w:ascii="宋体" w:hAnsi="宋体" w:cs="宋体"/>
          <w:color w:val="auto"/>
          <w:szCs w:val="21"/>
          <w:highlight w:val="none"/>
        </w:rPr>
        <w:t>网址：http://www.gcy.zfcg.gxzf.gov.cn</w:t>
      </w:r>
      <w:r>
        <w:rPr>
          <w:rFonts w:hint="eastAsia" w:ascii="宋体" w:hAnsi="宋体" w:cs="宋体"/>
          <w:color w:val="auto"/>
          <w:szCs w:val="21"/>
          <w:highlight w:val="none"/>
        </w:rPr>
        <w:t>）</w:t>
      </w:r>
      <w:r>
        <w:rPr>
          <w:rFonts w:ascii="宋体" w:hAnsi="宋体" w:cs="宋体"/>
          <w:color w:val="auto"/>
          <w:szCs w:val="21"/>
          <w:highlight w:val="none"/>
        </w:rPr>
        <w:t>进行报名并获取采购文件</w:t>
      </w:r>
      <w:r>
        <w:rPr>
          <w:rFonts w:hint="eastAsia" w:ascii="宋体" w:hAnsi="宋体" w:cs="宋体"/>
          <w:color w:val="auto"/>
          <w:szCs w:val="21"/>
          <w:highlight w:val="none"/>
        </w:rPr>
        <w:t>；未注册的供应商可在</w:t>
      </w:r>
      <w:r>
        <w:rPr>
          <w:rFonts w:ascii="宋体" w:hAnsi="宋体" w:cs="宋体"/>
          <w:color w:val="auto"/>
          <w:szCs w:val="21"/>
          <w:highlight w:val="none"/>
        </w:rPr>
        <w:t>广西政府采购云平台</w:t>
      </w:r>
      <w:r>
        <w:rPr>
          <w:rFonts w:hint="eastAsia" w:ascii="宋体" w:hAnsi="宋体" w:cs="宋体"/>
          <w:color w:val="auto"/>
          <w:szCs w:val="21"/>
          <w:highlight w:val="none"/>
        </w:rPr>
        <w:t>完成注册后再进行</w:t>
      </w:r>
      <w:r>
        <w:rPr>
          <w:rFonts w:ascii="宋体" w:hAnsi="宋体" w:cs="宋体"/>
          <w:color w:val="auto"/>
          <w:szCs w:val="21"/>
          <w:highlight w:val="none"/>
        </w:rPr>
        <w:t>报名</w:t>
      </w:r>
      <w:r>
        <w:rPr>
          <w:rFonts w:hint="eastAsia" w:ascii="宋体" w:hAnsi="宋体" w:cs="宋体"/>
          <w:color w:val="auto"/>
          <w:szCs w:val="21"/>
          <w:highlight w:val="none"/>
        </w:rPr>
        <w:t>。如在操作过程中遇到问题或需技术支持，请致电广西政府采购云平台客服热线：95763。提示：</w:t>
      </w:r>
      <w:r>
        <w:rPr>
          <w:rFonts w:ascii="宋体" w:hAnsi="宋体" w:cs="宋体"/>
          <w:color w:val="auto"/>
          <w:szCs w:val="21"/>
          <w:highlight w:val="none"/>
        </w:rPr>
        <w:t>供应商只有在“广西政府采购云平台”完成获取</w:t>
      </w:r>
      <w:r>
        <w:rPr>
          <w:rFonts w:hint="eastAsia" w:ascii="宋体" w:hAnsi="宋体" w:cs="宋体"/>
          <w:color w:val="auto"/>
          <w:szCs w:val="21"/>
          <w:highlight w:val="none"/>
        </w:rPr>
        <w:t>竞争性磋商文件</w:t>
      </w:r>
      <w:r>
        <w:rPr>
          <w:rFonts w:ascii="宋体" w:hAnsi="宋体" w:cs="宋体"/>
          <w:color w:val="auto"/>
          <w:szCs w:val="21"/>
          <w:highlight w:val="none"/>
        </w:rPr>
        <w:t>申请并下载了</w:t>
      </w:r>
      <w:r>
        <w:rPr>
          <w:rFonts w:hint="eastAsia" w:ascii="宋体" w:hAnsi="宋体" w:cs="宋体"/>
          <w:color w:val="auto"/>
          <w:szCs w:val="21"/>
          <w:highlight w:val="none"/>
        </w:rPr>
        <w:t>竞争性磋商文件</w:t>
      </w:r>
      <w:r>
        <w:rPr>
          <w:rFonts w:ascii="宋体" w:hAnsi="宋体" w:cs="宋体"/>
          <w:color w:val="auto"/>
          <w:szCs w:val="21"/>
          <w:highlight w:val="none"/>
        </w:rPr>
        <w:t>后才视作依法获取</w:t>
      </w:r>
      <w:r>
        <w:rPr>
          <w:rFonts w:hint="eastAsia" w:ascii="宋体" w:hAnsi="宋体" w:cs="宋体"/>
          <w:color w:val="auto"/>
          <w:szCs w:val="21"/>
          <w:highlight w:val="none"/>
        </w:rPr>
        <w:t>竞争性磋商文件</w:t>
      </w:r>
      <w:r>
        <w:rPr>
          <w:rFonts w:ascii="宋体" w:hAnsi="宋体" w:cs="宋体"/>
          <w:color w:val="auto"/>
          <w:szCs w:val="21"/>
          <w:highlight w:val="none"/>
        </w:rPr>
        <w:t>（法律法规所指的供应商获取</w:t>
      </w:r>
      <w:r>
        <w:rPr>
          <w:rFonts w:hint="eastAsia" w:ascii="宋体" w:hAnsi="宋体" w:cs="宋体"/>
          <w:color w:val="auto"/>
          <w:szCs w:val="21"/>
          <w:highlight w:val="none"/>
        </w:rPr>
        <w:t>竞争性磋商文件</w:t>
      </w:r>
      <w:r>
        <w:rPr>
          <w:rFonts w:ascii="宋体" w:hAnsi="宋体" w:cs="宋体"/>
          <w:color w:val="auto"/>
          <w:szCs w:val="21"/>
          <w:highlight w:val="none"/>
        </w:rPr>
        <w:t>时间以供应商完成获取</w:t>
      </w:r>
      <w:r>
        <w:rPr>
          <w:rFonts w:hint="eastAsia" w:ascii="宋体" w:hAnsi="宋体" w:cs="宋体"/>
          <w:color w:val="auto"/>
          <w:szCs w:val="21"/>
          <w:highlight w:val="none"/>
        </w:rPr>
        <w:t>竞争性磋商文件</w:t>
      </w:r>
      <w:r>
        <w:rPr>
          <w:rFonts w:ascii="宋体" w:hAnsi="宋体" w:cs="宋体"/>
          <w:color w:val="auto"/>
          <w:szCs w:val="21"/>
          <w:highlight w:val="none"/>
        </w:rPr>
        <w:t>申请后下载</w:t>
      </w:r>
      <w:r>
        <w:rPr>
          <w:rFonts w:hint="eastAsia" w:ascii="宋体" w:hAnsi="宋体" w:cs="宋体"/>
          <w:color w:val="auto"/>
          <w:szCs w:val="21"/>
          <w:highlight w:val="none"/>
        </w:rPr>
        <w:t>竞争性磋商文件</w:t>
      </w:r>
      <w:r>
        <w:rPr>
          <w:rFonts w:ascii="宋体" w:hAnsi="宋体" w:cs="宋体"/>
          <w:color w:val="auto"/>
          <w:szCs w:val="21"/>
          <w:highlight w:val="none"/>
        </w:rPr>
        <w:t>的时间为准）。 </w:t>
      </w:r>
    </w:p>
    <w:p>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售价（元）：0</w:t>
      </w:r>
    </w:p>
    <w:p>
      <w:pPr>
        <w:adjustRightInd/>
        <w:spacing w:line="360" w:lineRule="exact"/>
        <w:rPr>
          <w:rFonts w:hint="eastAsia" w:ascii="宋体" w:hAnsi="宋体" w:cs="宋体"/>
          <w:b/>
          <w:bCs/>
          <w:color w:val="auto"/>
          <w:highlight w:val="none"/>
        </w:rPr>
      </w:pPr>
      <w:r>
        <w:rPr>
          <w:rFonts w:hint="eastAsia" w:ascii="宋体" w:hAnsi="宋体" w:cs="宋体"/>
          <w:b/>
          <w:bCs/>
          <w:color w:val="auto"/>
          <w:highlight w:val="none"/>
        </w:rPr>
        <w:t>四、</w:t>
      </w:r>
      <w:r>
        <w:rPr>
          <w:rFonts w:hint="eastAsia" w:ascii="宋体" w:hAnsi="宋体" w:cs="宋体"/>
          <w:b/>
          <w:color w:val="auto"/>
          <w:szCs w:val="21"/>
          <w:highlight w:val="none"/>
        </w:rPr>
        <w:t>提交响应文件截止时间、开标时间和地点</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提交响应文件截止时间：</w:t>
      </w:r>
      <w:r>
        <w:rPr>
          <w:rFonts w:hint="eastAsia" w:ascii="宋体" w:hAnsi="宋体" w:cs="宋体"/>
          <w:color w:val="auto"/>
          <w:szCs w:val="21"/>
          <w:highlight w:val="none"/>
          <w:lang w:eastAsia="zh-CN"/>
        </w:rPr>
        <w:t>2025年11月21日9时</w:t>
      </w:r>
      <w:r>
        <w:rPr>
          <w:rFonts w:hint="eastAsia" w:ascii="宋体" w:hAnsi="宋体" w:cs="宋体"/>
          <w:color w:val="auto"/>
          <w:szCs w:val="21"/>
          <w:highlight w:val="none"/>
        </w:rPr>
        <w:t>（北京时间）</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投标地点（网址）：通过广西政府采购云平台实行在线投标</w:t>
      </w:r>
    </w:p>
    <w:p>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lang w:eastAsia="zh-CN"/>
        </w:rPr>
        <w:t>2025年11月21日9时</w:t>
      </w:r>
      <w:r>
        <w:rPr>
          <w:rFonts w:hint="eastAsia" w:ascii="宋体" w:hAnsi="宋体" w:cs="宋体"/>
          <w:color w:val="auto"/>
          <w:szCs w:val="21"/>
          <w:highlight w:val="none"/>
        </w:rPr>
        <w:t>（北京时间）</w:t>
      </w:r>
    </w:p>
    <w:p>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开标地点：通过广西政府采购云平台实行在线开标  </w:t>
      </w:r>
    </w:p>
    <w:p>
      <w:pPr>
        <w:adjustRightInd/>
        <w:spacing w:line="360" w:lineRule="exact"/>
        <w:rPr>
          <w:rFonts w:hint="eastAsia" w:ascii="宋体" w:hAnsi="宋体" w:cs="宋体"/>
          <w:color w:val="auto"/>
          <w:highlight w:val="none"/>
        </w:rPr>
      </w:pPr>
      <w:r>
        <w:rPr>
          <w:rFonts w:hint="eastAsia" w:ascii="宋体" w:hAnsi="宋体" w:cs="宋体"/>
          <w:b/>
          <w:bCs/>
          <w:color w:val="auto"/>
          <w:highlight w:val="none"/>
        </w:rPr>
        <w:t>五、响应文件开启</w:t>
      </w:r>
    </w:p>
    <w:p>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开启时间：</w:t>
      </w:r>
      <w:r>
        <w:rPr>
          <w:rFonts w:hint="eastAsia" w:ascii="宋体" w:hAnsi="宋体" w:cs="宋体"/>
          <w:color w:val="auto"/>
          <w:szCs w:val="21"/>
          <w:highlight w:val="none"/>
          <w:lang w:eastAsia="zh-CN"/>
        </w:rPr>
        <w:t>2025年11月21日9时</w:t>
      </w:r>
      <w:r>
        <w:rPr>
          <w:rFonts w:hint="eastAsia" w:ascii="宋体" w:hAnsi="宋体" w:cs="宋体"/>
          <w:color w:val="auto"/>
          <w:szCs w:val="21"/>
          <w:highlight w:val="none"/>
        </w:rPr>
        <w:t>（北京时间）</w:t>
      </w:r>
    </w:p>
    <w:p>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地点：</w:t>
      </w:r>
      <w:r>
        <w:rPr>
          <w:rFonts w:hint="eastAsia" w:hAnsi="宋体" w:cs="宋体"/>
          <w:color w:val="auto"/>
          <w:szCs w:val="21"/>
          <w:highlight w:val="none"/>
        </w:rPr>
        <w:t>通过广西政府采购云平台实行在线解密开启</w:t>
      </w:r>
      <w:r>
        <w:rPr>
          <w:rFonts w:hint="eastAsia" w:ascii="宋体" w:hAnsi="宋体" w:cs="宋体"/>
          <w:color w:val="auto"/>
          <w:highlight w:val="none"/>
        </w:rPr>
        <w:t> </w:t>
      </w:r>
    </w:p>
    <w:p>
      <w:pPr>
        <w:adjustRightInd/>
        <w:spacing w:line="360" w:lineRule="exact"/>
        <w:rPr>
          <w:rFonts w:hint="eastAsia" w:ascii="宋体" w:hAnsi="宋体" w:cs="宋体"/>
          <w:b/>
          <w:bCs/>
          <w:color w:val="auto"/>
          <w:highlight w:val="none"/>
        </w:rPr>
      </w:pPr>
      <w:r>
        <w:rPr>
          <w:rFonts w:hint="eastAsia" w:ascii="宋体" w:hAnsi="宋体" w:cs="宋体"/>
          <w:b/>
          <w:bCs/>
          <w:color w:val="auto"/>
          <w:highlight w:val="none"/>
        </w:rPr>
        <w:t>六、公告期限</w:t>
      </w:r>
    </w:p>
    <w:p>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自本公告发布之日起3个工作日。</w:t>
      </w:r>
    </w:p>
    <w:p>
      <w:pPr>
        <w:adjustRightInd/>
        <w:spacing w:line="360" w:lineRule="exact"/>
        <w:rPr>
          <w:rFonts w:hint="eastAsia" w:ascii="宋体" w:hAnsi="宋体" w:cs="宋体"/>
          <w:color w:val="auto"/>
          <w:highlight w:val="none"/>
        </w:rPr>
      </w:pPr>
      <w:r>
        <w:rPr>
          <w:rFonts w:hint="eastAsia" w:ascii="宋体" w:hAnsi="宋体" w:cs="宋体"/>
          <w:b/>
          <w:bCs/>
          <w:color w:val="auto"/>
          <w:highlight w:val="none"/>
        </w:rPr>
        <w:t>七、其他补充事宜</w:t>
      </w:r>
      <w:r>
        <w:rPr>
          <w:rFonts w:hint="eastAsia" w:ascii="宋体" w:hAnsi="宋体" w:cs="宋体"/>
          <w:color w:val="auto"/>
          <w:highlight w:val="none"/>
        </w:rPr>
        <w:t> </w:t>
      </w:r>
    </w:p>
    <w:p>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1.本项目不收取磋商保证金。</w:t>
      </w:r>
    </w:p>
    <w:p>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2.本项目需要落实的政府采购政策：</w:t>
      </w:r>
    </w:p>
    <w:p>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（1）落实强制采购节能产品、鼓励节能政策：对国家公布的节能产品政府采购品目清单中属于强制采购的产品，予以强制采购。属于非强制采购的产品，在技术、服务等指标同等条件下，予以优先采购。</w:t>
      </w:r>
    </w:p>
    <w:p>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（2）鼓励环保政策：在性能、技术、服务等指标同等条件下，优先采购国家公布的属于环境标志产品政府采购品目清单中产品。</w:t>
      </w:r>
    </w:p>
    <w:p>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（3）在技术、服务等指标同等条件下，应当优先采购创新产品。创新产品是指由省级以上行业主管部门认定的具有明晰的自主知识产权和品牌，创新程度高，技术水平先进，已通过检测许可生产的产品。</w:t>
      </w:r>
    </w:p>
    <w:p>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3.网上公告媒体查询：中国政府采购网、广西政府采购网、北海市政府采购监管网、北海市人民政府网-北海市政府采购中心网站、全国公共资源交易平台（广西•北海）。</w:t>
      </w:r>
    </w:p>
    <w:p>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4.本项目通过广西政府采购云平台实行在线谈判响应，为确保网上操作合法、有效和安全，供应商应当在截止时间前完成在“广西政府采购云平台”的身份认证，确保在</w:t>
      </w:r>
      <w:r>
        <w:rPr>
          <w:rFonts w:hint="eastAsia" w:ascii="宋体" w:hAnsi="宋体" w:cs="宋体"/>
          <w:color w:val="auto"/>
          <w:szCs w:val="21"/>
          <w:highlight w:val="none"/>
          <w:lang w:eastAsia="zh-CN"/>
        </w:rPr>
        <w:t>评审</w:t>
      </w:r>
      <w:bookmarkStart w:id="106" w:name="_GoBack"/>
      <w:bookmarkEnd w:id="106"/>
      <w:r>
        <w:rPr>
          <w:rFonts w:hint="eastAsia" w:ascii="宋体" w:hAnsi="宋体" w:cs="宋体"/>
          <w:color w:val="auto"/>
          <w:szCs w:val="21"/>
          <w:highlight w:val="none"/>
        </w:rPr>
        <w:t>过程中能够对相关数据电文进行加密和使用电子签章。使用“广西政府采购云平台电子交易客户端”需要提前申领CA数字证书，申领流程请自行前往“北海市政府采购中心网站-相关下载-CA证书办理操作指南”进行查阅。</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各供应商通过广西政府采购云平台参与政府采购项目需下载使用新版客户端，新版客户端下载路径：广西政府采购网（http://zfcg.gxzf.gov.cn/）—办事服务—下载专区—广西政府采购云平台新版客户端。原在政采云平台注册的临时供应商需在新平台启用后重新注册登记。</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6.广西政府采购云平台与政采云平台操作流程一致，首次登录新平台账号密码与政采云账号密码一致，新旧平台数据相互独立，后续修改新平台密码不会影响政采云平台密码。</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.本项目为北海市推动解决政府采购异常低价试点项目。</w:t>
      </w:r>
    </w:p>
    <w:p>
      <w:pPr>
        <w:adjustRightInd/>
        <w:spacing w:line="360" w:lineRule="exact"/>
        <w:rPr>
          <w:rFonts w:hint="eastAsia" w:ascii="宋体" w:hAnsi="宋体" w:cs="宋体"/>
          <w:b/>
          <w:bCs/>
          <w:color w:val="auto"/>
          <w:highlight w:val="none"/>
        </w:rPr>
      </w:pPr>
      <w:r>
        <w:rPr>
          <w:rFonts w:hint="eastAsia" w:ascii="宋体" w:hAnsi="宋体" w:cs="宋体"/>
          <w:b/>
          <w:bCs/>
          <w:color w:val="auto"/>
          <w:highlight w:val="none"/>
        </w:rPr>
        <w:t>八、凡对本次磋商提出询问，请按以下方式联系</w:t>
      </w:r>
    </w:p>
    <w:p>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1.采购人信息</w:t>
      </w:r>
    </w:p>
    <w:p>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名 称：北海市旅游文体局　　　　　　　　　　　　</w:t>
      </w:r>
    </w:p>
    <w:p>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地址：北海市海城区贵州路35号　　　　　　　　　　　　</w:t>
      </w:r>
    </w:p>
    <w:p>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联系人：刘鹏</w:t>
      </w:r>
    </w:p>
    <w:p>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联系方式：17774793020　　　　　　　　　　　 </w:t>
      </w:r>
    </w:p>
    <w:p>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2.采购代理机构信息</w:t>
      </w:r>
    </w:p>
    <w:p>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名 称：北海市政府采购中心　　　　　　　　　　　　</w:t>
      </w:r>
    </w:p>
    <w:p>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地　址：北海市陈文村北路7号市直机关第三办公区　　　　　　　　　　　　　　　　　　　　　　　　</w:t>
      </w:r>
    </w:p>
    <w:p>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项目联系人：易思行</w:t>
      </w:r>
    </w:p>
    <w:p>
      <w:pPr>
        <w:spacing w:line="360" w:lineRule="exact"/>
        <w:ind w:firstLine="420" w:firstLineChars="200"/>
        <w:rPr>
          <w:rFonts w:hint="eastAsia" w:asciiTheme="minorEastAsia" w:hAnsiTheme="minorEastAsia" w:eastAsiaTheme="minorEastAsia"/>
          <w:color w:val="auto"/>
          <w:szCs w:val="21"/>
          <w:highlight w:val="none"/>
        </w:rPr>
      </w:pPr>
      <w:r>
        <w:rPr>
          <w:rFonts w:hint="eastAsia" w:ascii="宋体" w:hAnsi="宋体" w:cs="宋体"/>
          <w:color w:val="auto"/>
          <w:highlight w:val="none"/>
        </w:rPr>
        <w:t>电　话：0779-3960815</w:t>
      </w:r>
      <w:r>
        <w:rPr>
          <w:rFonts w:hint="eastAsia" w:asciiTheme="minorEastAsia" w:hAnsiTheme="minorEastAsia" w:eastAsiaTheme="minorEastAsia"/>
          <w:color w:val="auto"/>
          <w:szCs w:val="21"/>
          <w:highlight w:val="none"/>
        </w:rPr>
        <w:t xml:space="preserve"> </w:t>
      </w:r>
    </w:p>
    <w:p>
      <w:pPr>
        <w:pStyle w:val="631"/>
        <w:spacing w:line="360" w:lineRule="exact"/>
        <w:rPr>
          <w:rFonts w:hint="eastAsia"/>
          <w:color w:val="auto"/>
          <w:sz w:val="21"/>
          <w:szCs w:val="21"/>
          <w:highlight w:val="none"/>
        </w:rPr>
      </w:pPr>
    </w:p>
    <w:p>
      <w:pPr>
        <w:spacing w:line="360" w:lineRule="exact"/>
        <w:ind w:firstLine="420" w:firstLineChars="200"/>
        <w:rPr>
          <w:rFonts w:hint="eastAsia" w:ascii="宋体" w:hAnsi="宋体" w:cs="宋体"/>
          <w:color w:val="auto"/>
          <w:sz w:val="24"/>
          <w:highlight w:val="none"/>
        </w:rPr>
      </w:pPr>
      <w:r>
        <w:rPr>
          <w:rFonts w:hint="eastAsia" w:ascii="宋体" w:hAnsi="宋体" w:cs="宋体"/>
          <w:color w:val="auto"/>
          <w:szCs w:val="21"/>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pPr>
        <w:spacing w:line="360" w:lineRule="auto"/>
        <w:rPr>
          <w:rFonts w:hint="eastAsia" w:cs="仿宋_GB2312" w:asciiTheme="minorEastAsia" w:hAnsiTheme="minorEastAsia" w:eastAsiaTheme="minorEastAsia"/>
          <w:color w:val="auto"/>
          <w:sz w:val="24"/>
          <w:highlight w:val="none"/>
        </w:rPr>
      </w:pPr>
    </w:p>
    <w:p>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p>
    <w:p>
      <w:pPr>
        <w:adjustRightInd/>
        <w:spacing w:line="360" w:lineRule="auto"/>
        <w:jc w:val="center"/>
        <w:rPr>
          <w:rFonts w:hint="eastAsia"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hint="eastAsia" w:cs="仿宋_GB2312" w:asciiTheme="minorEastAsia" w:hAnsiTheme="minorEastAsia" w:eastAsiaTheme="minorEastAsia"/>
          <w:b/>
          <w:color w:val="auto"/>
          <w:sz w:val="32"/>
          <w:szCs w:val="20"/>
          <w:highlight w:val="none"/>
        </w:rPr>
      </w:pPr>
      <w:bookmarkStart w:id="9" w:name="_Toc181203095"/>
      <w:r>
        <w:rPr>
          <w:rFonts w:hint="eastAsia" w:cs="仿宋_GB2312" w:asciiTheme="minorEastAsia" w:hAnsiTheme="minorEastAsia" w:eastAsiaTheme="minorEastAsia"/>
          <w:b/>
          <w:color w:val="auto"/>
          <w:sz w:val="36"/>
          <w:szCs w:val="20"/>
          <w:highlight w:val="none"/>
        </w:rPr>
        <w:t>第二部分  竞争性磋商流程</w:t>
      </w:r>
      <w:bookmarkEnd w:id="9"/>
    </w:p>
    <w:p>
      <w:pPr>
        <w:pStyle w:val="392"/>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pPr>
        <w:pStyle w:val="392"/>
        <w:spacing w:before="0"/>
        <w:ind w:firstLine="480"/>
        <w:rPr>
          <w:rFonts w:hint="eastAsia"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pPr>
        <w:pStyle w:val="392"/>
        <w:spacing w:before="0"/>
        <w:ind w:firstLine="480"/>
        <w:rPr>
          <w:rFonts w:hint="eastAsia"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由采购人、采购代理机构从省级以上财政部门建立的供应商库中随机抽取不少于3家符合相应资格条件的供应商参与竞争性磋商采购活动。</w:t>
      </w:r>
    </w:p>
    <w:p>
      <w:pPr>
        <w:pStyle w:val="392"/>
        <w:spacing w:before="0"/>
        <w:ind w:firstLine="480"/>
        <w:rPr>
          <w:rFonts w:hint="eastAsia"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pPr>
        <w:pStyle w:val="392"/>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pPr>
        <w:pStyle w:val="392"/>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 xml:space="preserve">3.13.1根据《北海市财政局关于开展推动解决政府采购异常低价问题试点工作的通知》北财采〔2025〕25 号的规定，试点项目评审中出现下列情形之一的，评审委员会应当启动异常低价投标（响应）审查程序: </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 xml:space="preserve">（1）投标（响应）报价低于全部通过符合性审查供应商投标（响应）报价平均值 50%的，即投标（响应）报价&lt;全部通过符合性审查供应商投标（响应）报价平均值×50%； </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 xml:space="preserve">（2）投标（响应）报价低于通过符合性审查且报价次低供应商投标（响应）报价 50%的，即投标（响应）报价&lt;通过符合性审查且报价次低供应商投标（响应）报价×50%； </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 xml:space="preserve">（3）投标（响应）报价低于采购项目最高限价 45%的，即投标（响应）报价&lt;采购项目最高限价×45%； </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 xml:space="preserve">（4）其他评审委员会认为供应商报价过低，有可能影响产品质量或者不能诚信履约的情形。 </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 xml:space="preserve">3.13.2审查工作流程。评审委员会严格按照评审现场说明、综合评估研判和出具处理结果三个步骤开展审查流程。 </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出具处理结果。如果投标（响应）供应商不提供书面说明、证明材料，或者提供的书面说明、证明材料不能证明其报价合理性的，应当将其作为无效投标（响应）处理。审查相关情况应当在评审报告中记录。</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3.14磋商小组应当根据综合评分情况，按照评审得分由高到低顺序推荐3名以上成交候选供应商，并编写评审报告。</w:t>
      </w:r>
    </w:p>
    <w:p>
      <w:pPr>
        <w:pStyle w:val="392"/>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pPr>
        <w:pStyle w:val="392"/>
        <w:spacing w:before="0"/>
        <w:ind w:firstLine="0" w:firstLineChars="0"/>
        <w:rPr>
          <w:rFonts w:hint="eastAsia"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tabs>
          <w:tab w:val="left" w:pos="0"/>
        </w:tabs>
        <w:spacing w:line="360" w:lineRule="auto"/>
        <w:ind w:firstLine="48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pPr>
        <w:widowControl/>
        <w:adjustRightInd/>
        <w:jc w:val="left"/>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pPr>
        <w:pStyle w:val="392"/>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pPr>
        <w:pStyle w:val="392"/>
        <w:spacing w:before="0"/>
        <w:ind w:firstLine="0" w:firstLineChars="0"/>
        <w:rPr>
          <w:rFonts w:hint="eastAsia" w:asciiTheme="minorEastAsia" w:hAnsiTheme="minorEastAsia" w:eastAsiaTheme="minorEastAsia"/>
          <w:b/>
          <w:color w:val="auto"/>
          <w:highlight w:val="none"/>
        </w:rPr>
      </w:pPr>
    </w:p>
    <w:p>
      <w:pPr>
        <w:widowControl/>
        <w:adjustRightInd/>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pPr>
        <w:widowControl/>
        <w:adjustRightInd/>
        <w:jc w:val="left"/>
        <w:rPr>
          <w:rFonts w:hint="eastAsia"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hint="eastAsia"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1792;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hint="eastAsia"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8720;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5648;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hint="eastAsia"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6672;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2576;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0768;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79744;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3600;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4624;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7696;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hint="eastAsia" w:cs="仿宋_GB2312" w:asciiTheme="minorEastAsia" w:hAnsiTheme="minorEastAsia" w:eastAsiaTheme="minorEastAsia"/>
          <w:b/>
          <w:color w:val="auto"/>
          <w:sz w:val="36"/>
          <w:szCs w:val="20"/>
          <w:highlight w:val="none"/>
        </w:rPr>
      </w:pPr>
      <w:bookmarkStart w:id="10" w:name="_Toc181203096"/>
      <w:r>
        <w:rPr>
          <w:rFonts w:hint="eastAsia" w:cs="仿宋_GB2312" w:asciiTheme="minorEastAsia" w:hAnsiTheme="minorEastAsia" w:eastAsiaTheme="minorEastAsia"/>
          <w:b/>
          <w:color w:val="auto"/>
          <w:sz w:val="36"/>
          <w:szCs w:val="20"/>
          <w:highlight w:val="none"/>
        </w:rPr>
        <w:t>第三部分</w:t>
      </w:r>
      <w:bookmarkEnd w:id="6"/>
      <w:r>
        <w:rPr>
          <w:rFonts w:hint="eastAsia" w:cs="仿宋_GB2312" w:asciiTheme="minorEastAsia" w:hAnsiTheme="minorEastAsia" w:eastAsiaTheme="minorEastAsia"/>
          <w:b/>
          <w:color w:val="auto"/>
          <w:sz w:val="36"/>
          <w:szCs w:val="20"/>
          <w:highlight w:val="none"/>
        </w:rPr>
        <w:t xml:space="preserve">  供应商须知</w:t>
      </w:r>
      <w:bookmarkEnd w:id="7"/>
      <w:bookmarkEnd w:id="10"/>
    </w:p>
    <w:p>
      <w:pPr>
        <w:adjustRightInd/>
        <w:spacing w:line="360" w:lineRule="auto"/>
        <w:jc w:val="center"/>
        <w:outlineLvl w:val="1"/>
        <w:rPr>
          <w:rFonts w:hint="eastAsia"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hint="eastAsia"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（1）标的：</w:t>
            </w:r>
            <w:r>
              <w:rPr>
                <w:rFonts w:hint="eastAsia" w:cs="宋体" w:asciiTheme="minorEastAsia" w:hAnsiTheme="minorEastAsia" w:eastAsiaTheme="minorEastAsia"/>
                <w:color w:val="auto"/>
                <w:kern w:val="0"/>
                <w:sz w:val="24"/>
                <w:highlight w:val="none"/>
                <w:u w:val="single"/>
              </w:rPr>
              <w:t xml:space="preserve"> 2025“一带一路”国际帆船赛 </w:t>
            </w:r>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u w:val="single"/>
                <w:lang w:eastAsia="zh-CN"/>
              </w:rPr>
              <w:t>其他未列明行业</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cs="宋体" w:asciiTheme="minorEastAsia" w:hAnsiTheme="minorEastAsia" w:eastAsiaTheme="minorEastAsia"/>
                <w:color w:val="auto"/>
                <w:kern w:val="0"/>
                <w:sz w:val="24"/>
                <w:highlight w:val="none"/>
              </w:rPr>
              <w:t>本项目不允许采购进口产品。</w:t>
            </w:r>
          </w:p>
          <w:p>
            <w:pPr>
              <w:spacing w:line="360" w:lineRule="auto"/>
              <w:rPr>
                <w:rFonts w:hint="eastAsia"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 xml:space="preserve"> A</w:t>
            </w:r>
            <w:r>
              <w:rPr>
                <w:rFonts w:hint="eastAsia" w:cs="宋体" w:asciiTheme="minorEastAsia" w:hAnsiTheme="minorEastAsia" w:eastAsiaTheme="minorEastAsia"/>
                <w:color w:val="auto"/>
                <w:sz w:val="24"/>
                <w:highlight w:val="none"/>
              </w:rPr>
              <w:t>同意将非主体、非关键性的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工作分包。</w:t>
            </w:r>
            <w:sdt>
              <w:sdtPr>
                <w:rPr>
                  <w:rFonts w:hint="eastAsia" w:cs="宋体" w:asciiTheme="minorEastAsia" w:hAnsiTheme="minorEastAsia" w:eastAsiaTheme="minorEastAsia"/>
                  <w:color w:val="auto"/>
                  <w:kern w:val="0"/>
                  <w:sz w:val="24"/>
                  <w:highlight w:val="none"/>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Mincho" w:cs="MS Mincho"/>
                    <w:color w:val="auto"/>
                    <w:kern w:val="0"/>
                    <w:sz w:val="24"/>
                    <w:highlight w:val="none"/>
                  </w:rPr>
                  <w:t>þ</w:t>
                </w:r>
              </w:sdtContent>
            </w:sdt>
            <w:r>
              <w:rPr>
                <w:rFonts w:hint="eastAsia" w:cs="宋体" w:asciiTheme="minorEastAsia" w:hAnsiTheme="minorEastAsia" w:eastAsiaTheme="minorEastAsia"/>
                <w:color w:val="auto"/>
                <w:kern w:val="0"/>
                <w:sz w:val="24"/>
                <w:highlight w:val="none"/>
              </w:rPr>
              <w:t xml:space="preserve"> B</w:t>
            </w:r>
            <w:r>
              <w:rPr>
                <w:rFonts w:hint="eastAsia" w:cs="宋体" w:asciiTheme="minorEastAsia" w:hAnsiTheme="minorEastAsia" w:eastAsiaTheme="minorEastAsia"/>
                <w:color w:val="auto"/>
                <w:sz w:val="24"/>
                <w:highlight w:val="none"/>
              </w:rPr>
              <w:t>不同意分包。</w:t>
            </w:r>
          </w:p>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pPr>
              <w:spacing w:line="360" w:lineRule="auto"/>
              <w:rPr>
                <w:rFonts w:hint="eastAsia"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不要求提供。</w:t>
            </w:r>
          </w:p>
          <w:p>
            <w:pPr>
              <w:spacing w:line="360" w:lineRule="auto"/>
              <w:rPr>
                <w:rFonts w:hint="eastAsia"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B要求提供，</w:t>
            </w:r>
          </w:p>
          <w:p>
            <w:pPr>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snapToGrid w:val="0"/>
                <w:color w:val="auto"/>
                <w:kern w:val="28"/>
                <w:sz w:val="24"/>
                <w:highlight w:val="none"/>
              </w:rPr>
              <w:t>样品：</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pPr>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snapToGrid w:val="0"/>
                <w:color w:val="auto"/>
                <w:kern w:val="28"/>
                <w:sz w:val="24"/>
                <w:highlight w:val="none"/>
              </w:rPr>
              <w:t>样品制作的标准和要求：</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pPr>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（3）样品的评审方法以及评审标准</w:t>
            </w:r>
            <w:r>
              <w:rPr>
                <w:rFonts w:hint="eastAsia" w:cs="宋体" w:asciiTheme="minorEastAsia" w:hAnsiTheme="minorEastAsia" w:eastAsiaTheme="minorEastAsia"/>
                <w:snapToGrid w:val="0"/>
                <w:color w:val="auto"/>
                <w:kern w:val="28"/>
                <w:sz w:val="24"/>
                <w:highlight w:val="none"/>
              </w:rPr>
              <w:t>：详见</w:t>
            </w:r>
            <w:r>
              <w:rPr>
                <w:rFonts w:hint="eastAsia" w:cs="宋体" w:asciiTheme="minorEastAsia" w:hAnsiTheme="minorEastAsia" w:eastAsiaTheme="minorEastAsia"/>
                <w:color w:val="auto"/>
                <w:sz w:val="24"/>
                <w:highlight w:val="none"/>
                <w:u w:val="single"/>
              </w:rPr>
              <w:t>评审标准</w:t>
            </w:r>
            <w:r>
              <w:rPr>
                <w:rFonts w:hint="eastAsia" w:cs="宋体" w:asciiTheme="minorEastAsia" w:hAnsiTheme="minorEastAsia" w:eastAsiaTheme="minorEastAsia"/>
                <w:color w:val="auto"/>
                <w:kern w:val="0"/>
                <w:sz w:val="24"/>
                <w:highlight w:val="none"/>
              </w:rPr>
              <w:t>；</w:t>
            </w:r>
          </w:p>
          <w:p>
            <w:pPr>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（4）是否需要随样品提交检测报告：</w:t>
            </w:r>
            <w:sdt>
              <w:sdtPr>
                <w:rPr>
                  <w:rFonts w:hint="eastAsia" w:cs="宋体" w:asciiTheme="minorEastAsia" w:hAnsiTheme="minorEastAsia" w:eastAsia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否；</w:t>
            </w:r>
            <w:sdt>
              <w:sdtPr>
                <w:rPr>
                  <w:rFonts w:hint="eastAsia" w:cs="宋体" w:asciiTheme="minorEastAsia" w:hAnsiTheme="minorEastAsia" w:eastAsia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是，检测机构的要求</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；检测内容</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（5）提供样品的时间：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；联系人</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28"/>
                <w:sz w:val="24"/>
                <w:highlight w:val="none"/>
              </w:rPr>
              <w:t>联系电话：</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。请供应商在上述时间内提供样品并按规定位置安装完毕。超过截止时间的，采购人或采购代理机构将不予接收，并将清场并封闭样品现场。</w:t>
            </w:r>
          </w:p>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pPr>
              <w:spacing w:line="360" w:lineRule="auto"/>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pPr>
              <w:spacing w:line="360" w:lineRule="auto"/>
              <w:rPr>
                <w:rFonts w:hint="eastAsia"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p>
          <w:p>
            <w:pPr>
              <w:snapToGrid w:val="0"/>
              <w:spacing w:line="360" w:lineRule="auto"/>
              <w:rPr>
                <w:rFonts w:hint="eastAsia"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（1）在评审时安排每个供应商进行方案讲解演示。每个供应商时间不超过</w:t>
            </w:r>
            <w:r>
              <w:rPr>
                <w:rFonts w:hint="eastAsia" w:cs="宋体" w:asciiTheme="minorEastAsia" w:hAnsiTheme="minorEastAsia" w:eastAsiaTheme="minorEastAsia"/>
                <w:b/>
                <w:bCs/>
                <w:color w:val="auto"/>
                <w:kern w:val="0"/>
                <w:sz w:val="24"/>
                <w:highlight w:val="none"/>
                <w:u w:val="single"/>
              </w:rPr>
              <w:t>10</w:t>
            </w:r>
            <w:r>
              <w:rPr>
                <w:rFonts w:hint="eastAsia" w:ascii="宋体" w:hAnsi="宋体" w:cs="宋体"/>
                <w:b/>
                <w:bCs/>
                <w:color w:val="auto"/>
                <w:kern w:val="0"/>
                <w:sz w:val="24"/>
                <w:highlight w:val="none"/>
                <w:u w:val="single"/>
              </w:rPr>
              <w:t>（编制时可根据项目情况进行调整）</w:t>
            </w:r>
            <w:r>
              <w:rPr>
                <w:rFonts w:hint="eastAsia" w:cs="宋体" w:asciiTheme="minorEastAsia" w:hAnsiTheme="minorEastAsia" w:eastAsiaTheme="minorEastAsia"/>
                <w:b/>
                <w:bCs/>
                <w:color w:val="auto"/>
                <w:kern w:val="0"/>
                <w:sz w:val="24"/>
                <w:highlight w:val="none"/>
              </w:rPr>
              <w:t>分钟，讲解次序以响应文件解密时间先后次序为准，讲解演示人员不超过</w:t>
            </w:r>
            <w:r>
              <w:rPr>
                <w:rFonts w:hint="eastAsia" w:cs="宋体" w:asciiTheme="minorEastAsia" w:hAnsiTheme="minorEastAsia" w:eastAsiaTheme="minorEastAsia"/>
                <w:b/>
                <w:bCs/>
                <w:color w:val="auto"/>
                <w:kern w:val="0"/>
                <w:sz w:val="24"/>
                <w:highlight w:val="none"/>
                <w:u w:val="single"/>
              </w:rPr>
              <w:t>3</w:t>
            </w:r>
            <w:r>
              <w:rPr>
                <w:rFonts w:hint="eastAsia" w:ascii="宋体" w:hAnsi="宋体" w:cs="宋体"/>
                <w:b/>
                <w:bCs/>
                <w:color w:val="auto"/>
                <w:kern w:val="0"/>
                <w:sz w:val="24"/>
                <w:highlight w:val="none"/>
                <w:u w:val="single"/>
              </w:rPr>
              <w:t>（编制时可根据项目情况进行调整）</w:t>
            </w:r>
            <w:r>
              <w:rPr>
                <w:rFonts w:hint="eastAsia" w:cs="宋体" w:asciiTheme="minorEastAsia" w:hAnsiTheme="minorEastAsia" w:eastAsiaTheme="minorEastAsia"/>
                <w:b/>
                <w:bCs/>
                <w:color w:val="auto"/>
                <w:kern w:val="0"/>
                <w:sz w:val="24"/>
                <w:highlight w:val="none"/>
              </w:rPr>
              <w:t>人。讲解演示结束后按要求解答评标委员会提问。</w:t>
            </w:r>
          </w:p>
          <w:p>
            <w:pPr>
              <w:snapToGrid w:val="0"/>
              <w:spacing w:line="360" w:lineRule="auto"/>
              <w:rPr>
                <w:rFonts w:hint="eastAsia"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（2）方案讲解演示选择以下的其中一种方式进行：</w:t>
            </w:r>
          </w:p>
          <w:p>
            <w:pPr>
              <w:snapToGrid w:val="0"/>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b/>
                <w:bCs/>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pPr>
              <w:snapToGrid w:val="0"/>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方式二：现场讲解演示。现场讲解地点为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，讲解演示所用电脑等设备由供应商自备。现场讲解演示人员进场时提供讲解人员名单（加盖公章或授权代表签名）及身份证明，否则不得讲解演示。</w:t>
            </w:r>
          </w:p>
          <w:p>
            <w:pPr>
              <w:snapToGrid w:val="0"/>
              <w:spacing w:line="360" w:lineRule="auto"/>
              <w:rPr>
                <w:rFonts w:hint="eastAsia"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rPr>
              <w:t>注：因供应商自身原因导致无法演示或者演示效果不理想的，责任自负。因平台原因导致本项目方案讲解演示环节无法顺利开展，按照相关规定执行。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（1）资格证明文件：见磋商文件第三部分。</w:t>
            </w:r>
          </w:p>
          <w:p>
            <w:pPr>
              <w:spacing w:line="360" w:lineRule="auto"/>
              <w:rPr>
                <w:rFonts w:hint="eastAsia"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38" w:hRule="atLeast"/>
          <w:tblHeader/>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（2）资信证明文件：根据磋商文件采购需求和评审标准要求提供。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hint="eastAsia"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highlight w:val="none"/>
                <w:lang w:val="zh-CN"/>
              </w:rPr>
              <w:t>提醒：验收时检测费用由采购人承担，不包含在最后报价中。最后报价出现下列情形的，响应无效：</w:t>
            </w:r>
          </w:p>
          <w:p>
            <w:pPr>
              <w:snapToGrid w:val="0"/>
              <w:spacing w:line="360" w:lineRule="auto"/>
              <w:jc w:val="left"/>
              <w:rPr>
                <w:rFonts w:hint="eastAsia"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pPr>
              <w:snapToGrid w:val="0"/>
              <w:spacing w:line="360" w:lineRule="auto"/>
              <w:jc w:val="left"/>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最后报价属于采购文件规定异常低价情况之一，未能按要求提供书面说明或者提交相关证明材料证明其报价合理性的;</w:t>
            </w:r>
          </w:p>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98" w:hRule="atLeast"/>
          <w:tblHeader/>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hint="eastAsia"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pPr>
              <w:pStyle w:val="32"/>
              <w:spacing w:line="360" w:lineRule="auto"/>
              <w:rPr>
                <w:rFonts w:hint="eastAsia"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备份响应文件送达地点：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；备份响应文件签收人员联系电话：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采购人、采购代理机构不强制或变相强制磋商供应商提交备份响应文件。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联合体响应的，联合体各方分别提供与联合体协议中规定的分工内容相应的业绩证明材料，业绩数量以提供材料较少的一方为准。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bottom w:val="single" w:color="auto" w:sz="4" w:space="0"/>
              <w:right w:val="single" w:color="000000" w:sz="2"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hint="eastAsia"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联合体响应的，联合体各方均需按磋商文件第五部分评审标准要求提供资信证明文件，否则视为不符合相关要求。</w:t>
            </w:r>
          </w:p>
          <w:p>
            <w:pPr>
              <w:spacing w:line="360" w:lineRule="auto"/>
              <w:rPr>
                <w:rFonts w:hint="eastAsia"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联合体响应的，联合体中有一方或者联合体成员根据分工按磋商文件第五部分评审标准要求提供资信证明文件的，视为符合了相关要求。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本磋商文件解释权属采购人及代理机构。</w:t>
            </w:r>
          </w:p>
        </w:tc>
      </w:tr>
    </w:tbl>
    <w:p>
      <w:pPr>
        <w:snapToGrid w:val="0"/>
        <w:jc w:val="center"/>
        <w:rPr>
          <w:rFonts w:hint="eastAsia" w:cs="仿宋_GB2312" w:asciiTheme="minorEastAsia" w:hAnsiTheme="minorEastAsia" w:eastAsiaTheme="minorEastAsia"/>
          <w:b/>
          <w:color w:val="auto"/>
          <w:sz w:val="32"/>
          <w:szCs w:val="20"/>
          <w:highlight w:val="none"/>
        </w:rPr>
      </w:pPr>
    </w:p>
    <w:p>
      <w:pPr>
        <w:adjustRightInd/>
        <w:spacing w:line="360" w:lineRule="auto"/>
        <w:ind w:firstLine="3845" w:firstLineChars="1197"/>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pPr>
        <w:snapToGrid w:val="0"/>
        <w:spacing w:line="360" w:lineRule="auto"/>
        <w:jc w:val="left"/>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pPr>
        <w:snapToGrid w:val="0"/>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pPr>
        <w:adjustRightInd/>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“采购人”系指磋商邀请公告中载明的本项目的采购人。</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“采购代理机构”系指磋商邀请公告中载明的本项目的采购代理机构。</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“供应商”系指响应磋商、参加本次竞争的法人、其他组织或自然人。</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60" w:lineRule="auto"/>
        <w:ind w:firstLine="480" w:firstLineChars="200"/>
        <w:rPr>
          <w:rFonts w:hint="eastAsia" w:asciiTheme="minorEastAsia" w:hAnsiTheme="minorEastAsia" w:eastAsiaTheme="minorEastAsia"/>
          <w:color w:val="auto"/>
          <w:sz w:val="24"/>
          <w:highlight w:val="none"/>
        </w:rPr>
      </w:pP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pPr>
        <w:snapToGrid w:val="0"/>
        <w:spacing w:line="360" w:lineRule="auto"/>
        <w:ind w:firstLine="480" w:firstLineChars="200"/>
        <w:jc w:val="left"/>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“※”系指磋商过程中可能实质性变动的内容，</w:t>
      </w:r>
      <w:r>
        <w:rPr>
          <w:rFonts w:asciiTheme="minorEastAsia" w:hAnsiTheme="minorEastAsia" w:eastAsiaTheme="minorEastAsia"/>
          <w:color w:val="auto"/>
          <w:sz w:val="24"/>
          <w:highlight w:val="non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pPr>
        <w:adjustRightInd/>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pPr>
        <w:spacing w:line="360" w:lineRule="auto"/>
        <w:ind w:firstLine="480" w:firstLineChars="200"/>
        <w:rPr>
          <w:rFonts w:hint="eastAsia"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pPr>
        <w:pStyle w:val="392"/>
        <w:spacing w:before="0"/>
        <w:ind w:firstLine="480"/>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pPr>
        <w:pStyle w:val="392"/>
        <w:spacing w:before="0"/>
        <w:ind w:firstLine="480"/>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pPr>
        <w:tabs>
          <w:tab w:val="left" w:pos="378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pPr>
        <w:pStyle w:val="32"/>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pPr>
        <w:spacing w:line="360" w:lineRule="auto"/>
        <w:jc w:val="center"/>
        <w:rPr>
          <w:rFonts w:hint="eastAsia" w:cs="仿宋_GB2312" w:asciiTheme="minorEastAsia" w:hAnsiTheme="minorEastAsia" w:eastAsiaTheme="minorEastAsia"/>
          <w:b/>
          <w:color w:val="auto"/>
          <w:sz w:val="24"/>
          <w:highlight w:val="none"/>
        </w:rPr>
      </w:pP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pPr>
        <w:pStyle w:val="392"/>
        <w:spacing w:before="0"/>
        <w:ind w:firstLine="0" w:firstLineChars="0"/>
        <w:rPr>
          <w:rFonts w:hint="eastAsia"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pPr>
        <w:spacing w:line="360" w:lineRule="auto"/>
        <w:ind w:firstLine="480" w:firstLineChars="200"/>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纳入政府采购管理的修缮、装修类项目采购建材的，鼓励采购人将绿色建材性能、指标等作为实质性条件纳入采购文件和合同，具体性能指标要求参考相关绿色建材政府采购需求标准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鼓励采购人优先采购秸秆环保板材等资源综合利用产品。鼓励采购人优先采购绿色物流配送服务、提供新能源交通工具的租赁服务。</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鼓励供应商在参加政府采购过程中开展绿色设计、选择绿色材料、打造绿色制造工艺、开展绿色运输、做好废弃产品回收处理，实现产品全周期的绿色环保。鼓励采购人对其提高预付款比例、免收履约保证金。</w:t>
      </w:r>
    </w:p>
    <w:p>
      <w:pPr>
        <w:pStyle w:val="32"/>
        <w:spacing w:line="360" w:lineRule="auto"/>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pPr>
        <w:spacing w:line="360" w:lineRule="auto"/>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spacing w:line="360" w:lineRule="auto"/>
        <w:rPr>
          <w:rFonts w:hint="eastAsia"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1"/>
        <w:ind w:firstLine="0"/>
        <w:rPr>
          <w:rFonts w:hint="eastAsia"/>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pPr>
        <w:pStyle w:val="631"/>
        <w:rPr>
          <w:rFonts w:hint="eastAsia"/>
          <w:color w:val="auto"/>
          <w:highlight w:val="none"/>
        </w:rPr>
      </w:pPr>
      <w:r>
        <w:rPr>
          <w:rFonts w:hint="eastAsia" w:cs="宋体"/>
          <w:color w:val="auto"/>
          <w:highlight w:val="none"/>
        </w:rPr>
        <w:t>平等对待符合条件的破产重整企业，切实保障企业公平竞争，平等维护企业的合法利益。</w:t>
      </w:r>
    </w:p>
    <w:p>
      <w:pPr>
        <w:spacing w:line="360" w:lineRule="auto"/>
        <w:ind w:firstLine="480" w:firstLineChars="200"/>
        <w:rPr>
          <w:rFonts w:hint="eastAsia" w:asciiTheme="minorEastAsia" w:hAnsiTheme="minorEastAsia" w:eastAsiaTheme="minorEastAsia"/>
          <w:color w:val="auto"/>
          <w:sz w:val="24"/>
          <w:highlight w:val="none"/>
        </w:rPr>
      </w:pP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pPr>
        <w:pStyle w:val="32"/>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pPr>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询问联系部门：北海市政府采购中心采购一科，联系电话：0779-3960815，地址：北海市海城区陈文村北路7号市直机关第三办公区2号楼一层。</w:t>
      </w:r>
    </w:p>
    <w:p>
      <w:pPr>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 xml:space="preserve">质疑联系部门：北海市政府采购中心监督科，联系电话：0779-3960826，地址：北海市海城区陈文村北路7号市直机关第三办公区2号楼一层。 </w:t>
      </w:r>
    </w:p>
    <w:p>
      <w:pPr>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投诉联系部门：北海市财政局，联系电话：0779-3063975，地址：广西壮族自治区北海市海城区北部湾西路19号。</w:t>
      </w:r>
    </w:p>
    <w:p>
      <w:pPr>
        <w:spacing w:line="360" w:lineRule="auto"/>
        <w:ind w:firstLine="482" w:firstLineChars="200"/>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pPr>
        <w:autoSpaceDE w:val="0"/>
        <w:autoSpaceDN w:val="0"/>
        <w:spacing w:line="360" w:lineRule="auto"/>
        <w:ind w:firstLine="480" w:firstLineChars="200"/>
        <w:jc w:val="left"/>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pPr>
        <w:pStyle w:val="32"/>
        <w:spacing w:line="360" w:lineRule="auto"/>
        <w:ind w:firstLine="482" w:firstLineChars="200"/>
        <w:rPr>
          <w:rFonts w:hint="eastAsia"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6"/>
        <w:spacing w:line="360" w:lineRule="auto"/>
        <w:ind w:firstLine="434" w:firstLineChars="181"/>
        <w:rPr>
          <w:rFonts w:hint="eastAsia"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pPr>
        <w:pStyle w:val="32"/>
        <w:spacing w:line="360" w:lineRule="auto"/>
        <w:ind w:firstLine="482"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3.2.1根据采购人与采购代理机构签订采购委托协议的规定，质疑答复责任主体如下：</w:t>
      </w:r>
    </w:p>
    <w:p>
      <w:pPr>
        <w:widowControl/>
        <w:adjustRightInd/>
        <w:jc w:val="center"/>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hint="eastAsia" w:asciiTheme="minorEastAsia" w:hAnsiTheme="minorEastAsia" w:eastAsiaTheme="minorEastAsia"/>
                <w:color w:val="auto"/>
                <w:sz w:val="24"/>
                <w:highlight w:val="none"/>
              </w:rPr>
            </w:pPr>
          </w:p>
        </w:tc>
        <w:tc>
          <w:tcPr>
            <w:tcW w:w="4536" w:type="dxa"/>
            <w:vAlign w:val="center"/>
          </w:tcPr>
          <w:p>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hint="eastAsia" w:asciiTheme="minorEastAsia" w:hAnsiTheme="minorEastAsia" w:eastAsiaTheme="minorEastAsia"/>
                <w:color w:val="auto"/>
                <w:sz w:val="24"/>
                <w:highlight w:val="none"/>
              </w:rPr>
            </w:pPr>
          </w:p>
        </w:tc>
        <w:tc>
          <w:tcPr>
            <w:tcW w:w="4536" w:type="dxa"/>
            <w:vAlign w:val="center"/>
          </w:tcPr>
          <w:p>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pPr>
        <w:pStyle w:val="32"/>
        <w:spacing w:line="360" w:lineRule="auto"/>
        <w:ind w:firstLine="482" w:firstLineChars="200"/>
        <w:rPr>
          <w:rFonts w:hint="eastAsia"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3.3.1.7供应商提交的质疑函需一式三份。供应商为自然人的，应当由本人签字；供应商为法人或者其他组织的，应当由法定代表人、主要负责人，或者其授权代表签字或者盖章，并加盖公章。</w:t>
      </w:r>
    </w:p>
    <w:p>
      <w:pPr>
        <w:pStyle w:val="32"/>
        <w:spacing w:line="360" w:lineRule="auto"/>
        <w:ind w:firstLine="482" w:firstLineChars="200"/>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pPr>
        <w:pStyle w:val="32"/>
        <w:spacing w:line="360" w:lineRule="auto"/>
        <w:ind w:firstLine="482" w:firstLineChars="200"/>
        <w:rPr>
          <w:rFonts w:hint="eastAsia" w:asciiTheme="minorEastAsia" w:hAnsiTheme="minorEastAsia" w:eastAsiaTheme="minorEastAsia"/>
          <w:b/>
          <w:color w:val="auto"/>
          <w:sz w:val="24"/>
          <w:highlight w:val="none"/>
        </w:rPr>
      </w:pPr>
    </w:p>
    <w:p>
      <w:pPr>
        <w:adjustRightInd/>
        <w:spacing w:line="360" w:lineRule="auto"/>
        <w:jc w:val="center"/>
        <w:rPr>
          <w:rFonts w:hint="eastAsia" w:cs="仿宋_GB2312" w:asciiTheme="minorEastAsia" w:hAnsiTheme="minorEastAsia" w:eastAsiaTheme="minorEastAsia"/>
          <w:b/>
          <w:color w:val="auto"/>
          <w:sz w:val="32"/>
          <w:szCs w:val="20"/>
          <w:highlight w:val="none"/>
        </w:rPr>
      </w:pP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pPr>
        <w:autoSpaceDE w:val="0"/>
        <w:autoSpaceDN w:val="0"/>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pPr>
        <w:pStyle w:val="32"/>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pPr>
        <w:pStyle w:val="32"/>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pPr>
        <w:pStyle w:val="32"/>
        <w:spacing w:line="360" w:lineRule="auto"/>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pPr>
        <w:pStyle w:val="392"/>
        <w:snapToGrid w:val="0"/>
        <w:spacing w:before="0"/>
        <w:ind w:firstLine="480"/>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2.1已获取磋商文件的潜在供应商，若有问题需要澄清，应于提交首次响应文件截止时间前，以书面形式向采购代理机构提出。</w:t>
      </w:r>
    </w:p>
    <w:p>
      <w:pPr>
        <w:pStyle w:val="392"/>
        <w:snapToGrid w:val="0"/>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pPr>
        <w:pStyle w:val="392"/>
        <w:snapToGrid w:val="0"/>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通知所有获取磋商文件的供应商；不足5日的，采购人、采购代理机构应当顺延提交首次响应文件截止时间。</w:t>
      </w:r>
    </w:p>
    <w:p>
      <w:pPr>
        <w:pStyle w:val="392"/>
        <w:snapToGrid w:val="0"/>
        <w:spacing w:before="0"/>
        <w:ind w:firstLine="482"/>
        <w:rPr>
          <w:rFonts w:hint="eastAsia"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pPr>
        <w:pStyle w:val="23"/>
        <w:rPr>
          <w:rFonts w:hint="eastAsia"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pPr>
        <w:pStyle w:val="32"/>
        <w:spacing w:line="360" w:lineRule="auto"/>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pPr>
        <w:pStyle w:val="32"/>
        <w:spacing w:line="360" w:lineRule="auto"/>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▲（1）响应函</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A、</w:t>
      </w:r>
      <w:r>
        <w:rPr>
          <w:rFonts w:hint="eastAsia" w:cs="宋体" w:asciiTheme="minorEastAsia" w:hAnsiTheme="minorEastAsia" w:eastAsiaTheme="minorEastAsia"/>
          <w:color w:val="auto"/>
          <w:sz w:val="24"/>
          <w:highlight w:val="none"/>
        </w:rPr>
        <w:t>符合参加政府采购活动应当具备的一般条件的承诺函（</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pPr>
        <w:pStyle w:val="32"/>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（如果有)；</w:t>
      </w:r>
    </w:p>
    <w:p>
      <w:pPr>
        <w:pStyle w:val="32"/>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D、符合特定资格条件的有关证明材料（如果有）。</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pPr>
        <w:pStyle w:val="32"/>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snapToGrid w:val="0"/>
          <w:color w:val="auto"/>
          <w:kern w:val="28"/>
          <w:sz w:val="24"/>
          <w:highlight w:val="none"/>
        </w:rPr>
        <w:t>（如果有)</w:t>
      </w:r>
      <w:r>
        <w:rPr>
          <w:rFonts w:hint="eastAsia" w:cs="仿宋_GB2312" w:asciiTheme="minorEastAsia" w:hAnsiTheme="minorEastAsia" w:eastAsiaTheme="minorEastAsia"/>
          <w:color w:val="auto"/>
          <w:kern w:val="0"/>
          <w:sz w:val="24"/>
          <w:highlight w:val="none"/>
          <w:lang w:val="zh-CN"/>
        </w:rPr>
        <w:t>；</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（5）所有资信文件</w:t>
      </w:r>
      <w:r>
        <w:rPr>
          <w:rFonts w:hint="eastAsia" w:cs="宋体" w:asciiTheme="minorEastAsia" w:hAnsiTheme="minorEastAsia" w:eastAsiaTheme="minorEastAsia"/>
          <w:color w:val="auto"/>
          <w:kern w:val="0"/>
          <w:sz w:val="24"/>
          <w:highlight w:val="none"/>
        </w:rPr>
        <w:t>（如果有）；</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（6）</w:t>
      </w:r>
      <w:r>
        <w:rPr>
          <w:rFonts w:hint="eastAsia" w:asciiTheme="minorEastAsia" w:hAnsiTheme="minorEastAsia" w:eastAsiaTheme="minorEastAsia"/>
          <w:color w:val="auto"/>
          <w:sz w:val="24"/>
          <w:highlight w:val="none"/>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（7）</w:t>
      </w:r>
      <w:r>
        <w:rPr>
          <w:rFonts w:hint="eastAsia" w:asciiTheme="minorEastAsia" w:hAnsiTheme="minorEastAsia" w:eastAsiaTheme="minorEastAsia"/>
          <w:color w:val="auto"/>
          <w:kern w:val="0"/>
          <w:sz w:val="24"/>
          <w:highlight w:val="none"/>
          <w:lang w:val="zh-CN"/>
        </w:rPr>
        <w:t>关于对磋商文件中有关条款的拒绝声明 (如果有)</w:t>
      </w:r>
      <w:r>
        <w:rPr>
          <w:rFonts w:hint="eastAsia" w:asciiTheme="minorEastAsia" w:hAnsiTheme="minorEastAsia" w:eastAsiaTheme="minorEastAsia"/>
          <w:color w:val="auto"/>
          <w:sz w:val="24"/>
          <w:highlight w:val="none"/>
          <w:lang w:val="zh-CN"/>
        </w:rPr>
        <w:t xml:space="preserve"> ；</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（8）</w:t>
      </w:r>
      <w:r>
        <w:rPr>
          <w:rFonts w:hint="eastAsia" w:asciiTheme="minorEastAsia" w:hAnsiTheme="minorEastAsia" w:eastAsiaTheme="minorEastAsia"/>
          <w:color w:val="auto"/>
          <w:kern w:val="0"/>
          <w:sz w:val="24"/>
          <w:highlight w:val="none"/>
          <w:lang w:val="zh-CN"/>
        </w:rPr>
        <w:t>认为需要的其他商务文件或说明 (如果有) ；</w:t>
      </w:r>
    </w:p>
    <w:p>
      <w:pPr>
        <w:pStyle w:val="32"/>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kern w:val="0"/>
          <w:sz w:val="24"/>
          <w:highlight w:val="none"/>
          <w:lang w:val="zh-CN"/>
        </w:rPr>
        <w:t>（9）</w:t>
      </w:r>
      <w:r>
        <w:rPr>
          <w:rFonts w:hint="eastAsia" w:asciiTheme="minorEastAsia" w:hAnsiTheme="minorEastAsia" w:eastAsiaTheme="minorEastAsia"/>
          <w:color w:val="auto"/>
          <w:sz w:val="24"/>
          <w:highlight w:val="none"/>
          <w:lang w:val="zh-CN"/>
        </w:rPr>
        <w:t>技术设计方案。针对本项目的技术设计方案；准确响应招标文件要求，满足合理、先进、可持续的基本要求，完成所有服务需求描述，技术设计方案详细完整、设计完善、目标明确，符合本项目对当前和未来发展的要求</w:t>
      </w:r>
      <w:r>
        <w:rPr>
          <w:rFonts w:hint="eastAsia" w:asciiTheme="minorEastAsia" w:hAnsiTheme="minorEastAsia" w:eastAsiaTheme="minorEastAsia"/>
          <w:color w:val="auto"/>
          <w:kern w:val="0"/>
          <w:sz w:val="24"/>
          <w:highlight w:val="none"/>
          <w:lang w:val="zh-CN"/>
        </w:rPr>
        <w:t>(如果有)</w:t>
      </w:r>
      <w:r>
        <w:rPr>
          <w:rFonts w:hint="eastAsia" w:asciiTheme="minorEastAsia" w:hAnsiTheme="minorEastAsia" w:eastAsiaTheme="minorEastAsia"/>
          <w:color w:val="auto"/>
          <w:sz w:val="24"/>
          <w:highlight w:val="none"/>
          <w:lang w:val="zh-CN"/>
        </w:rPr>
        <w:t>；</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kern w:val="0"/>
          <w:sz w:val="24"/>
          <w:highlight w:val="none"/>
          <w:lang w:val="zh-CN"/>
        </w:rPr>
        <w:t>（10）项目实施方案。本项目详细实施方案，包括(但不限于)以下内容：组织机构、工作时间进度表、工作程序和步骤、管理和协调方法、关键步骤的思路和要点；</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如果有)；</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highlight w:val="none"/>
          <w:lang w:val="zh-CN"/>
        </w:rPr>
        <w:t>资质情况等</w:t>
      </w:r>
      <w:r>
        <w:rPr>
          <w:rFonts w:hint="eastAsia" w:asciiTheme="minorEastAsia" w:hAnsiTheme="minorEastAsia" w:eastAsiaTheme="minorEastAsia"/>
          <w:color w:val="auto"/>
          <w:kern w:val="0"/>
          <w:sz w:val="24"/>
          <w:highlight w:val="none"/>
          <w:lang w:val="zh-CN"/>
        </w:rPr>
        <w:t>；</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（13）优惠条件及特殊承诺；</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（14）</w:t>
      </w:r>
      <w:r>
        <w:rPr>
          <w:rFonts w:hint="eastAsia" w:cs="仿宋_GB2312" w:asciiTheme="minorEastAsia" w:hAnsiTheme="minorEastAsia" w:eastAsiaTheme="minorEastAsia"/>
          <w:color w:val="auto"/>
          <w:kern w:val="0"/>
          <w:sz w:val="24"/>
          <w:highlight w:val="none"/>
          <w:lang w:val="zh-CN"/>
        </w:rPr>
        <w:t>培训计划（如果有）；</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rPr>
        <w:t>（15）随机特殊工具和</w:t>
      </w:r>
      <w:r>
        <w:rPr>
          <w:rFonts w:hint="eastAsia" w:asciiTheme="minorEastAsia" w:hAnsiTheme="minorEastAsia" w:eastAsiaTheme="minorEastAsia"/>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pPr>
        <w:pStyle w:val="32"/>
        <w:spacing w:line="360" w:lineRule="auto"/>
        <w:ind w:firstLine="480" w:firstLineChars="200"/>
        <w:rPr>
          <w:rFonts w:hint="eastAsia"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pPr>
        <w:pStyle w:val="32"/>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hint="eastAsia" w:cs="仿宋_GB2312" w:asciiTheme="minorEastAsia" w:hAnsiTheme="minorEastAsia" w:eastAsiaTheme="minorEastAsia"/>
          <w:color w:val="auto"/>
          <w:kern w:val="0"/>
          <w:sz w:val="24"/>
          <w:highlight w:val="none"/>
          <w:lang w:val="zh-CN"/>
        </w:rPr>
        <w:t>政府采购供应商廉洁自律承诺书；</w:t>
      </w:r>
    </w:p>
    <w:p>
      <w:pPr>
        <w:pStyle w:val="32"/>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8）</w:t>
      </w:r>
      <w:r>
        <w:rPr>
          <w:rFonts w:hint="eastAsia" w:cs="仿宋_GB2312" w:asciiTheme="minorEastAsia" w:hAnsiTheme="minorEastAsia" w:eastAsiaTheme="minorEastAsia"/>
          <w:color w:val="auto"/>
          <w:kern w:val="0"/>
          <w:sz w:val="24"/>
          <w:highlight w:val="none"/>
          <w:lang w:val="zh-CN"/>
        </w:rPr>
        <w:t>承诺函。</w:t>
      </w:r>
    </w:p>
    <w:p>
      <w:pPr>
        <w:pStyle w:val="32"/>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▲（19）商务、服务（技术）响应、偏离情况说明表；</w:t>
      </w:r>
    </w:p>
    <w:p>
      <w:pPr>
        <w:pStyle w:val="32"/>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▲（20）初始报价表。</w:t>
      </w:r>
    </w:p>
    <w:p>
      <w:pPr>
        <w:pStyle w:val="32"/>
        <w:spacing w:line="360" w:lineRule="auto"/>
        <w:ind w:firstLine="482"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pPr>
        <w:spacing w:line="360" w:lineRule="auto"/>
        <w:ind w:firstLine="480" w:firstLineChars="200"/>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pPr>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pPr>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pPr>
        <w:pStyle w:val="392"/>
        <w:snapToGrid w:val="0"/>
        <w:spacing w:before="0"/>
        <w:ind w:firstLine="480"/>
        <w:rPr>
          <w:rFonts w:hint="eastAsia"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pPr>
        <w:pStyle w:val="392"/>
        <w:snapToGrid w:val="0"/>
        <w:spacing w:before="0"/>
        <w:ind w:firstLine="480"/>
        <w:rPr>
          <w:rFonts w:hint="eastAsia"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pPr>
        <w:pStyle w:val="392"/>
        <w:snapToGrid w:val="0"/>
        <w:spacing w:before="0"/>
        <w:ind w:firstLine="480"/>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w:t>
      </w:r>
      <w:r>
        <w:rPr>
          <w:rFonts w:hint="eastAsia" w:ascii="宋体" w:hAnsi="宋体" w:cs="宋体"/>
          <w:color w:val="auto"/>
          <w:highlight w:val="none"/>
        </w:rPr>
        <w:t>署、盖章的要求适用于电子签名、CA签章以及</w:t>
      </w:r>
      <w:r>
        <w:rPr>
          <w:rFonts w:hint="eastAsia" w:cs="宋体" w:asciiTheme="minorEastAsia" w:hAnsiTheme="minorEastAsia" w:eastAsiaTheme="minorEastAsia"/>
          <w:color w:val="auto"/>
          <w:highlight w:val="none"/>
        </w:rPr>
        <w:t>磋商</w:t>
      </w:r>
      <w:r>
        <w:rPr>
          <w:rFonts w:hint="eastAsia" w:ascii="宋体" w:hAnsi="宋体" w:cs="宋体"/>
          <w:color w:val="auto"/>
          <w:highlight w:val="none"/>
        </w:rPr>
        <w:t>文件明确允许的其他方式。</w:t>
      </w:r>
    </w:p>
    <w:p>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pPr>
        <w:pStyle w:val="392"/>
        <w:spacing w:before="0"/>
        <w:ind w:firstLine="0" w:firstLineChars="0"/>
        <w:rPr>
          <w:rFonts w:hint="eastAsia" w:cs="仿宋_GB2312" w:asciiTheme="minorEastAsia" w:hAnsiTheme="minorEastAsia" w:eastAsiaTheme="minorEastAsia"/>
          <w:b/>
          <w:color w:val="auto"/>
          <w:szCs w:val="24"/>
          <w:highlight w:val="none"/>
        </w:rPr>
      </w:pPr>
    </w:p>
    <w:p>
      <w:pPr>
        <w:pStyle w:val="392"/>
        <w:spacing w:before="0"/>
        <w:ind w:firstLine="0" w:firstLineChars="0"/>
        <w:rPr>
          <w:rFonts w:hint="eastAsia"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pPr>
        <w:pStyle w:val="392"/>
        <w:ind w:firstLine="480"/>
        <w:rPr>
          <w:rFonts w:hint="eastAsia"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pPr>
        <w:pStyle w:val="32"/>
        <w:spacing w:line="360" w:lineRule="auto"/>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2.备份响应文件</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highlight w:val="none"/>
        </w:rPr>
        <w:t>但采购人、采购代理机构不强制或变相强制供应商提交备份响应文件。</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备份响应文件须在“广西政府采购云平台投标客户端”制作生成，并储存在不可修改的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磋商文件第三部分供应商须知前附表规定的备份响应文件送达地点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pPr>
        <w:pStyle w:val="32"/>
        <w:spacing w:line="360" w:lineRule="auto"/>
        <w:ind w:firstLine="482" w:firstLineChars="200"/>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pPr>
        <w:spacing w:line="360" w:lineRule="auto"/>
        <w:rPr>
          <w:rFonts w:hint="eastAsia" w:ascii="宋体" w:hAnsi="宋体" w:cs="宋体"/>
          <w:b/>
          <w:snapToGrid w:val="0"/>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磋商保证金</w:t>
      </w:r>
    </w:p>
    <w:p>
      <w:pPr>
        <w:widowControl/>
        <w:snapToGrid w:val="0"/>
        <w:spacing w:line="360" w:lineRule="auto"/>
        <w:ind w:firstLine="470" w:firstLineChars="196"/>
        <w:rPr>
          <w:rFonts w:hint="eastAsia" w:ascii="宋体" w:hAnsi="宋体" w:cs="宋体"/>
          <w:strike/>
          <w:snapToGrid w:val="0"/>
          <w:color w:val="auto"/>
          <w:kern w:val="28"/>
          <w:sz w:val="24"/>
          <w:szCs w:val="20"/>
          <w:highlight w:val="none"/>
        </w:rPr>
      </w:pPr>
      <w:r>
        <w:rPr>
          <w:rFonts w:hint="eastAsia" w:ascii="宋体" w:hAnsi="宋体" w:cs="宋体"/>
          <w:strike w:val="0"/>
          <w:snapToGrid w:val="0"/>
          <w:color w:val="auto"/>
          <w:kern w:val="28"/>
          <w:sz w:val="24"/>
          <w:szCs w:val="20"/>
          <w:highlight w:val="none"/>
          <w:lang w:eastAsia="zh-CN"/>
        </w:rPr>
        <w:t>项目免收磋商保证金。</w:t>
      </w:r>
    </w:p>
    <w:p>
      <w:pPr>
        <w:pStyle w:val="32"/>
        <w:spacing w:line="360" w:lineRule="auto"/>
        <w:ind w:firstLine="360" w:firstLineChars="150"/>
        <w:rPr>
          <w:rFonts w:hint="eastAsia" w:cs="仿宋_GB2312" w:asciiTheme="minorEastAsia" w:hAnsiTheme="minorEastAsia" w:eastAsiaTheme="minorEastAsia"/>
          <w:color w:val="auto"/>
          <w:sz w:val="24"/>
          <w:szCs w:val="24"/>
          <w:highlight w:val="none"/>
        </w:rPr>
      </w:pPr>
    </w:p>
    <w:p>
      <w:pPr>
        <w:adjustRightInd/>
        <w:spacing w:line="360" w:lineRule="auto"/>
        <w:jc w:val="center"/>
        <w:rPr>
          <w:rFonts w:hint="eastAsia" w:cs="仿宋_GB2312" w:asciiTheme="minorEastAsia" w:hAnsiTheme="minorEastAsia" w:eastAsiaTheme="minorEastAsia"/>
          <w:b/>
          <w:color w:val="auto"/>
          <w:sz w:val="32"/>
          <w:szCs w:val="20"/>
          <w:highlight w:val="none"/>
        </w:rPr>
      </w:pP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pPr>
        <w:pStyle w:val="32"/>
        <w:spacing w:line="360" w:lineRule="auto"/>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pPr>
        <w:pStyle w:val="32"/>
        <w:spacing w:line="360" w:lineRule="auto"/>
        <w:ind w:firstLine="482" w:firstLineChars="200"/>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pPr>
        <w:pStyle w:val="392"/>
        <w:spacing w:before="0"/>
        <w:ind w:firstLine="0" w:firstLineChars="0"/>
        <w:rPr>
          <w:rFonts w:hint="eastAsia"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pPr>
        <w:pStyle w:val="392"/>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pPr>
        <w:pStyle w:val="392"/>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pPr>
        <w:pStyle w:val="392"/>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pPr>
        <w:pStyle w:val="392"/>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2"/>
        <w:spacing w:line="360" w:lineRule="auto"/>
        <w:rPr>
          <w:rFonts w:hint="eastAsia" w:cs="仿宋_GB2312" w:asciiTheme="minorEastAsia" w:hAnsiTheme="minorEastAsia" w:eastAsiaTheme="minorEastAsia"/>
          <w:b/>
          <w:color w:val="auto"/>
          <w:sz w:val="24"/>
          <w:szCs w:val="24"/>
          <w:highlight w:val="none"/>
        </w:rPr>
      </w:pPr>
    </w:p>
    <w:p>
      <w:pPr>
        <w:adjustRightInd/>
        <w:spacing w:line="360" w:lineRule="auto"/>
        <w:jc w:val="center"/>
        <w:outlineLvl w:val="1"/>
        <w:rPr>
          <w:rFonts w:hint="eastAsia"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pPr>
        <w:snapToGrid w:val="0"/>
        <w:spacing w:line="360" w:lineRule="auto"/>
        <w:rPr>
          <w:rFonts w:hint="eastAsia"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pPr>
        <w:pStyle w:val="32"/>
        <w:snapToGrid w:val="0"/>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sz w:val="24"/>
          <w:szCs w:val="24"/>
          <w:highlight w:val="none"/>
        </w:rPr>
        <w:t>1.1最后报价一览表；</w:t>
      </w:r>
    </w:p>
    <w:p>
      <w:pPr>
        <w:pStyle w:val="32"/>
        <w:snapToGrid w:val="0"/>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sz w:val="24"/>
          <w:szCs w:val="24"/>
          <w:highlight w:val="none"/>
        </w:rPr>
        <w:t>1.2中小企业声明函。</w:t>
      </w:r>
    </w:p>
    <w:p>
      <w:pPr>
        <w:adjustRightInd/>
        <w:spacing w:line="360" w:lineRule="auto"/>
        <w:jc w:val="center"/>
        <w:rPr>
          <w:rFonts w:hint="eastAsia" w:cs="仿宋_GB2312" w:asciiTheme="minorEastAsia" w:hAnsiTheme="minorEastAsia" w:eastAsiaTheme="minorEastAsia"/>
          <w:b/>
          <w:color w:val="auto"/>
          <w:sz w:val="32"/>
          <w:szCs w:val="20"/>
          <w:highlight w:val="none"/>
        </w:rPr>
      </w:pPr>
    </w:p>
    <w:p>
      <w:pPr>
        <w:adjustRightInd/>
        <w:spacing w:line="360" w:lineRule="auto"/>
        <w:jc w:val="center"/>
        <w:outlineLvl w:val="1"/>
        <w:rPr>
          <w:rFonts w:hint="eastAsia"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pPr>
        <w:pStyle w:val="392"/>
        <w:spacing w:before="0"/>
        <w:ind w:firstLine="0" w:firstLineChars="0"/>
        <w:rPr>
          <w:rFonts w:hint="eastAsia"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color w:val="auto"/>
          <w:highlight w:val="none"/>
        </w:rPr>
        <w:t>综合评分法。</w:t>
      </w:r>
    </w:p>
    <w:p>
      <w:pPr>
        <w:pStyle w:val="392"/>
        <w:spacing w:before="0"/>
        <w:ind w:firstLine="0" w:firstLineChars="0"/>
        <w:rPr>
          <w:rFonts w:hint="eastAsia"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color w:val="auto"/>
          <w:highlight w:val="none"/>
        </w:rPr>
        <w:t>低价优先法。</w:t>
      </w:r>
    </w:p>
    <w:p>
      <w:pPr>
        <w:pStyle w:val="392"/>
        <w:spacing w:before="0"/>
        <w:ind w:firstLine="0" w:firstLineChars="0"/>
        <w:rPr>
          <w:rFonts w:hint="eastAsia"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color w:val="auto"/>
          <w:highlight w:val="none"/>
        </w:rPr>
        <w:t>详见磋商文件第五部分“评审方法及评审标准”。</w:t>
      </w:r>
    </w:p>
    <w:p>
      <w:pPr>
        <w:adjustRightInd/>
        <w:spacing w:line="360" w:lineRule="auto"/>
        <w:jc w:val="center"/>
        <w:rPr>
          <w:rFonts w:hint="eastAsia" w:cs="仿宋_GB2312" w:asciiTheme="minorEastAsia" w:hAnsiTheme="minorEastAsia" w:eastAsiaTheme="minorEastAsia"/>
          <w:color w:val="auto"/>
          <w:sz w:val="24"/>
          <w:highlight w:val="none"/>
        </w:rPr>
      </w:pP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pPr>
        <w:pStyle w:val="32"/>
        <w:spacing w:line="360" w:lineRule="auto"/>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32"/>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pPr>
        <w:tabs>
          <w:tab w:val="left" w:pos="0"/>
        </w:tabs>
        <w:spacing w:line="360" w:lineRule="auto"/>
        <w:rPr>
          <w:rFonts w:hint="eastAsia"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pPr>
        <w:spacing w:line="360" w:lineRule="auto"/>
        <w:ind w:firstLine="480" w:firstLineChars="200"/>
        <w:rPr>
          <w:rFonts w:hint="eastAsia"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pPr>
        <w:spacing w:line="360" w:lineRule="auto"/>
        <w:ind w:firstLine="480" w:firstLineChars="200"/>
        <w:rPr>
          <w:rFonts w:hint="eastAsia"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11" w:name="_Hlk101184471"/>
      <w:r>
        <w:rPr>
          <w:rFonts w:hint="eastAsia" w:cs="宋体" w:asciiTheme="minorEastAsia" w:hAnsiTheme="minorEastAsia" w:eastAsiaTheme="minorEastAsia"/>
          <w:color w:val="auto"/>
          <w:sz w:val="24"/>
          <w:highlight w:val="none"/>
        </w:rPr>
        <w:t>评审专家抽取规则、</w:t>
      </w:r>
      <w:bookmarkEnd w:id="11"/>
      <w:r>
        <w:rPr>
          <w:rFonts w:hint="eastAsia" w:cs="宋体" w:asciiTheme="minorEastAsia" w:hAnsiTheme="minorEastAsia" w:eastAsiaTheme="minorEastAsia"/>
          <w:color w:val="auto"/>
          <w:sz w:val="24"/>
          <w:highlight w:val="none"/>
        </w:rPr>
        <w:t>未成交情况说明、成交公告期限以及评审专家名单、成交供应商和未成交供应商的评审总得分及排名。</w:t>
      </w:r>
    </w:p>
    <w:p>
      <w:pPr>
        <w:spacing w:line="360" w:lineRule="auto"/>
        <w:ind w:firstLine="480" w:firstLineChars="200"/>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pPr>
        <w:snapToGrid w:val="0"/>
        <w:spacing w:line="360" w:lineRule="auto"/>
        <w:jc w:val="center"/>
        <w:rPr>
          <w:rFonts w:hint="eastAsia" w:cs="仿宋_GB2312" w:asciiTheme="minorEastAsia" w:hAnsiTheme="minorEastAsia" w:eastAsiaTheme="minorEastAsia"/>
          <w:b/>
          <w:color w:val="auto"/>
          <w:sz w:val="36"/>
          <w:szCs w:val="36"/>
          <w:highlight w:val="none"/>
        </w:rPr>
      </w:pPr>
    </w:p>
    <w:p>
      <w:pPr>
        <w:snapToGrid w:val="0"/>
        <w:spacing w:line="360" w:lineRule="auto"/>
        <w:jc w:val="center"/>
        <w:outlineLvl w:val="1"/>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pPr>
        <w:tabs>
          <w:tab w:val="left" w:pos="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pPr>
        <w:tabs>
          <w:tab w:val="left" w:pos="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pPr>
        <w:widowControl/>
        <w:shd w:val="clear" w:color="auto" w:fill="FFFFFF"/>
        <w:spacing w:line="360" w:lineRule="auto"/>
        <w:ind w:firstLine="480"/>
        <w:jc w:val="left"/>
        <w:rPr>
          <w:rFonts w:hint="eastAsia"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392"/>
        <w:snapToGrid w:val="0"/>
        <w:spacing w:before="0"/>
        <w:ind w:firstLine="48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pPr>
        <w:pStyle w:val="392"/>
        <w:snapToGrid w:val="0"/>
        <w:spacing w:before="0" w:after="120"/>
        <w:ind w:firstLine="480"/>
        <w:rPr>
          <w:rFonts w:hint="eastAsia"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pPr>
        <w:pStyle w:val="392"/>
        <w:snapToGrid w:val="0"/>
        <w:spacing w:before="0"/>
        <w:ind w:firstLine="480"/>
        <w:rPr>
          <w:rFonts w:hint="eastAsia" w:ascii="宋体" w:hAnsi="宋体" w:cs="宋体"/>
          <w:color w:val="auto"/>
          <w:highlight w:val="none"/>
        </w:rPr>
      </w:pPr>
      <w:r>
        <w:rPr>
          <w:rFonts w:hint="eastAsia" w:ascii="宋体" w:hAnsi="宋体" w:cs="宋体"/>
          <w:color w:val="auto"/>
          <w:highlight w:val="none"/>
        </w:rPr>
        <w:t>2.7政采贷</w:t>
      </w:r>
    </w:p>
    <w:p>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人签订《政府采购合同》，并将金融机构监管账户设定为合同收款账户。其中，需北海市小微企业融资担保有限公司提供担保增信的，还需北海市小微企业融资担保有限公司进行保前独立评审。</w:t>
      </w:r>
    </w:p>
    <w:p>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（五）按期还款。供应商获得贷款后应自觉履行政府采购合同，合同履行完毕后，采购人根据合同约定时间和账户信息，严格按照财政资金管理的相关规定，及时将资金支付到采购合同收款账户。</w:t>
      </w:r>
    </w:p>
    <w:p>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pPr>
        <w:pStyle w:val="631"/>
        <w:rPr>
          <w:rFonts w:hint="eastAsia"/>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hint="eastAsia"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pPr>
        <w:snapToGrid w:val="0"/>
        <w:spacing w:line="360" w:lineRule="auto"/>
        <w:ind w:firstLine="482"/>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pPr>
        <w:snapToGrid w:val="0"/>
        <w:spacing w:line="360" w:lineRule="auto"/>
        <w:ind w:firstLine="482"/>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货物类1年</w:t>
            </w:r>
          </w:p>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服务类3年</w:t>
            </w:r>
          </w:p>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pPr>
              <w:snapToGrid w:val="0"/>
              <w:spacing w:line="360" w:lineRule="auto"/>
              <w:jc w:val="left"/>
              <w:rPr>
                <w:rFonts w:hint="eastAsia" w:ascii="宋体" w:hAnsi="宋体"/>
                <w:color w:val="auto"/>
                <w:kern w:val="0"/>
                <w:sz w:val="24"/>
                <w:szCs w:val="20"/>
                <w:highlight w:val="none"/>
              </w:rPr>
            </w:pPr>
          </w:p>
        </w:tc>
        <w:tc>
          <w:tcPr>
            <w:tcW w:w="993" w:type="dxa"/>
            <w:vAlign w:val="center"/>
          </w:tcPr>
          <w:p>
            <w:pPr>
              <w:snapToGrid w:val="0"/>
              <w:spacing w:line="360" w:lineRule="auto"/>
              <w:jc w:val="center"/>
              <w:rPr>
                <w:rFonts w:hint="eastAsia" w:ascii="宋体" w:hAnsi="宋体"/>
                <w:color w:val="auto"/>
                <w:kern w:val="0"/>
                <w:sz w:val="24"/>
                <w:szCs w:val="20"/>
                <w:highlight w:val="none"/>
              </w:rPr>
            </w:pPr>
          </w:p>
        </w:tc>
        <w:tc>
          <w:tcPr>
            <w:tcW w:w="850" w:type="dxa"/>
            <w:vAlign w:val="center"/>
          </w:tcPr>
          <w:p>
            <w:pPr>
              <w:snapToGrid w:val="0"/>
              <w:spacing w:line="360" w:lineRule="auto"/>
              <w:jc w:val="center"/>
              <w:rPr>
                <w:rFonts w:hint="eastAsia" w:ascii="宋体" w:hAnsi="宋体"/>
                <w:color w:val="auto"/>
                <w:kern w:val="0"/>
                <w:sz w:val="24"/>
                <w:szCs w:val="20"/>
                <w:highlight w:val="none"/>
              </w:rPr>
            </w:pP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pPr>
        <w:pStyle w:val="631"/>
        <w:rPr>
          <w:rFonts w:hint="eastAsia"/>
          <w:color w:val="auto"/>
          <w:highlight w:val="none"/>
        </w:rPr>
      </w:pPr>
      <w:r>
        <w:rPr>
          <w:rFonts w:hint="eastAsia"/>
          <w:color w:val="auto"/>
          <w:highlight w:val="none"/>
        </w:rPr>
        <w:t>注：表中联系电话、授信金额、授信期限、最低利率等信息可能动态更新，仅供参考，具体以办理时相关银行公布的为准。</w:t>
      </w:r>
    </w:p>
    <w:p>
      <w:pPr>
        <w:tabs>
          <w:tab w:val="left" w:pos="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w:t>
      </w:r>
    </w:p>
    <w:p>
      <w:pPr>
        <w:pStyle w:val="631"/>
        <w:rPr>
          <w:rFonts w:hint="eastAsia" w:eastAsia="宋体"/>
          <w:color w:val="auto"/>
          <w:highlight w:val="none"/>
          <w:lang w:eastAsia="zh-CN"/>
        </w:rPr>
      </w:pPr>
      <w:r>
        <w:rPr>
          <w:rFonts w:hint="eastAsia" w:cs="宋体"/>
          <w:color w:val="auto"/>
          <w:kern w:val="0"/>
          <w:sz w:val="24"/>
          <w:highlight w:val="none"/>
          <w:lang w:eastAsia="zh-CN"/>
        </w:rPr>
        <w:t>本项目不收取履约保证金。成交供应商未按合同约定履行合同义务，给采购人造成损失的，按实际损失进行赔偿。</w:t>
      </w:r>
    </w:p>
    <w:p>
      <w:pPr>
        <w:pStyle w:val="631"/>
        <w:ind w:firstLine="0"/>
        <w:rPr>
          <w:rFonts w:hint="eastAsia"/>
          <w:color w:val="auto"/>
          <w:highlight w:val="none"/>
        </w:rPr>
      </w:pPr>
      <w:r>
        <w:rPr>
          <w:b/>
          <w:bCs/>
          <w:color w:val="auto"/>
          <w:highlight w:val="none"/>
        </w:rPr>
        <w:t>4.</w:t>
      </w:r>
      <w:r>
        <w:rPr>
          <w:rFonts w:hint="eastAsia"/>
          <w:b/>
          <w:bCs/>
          <w:color w:val="auto"/>
          <w:highlight w:val="none"/>
        </w:rPr>
        <w:t>预付款</w:t>
      </w:r>
    </w:p>
    <w:p>
      <w:pPr>
        <w:adjustRightIn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采购人应当在政府采购合同中约定预付款，对中小企业合同预付款比例原则上不低于合同金额的3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采购人</w:t>
      </w:r>
      <w:r>
        <w:rPr>
          <w:rFonts w:ascii="宋体" w:hAnsi="宋体"/>
          <w:color w:val="auto"/>
          <w:sz w:val="24"/>
          <w:highlight w:val="none"/>
        </w:rPr>
        <w:t>可不适用前述规定。</w:t>
      </w:r>
      <w:r>
        <w:rPr>
          <w:rFonts w:hint="eastAsia" w:ascii="宋体" w:hAnsi="宋体"/>
          <w:color w:val="auto"/>
          <w:sz w:val="24"/>
          <w:highlight w:val="none"/>
        </w:rPr>
        <w:t>采购人</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pPr>
        <w:tabs>
          <w:tab w:val="left" w:pos="0"/>
        </w:tabs>
        <w:spacing w:line="360" w:lineRule="auto"/>
        <w:ind w:firstLine="480" w:firstLineChars="200"/>
        <w:rPr>
          <w:rFonts w:hint="eastAsia" w:cs="宋体" w:asciiTheme="minorEastAsia" w:hAnsiTheme="minorEastAsia" w:eastAsiaTheme="minorEastAsia"/>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pPr>
        <w:snapToGrid w:val="0"/>
        <w:spacing w:line="360" w:lineRule="auto"/>
        <w:jc w:val="center"/>
        <w:rPr>
          <w:rFonts w:hint="eastAsia" w:cs="仿宋_GB2312" w:asciiTheme="minorEastAsia" w:hAnsiTheme="minorEastAsia" w:eastAsiaTheme="minorEastAsia"/>
          <w:b/>
          <w:color w:val="auto"/>
          <w:sz w:val="36"/>
          <w:szCs w:val="36"/>
          <w:highlight w:val="none"/>
        </w:rPr>
      </w:pPr>
    </w:p>
    <w:p>
      <w:pPr>
        <w:snapToGrid w:val="0"/>
        <w:spacing w:line="360" w:lineRule="auto"/>
        <w:jc w:val="center"/>
        <w:outlineLvl w:val="1"/>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pPr>
        <w:pStyle w:val="24"/>
        <w:spacing w:line="360" w:lineRule="auto"/>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rPr>
          <w:rFonts w:hint="eastAsia" w:cs="仿宋_GB2312" w:asciiTheme="minorEastAsia" w:hAnsiTheme="minorEastAsia" w:eastAsiaTheme="minorEastAsia"/>
          <w:b/>
          <w:color w:val="auto"/>
          <w:sz w:val="36"/>
          <w:szCs w:val="36"/>
          <w:highlight w:val="none"/>
        </w:rPr>
      </w:pPr>
    </w:p>
    <w:p>
      <w:pPr>
        <w:snapToGrid w:val="0"/>
        <w:spacing w:line="360" w:lineRule="auto"/>
        <w:jc w:val="center"/>
        <w:outlineLvl w:val="1"/>
        <w:rPr>
          <w:rFonts w:hint="eastAsia"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pPr>
        <w:tabs>
          <w:tab w:val="left" w:pos="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pPr>
        <w:tabs>
          <w:tab w:val="left" w:pos="0"/>
        </w:tabs>
        <w:spacing w:line="360" w:lineRule="auto"/>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8"/>
      <w:bookmarkStart w:id="12" w:name="_Hlt68057669"/>
      <w:bookmarkEnd w:id="12"/>
      <w:bookmarkStart w:id="13" w:name="_Hlt74707468"/>
      <w:bookmarkEnd w:id="13"/>
      <w:bookmarkStart w:id="14" w:name="_Hlt68072990"/>
      <w:bookmarkEnd w:id="14"/>
      <w:bookmarkStart w:id="15" w:name="_Hlt74729768"/>
      <w:bookmarkEnd w:id="15"/>
      <w:bookmarkStart w:id="16" w:name="_Hlt75236101"/>
      <w:bookmarkEnd w:id="16"/>
      <w:bookmarkStart w:id="17" w:name="_Hlt75236290"/>
      <w:bookmarkEnd w:id="17"/>
      <w:bookmarkStart w:id="18" w:name="_Hlt74730295"/>
      <w:bookmarkEnd w:id="18"/>
      <w:bookmarkStart w:id="19" w:name="_Hlt75236011"/>
      <w:bookmarkEnd w:id="19"/>
      <w:bookmarkStart w:id="20" w:name="_Hlt74714665"/>
      <w:bookmarkEnd w:id="20"/>
      <w:bookmarkStart w:id="21" w:name="_Toc164416483"/>
      <w:bookmarkStart w:id="22" w:name="第三部分"/>
    </w:p>
    <w:p>
      <w:pPr>
        <w:snapToGrid w:val="0"/>
        <w:spacing w:line="360" w:lineRule="auto"/>
        <w:ind w:left="120" w:leftChars="57" w:firstLine="482" w:firstLineChars="150"/>
        <w:jc w:val="center"/>
        <w:outlineLvl w:val="1"/>
        <w:rPr>
          <w:rFonts w:hint="eastAsia" w:ascii="宋体" w:hAnsi="宋体" w:cs="宋体"/>
          <w:b/>
          <w:color w:val="auto"/>
          <w:sz w:val="32"/>
          <w:highlight w:val="none"/>
        </w:rPr>
      </w:pPr>
      <w:r>
        <w:rPr>
          <w:rFonts w:hint="eastAsia" w:ascii="宋体" w:hAnsi="宋体" w:cs="宋体"/>
          <w:b/>
          <w:color w:val="auto"/>
          <w:sz w:val="32"/>
          <w:highlight w:val="none"/>
        </w:rPr>
        <w:t>十五、代理费用的收取标准和方式</w:t>
      </w:r>
    </w:p>
    <w:p>
      <w:pPr>
        <w:pStyle w:val="24"/>
        <w:spacing w:line="360" w:lineRule="auto"/>
        <w:ind w:firstLine="0" w:firstLineChars="0"/>
        <w:rPr>
          <w:rFonts w:hint="eastAsia" w:cs="宋体"/>
          <w:b/>
          <w:color w:val="auto"/>
          <w:highlight w:val="none"/>
        </w:rPr>
      </w:pPr>
      <w:r>
        <w:rPr>
          <w:rFonts w:hint="eastAsia" w:cs="宋体"/>
          <w:b/>
          <w:color w:val="auto"/>
          <w:highlight w:val="none"/>
        </w:rPr>
        <w:t>1.代理费用的收取标准和方式（适用于收取代理费用的采购代理机构，本中心不收取代理费用。）</w:t>
      </w:r>
    </w:p>
    <w:p>
      <w:pPr>
        <w:snapToGrid w:val="0"/>
        <w:spacing w:line="360" w:lineRule="auto"/>
        <w:ind w:firstLine="723" w:firstLineChars="200"/>
        <w:rPr>
          <w:rFonts w:hint="eastAsia"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bookmarkStart w:id="23" w:name="_Toc181203097"/>
      <w:r>
        <w:rPr>
          <w:rFonts w:hint="eastAsia" w:cs="仿宋_GB2312" w:asciiTheme="minorEastAsia" w:hAnsiTheme="minorEastAsia" w:eastAsiaTheme="minorEastAsia"/>
          <w:b/>
          <w:color w:val="auto"/>
          <w:sz w:val="36"/>
          <w:szCs w:val="36"/>
          <w:highlight w:val="none"/>
        </w:rPr>
        <w:t>第四部分  采购需求</w:t>
      </w:r>
      <w:bookmarkEnd w:id="23"/>
    </w:p>
    <w:p>
      <w:pPr>
        <w:rPr>
          <w:color w:val="auto"/>
          <w:highlight w:val="none"/>
        </w:rPr>
      </w:pPr>
    </w:p>
    <w:p>
      <w:pPr>
        <w:rPr>
          <w:rFonts w:hint="eastAsia" w:asciiTheme="minorEastAsia" w:hAnsiTheme="minorEastAsia" w:eastAsiaTheme="minorEastAsia" w:cstheme="minorEastAsia"/>
          <w:color w:val="auto"/>
          <w:kern w:val="0"/>
          <w:sz w:val="32"/>
          <w:szCs w:val="32"/>
          <w:highlight w:val="none"/>
        </w:rPr>
      </w:pPr>
      <w:r>
        <w:rPr>
          <w:rFonts w:hint="eastAsia"/>
          <w:b/>
          <w:bCs/>
          <w:color w:val="auto"/>
          <w:sz w:val="32"/>
          <w:szCs w:val="32"/>
          <w:highlight w:val="none"/>
        </w:rPr>
        <w:t>注：“▲” 系指实质性要求条款。</w:t>
      </w:r>
    </w:p>
    <w:p>
      <w:pPr>
        <w:pStyle w:val="58"/>
        <w:autoSpaceDE/>
        <w:autoSpaceDN/>
        <w:spacing w:line="560" w:lineRule="exact"/>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一、赛事名称：2025“一带一路”国际帆船赛</w:t>
      </w:r>
    </w:p>
    <w:p>
      <w:pPr>
        <w:pStyle w:val="58"/>
        <w:autoSpaceDE/>
        <w:autoSpaceDN/>
        <w:spacing w:line="560" w:lineRule="exact"/>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二、比赛时间：2025年12月4日-8日</w:t>
      </w:r>
    </w:p>
    <w:p>
      <w:pPr>
        <w:pStyle w:val="58"/>
        <w:autoSpaceDE/>
        <w:autoSpaceDN/>
        <w:spacing w:line="560" w:lineRule="exact"/>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三、比赛地点：中国北海</w:t>
      </w:r>
    </w:p>
    <w:p>
      <w:pPr>
        <w:pStyle w:val="58"/>
        <w:autoSpaceDE/>
        <w:autoSpaceDN/>
        <w:spacing w:line="560" w:lineRule="exact"/>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四、日程安排（计划）</w:t>
      </w:r>
    </w:p>
    <w:p>
      <w:pPr>
        <w:widowControl/>
        <w:snapToGrid w:val="0"/>
        <w:spacing w:line="560" w:lineRule="exac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12月4日  赛队报到、技术会议、欢迎仪式、开幕仪式</w:t>
      </w:r>
    </w:p>
    <w:p>
      <w:pPr>
        <w:pStyle w:val="2"/>
        <w:overflowPunct/>
        <w:autoSpaceDE/>
        <w:autoSpaceDN/>
        <w:spacing w:line="560" w:lineRule="exact"/>
        <w:ind w:firstLine="480" w:firstLineChars="200"/>
        <w:jc w:val="both"/>
        <w:textAlignment w:val="auto"/>
        <w:rPr>
          <w:rFonts w:hint="eastAsia" w:asciiTheme="minorEastAsia" w:hAnsiTheme="minorEastAsia" w:eastAsiaTheme="minorEastAsia" w:cstheme="minorEastAsia"/>
          <w:b w:val="0"/>
          <w:color w:val="auto"/>
          <w:szCs w:val="24"/>
          <w:highlight w:val="none"/>
        </w:rPr>
      </w:pPr>
      <w:r>
        <w:rPr>
          <w:rFonts w:hint="eastAsia" w:asciiTheme="minorEastAsia" w:hAnsiTheme="minorEastAsia" w:eastAsiaTheme="minorEastAsia" w:cstheme="minorEastAsia"/>
          <w:b w:val="0"/>
          <w:color w:val="auto"/>
          <w:szCs w:val="24"/>
          <w:highlight w:val="none"/>
        </w:rPr>
        <w:t>12月5日  竞赛日</w:t>
      </w:r>
    </w:p>
    <w:p>
      <w:pPr>
        <w:spacing w:line="56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12月6日  竞赛日</w:t>
      </w:r>
    </w:p>
    <w:p>
      <w:pPr>
        <w:pStyle w:val="2"/>
        <w:overflowPunct/>
        <w:autoSpaceDE/>
        <w:autoSpaceDN/>
        <w:spacing w:line="560" w:lineRule="exact"/>
        <w:ind w:firstLine="480" w:firstLineChars="200"/>
        <w:jc w:val="both"/>
        <w:textAlignment w:val="auto"/>
        <w:rPr>
          <w:rFonts w:hint="eastAsia" w:asciiTheme="minorEastAsia" w:hAnsiTheme="minorEastAsia" w:eastAsiaTheme="minorEastAsia" w:cstheme="minorEastAsia"/>
          <w:b w:val="0"/>
          <w:color w:val="auto"/>
          <w:szCs w:val="24"/>
          <w:highlight w:val="none"/>
        </w:rPr>
      </w:pPr>
      <w:r>
        <w:rPr>
          <w:rFonts w:hint="eastAsia" w:asciiTheme="minorEastAsia" w:hAnsiTheme="minorEastAsia" w:eastAsiaTheme="minorEastAsia" w:cstheme="minorEastAsia"/>
          <w:b w:val="0"/>
          <w:color w:val="auto"/>
          <w:szCs w:val="24"/>
          <w:highlight w:val="none"/>
        </w:rPr>
        <w:t>12月7日  竞赛日、颁奖仪式</w:t>
      </w:r>
    </w:p>
    <w:p>
      <w:pPr>
        <w:spacing w:line="56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12月8日  离会</w:t>
      </w:r>
    </w:p>
    <w:p>
      <w:pPr>
        <w:pStyle w:val="58"/>
        <w:autoSpaceDE/>
        <w:autoSpaceDN/>
        <w:spacing w:line="560" w:lineRule="exact"/>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▲五、比赛形式</w:t>
      </w:r>
    </w:p>
    <w:p>
      <w:pPr>
        <w:widowControl/>
        <w:snapToGrid w:val="0"/>
        <w:spacing w:line="560" w:lineRule="exac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正式比赛不少于3天，设立统一组别或公开组别竞赛，比赛形式为场地赛和长距离赛且每种形式至少要开展一次，具体可视场地实际情况确定。</w:t>
      </w:r>
    </w:p>
    <w:p>
      <w:pPr>
        <w:pStyle w:val="58"/>
        <w:autoSpaceDE/>
        <w:autoSpaceDN/>
        <w:spacing w:line="560" w:lineRule="exact"/>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▲六、比赛船型</w:t>
      </w:r>
    </w:p>
    <w:p>
      <w:pPr>
        <w:widowControl/>
        <w:snapToGrid w:val="0"/>
        <w:spacing w:line="560" w:lineRule="exac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比赛帆船统一组别采用J80船型，公开组别视当地船型及报名招募而定。</w:t>
      </w:r>
    </w:p>
    <w:p>
      <w:pPr>
        <w:pStyle w:val="58"/>
        <w:autoSpaceDE/>
        <w:autoSpaceDN/>
        <w:spacing w:line="560" w:lineRule="exact"/>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▲七、赛事规模</w:t>
      </w:r>
    </w:p>
    <w:p>
      <w:pPr>
        <w:spacing w:line="560" w:lineRule="exac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不低于24支船队参加2025“一带一路”国际帆船赛（中国北海站）比赛，其中外籍船队不少于8支。</w:t>
      </w:r>
    </w:p>
    <w:p>
      <w:pPr>
        <w:pStyle w:val="58"/>
        <w:autoSpaceDE/>
        <w:autoSpaceDN/>
        <w:spacing w:line="560" w:lineRule="exact"/>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▲八、执裁团队</w:t>
      </w:r>
    </w:p>
    <w:p>
      <w:pPr>
        <w:spacing w:line="560" w:lineRule="exac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根据《世界帆船竞赛规则2025-2028》要求组建赛事执裁团队，需包括仲裁委员会、裁判委员会。其中仲裁委员会不少于5人，并需由来自三个不同国家的在世界帆联注册的技术官员组成。竞赛技术官员团队必须具备世界帆联、中国或其他国家帆船帆板运动协会相关职业资质。</w:t>
      </w:r>
    </w:p>
    <w:p>
      <w:pPr>
        <w:pStyle w:val="58"/>
        <w:autoSpaceDE/>
        <w:autoSpaceDN/>
        <w:spacing w:line="560" w:lineRule="exact"/>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▲九、赛事活动</w:t>
      </w:r>
    </w:p>
    <w:p>
      <w:pPr>
        <w:spacing w:line="56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组织开展欢迎仪式、开幕仪式、颁奖仪式、海外赛队人文交流等配套活动外，并颁发“一带一路”国际帆船赛奖杯及奖金等。</w:t>
      </w:r>
    </w:p>
    <w:p>
      <w:pPr>
        <w:pStyle w:val="58"/>
        <w:autoSpaceDE/>
        <w:autoSpaceDN/>
        <w:spacing w:line="560" w:lineRule="exact"/>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▲十、媒体宣传</w:t>
      </w:r>
    </w:p>
    <w:p>
      <w:pPr>
        <w:pStyle w:val="58"/>
        <w:ind w:firstLine="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邀请中央电视台等国内主流媒体参与报道，央视五套报道不少于2次，广西电视台、广西新闻频道报道</w:t>
      </w:r>
      <w:r>
        <w:rPr>
          <w:rFonts w:hint="eastAsia" w:asciiTheme="minorEastAsia" w:hAnsiTheme="minorEastAsia" w:eastAsiaTheme="minorEastAsia" w:cstheme="minorEastAsia"/>
          <w:color w:val="auto"/>
          <w:kern w:val="0"/>
          <w:szCs w:val="24"/>
          <w:highlight w:val="none"/>
          <w:lang w:val="en"/>
        </w:rPr>
        <w:t>分别</w:t>
      </w:r>
      <w:r>
        <w:rPr>
          <w:rFonts w:hint="eastAsia" w:asciiTheme="minorEastAsia" w:hAnsiTheme="minorEastAsia" w:eastAsiaTheme="minorEastAsia" w:cstheme="minorEastAsia"/>
          <w:color w:val="auto"/>
          <w:kern w:val="0"/>
          <w:szCs w:val="24"/>
          <w:highlight w:val="none"/>
        </w:rPr>
        <w:t>不少于4次，新华社、中国体育报等国内、国外媒体报道不少于300次。</w:t>
      </w:r>
    </w:p>
    <w:p>
      <w:pPr>
        <w:pStyle w:val="58"/>
        <w:ind w:firstLine="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▲本项目赛事运营服务具体要求，详见如下：</w:t>
      </w:r>
    </w:p>
    <w:tbl>
      <w:tblPr>
        <w:tblStyle w:val="60"/>
        <w:tblW w:w="5000" w:type="pct"/>
        <w:tblInd w:w="0" w:type="dxa"/>
        <w:tblLayout w:type="autofit"/>
        <w:tblCellMar>
          <w:top w:w="0" w:type="dxa"/>
          <w:left w:w="108" w:type="dxa"/>
          <w:bottom w:w="0" w:type="dxa"/>
          <w:right w:w="108" w:type="dxa"/>
        </w:tblCellMar>
      </w:tblPr>
      <w:tblGrid>
        <w:gridCol w:w="698"/>
        <w:gridCol w:w="1141"/>
        <w:gridCol w:w="2649"/>
        <w:gridCol w:w="559"/>
        <w:gridCol w:w="576"/>
        <w:gridCol w:w="558"/>
        <w:gridCol w:w="3105"/>
      </w:tblGrid>
      <w:tr>
        <w:tblPrEx>
          <w:tblCellMar>
            <w:top w:w="0" w:type="dxa"/>
            <w:left w:w="108" w:type="dxa"/>
            <w:bottom w:w="0" w:type="dxa"/>
            <w:right w:w="108" w:type="dxa"/>
          </w:tblCellMar>
        </w:tblPrEx>
        <w:trPr>
          <w:trHeight w:val="492" w:hRule="atLeast"/>
        </w:trPr>
        <w:tc>
          <w:tcPr>
            <w:tcW w:w="5000"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2025“一带一路”国际帆船赛北海站运营服务需求单</w:t>
            </w:r>
          </w:p>
        </w:tc>
      </w:tr>
      <w:tr>
        <w:tblPrEx>
          <w:tblCellMar>
            <w:top w:w="0" w:type="dxa"/>
            <w:left w:w="108" w:type="dxa"/>
            <w:bottom w:w="0" w:type="dxa"/>
            <w:right w:w="108" w:type="dxa"/>
          </w:tblCellMar>
        </w:tblPrEx>
        <w:trPr>
          <w:trHeight w:val="492" w:hRule="atLeast"/>
        </w:trPr>
        <w:tc>
          <w:tcPr>
            <w:tcW w:w="31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625" w:type="pct"/>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类别</w:t>
            </w:r>
          </w:p>
        </w:tc>
        <w:tc>
          <w:tcPr>
            <w:tcW w:w="1437" w:type="pct"/>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事项</w:t>
            </w:r>
          </w:p>
        </w:tc>
        <w:tc>
          <w:tcPr>
            <w:tcW w:w="312" w:type="pct"/>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单位</w:t>
            </w:r>
          </w:p>
        </w:tc>
        <w:tc>
          <w:tcPr>
            <w:tcW w:w="312" w:type="pct"/>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数量</w:t>
            </w:r>
          </w:p>
        </w:tc>
        <w:tc>
          <w:tcPr>
            <w:tcW w:w="320" w:type="pct"/>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天数/次数</w:t>
            </w:r>
          </w:p>
        </w:tc>
        <w:tc>
          <w:tcPr>
            <w:tcW w:w="1679" w:type="pct"/>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tblPrEx>
          <w:tblCellMar>
            <w:top w:w="0" w:type="dxa"/>
            <w:left w:w="108" w:type="dxa"/>
            <w:bottom w:w="0" w:type="dxa"/>
            <w:right w:w="108" w:type="dxa"/>
          </w:tblCellMar>
        </w:tblPrEx>
        <w:trPr>
          <w:trHeight w:val="560"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625"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竞赛裁判</w:t>
            </w: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裁判团队组建</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包含竞赛裁判长，竞赛仲裁，裁判员，人数不少于22人</w:t>
            </w:r>
          </w:p>
        </w:tc>
      </w:tr>
      <w:tr>
        <w:tblPrEx>
          <w:tblCellMar>
            <w:top w:w="0" w:type="dxa"/>
            <w:left w:w="108" w:type="dxa"/>
            <w:bottom w:w="0" w:type="dxa"/>
            <w:right w:w="108" w:type="dxa"/>
          </w:tblCellMar>
        </w:tblPrEx>
        <w:trPr>
          <w:trHeight w:val="340"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625"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竞赛船只</w:t>
            </w: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工作艇租赁（含运费）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艘</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62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shd w:val="clear" w:color="000000" w:fill="FFFFFF"/>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J80船只租赁（含运费、保险、人工）</w:t>
            </w:r>
          </w:p>
        </w:tc>
        <w:tc>
          <w:tcPr>
            <w:tcW w:w="312" w:type="pct"/>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艘</w:t>
            </w:r>
          </w:p>
        </w:tc>
        <w:tc>
          <w:tcPr>
            <w:tcW w:w="312" w:type="pct"/>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w:t>
            </w:r>
          </w:p>
        </w:tc>
        <w:tc>
          <w:tcPr>
            <w:tcW w:w="320" w:type="pct"/>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p>
        </w:tc>
        <w:tc>
          <w:tcPr>
            <w:tcW w:w="62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船只用油、吊装</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包括竞赛船只、工作艇</w:t>
            </w:r>
          </w:p>
        </w:tc>
      </w:tr>
      <w:tr>
        <w:tblPrEx>
          <w:tblCellMar>
            <w:top w:w="0" w:type="dxa"/>
            <w:left w:w="108" w:type="dxa"/>
            <w:bottom w:w="0" w:type="dxa"/>
            <w:right w:w="108" w:type="dxa"/>
          </w:tblCellMar>
        </w:tblPrEx>
        <w:trPr>
          <w:trHeight w:val="358"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625"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赛事器材</w:t>
            </w: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竞赛器材设备及用品租赁</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包括救生设备、绞绳索具、浮标信号、竞赛物资等</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w:t>
            </w:r>
          </w:p>
        </w:tc>
        <w:tc>
          <w:tcPr>
            <w:tcW w:w="625"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赛事保险</w:t>
            </w: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赛场公众场地及人员保险</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310"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w:t>
            </w:r>
          </w:p>
        </w:tc>
        <w:tc>
          <w:tcPr>
            <w:tcW w:w="625" w:type="pct"/>
            <w:vMerge w:val="restart"/>
            <w:tcBorders>
              <w:top w:val="nil"/>
              <w:left w:val="single" w:color="auto" w:sz="4" w:space="0"/>
              <w:bottom w:val="single" w:color="000000"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竞赛劳务</w:t>
            </w: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安保及船只看护劳务</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不少于60人次</w:t>
            </w:r>
          </w:p>
        </w:tc>
      </w:tr>
      <w:tr>
        <w:tblPrEx>
          <w:tblCellMar>
            <w:top w:w="0" w:type="dxa"/>
            <w:left w:w="108" w:type="dxa"/>
            <w:bottom w:w="0" w:type="dxa"/>
            <w:right w:w="108" w:type="dxa"/>
          </w:tblCellMar>
        </w:tblPrEx>
        <w:trPr>
          <w:trHeight w:val="310"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w:t>
            </w:r>
          </w:p>
        </w:tc>
        <w:tc>
          <w:tcPr>
            <w:tcW w:w="625"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赛场保洁</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310"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w:t>
            </w:r>
          </w:p>
        </w:tc>
        <w:tc>
          <w:tcPr>
            <w:tcW w:w="625"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船务服务</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包含工作船艇维护、赛场保障</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w:t>
            </w:r>
          </w:p>
        </w:tc>
        <w:tc>
          <w:tcPr>
            <w:tcW w:w="625"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医疗救护保障</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w:t>
            </w:r>
          </w:p>
        </w:tc>
        <w:tc>
          <w:tcPr>
            <w:tcW w:w="625"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志愿者</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人</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w:t>
            </w:r>
          </w:p>
        </w:tc>
        <w:tc>
          <w:tcPr>
            <w:tcW w:w="625"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shd w:val="clear" w:color="000000" w:fill="FFFFFF"/>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运营团队组建</w:t>
            </w:r>
          </w:p>
        </w:tc>
        <w:tc>
          <w:tcPr>
            <w:tcW w:w="312" w:type="pct"/>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不少于10人</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w:t>
            </w:r>
          </w:p>
        </w:tc>
        <w:tc>
          <w:tcPr>
            <w:tcW w:w="625" w:type="pct"/>
            <w:vMerge w:val="restart"/>
            <w:tcBorders>
              <w:top w:val="nil"/>
              <w:left w:val="single" w:color="auto" w:sz="4" w:space="0"/>
              <w:bottom w:val="nil"/>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赛事区域</w:t>
            </w:r>
          </w:p>
        </w:tc>
        <w:tc>
          <w:tcPr>
            <w:tcW w:w="1437" w:type="pct"/>
            <w:tcBorders>
              <w:top w:val="nil"/>
              <w:left w:val="nil"/>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酒店签到氛围</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w:t>
            </w:r>
          </w:p>
        </w:tc>
        <w:tc>
          <w:tcPr>
            <w:tcW w:w="625" w:type="pct"/>
            <w:vMerge w:val="continue"/>
            <w:tcBorders>
              <w:top w:val="nil"/>
              <w:left w:val="single" w:color="auto" w:sz="4" w:space="0"/>
              <w:bottom w:val="nil"/>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媒体采访区氛围</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w:t>
            </w:r>
          </w:p>
        </w:tc>
        <w:tc>
          <w:tcPr>
            <w:tcW w:w="625" w:type="pct"/>
            <w:vMerge w:val="continue"/>
            <w:tcBorders>
              <w:top w:val="nil"/>
              <w:left w:val="single" w:color="auto" w:sz="4" w:space="0"/>
              <w:bottom w:val="nil"/>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赛场氛围</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包括道旗、宣传制作物等</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w:t>
            </w:r>
          </w:p>
        </w:tc>
        <w:tc>
          <w:tcPr>
            <w:tcW w:w="625"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赛事物料</w:t>
            </w: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人工运输</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274"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17</w:t>
            </w:r>
          </w:p>
        </w:tc>
        <w:tc>
          <w:tcPr>
            <w:tcW w:w="6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工作帐篷</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w:t>
            </w:r>
          </w:p>
        </w:tc>
        <w:tc>
          <w:tcPr>
            <w:tcW w:w="6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赛事服装</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人</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250</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包含参赛人员、工作人员、官员及嘉宾等</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w:t>
            </w:r>
          </w:p>
        </w:tc>
        <w:tc>
          <w:tcPr>
            <w:tcW w:w="6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办公用品及证件</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包括打印机、打印纸、办公文具等</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w:t>
            </w:r>
          </w:p>
        </w:tc>
        <w:tc>
          <w:tcPr>
            <w:tcW w:w="6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赛事船体标识及球帆定制</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包括赛事船贴</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w:t>
            </w:r>
          </w:p>
        </w:tc>
        <w:tc>
          <w:tcPr>
            <w:tcW w:w="6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物料采购与制作</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包括赛事印刷品、赛事公告物料等</w:t>
            </w:r>
          </w:p>
        </w:tc>
      </w:tr>
      <w:tr>
        <w:tblPrEx>
          <w:tblCellMar>
            <w:top w:w="0" w:type="dxa"/>
            <w:left w:w="108" w:type="dxa"/>
            <w:bottom w:w="0" w:type="dxa"/>
            <w:right w:w="108" w:type="dxa"/>
          </w:tblCellMar>
        </w:tblPrEx>
        <w:trPr>
          <w:trHeight w:val="537"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w:t>
            </w:r>
          </w:p>
        </w:tc>
        <w:tc>
          <w:tcPr>
            <w:tcW w:w="625"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活动仪式</w:t>
            </w: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欢迎仪式暨开幕仪式</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包含场地、音响灯光、主持人、礼仪、表演仪式</w:t>
            </w:r>
          </w:p>
        </w:tc>
      </w:tr>
      <w:tr>
        <w:tblPrEx>
          <w:tblCellMar>
            <w:top w:w="0" w:type="dxa"/>
            <w:left w:w="108" w:type="dxa"/>
            <w:bottom w:w="0" w:type="dxa"/>
            <w:right w:w="108" w:type="dxa"/>
          </w:tblCellMar>
        </w:tblPrEx>
        <w:trPr>
          <w:trHeight w:val="492"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23</w:t>
            </w:r>
          </w:p>
        </w:tc>
        <w:tc>
          <w:tcPr>
            <w:tcW w:w="62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颁奖仪式</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包含主持人、场地、音响灯光、表演仪式、礼仪等</w:t>
            </w:r>
          </w:p>
        </w:tc>
      </w:tr>
      <w:tr>
        <w:tblPrEx>
          <w:tblCellMar>
            <w:top w:w="0" w:type="dxa"/>
            <w:left w:w="108" w:type="dxa"/>
            <w:bottom w:w="0" w:type="dxa"/>
            <w:right w:w="108" w:type="dxa"/>
          </w:tblCellMar>
        </w:tblPrEx>
        <w:trPr>
          <w:trHeight w:val="310"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w:t>
            </w:r>
          </w:p>
        </w:tc>
        <w:tc>
          <w:tcPr>
            <w:tcW w:w="625"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船队奖金奖品</w:t>
            </w: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奖金</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根据竞赛通知颁发前六名</w:t>
            </w:r>
          </w:p>
        </w:tc>
      </w:tr>
      <w:tr>
        <w:tblPrEx>
          <w:tblCellMar>
            <w:top w:w="0" w:type="dxa"/>
            <w:left w:w="108" w:type="dxa"/>
            <w:bottom w:w="0" w:type="dxa"/>
            <w:right w:w="108" w:type="dxa"/>
          </w:tblCellMar>
        </w:tblPrEx>
        <w:trPr>
          <w:trHeight w:val="310"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w:t>
            </w:r>
          </w:p>
        </w:tc>
        <w:tc>
          <w:tcPr>
            <w:tcW w:w="62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奖杯</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根据竞赛通知颁发前六名</w:t>
            </w:r>
          </w:p>
        </w:tc>
      </w:tr>
      <w:tr>
        <w:tblPrEx>
          <w:tblCellMar>
            <w:top w:w="0" w:type="dxa"/>
            <w:left w:w="108" w:type="dxa"/>
            <w:bottom w:w="0" w:type="dxa"/>
            <w:right w:w="108" w:type="dxa"/>
          </w:tblCellMar>
        </w:tblPrEx>
        <w:trPr>
          <w:trHeight w:val="310"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26</w:t>
            </w:r>
          </w:p>
        </w:tc>
        <w:tc>
          <w:tcPr>
            <w:tcW w:w="625"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住宿酒店</w:t>
            </w: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参赛船员及裁判员酒店</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间</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90</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27</w:t>
            </w:r>
          </w:p>
        </w:tc>
        <w:tc>
          <w:tcPr>
            <w:tcW w:w="62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嘉宾酒店</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间</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w:t>
            </w:r>
          </w:p>
        </w:tc>
        <w:tc>
          <w:tcPr>
            <w:tcW w:w="62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摄影摄像团队</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间</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29</w:t>
            </w:r>
          </w:p>
        </w:tc>
        <w:tc>
          <w:tcPr>
            <w:tcW w:w="62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工作团队酒店（含前期）</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w:t>
            </w:r>
          </w:p>
        </w:tc>
        <w:tc>
          <w:tcPr>
            <w:tcW w:w="625"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餐饮</w:t>
            </w: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竞赛技术官员及裁判工作餐</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w:t>
            </w:r>
          </w:p>
        </w:tc>
        <w:tc>
          <w:tcPr>
            <w:tcW w:w="62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工作团队餐饮（含前期）</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w:t>
            </w:r>
          </w:p>
        </w:tc>
        <w:tc>
          <w:tcPr>
            <w:tcW w:w="62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shd w:val="clear" w:color="000000" w:fill="FFFFFF"/>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饮用水</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507"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w:t>
            </w:r>
          </w:p>
        </w:tc>
        <w:tc>
          <w:tcPr>
            <w:tcW w:w="62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shd w:val="clear" w:color="000000" w:fill="FFFFFF"/>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欢迎仪式餐饮</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人</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220</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包含裁判团队，嘉宾，媒体，工作团队，参赛船员</w:t>
            </w:r>
          </w:p>
        </w:tc>
      </w:tr>
      <w:tr>
        <w:tblPrEx>
          <w:tblCellMar>
            <w:top w:w="0" w:type="dxa"/>
            <w:left w:w="108" w:type="dxa"/>
            <w:bottom w:w="0" w:type="dxa"/>
            <w:right w:w="108" w:type="dxa"/>
          </w:tblCellMar>
        </w:tblPrEx>
        <w:trPr>
          <w:trHeight w:val="507"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34</w:t>
            </w:r>
          </w:p>
        </w:tc>
        <w:tc>
          <w:tcPr>
            <w:tcW w:w="62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shd w:val="clear" w:color="000000" w:fill="FFFFFF"/>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颁奖仪式餐饮</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人</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220</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包含裁判团队，嘉宾，媒体，工作团队，参赛船员</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w:t>
            </w:r>
          </w:p>
        </w:tc>
        <w:tc>
          <w:tcPr>
            <w:tcW w:w="62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嘉宾用餐</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人</w:t>
            </w:r>
          </w:p>
        </w:tc>
        <w:tc>
          <w:tcPr>
            <w:tcW w:w="312"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w:t>
            </w:r>
          </w:p>
        </w:tc>
        <w:tc>
          <w:tcPr>
            <w:tcW w:w="320"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1679"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w:t>
            </w:r>
          </w:p>
        </w:tc>
        <w:tc>
          <w:tcPr>
            <w:tcW w:w="62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shd w:val="clear" w:color="000000" w:fill="FFFFFF"/>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赛场辅助人员工作午餐</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人</w:t>
            </w:r>
          </w:p>
        </w:tc>
        <w:tc>
          <w:tcPr>
            <w:tcW w:w="312"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w:t>
            </w:r>
          </w:p>
        </w:tc>
        <w:tc>
          <w:tcPr>
            <w:tcW w:w="320"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1679"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w:t>
            </w:r>
          </w:p>
        </w:tc>
        <w:tc>
          <w:tcPr>
            <w:tcW w:w="62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参赛船员水餐</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人</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120</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366"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38</w:t>
            </w:r>
          </w:p>
        </w:tc>
        <w:tc>
          <w:tcPr>
            <w:tcW w:w="625"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车辆</w:t>
            </w: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船队及技术官员车辆</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辆</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包括高铁、机场、酒店及赛场往返</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39</w:t>
            </w:r>
          </w:p>
        </w:tc>
        <w:tc>
          <w:tcPr>
            <w:tcW w:w="62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工作车辆</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辆</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w:t>
            </w:r>
          </w:p>
        </w:tc>
        <w:tc>
          <w:tcPr>
            <w:tcW w:w="625"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交通</w:t>
            </w: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国內嘉宾及裁判人员往返交通</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人</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41</w:t>
            </w:r>
          </w:p>
        </w:tc>
        <w:tc>
          <w:tcPr>
            <w:tcW w:w="62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竞赛管理工作人员交通</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人</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w:t>
            </w:r>
          </w:p>
        </w:tc>
        <w:tc>
          <w:tcPr>
            <w:tcW w:w="62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国外嘉宾及裁判交通往返</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人</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tc>
      </w:tr>
      <w:tr>
        <w:tblPrEx>
          <w:tblCellMar>
            <w:top w:w="0" w:type="dxa"/>
            <w:left w:w="108" w:type="dxa"/>
            <w:bottom w:w="0" w:type="dxa"/>
            <w:right w:w="108" w:type="dxa"/>
          </w:tblCellMar>
        </w:tblPrEx>
        <w:trPr>
          <w:trHeight w:val="835"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43</w:t>
            </w:r>
          </w:p>
        </w:tc>
        <w:tc>
          <w:tcPr>
            <w:tcW w:w="625"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媒体传播</w:t>
            </w: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赛事媒体传播及稿件（含海外）</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广西电视台、广西新闻频道报道分别不少于4次，新华社、中国体育报等国内、国外媒体报道不少于300次。</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44</w:t>
            </w:r>
          </w:p>
        </w:tc>
        <w:tc>
          <w:tcPr>
            <w:tcW w:w="62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央视报道</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不少于2次</w:t>
            </w:r>
          </w:p>
        </w:tc>
      </w:tr>
      <w:tr>
        <w:tblPrEx>
          <w:tblCellMar>
            <w:top w:w="0" w:type="dxa"/>
            <w:left w:w="108" w:type="dxa"/>
            <w:bottom w:w="0" w:type="dxa"/>
            <w:right w:w="108" w:type="dxa"/>
          </w:tblCellMar>
        </w:tblPrEx>
        <w:trPr>
          <w:trHeight w:val="253" w:hRule="atLeast"/>
        </w:trPr>
        <w:tc>
          <w:tcPr>
            <w:tcW w:w="312" w:type="pct"/>
            <w:tcBorders>
              <w:top w:val="nil"/>
              <w:left w:val="single" w:color="auto" w:sz="4" w:space="0"/>
              <w:bottom w:val="single" w:color="auto" w:sz="4" w:space="0"/>
              <w:right w:val="single" w:color="auto" w:sz="4" w:space="0"/>
            </w:tcBorders>
            <w:noWrap/>
            <w:vAlign w:val="center"/>
          </w:tcPr>
          <w:p>
            <w:pPr>
              <w:widowControl/>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45</w:t>
            </w:r>
          </w:p>
        </w:tc>
        <w:tc>
          <w:tcPr>
            <w:tcW w:w="625"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赛时拍摄</w:t>
            </w:r>
          </w:p>
        </w:tc>
        <w:tc>
          <w:tcPr>
            <w:tcW w:w="1437" w:type="pct"/>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摄影摄像(含宣传片)</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312"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20"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679"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提供比赛集锦视频及照片</w:t>
            </w:r>
          </w:p>
        </w:tc>
      </w:tr>
    </w:tbl>
    <w:p>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asciiTheme="minorEastAsia" w:hAnsiTheme="minorEastAsia" w:eastAsiaTheme="minorEastAsia" w:cstheme="minorEastAsia"/>
          <w:color w:val="auto"/>
          <w:kern w:val="0"/>
          <w:sz w:val="24"/>
          <w:highlight w:val="none"/>
        </w:rPr>
        <w:t>▲</w:t>
      </w:r>
      <w:r>
        <w:rPr>
          <w:rFonts w:hint="eastAsia" w:cs="宋体" w:asciiTheme="minorEastAsia" w:hAnsiTheme="minorEastAsia" w:eastAsiaTheme="minorEastAsia"/>
          <w:color w:val="auto"/>
          <w:sz w:val="24"/>
          <w:highlight w:val="none"/>
        </w:rPr>
        <w:t>本项目商务要求如下：</w:t>
      </w:r>
    </w:p>
    <w:p>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一、服务时间</w:t>
      </w:r>
    </w:p>
    <w:p>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签订合同后 15 个日历日，供应商所提供的器材租赁至一带一路国际帆船赛结束（具体以采购人书面通知为准）。</w:t>
      </w:r>
    </w:p>
    <w:p>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二、服务地点：赛事指定地点。</w:t>
      </w:r>
    </w:p>
    <w:p>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三、付款时间和方式</w:t>
      </w:r>
    </w:p>
    <w:p>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（一）合同签订后5个工作日内采购人向中标人支付合同价款的50%作为预付款；所有产品进场安装调试合格，在比赛开始前5个工作日内支付合同总价的30%,待本项目比赛结束后30个工作日内支付合同总价的20%。</w:t>
      </w:r>
    </w:p>
    <w:p>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（二）支付合同价款前，中标人应开具相应金额的增值税发票。</w:t>
      </w:r>
    </w:p>
    <w:p>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四、本项目不需要收取履约保证金。</w:t>
      </w:r>
    </w:p>
    <w:p>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五、服务和租赁保障要求</w:t>
      </w:r>
    </w:p>
    <w:p>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（一）租赁器材必须为符合国家技术规范和质量标准的合格产品，满足采购人的使用需求，并具有可靠的售后服务体系，质量可靠、使用安全。</w:t>
      </w:r>
    </w:p>
    <w:p>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（二）赛时期间，安排足够的符合赛事要求的保障人员驻场服务。投标书中承诺优于上述时限的，按投标书中承诺履行。如果逾期未作出响应，中标人应承担由于故障所造成的全部损失。</w:t>
      </w:r>
    </w:p>
    <w:p>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（三）在租赁期内，中标人有责任解决所提供的租赁器材的任何问题，在租赁期满后，当需要时，中标人仍须对租赁器材本身的固有缺陷和瑕疵承担相应责任。</w:t>
      </w:r>
    </w:p>
    <w:p>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（四）投标单位须提供充足的备品备件，满足日常运营维护需求。</w:t>
      </w:r>
    </w:p>
    <w:p>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（五）租赁器材（包括所使用的设备、材料、工艺、调试等）必须符合国家、行业法规和规范要求。</w:t>
      </w:r>
    </w:p>
    <w:p>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（六）供货方提供中标租赁器材的安装服务。</w:t>
      </w:r>
    </w:p>
    <w:p>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（七）赛事运营单位中标后不能转包。</w:t>
      </w:r>
    </w:p>
    <w:p>
      <w:pPr>
        <w:widowControl/>
        <w:snapToGrid w:val="0"/>
        <w:spacing w:line="440" w:lineRule="exact"/>
        <w:ind w:firstLine="482"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六、本项目的政府采购预算控制价为人民币2,000,000.00元，高于预算控制价的报价将视为无效投标。</w:t>
      </w:r>
    </w:p>
    <w:p>
      <w:pPr>
        <w:widowControl/>
        <w:snapToGrid w:val="0"/>
        <w:spacing w:line="440" w:lineRule="exact"/>
        <w:ind w:firstLine="480" w:firstLineChars="200"/>
        <w:jc w:val="left"/>
        <w:rPr>
          <w:color w:val="auto"/>
          <w:highlight w:val="none"/>
        </w:rPr>
      </w:pPr>
      <w:r>
        <w:rPr>
          <w:rFonts w:hint="eastAsia" w:cs="宋体" w:asciiTheme="minorEastAsia" w:hAnsiTheme="minorEastAsia" w:eastAsiaTheme="minorEastAsia"/>
          <w:color w:val="auto"/>
          <w:sz w:val="24"/>
          <w:highlight w:val="none"/>
        </w:rPr>
        <w:t>七、根据《关于印发中小企业划型标准规定的通知》（工信部联企业〔2011〕300号）规定的划分标准，本项目采购所有标的对应的中小企业划分标准所属行业：其他未列明行业。</w:t>
      </w:r>
    </w:p>
    <w:p>
      <w:pPr>
        <w:widowControl/>
        <w:adjustRightInd/>
        <w:jc w:val="left"/>
        <w:rPr>
          <w:rFonts w:hint="eastAsia"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adjustRightInd/>
        <w:spacing w:line="360" w:lineRule="auto"/>
        <w:jc w:val="center"/>
        <w:outlineLvl w:val="0"/>
        <w:rPr>
          <w:rFonts w:hint="eastAsia" w:ascii="宋体" w:hAnsi="宋体" w:cs="宋体"/>
          <w:b/>
          <w:color w:val="auto"/>
          <w:sz w:val="32"/>
          <w:szCs w:val="20"/>
          <w:highlight w:val="none"/>
        </w:rPr>
      </w:pPr>
      <w:bookmarkStart w:id="24" w:name="_Toc181203098"/>
      <w:r>
        <w:rPr>
          <w:rFonts w:hint="eastAsia" w:cs="仿宋_GB2312" w:asciiTheme="minorEastAsia" w:hAnsiTheme="minorEastAsia" w:eastAsiaTheme="minorEastAsia"/>
          <w:b/>
          <w:color w:val="auto"/>
          <w:sz w:val="36"/>
          <w:szCs w:val="36"/>
          <w:highlight w:val="none"/>
        </w:rPr>
        <w:t xml:space="preserve">第五部分  </w:t>
      </w:r>
      <w:bookmarkEnd w:id="21"/>
      <w:bookmarkEnd w:id="22"/>
      <w:bookmarkStart w:id="25" w:name="第四部分"/>
      <w:r>
        <w:rPr>
          <w:rFonts w:hint="eastAsia" w:cs="仿宋_GB2312" w:asciiTheme="minorEastAsia" w:hAnsiTheme="minorEastAsia" w:eastAsiaTheme="minorEastAsia"/>
          <w:b/>
          <w:color w:val="auto"/>
          <w:sz w:val="36"/>
          <w:szCs w:val="36"/>
          <w:highlight w:val="none"/>
        </w:rPr>
        <w:t>评审方法及评审标准</w:t>
      </w:r>
      <w:bookmarkEnd w:id="24"/>
    </w:p>
    <w:p>
      <w:pPr>
        <w:snapToGrid w:val="0"/>
        <w:spacing w:line="360" w:lineRule="auto"/>
        <w:ind w:firstLine="482"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一、评审方法</w:t>
      </w:r>
    </w:p>
    <w:p>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（一）本项目评审方法采用综合评分法。</w:t>
      </w:r>
    </w:p>
    <w:p>
      <w:pPr>
        <w:pStyle w:val="2"/>
        <w:ind w:firstLine="480" w:firstLineChars="200"/>
        <w:jc w:val="both"/>
        <w:rPr>
          <w:rFonts w:hint="eastAsia" w:asciiTheme="minorEastAsia" w:hAnsiTheme="minorEastAsia" w:eastAsiaTheme="minorEastAsia" w:cstheme="minorEastAsia"/>
          <w:b w:val="0"/>
          <w:color w:val="auto"/>
          <w:kern w:val="2"/>
          <w:szCs w:val="24"/>
          <w:highlight w:val="none"/>
          <w:lang w:val="en-US"/>
        </w:rPr>
      </w:pPr>
      <w:r>
        <w:rPr>
          <w:rFonts w:hint="eastAsia" w:asciiTheme="minorEastAsia" w:hAnsiTheme="minorEastAsia" w:eastAsiaTheme="minorEastAsia" w:cstheme="minorEastAsia"/>
          <w:b w:val="0"/>
          <w:color w:val="auto"/>
          <w:kern w:val="2"/>
          <w:szCs w:val="24"/>
          <w:highlight w:val="none"/>
          <w:lang w:val="en-US"/>
        </w:rPr>
        <w:t>（二）计分办法（按四舍五入取至百分位）：</w:t>
      </w:r>
    </w:p>
    <w:tbl>
      <w:tblPr>
        <w:tblStyle w:val="6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2585"/>
        <w:gridCol w:w="5748"/>
        <w:gridCol w:w="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55" w:type="pct"/>
            <w:vAlign w:val="center"/>
          </w:tcPr>
          <w:p>
            <w:pPr>
              <w:snapToGrid w:val="0"/>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1392" w:type="pct"/>
            <w:vAlign w:val="center"/>
          </w:tcPr>
          <w:p>
            <w:pPr>
              <w:snapToGrid w:val="0"/>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评分分类</w:t>
            </w:r>
          </w:p>
        </w:tc>
        <w:tc>
          <w:tcPr>
            <w:tcW w:w="3095" w:type="pct"/>
            <w:vAlign w:val="center"/>
          </w:tcPr>
          <w:p>
            <w:pPr>
              <w:snapToGrid w:val="0"/>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评分标准</w:t>
            </w:r>
          </w:p>
        </w:tc>
        <w:tc>
          <w:tcPr>
            <w:tcW w:w="256" w:type="pct"/>
            <w:vAlign w:val="center"/>
          </w:tcPr>
          <w:p>
            <w:pPr>
              <w:snapToGrid w:val="0"/>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255"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392"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项目总体方案</w:t>
            </w:r>
          </w:p>
        </w:tc>
        <w:tc>
          <w:tcPr>
            <w:tcW w:w="3095" w:type="pct"/>
            <w:vAlign w:val="center"/>
          </w:tcPr>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专家组根据投标人编制的项目总体方案进行打分，项目总体方案需根据赛事概况及运营服务要求编制，包括但不限于赛事</w:t>
            </w:r>
            <w:r>
              <w:rPr>
                <w:rFonts w:hint="eastAsia" w:asciiTheme="minorEastAsia" w:hAnsiTheme="minorEastAsia" w:eastAsiaTheme="minorEastAsia" w:cstheme="minorEastAsia"/>
                <w:b/>
                <w:bCs/>
                <w:color w:val="auto"/>
                <w:szCs w:val="21"/>
                <w:highlight w:val="none"/>
              </w:rPr>
              <w:t>基本信息、赛事组织、赛事工作细化</w:t>
            </w:r>
            <w:r>
              <w:rPr>
                <w:rFonts w:hint="eastAsia" w:asciiTheme="minorEastAsia" w:hAnsiTheme="minorEastAsia" w:eastAsiaTheme="minorEastAsia" w:cstheme="minorEastAsia"/>
                <w:color w:val="auto"/>
                <w:szCs w:val="21"/>
                <w:highlight w:val="none"/>
              </w:rPr>
              <w:t>等内容。</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项目总体方案编制基本信息详细，竞赛管理组织工作职责内容明确，工作方案细化合理，总体内容方案逻辑严密，系统性、可操作性强好，能充分体现对赛事运营服务要求的深度理解和周密安排。方案评为优，得5分。</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2、项目总体方案编制基本信息、竞赛管理组织工作职责内容和工作方案细化等内容方案框架基本完整，但深度和细节有所欠缺，对运营服务的响应存在部分不足。方案</w:t>
            </w:r>
            <w:r>
              <w:rPr>
                <w:rFonts w:hint="eastAsia" w:asciiTheme="minorEastAsia" w:hAnsiTheme="minorEastAsia" w:eastAsiaTheme="minorEastAsia" w:cstheme="minorEastAsia"/>
                <w:color w:val="auto"/>
                <w:szCs w:val="21"/>
                <w:highlight w:val="none"/>
                <w:lang w:eastAsia="zh-CN"/>
              </w:rPr>
              <w:t>具有一定</w:t>
            </w:r>
            <w:r>
              <w:rPr>
                <w:rFonts w:hint="eastAsia" w:asciiTheme="minorEastAsia" w:hAnsiTheme="minorEastAsia" w:eastAsiaTheme="minorEastAsia" w:cstheme="minorEastAsia"/>
                <w:color w:val="auto"/>
                <w:szCs w:val="21"/>
                <w:highlight w:val="none"/>
              </w:rPr>
              <w:t xml:space="preserve">操作性，得3分。 </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3、项目总体方案编制基本信息缺失、竞赛管理组织工作职责不清晰，工作方案细化不完善，总体内容方案编制粗糙，无法满足赛事基本运营需求。方案</w:t>
            </w:r>
            <w:r>
              <w:rPr>
                <w:rFonts w:hint="eastAsia" w:asciiTheme="minorEastAsia" w:hAnsiTheme="minorEastAsia" w:eastAsiaTheme="minorEastAsia" w:cstheme="minorEastAsia"/>
                <w:color w:val="auto"/>
                <w:szCs w:val="21"/>
                <w:highlight w:val="none"/>
                <w:lang w:eastAsia="zh-CN"/>
              </w:rPr>
              <w:t>可操作性较差</w:t>
            </w:r>
            <w:r>
              <w:rPr>
                <w:rFonts w:hint="eastAsia" w:asciiTheme="minorEastAsia" w:hAnsiTheme="minorEastAsia" w:eastAsiaTheme="minorEastAsia" w:cstheme="minorEastAsia"/>
                <w:color w:val="auto"/>
                <w:szCs w:val="21"/>
                <w:highlight w:val="none"/>
              </w:rPr>
              <w:t>，得1分。</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4、未提供完整项目总体方案的，得0分。</w:t>
            </w:r>
          </w:p>
        </w:tc>
        <w:tc>
          <w:tcPr>
            <w:tcW w:w="256"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55"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392" w:type="pct"/>
            <w:vAlign w:val="center"/>
          </w:tcPr>
          <w:p>
            <w:pPr>
              <w:widowControl/>
              <w:spacing w:line="320" w:lineRule="exact"/>
              <w:ind w:left="210" w:hanging="210" w:hangingChars="1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赛事保障工作方案</w:t>
            </w:r>
          </w:p>
        </w:tc>
        <w:tc>
          <w:tcPr>
            <w:tcW w:w="3095" w:type="pct"/>
            <w:vAlign w:val="center"/>
          </w:tcPr>
          <w:p>
            <w:pPr>
              <w:widowControl/>
              <w:spacing w:line="320" w:lineRule="exact"/>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专家组根据投标人编制的赛事保障工作方案进行打分，赛事保障工作方案包括但不限于</w:t>
            </w:r>
            <w:r>
              <w:rPr>
                <w:rFonts w:hint="eastAsia" w:asciiTheme="minorEastAsia" w:hAnsiTheme="minorEastAsia" w:eastAsiaTheme="minorEastAsia" w:cstheme="minorEastAsia"/>
                <w:b/>
                <w:bCs/>
                <w:color w:val="auto"/>
                <w:szCs w:val="21"/>
                <w:highlight w:val="none"/>
              </w:rPr>
              <w:t>赛事后勤保障、赛事医疗保障、赛事安全应急保障（含海上安全、岸上安全、应急响应等）、赛事熔断方案、赛事公共卫生保障等内容。</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1、赛事保障工作方案涵盖的各个保障工作内容，组织科学、管理合理、方案详细完整、计划充分、可执行性强，赛事保障方案评为优，得 5 分。 </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2、赛事保障工作方案涵盖的各个保障工作内容，组织方案大体上具备实施基础，但在环节衔接、资源调配等方面存在模糊之处，</w:t>
            </w:r>
            <w:r>
              <w:rPr>
                <w:rFonts w:hint="eastAsia" w:asciiTheme="minorEastAsia" w:hAnsiTheme="minorEastAsia" w:eastAsiaTheme="minorEastAsia" w:cstheme="minorEastAsia"/>
                <w:color w:val="auto"/>
                <w:szCs w:val="21"/>
                <w:highlight w:val="none"/>
                <w:lang w:eastAsia="zh-CN"/>
              </w:rPr>
              <w:t>具有一定</w:t>
            </w:r>
            <w:r>
              <w:rPr>
                <w:rFonts w:hint="eastAsia" w:asciiTheme="minorEastAsia" w:hAnsiTheme="minorEastAsia" w:eastAsiaTheme="minorEastAsia" w:cstheme="minorEastAsia"/>
                <w:color w:val="auto"/>
                <w:szCs w:val="21"/>
                <w:highlight w:val="none"/>
              </w:rPr>
              <w:t xml:space="preserve">可操作性，得3分。 </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3、赛事保障工作方案涵盖的各个保障工作内容，</w:t>
            </w:r>
            <w:r>
              <w:rPr>
                <w:rFonts w:hint="eastAsia" w:asciiTheme="minorEastAsia" w:hAnsiTheme="minorEastAsia" w:eastAsiaTheme="minorEastAsia" w:cstheme="minorEastAsia"/>
                <w:color w:val="auto"/>
                <w:szCs w:val="21"/>
                <w:highlight w:val="none"/>
                <w:lang w:eastAsia="zh-CN"/>
              </w:rPr>
              <w:t>但</w:t>
            </w:r>
            <w:r>
              <w:rPr>
                <w:rFonts w:hint="eastAsia" w:asciiTheme="minorEastAsia" w:hAnsiTheme="minorEastAsia" w:eastAsiaTheme="minorEastAsia" w:cstheme="minorEastAsia"/>
                <w:color w:val="auto"/>
                <w:szCs w:val="21"/>
                <w:highlight w:val="none"/>
              </w:rPr>
              <w:t>组织管理措施混乱、方案不完整、不具备可操作性，赛事保障方案评为差，得1分。</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4、未提供</w:t>
            </w:r>
            <w:r>
              <w:rPr>
                <w:rFonts w:hint="eastAsia" w:asciiTheme="minorEastAsia" w:hAnsiTheme="minorEastAsia" w:eastAsiaTheme="minorEastAsia" w:cstheme="minorEastAsia"/>
                <w:b/>
                <w:bCs/>
                <w:color w:val="auto"/>
                <w:szCs w:val="21"/>
                <w:highlight w:val="none"/>
              </w:rPr>
              <w:t>完整</w:t>
            </w:r>
            <w:r>
              <w:rPr>
                <w:rFonts w:hint="eastAsia" w:asciiTheme="minorEastAsia" w:hAnsiTheme="minorEastAsia" w:eastAsiaTheme="minorEastAsia" w:cstheme="minorEastAsia"/>
                <w:color w:val="auto"/>
                <w:szCs w:val="21"/>
                <w:highlight w:val="none"/>
              </w:rPr>
              <w:t xml:space="preserve">赛事保障工作方案的，得0分。 </w:t>
            </w:r>
          </w:p>
        </w:tc>
        <w:tc>
          <w:tcPr>
            <w:tcW w:w="256"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392"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器材保障工作方案</w:t>
            </w:r>
          </w:p>
        </w:tc>
        <w:tc>
          <w:tcPr>
            <w:tcW w:w="3095" w:type="pct"/>
            <w:vAlign w:val="center"/>
          </w:tcPr>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专家组根据投标人编制的器材保障工作方案进行打分，器材保障工作方案包括但不限于</w:t>
            </w:r>
            <w:r>
              <w:rPr>
                <w:rFonts w:hint="eastAsia" w:asciiTheme="minorEastAsia" w:hAnsiTheme="minorEastAsia" w:eastAsiaTheme="minorEastAsia" w:cstheme="minorEastAsia"/>
                <w:b/>
                <w:bCs/>
                <w:color w:val="auto"/>
                <w:szCs w:val="21"/>
                <w:highlight w:val="none"/>
              </w:rPr>
              <w:t>器材数量要求、器材抵达安排、人员职责分配、器材管理保障、应急保障响应等内容</w:t>
            </w:r>
            <w:r>
              <w:rPr>
                <w:rFonts w:hint="eastAsia" w:asciiTheme="minorEastAsia" w:hAnsiTheme="minorEastAsia" w:eastAsiaTheme="minorEastAsia" w:cstheme="minorEastAsia"/>
                <w:color w:val="auto"/>
                <w:szCs w:val="21"/>
                <w:highlight w:val="none"/>
              </w:rPr>
              <w:t>。</w:t>
            </w:r>
          </w:p>
          <w:p>
            <w:pPr>
              <w:pStyle w:val="58"/>
              <w:numPr>
                <w:ilvl w:val="0"/>
                <w:numId w:val="7"/>
              </w:numPr>
              <w:autoSpaceDE/>
              <w:autoSpaceDN/>
              <w:spacing w:line="320" w:lineRule="exac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器材保障工作方案涵盖的器材数量完全满足组委会竞赛要求、器材到位及时、器材管理服务优质、方案详细完整、计划充分、可执行性强，器材保障方案评为优，得 5分。</w:t>
            </w:r>
          </w:p>
          <w:p>
            <w:pPr>
              <w:pStyle w:val="58"/>
              <w:numPr>
                <w:ilvl w:val="0"/>
                <w:numId w:val="7"/>
              </w:numPr>
              <w:autoSpaceDE/>
              <w:autoSpaceDN/>
              <w:spacing w:line="320" w:lineRule="exac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器材保障工作方案涵盖的器材数量满足组委会竞赛要求的，方案框架涵盖基本要素，但在深度、细节和严谨性上存在明显不足，得 3分。</w:t>
            </w:r>
          </w:p>
          <w:p>
            <w:pPr>
              <w:pStyle w:val="58"/>
              <w:numPr>
                <w:ilvl w:val="0"/>
                <w:numId w:val="7"/>
              </w:numPr>
              <w:autoSpaceDE/>
              <w:autoSpaceDN/>
              <w:spacing w:line="320" w:lineRule="exac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器材保障工作方案涵盖的器材数量满足组委会竞赛要求的，但方案内容贫乏、逻辑混乱，不具备可操作性，器材保障方案评为差，得 1 分。</w:t>
            </w:r>
          </w:p>
          <w:p>
            <w:pPr>
              <w:widowControl/>
              <w:numPr>
                <w:ilvl w:val="0"/>
                <w:numId w:val="7"/>
              </w:numPr>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器材数量未满足组委会竞赛要求或未提供完整器材保障工作方案的，得0分。</w:t>
            </w:r>
          </w:p>
        </w:tc>
        <w:tc>
          <w:tcPr>
            <w:tcW w:w="256"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1392" w:type="pct"/>
            <w:vAlign w:val="center"/>
          </w:tcPr>
          <w:p>
            <w:pPr>
              <w:spacing w:line="3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海外参赛船队组建评价 </w:t>
            </w:r>
          </w:p>
        </w:tc>
        <w:tc>
          <w:tcPr>
            <w:tcW w:w="3095" w:type="pct"/>
            <w:vAlign w:val="center"/>
          </w:tcPr>
          <w:p>
            <w:pPr>
              <w:spacing w:line="3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按照赛事主办单位要求，北海站赛事不得低于8个海外参赛船队，共24支船队参赛。</w:t>
            </w:r>
          </w:p>
          <w:p>
            <w:pPr>
              <w:numPr>
                <w:ilvl w:val="0"/>
                <w:numId w:val="8"/>
              </w:numPr>
              <w:spacing w:line="32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海外参赛船队确认参赛数量达到8个及以上，得15分。</w:t>
            </w:r>
          </w:p>
          <w:p>
            <w:pPr>
              <w:numPr>
                <w:ilvl w:val="0"/>
                <w:numId w:val="8"/>
              </w:numPr>
              <w:spacing w:line="32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海外参赛船队确认参赛数量达到4-7个，得10分。</w:t>
            </w:r>
          </w:p>
          <w:p>
            <w:pPr>
              <w:spacing w:line="3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3、海外参赛船队确认参赛数量达到1-3个，得5分。</w:t>
            </w:r>
          </w:p>
          <w:p>
            <w:pPr>
              <w:pStyle w:val="638"/>
              <w:spacing w:line="32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4、海外参赛船队确认参赛数量为0个，得0分。</w:t>
            </w:r>
          </w:p>
          <w:p>
            <w:pPr>
              <w:spacing w:line="3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注：投标</w:t>
            </w:r>
            <w:r>
              <w:rPr>
                <w:rFonts w:hint="eastAsia" w:asciiTheme="minorEastAsia" w:hAnsiTheme="minorEastAsia" w:eastAsiaTheme="minorEastAsia" w:cstheme="minorEastAsia"/>
                <w:bCs/>
                <w:color w:val="auto"/>
                <w:szCs w:val="21"/>
                <w:highlight w:val="none"/>
              </w:rPr>
              <w:t>单位提交与海外参赛船队签订的参赛协议或确认函或赛事报名表等文件作为证明材料。</w:t>
            </w:r>
          </w:p>
        </w:tc>
        <w:tc>
          <w:tcPr>
            <w:tcW w:w="256"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1392" w:type="pct"/>
            <w:vAlign w:val="center"/>
          </w:tcPr>
          <w:p>
            <w:pPr>
              <w:pStyle w:val="58"/>
              <w:autoSpaceDE/>
              <w:autoSpaceDN/>
              <w:spacing w:line="320" w:lineRule="exact"/>
              <w:ind w:firstLine="210"/>
              <w:rPr>
                <w:rFonts w:hint="eastAsia" w:asciiTheme="minorEastAsia" w:hAnsiTheme="minorEastAsia" w:eastAsiaTheme="minorEastAsia" w:cstheme="minorEastAsia"/>
                <w:color w:val="auto"/>
                <w:sz w:val="21"/>
                <w:szCs w:val="21"/>
                <w:highlight w:val="none"/>
              </w:rPr>
            </w:pPr>
          </w:p>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赛事活动推广方案</w:t>
            </w:r>
          </w:p>
        </w:tc>
        <w:tc>
          <w:tcPr>
            <w:tcW w:w="3095" w:type="pct"/>
            <w:vAlign w:val="center"/>
          </w:tcPr>
          <w:p>
            <w:pPr>
              <w:spacing w:after="60" w:line="32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投标文件相关方案能够全方位进行赛事活动推广，</w:t>
            </w:r>
            <w:r>
              <w:rPr>
                <w:rFonts w:hint="eastAsia" w:asciiTheme="minorEastAsia" w:hAnsiTheme="minorEastAsia" w:eastAsiaTheme="minorEastAsia" w:cstheme="minorEastAsia"/>
                <w:bCs/>
                <w:color w:val="auto"/>
                <w:szCs w:val="21"/>
                <w:highlight w:val="none"/>
              </w:rPr>
              <w:t>内容包含但不仅限于：</w:t>
            </w:r>
          </w:p>
          <w:p>
            <w:pPr>
              <w:numPr>
                <w:ilvl w:val="0"/>
                <w:numId w:val="9"/>
              </w:numPr>
              <w:spacing w:after="60" w:line="3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能提供帆船赛赛事活动方案，推广北海文化和城市特色，提高北海的国际影响力；</w:t>
            </w:r>
          </w:p>
          <w:p>
            <w:pPr>
              <w:pStyle w:val="638"/>
              <w:numPr>
                <w:ilvl w:val="0"/>
                <w:numId w:val="9"/>
              </w:numPr>
              <w:spacing w:line="32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能为赛事或活动开展制定现场场地规划。</w:t>
            </w:r>
          </w:p>
          <w:p>
            <w:pPr>
              <w:wordWrap w:val="0"/>
              <w:spacing w:line="3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注：1）满足以上2项要求且方案内容系统性强、细节丰富，科学性、合理性、针对性及可操作性好，得分5；</w:t>
            </w:r>
          </w:p>
          <w:p>
            <w:pPr>
              <w:wordWrap w:val="0"/>
              <w:spacing w:line="3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2）满足以上2项要求，方案内容深度不足，创新性有限，具备基本可操作性，得3分；</w:t>
            </w:r>
          </w:p>
          <w:p>
            <w:pPr>
              <w:wordWrap w:val="0"/>
              <w:spacing w:line="3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3）满足以上2项要求且方案内容贫乏，缺乏逻辑性和针对性，可操作性较差的，得1分；未满足赛事活动要求或未提供相关工作方案的，得0分。</w:t>
            </w:r>
          </w:p>
        </w:tc>
        <w:tc>
          <w:tcPr>
            <w:tcW w:w="256"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55"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1392" w:type="pct"/>
            <w:vAlign w:val="center"/>
          </w:tcPr>
          <w:p>
            <w:pPr>
              <w:widowControl/>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媒体宣传</w:t>
            </w:r>
          </w:p>
          <w:p>
            <w:pPr>
              <w:widowControl/>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方案</w:t>
            </w:r>
          </w:p>
        </w:tc>
        <w:tc>
          <w:tcPr>
            <w:tcW w:w="3095" w:type="pct"/>
            <w:vAlign w:val="center"/>
          </w:tcPr>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根据投标人编制的媒体宣传方案进行打分，方案内容包括但不限于</w:t>
            </w:r>
            <w:r>
              <w:rPr>
                <w:rFonts w:hint="eastAsia" w:asciiTheme="minorEastAsia" w:hAnsiTheme="minorEastAsia" w:eastAsiaTheme="minorEastAsia" w:cstheme="minorEastAsia"/>
                <w:b/>
                <w:bCs/>
                <w:color w:val="auto"/>
                <w:szCs w:val="21"/>
                <w:highlight w:val="none"/>
              </w:rPr>
              <w:t>媒体报道、平面媒体宣传、视频图文传播及其它专业传播方式</w:t>
            </w:r>
            <w:r>
              <w:rPr>
                <w:rFonts w:hint="eastAsia" w:asciiTheme="minorEastAsia" w:hAnsiTheme="minorEastAsia" w:eastAsiaTheme="minorEastAsia" w:cstheme="minorEastAsia"/>
                <w:color w:val="auto"/>
                <w:szCs w:val="21"/>
                <w:highlight w:val="none"/>
              </w:rPr>
              <w:t xml:space="preserve">等内容。 </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1、媒体推广方案中有承诺在央视频道播出，央视频道每条播出得3分，该项评分最高分值为6分。</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注：需提供过往播出同类型赛事的案例，如不能提供将不计得分。</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2、媒体推广方案中有承诺在体育类央级平面或网络媒体报道，得2分。</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注：需提供过往报道同类型赛事的案例，如不能提供将不计得分。</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3、赛事传播承诺有省级主流媒体参与本赛事报道的，得1分。注：需提供过往报道同类型赛事的案例。</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4、赛事视频图文传播专业性强并提供给成功案例的，得1分。注：需提供过往报道同类型赛事的案例。</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5、未提供媒体推广方案的，得0分。</w:t>
            </w:r>
            <w:r>
              <w:rPr>
                <w:rFonts w:hint="eastAsia" w:asciiTheme="minorEastAsia" w:hAnsiTheme="minorEastAsia" w:eastAsiaTheme="minorEastAsia" w:cstheme="minorEastAsia"/>
                <w:color w:val="auto"/>
                <w:kern w:val="0"/>
                <w:szCs w:val="21"/>
                <w:highlight w:val="none"/>
                <w:lang w:bidi="ar"/>
              </w:rPr>
              <w:t xml:space="preserve"> </w:t>
            </w:r>
          </w:p>
        </w:tc>
        <w:tc>
          <w:tcPr>
            <w:tcW w:w="256"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5"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1392" w:type="pct"/>
            <w:vAlign w:val="center"/>
          </w:tcPr>
          <w:p>
            <w:pPr>
              <w:pStyle w:val="58"/>
              <w:autoSpaceDE/>
              <w:autoSpaceDN/>
              <w:spacing w:line="320" w:lineRule="exact"/>
              <w:ind w:firstLine="0" w:firstLineChars="0"/>
              <w:rPr>
                <w:rFonts w:hint="eastAsia" w:asciiTheme="minorEastAsia" w:hAnsiTheme="minorEastAsia" w:eastAsiaTheme="minorEastAsia" w:cstheme="minorEastAsia"/>
                <w:color w:val="auto"/>
                <w:sz w:val="21"/>
                <w:szCs w:val="21"/>
                <w:highlight w:val="none"/>
                <w:lang w:bidi="ar"/>
              </w:rPr>
            </w:pPr>
          </w:p>
          <w:p>
            <w:pPr>
              <w:pStyle w:val="58"/>
              <w:autoSpaceDE/>
              <w:autoSpaceDN/>
              <w:spacing w:line="320" w:lineRule="exact"/>
              <w:ind w:firstLine="0" w:firstLineChars="0"/>
              <w:rPr>
                <w:rFonts w:hint="eastAsia" w:asciiTheme="minorEastAsia" w:hAnsiTheme="minorEastAsia" w:eastAsiaTheme="minorEastAsia" w:cstheme="minorEastAsia"/>
                <w:color w:val="auto"/>
                <w:sz w:val="21"/>
                <w:szCs w:val="21"/>
                <w:highlight w:val="none"/>
                <w:lang w:bidi="ar"/>
              </w:rPr>
            </w:pPr>
          </w:p>
          <w:p>
            <w:pPr>
              <w:pStyle w:val="58"/>
              <w:autoSpaceDE/>
              <w:autoSpaceDN/>
              <w:spacing w:line="320" w:lineRule="exact"/>
              <w:ind w:firstLine="0" w:firstLineChars="0"/>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赛事组织实施人员评价</w:t>
            </w:r>
          </w:p>
          <w:p>
            <w:pPr>
              <w:pStyle w:val="49"/>
              <w:spacing w:line="320" w:lineRule="exact"/>
              <w:ind w:left="0" w:leftChars="0"/>
              <w:rPr>
                <w:rFonts w:hint="eastAsia" w:asciiTheme="minorEastAsia" w:hAnsiTheme="minorEastAsia" w:eastAsiaTheme="minorEastAsia" w:cstheme="minorEastAsia"/>
                <w:color w:val="auto"/>
                <w:szCs w:val="21"/>
                <w:highlight w:val="none"/>
              </w:rPr>
            </w:pPr>
          </w:p>
        </w:tc>
        <w:tc>
          <w:tcPr>
            <w:tcW w:w="3095" w:type="pct"/>
            <w:vAlign w:val="center"/>
          </w:tcPr>
          <w:p>
            <w:pPr>
              <w:spacing w:line="3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w:t>
            </w:r>
            <w:r>
              <w:rPr>
                <w:rFonts w:hint="eastAsia" w:asciiTheme="minorEastAsia" w:hAnsiTheme="minorEastAsia" w:eastAsiaTheme="minorEastAsia" w:cstheme="minorEastAsia"/>
                <w:bCs/>
                <w:color w:val="auto"/>
                <w:szCs w:val="21"/>
                <w:highlight w:val="none"/>
              </w:rPr>
              <w:t>单位</w:t>
            </w:r>
            <w:r>
              <w:rPr>
                <w:rFonts w:hint="eastAsia" w:asciiTheme="minorEastAsia" w:hAnsiTheme="minorEastAsia" w:eastAsiaTheme="minorEastAsia" w:cstheme="minorEastAsia"/>
                <w:color w:val="auto"/>
                <w:szCs w:val="21"/>
                <w:highlight w:val="none"/>
              </w:rPr>
              <w:t>拟投入本项目的赛事组织实施人员中：</w:t>
            </w:r>
          </w:p>
          <w:p>
            <w:pPr>
              <w:spacing w:line="32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1、投标单位需根据世界帆联相关规定组建裁判和仲裁团队，具有帆船项目“世界帆联或国家协会认证的国际（家）级”的，每提供1人得1分。</w:t>
            </w:r>
          </w:p>
          <w:p>
            <w:pPr>
              <w:numPr>
                <w:ilvl w:val="255"/>
                <w:numId w:val="0"/>
              </w:numPr>
              <w:spacing w:line="3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2、投标单位项目成员须具有丰富的赛事执行经验，由专家对成员从业经历进行打分，项目成员具有帆船项目“国家二级及以上裁判员证书”的，每提供1人得1分，该项评分最高分值为3分。</w:t>
            </w:r>
          </w:p>
          <w:p>
            <w:pPr>
              <w:numPr>
                <w:ilvl w:val="255"/>
                <w:numId w:val="0"/>
              </w:numPr>
              <w:spacing w:line="32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3、投标单位项目负责人有承办或运营过国际级</w:t>
            </w:r>
            <w:r>
              <w:rPr>
                <w:rFonts w:hint="eastAsia" w:asciiTheme="minorEastAsia" w:hAnsiTheme="minorEastAsia" w:eastAsiaTheme="minorEastAsia" w:cstheme="minorEastAsia"/>
                <w:bCs/>
                <w:color w:val="auto"/>
                <w:szCs w:val="21"/>
                <w:highlight w:val="none"/>
                <w:lang w:eastAsia="zh-Hans"/>
              </w:rPr>
              <w:t>水上</w:t>
            </w:r>
            <w:r>
              <w:rPr>
                <w:rFonts w:hint="eastAsia" w:asciiTheme="minorEastAsia" w:hAnsiTheme="minorEastAsia" w:eastAsiaTheme="minorEastAsia" w:cstheme="minorEastAsia"/>
                <w:bCs/>
                <w:color w:val="auto"/>
                <w:szCs w:val="21"/>
                <w:highlight w:val="none"/>
              </w:rPr>
              <w:t>运动</w:t>
            </w:r>
            <w:r>
              <w:rPr>
                <w:rFonts w:hint="eastAsia" w:asciiTheme="minorEastAsia" w:hAnsiTheme="minorEastAsia" w:eastAsiaTheme="minorEastAsia" w:cstheme="minorEastAsia"/>
                <w:bCs/>
                <w:color w:val="auto"/>
                <w:szCs w:val="21"/>
                <w:highlight w:val="none"/>
                <w:lang w:eastAsia="zh-Hans"/>
              </w:rPr>
              <w:t>赛事</w:t>
            </w:r>
            <w:r>
              <w:rPr>
                <w:rFonts w:hint="eastAsia" w:asciiTheme="minorEastAsia" w:hAnsiTheme="minorEastAsia" w:eastAsiaTheme="minorEastAsia" w:cstheme="minorEastAsia"/>
                <w:bCs/>
                <w:color w:val="auto"/>
                <w:szCs w:val="21"/>
                <w:highlight w:val="none"/>
              </w:rPr>
              <w:t>经验的，每个得1分。</w:t>
            </w:r>
          </w:p>
          <w:p>
            <w:pPr>
              <w:numPr>
                <w:ilvl w:val="255"/>
                <w:numId w:val="0"/>
              </w:numPr>
              <w:spacing w:line="32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4、投标单位项目负责人有承办或运营过国家级</w:t>
            </w:r>
            <w:r>
              <w:rPr>
                <w:rFonts w:hint="eastAsia" w:asciiTheme="minorEastAsia" w:hAnsiTheme="minorEastAsia" w:eastAsiaTheme="minorEastAsia" w:cstheme="minorEastAsia"/>
                <w:bCs/>
                <w:color w:val="auto"/>
                <w:szCs w:val="21"/>
                <w:highlight w:val="none"/>
                <w:lang w:eastAsia="zh-Hans"/>
              </w:rPr>
              <w:t>水上</w:t>
            </w:r>
            <w:r>
              <w:rPr>
                <w:rFonts w:hint="eastAsia" w:asciiTheme="minorEastAsia" w:hAnsiTheme="minorEastAsia" w:eastAsiaTheme="minorEastAsia" w:cstheme="minorEastAsia"/>
                <w:bCs/>
                <w:color w:val="auto"/>
                <w:szCs w:val="21"/>
                <w:highlight w:val="none"/>
              </w:rPr>
              <w:t>运动</w:t>
            </w:r>
            <w:r>
              <w:rPr>
                <w:rFonts w:hint="eastAsia" w:asciiTheme="minorEastAsia" w:hAnsiTheme="minorEastAsia" w:eastAsiaTheme="minorEastAsia" w:cstheme="minorEastAsia"/>
                <w:bCs/>
                <w:color w:val="auto"/>
                <w:szCs w:val="21"/>
                <w:highlight w:val="none"/>
                <w:lang w:eastAsia="zh-Hans"/>
              </w:rPr>
              <w:t>赛事</w:t>
            </w:r>
            <w:r>
              <w:rPr>
                <w:rFonts w:hint="eastAsia" w:asciiTheme="minorEastAsia" w:hAnsiTheme="minorEastAsia" w:eastAsiaTheme="minorEastAsia" w:cstheme="minorEastAsia"/>
                <w:bCs/>
                <w:color w:val="auto"/>
                <w:szCs w:val="21"/>
                <w:highlight w:val="none"/>
              </w:rPr>
              <w:t>经验的，每个得1分。</w:t>
            </w:r>
          </w:p>
          <w:p>
            <w:pPr>
              <w:numPr>
                <w:ilvl w:val="255"/>
                <w:numId w:val="0"/>
              </w:numPr>
              <w:spacing w:line="32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注：</w:t>
            </w:r>
          </w:p>
          <w:p>
            <w:pPr>
              <w:numPr>
                <w:ilvl w:val="255"/>
                <w:numId w:val="0"/>
              </w:numPr>
              <w:spacing w:line="32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1）赛事级别认定方式为：①国际性体育组织参与主办或由国际性体育组织注册管理的赛事为国际级赛事；②主办单位含国家体育总局（含直属单位）或全国性协会的为国家级赛事；</w:t>
            </w:r>
          </w:p>
          <w:p>
            <w:pPr>
              <w:numPr>
                <w:ilvl w:val="255"/>
                <w:numId w:val="0"/>
              </w:numPr>
              <w:spacing w:line="32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2）须提供与赛事主承办单位或授权单位签订的合同书或协议、中标通知书或授权书等。</w:t>
            </w:r>
          </w:p>
          <w:p>
            <w:pPr>
              <w:numPr>
                <w:ilvl w:val="255"/>
                <w:numId w:val="0"/>
              </w:numPr>
              <w:spacing w:line="32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3）国际性体育组织注册的赛事须提供相关证明文件或官方网站截图。</w:t>
            </w:r>
          </w:p>
          <w:p>
            <w:pPr>
              <w:numPr>
                <w:ilvl w:val="255"/>
                <w:numId w:val="0"/>
              </w:numPr>
              <w:spacing w:line="32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4）项目人员所提供的从业经验资料须加盖赛事组委会及相关协会公章。</w:t>
            </w:r>
          </w:p>
          <w:p>
            <w:pPr>
              <w:numPr>
                <w:ilvl w:val="255"/>
                <w:numId w:val="0"/>
              </w:numPr>
              <w:spacing w:line="32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5）第1项需提供相关人员所在官方平台信息和确认函件。</w:t>
            </w:r>
          </w:p>
          <w:p>
            <w:pPr>
              <w:numPr>
                <w:ilvl w:val="255"/>
                <w:numId w:val="0"/>
              </w:numPr>
              <w:spacing w:line="32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6）第2项提供上述人员相关裁判员证书扫描件，原件备查。</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7）该项评分最高分值为10分。</w:t>
            </w:r>
          </w:p>
        </w:tc>
        <w:tc>
          <w:tcPr>
            <w:tcW w:w="256"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255"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1392" w:type="pct"/>
            <w:vAlign w:val="center"/>
          </w:tcPr>
          <w:p>
            <w:pPr>
              <w:snapToGrid w:val="0"/>
              <w:spacing w:line="320" w:lineRule="exact"/>
              <w:jc w:val="center"/>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企业业绩</w:t>
            </w:r>
          </w:p>
          <w:p>
            <w:pPr>
              <w:pStyle w:val="58"/>
              <w:autoSpaceDE/>
              <w:autoSpaceDN/>
              <w:spacing w:line="320" w:lineRule="exact"/>
              <w:ind w:firstLine="210"/>
              <w:rPr>
                <w:rFonts w:hint="eastAsia" w:asciiTheme="minorEastAsia" w:hAnsiTheme="minorEastAsia" w:eastAsiaTheme="minorEastAsia" w:cstheme="minorEastAsia"/>
                <w:color w:val="auto"/>
                <w:sz w:val="21"/>
                <w:szCs w:val="21"/>
                <w:highlight w:val="none"/>
              </w:rPr>
            </w:pPr>
          </w:p>
        </w:tc>
        <w:tc>
          <w:tcPr>
            <w:tcW w:w="3095" w:type="pct"/>
            <w:vAlign w:val="center"/>
          </w:tcPr>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1、投标单位有在2021年至今承办或运营过国际级</w:t>
            </w:r>
            <w:r>
              <w:rPr>
                <w:rFonts w:hint="eastAsia" w:asciiTheme="minorEastAsia" w:hAnsiTheme="minorEastAsia" w:eastAsiaTheme="minorEastAsia" w:cstheme="minorEastAsia"/>
                <w:color w:val="auto"/>
                <w:szCs w:val="21"/>
                <w:highlight w:val="none"/>
                <w:lang w:eastAsia="zh-Hans"/>
              </w:rPr>
              <w:t>水上赛事</w:t>
            </w:r>
            <w:r>
              <w:rPr>
                <w:rFonts w:hint="eastAsia" w:asciiTheme="minorEastAsia" w:hAnsiTheme="minorEastAsia" w:eastAsiaTheme="minorEastAsia" w:cstheme="minorEastAsia"/>
                <w:color w:val="auto"/>
                <w:szCs w:val="21"/>
                <w:highlight w:val="none"/>
              </w:rPr>
              <w:t>经验的，每个赛事得2分。</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2、投标单位有在2021年至今承办或运营过国家级</w:t>
            </w:r>
            <w:r>
              <w:rPr>
                <w:rFonts w:hint="eastAsia" w:asciiTheme="minorEastAsia" w:hAnsiTheme="minorEastAsia" w:eastAsiaTheme="minorEastAsia" w:cstheme="minorEastAsia"/>
                <w:color w:val="auto"/>
                <w:szCs w:val="21"/>
                <w:highlight w:val="none"/>
                <w:lang w:eastAsia="zh-Hans"/>
              </w:rPr>
              <w:t>水上赛事</w:t>
            </w:r>
            <w:r>
              <w:rPr>
                <w:rFonts w:hint="eastAsia" w:asciiTheme="minorEastAsia" w:hAnsiTheme="minorEastAsia" w:eastAsiaTheme="minorEastAsia" w:cstheme="minorEastAsia"/>
                <w:color w:val="auto"/>
                <w:szCs w:val="21"/>
                <w:highlight w:val="none"/>
              </w:rPr>
              <w:t>经验的，每个赛事得2分。</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注：1）赛事级别认定方式为：①国际性体育组织参与主办或在国际性体育组织注册管理的赛事为国际级赛事；②主办单位含国家体育总局（含直属单位）或全国性协会的为国家级赛事；</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须提供与赛事主承办单位或授权单位签订的合同书或协议、中标通知书或授权书等。</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国际性体育组织注册的赛事须提供相关证明文件或官方网站截图。</w:t>
            </w:r>
          </w:p>
        </w:tc>
        <w:tc>
          <w:tcPr>
            <w:tcW w:w="256"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5" w:type="pct"/>
            <w:vAlign w:val="center"/>
          </w:tcPr>
          <w:p>
            <w:pPr>
              <w:widowControl/>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1392" w:type="pct"/>
            <w:vAlign w:val="center"/>
          </w:tcPr>
          <w:p>
            <w:pPr>
              <w:snapToGrid w:val="0"/>
              <w:spacing w:line="320" w:lineRule="exact"/>
              <w:jc w:val="center"/>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办赛实力</w:t>
            </w:r>
          </w:p>
          <w:p>
            <w:pPr>
              <w:pStyle w:val="58"/>
              <w:autoSpaceDE/>
              <w:autoSpaceDN/>
              <w:spacing w:line="320" w:lineRule="exact"/>
              <w:ind w:firstLine="210"/>
              <w:rPr>
                <w:rFonts w:hint="eastAsia" w:asciiTheme="minorEastAsia" w:hAnsiTheme="minorEastAsia" w:eastAsiaTheme="minorEastAsia" w:cstheme="minorEastAsia"/>
                <w:color w:val="auto"/>
                <w:sz w:val="21"/>
                <w:szCs w:val="21"/>
                <w:highlight w:val="none"/>
              </w:rPr>
            </w:pPr>
          </w:p>
        </w:tc>
        <w:tc>
          <w:tcPr>
            <w:tcW w:w="3095" w:type="pct"/>
            <w:vAlign w:val="center"/>
          </w:tcPr>
          <w:p>
            <w:pPr>
              <w:widowControl/>
              <w:numPr>
                <w:ilvl w:val="0"/>
                <w:numId w:val="10"/>
              </w:numPr>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投标单位有获得过国家级荣誉的每个得5分，最高得5分；</w:t>
            </w:r>
          </w:p>
          <w:p>
            <w:pPr>
              <w:widowControl/>
              <w:numPr>
                <w:ilvl w:val="0"/>
                <w:numId w:val="10"/>
              </w:numPr>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投标单位有获得过省级荣誉的每个得5分，最高得5分；</w:t>
            </w:r>
          </w:p>
          <w:p>
            <w:pPr>
              <w:widowControl/>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注：1）荣誉级别以颁发单位级别来认定：①颁发单位为国家体育总局（含直属单位）或全国性协会的为国家级； ②颁发单位为省级政府（含下属体育行政主管部门）或省级协会的为省级；2）须提供获得该荣誉的相关证明文件，可以是相关证书、牌匾、官方 公告等，文件可为照片、证书复印件、网站截图等。3）两项加分不可重复计分。 </w:t>
            </w:r>
          </w:p>
        </w:tc>
        <w:tc>
          <w:tcPr>
            <w:tcW w:w="256"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5" w:type="pct"/>
            <w:vAlign w:val="center"/>
          </w:tcPr>
          <w:p>
            <w:pPr>
              <w:widowControl/>
              <w:adjustRightInd w:val="0"/>
              <w:snapToGrid w:val="0"/>
              <w:spacing w:line="32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w:t>
            </w:r>
          </w:p>
        </w:tc>
        <w:tc>
          <w:tcPr>
            <w:tcW w:w="1392" w:type="pct"/>
            <w:vAlign w:val="center"/>
          </w:tcPr>
          <w:p>
            <w:pPr>
              <w:widowControl/>
              <w:adjustRightInd w:val="0"/>
              <w:snapToGrid w:val="0"/>
              <w:spacing w:line="32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价格分</w:t>
            </w:r>
          </w:p>
        </w:tc>
        <w:tc>
          <w:tcPr>
            <w:tcW w:w="3095" w:type="pct"/>
          </w:tcPr>
          <w:p>
            <w:pPr>
              <w:widowControl/>
              <w:spacing w:line="320" w:lineRule="exact"/>
              <w:jc w:val="left"/>
              <w:textAlignment w:val="center"/>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（1）以进入评标的最低的评标价为=30分。</w:t>
            </w:r>
          </w:p>
          <w:p>
            <w:pPr>
              <w:widowControl/>
              <w:spacing w:line="320" w:lineRule="exact"/>
              <w:jc w:val="left"/>
              <w:textAlignment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kern w:val="0"/>
                <w:szCs w:val="21"/>
                <w:highlight w:val="none"/>
                <w:lang w:bidi="ar"/>
              </w:rPr>
              <w:t>（2）某投标人价格分=投标人最低评标价（金额）/某投标人评标价（金额）×30（分）</w:t>
            </w:r>
          </w:p>
        </w:tc>
        <w:tc>
          <w:tcPr>
            <w:tcW w:w="256" w:type="pct"/>
            <w:vAlign w:val="center"/>
          </w:tcPr>
          <w:p>
            <w:pPr>
              <w:widowControl/>
              <w:adjustRightInd w:val="0"/>
              <w:snapToGrid w:val="0"/>
              <w:spacing w:line="32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30</w:t>
            </w:r>
          </w:p>
        </w:tc>
      </w:tr>
    </w:tbl>
    <w:p>
      <w:pPr>
        <w:rPr>
          <w:color w:val="auto"/>
          <w:highlight w:val="none"/>
        </w:rPr>
      </w:pPr>
    </w:p>
    <w:p>
      <w:pPr>
        <w:rPr>
          <w:rFonts w:hint="eastAsia"/>
          <w:color w:val="auto"/>
          <w:highlight w:val="none"/>
          <w:lang w:val="en-US"/>
        </w:rPr>
      </w:pPr>
    </w:p>
    <w:p>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（三）总得分为上述11项计分项的汇总。</w:t>
      </w:r>
    </w:p>
    <w:p>
      <w:pPr>
        <w:snapToGrid w:val="0"/>
        <w:spacing w:line="360" w:lineRule="auto"/>
        <w:ind w:firstLine="482"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三、成交候选供应商推荐原则</w:t>
      </w:r>
    </w:p>
    <w:p>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磋商小组将根据得分由高到低排列次序（得分相同时，以磋商报价由低到高顺序排列；得分相同且磋商报价相同的，按技术指标优劣顺序排列）并推荐成交候选供应商。采购人应当确定评审委员会推荐排名第一的成交候选供应商为成交供应商。排名第一的成交候选供应商放弃成交、因不可抗力提出不能履行合同，或者磋商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其余以此类推。采购人也可以决定重新采购。</w:t>
      </w:r>
    </w:p>
    <w:p>
      <w:pPr>
        <w:snapToGrid w:val="0"/>
        <w:spacing w:line="360" w:lineRule="auto"/>
        <w:ind w:firstLine="480" w:firstLineChars="200"/>
        <w:outlineLvl w:val="1"/>
        <w:rPr>
          <w:color w:val="auto"/>
          <w:highlight w:val="none"/>
        </w:rPr>
      </w:pPr>
      <w:r>
        <w:rPr>
          <w:rFonts w:hint="eastAsia" w:asciiTheme="minorEastAsia" w:hAnsiTheme="minorEastAsia" w:eastAsiaTheme="minorEastAsia" w:cstheme="minorEastAsia"/>
          <w:color w:val="auto"/>
          <w:sz w:val="24"/>
          <w:highlight w:val="none"/>
        </w:rPr>
        <w:t>（二）磋商小组认为，某磋商供应商的磋商报价属于采购文件规定异常低价情况之一的，应要求其在规定的期限内提供书面文件予以解释说明，并提交相关证明材料，否则磋商无效。</w:t>
      </w:r>
    </w:p>
    <w:p>
      <w:pPr>
        <w:rPr>
          <w:color w:val="auto"/>
          <w:highlight w:val="none"/>
        </w:rPr>
      </w:pPr>
    </w:p>
    <w:p>
      <w:pPr>
        <w:snapToGrid w:val="0"/>
        <w:spacing w:line="360" w:lineRule="auto"/>
        <w:ind w:firstLine="400" w:firstLineChars="200"/>
        <w:rPr>
          <w:rFonts w:hint="eastAsia" w:ascii="宋体" w:hAnsi="宋体" w:cs="宋体"/>
          <w:color w:val="auto"/>
          <w:sz w:val="24"/>
          <w:highlight w:val="none"/>
        </w:rPr>
      </w:pPr>
      <w:r>
        <w:rPr>
          <w:rFonts w:hint="eastAsia" w:ascii="宋体" w:hAnsi="宋体" w:cs="宋体"/>
          <w:color w:val="auto"/>
          <w:sz w:val="20"/>
          <w:szCs w:val="20"/>
          <w:highlight w:val="none"/>
          <w:shd w:val="clear" w:color="auto" w:fill="FFFFFF"/>
        </w:rPr>
        <w:t> </w:t>
      </w: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color w:val="auto"/>
          <w:sz w:val="24"/>
          <w:highlight w:val="none"/>
        </w:rPr>
        <w:t>供应商编制响应文件（商务技术文件部分）时，建议按此目录（序号和内容）提供评标标准相应的商务技术资料。</w:t>
      </w:r>
    </w:p>
    <w:p>
      <w:pPr>
        <w:adjustRightInd/>
        <w:spacing w:line="360" w:lineRule="auto"/>
        <w:ind w:firstLine="482" w:firstLineChars="200"/>
        <w:rPr>
          <w:rFonts w:hint="eastAsia" w:cs="Arial" w:asciiTheme="minorEastAsia" w:hAnsiTheme="minorEastAsia" w:eastAsiaTheme="minorEastAsia"/>
          <w:b/>
          <w:color w:val="auto"/>
          <w:kern w:val="0"/>
          <w:sz w:val="24"/>
          <w:highlight w:val="none"/>
        </w:rPr>
      </w:pPr>
    </w:p>
    <w:p>
      <w:pPr>
        <w:pStyle w:val="392"/>
        <w:spacing w:before="0"/>
        <w:ind w:firstLine="643"/>
        <w:jc w:val="center"/>
        <w:outlineLvl w:val="1"/>
        <w:rPr>
          <w:rFonts w:hint="eastAsia"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pPr>
        <w:adjustRightInd/>
        <w:spacing w:line="360" w:lineRule="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b/>
          <w:color w:val="auto"/>
          <w:kern w:val="0"/>
          <w:sz w:val="24"/>
          <w:highlight w:val="none"/>
        </w:rPr>
        <w:t>1.综合评分法。</w:t>
      </w:r>
      <w:r>
        <w:rPr>
          <w:rFonts w:hint="eastAsia" w:cs="Arial" w:asciiTheme="minorEastAsia" w:hAnsiTheme="minorEastAsia" w:eastAsiaTheme="minorEastAsia"/>
          <w:color w:val="auto"/>
          <w:kern w:val="0"/>
          <w:sz w:val="24"/>
          <w:highlight w:val="none"/>
        </w:rPr>
        <w:t>综合评分法，是指响应文件满足磋商文件全部实质性要求，且按照评审因素的量化指标评审得分最高的供应商为成交候选人的评审方法。</w:t>
      </w:r>
    </w:p>
    <w:p>
      <w:pPr>
        <w:adjustRightInd/>
        <w:spacing w:line="360" w:lineRule="auto"/>
        <w:rPr>
          <w:rFonts w:hint="eastAsia" w:cs="Arial" w:asciiTheme="minorEastAsia" w:hAnsiTheme="minorEastAsia" w:eastAsiaTheme="minorEastAsia"/>
          <w:color w:val="auto"/>
          <w:kern w:val="0"/>
          <w:sz w:val="24"/>
          <w:highlight w:val="none"/>
        </w:rPr>
      </w:pPr>
    </w:p>
    <w:p>
      <w:pPr>
        <w:snapToGrid w:val="0"/>
        <w:spacing w:line="360" w:lineRule="auto"/>
        <w:ind w:left="120" w:leftChars="57" w:firstLine="482" w:firstLineChars="150"/>
        <w:jc w:val="center"/>
        <w:outlineLvl w:val="1"/>
        <w:rPr>
          <w:rFonts w:hint="eastAsia"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二、磋商小组的组成</w:t>
      </w:r>
    </w:p>
    <w:p>
      <w:pPr>
        <w:pStyle w:val="392"/>
        <w:spacing w:before="0"/>
        <w:ind w:firstLine="0" w:firstLineChars="0"/>
        <w:rPr>
          <w:rFonts w:hint="eastAsia"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1.磋商小组的组成。</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snapToGrid w:val="0"/>
        <w:spacing w:line="360" w:lineRule="auto"/>
        <w:rPr>
          <w:rFonts w:hint="eastAsia"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在政府采购活动中，磋商小组的组成人员与供应商有下列利害关系之一的，应当回避：</w:t>
      </w:r>
    </w:p>
    <w:p>
      <w:pPr>
        <w:pStyle w:val="392"/>
        <w:spacing w:before="0"/>
        <w:ind w:firstLine="0" w:firstLineChars="0"/>
        <w:rPr>
          <w:rFonts w:hint="eastAsia"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pPr>
        <w:pStyle w:val="392"/>
        <w:spacing w:before="0"/>
        <w:ind w:firstLine="0" w:firstLineChars="0"/>
        <w:rPr>
          <w:rFonts w:hint="eastAsia"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pPr>
        <w:pStyle w:val="392"/>
        <w:spacing w:before="0"/>
        <w:ind w:firstLine="0" w:firstLineChars="0"/>
        <w:rPr>
          <w:rFonts w:hint="eastAsia"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pPr>
        <w:pStyle w:val="392"/>
        <w:spacing w:before="0"/>
        <w:ind w:firstLine="480" w:firstLineChars="0"/>
        <w:rPr>
          <w:rFonts w:hint="eastAsia"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pPr>
        <w:pStyle w:val="392"/>
        <w:spacing w:before="0"/>
        <w:ind w:firstLine="480" w:firstLineChars="0"/>
        <w:rPr>
          <w:rFonts w:hint="eastAsia"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pPr>
        <w:snapToGrid w:val="0"/>
        <w:spacing w:line="360" w:lineRule="auto"/>
        <w:ind w:left="120" w:leftChars="57" w:firstLine="482" w:firstLineChars="150"/>
        <w:jc w:val="center"/>
        <w:rPr>
          <w:rFonts w:hint="eastAsia" w:cs="仿宋_GB2312" w:asciiTheme="minorEastAsia" w:hAnsiTheme="minorEastAsia" w:eastAsiaTheme="minorEastAsia"/>
          <w:b/>
          <w:color w:val="auto"/>
          <w:sz w:val="32"/>
          <w:highlight w:val="none"/>
        </w:rPr>
      </w:pPr>
    </w:p>
    <w:p>
      <w:pPr>
        <w:snapToGrid w:val="0"/>
        <w:spacing w:line="360" w:lineRule="auto"/>
        <w:ind w:left="120" w:leftChars="57" w:firstLine="482" w:firstLineChars="150"/>
        <w:jc w:val="center"/>
        <w:outlineLvl w:val="1"/>
        <w:rPr>
          <w:rFonts w:hint="eastAsia"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pPr>
        <w:pStyle w:val="392"/>
        <w:spacing w:before="0"/>
        <w:ind w:firstLine="0" w:firstLineChars="0"/>
        <w:rPr>
          <w:rFonts w:hint="eastAsia"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1.磋商小组负责具体评审事务，并独立履行下列职责：</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pPr>
        <w:pStyle w:val="392"/>
        <w:spacing w:before="0"/>
        <w:ind w:firstLine="0" w:firstLineChars="0"/>
        <w:rPr>
          <w:rFonts w:hint="eastAsia"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2.磋商小组及其成员不得有下列行为：</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pPr>
        <w:pStyle w:val="392"/>
        <w:spacing w:before="0"/>
        <w:ind w:firstLine="0" w:firstLineChars="0"/>
        <w:rPr>
          <w:rFonts w:hint="eastAsia" w:asciiTheme="minorEastAsia" w:hAnsiTheme="minorEastAsia" w:eastAsiaTheme="minorEastAsia"/>
          <w:b/>
          <w:color w:val="auto"/>
          <w:highlight w:val="none"/>
        </w:rPr>
      </w:pPr>
    </w:p>
    <w:p>
      <w:pPr>
        <w:pStyle w:val="392"/>
        <w:spacing w:before="0"/>
        <w:ind w:firstLine="0" w:firstLineChars="0"/>
        <w:jc w:val="center"/>
        <w:outlineLvl w:val="1"/>
        <w:rPr>
          <w:rFonts w:hint="eastAsia"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pPr>
        <w:pStyle w:val="392"/>
        <w:spacing w:before="0"/>
        <w:ind w:firstLine="472" w:firstLineChars="196"/>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详见磋商文件“第二部分 竞争性磋商流程”。</w:t>
      </w:r>
    </w:p>
    <w:p>
      <w:pPr>
        <w:pStyle w:val="392"/>
        <w:spacing w:before="0"/>
        <w:ind w:firstLine="0" w:firstLineChars="0"/>
        <w:rPr>
          <w:rFonts w:hint="eastAsia" w:asciiTheme="minorEastAsia" w:hAnsiTheme="minorEastAsia" w:eastAsiaTheme="minorEastAsia"/>
          <w:b/>
          <w:color w:val="auto"/>
          <w:highlight w:val="none"/>
        </w:rPr>
      </w:pPr>
    </w:p>
    <w:p>
      <w:pPr>
        <w:pStyle w:val="392"/>
        <w:spacing w:before="0"/>
        <w:ind w:firstLine="0" w:firstLineChars="0"/>
        <w:jc w:val="center"/>
        <w:outlineLvl w:val="1"/>
        <w:rPr>
          <w:rFonts w:hint="eastAsia"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pPr>
        <w:pStyle w:val="392"/>
        <w:spacing w:before="0"/>
        <w:ind w:firstLine="0" w:firstLineChars="0"/>
        <w:rPr>
          <w:rFonts w:hint="eastAsia"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pPr>
        <w:spacing w:line="360" w:lineRule="auto"/>
        <w:ind w:firstLine="48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2"/>
        <w:spacing w:before="0"/>
        <w:ind w:firstLine="0" w:firstLineChars="0"/>
        <w:rPr>
          <w:rFonts w:hint="eastAsia"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pPr>
        <w:spacing w:line="360" w:lineRule="auto"/>
        <w:ind w:firstLine="48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pPr>
        <w:pStyle w:val="392"/>
        <w:spacing w:before="0"/>
        <w:ind w:firstLine="0" w:firstLineChars="0"/>
        <w:rPr>
          <w:rFonts w:hint="eastAsia"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pPr>
        <w:pStyle w:val="24"/>
        <w:spacing w:line="360" w:lineRule="auto"/>
        <w:ind w:firstLine="600" w:firstLineChars="250"/>
        <w:rPr>
          <w:rFonts w:hint="eastAsia"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pPr>
        <w:spacing w:line="360" w:lineRule="auto"/>
        <w:ind w:firstLine="480" w:firstLineChars="200"/>
        <w:rPr>
          <w:rFonts w:hint="eastAsia"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3.3供应商不具备磋商文件中规定的资格要求的（供应商未提供有效的资格证明文件的，视为供应商不具备磋商文件中规定的资格要求）；</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3.4如以联合体形式参加政府采购活动的，联合协议不符合磋商文件规定的联合协议要求的；</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3.5响应文件未按磋商文件的澄清、修改的内容编制，又不符合实质性要求的；</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3.8响应文件未按照磋商文件要求签署、盖章的；</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3.11响应文件中承诺的响应有效期少于磋商文件中载明的响应有效期的；</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3.12供应商所投内容不符合磋商文件中实质性要求的；</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pPr>
        <w:spacing w:line="360" w:lineRule="auto"/>
        <w:ind w:firstLine="48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pPr>
        <w:spacing w:line="360" w:lineRule="auto"/>
        <w:ind w:firstLine="48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3.19供应商仅提交备份响应文件，没有在电子交易平台传输提交响应文件的，响应无效；</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3.21法律、法规、规章（适用本市的）及省级以上规范性文件（适用本市的）规定的其他无效情形。</w:t>
      </w:r>
    </w:p>
    <w:p>
      <w:pPr>
        <w:pStyle w:val="392"/>
        <w:spacing w:before="0"/>
        <w:ind w:firstLine="0" w:firstLineChars="0"/>
        <w:rPr>
          <w:rFonts w:hint="eastAsia"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pPr>
        <w:spacing w:line="360" w:lineRule="auto"/>
        <w:ind w:firstLine="407" w:firstLineChars="194"/>
        <w:rPr>
          <w:rFonts w:hint="eastAsia"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出现下列情形之一的，采购代理机构应当终止竞争性磋商采购活动，通过电子交易平台发布项目终止公告并说明原因，重新开展采购活动：</w:t>
      </w:r>
    </w:p>
    <w:p>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pPr>
        <w:pStyle w:val="392"/>
        <w:spacing w:before="0"/>
        <w:ind w:firstLine="0" w:firstLineChars="0"/>
        <w:rPr>
          <w:rFonts w:hint="eastAsia"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hint="eastAsia"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pStyle w:val="392"/>
        <w:spacing w:before="0"/>
        <w:ind w:firstLine="0" w:firstLineChars="0"/>
        <w:rPr>
          <w:rFonts w:hint="eastAsia" w:cs="仿宋_GB2312" w:asciiTheme="minorEastAsia" w:hAnsiTheme="minorEastAsia" w:eastAsiaTheme="minorEastAsia"/>
          <w:b/>
          <w:color w:val="auto"/>
          <w:highlight w:val="none"/>
        </w:rPr>
      </w:pPr>
    </w:p>
    <w:p>
      <w:pPr>
        <w:snapToGrid w:val="0"/>
        <w:spacing w:line="360" w:lineRule="auto"/>
        <w:ind w:left="120" w:leftChars="57" w:firstLine="482" w:firstLineChars="150"/>
        <w:jc w:val="center"/>
        <w:outlineLvl w:val="1"/>
        <w:rPr>
          <w:rFonts w:hint="eastAsia"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pPr>
        <w:widowControl/>
        <w:spacing w:line="360" w:lineRule="auto"/>
        <w:ind w:firstLine="482"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pPr>
        <w:widowControl/>
        <w:spacing w:line="360" w:lineRule="auto"/>
        <w:ind w:firstLine="482"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pPr>
        <w:widowControl/>
        <w:adjustRightInd/>
        <w:jc w:val="left"/>
        <w:rPr>
          <w:rFonts w:hint="eastAsia"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spacing w:line="360" w:lineRule="auto"/>
        <w:jc w:val="center"/>
        <w:outlineLvl w:val="0"/>
        <w:rPr>
          <w:rFonts w:hint="eastAsia" w:cs="仿宋_GB2312" w:asciiTheme="minorEastAsia" w:hAnsiTheme="minorEastAsia" w:eastAsiaTheme="minorEastAsia"/>
          <w:b/>
          <w:color w:val="auto"/>
          <w:sz w:val="36"/>
          <w:szCs w:val="36"/>
          <w:highlight w:val="none"/>
        </w:rPr>
      </w:pPr>
      <w:bookmarkStart w:id="26" w:name="_Toc181203099"/>
      <w:r>
        <w:rPr>
          <w:rFonts w:hint="eastAsia" w:cs="仿宋_GB2312" w:asciiTheme="minorEastAsia" w:hAnsiTheme="minorEastAsia" w:eastAsiaTheme="minorEastAsia"/>
          <w:b/>
          <w:color w:val="auto"/>
          <w:sz w:val="36"/>
          <w:szCs w:val="36"/>
          <w:highlight w:val="none"/>
        </w:rPr>
        <w:t>第六部分</w:t>
      </w:r>
      <w:bookmarkEnd w:id="25"/>
      <w:r>
        <w:rPr>
          <w:rFonts w:hint="eastAsia" w:cs="仿宋_GB2312" w:asciiTheme="minorEastAsia" w:hAnsiTheme="minorEastAsia" w:eastAsiaTheme="minorEastAsia"/>
          <w:b/>
          <w:color w:val="auto"/>
          <w:sz w:val="36"/>
          <w:szCs w:val="36"/>
          <w:highlight w:val="none"/>
        </w:rPr>
        <w:t xml:space="preserve">  拟签订的合同文本</w:t>
      </w:r>
      <w:bookmarkEnd w:id="26"/>
    </w:p>
    <w:p>
      <w:pPr>
        <w:spacing w:line="480" w:lineRule="auto"/>
        <w:jc w:val="center"/>
        <w:rPr>
          <w:rFonts w:hint="eastAsia" w:ascii="宋体" w:hAnsi="宋体" w:cs="宋体"/>
          <w:b/>
          <w:color w:val="auto"/>
          <w:sz w:val="24"/>
          <w:highlight w:val="none"/>
        </w:rPr>
      </w:pPr>
      <w:bookmarkStart w:id="27" w:name="第五部分"/>
      <w:bookmarkStart w:id="28" w:name="_Toc86217003"/>
    </w:p>
    <w:p>
      <w:pPr>
        <w:spacing w:line="480" w:lineRule="auto"/>
        <w:jc w:val="center"/>
        <w:rPr>
          <w:rFonts w:hint="eastAsia" w:ascii="宋体" w:hAnsi="宋体" w:cs="宋体"/>
          <w:b/>
          <w:color w:val="auto"/>
          <w:sz w:val="24"/>
          <w:highlight w:val="none"/>
        </w:rPr>
      </w:pPr>
    </w:p>
    <w:p>
      <w:pPr>
        <w:pStyle w:val="631"/>
        <w:rPr>
          <w:rFonts w:hint="eastAsia"/>
          <w:color w:val="auto"/>
          <w:highlight w:val="none"/>
        </w:rPr>
      </w:pPr>
    </w:p>
    <w:p>
      <w:pPr>
        <w:pStyle w:val="631"/>
        <w:rPr>
          <w:rFonts w:hint="eastAsia"/>
          <w:color w:val="auto"/>
          <w:highlight w:val="none"/>
        </w:rPr>
      </w:pPr>
    </w:p>
    <w:p>
      <w:pPr>
        <w:pStyle w:val="631"/>
        <w:rPr>
          <w:rFonts w:hint="eastAsia"/>
          <w:color w:val="auto"/>
          <w:highlight w:val="none"/>
        </w:rPr>
      </w:pPr>
    </w:p>
    <w:p>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（服务类）</w:t>
      </w:r>
    </w:p>
    <w:p>
      <w:pPr>
        <w:pStyle w:val="281"/>
        <w:ind w:firstLine="2843" w:firstLineChars="1180"/>
        <w:rPr>
          <w:rFonts w:hint="eastAsia" w:ascii="宋体" w:hAnsi="宋体" w:cs="宋体"/>
          <w:b/>
          <w:color w:val="auto"/>
          <w:szCs w:val="24"/>
          <w:highlight w:val="none"/>
        </w:rPr>
      </w:pPr>
    </w:p>
    <w:p>
      <w:pPr>
        <w:pStyle w:val="24"/>
        <w:spacing w:after="120"/>
        <w:rPr>
          <w:rFonts w:hint="eastAsia"/>
          <w:color w:val="auto"/>
          <w:highlight w:val="none"/>
        </w:rPr>
      </w:pPr>
    </w:p>
    <w:p>
      <w:pPr>
        <w:pStyle w:val="24"/>
        <w:spacing w:after="120"/>
        <w:rPr>
          <w:rFonts w:hint="eastAsia"/>
          <w:color w:val="auto"/>
          <w:highlight w:val="none"/>
        </w:rPr>
      </w:pPr>
    </w:p>
    <w:p>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pStyle w:val="631"/>
        <w:rPr>
          <w:rFonts w:hint="eastAsia"/>
          <w:color w:val="auto"/>
          <w:highlight w:val="none"/>
        </w:rPr>
      </w:pPr>
    </w:p>
    <w:p>
      <w:pPr>
        <w:pStyle w:val="631"/>
        <w:rPr>
          <w:rFonts w:hint="eastAsia"/>
          <w:color w:val="auto"/>
          <w:highlight w:val="none"/>
        </w:rPr>
      </w:pPr>
    </w:p>
    <w:p>
      <w:pPr>
        <w:pStyle w:val="631"/>
        <w:rPr>
          <w:rFonts w:hint="eastAsia"/>
          <w:color w:val="auto"/>
          <w:highlight w:val="none"/>
        </w:rPr>
      </w:pPr>
    </w:p>
    <w:p>
      <w:pPr>
        <w:pStyle w:val="631"/>
        <w:rPr>
          <w:rFonts w:hint="eastAsia"/>
          <w:color w:val="auto"/>
          <w:highlight w:val="none"/>
        </w:rPr>
      </w:pPr>
    </w:p>
    <w:p>
      <w:pPr>
        <w:pStyle w:val="631"/>
        <w:rPr>
          <w:rFonts w:hint="eastAsia"/>
          <w:color w:val="auto"/>
          <w:highlight w:val="none"/>
        </w:rPr>
      </w:pPr>
    </w:p>
    <w:p>
      <w:pPr>
        <w:pStyle w:val="631"/>
        <w:rPr>
          <w:rFonts w:hint="eastAsia"/>
          <w:color w:val="auto"/>
          <w:highlight w:val="none"/>
        </w:rPr>
      </w:pPr>
    </w:p>
    <w:p>
      <w:pPr>
        <w:pStyle w:val="631"/>
        <w:rPr>
          <w:rFonts w:hint="eastAsia"/>
          <w:color w:val="auto"/>
          <w:highlight w:val="none"/>
        </w:rPr>
      </w:pPr>
    </w:p>
    <w:p>
      <w:pPr>
        <w:pStyle w:val="631"/>
        <w:rPr>
          <w:rFonts w:hint="eastAsia"/>
          <w:color w:val="auto"/>
          <w:highlight w:val="none"/>
        </w:rPr>
      </w:pPr>
    </w:p>
    <w:p>
      <w:pPr>
        <w:pStyle w:val="631"/>
        <w:rPr>
          <w:rFonts w:hint="eastAsia"/>
          <w:color w:val="auto"/>
          <w:highlight w:val="none"/>
        </w:rPr>
      </w:pPr>
    </w:p>
    <w:p>
      <w:pPr>
        <w:pStyle w:val="631"/>
        <w:rPr>
          <w:rFonts w:hint="eastAsia"/>
          <w:color w:val="auto"/>
          <w:highlight w:val="none"/>
        </w:rPr>
      </w:pPr>
    </w:p>
    <w:p>
      <w:pPr>
        <w:spacing w:line="360" w:lineRule="auto"/>
        <w:jc w:val="center"/>
        <w:outlineLvl w:val="1"/>
        <w:rPr>
          <w:rFonts w:hint="eastAsia" w:ascii="宋体" w:hAnsi="宋体" w:cs="宋体"/>
          <w:b/>
          <w:color w:val="auto"/>
          <w:sz w:val="24"/>
          <w:highlight w:val="none"/>
        </w:rPr>
      </w:pPr>
      <w:bookmarkStart w:id="29" w:name="_Toc22209"/>
      <w:r>
        <w:rPr>
          <w:rFonts w:hint="eastAsia" w:ascii="宋体" w:hAnsi="宋体"/>
          <w:b/>
          <w:color w:val="auto"/>
          <w:sz w:val="24"/>
          <w:highlight w:val="none"/>
        </w:rPr>
        <w:t>第一节 政府采购合同协议书</w:t>
      </w:r>
      <w:bookmarkEnd w:id="29"/>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根椐北海市旅游文体局和</w:t>
      </w:r>
      <w:r>
        <w:rPr>
          <w:rFonts w:hint="eastAsia" w:asciiTheme="minorEastAsia" w:hAnsiTheme="minorEastAsia" w:eastAsiaTheme="minorEastAsia" w:cstheme="minorEastAsia"/>
          <w:color w:val="auto"/>
          <w:sz w:val="24"/>
          <w:szCs w:val="24"/>
          <w:highlight w:val="none"/>
          <w:u w:val="single"/>
          <w14:ligatures w14:val="none"/>
        </w:rPr>
        <w:t xml:space="preserve">               公司</w:t>
      </w:r>
      <w:r>
        <w:rPr>
          <w:rFonts w:hint="eastAsia" w:asciiTheme="minorEastAsia" w:hAnsiTheme="minorEastAsia" w:eastAsiaTheme="minorEastAsia" w:cstheme="minorEastAsia"/>
          <w:color w:val="auto"/>
          <w:sz w:val="24"/>
          <w:szCs w:val="24"/>
          <w:highlight w:val="none"/>
          <w14:ligatures w14:val="none"/>
        </w:rPr>
        <w:t>双方就举办2025“一带一路”国际帆船赛签订合作协议，甲方为“一带一路”国际帆船赛主办单位，负责赛事的监督指导及费用支出；乙方负责赛事的运营推广，现甲、乙双方经友好协商，本着平等互利的原则，就以下条款达成一致。</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一、赛事概况</w:t>
      </w:r>
    </w:p>
    <w:p>
      <w:pPr>
        <w:spacing w:after="0" w:line="520" w:lineRule="exact"/>
        <w:ind w:firstLine="482" w:firstLineChars="200"/>
        <w:jc w:val="both"/>
        <w:rPr>
          <w:rFonts w:hint="eastAsia" w:asciiTheme="minorEastAsia" w:hAnsiTheme="minorEastAsia" w:eastAsiaTheme="minorEastAsia" w:cstheme="minorEastAsia"/>
          <w:b/>
          <w:bCs/>
          <w:color w:val="auto"/>
          <w:sz w:val="24"/>
          <w:szCs w:val="24"/>
          <w:highlight w:val="none"/>
          <w14:ligatures w14:val="none"/>
        </w:rPr>
      </w:pPr>
      <w:r>
        <w:rPr>
          <w:rFonts w:hint="eastAsia" w:asciiTheme="minorEastAsia" w:hAnsiTheme="minorEastAsia" w:eastAsiaTheme="minorEastAsia" w:cstheme="minorEastAsia"/>
          <w:b/>
          <w:bCs/>
          <w:color w:val="auto"/>
          <w:sz w:val="24"/>
          <w:szCs w:val="24"/>
          <w:highlight w:val="none"/>
          <w14:ligatures w14:val="none"/>
        </w:rPr>
        <w:t>（一）赛事名称</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2025“一带一路”国际帆船赛</w:t>
      </w:r>
    </w:p>
    <w:p>
      <w:pPr>
        <w:spacing w:after="0" w:line="520" w:lineRule="exact"/>
        <w:ind w:firstLine="482" w:firstLineChars="200"/>
        <w:jc w:val="both"/>
        <w:rPr>
          <w:rFonts w:hint="eastAsia" w:asciiTheme="minorEastAsia" w:hAnsiTheme="minorEastAsia" w:eastAsiaTheme="minorEastAsia" w:cstheme="minorEastAsia"/>
          <w:b/>
          <w:bCs/>
          <w:color w:val="auto"/>
          <w:sz w:val="24"/>
          <w:szCs w:val="24"/>
          <w:highlight w:val="none"/>
          <w14:ligatures w14:val="none"/>
        </w:rPr>
      </w:pPr>
      <w:r>
        <w:rPr>
          <w:rFonts w:hint="eastAsia" w:asciiTheme="minorEastAsia" w:hAnsiTheme="minorEastAsia" w:eastAsiaTheme="minorEastAsia" w:cstheme="minorEastAsia"/>
          <w:b/>
          <w:bCs/>
          <w:color w:val="auto"/>
          <w:sz w:val="24"/>
          <w:szCs w:val="24"/>
          <w:highlight w:val="none"/>
          <w14:ligatures w14:val="none"/>
        </w:rPr>
        <w:t>（二）比赛时间</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2025年12月4日-8日</w:t>
      </w:r>
    </w:p>
    <w:p>
      <w:pPr>
        <w:spacing w:after="0" w:line="520" w:lineRule="exact"/>
        <w:ind w:firstLine="482" w:firstLineChars="200"/>
        <w:jc w:val="both"/>
        <w:rPr>
          <w:rFonts w:hint="eastAsia" w:asciiTheme="minorEastAsia" w:hAnsiTheme="minorEastAsia" w:eastAsiaTheme="minorEastAsia" w:cstheme="minorEastAsia"/>
          <w:b/>
          <w:bCs/>
          <w:color w:val="auto"/>
          <w:sz w:val="24"/>
          <w:szCs w:val="24"/>
          <w:highlight w:val="none"/>
          <w14:ligatures w14:val="none"/>
        </w:rPr>
      </w:pPr>
      <w:r>
        <w:rPr>
          <w:rFonts w:hint="eastAsia" w:asciiTheme="minorEastAsia" w:hAnsiTheme="minorEastAsia" w:eastAsiaTheme="minorEastAsia" w:cstheme="minorEastAsia"/>
          <w:b/>
          <w:bCs/>
          <w:color w:val="auto"/>
          <w:sz w:val="24"/>
          <w:szCs w:val="24"/>
          <w:highlight w:val="none"/>
          <w14:ligatures w14:val="none"/>
        </w:rPr>
        <w:t>（三）比赛地点</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中国北海</w:t>
      </w:r>
    </w:p>
    <w:p>
      <w:pPr>
        <w:spacing w:after="0" w:line="520" w:lineRule="exact"/>
        <w:ind w:firstLine="482" w:firstLineChars="200"/>
        <w:jc w:val="both"/>
        <w:rPr>
          <w:rFonts w:hint="eastAsia" w:asciiTheme="minorEastAsia" w:hAnsiTheme="minorEastAsia" w:eastAsiaTheme="minorEastAsia" w:cstheme="minorEastAsia"/>
          <w:b/>
          <w:bCs/>
          <w:color w:val="auto"/>
          <w:sz w:val="24"/>
          <w:szCs w:val="24"/>
          <w:highlight w:val="none"/>
          <w14:ligatures w14:val="none"/>
        </w:rPr>
      </w:pPr>
      <w:r>
        <w:rPr>
          <w:rFonts w:hint="eastAsia" w:asciiTheme="minorEastAsia" w:hAnsiTheme="minorEastAsia" w:eastAsiaTheme="minorEastAsia" w:cstheme="minorEastAsia"/>
          <w:b/>
          <w:bCs/>
          <w:color w:val="auto"/>
          <w:sz w:val="24"/>
          <w:szCs w:val="24"/>
          <w:highlight w:val="none"/>
          <w14:ligatures w14:val="none"/>
        </w:rPr>
        <w:t>（四）日程安排</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12月4日  赛队报到、技术会议、欢迎仪式、开幕仪式</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12月5日  竞赛日</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12月6日  竞赛日</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12月7日  竞赛日、颁奖仪式</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12月8日  离会</w:t>
      </w:r>
    </w:p>
    <w:p>
      <w:pPr>
        <w:spacing w:after="0" w:line="520" w:lineRule="exact"/>
        <w:ind w:firstLine="482" w:firstLineChars="200"/>
        <w:jc w:val="both"/>
        <w:rPr>
          <w:rFonts w:hint="eastAsia" w:asciiTheme="minorEastAsia" w:hAnsiTheme="minorEastAsia" w:eastAsiaTheme="minorEastAsia" w:cstheme="minorEastAsia"/>
          <w:b/>
          <w:bCs/>
          <w:color w:val="auto"/>
          <w:sz w:val="24"/>
          <w:szCs w:val="24"/>
          <w:highlight w:val="none"/>
          <w14:ligatures w14:val="none"/>
        </w:rPr>
      </w:pPr>
      <w:r>
        <w:rPr>
          <w:rFonts w:hint="eastAsia" w:asciiTheme="minorEastAsia" w:hAnsiTheme="minorEastAsia" w:eastAsiaTheme="minorEastAsia" w:cstheme="minorEastAsia"/>
          <w:b/>
          <w:bCs/>
          <w:color w:val="auto"/>
          <w:sz w:val="24"/>
          <w:szCs w:val="24"/>
          <w:highlight w:val="none"/>
          <w14:ligatures w14:val="none"/>
        </w:rPr>
        <w:t>（五）比赛形式</w:t>
      </w:r>
    </w:p>
    <w:p>
      <w:pPr>
        <w:spacing w:after="0" w:line="560" w:lineRule="exact"/>
        <w:ind w:firstLine="480" w:firstLineChars="200"/>
        <w:jc w:val="both"/>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正式比赛不少于3天，设立统一组别或公开组别竞赛，比赛形式为场地赛和长距离赛且每种形式至少要开展一次，具体可视场地实际情况确定。</w:t>
      </w:r>
    </w:p>
    <w:p>
      <w:pPr>
        <w:spacing w:after="0" w:line="560" w:lineRule="exact"/>
        <w:ind w:firstLine="482" w:firstLineChars="200"/>
        <w:jc w:val="both"/>
        <w:rPr>
          <w:rFonts w:hint="eastAsia" w:asciiTheme="minorEastAsia" w:hAnsiTheme="minorEastAsia" w:eastAsiaTheme="minorEastAsia" w:cstheme="minorEastAsia"/>
          <w:b/>
          <w:bCs/>
          <w:color w:val="auto"/>
          <w:sz w:val="24"/>
          <w:szCs w:val="24"/>
          <w:highlight w:val="none"/>
          <w14:ligatures w14:val="none"/>
        </w:rPr>
      </w:pPr>
      <w:r>
        <w:rPr>
          <w:rFonts w:hint="eastAsia" w:asciiTheme="minorEastAsia" w:hAnsiTheme="minorEastAsia" w:eastAsiaTheme="minorEastAsia" w:cstheme="minorEastAsia"/>
          <w:b/>
          <w:bCs/>
          <w:color w:val="auto"/>
          <w:sz w:val="24"/>
          <w:szCs w:val="24"/>
          <w:highlight w:val="none"/>
          <w14:ligatures w14:val="none"/>
        </w:rPr>
        <w:t>（六）比赛船型</w:t>
      </w:r>
    </w:p>
    <w:p>
      <w:pPr>
        <w:spacing w:after="0" w:line="560" w:lineRule="exact"/>
        <w:ind w:firstLine="480" w:firstLineChars="200"/>
        <w:jc w:val="both"/>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比赛帆船统一组别采用J80船型，公开组别视当地船型及报名招募而定。</w:t>
      </w:r>
    </w:p>
    <w:p>
      <w:pPr>
        <w:spacing w:after="0" w:line="560" w:lineRule="exact"/>
        <w:ind w:firstLine="482" w:firstLineChars="200"/>
        <w:jc w:val="both"/>
        <w:rPr>
          <w:rFonts w:hint="eastAsia" w:asciiTheme="minorEastAsia" w:hAnsiTheme="minorEastAsia" w:eastAsiaTheme="minorEastAsia" w:cstheme="minorEastAsia"/>
          <w:b/>
          <w:bCs/>
          <w:color w:val="auto"/>
          <w:sz w:val="24"/>
          <w:szCs w:val="24"/>
          <w:highlight w:val="none"/>
          <w14:ligatures w14:val="none"/>
        </w:rPr>
      </w:pPr>
      <w:r>
        <w:rPr>
          <w:rFonts w:hint="eastAsia" w:asciiTheme="minorEastAsia" w:hAnsiTheme="minorEastAsia" w:eastAsiaTheme="minorEastAsia" w:cstheme="minorEastAsia"/>
          <w:b/>
          <w:bCs/>
          <w:color w:val="auto"/>
          <w:sz w:val="24"/>
          <w:szCs w:val="24"/>
          <w:highlight w:val="none"/>
          <w14:ligatures w14:val="none"/>
        </w:rPr>
        <w:t>（七）赛事规模</w:t>
      </w:r>
    </w:p>
    <w:p>
      <w:pPr>
        <w:spacing w:after="0" w:line="520" w:lineRule="exact"/>
        <w:ind w:firstLine="470" w:firstLineChars="196"/>
        <w:jc w:val="both"/>
        <w:rPr>
          <w:rFonts w:hint="eastAsia" w:asciiTheme="minorEastAsia" w:hAnsiTheme="minorEastAsia" w:eastAsiaTheme="minorEastAsia" w:cstheme="minorEastAsia"/>
          <w:color w:val="auto"/>
          <w:kern w:val="0"/>
          <w:sz w:val="24"/>
          <w:szCs w:val="24"/>
          <w:highlight w:val="none"/>
          <w14:ligatures w14:val="none"/>
        </w:rPr>
      </w:pPr>
      <w:r>
        <w:rPr>
          <w:rFonts w:hint="eastAsia" w:asciiTheme="minorEastAsia" w:hAnsiTheme="minorEastAsia" w:eastAsiaTheme="minorEastAsia" w:cstheme="minorEastAsia"/>
          <w:color w:val="auto"/>
          <w:kern w:val="0"/>
          <w:sz w:val="24"/>
          <w:szCs w:val="24"/>
          <w:highlight w:val="none"/>
          <w14:ligatures w14:val="none"/>
        </w:rPr>
        <w:t>不低于24支船队参加2025“一带一路”国际帆船赛（中国北海站）比赛，其中外籍船队不少于8支。</w:t>
      </w:r>
    </w:p>
    <w:p>
      <w:pPr>
        <w:spacing w:after="0" w:line="520" w:lineRule="exact"/>
        <w:ind w:firstLine="470" w:firstLineChars="196"/>
        <w:jc w:val="both"/>
        <w:rPr>
          <w:rFonts w:hint="eastAsia" w:asciiTheme="minorEastAsia" w:hAnsiTheme="minorEastAsia" w:eastAsiaTheme="minorEastAsia" w:cstheme="minorEastAsia"/>
          <w:bCs/>
          <w:color w:val="auto"/>
          <w:sz w:val="24"/>
          <w:szCs w:val="24"/>
          <w:highlight w:val="none"/>
          <w14:ligatures w14:val="none"/>
        </w:rPr>
      </w:pPr>
      <w:r>
        <w:rPr>
          <w:rFonts w:hint="eastAsia" w:asciiTheme="minorEastAsia" w:hAnsiTheme="minorEastAsia" w:eastAsiaTheme="minorEastAsia" w:cstheme="minorEastAsia"/>
          <w:bCs/>
          <w:color w:val="auto"/>
          <w:sz w:val="24"/>
          <w:szCs w:val="24"/>
          <w:highlight w:val="none"/>
          <w14:ligatures w14:val="none"/>
        </w:rPr>
        <w:t>二、合同期限</w:t>
      </w:r>
    </w:p>
    <w:p>
      <w:pPr>
        <w:spacing w:after="0" w:line="520" w:lineRule="exact"/>
        <w:ind w:firstLine="470" w:firstLineChars="196"/>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自本合同签署生效之日起至本合同内容履行完毕时止。</w:t>
      </w:r>
    </w:p>
    <w:p>
      <w:pPr>
        <w:spacing w:after="0" w:line="520" w:lineRule="exact"/>
        <w:ind w:firstLine="470" w:firstLineChars="196"/>
        <w:jc w:val="both"/>
        <w:rPr>
          <w:rFonts w:hint="eastAsia" w:asciiTheme="minorEastAsia" w:hAnsiTheme="minorEastAsia" w:eastAsiaTheme="minorEastAsia" w:cstheme="minorEastAsia"/>
          <w:bCs/>
          <w:color w:val="auto"/>
          <w:sz w:val="24"/>
          <w:szCs w:val="24"/>
          <w:highlight w:val="none"/>
          <w14:ligatures w14:val="none"/>
        </w:rPr>
      </w:pPr>
      <w:r>
        <w:rPr>
          <w:rFonts w:hint="eastAsia" w:asciiTheme="minorEastAsia" w:hAnsiTheme="minorEastAsia" w:eastAsiaTheme="minorEastAsia" w:cstheme="minorEastAsia"/>
          <w:bCs/>
          <w:color w:val="auto"/>
          <w:sz w:val="24"/>
          <w:szCs w:val="24"/>
          <w:highlight w:val="none"/>
          <w14:ligatures w14:val="none"/>
        </w:rPr>
        <w:t>三、赛事运营内容及范围</w:t>
      </w:r>
    </w:p>
    <w:p>
      <w:pPr>
        <w:spacing w:after="0" w:line="520" w:lineRule="exact"/>
        <w:ind w:firstLine="482" w:firstLineChars="200"/>
        <w:jc w:val="both"/>
        <w:rPr>
          <w:rFonts w:hint="eastAsia" w:asciiTheme="minorEastAsia" w:hAnsiTheme="minorEastAsia" w:eastAsiaTheme="minorEastAsia" w:cstheme="minorEastAsia"/>
          <w:b/>
          <w:bCs/>
          <w:color w:val="auto"/>
          <w:sz w:val="24"/>
          <w:szCs w:val="24"/>
          <w:highlight w:val="none"/>
          <w14:ligatures w14:val="none"/>
        </w:rPr>
      </w:pPr>
      <w:r>
        <w:rPr>
          <w:rFonts w:hint="eastAsia" w:asciiTheme="minorEastAsia" w:hAnsiTheme="minorEastAsia" w:eastAsiaTheme="minorEastAsia" w:cstheme="minorEastAsia"/>
          <w:b/>
          <w:bCs/>
          <w:color w:val="auto"/>
          <w:sz w:val="24"/>
          <w:szCs w:val="24"/>
          <w:highlight w:val="none"/>
          <w14:ligatures w14:val="none"/>
        </w:rPr>
        <w:t>（一）赛事运营</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1.制定运营实施方案：包括赛事服务、竞赛及活动的策划、组织与执行方案。</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2.根据赛事运营实施方案和本合同约定的时间节点，负责赛前、赛中及赛后的全程安排和服务。</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3.赛事结束后30天内提交赛事运营总结。</w:t>
      </w:r>
    </w:p>
    <w:p>
      <w:pPr>
        <w:spacing w:after="0" w:line="520" w:lineRule="exact"/>
        <w:ind w:firstLine="482" w:firstLineChars="200"/>
        <w:jc w:val="both"/>
        <w:rPr>
          <w:rFonts w:hint="eastAsia" w:asciiTheme="minorEastAsia" w:hAnsiTheme="minorEastAsia" w:eastAsiaTheme="minorEastAsia" w:cstheme="minorEastAsia"/>
          <w:b/>
          <w:bCs/>
          <w:color w:val="auto"/>
          <w:sz w:val="24"/>
          <w:szCs w:val="24"/>
          <w:highlight w:val="none"/>
          <w14:ligatures w14:val="none"/>
        </w:rPr>
      </w:pPr>
      <w:r>
        <w:rPr>
          <w:rFonts w:hint="eastAsia" w:asciiTheme="minorEastAsia" w:hAnsiTheme="minorEastAsia" w:eastAsiaTheme="minorEastAsia" w:cstheme="minorEastAsia"/>
          <w:b/>
          <w:bCs/>
          <w:color w:val="auto"/>
          <w:sz w:val="24"/>
          <w:szCs w:val="24"/>
          <w:highlight w:val="none"/>
          <w14:ligatures w14:val="none"/>
        </w:rPr>
        <w:t>（二）赛事宣传</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邀请中央电视台等国内主流媒体参与报道，央视五套报道不少于2次，广西电视台、广西新闻频道报道分别不少于4次，新华社、中国体育报等国内、国外媒体报道不少于300次。</w:t>
      </w:r>
    </w:p>
    <w:p>
      <w:pPr>
        <w:spacing w:after="0" w:line="520" w:lineRule="exact"/>
        <w:ind w:firstLine="482" w:firstLineChars="200"/>
        <w:jc w:val="both"/>
        <w:rPr>
          <w:rFonts w:hint="eastAsia" w:asciiTheme="minorEastAsia" w:hAnsiTheme="minorEastAsia" w:eastAsiaTheme="minorEastAsia" w:cstheme="minorEastAsia"/>
          <w:b/>
          <w:bCs/>
          <w:color w:val="auto"/>
          <w:sz w:val="24"/>
          <w:szCs w:val="24"/>
          <w:highlight w:val="none"/>
          <w14:ligatures w14:val="none"/>
        </w:rPr>
      </w:pPr>
      <w:r>
        <w:rPr>
          <w:rFonts w:hint="eastAsia" w:asciiTheme="minorEastAsia" w:hAnsiTheme="minorEastAsia" w:eastAsiaTheme="minorEastAsia" w:cstheme="minorEastAsia"/>
          <w:b/>
          <w:bCs/>
          <w:color w:val="auto"/>
          <w:sz w:val="24"/>
          <w:szCs w:val="24"/>
          <w:highlight w:val="none"/>
          <w14:ligatures w14:val="none"/>
        </w:rPr>
        <w:t>（三）应急及安全保障方案</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1.根据可能遇到的自然、气候等突发事件，制定赛事安全应急及保障预案，确保参赛人员、船只和财产安全。</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2.针对赛事紧急状况、敏感事件和突发事件等舆情热点事件，制定宣传应急预案和危机公关处理方案。</w:t>
      </w:r>
    </w:p>
    <w:p>
      <w:pPr>
        <w:spacing w:after="0" w:line="520" w:lineRule="exact"/>
        <w:ind w:firstLine="470" w:firstLineChars="196"/>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备注：以上三款所涉方案及服务的具体内容由甲、乙双方签订本合同后另行商定</w:t>
      </w:r>
    </w:p>
    <w:p>
      <w:pPr>
        <w:spacing w:after="0" w:line="520" w:lineRule="exact"/>
        <w:ind w:firstLine="470" w:firstLineChars="196"/>
        <w:jc w:val="both"/>
        <w:rPr>
          <w:rFonts w:hint="eastAsia" w:asciiTheme="minorEastAsia" w:hAnsiTheme="minorEastAsia" w:eastAsiaTheme="minorEastAsia" w:cstheme="minorEastAsia"/>
          <w:bCs/>
          <w:color w:val="auto"/>
          <w:sz w:val="24"/>
          <w:szCs w:val="24"/>
          <w:highlight w:val="none"/>
          <w14:ligatures w14:val="none"/>
        </w:rPr>
      </w:pPr>
      <w:r>
        <w:rPr>
          <w:rFonts w:hint="eastAsia" w:asciiTheme="minorEastAsia" w:hAnsiTheme="minorEastAsia" w:eastAsiaTheme="minorEastAsia" w:cstheme="minorEastAsia"/>
          <w:bCs/>
          <w:color w:val="auto"/>
          <w:sz w:val="24"/>
          <w:szCs w:val="24"/>
          <w:highlight w:val="none"/>
          <w14:ligatures w14:val="none"/>
        </w:rPr>
        <w:t>四、权利和义务</w:t>
      </w:r>
    </w:p>
    <w:p>
      <w:pPr>
        <w:spacing w:after="0" w:line="520" w:lineRule="exact"/>
        <w:ind w:firstLine="482" w:firstLineChars="200"/>
        <w:jc w:val="both"/>
        <w:outlineLvl w:val="0"/>
        <w:rPr>
          <w:rFonts w:hint="eastAsia" w:asciiTheme="minorEastAsia" w:hAnsiTheme="minorEastAsia" w:eastAsiaTheme="minorEastAsia" w:cstheme="minorEastAsia"/>
          <w:b/>
          <w:bCs/>
          <w:color w:val="auto"/>
          <w:sz w:val="24"/>
          <w:szCs w:val="24"/>
          <w:highlight w:val="none"/>
          <w14:ligatures w14:val="none"/>
        </w:rPr>
      </w:pPr>
      <w:r>
        <w:rPr>
          <w:rFonts w:hint="eastAsia" w:asciiTheme="minorEastAsia" w:hAnsiTheme="minorEastAsia" w:eastAsiaTheme="minorEastAsia" w:cstheme="minorEastAsia"/>
          <w:b/>
          <w:bCs/>
          <w:color w:val="auto"/>
          <w:sz w:val="24"/>
          <w:szCs w:val="24"/>
          <w:highlight w:val="none"/>
          <w14:ligatures w14:val="none"/>
        </w:rPr>
        <w:t>（一）甲方权利与义务</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1.对乙方提交的所有赛事方案进行审核；甲方如需要调整，须书面告知调整事项；</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2.对乙方的合同履约和实施情况、质量、效果进行全面的检查、管理和监督，对发现的问题及时向乙方提出书面改进意见，并限期予以整改；</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3.对乙方赛事执行过程中，未按照双方最终约定的赛事方案执行的，甲方有权提出终止合同。</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4.对本次赛事商业运作和市场开发进行监管；</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5.对乙方提供的赛事运营报告进行评定并出具评定意见；</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6.对乙方赛事执行期间以甲方名义进行的所有联络活动具有确定权；</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7.负责协调自治区及北海市宣传资源（包括但不仅限于电视、网络、平面、新媒体等），做好中国北海站赛事宣传推广工作，在自治区及北海市媒体上，包括但不限于广西电视台、北海电视台、广西电台等单位进行赛事传播推广；邀请自治区内记者全程跟踪报道赛事；</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8.负责中国北海站赛事突发舆情预测并提出应对办法，做好赛事期间舆情搜索工作和舆情专报工作；</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9.邀请自治区及北海市媒体参与报道并确认新闻通稿；以上1-9活动由甲方负责接待工作，费用由乙方从服务采购费用中支出；</w:t>
      </w:r>
    </w:p>
    <w:p>
      <w:pPr>
        <w:snapToGrid w:val="0"/>
        <w:spacing w:line="52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.负责向上级</w:t>
      </w:r>
      <w:r>
        <w:rPr>
          <w:rFonts w:hint="eastAsia" w:asciiTheme="minorEastAsia" w:hAnsiTheme="minorEastAsia" w:eastAsiaTheme="minorEastAsia" w:cstheme="minorEastAsia"/>
          <w:color w:val="auto"/>
          <w:sz w:val="24"/>
          <w:szCs w:val="24"/>
          <w:highlight w:val="none"/>
          <w:lang w:eastAsia="zh-CN"/>
        </w:rPr>
        <w:t>部门</w:t>
      </w:r>
      <w:r>
        <w:rPr>
          <w:rFonts w:hint="eastAsia" w:asciiTheme="minorEastAsia" w:hAnsiTheme="minorEastAsia" w:eastAsiaTheme="minorEastAsia" w:cstheme="minorEastAsia"/>
          <w:color w:val="auto"/>
          <w:sz w:val="24"/>
          <w:szCs w:val="24"/>
          <w:highlight w:val="none"/>
        </w:rPr>
        <w:t>申请“一带一路“国际帆船赛的专项补贴</w:t>
      </w:r>
      <w:r>
        <w:rPr>
          <w:rFonts w:hint="eastAsia" w:asciiTheme="minorEastAsia" w:hAnsiTheme="minorEastAsia" w:eastAsiaTheme="minorEastAsia" w:cstheme="minorEastAsia"/>
          <w:color w:val="auto"/>
          <w:sz w:val="24"/>
          <w:szCs w:val="24"/>
          <w:highlight w:val="none"/>
          <w:lang w:eastAsia="zh-CN"/>
        </w:rPr>
        <w:t>或重大赛事补助</w:t>
      </w:r>
      <w:r>
        <w:rPr>
          <w:rFonts w:hint="eastAsia" w:asciiTheme="minorEastAsia" w:hAnsiTheme="minorEastAsia" w:eastAsiaTheme="minorEastAsia" w:cstheme="minorEastAsia"/>
          <w:color w:val="auto"/>
          <w:sz w:val="24"/>
          <w:szCs w:val="24"/>
          <w:highlight w:val="none"/>
        </w:rPr>
        <w:t>经费，并将</w:t>
      </w:r>
      <w:r>
        <w:rPr>
          <w:rFonts w:hint="eastAsia" w:asciiTheme="minorEastAsia" w:hAnsiTheme="minorEastAsia" w:eastAsiaTheme="minorEastAsia" w:cstheme="minorEastAsia"/>
          <w:color w:val="auto"/>
          <w:sz w:val="24"/>
          <w:szCs w:val="24"/>
          <w:highlight w:val="none"/>
          <w:lang w:eastAsia="zh-CN"/>
        </w:rPr>
        <w:t>相关补助</w:t>
      </w:r>
      <w:r>
        <w:rPr>
          <w:rFonts w:hint="eastAsia" w:asciiTheme="minorEastAsia" w:hAnsiTheme="minorEastAsia" w:eastAsiaTheme="minorEastAsia" w:cstheme="minorEastAsia"/>
          <w:color w:val="auto"/>
          <w:sz w:val="24"/>
          <w:szCs w:val="24"/>
          <w:highlight w:val="none"/>
        </w:rPr>
        <w:t>经费</w:t>
      </w:r>
      <w:r>
        <w:rPr>
          <w:rFonts w:hint="eastAsia" w:asciiTheme="minorEastAsia" w:hAnsiTheme="minorEastAsia" w:eastAsiaTheme="minorEastAsia" w:cstheme="minorEastAsia"/>
          <w:color w:val="auto"/>
          <w:sz w:val="24"/>
          <w:szCs w:val="24"/>
          <w:highlight w:val="none"/>
          <w:lang w:eastAsia="zh-CN"/>
        </w:rPr>
        <w:t>全额</w:t>
      </w:r>
      <w:r>
        <w:rPr>
          <w:rFonts w:hint="eastAsia" w:asciiTheme="minorEastAsia" w:hAnsiTheme="minorEastAsia" w:eastAsiaTheme="minorEastAsia" w:cstheme="minorEastAsia"/>
          <w:color w:val="auto"/>
          <w:sz w:val="24"/>
          <w:szCs w:val="24"/>
          <w:highlight w:val="none"/>
        </w:rPr>
        <w:t>支付至乙方。</w:t>
      </w:r>
    </w:p>
    <w:p>
      <w:pPr>
        <w:snapToGrid w:val="0"/>
        <w:spacing w:after="0" w:line="520" w:lineRule="exact"/>
        <w:ind w:firstLine="482" w:firstLineChars="200"/>
        <w:jc w:val="both"/>
        <w:outlineLvl w:val="9"/>
        <w:rPr>
          <w:rFonts w:hint="eastAsia" w:asciiTheme="minorEastAsia" w:hAnsiTheme="minorEastAsia" w:eastAsiaTheme="minorEastAsia" w:cstheme="minorEastAsia"/>
          <w:b/>
          <w:bCs/>
          <w:color w:val="auto"/>
          <w:sz w:val="24"/>
          <w:szCs w:val="24"/>
          <w:highlight w:val="none"/>
          <w14:ligatures w14:val="none"/>
        </w:rPr>
      </w:pPr>
      <w:r>
        <w:rPr>
          <w:rFonts w:hint="eastAsia" w:asciiTheme="minorEastAsia" w:hAnsiTheme="minorEastAsia" w:eastAsiaTheme="minorEastAsia" w:cstheme="minorEastAsia"/>
          <w:b/>
          <w:bCs/>
          <w:color w:val="auto"/>
          <w:sz w:val="24"/>
          <w:szCs w:val="24"/>
          <w:highlight w:val="none"/>
          <w14:ligatures w14:val="none"/>
        </w:rPr>
        <w:t>（二）乙方权利与义务</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1.积极配合甲方做好包括但不限于赛事筹备、沟通对接、组织执行、宣传推广、赛事总结评估等相关工作；</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2.负责竞赛组织、船队（运动员）邀请等系列工作，并承担相应的费用，内容如下：</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（1）负责制定赛事的规程和规则、竞赛方案、活动方案、保障方案、日程、赛程等技术文件；</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（2）负责船队、裁判和工作人员的招募、培训和选拔工作；</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（3）负责赛事所需的通讯、医疗救护、赛事物流和后勤保障等工作；</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（4）负责联络赛事项目主管部门对比赛的运动规则和技术规则进行审定；</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（5）负责组织邀请船队，租赁赛事及活动相关器材；</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（6）负责邀请竞赛团队为赛事提供保障；</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（7）有权根据规则审核船员的参赛资格，按规则决定竞赛事宜；</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8）负责按赛事惯例和有关规定与赛事指定保险公司签署比赛期间的公众责任保险及附加保险、为赛事工作人员购买人身意外保险及医疗保险等（除非存在保险公司赞助赛事工作人员的人身意外保险及医疗保险）；</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（9）负责按规则规定和要求，制作奖杯及向获奖船队和船员发放奖金；</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（10）负责进行赛事商业宣传推广和招商工作，收取并管理赞助费用，赞助费用用于本次赛事活动；</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（11）负责赛事新闻发布会的策划和组织实施工作，并承担相应费用；</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（12）由乙方邀请的参与赛事和活动的嘉宾，由乙方负责邀请和接待；</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13）负责落实宣传资源（包括但不限于电视、网络、平面、新媒体等），做好赛事宣传推广工作，在国家级媒体上，包括如中央电视台、中国体育报等平台进行赛事传播推广；平面媒体专版报道，邀请指定网络媒体全程跟踪报道；对竞赛筹备工作进展情况和赛事盛况进行多角度、深层次报道，营造赛事在体育赛事圈内良好舆论氛围；</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（14）落实赛事官方摄影、摄像团队，对赛事全程进行影像记录，并在赛事结束后提供赛事相关纪录片及精选照片；赛事结束后提供媒体宣传总结剪报；</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（15）负责配合甲方做好“一带一路国际帆船赛”微信公众号运营工作，直至产生下个赛事运营中标单位后转让微信公众号运营权；</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（16）负责赛事现场媒体运行，包括接待、拍摄协调位置等；</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（17）负责赛事期间全程新闻稿件撰写；</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（18）负责赛事相关物料的设计及制作，并经甲方审定同意；</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（19）负责制定赛事组织和接待标准及工作方案；负责接待参赛所有相关人员（包括但不限于各级体育等相关部门人员、裁判、运动员、工作人员、赞助商代表等），并承担相应的费用。</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3.甲方同意，乙方拥有如下权益，包括但不仅限于：广告经营权、赛事指定用品权、船身广告权、电视转播权、影视权以及其它甲乙双方在本合同中未禁止的所有可开发的相关权益；赛事活动及商业推广不得涉及政治、破坏民族团结、分裂国家等内容或倾向。</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4.乙方需向甲方提交赛事所涉及的所有活动、竞赛方案；严格遵守本合同确认的方案（包括不限于所有活动及竞赛方案）执行，不得随意更改，如出现特殊事项导致计划、方案变更的，应及时向甲方通报，经甲方书面确定后方可实施。</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5.接受甲方的管理、监督、检查及指导，全面、高效、优质地履行合同约定的各项事宜。</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6.应尽力避免赛事运营可能产生的一切纠纷，如不可避免，由完全归因于乙方引起的纠纷并导致的损失，乙方应承担相应责任。</w:t>
      </w:r>
    </w:p>
    <w:p>
      <w:pPr>
        <w:spacing w:after="0" w:line="520" w:lineRule="exact"/>
        <w:ind w:firstLine="470" w:firstLineChars="196"/>
        <w:jc w:val="both"/>
        <w:rPr>
          <w:rFonts w:hint="eastAsia" w:asciiTheme="minorEastAsia" w:hAnsiTheme="minorEastAsia" w:eastAsiaTheme="minorEastAsia" w:cstheme="minorEastAsia"/>
          <w:bCs/>
          <w:color w:val="auto"/>
          <w:sz w:val="24"/>
          <w:szCs w:val="24"/>
          <w:highlight w:val="none"/>
          <w14:ligatures w14:val="none"/>
        </w:rPr>
      </w:pPr>
      <w:r>
        <w:rPr>
          <w:rFonts w:hint="eastAsia" w:asciiTheme="minorEastAsia" w:hAnsiTheme="minorEastAsia" w:eastAsiaTheme="minorEastAsia" w:cstheme="minorEastAsia"/>
          <w:bCs/>
          <w:color w:val="auto"/>
          <w:sz w:val="24"/>
          <w:szCs w:val="24"/>
          <w:highlight w:val="none"/>
          <w14:ligatures w14:val="none"/>
        </w:rPr>
        <w:t>五、合同价款及支付方式</w:t>
      </w:r>
    </w:p>
    <w:p>
      <w:pPr>
        <w:spacing w:after="0" w:line="520" w:lineRule="exact"/>
        <w:ind w:firstLine="482" w:firstLineChars="200"/>
        <w:jc w:val="both"/>
        <w:outlineLvl w:val="0"/>
        <w:rPr>
          <w:rFonts w:hint="eastAsia" w:asciiTheme="minorEastAsia" w:hAnsiTheme="minorEastAsia" w:eastAsiaTheme="minorEastAsia" w:cstheme="minorEastAsia"/>
          <w:b/>
          <w:bCs/>
          <w:color w:val="auto"/>
          <w:sz w:val="24"/>
          <w:szCs w:val="24"/>
          <w:highlight w:val="none"/>
          <w14:ligatures w14:val="none"/>
        </w:rPr>
      </w:pPr>
      <w:r>
        <w:rPr>
          <w:rFonts w:hint="eastAsia" w:asciiTheme="minorEastAsia" w:hAnsiTheme="minorEastAsia" w:eastAsiaTheme="minorEastAsia" w:cstheme="minorEastAsia"/>
          <w:b/>
          <w:bCs/>
          <w:color w:val="auto"/>
          <w:sz w:val="24"/>
          <w:szCs w:val="24"/>
          <w:highlight w:val="none"/>
          <w14:ligatures w14:val="none"/>
        </w:rPr>
        <w:t>（一）合同总价款</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1.甲方同意向乙方支付赛事价款（含税）总计人民币</w:t>
      </w:r>
      <w:r>
        <w:rPr>
          <w:rFonts w:hint="eastAsia" w:asciiTheme="minorEastAsia" w:hAnsiTheme="minorEastAsia" w:eastAsiaTheme="minorEastAsia" w:cstheme="minorEastAsia"/>
          <w:color w:val="auto"/>
          <w:sz w:val="24"/>
          <w:szCs w:val="24"/>
          <w:highlight w:val="none"/>
          <w:u w:val="single"/>
          <w14:ligatures w14:val="none"/>
        </w:rPr>
        <w:t xml:space="preserve">                 元（￥              ）</w:t>
      </w:r>
      <w:r>
        <w:rPr>
          <w:rFonts w:hint="eastAsia" w:asciiTheme="minorEastAsia" w:hAnsiTheme="minorEastAsia" w:eastAsiaTheme="minorEastAsia" w:cstheme="minorEastAsia"/>
          <w:color w:val="auto"/>
          <w:sz w:val="24"/>
          <w:szCs w:val="24"/>
          <w:highlight w:val="none"/>
          <w14:ligatures w14:val="none"/>
        </w:rPr>
        <w:t>。</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2.比赛过程中出现的包括但不限于人身损害及财产损失等一切不可预见事件所造成的费用由乙方承担，但应与本赛事有关。</w:t>
      </w:r>
    </w:p>
    <w:p>
      <w:pPr>
        <w:spacing w:after="0" w:line="520" w:lineRule="exact"/>
        <w:ind w:firstLine="482" w:firstLineChars="200"/>
        <w:jc w:val="both"/>
        <w:rPr>
          <w:rFonts w:hint="eastAsia" w:asciiTheme="minorEastAsia" w:hAnsiTheme="minorEastAsia" w:eastAsiaTheme="minorEastAsia" w:cstheme="minorEastAsia"/>
          <w:b/>
          <w:bCs/>
          <w:color w:val="auto"/>
          <w:sz w:val="24"/>
          <w:szCs w:val="24"/>
          <w:highlight w:val="none"/>
          <w14:ligatures w14:val="none"/>
        </w:rPr>
      </w:pPr>
      <w:r>
        <w:rPr>
          <w:rFonts w:hint="eastAsia" w:asciiTheme="minorEastAsia" w:hAnsiTheme="minorEastAsia" w:eastAsiaTheme="minorEastAsia" w:cstheme="minorEastAsia"/>
          <w:b/>
          <w:bCs/>
          <w:color w:val="auto"/>
          <w:sz w:val="24"/>
          <w:szCs w:val="24"/>
          <w:highlight w:val="none"/>
          <w14:ligatures w14:val="none"/>
        </w:rPr>
        <w:t>（二）付款时间和方式</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1.合同签订后5个工作日内采购人向中标人支付合同价款的50%作为预付款；所有产品进场安装调试合格，在比赛开始前5个工作日内支付合同总价的30%,待本项目比赛结束</w:t>
      </w:r>
      <w:r>
        <w:rPr>
          <w:rFonts w:hint="eastAsia" w:asciiTheme="minorEastAsia" w:hAnsiTheme="minorEastAsia" w:eastAsiaTheme="minorEastAsia" w:cstheme="minorEastAsia"/>
          <w:color w:val="auto"/>
          <w:sz w:val="24"/>
          <w:szCs w:val="24"/>
          <w:highlight w:val="none"/>
          <w:lang w:eastAsia="zh-CN"/>
          <w14:ligatures w14:val="none"/>
        </w:rPr>
        <w:t>并完成验收</w:t>
      </w:r>
      <w:r>
        <w:rPr>
          <w:rFonts w:hint="eastAsia" w:asciiTheme="minorEastAsia" w:hAnsiTheme="minorEastAsia" w:eastAsiaTheme="minorEastAsia" w:cstheme="minorEastAsia"/>
          <w:color w:val="auto"/>
          <w:sz w:val="24"/>
          <w:szCs w:val="24"/>
          <w:highlight w:val="none"/>
          <w14:ligatures w14:val="none"/>
        </w:rPr>
        <w:t>后</w:t>
      </w:r>
      <w:r>
        <w:rPr>
          <w:rFonts w:hint="eastAsia" w:asciiTheme="minorEastAsia" w:hAnsiTheme="minorEastAsia" w:eastAsiaTheme="minorEastAsia" w:cstheme="minorEastAsia"/>
          <w:color w:val="auto"/>
          <w:sz w:val="24"/>
          <w:szCs w:val="24"/>
          <w:highlight w:val="none"/>
          <w:lang w:eastAsia="zh-CN"/>
          <w14:ligatures w14:val="none"/>
        </w:rPr>
        <w:t>的</w:t>
      </w:r>
      <w:r>
        <w:rPr>
          <w:rFonts w:hint="eastAsia" w:asciiTheme="minorEastAsia" w:hAnsiTheme="minorEastAsia" w:eastAsiaTheme="minorEastAsia" w:cstheme="minorEastAsia"/>
          <w:color w:val="auto"/>
          <w:sz w:val="24"/>
          <w:szCs w:val="24"/>
          <w:highlight w:val="none"/>
          <w14:ligatures w14:val="none"/>
        </w:rPr>
        <w:t>30个工作日内支付合同总价的20%。</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2.支付合同价款前，中标人应开具相应金额的增值税发票。</w:t>
      </w:r>
    </w:p>
    <w:p>
      <w:pPr>
        <w:spacing w:after="0" w:line="520" w:lineRule="exact"/>
        <w:ind w:firstLine="482" w:firstLineChars="200"/>
        <w:jc w:val="both"/>
        <w:rPr>
          <w:rFonts w:hint="eastAsia" w:asciiTheme="minorEastAsia" w:hAnsiTheme="minorEastAsia" w:eastAsiaTheme="minorEastAsia" w:cstheme="minorEastAsia"/>
          <w:b/>
          <w:bCs/>
          <w:color w:val="auto"/>
          <w:sz w:val="24"/>
          <w:szCs w:val="24"/>
          <w:highlight w:val="none"/>
          <w14:ligatures w14:val="none"/>
        </w:rPr>
      </w:pPr>
      <w:r>
        <w:rPr>
          <w:rFonts w:hint="eastAsia" w:asciiTheme="minorEastAsia" w:hAnsiTheme="minorEastAsia" w:eastAsiaTheme="minorEastAsia" w:cstheme="minorEastAsia"/>
          <w:b/>
          <w:bCs/>
          <w:color w:val="auto"/>
          <w:sz w:val="24"/>
          <w:szCs w:val="24"/>
          <w:highlight w:val="none"/>
          <w14:ligatures w14:val="none"/>
        </w:rPr>
        <w:t>（三）乙方账号信息</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开户行：***</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账号：***</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收款人：***</w:t>
      </w:r>
    </w:p>
    <w:p>
      <w:pPr>
        <w:spacing w:after="0" w:line="520" w:lineRule="exact"/>
        <w:ind w:firstLine="480" w:firstLineChars="200"/>
        <w:jc w:val="both"/>
        <w:rPr>
          <w:rFonts w:hint="eastAsia" w:asciiTheme="minorEastAsia" w:hAnsiTheme="minorEastAsia" w:eastAsiaTheme="minorEastAsia" w:cstheme="minorEastAsia"/>
          <w:bCs/>
          <w:color w:val="auto"/>
          <w:sz w:val="24"/>
          <w:szCs w:val="24"/>
          <w:highlight w:val="none"/>
          <w14:ligatures w14:val="none"/>
        </w:rPr>
      </w:pPr>
      <w:r>
        <w:rPr>
          <w:rFonts w:hint="eastAsia" w:asciiTheme="minorEastAsia" w:hAnsiTheme="minorEastAsia" w:eastAsiaTheme="minorEastAsia" w:cstheme="minorEastAsia"/>
          <w:bCs/>
          <w:color w:val="auto"/>
          <w:sz w:val="24"/>
          <w:szCs w:val="24"/>
          <w:highlight w:val="none"/>
          <w14:ligatures w14:val="none"/>
        </w:rPr>
        <w:t>六、赛事权益</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（一）</w:t>
      </w:r>
      <w:r>
        <w:rPr>
          <w:rFonts w:hint="eastAsia" w:asciiTheme="minorEastAsia" w:hAnsiTheme="minorEastAsia" w:eastAsiaTheme="minorEastAsia" w:cstheme="minorEastAsia"/>
          <w:color w:val="auto"/>
          <w:kern w:val="0"/>
          <w:sz w:val="24"/>
          <w:szCs w:val="24"/>
          <w:highlight w:val="none"/>
          <w14:ligatures w14:val="none"/>
        </w:rPr>
        <w:t>赛事专项经费中200万元用于包干中国北海站比赛，经费不足部分由乙方自筹解决。</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二）经双方同意，由乙方负责赛事及相关活动的商务开发、赛事冠名、赛事赞助、广告等营销的落实和执行并承担相应的费用，甲方享有知情权。乙方应将上述相关协议的文本及履行情况如实及时告知甲方，并依法以善意且符合本合同目的之方式进行相关经营管理。</w:t>
      </w:r>
    </w:p>
    <w:p>
      <w:pPr>
        <w:spacing w:after="0" w:line="520" w:lineRule="exact"/>
        <w:ind w:firstLine="470" w:firstLineChars="196"/>
        <w:jc w:val="both"/>
        <w:rPr>
          <w:rFonts w:hint="eastAsia" w:asciiTheme="minorEastAsia" w:hAnsiTheme="minorEastAsia" w:eastAsiaTheme="minorEastAsia" w:cstheme="minorEastAsia"/>
          <w:bCs/>
          <w:color w:val="auto"/>
          <w:sz w:val="24"/>
          <w:szCs w:val="24"/>
          <w:highlight w:val="none"/>
          <w14:ligatures w14:val="none"/>
        </w:rPr>
      </w:pPr>
      <w:r>
        <w:rPr>
          <w:rFonts w:hint="eastAsia" w:asciiTheme="minorEastAsia" w:hAnsiTheme="minorEastAsia" w:eastAsiaTheme="minorEastAsia" w:cstheme="minorEastAsia"/>
          <w:bCs/>
          <w:color w:val="auto"/>
          <w:sz w:val="24"/>
          <w:szCs w:val="24"/>
          <w:highlight w:val="none"/>
          <w14:ligatures w14:val="none"/>
        </w:rPr>
        <w:t>七、特别约定</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调整、延长、修改比赛方案及路线须经甲方书面同意。</w:t>
      </w:r>
    </w:p>
    <w:p>
      <w:pPr>
        <w:spacing w:after="0" w:line="520" w:lineRule="exact"/>
        <w:ind w:firstLine="470" w:firstLineChars="196"/>
        <w:jc w:val="both"/>
        <w:rPr>
          <w:rFonts w:hint="eastAsia" w:asciiTheme="minorEastAsia" w:hAnsiTheme="minorEastAsia" w:eastAsiaTheme="minorEastAsia" w:cstheme="minorEastAsia"/>
          <w:bCs/>
          <w:color w:val="auto"/>
          <w:sz w:val="24"/>
          <w:szCs w:val="24"/>
          <w:highlight w:val="none"/>
          <w14:ligatures w14:val="none"/>
        </w:rPr>
      </w:pPr>
      <w:r>
        <w:rPr>
          <w:rFonts w:hint="eastAsia" w:asciiTheme="minorEastAsia" w:hAnsiTheme="minorEastAsia" w:eastAsiaTheme="minorEastAsia" w:cstheme="minorEastAsia"/>
          <w:bCs/>
          <w:color w:val="auto"/>
          <w:sz w:val="24"/>
          <w:szCs w:val="24"/>
          <w:highlight w:val="none"/>
          <w14:ligatures w14:val="none"/>
        </w:rPr>
        <w:t>八、商业保密</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任何一方对于因签署或履行本合同而了解或接触到的对方的商业秘密及其他机密资料和信息（以下简称“保密信息”）均应保守秘密；非经对方书面同意，任何一方不得向其他方泄露、给予或转让保密信息。</w:t>
      </w:r>
    </w:p>
    <w:p>
      <w:pPr>
        <w:spacing w:after="0" w:line="520" w:lineRule="exact"/>
        <w:ind w:firstLine="470" w:firstLineChars="196"/>
        <w:jc w:val="both"/>
        <w:rPr>
          <w:rFonts w:hint="eastAsia" w:asciiTheme="minorEastAsia" w:hAnsiTheme="minorEastAsia" w:eastAsiaTheme="minorEastAsia" w:cstheme="minorEastAsia"/>
          <w:bCs/>
          <w:color w:val="auto"/>
          <w:sz w:val="24"/>
          <w:szCs w:val="24"/>
          <w:highlight w:val="none"/>
          <w14:ligatures w14:val="none"/>
        </w:rPr>
      </w:pPr>
      <w:r>
        <w:rPr>
          <w:rFonts w:hint="eastAsia" w:asciiTheme="minorEastAsia" w:hAnsiTheme="minorEastAsia" w:eastAsiaTheme="minorEastAsia" w:cstheme="minorEastAsia"/>
          <w:bCs/>
          <w:color w:val="auto"/>
          <w:sz w:val="24"/>
          <w:szCs w:val="24"/>
          <w:highlight w:val="none"/>
          <w14:ligatures w14:val="none"/>
        </w:rPr>
        <w:t>九、声明及保证</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双方声明、陈述和保证如下：</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（一）其为合法设立并存续的独立法人或机关；</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（二）其有资格从事本合同项下的合作，而该合作符合工作范围的规定；</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（三）其授权代表已获得充分授权可代表其签署本合同；</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（四）其有能力履行其于本合同项下的义务，并且该履行义务的行为不违反任何对其有约束力的法律文件的限制。</w:t>
      </w:r>
    </w:p>
    <w:p>
      <w:pPr>
        <w:spacing w:after="0" w:line="520" w:lineRule="exact"/>
        <w:ind w:firstLine="470" w:firstLineChars="196"/>
        <w:jc w:val="both"/>
        <w:rPr>
          <w:rFonts w:hint="eastAsia" w:asciiTheme="minorEastAsia" w:hAnsiTheme="minorEastAsia" w:eastAsiaTheme="minorEastAsia" w:cstheme="minorEastAsia"/>
          <w:bCs/>
          <w:color w:val="auto"/>
          <w:sz w:val="24"/>
          <w:szCs w:val="24"/>
          <w:highlight w:val="none"/>
          <w14:ligatures w14:val="none"/>
        </w:rPr>
      </w:pPr>
      <w:r>
        <w:rPr>
          <w:rFonts w:hint="eastAsia" w:asciiTheme="minorEastAsia" w:hAnsiTheme="minorEastAsia" w:eastAsiaTheme="minorEastAsia" w:cstheme="minorEastAsia"/>
          <w:bCs/>
          <w:color w:val="auto"/>
          <w:sz w:val="24"/>
          <w:szCs w:val="24"/>
          <w:highlight w:val="none"/>
          <w14:ligatures w14:val="none"/>
        </w:rPr>
        <w:t>十、违约责任</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（一）双方需按本合同的各项条款履行义务或提供服务，若其中一方违反本合同约定的内容，应对相关事宜负责，对违约所造成的后果负责，且向守约方承担由此而造成的经济损失。</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（二）在本合同期内，乙方依法拥有本合同约定的所有商业权益，因甲方非正当原因造成乙方不能按照合同约定享有的合法权益时，甲方应当支付合同款总额的20%作为违约金，并赔偿乙方所有损失。</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（三）在本合同期内，如因不可抗力造成比赛取消，甲乙双方应各自承担为赛事筹备和运营工作所支付的成本；乙方退还甲方已经支付的合同款。</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（四）在本合同期内，由于乙方非正当原因严重违背双方约定的赛事方案执行或比赛被取消，乙方应退还甲方已支付的合同款，并向甲方支付合同款总额的20%作为违约金，并赔偿甲方的经济损失。</w:t>
      </w:r>
    </w:p>
    <w:p>
      <w:pPr>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（五）赛事结束后，经甲方验收不合格的，甲方有权在第三次应支付的款项（总体经费的25%）中做出相应扣除。</w:t>
      </w:r>
    </w:p>
    <w:p>
      <w:pPr>
        <w:adjustRightInd w:val="0"/>
        <w:snapToGrid w:val="0"/>
        <w:spacing w:after="0" w:line="520" w:lineRule="exact"/>
        <w:ind w:firstLine="470" w:firstLineChars="196"/>
        <w:jc w:val="both"/>
        <w:rPr>
          <w:rFonts w:hint="eastAsia" w:asciiTheme="minorEastAsia" w:hAnsiTheme="minorEastAsia" w:eastAsiaTheme="minorEastAsia" w:cstheme="minorEastAsia"/>
          <w:bCs/>
          <w:color w:val="auto"/>
          <w:sz w:val="24"/>
          <w:szCs w:val="24"/>
          <w:highlight w:val="none"/>
          <w14:ligatures w14:val="none"/>
        </w:rPr>
      </w:pPr>
      <w:r>
        <w:rPr>
          <w:rFonts w:hint="eastAsia" w:asciiTheme="minorEastAsia" w:hAnsiTheme="minorEastAsia" w:eastAsiaTheme="minorEastAsia" w:cstheme="minorEastAsia"/>
          <w:bCs/>
          <w:color w:val="auto"/>
          <w:sz w:val="24"/>
          <w:szCs w:val="24"/>
          <w:highlight w:val="none"/>
          <w14:ligatures w14:val="none"/>
        </w:rPr>
        <w:t>十一、责任的免除</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遇灾害、事故等法定不可抗力因素致使本合同不能正常执行，均不视为违约，并可免除双方的责任，但双方应及时采取补救措施，防止损失的进一步扩大，同时进行友好协商，寻求解决的方案。</w:t>
      </w:r>
    </w:p>
    <w:p>
      <w:pPr>
        <w:adjustRightInd w:val="0"/>
        <w:snapToGrid w:val="0"/>
        <w:spacing w:after="0" w:line="520" w:lineRule="exact"/>
        <w:ind w:firstLine="470" w:firstLineChars="196"/>
        <w:jc w:val="both"/>
        <w:rPr>
          <w:rFonts w:hint="eastAsia" w:asciiTheme="minorEastAsia" w:hAnsiTheme="minorEastAsia" w:eastAsiaTheme="minorEastAsia" w:cstheme="minorEastAsia"/>
          <w:bCs/>
          <w:color w:val="auto"/>
          <w:sz w:val="24"/>
          <w:szCs w:val="24"/>
          <w:highlight w:val="none"/>
          <w14:ligatures w14:val="none"/>
        </w:rPr>
      </w:pPr>
      <w:r>
        <w:rPr>
          <w:rFonts w:hint="eastAsia" w:asciiTheme="minorEastAsia" w:hAnsiTheme="minorEastAsia" w:eastAsiaTheme="minorEastAsia" w:cstheme="minorEastAsia"/>
          <w:bCs/>
          <w:color w:val="auto"/>
          <w:sz w:val="24"/>
          <w:szCs w:val="24"/>
          <w:highlight w:val="none"/>
          <w14:ligatures w14:val="none"/>
        </w:rPr>
        <w:t>十二、争议的解决</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若双方因执行本合同发生争议，应本着友好的态度协商解决。如协商不成，任何一方有权向甲方住所地有管辖权的人民法院提起诉讼。</w:t>
      </w:r>
    </w:p>
    <w:p>
      <w:pPr>
        <w:adjustRightInd w:val="0"/>
        <w:snapToGrid w:val="0"/>
        <w:spacing w:after="0" w:line="520" w:lineRule="exact"/>
        <w:ind w:firstLine="470" w:firstLineChars="196"/>
        <w:jc w:val="both"/>
        <w:rPr>
          <w:rFonts w:hint="eastAsia" w:asciiTheme="minorEastAsia" w:hAnsiTheme="minorEastAsia" w:eastAsiaTheme="minorEastAsia" w:cstheme="minorEastAsia"/>
          <w:bCs/>
          <w:color w:val="auto"/>
          <w:sz w:val="24"/>
          <w:szCs w:val="24"/>
          <w:highlight w:val="none"/>
          <w14:ligatures w14:val="none"/>
        </w:rPr>
      </w:pPr>
      <w:r>
        <w:rPr>
          <w:rFonts w:hint="eastAsia" w:asciiTheme="minorEastAsia" w:hAnsiTheme="minorEastAsia" w:eastAsiaTheme="minorEastAsia" w:cstheme="minorEastAsia"/>
          <w:bCs/>
          <w:color w:val="auto"/>
          <w:sz w:val="24"/>
          <w:szCs w:val="24"/>
          <w:highlight w:val="none"/>
          <w14:ligatures w14:val="none"/>
        </w:rPr>
        <w:t>十三、本合同的效力</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（一）本合同终止的，不应影响甲、乙双方于本合同终止日之前根据本合同已产生的权利和义务；</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（二）本合同的甲、乙双方未能及时行使本合同项下的权利的，不视为放弃该权利，也不影响该方在将来行使该权利；</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（三）本合同一式肆份，具有同等法律效力。甲乙双方各二份（可根据需要另增加）。</w:t>
      </w:r>
    </w:p>
    <w:p>
      <w:pPr>
        <w:adjustRightInd w:val="0"/>
        <w:snapToGrid w:val="0"/>
        <w:spacing w:after="0" w:line="520" w:lineRule="exact"/>
        <w:ind w:firstLine="480" w:firstLineChars="20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（四）本合同未尽事宜，经双方协商一致，可以签署书面补充协议，书面补充协议为本合同的一部分，与本合同具有同等法律效力；本合同的附件视为协议的一部分，与本合同具有同等法律效力。</w:t>
      </w:r>
    </w:p>
    <w:p>
      <w:pPr>
        <w:spacing w:after="0" w:line="540" w:lineRule="exact"/>
        <w:jc w:val="both"/>
        <w:rPr>
          <w:rFonts w:hint="eastAsia" w:asciiTheme="minorEastAsia" w:hAnsiTheme="minorEastAsia" w:eastAsiaTheme="minorEastAsia" w:cstheme="minorEastAsia"/>
          <w:color w:val="auto"/>
          <w:sz w:val="24"/>
          <w:szCs w:val="24"/>
          <w:highlight w:val="none"/>
          <w14:ligatures w14:val="none"/>
        </w:rPr>
      </w:pPr>
    </w:p>
    <w:tbl>
      <w:tblPr>
        <w:tblStyle w:val="60"/>
        <w:tblpPr w:leftFromText="180" w:rightFromText="180" w:vertAnchor="text" w:horzAnchor="margin" w:tblpX="-100" w:tblpY="-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3"/>
        <w:gridCol w:w="4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0" w:hRule="atLeast"/>
        </w:trPr>
        <w:tc>
          <w:tcPr>
            <w:tcW w:w="2527" w:type="pct"/>
            <w:vAlign w:val="center"/>
          </w:tcPr>
          <w:p>
            <w:pPr>
              <w:snapToGrid w:val="0"/>
              <w:spacing w:after="0" w:line="540" w:lineRule="exact"/>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甲方（章）</w:t>
            </w:r>
          </w:p>
          <w:p>
            <w:pPr>
              <w:snapToGrid w:val="0"/>
              <w:spacing w:after="0" w:line="540" w:lineRule="exact"/>
              <w:ind w:right="640" w:firstLine="1320" w:firstLineChars="55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年  月  日</w:t>
            </w:r>
          </w:p>
        </w:tc>
        <w:tc>
          <w:tcPr>
            <w:tcW w:w="2472" w:type="pct"/>
            <w:vAlign w:val="center"/>
          </w:tcPr>
          <w:p>
            <w:pPr>
              <w:snapToGrid w:val="0"/>
              <w:spacing w:after="0" w:line="540" w:lineRule="exact"/>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乙方（章）</w:t>
            </w:r>
          </w:p>
          <w:p>
            <w:pPr>
              <w:snapToGrid w:val="0"/>
              <w:spacing w:after="0" w:line="540" w:lineRule="exact"/>
              <w:ind w:right="640" w:firstLine="1320" w:firstLineChars="550"/>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527" w:type="pct"/>
            <w:vAlign w:val="center"/>
          </w:tcPr>
          <w:p>
            <w:pPr>
              <w:snapToGrid w:val="0"/>
              <w:spacing w:after="0" w:line="540" w:lineRule="exact"/>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单位地址：广西壮族自治区北海市海城区贵州路35号</w:t>
            </w:r>
          </w:p>
        </w:tc>
        <w:tc>
          <w:tcPr>
            <w:tcW w:w="2472" w:type="pct"/>
            <w:vAlign w:val="center"/>
          </w:tcPr>
          <w:p>
            <w:pPr>
              <w:snapToGrid w:val="0"/>
              <w:spacing w:after="0" w:line="540" w:lineRule="exact"/>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trPr>
        <w:tc>
          <w:tcPr>
            <w:tcW w:w="2527" w:type="pct"/>
            <w:vAlign w:val="center"/>
          </w:tcPr>
          <w:p>
            <w:pPr>
              <w:snapToGrid w:val="0"/>
              <w:spacing w:after="0" w:line="540" w:lineRule="exact"/>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授权代表：</w:t>
            </w:r>
          </w:p>
        </w:tc>
        <w:tc>
          <w:tcPr>
            <w:tcW w:w="2472" w:type="pct"/>
            <w:vAlign w:val="center"/>
          </w:tcPr>
          <w:p>
            <w:pPr>
              <w:snapToGrid w:val="0"/>
              <w:spacing w:after="0" w:line="540" w:lineRule="exact"/>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527" w:type="pct"/>
            <w:vMerge w:val="restart"/>
            <w:vAlign w:val="center"/>
          </w:tcPr>
          <w:p>
            <w:pPr>
              <w:snapToGrid w:val="0"/>
              <w:spacing w:after="0" w:line="540" w:lineRule="exact"/>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电话：0779-2021916</w:t>
            </w:r>
          </w:p>
        </w:tc>
        <w:tc>
          <w:tcPr>
            <w:tcW w:w="2472" w:type="pct"/>
            <w:vAlign w:val="center"/>
          </w:tcPr>
          <w:p>
            <w:pPr>
              <w:snapToGrid w:val="0"/>
              <w:spacing w:after="0" w:line="540" w:lineRule="exact"/>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2527" w:type="pct"/>
            <w:vMerge w:val="continue"/>
            <w:vAlign w:val="center"/>
          </w:tcPr>
          <w:p>
            <w:pPr>
              <w:snapToGrid w:val="0"/>
              <w:spacing w:after="0" w:line="540" w:lineRule="exact"/>
              <w:rPr>
                <w:rFonts w:hint="eastAsia" w:asciiTheme="minorEastAsia" w:hAnsiTheme="minorEastAsia" w:eastAsiaTheme="minorEastAsia" w:cstheme="minorEastAsia"/>
                <w:color w:val="auto"/>
                <w:sz w:val="24"/>
                <w:szCs w:val="24"/>
                <w:highlight w:val="none"/>
                <w14:ligatures w14:val="none"/>
              </w:rPr>
            </w:pPr>
          </w:p>
        </w:tc>
        <w:tc>
          <w:tcPr>
            <w:tcW w:w="2472" w:type="pct"/>
            <w:vAlign w:val="center"/>
          </w:tcPr>
          <w:p>
            <w:pPr>
              <w:snapToGrid w:val="0"/>
              <w:spacing w:after="0" w:line="540" w:lineRule="exact"/>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2527" w:type="pct"/>
            <w:vMerge w:val="continue"/>
            <w:vAlign w:val="center"/>
          </w:tcPr>
          <w:p>
            <w:pPr>
              <w:snapToGrid w:val="0"/>
              <w:spacing w:after="0" w:line="540" w:lineRule="exact"/>
              <w:rPr>
                <w:rFonts w:hint="eastAsia" w:asciiTheme="minorEastAsia" w:hAnsiTheme="minorEastAsia" w:eastAsiaTheme="minorEastAsia" w:cstheme="minorEastAsia"/>
                <w:color w:val="auto"/>
                <w:sz w:val="24"/>
                <w:szCs w:val="24"/>
                <w:highlight w:val="none"/>
                <w14:ligatures w14:val="none"/>
              </w:rPr>
            </w:pPr>
          </w:p>
        </w:tc>
        <w:tc>
          <w:tcPr>
            <w:tcW w:w="2472" w:type="pct"/>
            <w:vAlign w:val="center"/>
          </w:tcPr>
          <w:p>
            <w:pPr>
              <w:spacing w:after="0" w:line="540" w:lineRule="exact"/>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账号：</w:t>
            </w:r>
          </w:p>
        </w:tc>
      </w:tr>
    </w:tbl>
    <w:p>
      <w:pPr>
        <w:snapToGrid w:val="0"/>
        <w:spacing w:after="0" w:line="360" w:lineRule="auto"/>
        <w:jc w:val="both"/>
        <w:rPr>
          <w:rFonts w:hint="eastAsia" w:asciiTheme="minorEastAsia" w:hAnsiTheme="minorEastAsia" w:eastAsiaTheme="minorEastAsia" w:cstheme="minorEastAsia"/>
          <w:b/>
          <w:color w:val="auto"/>
          <w:sz w:val="24"/>
          <w:szCs w:val="24"/>
          <w:highlight w:val="none"/>
          <w14:ligatures w14:val="none"/>
        </w:rPr>
      </w:pPr>
    </w:p>
    <w:p>
      <w:pPr>
        <w:snapToGrid w:val="0"/>
        <w:spacing w:after="0" w:line="360" w:lineRule="auto"/>
        <w:jc w:val="both"/>
        <w:rPr>
          <w:rFonts w:hint="eastAsia" w:asciiTheme="minorEastAsia" w:hAnsiTheme="minorEastAsia" w:eastAsiaTheme="minorEastAsia" w:cstheme="minorEastAsia"/>
          <w:b/>
          <w:color w:val="auto"/>
          <w:sz w:val="24"/>
          <w:szCs w:val="24"/>
          <w:highlight w:val="none"/>
          <w14:ligatures w14:val="none"/>
        </w:rPr>
      </w:pPr>
    </w:p>
    <w:p>
      <w:pPr>
        <w:snapToGrid w:val="0"/>
        <w:spacing w:after="0" w:line="360" w:lineRule="auto"/>
        <w:jc w:val="both"/>
        <w:rPr>
          <w:rFonts w:hint="eastAsia" w:asciiTheme="minorEastAsia" w:hAnsiTheme="minorEastAsia" w:eastAsiaTheme="minorEastAsia" w:cstheme="minorEastAsia"/>
          <w:b/>
          <w:color w:val="auto"/>
          <w:sz w:val="24"/>
          <w:szCs w:val="24"/>
          <w:highlight w:val="none"/>
          <w14:ligatures w14:val="none"/>
        </w:rPr>
      </w:pPr>
      <w:r>
        <w:rPr>
          <w:rFonts w:hint="eastAsia" w:asciiTheme="minorEastAsia" w:hAnsiTheme="minorEastAsia" w:eastAsiaTheme="minorEastAsia" w:cstheme="minorEastAsia"/>
          <w:b/>
          <w:color w:val="auto"/>
          <w:sz w:val="24"/>
          <w:szCs w:val="24"/>
          <w:highlight w:val="none"/>
          <w14:ligatures w14:val="none"/>
        </w:rPr>
        <w:t>合 同 附 件</w:t>
      </w:r>
    </w:p>
    <w:tbl>
      <w:tblPr>
        <w:tblStyle w:val="60"/>
        <w:tblW w:w="0" w:type="auto"/>
        <w:tblInd w:w="0" w:type="dxa"/>
        <w:tblLayout w:type="fixed"/>
        <w:tblCellMar>
          <w:top w:w="0" w:type="dxa"/>
          <w:left w:w="108" w:type="dxa"/>
          <w:bottom w:w="0" w:type="dxa"/>
          <w:right w:w="108" w:type="dxa"/>
        </w:tblCellMar>
      </w:tblPr>
      <w:tblGrid>
        <w:gridCol w:w="4968"/>
        <w:gridCol w:w="4860"/>
      </w:tblGrid>
      <w:tr>
        <w:tblPrEx>
          <w:tblCellMar>
            <w:top w:w="0" w:type="dxa"/>
            <w:left w:w="108" w:type="dxa"/>
            <w:bottom w:w="0" w:type="dxa"/>
            <w:right w:w="108" w:type="dxa"/>
          </w:tblCellMar>
        </w:tblPrEx>
        <w:trPr>
          <w:trHeight w:val="2224" w:hRule="atLeast"/>
        </w:trPr>
        <w:tc>
          <w:tcPr>
            <w:tcW w:w="9828" w:type="dxa"/>
            <w:gridSpan w:val="2"/>
            <w:tcBorders>
              <w:top w:val="single" w:color="auto" w:sz="4" w:space="0"/>
              <w:left w:val="single" w:color="auto" w:sz="4" w:space="0"/>
              <w:right w:val="single" w:color="auto" w:sz="4" w:space="0"/>
            </w:tcBorders>
          </w:tcPr>
          <w:p>
            <w:pPr>
              <w:snapToGrid w:val="0"/>
              <w:spacing w:after="0" w:line="400" w:lineRule="exact"/>
              <w:ind w:firstLine="482" w:firstLineChars="200"/>
              <w:jc w:val="both"/>
              <w:rPr>
                <w:rFonts w:hint="eastAsia" w:asciiTheme="minorEastAsia" w:hAnsiTheme="minorEastAsia" w:eastAsiaTheme="minorEastAsia" w:cstheme="minorEastAsia"/>
                <w:b/>
                <w:color w:val="auto"/>
                <w:sz w:val="24"/>
                <w:szCs w:val="24"/>
                <w:highlight w:val="none"/>
                <w14:ligatures w14:val="none"/>
              </w:rPr>
            </w:pPr>
            <w:r>
              <w:rPr>
                <w:rFonts w:hint="eastAsia" w:asciiTheme="minorEastAsia" w:hAnsiTheme="minorEastAsia" w:eastAsiaTheme="minorEastAsia" w:cstheme="minorEastAsia"/>
                <w:b/>
                <w:color w:val="auto"/>
                <w:sz w:val="24"/>
                <w:szCs w:val="24"/>
                <w:highlight w:val="none"/>
                <w14:ligatures w14:val="none"/>
              </w:rPr>
              <w:t>1、供应商承诺具体事项：</w:t>
            </w:r>
          </w:p>
        </w:tc>
      </w:tr>
      <w:tr>
        <w:tblPrEx>
          <w:tblCellMar>
            <w:top w:w="0" w:type="dxa"/>
            <w:left w:w="108" w:type="dxa"/>
            <w:bottom w:w="0" w:type="dxa"/>
            <w:right w:w="108" w:type="dxa"/>
          </w:tblCellMar>
        </w:tblPrEx>
        <w:trPr>
          <w:trHeight w:val="2374" w:hRule="atLeast"/>
        </w:trPr>
        <w:tc>
          <w:tcPr>
            <w:tcW w:w="9828" w:type="dxa"/>
            <w:gridSpan w:val="2"/>
            <w:tcBorders>
              <w:top w:val="single" w:color="auto" w:sz="4" w:space="0"/>
              <w:left w:val="single" w:color="auto" w:sz="4" w:space="0"/>
              <w:right w:val="single" w:color="auto" w:sz="4" w:space="0"/>
            </w:tcBorders>
          </w:tcPr>
          <w:p>
            <w:pPr>
              <w:snapToGrid w:val="0"/>
              <w:spacing w:after="0" w:line="400" w:lineRule="exact"/>
              <w:ind w:firstLine="482" w:firstLineChars="200"/>
              <w:jc w:val="both"/>
              <w:rPr>
                <w:rFonts w:hint="eastAsia" w:asciiTheme="minorEastAsia" w:hAnsiTheme="minorEastAsia" w:eastAsiaTheme="minorEastAsia" w:cstheme="minorEastAsia"/>
                <w:b/>
                <w:color w:val="auto"/>
                <w:sz w:val="24"/>
                <w:szCs w:val="24"/>
                <w:highlight w:val="none"/>
                <w14:ligatures w14:val="none"/>
              </w:rPr>
            </w:pPr>
            <w:r>
              <w:rPr>
                <w:rFonts w:hint="eastAsia" w:asciiTheme="minorEastAsia" w:hAnsiTheme="minorEastAsia" w:eastAsiaTheme="minorEastAsia" w:cstheme="minorEastAsia"/>
                <w:b/>
                <w:color w:val="auto"/>
                <w:sz w:val="24"/>
                <w:szCs w:val="24"/>
                <w:highlight w:val="none"/>
                <w14:ligatures w14:val="none"/>
              </w:rPr>
              <w:t>2、质保期责任：</w:t>
            </w:r>
          </w:p>
        </w:tc>
      </w:tr>
      <w:tr>
        <w:tblPrEx>
          <w:tblCellMar>
            <w:top w:w="0" w:type="dxa"/>
            <w:left w:w="108" w:type="dxa"/>
            <w:bottom w:w="0" w:type="dxa"/>
            <w:right w:w="108" w:type="dxa"/>
          </w:tblCellMar>
        </w:tblPrEx>
        <w:trPr>
          <w:trHeight w:val="2158" w:hRule="atLeast"/>
        </w:trPr>
        <w:tc>
          <w:tcPr>
            <w:tcW w:w="9828" w:type="dxa"/>
            <w:gridSpan w:val="2"/>
            <w:tcBorders>
              <w:top w:val="single" w:color="auto" w:sz="4" w:space="0"/>
              <w:left w:val="single" w:color="auto" w:sz="4" w:space="0"/>
              <w:right w:val="single" w:color="auto" w:sz="4" w:space="0"/>
            </w:tcBorders>
          </w:tcPr>
          <w:p>
            <w:pPr>
              <w:snapToGrid w:val="0"/>
              <w:spacing w:after="0" w:line="400" w:lineRule="exact"/>
              <w:ind w:firstLine="482" w:firstLineChars="200"/>
              <w:jc w:val="both"/>
              <w:rPr>
                <w:rFonts w:hint="eastAsia" w:asciiTheme="minorEastAsia" w:hAnsiTheme="minorEastAsia" w:eastAsiaTheme="minorEastAsia" w:cstheme="minorEastAsia"/>
                <w:b/>
                <w:color w:val="auto"/>
                <w:sz w:val="24"/>
                <w:szCs w:val="24"/>
                <w:highlight w:val="none"/>
                <w14:ligatures w14:val="none"/>
              </w:rPr>
            </w:pPr>
            <w:r>
              <w:rPr>
                <w:rFonts w:hint="eastAsia" w:asciiTheme="minorEastAsia" w:hAnsiTheme="minorEastAsia" w:eastAsiaTheme="minorEastAsia" w:cstheme="minorEastAsia"/>
                <w:b/>
                <w:color w:val="auto"/>
                <w:sz w:val="24"/>
                <w:szCs w:val="24"/>
                <w:highlight w:val="none"/>
                <w14:ligatures w14:val="none"/>
              </w:rPr>
              <w:t>3、其他具体事项：</w:t>
            </w:r>
          </w:p>
        </w:tc>
      </w:tr>
      <w:tr>
        <w:tblPrEx>
          <w:tblCellMar>
            <w:top w:w="0" w:type="dxa"/>
            <w:left w:w="108" w:type="dxa"/>
            <w:bottom w:w="0" w:type="dxa"/>
            <w:right w:w="108" w:type="dxa"/>
          </w:tblCellMar>
        </w:tblPrEx>
        <w:trPr>
          <w:trHeight w:val="2577" w:hRule="atLeast"/>
        </w:trPr>
        <w:tc>
          <w:tcPr>
            <w:tcW w:w="4968" w:type="dxa"/>
            <w:tcBorders>
              <w:top w:val="single" w:color="auto" w:sz="4" w:space="0"/>
              <w:left w:val="single" w:color="auto" w:sz="4" w:space="0"/>
              <w:bottom w:val="single" w:color="auto" w:sz="4" w:space="0"/>
              <w:right w:val="single" w:color="auto" w:sz="4" w:space="0"/>
            </w:tcBorders>
            <w:vAlign w:val="center"/>
          </w:tcPr>
          <w:p>
            <w:pPr>
              <w:snapToGrid w:val="0"/>
              <w:spacing w:after="0" w:line="400" w:lineRule="exact"/>
              <w:ind w:firstLine="482" w:firstLineChars="200"/>
              <w:jc w:val="both"/>
              <w:rPr>
                <w:rFonts w:hint="eastAsia" w:asciiTheme="minorEastAsia" w:hAnsiTheme="minorEastAsia" w:eastAsiaTheme="minorEastAsia" w:cstheme="minorEastAsia"/>
                <w:b/>
                <w:color w:val="auto"/>
                <w:sz w:val="24"/>
                <w:szCs w:val="24"/>
                <w:highlight w:val="none"/>
                <w14:ligatures w14:val="none"/>
              </w:rPr>
            </w:pPr>
            <w:r>
              <w:rPr>
                <w:rFonts w:hint="eastAsia" w:asciiTheme="minorEastAsia" w:hAnsiTheme="minorEastAsia" w:eastAsiaTheme="minorEastAsia" w:cstheme="minorEastAsia"/>
                <w:b/>
                <w:color w:val="auto"/>
                <w:sz w:val="24"/>
                <w:szCs w:val="24"/>
                <w:highlight w:val="none"/>
                <w14:ligatures w14:val="none"/>
              </w:rPr>
              <w:t>甲方（章）</w:t>
            </w:r>
          </w:p>
          <w:p>
            <w:pPr>
              <w:snapToGrid w:val="0"/>
              <w:spacing w:after="0" w:line="400" w:lineRule="exact"/>
              <w:ind w:firstLine="482" w:firstLineChars="200"/>
              <w:jc w:val="both"/>
              <w:rPr>
                <w:rFonts w:hint="eastAsia" w:asciiTheme="minorEastAsia" w:hAnsiTheme="minorEastAsia" w:eastAsiaTheme="minorEastAsia" w:cstheme="minorEastAsia"/>
                <w:b/>
                <w:color w:val="auto"/>
                <w:sz w:val="24"/>
                <w:szCs w:val="24"/>
                <w:highlight w:val="none"/>
                <w14:ligatures w14:val="none"/>
              </w:rPr>
            </w:pPr>
          </w:p>
          <w:p>
            <w:pPr>
              <w:snapToGrid w:val="0"/>
              <w:spacing w:after="0" w:line="400" w:lineRule="exact"/>
              <w:ind w:firstLine="482" w:firstLineChars="200"/>
              <w:jc w:val="both"/>
              <w:rPr>
                <w:rFonts w:hint="eastAsia" w:asciiTheme="minorEastAsia" w:hAnsiTheme="minorEastAsia" w:eastAsiaTheme="minorEastAsia" w:cstheme="minorEastAsia"/>
                <w:b/>
                <w:color w:val="auto"/>
                <w:sz w:val="24"/>
                <w:szCs w:val="24"/>
                <w:highlight w:val="none"/>
                <w14:ligatures w14:val="none"/>
              </w:rPr>
            </w:pPr>
          </w:p>
          <w:p>
            <w:pPr>
              <w:snapToGrid w:val="0"/>
              <w:spacing w:after="0" w:line="400" w:lineRule="exact"/>
              <w:ind w:firstLine="482" w:firstLineChars="200"/>
              <w:jc w:val="both"/>
              <w:rPr>
                <w:rFonts w:hint="eastAsia" w:asciiTheme="minorEastAsia" w:hAnsiTheme="minorEastAsia" w:eastAsiaTheme="minorEastAsia" w:cstheme="minorEastAsia"/>
                <w:b/>
                <w:color w:val="auto"/>
                <w:sz w:val="24"/>
                <w:szCs w:val="24"/>
                <w:highlight w:val="none"/>
                <w14:ligatures w14:val="none"/>
              </w:rPr>
            </w:pPr>
          </w:p>
          <w:p>
            <w:pPr>
              <w:snapToGrid w:val="0"/>
              <w:spacing w:after="0" w:line="400" w:lineRule="exact"/>
              <w:ind w:firstLine="482" w:firstLineChars="200"/>
              <w:jc w:val="both"/>
              <w:rPr>
                <w:rFonts w:hint="eastAsia" w:asciiTheme="minorEastAsia" w:hAnsiTheme="minorEastAsia" w:eastAsiaTheme="minorEastAsia" w:cstheme="minorEastAsia"/>
                <w:b/>
                <w:color w:val="auto"/>
                <w:sz w:val="24"/>
                <w:szCs w:val="24"/>
                <w:highlight w:val="none"/>
                <w14:ligatures w14:val="none"/>
              </w:rPr>
            </w:pPr>
          </w:p>
          <w:p>
            <w:pPr>
              <w:snapToGrid w:val="0"/>
              <w:spacing w:after="0" w:line="400" w:lineRule="exact"/>
              <w:ind w:firstLine="482" w:firstLineChars="200"/>
              <w:jc w:val="both"/>
              <w:rPr>
                <w:rFonts w:hint="eastAsia" w:asciiTheme="minorEastAsia" w:hAnsiTheme="minorEastAsia" w:eastAsiaTheme="minorEastAsia" w:cstheme="minorEastAsia"/>
                <w:b/>
                <w:color w:val="auto"/>
                <w:sz w:val="24"/>
                <w:szCs w:val="24"/>
                <w:highlight w:val="none"/>
                <w14:ligatures w14:val="none"/>
              </w:rPr>
            </w:pPr>
          </w:p>
          <w:p>
            <w:pPr>
              <w:snapToGrid w:val="0"/>
              <w:spacing w:after="0" w:line="400" w:lineRule="exact"/>
              <w:ind w:firstLine="482" w:firstLineChars="200"/>
              <w:jc w:val="both"/>
              <w:rPr>
                <w:rFonts w:hint="eastAsia" w:asciiTheme="minorEastAsia" w:hAnsiTheme="minorEastAsia" w:eastAsiaTheme="minorEastAsia" w:cstheme="minorEastAsia"/>
                <w:b/>
                <w:color w:val="auto"/>
                <w:sz w:val="24"/>
                <w:szCs w:val="24"/>
                <w:highlight w:val="none"/>
                <w14:ligatures w14:val="none"/>
              </w:rPr>
            </w:pPr>
          </w:p>
          <w:p>
            <w:pPr>
              <w:snapToGrid w:val="0"/>
              <w:spacing w:after="0" w:line="400" w:lineRule="exact"/>
              <w:ind w:firstLine="482" w:firstLineChars="200"/>
              <w:jc w:val="both"/>
              <w:rPr>
                <w:rFonts w:hint="eastAsia" w:asciiTheme="minorEastAsia" w:hAnsiTheme="minorEastAsia" w:eastAsiaTheme="minorEastAsia" w:cstheme="minorEastAsia"/>
                <w:b/>
                <w:color w:val="auto"/>
                <w:sz w:val="24"/>
                <w:szCs w:val="24"/>
                <w:highlight w:val="none"/>
                <w14:ligatures w14:val="none"/>
              </w:rPr>
            </w:pPr>
            <w:r>
              <w:rPr>
                <w:rFonts w:hint="eastAsia" w:asciiTheme="minorEastAsia" w:hAnsiTheme="minorEastAsia" w:eastAsiaTheme="minorEastAsia" w:cstheme="minorEastAsia"/>
                <w:b/>
                <w:color w:val="auto"/>
                <w:sz w:val="24"/>
                <w:szCs w:val="24"/>
                <w:highlight w:val="none"/>
                <w14:ligatures w14:val="none"/>
              </w:rPr>
              <w:t xml:space="preserve">                 年   月   日 </w:t>
            </w:r>
          </w:p>
        </w:tc>
        <w:tc>
          <w:tcPr>
            <w:tcW w:w="4860" w:type="dxa"/>
            <w:tcBorders>
              <w:top w:val="single" w:color="auto" w:sz="4" w:space="0"/>
              <w:left w:val="single" w:color="auto" w:sz="4" w:space="0"/>
              <w:bottom w:val="single" w:color="auto" w:sz="4" w:space="0"/>
              <w:right w:val="single" w:color="auto" w:sz="4" w:space="0"/>
            </w:tcBorders>
            <w:vAlign w:val="center"/>
          </w:tcPr>
          <w:p>
            <w:pPr>
              <w:snapToGrid w:val="0"/>
              <w:spacing w:after="0" w:line="400" w:lineRule="exact"/>
              <w:ind w:firstLine="482" w:firstLineChars="200"/>
              <w:jc w:val="both"/>
              <w:rPr>
                <w:rFonts w:hint="eastAsia" w:asciiTheme="minorEastAsia" w:hAnsiTheme="minorEastAsia" w:eastAsiaTheme="minorEastAsia" w:cstheme="minorEastAsia"/>
                <w:b/>
                <w:color w:val="auto"/>
                <w:sz w:val="24"/>
                <w:szCs w:val="24"/>
                <w:highlight w:val="none"/>
                <w14:ligatures w14:val="none"/>
              </w:rPr>
            </w:pPr>
            <w:r>
              <w:rPr>
                <w:rFonts w:hint="eastAsia" w:asciiTheme="minorEastAsia" w:hAnsiTheme="minorEastAsia" w:eastAsiaTheme="minorEastAsia" w:cstheme="minorEastAsia"/>
                <w:b/>
                <w:color w:val="auto"/>
                <w:sz w:val="24"/>
                <w:szCs w:val="24"/>
                <w:highlight w:val="none"/>
                <w14:ligatures w14:val="none"/>
              </w:rPr>
              <w:t>乙方（章）</w:t>
            </w:r>
          </w:p>
          <w:p>
            <w:pPr>
              <w:snapToGrid w:val="0"/>
              <w:spacing w:after="0" w:line="400" w:lineRule="exact"/>
              <w:ind w:firstLine="482" w:firstLineChars="200"/>
              <w:jc w:val="both"/>
              <w:rPr>
                <w:rFonts w:hint="eastAsia" w:asciiTheme="minorEastAsia" w:hAnsiTheme="minorEastAsia" w:eastAsiaTheme="minorEastAsia" w:cstheme="minorEastAsia"/>
                <w:b/>
                <w:color w:val="auto"/>
                <w:sz w:val="24"/>
                <w:szCs w:val="24"/>
                <w:highlight w:val="none"/>
                <w14:ligatures w14:val="none"/>
              </w:rPr>
            </w:pPr>
          </w:p>
          <w:p>
            <w:pPr>
              <w:snapToGrid w:val="0"/>
              <w:spacing w:after="0" w:line="400" w:lineRule="exact"/>
              <w:ind w:firstLine="482" w:firstLineChars="200"/>
              <w:jc w:val="both"/>
              <w:rPr>
                <w:rFonts w:hint="eastAsia" w:asciiTheme="minorEastAsia" w:hAnsiTheme="minorEastAsia" w:eastAsiaTheme="minorEastAsia" w:cstheme="minorEastAsia"/>
                <w:b/>
                <w:color w:val="auto"/>
                <w:sz w:val="24"/>
                <w:szCs w:val="24"/>
                <w:highlight w:val="none"/>
                <w14:ligatures w14:val="none"/>
              </w:rPr>
            </w:pPr>
          </w:p>
          <w:p>
            <w:pPr>
              <w:snapToGrid w:val="0"/>
              <w:spacing w:after="0" w:line="400" w:lineRule="exact"/>
              <w:ind w:firstLine="482" w:firstLineChars="200"/>
              <w:jc w:val="both"/>
              <w:rPr>
                <w:rFonts w:hint="eastAsia" w:asciiTheme="minorEastAsia" w:hAnsiTheme="minorEastAsia" w:eastAsiaTheme="minorEastAsia" w:cstheme="minorEastAsia"/>
                <w:b/>
                <w:color w:val="auto"/>
                <w:sz w:val="24"/>
                <w:szCs w:val="24"/>
                <w:highlight w:val="none"/>
                <w14:ligatures w14:val="none"/>
              </w:rPr>
            </w:pPr>
          </w:p>
          <w:p>
            <w:pPr>
              <w:snapToGrid w:val="0"/>
              <w:spacing w:after="0" w:line="400" w:lineRule="exact"/>
              <w:ind w:firstLine="482" w:firstLineChars="200"/>
              <w:jc w:val="both"/>
              <w:rPr>
                <w:rFonts w:hint="eastAsia" w:asciiTheme="minorEastAsia" w:hAnsiTheme="minorEastAsia" w:eastAsiaTheme="minorEastAsia" w:cstheme="minorEastAsia"/>
                <w:b/>
                <w:color w:val="auto"/>
                <w:sz w:val="24"/>
                <w:szCs w:val="24"/>
                <w:highlight w:val="none"/>
                <w14:ligatures w14:val="none"/>
              </w:rPr>
            </w:pPr>
          </w:p>
          <w:p>
            <w:pPr>
              <w:snapToGrid w:val="0"/>
              <w:spacing w:after="0" w:line="400" w:lineRule="exact"/>
              <w:ind w:firstLine="482" w:firstLineChars="200"/>
              <w:jc w:val="both"/>
              <w:rPr>
                <w:rFonts w:hint="eastAsia" w:asciiTheme="minorEastAsia" w:hAnsiTheme="minorEastAsia" w:eastAsiaTheme="minorEastAsia" w:cstheme="minorEastAsia"/>
                <w:b/>
                <w:color w:val="auto"/>
                <w:sz w:val="24"/>
                <w:szCs w:val="24"/>
                <w:highlight w:val="none"/>
                <w14:ligatures w14:val="none"/>
              </w:rPr>
            </w:pPr>
          </w:p>
          <w:p>
            <w:pPr>
              <w:snapToGrid w:val="0"/>
              <w:spacing w:after="0" w:line="400" w:lineRule="exact"/>
              <w:ind w:firstLine="482" w:firstLineChars="200"/>
              <w:jc w:val="both"/>
              <w:rPr>
                <w:rFonts w:hint="eastAsia" w:asciiTheme="minorEastAsia" w:hAnsiTheme="minorEastAsia" w:eastAsiaTheme="minorEastAsia" w:cstheme="minorEastAsia"/>
                <w:b/>
                <w:color w:val="auto"/>
                <w:sz w:val="24"/>
                <w:szCs w:val="24"/>
                <w:highlight w:val="none"/>
                <w14:ligatures w14:val="none"/>
              </w:rPr>
            </w:pPr>
          </w:p>
          <w:p>
            <w:pPr>
              <w:snapToGrid w:val="0"/>
              <w:spacing w:after="0" w:line="400" w:lineRule="exact"/>
              <w:ind w:firstLine="482" w:firstLineChars="200"/>
              <w:jc w:val="both"/>
              <w:rPr>
                <w:rFonts w:hint="eastAsia" w:asciiTheme="minorEastAsia" w:hAnsiTheme="minorEastAsia" w:eastAsiaTheme="minorEastAsia" w:cstheme="minorEastAsia"/>
                <w:b/>
                <w:color w:val="auto"/>
                <w:sz w:val="24"/>
                <w:szCs w:val="24"/>
                <w:highlight w:val="none"/>
                <w14:ligatures w14:val="none"/>
              </w:rPr>
            </w:pPr>
            <w:r>
              <w:rPr>
                <w:rFonts w:hint="eastAsia" w:asciiTheme="minorEastAsia" w:hAnsiTheme="minorEastAsia" w:eastAsiaTheme="minorEastAsia" w:cstheme="minorEastAsia"/>
                <w:b/>
                <w:color w:val="auto"/>
                <w:sz w:val="24"/>
                <w:szCs w:val="24"/>
                <w:highlight w:val="none"/>
                <w14:ligatures w14:val="none"/>
              </w:rPr>
              <w:t xml:space="preserve">                年   月   日</w:t>
            </w:r>
          </w:p>
        </w:tc>
      </w:tr>
    </w:tbl>
    <w:p>
      <w:pPr>
        <w:snapToGrid w:val="0"/>
        <w:spacing w:after="0" w:line="240" w:lineRule="auto"/>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 xml:space="preserve">  </w:t>
      </w:r>
    </w:p>
    <w:p>
      <w:pPr>
        <w:snapToGrid w:val="0"/>
        <w:spacing w:after="0" w:line="240" w:lineRule="auto"/>
        <w:jc w:val="both"/>
        <w:rPr>
          <w:rFonts w:hint="eastAsia" w:asciiTheme="minorEastAsia" w:hAnsiTheme="minorEastAsia" w:eastAsiaTheme="minorEastAsia" w:cstheme="minorEastAsia"/>
          <w:color w:val="auto"/>
          <w:sz w:val="24"/>
          <w:szCs w:val="24"/>
          <w:highlight w:val="none"/>
          <w14:ligatures w14:val="none"/>
        </w:rPr>
      </w:pPr>
      <w:r>
        <w:rPr>
          <w:rFonts w:hint="eastAsia" w:asciiTheme="minorEastAsia" w:hAnsiTheme="minorEastAsia" w:eastAsiaTheme="minorEastAsia" w:cstheme="minorEastAsia"/>
          <w:color w:val="auto"/>
          <w:sz w:val="24"/>
          <w:szCs w:val="24"/>
          <w:highlight w:val="none"/>
          <w14:ligatures w14:val="none"/>
        </w:rPr>
        <w:t>注：填不下时可另加附页</w:t>
      </w:r>
    </w:p>
    <w:p>
      <w:pPr>
        <w:snapToGrid w:val="0"/>
        <w:spacing w:after="0" w:line="360" w:lineRule="exact"/>
        <w:jc w:val="both"/>
        <w:rPr>
          <w:rFonts w:hint="eastAsia" w:ascii="宋体" w:hAnsi="宋体" w:eastAsia="宋体" w:cs="宋体"/>
          <w:color w:val="auto"/>
          <w:sz w:val="21"/>
          <w:szCs w:val="21"/>
          <w:highlight w:val="none"/>
          <w14:ligatures w14:val="none"/>
        </w:rPr>
      </w:pPr>
    </w:p>
    <w:p>
      <w:pPr>
        <w:rPr>
          <w:rFonts w:hint="eastAsia"/>
          <w:color w:val="auto"/>
          <w:highlight w:val="none"/>
        </w:rPr>
      </w:pPr>
    </w:p>
    <w:p>
      <w:pPr>
        <w:widowControl/>
        <w:spacing w:line="360" w:lineRule="auto"/>
        <w:jc w:val="left"/>
        <w:rPr>
          <w:rFonts w:hint="eastAsia" w:ascii="宋体" w:hAnsi="宋体"/>
          <w:b/>
          <w:color w:val="auto"/>
          <w:sz w:val="24"/>
          <w:highlight w:val="none"/>
        </w:rPr>
      </w:pPr>
    </w:p>
    <w:p>
      <w:pPr>
        <w:pStyle w:val="281"/>
        <w:spacing w:after="0"/>
        <w:ind w:firstLine="482"/>
        <w:jc w:val="center"/>
        <w:outlineLvl w:val="1"/>
        <w:rPr>
          <w:rFonts w:hint="eastAsia" w:ascii="宋体" w:hAnsi="宋体"/>
          <w:b/>
          <w:color w:val="auto"/>
          <w:szCs w:val="24"/>
          <w:highlight w:val="none"/>
        </w:rPr>
      </w:pPr>
      <w:r>
        <w:rPr>
          <w:rFonts w:hint="eastAsia" w:ascii="宋体" w:hAnsi="宋体"/>
          <w:b/>
          <w:color w:val="auto"/>
          <w:szCs w:val="24"/>
          <w:highlight w:val="none"/>
        </w:rPr>
        <w:t>第二节</w:t>
      </w:r>
      <w:r>
        <w:rPr>
          <w:rFonts w:ascii="宋体" w:hAnsi="宋体"/>
          <w:b/>
          <w:color w:val="auto"/>
          <w:szCs w:val="24"/>
          <w:highlight w:val="none"/>
        </w:rPr>
        <w:t xml:space="preserve"> </w:t>
      </w:r>
      <w:r>
        <w:rPr>
          <w:rFonts w:hint="eastAsia" w:ascii="宋体" w:hAnsi="宋体"/>
          <w:b/>
          <w:color w:val="auto"/>
          <w:szCs w:val="24"/>
          <w:highlight w:val="none"/>
        </w:rPr>
        <w:t>合同一般条款</w:t>
      </w:r>
    </w:p>
    <w:p>
      <w:pPr>
        <w:spacing w:line="360" w:lineRule="auto"/>
        <w:ind w:firstLine="482" w:firstLineChars="200"/>
        <w:rPr>
          <w:rFonts w:hint="eastAsia" w:ascii="宋体" w:hAnsi="宋体"/>
          <w:b/>
          <w:color w:val="auto"/>
          <w:sz w:val="24"/>
          <w:highlight w:val="none"/>
        </w:rPr>
      </w:pPr>
      <w:bookmarkStart w:id="30" w:name="_Toc25079"/>
      <w:bookmarkStart w:id="31" w:name="_Toc14021"/>
      <w:bookmarkStart w:id="32" w:name="_Toc5228"/>
      <w:bookmarkStart w:id="33" w:name="_Toc19680"/>
      <w:bookmarkStart w:id="34" w:name="_Toc31297"/>
      <w:r>
        <w:rPr>
          <w:rFonts w:ascii="宋体" w:hAnsi="宋体"/>
          <w:b/>
          <w:color w:val="auto"/>
          <w:sz w:val="24"/>
          <w:highlight w:val="none"/>
        </w:rPr>
        <w:t>2.1 定义</w:t>
      </w:r>
      <w:bookmarkEnd w:id="30"/>
      <w:bookmarkEnd w:id="31"/>
      <w:bookmarkEnd w:id="32"/>
      <w:bookmarkEnd w:id="33"/>
      <w:bookmarkEnd w:id="34"/>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成交</w:t>
      </w:r>
      <w:r>
        <w:rPr>
          <w:rFonts w:ascii="宋体" w:hAnsi="宋体"/>
          <w:color w:val="auto"/>
          <w:sz w:val="24"/>
          <w:highlight w:val="none"/>
        </w:rPr>
        <w:t>供应商签订的载明双方当事人所达成的协议，并包括所有的附件、附录和构成合同的其他文件。</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2.1.6 “现场”系指合同约定提供服务的地点。</w:t>
      </w:r>
    </w:p>
    <w:p>
      <w:pPr>
        <w:spacing w:line="360" w:lineRule="auto"/>
        <w:ind w:firstLine="482" w:firstLineChars="200"/>
        <w:rPr>
          <w:rFonts w:hint="eastAsia" w:ascii="宋体" w:hAnsi="宋体"/>
          <w:b/>
          <w:color w:val="auto"/>
          <w:sz w:val="24"/>
          <w:highlight w:val="none"/>
        </w:rPr>
      </w:pPr>
      <w:bookmarkStart w:id="35" w:name="_Toc23289"/>
      <w:bookmarkStart w:id="36" w:name="_Toc31402"/>
      <w:bookmarkStart w:id="37" w:name="_Toc3769"/>
      <w:bookmarkStart w:id="38" w:name="_Toc16752"/>
      <w:bookmarkStart w:id="39" w:name="_Toc19539"/>
      <w:r>
        <w:rPr>
          <w:rFonts w:ascii="宋体" w:hAnsi="宋体"/>
          <w:b/>
          <w:color w:val="auto"/>
          <w:sz w:val="24"/>
          <w:highlight w:val="none"/>
        </w:rPr>
        <w:t>2.2 技术规范</w:t>
      </w:r>
      <w:bookmarkEnd w:id="35"/>
      <w:bookmarkEnd w:id="36"/>
      <w:bookmarkEnd w:id="37"/>
      <w:bookmarkEnd w:id="38"/>
      <w:bookmarkEnd w:id="39"/>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pPr>
        <w:spacing w:line="360" w:lineRule="auto"/>
        <w:ind w:firstLine="482" w:firstLineChars="200"/>
        <w:rPr>
          <w:rFonts w:hint="eastAsia" w:ascii="宋体" w:hAnsi="宋体"/>
          <w:b/>
          <w:color w:val="auto"/>
          <w:sz w:val="24"/>
          <w:highlight w:val="none"/>
        </w:rPr>
      </w:pPr>
      <w:bookmarkStart w:id="40" w:name="_Toc9161"/>
      <w:bookmarkStart w:id="41" w:name="_Toc27945"/>
      <w:bookmarkStart w:id="42" w:name="_Toc4133"/>
      <w:bookmarkStart w:id="43" w:name="_Toc13673"/>
      <w:bookmarkStart w:id="44" w:name="_Toc12412"/>
      <w:r>
        <w:rPr>
          <w:rFonts w:ascii="宋体" w:hAnsi="宋体"/>
          <w:b/>
          <w:color w:val="auto"/>
          <w:sz w:val="24"/>
          <w:highlight w:val="none"/>
        </w:rPr>
        <w:t>2.3 知识产权</w:t>
      </w:r>
      <w:bookmarkEnd w:id="40"/>
      <w:bookmarkEnd w:id="41"/>
      <w:bookmarkEnd w:id="42"/>
      <w:bookmarkEnd w:id="43"/>
      <w:bookmarkEnd w:id="44"/>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pPr>
        <w:spacing w:line="360" w:lineRule="auto"/>
        <w:ind w:firstLine="482" w:firstLineChars="200"/>
        <w:rPr>
          <w:rFonts w:hint="eastAsia"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pPr>
        <w:spacing w:line="360" w:lineRule="auto"/>
        <w:ind w:firstLine="482" w:firstLineChars="200"/>
        <w:rPr>
          <w:rFonts w:hint="eastAsia" w:ascii="宋体" w:hAnsi="宋体"/>
          <w:b/>
          <w:color w:val="auto"/>
          <w:sz w:val="24"/>
          <w:highlight w:val="none"/>
        </w:rPr>
      </w:pPr>
      <w:bookmarkStart w:id="45" w:name="_Toc31233"/>
      <w:bookmarkStart w:id="46" w:name="_Toc22011"/>
      <w:bookmarkStart w:id="47" w:name="_Toc26555"/>
      <w:bookmarkStart w:id="48" w:name="_Toc32670"/>
      <w:bookmarkStart w:id="49" w:name="_Toc15447"/>
      <w:r>
        <w:rPr>
          <w:rFonts w:ascii="宋体" w:hAnsi="宋体"/>
          <w:b/>
          <w:color w:val="auto"/>
          <w:sz w:val="24"/>
          <w:highlight w:val="none"/>
        </w:rPr>
        <w:t>2.5 结算方式和付款条件</w:t>
      </w:r>
      <w:bookmarkEnd w:id="45"/>
      <w:bookmarkEnd w:id="46"/>
      <w:bookmarkEnd w:id="47"/>
      <w:bookmarkEnd w:id="48"/>
      <w:bookmarkEnd w:id="49"/>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pPr>
        <w:spacing w:line="360" w:lineRule="auto"/>
        <w:ind w:firstLine="482" w:firstLineChars="200"/>
        <w:rPr>
          <w:rFonts w:hint="eastAsia" w:ascii="宋体" w:hAnsi="宋体"/>
          <w:b/>
          <w:color w:val="auto"/>
          <w:sz w:val="24"/>
          <w:highlight w:val="none"/>
        </w:rPr>
      </w:pPr>
      <w:bookmarkStart w:id="50" w:name="_Toc30507"/>
      <w:bookmarkStart w:id="51" w:name="_Toc18990"/>
      <w:bookmarkStart w:id="52" w:name="_Toc13467"/>
      <w:bookmarkStart w:id="53" w:name="_Toc16163"/>
      <w:bookmarkStart w:id="54" w:name="_Toc13154"/>
      <w:r>
        <w:rPr>
          <w:rFonts w:ascii="宋体" w:hAnsi="宋体"/>
          <w:b/>
          <w:color w:val="auto"/>
          <w:sz w:val="24"/>
          <w:highlight w:val="none"/>
        </w:rPr>
        <w:t>2.6 技术资料和保密义务</w:t>
      </w:r>
      <w:bookmarkEnd w:id="50"/>
      <w:bookmarkEnd w:id="51"/>
      <w:bookmarkEnd w:id="52"/>
      <w:bookmarkEnd w:id="53"/>
      <w:bookmarkEnd w:id="54"/>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pPr>
        <w:spacing w:line="360" w:lineRule="auto"/>
        <w:ind w:firstLine="482" w:firstLineChars="200"/>
        <w:rPr>
          <w:rFonts w:hint="eastAsia" w:ascii="宋体" w:hAnsi="宋体"/>
          <w:b/>
          <w:color w:val="auto"/>
          <w:sz w:val="24"/>
          <w:highlight w:val="none"/>
        </w:rPr>
      </w:pPr>
      <w:bookmarkStart w:id="55"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55"/>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pPr>
        <w:spacing w:line="360" w:lineRule="auto"/>
        <w:ind w:firstLine="482" w:firstLineChars="200"/>
        <w:rPr>
          <w:rFonts w:hint="eastAsia" w:ascii="宋体" w:hAnsi="宋体"/>
          <w:b/>
          <w:color w:val="auto"/>
          <w:sz w:val="24"/>
          <w:highlight w:val="none"/>
        </w:rPr>
      </w:pPr>
      <w:bookmarkStart w:id="56"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56"/>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pPr>
        <w:spacing w:line="360" w:lineRule="auto"/>
        <w:ind w:firstLine="482" w:firstLineChars="200"/>
        <w:rPr>
          <w:rFonts w:hint="eastAsia" w:ascii="宋体" w:hAnsi="宋体"/>
          <w:b/>
          <w:color w:val="auto"/>
          <w:sz w:val="24"/>
          <w:highlight w:val="none"/>
        </w:rPr>
      </w:pPr>
      <w:bookmarkStart w:id="57"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57"/>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pPr>
        <w:spacing w:line="360" w:lineRule="auto"/>
        <w:ind w:firstLine="482" w:firstLineChars="200"/>
        <w:rPr>
          <w:rFonts w:hint="eastAsia" w:ascii="宋体" w:hAnsi="宋体"/>
          <w:b/>
          <w:color w:val="auto"/>
          <w:sz w:val="24"/>
          <w:highlight w:val="none"/>
        </w:rPr>
      </w:pPr>
      <w:bookmarkStart w:id="58" w:name="_Toc26689"/>
      <w:bookmarkStart w:id="59" w:name="_Toc10663"/>
      <w:bookmarkStart w:id="60" w:name="_Toc42"/>
      <w:bookmarkStart w:id="61" w:name="_Toc23368"/>
      <w:bookmarkStart w:id="62" w:name="_Toc21830"/>
      <w:r>
        <w:rPr>
          <w:rFonts w:ascii="宋体" w:hAnsi="宋体"/>
          <w:b/>
          <w:color w:val="auto"/>
          <w:sz w:val="24"/>
          <w:highlight w:val="none"/>
        </w:rPr>
        <w:t>2.10 合同转让和分包</w:t>
      </w:r>
      <w:bookmarkEnd w:id="58"/>
      <w:bookmarkEnd w:id="59"/>
      <w:bookmarkEnd w:id="60"/>
      <w:bookmarkEnd w:id="61"/>
      <w:bookmarkEnd w:id="62"/>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pPr>
        <w:spacing w:line="360" w:lineRule="auto"/>
        <w:ind w:firstLine="482" w:firstLineChars="200"/>
        <w:rPr>
          <w:rFonts w:hint="eastAsia" w:ascii="宋体" w:hAnsi="宋体"/>
          <w:b/>
          <w:color w:val="auto"/>
          <w:sz w:val="24"/>
          <w:highlight w:val="none"/>
        </w:rPr>
      </w:pPr>
      <w:bookmarkStart w:id="63" w:name="_Toc26633"/>
      <w:bookmarkStart w:id="64" w:name="_Toc32494"/>
      <w:bookmarkStart w:id="65" w:name="_Toc25571"/>
      <w:bookmarkStart w:id="66" w:name="_Toc14371"/>
      <w:bookmarkStart w:id="67" w:name="_Toc4720"/>
      <w:r>
        <w:rPr>
          <w:rFonts w:ascii="宋体" w:hAnsi="宋体"/>
          <w:b/>
          <w:color w:val="auto"/>
          <w:sz w:val="24"/>
          <w:highlight w:val="none"/>
        </w:rPr>
        <w:t>2.11 不可抗力</w:t>
      </w:r>
      <w:bookmarkEnd w:id="63"/>
      <w:bookmarkEnd w:id="64"/>
      <w:bookmarkEnd w:id="65"/>
      <w:bookmarkEnd w:id="66"/>
      <w:bookmarkEnd w:id="67"/>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pPr>
        <w:spacing w:line="360" w:lineRule="auto"/>
        <w:ind w:firstLine="482" w:firstLineChars="200"/>
        <w:rPr>
          <w:rFonts w:hint="eastAsia" w:ascii="宋体" w:hAnsi="宋体"/>
          <w:b/>
          <w:color w:val="auto"/>
          <w:sz w:val="24"/>
          <w:highlight w:val="none"/>
        </w:rPr>
      </w:pPr>
      <w:bookmarkStart w:id="68" w:name="_Toc24465"/>
      <w:bookmarkStart w:id="69" w:name="_Toc14115"/>
      <w:bookmarkStart w:id="70" w:name="_Toc23854"/>
      <w:bookmarkStart w:id="71" w:name="_Toc3638"/>
      <w:bookmarkStart w:id="72" w:name="_Toc25783"/>
      <w:r>
        <w:rPr>
          <w:rFonts w:ascii="宋体" w:hAnsi="宋体"/>
          <w:b/>
          <w:color w:val="auto"/>
          <w:sz w:val="24"/>
          <w:highlight w:val="none"/>
        </w:rPr>
        <w:t>2.12 税费</w:t>
      </w:r>
      <w:bookmarkEnd w:id="68"/>
      <w:bookmarkEnd w:id="69"/>
      <w:bookmarkEnd w:id="70"/>
      <w:bookmarkEnd w:id="71"/>
      <w:bookmarkEnd w:id="72"/>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pPr>
        <w:spacing w:line="360" w:lineRule="auto"/>
        <w:ind w:firstLine="482" w:firstLineChars="200"/>
        <w:rPr>
          <w:rFonts w:hint="eastAsia" w:ascii="宋体" w:hAnsi="宋体"/>
          <w:b/>
          <w:color w:val="auto"/>
          <w:sz w:val="24"/>
          <w:highlight w:val="none"/>
        </w:rPr>
      </w:pPr>
      <w:bookmarkStart w:id="73" w:name="_Toc26883"/>
      <w:bookmarkStart w:id="74" w:name="_Toc7315"/>
      <w:bookmarkStart w:id="75" w:name="_Toc25525"/>
      <w:bookmarkStart w:id="76" w:name="_Toc30105"/>
      <w:bookmarkStart w:id="77" w:name="_Toc14814"/>
      <w:r>
        <w:rPr>
          <w:rFonts w:ascii="宋体" w:hAnsi="宋体"/>
          <w:b/>
          <w:color w:val="auto"/>
          <w:sz w:val="24"/>
          <w:highlight w:val="none"/>
        </w:rPr>
        <w:t>2.13 乙方破产</w:t>
      </w:r>
      <w:bookmarkEnd w:id="73"/>
      <w:bookmarkEnd w:id="74"/>
      <w:bookmarkEnd w:id="75"/>
      <w:bookmarkEnd w:id="76"/>
      <w:bookmarkEnd w:id="77"/>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pPr>
        <w:spacing w:line="360" w:lineRule="auto"/>
        <w:ind w:firstLine="482" w:firstLineChars="200"/>
        <w:rPr>
          <w:rFonts w:hint="eastAsia" w:ascii="宋体" w:hAnsi="宋体"/>
          <w:b/>
          <w:color w:val="auto"/>
          <w:sz w:val="24"/>
          <w:highlight w:val="none"/>
        </w:rPr>
      </w:pPr>
      <w:bookmarkStart w:id="78" w:name="_Toc23323"/>
      <w:bookmarkStart w:id="79" w:name="_Toc1123"/>
      <w:bookmarkStart w:id="80" w:name="_Toc2016"/>
      <w:r>
        <w:rPr>
          <w:rFonts w:ascii="宋体" w:hAnsi="宋体"/>
          <w:b/>
          <w:color w:val="auto"/>
          <w:sz w:val="24"/>
          <w:highlight w:val="none"/>
        </w:rPr>
        <w:t>2.14 合同中止、终止</w:t>
      </w:r>
      <w:bookmarkEnd w:id="78"/>
      <w:bookmarkEnd w:id="79"/>
      <w:bookmarkEnd w:id="80"/>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hint="eastAsia" w:ascii="宋体" w:hAnsi="宋体"/>
          <w:b/>
          <w:color w:val="auto"/>
          <w:sz w:val="24"/>
          <w:highlight w:val="none"/>
        </w:rPr>
      </w:pPr>
      <w:bookmarkStart w:id="81" w:name="_Toc17363"/>
      <w:bookmarkStart w:id="82" w:name="_Toc14525"/>
      <w:bookmarkStart w:id="83" w:name="_Toc1969"/>
      <w:r>
        <w:rPr>
          <w:rFonts w:ascii="宋体" w:hAnsi="宋体"/>
          <w:b/>
          <w:color w:val="auto"/>
          <w:sz w:val="24"/>
          <w:highlight w:val="none"/>
        </w:rPr>
        <w:t>2.15 检验和验收</w:t>
      </w:r>
      <w:bookmarkEnd w:id="81"/>
      <w:bookmarkEnd w:id="82"/>
      <w:bookmarkEnd w:id="83"/>
    </w:p>
    <w:p>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2" w:firstLineChars="200"/>
        <w:rPr>
          <w:rFonts w:hint="eastAsia" w:ascii="宋体" w:hAnsi="宋体"/>
          <w:b/>
          <w:color w:val="auto"/>
          <w:sz w:val="24"/>
          <w:highlight w:val="none"/>
        </w:rPr>
      </w:pPr>
      <w:bookmarkStart w:id="84" w:name="_Toc31892"/>
      <w:bookmarkStart w:id="85" w:name="_Toc12666"/>
      <w:bookmarkStart w:id="86" w:name="_Toc25198"/>
      <w:bookmarkStart w:id="87" w:name="_Toc2308"/>
      <w:bookmarkStart w:id="88" w:name="_Toc9808"/>
      <w:r>
        <w:rPr>
          <w:rFonts w:ascii="宋体" w:hAnsi="宋体"/>
          <w:b/>
          <w:color w:val="auto"/>
          <w:sz w:val="24"/>
          <w:highlight w:val="none"/>
        </w:rPr>
        <w:t>2.16 通知和送达</w:t>
      </w:r>
      <w:bookmarkEnd w:id="84"/>
      <w:bookmarkEnd w:id="85"/>
      <w:bookmarkEnd w:id="86"/>
      <w:bookmarkEnd w:id="87"/>
      <w:bookmarkEnd w:id="88"/>
    </w:p>
    <w:p>
      <w:pPr>
        <w:spacing w:line="360" w:lineRule="auto"/>
        <w:ind w:firstLine="480" w:firstLineChars="200"/>
        <w:rPr>
          <w:rFonts w:hint="eastAsia" w:ascii="宋体" w:hAnsi="宋体"/>
          <w:color w:val="auto"/>
          <w:sz w:val="24"/>
          <w:highlight w:val="none"/>
        </w:rPr>
      </w:pPr>
      <w:bookmarkStart w:id="89" w:name="_Toc27674"/>
      <w:bookmarkStart w:id="90" w:name="_Toc18401"/>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89"/>
      <w:bookmarkEnd w:id="90"/>
    </w:p>
    <w:p>
      <w:pPr>
        <w:spacing w:line="360" w:lineRule="auto"/>
        <w:ind w:firstLine="482" w:firstLineChars="200"/>
        <w:rPr>
          <w:rFonts w:hint="eastAsia" w:ascii="宋体" w:hAnsi="宋体"/>
          <w:b/>
          <w:color w:val="auto"/>
          <w:sz w:val="24"/>
          <w:highlight w:val="none"/>
        </w:rPr>
      </w:pPr>
      <w:bookmarkStart w:id="91" w:name="_Toc20808"/>
      <w:bookmarkStart w:id="92" w:name="_Toc12254"/>
      <w:bookmarkStart w:id="93" w:name="_Toc27644"/>
      <w:bookmarkStart w:id="94" w:name="_Toc5063"/>
      <w:bookmarkStart w:id="95" w:name="_Toc28906"/>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91"/>
      <w:bookmarkEnd w:id="92"/>
      <w:bookmarkEnd w:id="93"/>
      <w:bookmarkEnd w:id="94"/>
      <w:bookmarkEnd w:id="95"/>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2.18 计量单位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pPr>
        <w:spacing w:line="360" w:lineRule="auto"/>
        <w:ind w:firstLine="482" w:firstLineChars="200"/>
        <w:rPr>
          <w:rFonts w:hint="eastAsia"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合同份数按</w:t>
      </w:r>
      <w:r>
        <w:rPr>
          <w:rFonts w:ascii="宋体" w:hAnsi="宋体"/>
          <w:b/>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pPr>
        <w:spacing w:line="360" w:lineRule="auto"/>
        <w:jc w:val="center"/>
        <w:outlineLvl w:val="1"/>
        <w:rPr>
          <w:rFonts w:hint="eastAsia"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第三节 合同专用条款</w:t>
      </w:r>
    </w:p>
    <w:p>
      <w:pPr>
        <w:spacing w:line="360" w:lineRule="auto"/>
        <w:ind w:left="-420" w:leftChars="-200" w:right="-420" w:rightChars="-200" w:firstLine="480" w:firstLineChars="200"/>
        <w:rPr>
          <w:rFonts w:hint="eastAsia"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pPr>
              <w:spacing w:line="360" w:lineRule="auto"/>
              <w:ind w:left="-420" w:leftChars="-200" w:right="-420" w:rightChars="-200" w:firstLine="480" w:firstLineChars="200"/>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pPr>
              <w:spacing w:line="360" w:lineRule="auto"/>
              <w:ind w:left="-420" w:leftChars="-200" w:right="-420" w:rightChars="-200" w:firstLine="480" w:firstLineChars="200"/>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64" w:type="pct"/>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pPr>
              <w:spacing w:line="360" w:lineRule="auto"/>
              <w:rPr>
                <w:rFonts w:hint="eastAsia"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2.19</w:t>
            </w:r>
          </w:p>
        </w:tc>
        <w:tc>
          <w:tcPr>
            <w:tcW w:w="4464" w:type="pct"/>
          </w:tcPr>
          <w:p>
            <w:pPr>
              <w:spacing w:line="360" w:lineRule="auto"/>
              <w:rPr>
                <w:rFonts w:hint="eastAsia" w:ascii="宋体" w:hAnsi="宋体" w:cs="宋体"/>
                <w:color w:val="auto"/>
                <w:sz w:val="24"/>
                <w:highlight w:val="none"/>
              </w:rPr>
            </w:pPr>
          </w:p>
        </w:tc>
      </w:tr>
    </w:tbl>
    <w:p>
      <w:pPr>
        <w:spacing w:line="360" w:lineRule="auto"/>
        <w:ind w:left="-420" w:leftChars="-200" w:right="-420" w:rightChars="-200" w:firstLine="480" w:firstLineChars="200"/>
        <w:rPr>
          <w:rFonts w:hint="eastAsia" w:ascii="宋体" w:hAnsi="宋体" w:cs="宋体"/>
          <w:color w:val="auto"/>
          <w:sz w:val="24"/>
          <w:highlight w:val="none"/>
        </w:rPr>
      </w:pPr>
    </w:p>
    <w:p>
      <w:pPr>
        <w:spacing w:line="360" w:lineRule="auto"/>
        <w:ind w:firstLine="562" w:firstLineChars="200"/>
        <w:jc w:val="center"/>
        <w:rPr>
          <w:rFonts w:hint="eastAsia" w:asciiTheme="minorEastAsia" w:hAnsiTheme="minorEastAsia" w:eastAsiaTheme="minorEastAsia"/>
          <w:b/>
          <w:color w:val="auto"/>
          <w:sz w:val="28"/>
          <w:szCs w:val="28"/>
          <w:highlight w:val="none"/>
        </w:rPr>
      </w:pPr>
    </w:p>
    <w:p>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bookmarkStart w:id="96" w:name="_Toc181203100"/>
      <w:r>
        <w:rPr>
          <w:rFonts w:hint="eastAsia" w:cs="仿宋_GB2312" w:asciiTheme="minorEastAsia" w:hAnsiTheme="minorEastAsia" w:eastAsiaTheme="minorEastAsia"/>
          <w:b/>
          <w:color w:val="auto"/>
          <w:sz w:val="36"/>
          <w:szCs w:val="20"/>
          <w:highlight w:val="none"/>
        </w:rPr>
        <w:t>第七部分</w:t>
      </w:r>
      <w:bookmarkEnd w:id="27"/>
      <w:r>
        <w:rPr>
          <w:rFonts w:hint="eastAsia" w:cs="仿宋_GB2312" w:asciiTheme="minorEastAsia" w:hAnsiTheme="minorEastAsia" w:eastAsiaTheme="minorEastAsia"/>
          <w:b/>
          <w:color w:val="auto"/>
          <w:sz w:val="36"/>
          <w:szCs w:val="20"/>
          <w:highlight w:val="none"/>
        </w:rPr>
        <w:t xml:space="preserve">  </w:t>
      </w:r>
      <w:bookmarkEnd w:id="28"/>
      <w:r>
        <w:rPr>
          <w:rFonts w:hint="eastAsia" w:cs="仿宋_GB2312" w:asciiTheme="minorEastAsia" w:hAnsiTheme="minorEastAsia" w:eastAsiaTheme="minorEastAsia"/>
          <w:b/>
          <w:color w:val="auto"/>
          <w:sz w:val="36"/>
          <w:szCs w:val="20"/>
          <w:highlight w:val="none"/>
        </w:rPr>
        <w:t>应提交的有关格式范例</w:t>
      </w:r>
      <w:bookmarkEnd w:id="96"/>
    </w:p>
    <w:p>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pPr>
        <w:spacing w:line="360" w:lineRule="auto"/>
        <w:ind w:firstLine="480" w:firstLineChars="200"/>
        <w:rPr>
          <w:rFonts w:hint="eastAsia" w:cs="仿宋_GB2312" w:asciiTheme="minorEastAsia" w:hAnsiTheme="minorEastAsia" w:eastAsiaTheme="minorEastAsia"/>
          <w:color w:val="auto"/>
          <w:sz w:val="24"/>
          <w:highlight w:val="none"/>
        </w:rPr>
      </w:pPr>
    </w:p>
    <w:p>
      <w:pPr>
        <w:spacing w:line="360" w:lineRule="auto"/>
        <w:jc w:val="center"/>
        <w:rPr>
          <w:rFonts w:hint="eastAsia"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pPr>
        <w:pStyle w:val="183"/>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pPr>
        <w:pStyle w:val="183"/>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pPr>
        <w:pStyle w:val="183"/>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▲（3）法人授权书</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snapToGrid w:val="0"/>
        <w:spacing w:line="360" w:lineRule="auto"/>
        <w:ind w:left="479" w:leftChars="228"/>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（4）分包意向协议</w:t>
      </w:r>
      <w:r>
        <w:rPr>
          <w:rFonts w:hint="eastAsia"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highlight w:val="none"/>
        </w:rPr>
        <w:t>（页码）</w:t>
      </w:r>
    </w:p>
    <w:p>
      <w:pPr>
        <w:pStyle w:val="183"/>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（5）所有资信文件（复印件）…………………………………………………（页码）</w:t>
      </w:r>
    </w:p>
    <w:p>
      <w:pPr>
        <w:pStyle w:val="183"/>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3"/>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关于对磋商文件中有关条款的拒绝声明……………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3"/>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（8）认为需要的其他商务文件或说明…………………………………………（页码）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（9）技术设计方案…………………………</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rPr>
        <w:t>（10</w:t>
      </w:r>
      <w:r>
        <w:rPr>
          <w:rFonts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rPr>
        <w:t>项目</w:t>
      </w:r>
      <w:r>
        <w:rPr>
          <w:rFonts w:cs="仿宋_GB2312" w:asciiTheme="minorEastAsia" w:hAnsiTheme="minorEastAsia" w:eastAsiaTheme="minorEastAsia"/>
          <w:color w:val="auto"/>
          <w:kern w:val="0"/>
          <w:sz w:val="24"/>
          <w:highlight w:val="none"/>
        </w:rPr>
        <w:t>实施方案……………………………</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rPr>
        <w:t>1</w:t>
      </w:r>
      <w:r>
        <w:rPr>
          <w:rFonts w:cs="仿宋_GB2312" w:asciiTheme="minorEastAsia" w:hAnsiTheme="minorEastAsia" w:eastAsiaTheme="minorEastAsia"/>
          <w:color w:val="auto"/>
          <w:kern w:val="0"/>
          <w:sz w:val="24"/>
          <w:highlight w:val="none"/>
        </w:rPr>
        <w:t>）售后服务方案…………………………</w:t>
      </w:r>
      <w:r>
        <w:rPr>
          <w:rFonts w:hint="eastAsia" w:cs="仿宋_GB2312" w:asciiTheme="minorEastAsia" w:hAnsiTheme="minorEastAsia" w:eastAsiaTheme="minorEastAsia"/>
          <w:color w:val="auto"/>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（12</w:t>
      </w:r>
      <w:r>
        <w:rPr>
          <w:rFonts w:cs="仿宋_GB2312" w:asciiTheme="minorEastAsia" w:hAnsiTheme="minorEastAsia" w:eastAsiaTheme="minorEastAsia"/>
          <w:color w:val="auto"/>
          <w:kern w:val="0"/>
          <w:sz w:val="24"/>
          <w:highlight w:val="none"/>
        </w:rPr>
        <w:t>）项目小组人员名单…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（13）</w:t>
      </w:r>
      <w:r>
        <w:rPr>
          <w:rFonts w:hint="eastAsia" w:cs="仿宋_GB2312" w:asciiTheme="minorEastAsia" w:hAnsiTheme="minorEastAsia" w:eastAsiaTheme="minorEastAsia"/>
          <w:color w:val="auto"/>
          <w:kern w:val="0"/>
          <w:sz w:val="24"/>
          <w:highlight w:val="none"/>
          <w:lang w:val="zh-CN"/>
        </w:rPr>
        <w:t>优惠条件及特殊承诺………………………………………………………</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（14）</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（15）</w:t>
      </w:r>
      <w:r>
        <w:rPr>
          <w:rFonts w:hint="eastAsia" w:cs="仿宋_GB2312" w:asciiTheme="minorEastAsia" w:hAnsiTheme="minorEastAsia" w:eastAsiaTheme="minorEastAsia"/>
          <w:color w:val="auto"/>
          <w:sz w:val="24"/>
          <w:highlight w:val="none"/>
        </w:rPr>
        <w:t>随机特殊工具和备品备件清单</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（16）</w:t>
      </w:r>
      <w:r>
        <w:rPr>
          <w:rFonts w:hint="eastAsia" w:cs="仿宋_GB2312" w:asciiTheme="minorEastAsia" w:hAnsiTheme="minorEastAsia" w:eastAsiaTheme="minorEastAsia"/>
          <w:color w:val="auto"/>
          <w:kern w:val="0"/>
          <w:sz w:val="24"/>
          <w:highlight w:val="none"/>
          <w:lang w:val="zh-CN"/>
        </w:rPr>
        <w:t>认为需要的其他技术文件或说明……………………………………</w:t>
      </w:r>
      <w:r>
        <w:rPr>
          <w:rFonts w:hint="eastAsia" w:cs="仿宋_GB2312" w:asciiTheme="minorEastAsia" w:hAnsiTheme="minorEastAsia" w:eastAsiaTheme="minorEastAsia"/>
          <w:color w:val="auto"/>
          <w:kern w:val="0"/>
          <w:sz w:val="24"/>
          <w:highlight w:val="none"/>
        </w:rPr>
        <w:t>（页码）</w:t>
      </w:r>
    </w:p>
    <w:p>
      <w:pPr>
        <w:tabs>
          <w:tab w:val="left" w:pos="0"/>
        </w:tabs>
        <w:autoSpaceDE w:val="0"/>
        <w:autoSpaceDN w:val="0"/>
        <w:spacing w:line="360" w:lineRule="auto"/>
        <w:ind w:firstLine="42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（17）</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pPr>
        <w:pStyle w:val="631"/>
        <w:rPr>
          <w:rFonts w:hint="eastAsia" w:cs="宋体"/>
          <w:color w:val="auto"/>
          <w:highlight w:val="none"/>
        </w:rPr>
      </w:pPr>
      <w:r>
        <w:rPr>
          <w:rFonts w:hint="eastAsia" w:cs="仿宋_GB2312" w:asciiTheme="minorEastAsia" w:hAnsiTheme="minorEastAsia" w:eastAsiaTheme="minorEastAsia"/>
          <w:color w:val="auto"/>
          <w:highlight w:val="none"/>
        </w:rPr>
        <w:t>▲</w:t>
      </w:r>
      <w:r>
        <w:rPr>
          <w:rFonts w:hint="eastAsia" w:cs="宋体"/>
          <w:color w:val="auto"/>
          <w:highlight w:val="none"/>
          <w:lang w:val="zh-CN"/>
        </w:rPr>
        <w:t>（</w:t>
      </w:r>
      <w:r>
        <w:rPr>
          <w:rFonts w:hint="eastAsia" w:cs="宋体"/>
          <w:color w:val="auto"/>
          <w:highlight w:val="none"/>
        </w:rPr>
        <w:t>18</w:t>
      </w:r>
      <w:r>
        <w:rPr>
          <w:rFonts w:hint="eastAsia" w:cs="宋体"/>
          <w:color w:val="auto"/>
          <w:highlight w:val="none"/>
          <w:lang w:val="zh-CN"/>
        </w:rPr>
        <w:t>）承诺函</w:t>
      </w:r>
      <w:r>
        <w:rPr>
          <w:rFonts w:hint="eastAsia" w:cs="宋体"/>
          <w:color w:val="auto"/>
          <w:highlight w:val="none"/>
        </w:rPr>
        <w:t>………………………………………………………………（页码）</w:t>
      </w:r>
    </w:p>
    <w:p>
      <w:pPr>
        <w:pStyle w:val="631"/>
        <w:rPr>
          <w:rFonts w:hint="eastAsia"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Cs w:val="24"/>
          <w:highlight w:val="none"/>
          <w:lang w:val="zh-CN"/>
        </w:rPr>
        <w:t>▲（1</w:t>
      </w:r>
      <w:r>
        <w:rPr>
          <w:rFonts w:hint="eastAsia" w:cs="仿宋_GB2312" w:asciiTheme="minorEastAsia" w:hAnsiTheme="minorEastAsia" w:eastAsiaTheme="minorEastAsia"/>
          <w:color w:val="auto"/>
          <w:szCs w:val="24"/>
          <w:highlight w:val="none"/>
        </w:rPr>
        <w:t>9</w:t>
      </w:r>
      <w:r>
        <w:rPr>
          <w:rFonts w:hint="eastAsia" w:cs="仿宋_GB2312" w:asciiTheme="minorEastAsia" w:hAnsiTheme="minorEastAsia" w:eastAsiaTheme="minorEastAsia"/>
          <w:color w:val="auto"/>
          <w:szCs w:val="24"/>
          <w:highlight w:val="none"/>
          <w:lang w:val="zh-CN"/>
        </w:rPr>
        <w:t>）商务、服务（技术）响应、偏离情况说明表……………………（页码）</w:t>
      </w:r>
    </w:p>
    <w:p>
      <w:pPr>
        <w:pStyle w:val="631"/>
        <w:rPr>
          <w:rFonts w:hint="eastAsia"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kern w:val="0"/>
          <w:sz w:val="24"/>
          <w:highlight w:val="none"/>
          <w:lang w:val="zh-CN"/>
        </w:rPr>
        <w:t>▲（20）初始报价表</w:t>
      </w:r>
      <w:r>
        <w:rPr>
          <w:rFonts w:hint="eastAsia" w:cs="仿宋_GB2312" w:asciiTheme="minorEastAsia" w:hAnsiTheme="minorEastAsia" w:eastAsiaTheme="minorEastAsia"/>
          <w:color w:val="auto"/>
          <w:szCs w:val="24"/>
          <w:highlight w:val="none"/>
          <w:lang w:val="zh-CN"/>
        </w:rPr>
        <w:t>……………………………………………………………（页码）</w:t>
      </w:r>
    </w:p>
    <w:p>
      <w:pPr>
        <w:pStyle w:val="631"/>
        <w:rPr>
          <w:rFonts w:hint="eastAsia"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Cs w:val="24"/>
          <w:highlight w:val="none"/>
          <w:lang w:val="zh-CN"/>
        </w:rPr>
        <w:t>▲报价表（详见第八部分报价表格式）……………………………………（页码）</w:t>
      </w:r>
    </w:p>
    <w:p>
      <w:pPr>
        <w:spacing w:line="360" w:lineRule="auto"/>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注：以上目录是编制供应商响应文件的基本格式要求，各供应商可根据自身情况进一步细化，其中标注“▲”为必须提供的材料。</w:t>
      </w: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pPr>
        <w:pStyle w:val="104"/>
        <w:numPr>
          <w:ilvl w:val="0"/>
          <w:numId w:val="11"/>
        </w:numPr>
        <w:snapToGrid w:val="0"/>
        <w:ind w:firstLineChars="0"/>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pPr>
        <w:numPr>
          <w:ilvl w:val="0"/>
          <w:numId w:val="11"/>
        </w:numPr>
        <w:adjustRightInd/>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磋商文件中</w:t>
      </w:r>
      <w:r>
        <w:rPr>
          <w:rFonts w:hint="eastAsia" w:cs="仿宋_GB2312" w:asciiTheme="minorEastAsia" w:hAnsiTheme="minorEastAsia" w:eastAsiaTheme="minorEastAsia"/>
          <w:color w:val="auto"/>
          <w:sz w:val="24"/>
          <w:highlight w:val="none"/>
        </w:rPr>
        <w:t>规定的全部响应文件。</w:t>
      </w:r>
    </w:p>
    <w:p>
      <w:pPr>
        <w:numPr>
          <w:ilvl w:val="0"/>
          <w:numId w:val="11"/>
        </w:numPr>
        <w:adjustRightInd/>
        <w:spacing w:line="360" w:lineRule="auto"/>
        <w:rPr>
          <w:rFonts w:hint="eastAsia"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我方承诺除响应文件列出的偏离外，我方响应磋商文件的全部要求。</w:t>
      </w:r>
    </w:p>
    <w:p>
      <w:pPr>
        <w:numPr>
          <w:ilvl w:val="0"/>
          <w:numId w:val="11"/>
        </w:numPr>
        <w:adjustRightInd/>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保证遵守磋商文件中的其他有关规定。</w:t>
      </w:r>
    </w:p>
    <w:p>
      <w:pPr>
        <w:numPr>
          <w:ilvl w:val="0"/>
          <w:numId w:val="11"/>
        </w:numPr>
        <w:adjustRightInd/>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pPr>
        <w:numPr>
          <w:ilvl w:val="0"/>
          <w:numId w:val="11"/>
        </w:numPr>
        <w:adjustRightInd/>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我方已详细阅读全部磋商文件，包括磋商文件“更正（延期）公告”（如果有）、参考资料及有关附件，确认无误。</w:t>
      </w:r>
    </w:p>
    <w:p>
      <w:pPr>
        <w:numPr>
          <w:ilvl w:val="0"/>
          <w:numId w:val="11"/>
        </w:numPr>
        <w:adjustRightInd/>
        <w:spacing w:line="360" w:lineRule="auto"/>
        <w:rPr>
          <w:rFonts w:hint="eastAsia"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7.3按照磋商文件要求提交履约保证金； </w:t>
      </w:r>
    </w:p>
    <w:p>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pPr>
        <w:numPr>
          <w:ilvl w:val="0"/>
          <w:numId w:val="11"/>
        </w:numPr>
        <w:adjustRightInd/>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pPr>
        <w:autoSpaceDE w:val="0"/>
        <w:autoSpaceDN w:val="0"/>
        <w:spacing w:line="360" w:lineRule="auto"/>
        <w:ind w:firstLine="3960" w:firstLineChars="1650"/>
        <w:rPr>
          <w:rFonts w:hint="eastAsia" w:cs="仿宋_GB2312" w:asciiTheme="minorEastAsia" w:hAnsiTheme="minorEastAsia" w:eastAsiaTheme="minorEastAsia"/>
          <w:color w:val="auto"/>
          <w:kern w:val="0"/>
          <w:sz w:val="24"/>
          <w:highlight w:val="none"/>
          <w:lang w:val="zh-CN"/>
        </w:rPr>
      </w:pPr>
    </w:p>
    <w:p>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磋商供应商名称（公章）：</w:t>
      </w:r>
    </w:p>
    <w:p>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right="42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pPr>
        <w:autoSpaceDE w:val="0"/>
        <w:autoSpaceDN w:val="0"/>
        <w:spacing w:line="360" w:lineRule="auto"/>
        <w:rPr>
          <w:rFonts w:hint="eastAsia" w:cs="仿宋_GB2312" w:asciiTheme="minorEastAsia" w:hAnsiTheme="minorEastAsia" w:eastAsiaTheme="minorEastAsia"/>
          <w:color w:val="auto"/>
          <w:kern w:val="0"/>
          <w:sz w:val="24"/>
          <w:highlight w:val="none"/>
        </w:rPr>
      </w:pPr>
    </w:p>
    <w:p>
      <w:pPr>
        <w:pStyle w:val="114"/>
        <w:keepNext w:val="0"/>
        <w:pageBreakBefore w:val="0"/>
        <w:tabs>
          <w:tab w:val="clear" w:pos="720"/>
        </w:tabs>
        <w:jc w:val="both"/>
        <w:outlineLvl w:val="9"/>
        <w:rPr>
          <w:rFonts w:hint="eastAsia" w:cs="仿宋_GB2312" w:asciiTheme="minorEastAsia" w:hAnsiTheme="minorEastAsia" w:eastAsiaTheme="minorEastAsia"/>
          <w:color w:val="auto"/>
          <w:sz w:val="24"/>
          <w:szCs w:val="24"/>
          <w:highlight w:val="none"/>
        </w:rPr>
      </w:pPr>
    </w:p>
    <w:p>
      <w:pPr>
        <w:spacing w:line="360" w:lineRule="auto"/>
        <w:rPr>
          <w:rFonts w:hint="eastAsia" w:cs="仿宋_GB2312" w:asciiTheme="minorEastAsia" w:hAnsiTheme="minorEastAsia" w:eastAsiaTheme="minorEastAsia"/>
          <w:color w:val="auto"/>
          <w:sz w:val="24"/>
          <w:highlight w:val="none"/>
        </w:rPr>
      </w:pPr>
    </w:p>
    <w:p>
      <w:pPr>
        <w:spacing w:line="360" w:lineRule="auto"/>
        <w:rPr>
          <w:rFonts w:hint="eastAsia" w:cs="仿宋_GB2312" w:asciiTheme="minorEastAsia" w:hAnsiTheme="minorEastAsia" w:eastAsiaTheme="minorEastAsia"/>
          <w:color w:val="auto"/>
          <w:sz w:val="18"/>
          <w:szCs w:val="18"/>
          <w:highlight w:val="none"/>
        </w:rPr>
      </w:pPr>
    </w:p>
    <w:p>
      <w:pPr>
        <w:spacing w:line="360" w:lineRule="auto"/>
        <w:rPr>
          <w:rFonts w:hint="eastAsia" w:cs="仿宋_GB2312" w:asciiTheme="minorEastAsia" w:hAnsiTheme="minorEastAsia" w:eastAsiaTheme="minorEastAsia"/>
          <w:color w:val="auto"/>
          <w:sz w:val="18"/>
          <w:szCs w:val="18"/>
          <w:highlight w:val="none"/>
        </w:rPr>
      </w:pPr>
    </w:p>
    <w:p>
      <w:pPr>
        <w:widowControl/>
        <w:adjustRightInd/>
        <w:jc w:val="left"/>
        <w:rPr>
          <w:rFonts w:hint="eastAsia"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rPr>
        <w:br w:type="page"/>
      </w:r>
      <w:r>
        <w:rPr>
          <w:rFonts w:hint="eastAsia" w:cs="仿宋_GB2312" w:asciiTheme="minorEastAsia" w:hAnsiTheme="minorEastAsia" w:eastAsiaTheme="minorEastAsia"/>
          <w:b/>
          <w:color w:val="auto"/>
          <w:kern w:val="0"/>
          <w:sz w:val="32"/>
          <w:szCs w:val="32"/>
          <w:highlight w:val="none"/>
          <w:lang w:val="zh-CN"/>
        </w:rPr>
        <w:t>二、资格文件</w:t>
      </w:r>
    </w:p>
    <w:p>
      <w:pPr>
        <w:pStyle w:val="104"/>
        <w:widowControl/>
        <w:tabs>
          <w:tab w:val="left" w:pos="1200"/>
          <w:tab w:val="left" w:pos="1560"/>
        </w:tabs>
        <w:adjustRightInd/>
        <w:ind w:left="1560" w:firstLine="0" w:firstLineChars="0"/>
        <w:jc w:val="left"/>
        <w:rPr>
          <w:rFonts w:hint="eastAsia" w:cs="仿宋_GB2312" w:asciiTheme="minorEastAsia" w:hAnsiTheme="minorEastAsia" w:eastAsiaTheme="minorEastAsia"/>
          <w:b/>
          <w:color w:val="auto"/>
          <w:sz w:val="30"/>
          <w:szCs w:val="30"/>
          <w:highlight w:val="none"/>
        </w:rPr>
      </w:pPr>
    </w:p>
    <w:p>
      <w:pPr>
        <w:snapToGrid w:val="0"/>
        <w:spacing w:line="360" w:lineRule="auto"/>
        <w:ind w:right="480"/>
        <w:jc w:val="center"/>
        <w:rPr>
          <w:rFonts w:hint="eastAsia"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pPr>
        <w:snapToGrid w:val="0"/>
        <w:spacing w:line="360" w:lineRule="auto"/>
        <w:ind w:right="480"/>
        <w:jc w:val="center"/>
        <w:rPr>
          <w:rFonts w:hint="eastAsia" w:ascii="宋体" w:hAnsi="宋体" w:cs="宋体"/>
          <w:color w:val="auto"/>
          <w:sz w:val="24"/>
          <w:highlight w:val="none"/>
        </w:rPr>
      </w:pPr>
    </w:p>
    <w:p>
      <w:pPr>
        <w:snapToGrid w:val="0"/>
        <w:spacing w:line="360" w:lineRule="auto"/>
        <w:ind w:right="480"/>
        <w:jc w:val="center"/>
        <w:rPr>
          <w:rFonts w:hint="eastAsia" w:ascii="宋体" w:hAnsi="宋体" w:cs="宋体"/>
          <w:color w:val="auto"/>
          <w:sz w:val="24"/>
          <w:highlight w:val="none"/>
        </w:rPr>
      </w:pPr>
      <w:r>
        <w:rPr>
          <w:rFonts w:hint="eastAsia" w:ascii="宋体" w:hAnsi="宋体" w:cs="宋体"/>
          <w:color w:val="auto"/>
          <w:sz w:val="24"/>
          <w:highlight w:val="none"/>
        </w:rPr>
        <w:t>北海市政府采购供应商信用承诺函（格式）</w:t>
      </w:r>
    </w:p>
    <w:p>
      <w:pPr>
        <w:snapToGrid w:val="0"/>
        <w:spacing w:line="360" w:lineRule="auto"/>
        <w:rPr>
          <w:rFonts w:hint="eastAsia" w:ascii="宋体" w:hAnsi="宋体" w:cs="宋体"/>
          <w:color w:val="auto"/>
          <w:sz w:val="24"/>
          <w:highlight w:val="none"/>
        </w:rPr>
      </w:pPr>
    </w:p>
    <w:p>
      <w:pPr>
        <w:snapToGrid w:val="0"/>
        <w:spacing w:line="360" w:lineRule="auto"/>
        <w:ind w:right="480"/>
        <w:rPr>
          <w:rFonts w:hint="eastAsia" w:ascii="宋体" w:hAnsi="宋体" w:cs="宋体"/>
          <w:color w:val="auto"/>
          <w:sz w:val="24"/>
          <w:highlight w:val="none"/>
        </w:rPr>
      </w:pPr>
      <w:r>
        <w:rPr>
          <w:rFonts w:hint="eastAsia" w:ascii="宋体" w:hAnsi="宋体" w:cs="宋体"/>
          <w:color w:val="auto"/>
          <w:sz w:val="24"/>
          <w:highlight w:val="none"/>
        </w:rPr>
        <w:t>（采购人）、（采购代理机构） ：</w:t>
      </w:r>
    </w:p>
    <w:p>
      <w:pPr>
        <w:snapToGrid w:val="0"/>
        <w:spacing w:line="360" w:lineRule="auto"/>
        <w:ind w:right="480"/>
        <w:rPr>
          <w:rFonts w:hint="eastAsia" w:ascii="宋体" w:hAnsi="宋体" w:cs="宋体"/>
          <w:color w:val="auto"/>
          <w:sz w:val="24"/>
          <w:highlight w:val="none"/>
        </w:rPr>
      </w:pPr>
      <w:r>
        <w:rPr>
          <w:rFonts w:hint="eastAsia" w:ascii="宋体" w:hAnsi="宋体" w:cs="宋体"/>
          <w:color w:val="auto"/>
          <w:sz w:val="24"/>
          <w:highlight w:val="none"/>
        </w:rPr>
        <w:t>供应商名称：</w:t>
      </w:r>
    </w:p>
    <w:p>
      <w:pPr>
        <w:snapToGrid w:val="0"/>
        <w:spacing w:line="360" w:lineRule="auto"/>
        <w:ind w:right="480"/>
        <w:rPr>
          <w:rFonts w:hint="eastAsia" w:ascii="宋体" w:hAnsi="宋体" w:cs="宋体"/>
          <w:color w:val="auto"/>
          <w:sz w:val="24"/>
          <w:highlight w:val="none"/>
        </w:rPr>
      </w:pPr>
      <w:r>
        <w:rPr>
          <w:rFonts w:hint="eastAsia" w:ascii="宋体" w:hAnsi="宋体" w:cs="宋体"/>
          <w:color w:val="auto"/>
          <w:sz w:val="24"/>
          <w:highlight w:val="none"/>
        </w:rPr>
        <w:t>统一社会信用代码：</w:t>
      </w:r>
    </w:p>
    <w:p>
      <w:pPr>
        <w:snapToGrid w:val="0"/>
        <w:spacing w:line="360" w:lineRule="auto"/>
        <w:ind w:right="480"/>
        <w:rPr>
          <w:rFonts w:hint="eastAsia" w:ascii="宋体" w:hAnsi="宋体" w:cs="宋体"/>
          <w:color w:val="auto"/>
          <w:sz w:val="24"/>
          <w:highlight w:val="none"/>
        </w:rPr>
      </w:pPr>
      <w:r>
        <w:rPr>
          <w:rFonts w:hint="eastAsia" w:ascii="宋体" w:hAnsi="宋体" w:cs="宋体"/>
          <w:color w:val="auto"/>
          <w:sz w:val="24"/>
          <w:highlight w:val="none"/>
        </w:rPr>
        <w:t>供应商地址：</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pPr>
        <w:snapToGrid w:val="0"/>
        <w:spacing w:line="360" w:lineRule="auto"/>
        <w:ind w:right="480"/>
        <w:rPr>
          <w:rFonts w:hint="eastAsia" w:ascii="宋体" w:hAnsi="宋体" w:cs="宋体"/>
          <w:color w:val="auto"/>
          <w:sz w:val="24"/>
          <w:highlight w:val="none"/>
        </w:rPr>
      </w:pPr>
    </w:p>
    <w:p>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磋商供应商名称（公章）：</w:t>
      </w:r>
    </w:p>
    <w:p>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right="480"/>
        <w:rPr>
          <w:rFonts w:hint="eastAsia" w:ascii="宋体" w:hAnsi="宋体" w:cs="宋体"/>
          <w:color w:val="auto"/>
          <w:sz w:val="24"/>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pPr>
        <w:widowControl/>
        <w:spacing w:line="360" w:lineRule="auto"/>
        <w:ind w:firstLine="482" w:firstLineChars="200"/>
        <w:jc w:val="left"/>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授权代表根据磋商文件规定及采购内容而对采购人、采购代理机构所作的任何合法承诺，包括书面澄清及相应等均对联合体各方产生约束力。</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pPr>
        <w:snapToGrid w:val="0"/>
        <w:spacing w:line="360" w:lineRule="auto"/>
        <w:ind w:firstLine="576"/>
        <w:rPr>
          <w:rFonts w:hint="eastAsia"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u w:val="single"/>
        </w:rPr>
        <w:t>（</w:t>
      </w:r>
      <w:bookmarkStart w:id="97" w:name="_Hlk101131882"/>
      <w:r>
        <w:rPr>
          <w:rFonts w:hint="eastAsia" w:cs="宋体" w:asciiTheme="minorEastAsia" w:hAnsiTheme="minorEastAsia" w:eastAsiaTheme="minorEastAsia"/>
          <w:color w:val="auto"/>
          <w:kern w:val="0"/>
          <w:sz w:val="24"/>
          <w:highlight w:val="none"/>
          <w:u w:val="single"/>
        </w:rPr>
        <w:t>联合体成员X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w:t>
      </w:r>
      <w:bookmarkEnd w:id="97"/>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rPr>
        <w:t>提供的服务由小微企业承接，其合同份额占到合同总金额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w:t>
      </w:r>
      <w:bookmarkStart w:id="98" w:name="_Hlk101133598"/>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highlight w:val="none"/>
          <w:lang w:val="zh-CN"/>
        </w:rPr>
        <w:t>对联合体报价按评标标准确定的比例给予扣除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bookmarkEnd w:id="98"/>
      <w:r>
        <w:rPr>
          <w:rFonts w:hint="eastAsia" w:cs="宋体" w:asciiTheme="minorEastAsia" w:hAnsiTheme="minorEastAsia" w:eastAsiaTheme="minorEastAsia"/>
          <w:b/>
          <w:color w:val="auto"/>
          <w:kern w:val="0"/>
          <w:sz w:val="24"/>
          <w:highlight w:val="none"/>
          <w:lang w:val="zh-CN"/>
        </w:rPr>
        <w:t>）</w:t>
      </w:r>
    </w:p>
    <w:p>
      <w:pPr>
        <w:spacing w:line="360" w:lineRule="auto"/>
        <w:ind w:firstLine="480" w:firstLineChars="200"/>
        <w:rPr>
          <w:rFonts w:hint="eastAsia"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w:t>
      </w:r>
      <w:bookmarkStart w:id="99" w:name="_Hlk101133173"/>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bookmarkEnd w:id="99"/>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630"/>
          <w:rFonts w:hint="eastAsia"/>
          <w:color w:val="auto"/>
          <w:highlight w:val="none"/>
        </w:rPr>
      </w:pPr>
      <w:r>
        <w:rPr>
          <w:rStyle w:val="630"/>
          <w:rFonts w:hint="eastAsia"/>
          <w:color w:val="auto"/>
          <w:highlight w:val="none"/>
        </w:rPr>
        <w:t>法定代表人（负责人） (签名)：</w:t>
      </w:r>
    </w:p>
    <w:p>
      <w:pPr>
        <w:snapToGrid w:val="0"/>
        <w:spacing w:line="360" w:lineRule="auto"/>
        <w:ind w:firstLine="5040" w:firstLineChars="2100"/>
        <w:rPr>
          <w:rFonts w:hint="eastAsia" w:ascii="宋体" w:hAnsi="宋体" w:cs="宋体"/>
          <w:color w:val="auto"/>
          <w:kern w:val="0"/>
          <w:sz w:val="24"/>
          <w:highlight w:val="none"/>
          <w:lang w:val="zh-CN"/>
        </w:rPr>
      </w:pPr>
      <w:r>
        <w:rPr>
          <w:rStyle w:val="630"/>
          <w:rFonts w:hint="eastAsia"/>
          <w:color w:val="auto"/>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rPr>
          <w:rFonts w:hint="eastAsia"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pPr>
        <w:snapToGrid w:val="0"/>
        <w:spacing w:line="360" w:lineRule="auto"/>
        <w:ind w:firstLine="5760" w:firstLineChars="24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napToGrid w:val="0"/>
        <w:spacing w:line="360" w:lineRule="auto"/>
        <w:jc w:val="right"/>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pPr>
        <w:spacing w:line="360" w:lineRule="auto"/>
        <w:ind w:right="42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pPr>
        <w:snapToGrid w:val="0"/>
        <w:spacing w:line="360" w:lineRule="auto"/>
        <w:ind w:right="480"/>
        <w:jc w:val="center"/>
        <w:rPr>
          <w:rFonts w:hint="eastAsia" w:cs="仿宋_GB2312" w:asciiTheme="minorEastAsia" w:hAnsiTheme="minorEastAsia" w:eastAsiaTheme="minorEastAsia"/>
          <w:b/>
          <w:color w:val="auto"/>
          <w:sz w:val="32"/>
          <w:szCs w:val="32"/>
          <w:highlight w:val="none"/>
        </w:rPr>
      </w:pPr>
    </w:p>
    <w:p>
      <w:pPr>
        <w:widowControl/>
        <w:adjustRightInd/>
        <w:jc w:val="left"/>
        <w:rPr>
          <w:rFonts w:hint="eastAsia"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snapToGrid w:val="0"/>
        <w:spacing w:line="360" w:lineRule="auto"/>
        <w:ind w:right="480"/>
        <w:jc w:val="center"/>
        <w:rPr>
          <w:rFonts w:hint="eastAsia"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磋商文件第一部分竞争性磋商邀请公告中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pPr>
        <w:snapToGrid w:val="0"/>
        <w:spacing w:before="50" w:after="50" w:line="360" w:lineRule="auto"/>
        <w:ind w:firstLine="472" w:firstLineChars="196"/>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pPr>
        <w:widowControl/>
        <w:spacing w:line="360" w:lineRule="auto"/>
        <w:ind w:firstLine="480"/>
        <w:jc w:val="left"/>
        <w:rPr>
          <w:rFonts w:hint="eastAsia" w:cs="宋体" w:asciiTheme="minorEastAsia" w:hAnsiTheme="minorEastAsia" w:eastAsiaTheme="minorEastAsia"/>
          <w:color w:val="auto"/>
          <w:sz w:val="24"/>
          <w:highlight w:val="none"/>
        </w:rPr>
      </w:pPr>
    </w:p>
    <w:p>
      <w:pPr>
        <w:widowControl/>
        <w:spacing w:line="360" w:lineRule="auto"/>
        <w:ind w:firstLine="472" w:firstLineChars="196"/>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），联合协议中中小企业合同金额应当达到竞争性磋商邀请公告载明的比例；如果供应商本身提供所有标的均由中小企业承接的，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pPr>
        <w:snapToGrid w:val="0"/>
        <w:spacing w:before="50" w:after="50"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pPr>
        <w:spacing w:line="360" w:lineRule="auto"/>
        <w:ind w:firstLine="482"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），分包意向协议中中小企业合同金额应当达到竞争性磋商邀请公告载明的比例；如果供应商本身提供的所有标的均由中小企业承接的，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pPr>
        <w:spacing w:line="360" w:lineRule="auto"/>
        <w:jc w:val="center"/>
        <w:rPr>
          <w:rFonts w:hint="eastAsia" w:cs="仿宋_GB2312" w:asciiTheme="minorEastAsia" w:hAnsiTheme="minorEastAsia" w:eastAsiaTheme="minorEastAsia"/>
          <w:b/>
          <w:color w:val="auto"/>
          <w:sz w:val="32"/>
          <w:szCs w:val="32"/>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（由供应商根据“磋商文件第一部分”中“合格的供应商应具备的特定资格要求”编制；如果本项目没有设置特定资格条件，则不需要提供）</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p>
    <w:p>
      <w:pPr>
        <w:snapToGrid w:val="0"/>
        <w:spacing w:line="360" w:lineRule="auto"/>
        <w:rPr>
          <w:rFonts w:hint="eastAsia" w:cs="仿宋_GB2312" w:asciiTheme="minorEastAsia" w:hAnsiTheme="minorEastAsia" w:eastAsiaTheme="minorEastAsia"/>
          <w:color w:val="auto"/>
          <w:kern w:val="0"/>
          <w:sz w:val="24"/>
          <w:highlight w:val="none"/>
          <w:lang w:val="zh-CN"/>
        </w:rPr>
      </w:pPr>
    </w:p>
    <w:p>
      <w:pPr>
        <w:snapToGrid w:val="0"/>
        <w:spacing w:line="360" w:lineRule="auto"/>
        <w:rPr>
          <w:rFonts w:hint="eastAsia" w:cs="仿宋_GB2312" w:asciiTheme="minorEastAsia" w:hAnsiTheme="minorEastAsia" w:eastAsiaTheme="minorEastAsia"/>
          <w:color w:val="auto"/>
          <w:kern w:val="0"/>
          <w:sz w:val="24"/>
          <w:highlight w:val="none"/>
          <w:lang w:val="zh-CN"/>
        </w:rPr>
      </w:pPr>
    </w:p>
    <w:p>
      <w:pPr>
        <w:snapToGrid w:val="0"/>
        <w:spacing w:line="360" w:lineRule="auto"/>
        <w:ind w:right="480"/>
        <w:jc w:val="center"/>
        <w:rPr>
          <w:rFonts w:hint="eastAsia" w:cs="仿宋_GB2312" w:asciiTheme="minorEastAsia" w:hAnsiTheme="minorEastAsia" w:eastAsiaTheme="minorEastAsia"/>
          <w:b/>
          <w:color w:val="auto"/>
          <w:kern w:val="0"/>
          <w:sz w:val="32"/>
          <w:szCs w:val="32"/>
          <w:highlight w:val="none"/>
          <w:lang w:val="zh-CN"/>
        </w:rPr>
        <w:sectPr>
          <w:footerReference r:id="rId8" w:type="default"/>
          <w:pgSz w:w="11906" w:h="16838"/>
          <w:pgMar w:top="1247" w:right="1418" w:bottom="1276" w:left="1418" w:header="851" w:footer="992" w:gutter="0"/>
          <w:pgNumType w:start="1"/>
          <w:cols w:space="720" w:num="1"/>
          <w:docGrid w:linePitch="312" w:charSpace="0"/>
        </w:sectPr>
      </w:pPr>
    </w:p>
    <w:p>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三、法人授权书</w:t>
      </w:r>
    </w:p>
    <w:p>
      <w:pPr>
        <w:snapToGrid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ind w:firstLine="576"/>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兹委派我公司</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先生/女士(其在本公司的职务是：</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 xml:space="preserve"> ，联系电话：</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手机：</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传真：</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)，代表我公司全权处理</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政府采购响应的一切事项，若成交则全权代表本公司签订相关合同，并负责处理合同履行等事宜。</w:t>
      </w:r>
    </w:p>
    <w:p>
      <w:pPr>
        <w:snapToGrid w:val="0"/>
        <w:spacing w:line="360" w:lineRule="auto"/>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本委托书有效期：自    年 月  日起至    年  月  日止。</w:t>
      </w:r>
    </w:p>
    <w:p>
      <w:pPr>
        <w:snapToGrid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pPr>
        <w:spacing w:line="360" w:lineRule="auto"/>
        <w:ind w:left="4649" w:leftChars="2214" w:firstLine="3600" w:firstLineChars="1500"/>
        <w:rPr>
          <w:rFonts w:hint="eastAsia" w:ascii="宋体" w:hAnsi="宋体" w:cs="宋体"/>
          <w:color w:val="auto"/>
          <w:sz w:val="24"/>
          <w:highlight w:val="none"/>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sz w:val="24"/>
          <w:highlight w:val="none"/>
        </w:rPr>
        <w:t>磋商供应商名称（公章）：</w:t>
      </w:r>
    </w:p>
    <w:p>
      <w:pPr>
        <w:snapToGrid w:val="0"/>
        <w:spacing w:line="360" w:lineRule="auto"/>
        <w:ind w:left="4649" w:leftChars="2214"/>
        <w:rPr>
          <w:rFonts w:hint="eastAsia" w:ascii="宋体" w:hAnsi="宋体" w:cs="宋体"/>
          <w:color w:val="auto"/>
          <w:kern w:val="0"/>
          <w:sz w:val="24"/>
          <w:highlight w:val="none"/>
        </w:rPr>
      </w:pPr>
      <w:r>
        <w:rPr>
          <w:rFonts w:hint="eastAsia" w:ascii="宋体" w:hAnsi="宋体" w:cs="宋体"/>
          <w:color w:val="auto"/>
          <w:sz w:val="24"/>
          <w:highlight w:val="none"/>
        </w:rPr>
        <w:t>法定代表人（负责人） (签名)：</w:t>
      </w:r>
    </w:p>
    <w:p>
      <w:pPr>
        <w:snapToGrid w:val="0"/>
        <w:spacing w:line="360" w:lineRule="auto"/>
        <w:rPr>
          <w:rFonts w:hint="eastAsia"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snapToGrid w:val="0"/>
        <w:spacing w:line="360" w:lineRule="auto"/>
        <w:rPr>
          <w:rFonts w:hint="eastAsia" w:cs="仿宋_GB2312" w:asciiTheme="minorEastAsia" w:hAnsiTheme="minorEastAsia" w:eastAsiaTheme="minorEastAsia"/>
          <w:color w:val="auto"/>
          <w:kern w:val="0"/>
          <w:sz w:val="24"/>
          <w:highlight w:val="none"/>
          <w:lang w:val="zh-CN"/>
        </w:rPr>
      </w:pPr>
    </w:p>
    <w:p>
      <w:pPr>
        <w:widowControl/>
        <w:adjustRightInd/>
        <w:jc w:val="left"/>
        <w:rPr>
          <w:rFonts w:hint="eastAsia"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pPr>
        <w:snapToGrid w:val="0"/>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联合体响应授权书（扫描件加盖上传单位电子签名）</w:t>
      </w:r>
    </w:p>
    <w:p>
      <w:pPr>
        <w:snapToGrid w:val="0"/>
        <w:spacing w:line="360" w:lineRule="auto"/>
        <w:jc w:val="center"/>
        <w:rPr>
          <w:rFonts w:hint="eastAsia"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zh-CN"/>
        </w:rPr>
        <w:t>（适用于联合体响应）</w:t>
      </w:r>
    </w:p>
    <w:p>
      <w:pPr>
        <w:snapToGrid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ind w:firstLine="576"/>
        <w:rPr>
          <w:rFonts w:hint="eastAsia"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现</w:t>
      </w:r>
      <w:r>
        <w:rPr>
          <w:rFonts w:hint="eastAsia" w:cs="宋体" w:asciiTheme="minorEastAsia" w:hAnsiTheme="minorEastAsia" w:eastAsiaTheme="minorEastAsia"/>
          <w:color w:val="auto"/>
          <w:kern w:val="0"/>
          <w:sz w:val="24"/>
          <w:highlight w:val="none"/>
          <w:lang w:val="zh-CN"/>
        </w:rPr>
        <w:t>委托</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（姓名）为我方代理人（身份证号码：</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，手机：</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），以我方名义处理</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【项目编号：（采购编号）】政府采购响应的一切事项，</w:t>
      </w:r>
      <w:r>
        <w:rPr>
          <w:rFonts w:hint="eastAsia" w:cs="宋体" w:asciiTheme="minorEastAsia" w:hAnsiTheme="minorEastAsia" w:eastAsiaTheme="minorEastAsia"/>
          <w:color w:val="auto"/>
          <w:kern w:val="0"/>
          <w:sz w:val="24"/>
          <w:highlight w:val="none"/>
          <w:lang w:val="zh-CN"/>
        </w:rPr>
        <w:t>其法律后果由我方承担</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本授权书有效期：自   年 月  日起至  年  月  日止。</w:t>
      </w:r>
    </w:p>
    <w:p>
      <w:pPr>
        <w:snapToGrid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pPr>
        <w:snapToGrid w:val="0"/>
        <w:spacing w:line="360" w:lineRule="auto"/>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p>
    <w:p>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630"/>
          <w:rFonts w:hint="eastAsia"/>
          <w:color w:val="auto"/>
          <w:highlight w:val="none"/>
        </w:rPr>
      </w:pPr>
      <w:r>
        <w:rPr>
          <w:rStyle w:val="630"/>
          <w:rFonts w:hint="eastAsia"/>
          <w:color w:val="auto"/>
          <w:highlight w:val="none"/>
        </w:rPr>
        <w:t>法定代表人（负责人） (签名)：</w:t>
      </w:r>
    </w:p>
    <w:p>
      <w:pPr>
        <w:snapToGrid w:val="0"/>
        <w:spacing w:line="360" w:lineRule="auto"/>
        <w:ind w:firstLine="5040" w:firstLineChars="2100"/>
        <w:rPr>
          <w:rFonts w:hint="eastAsia" w:ascii="宋体" w:hAnsi="宋体" w:cs="宋体"/>
          <w:color w:val="auto"/>
          <w:kern w:val="0"/>
          <w:sz w:val="24"/>
          <w:highlight w:val="none"/>
          <w:lang w:val="zh-CN"/>
        </w:rPr>
      </w:pPr>
      <w:r>
        <w:rPr>
          <w:rStyle w:val="630"/>
          <w:rFonts w:hint="eastAsia"/>
          <w:color w:val="auto"/>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rPr>
          <w:rStyle w:val="630"/>
          <w:rFonts w:hint="eastAsia"/>
          <w:color w:val="auto"/>
          <w:highlight w:val="none"/>
        </w:rPr>
      </w:pPr>
      <w:r>
        <w:rPr>
          <w:rStyle w:val="630"/>
          <w:rFonts w:hint="eastAsia"/>
          <w:color w:val="auto"/>
          <w:highlight w:val="none"/>
        </w:rPr>
        <w:t>法定代表人（负责人） (签名)：</w:t>
      </w:r>
    </w:p>
    <w:p>
      <w:pPr>
        <w:snapToGrid w:val="0"/>
        <w:spacing w:line="360" w:lineRule="auto"/>
        <w:ind w:firstLine="5040" w:firstLineChars="21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napToGrid w:val="0"/>
        <w:spacing w:line="360" w:lineRule="auto"/>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pPr>
        <w:widowControl/>
        <w:adjustRightInd/>
        <w:jc w:val="left"/>
        <w:rPr>
          <w:rFonts w:hint="eastAsia"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br w:type="page"/>
      </w:r>
    </w:p>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0"/>
          <w:szCs w:val="30"/>
          <w:highlight w:val="none"/>
        </w:rPr>
        <w:t>授权代表的身份证（复印件）</w:t>
      </w:r>
    </w:p>
    <w:p>
      <w:pPr>
        <w:pStyle w:val="618"/>
        <w:spacing w:line="360" w:lineRule="auto"/>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授权代表身份证件扫描件：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618"/>
              <w:spacing w:line="360" w:lineRule="auto"/>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正面：                                 反面：</w:t>
            </w:r>
          </w:p>
          <w:p>
            <w:pPr>
              <w:pStyle w:val="618"/>
              <w:spacing w:line="360" w:lineRule="auto"/>
              <w:rPr>
                <w:rFonts w:hint="eastAsia" w:asciiTheme="minorEastAsia" w:hAnsiTheme="minorEastAsia" w:eastAsiaTheme="minorEastAsia"/>
                <w:bCs/>
                <w:color w:val="auto"/>
                <w:sz w:val="24"/>
                <w:highlight w:val="none"/>
              </w:rPr>
            </w:pPr>
          </w:p>
        </w:tc>
      </w:tr>
    </w:tbl>
    <w:p>
      <w:pPr>
        <w:snapToGrid w:val="0"/>
        <w:spacing w:line="360" w:lineRule="auto"/>
        <w:ind w:firstLine="576"/>
        <w:jc w:val="right"/>
        <w:rPr>
          <w:rFonts w:hint="eastAsia" w:cs="仿宋_GB2312" w:asciiTheme="minorEastAsia" w:hAnsiTheme="minorEastAsia" w:eastAsiaTheme="minorEastAsia"/>
          <w:color w:val="auto"/>
          <w:kern w:val="0"/>
          <w:sz w:val="24"/>
          <w:highlight w:val="none"/>
          <w:lang w:val="zh-CN"/>
        </w:rPr>
      </w:pPr>
    </w:p>
    <w:p>
      <w:pPr>
        <w:snapToGrid w:val="0"/>
        <w:spacing w:line="360" w:lineRule="auto"/>
        <w:ind w:firstLine="576"/>
        <w:jc w:val="center"/>
        <w:rPr>
          <w:rFonts w:hint="eastAsia" w:ascii="宋体" w:hAnsi="宋体" w:cs="宋体"/>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kern w:val="0"/>
          <w:sz w:val="24"/>
          <w:highlight w:val="none"/>
          <w:lang w:val="zh-CN"/>
        </w:rPr>
        <w:t xml:space="preserve">           磋商供应商名称(公章)：                              </w:t>
      </w:r>
    </w:p>
    <w:p>
      <w:pPr>
        <w:spacing w:line="360" w:lineRule="auto"/>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snapToGrid w:val="0"/>
        <w:spacing w:line="360" w:lineRule="auto"/>
        <w:ind w:firstLine="576"/>
        <w:jc w:val="center"/>
        <w:rPr>
          <w:rFonts w:hint="eastAsia" w:cs="仿宋_GB2312" w:asciiTheme="minorEastAsia" w:hAnsiTheme="minorEastAsia" w:eastAsiaTheme="minorEastAsia"/>
          <w:color w:val="auto"/>
          <w:sz w:val="28"/>
          <w:szCs w:val="28"/>
          <w:highlight w:val="none"/>
        </w:rPr>
      </w:pPr>
    </w:p>
    <w:p>
      <w:pPr>
        <w:widowControl/>
        <w:adjustRightInd/>
        <w:jc w:val="left"/>
        <w:rPr>
          <w:rFonts w:hint="eastAsia"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pPr>
        <w:snapToGrid w:val="0"/>
        <w:spacing w:line="360" w:lineRule="auto"/>
        <w:ind w:firstLine="0" w:firstLineChars="0"/>
        <w:jc w:val="center"/>
        <w:rPr>
          <w:rFonts w:hint="eastAsia"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pPr>
        <w:widowControl/>
        <w:spacing w:line="360" w:lineRule="auto"/>
        <w:ind w:firstLine="120" w:firstLineChars="5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u w:val="single"/>
        </w:rPr>
        <w:t>（分包供应商2名称），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pPr>
        <w:pStyle w:val="631"/>
        <w:rPr>
          <w:rFonts w:hint="eastAsia"/>
          <w:color w:val="auto"/>
          <w:highlight w:val="none"/>
        </w:rPr>
      </w:pPr>
      <w:r>
        <w:rPr>
          <w:rFonts w:hint="eastAsia"/>
          <w:color w:val="auto"/>
          <w:highlight w:val="none"/>
        </w:rPr>
        <w:t>……</w:t>
      </w:r>
    </w:p>
    <w:p>
      <w:pPr>
        <w:ind w:firstLine="305"/>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pPr>
        <w:snapToGrid w:val="0"/>
        <w:spacing w:line="360" w:lineRule="auto"/>
        <w:ind w:firstLine="576"/>
        <w:rPr>
          <w:rFonts w:hint="eastAsia" w:cs="宋体" w:asciiTheme="minorEastAsia" w:hAnsiTheme="minorEastAsia" w:eastAsiaTheme="minorEastAsia"/>
          <w:b/>
          <w:color w:val="auto"/>
          <w:kern w:val="0"/>
          <w:sz w:val="24"/>
          <w:highlight w:val="none"/>
          <w:lang w:val="zh-CN"/>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u w:val="single"/>
        </w:rPr>
        <w:t>（分包供应商X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……）提供的服务全部由小微企业承接，</w:t>
      </w:r>
      <w:r>
        <w:rPr>
          <w:rFonts w:hint="eastAsia" w:cs="宋体" w:asciiTheme="minorEastAsia" w:hAnsiTheme="minorEastAsia" w:eastAsiaTheme="minorEastAsia"/>
          <w:color w:val="auto"/>
          <w:kern w:val="0"/>
          <w:sz w:val="24"/>
          <w:highlight w:val="none"/>
        </w:rPr>
        <w:t>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highlight w:val="none"/>
          <w:lang w:val="zh-CN"/>
        </w:rPr>
        <w:t>对大中型企业的报价按评标标准确定的比例给予扣除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r>
        <w:rPr>
          <w:rFonts w:hint="eastAsia" w:cs="宋体" w:asciiTheme="minorEastAsia" w:hAnsiTheme="minorEastAsia" w:eastAsiaTheme="minorEastAsia"/>
          <w:b/>
          <w:color w:val="auto"/>
          <w:kern w:val="0"/>
          <w:sz w:val="24"/>
          <w:highlight w:val="none"/>
          <w:lang w:val="zh-CN"/>
        </w:rPr>
        <w:t>）</w:t>
      </w:r>
    </w:p>
    <w:p>
      <w:pPr>
        <w:spacing w:line="360" w:lineRule="auto"/>
        <w:ind w:firstLine="480" w:firstLineChars="200"/>
        <w:rPr>
          <w:rFonts w:hint="eastAsia"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highlight w:val="none"/>
          <w:lang w:val="zh-CN"/>
        </w:rPr>
        <w:t>分包意向协议</w:t>
      </w:r>
      <w:r>
        <w:rPr>
          <w:rFonts w:hint="eastAsia" w:cs="宋体" w:asciiTheme="minorEastAsia" w:hAnsiTheme="minorEastAsia" w:eastAsiaTheme="minorEastAsia"/>
          <w:b/>
          <w:bCs/>
          <w:color w:val="auto"/>
          <w:sz w:val="24"/>
          <w:highlight w:val="none"/>
        </w:rPr>
        <w:t>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pPr>
        <w:snapToGrid w:val="0"/>
        <w:spacing w:line="360" w:lineRule="auto"/>
        <w:ind w:firstLine="576"/>
        <w:rPr>
          <w:rFonts w:hint="eastAsia"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pPr>
        <w:snapToGrid w:val="0"/>
        <w:spacing w:line="360" w:lineRule="auto"/>
        <w:ind w:left="573" w:leftChars="273"/>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left="573" w:leftChars="273"/>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pPr>
        <w:snapToGrid w:val="0"/>
        <w:spacing w:line="360" w:lineRule="auto"/>
        <w:ind w:left="5520" w:hanging="5520" w:hangingChars="2300"/>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w:t>
      </w:r>
    </w:p>
    <w:p>
      <w:pPr>
        <w:snapToGrid w:val="0"/>
        <w:spacing w:line="360" w:lineRule="auto"/>
        <w:ind w:left="4830" w:leftChars="2300" w:firstLine="720" w:firstLineChars="300"/>
        <w:rPr>
          <w:rFonts w:hint="eastAsia" w:cs="宋体" w:asciiTheme="minorEastAsia" w:hAnsiTheme="minorEastAsia" w:eastAsiaTheme="minorEastAsia"/>
          <w:color w:val="auto"/>
          <w:kern w:val="0"/>
          <w:sz w:val="24"/>
          <w:highlight w:val="none"/>
          <w:lang w:val="zh-CN"/>
        </w:rPr>
      </w:pPr>
    </w:p>
    <w:p>
      <w:pPr>
        <w:snapToGrid w:val="0"/>
        <w:spacing w:line="360" w:lineRule="auto"/>
        <w:ind w:left="4830" w:leftChars="2300" w:firstLine="720" w:firstLineChars="300"/>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磋商供应商名称(公章)：</w:t>
      </w:r>
    </w:p>
    <w:p>
      <w:pPr>
        <w:snapToGrid w:val="0"/>
        <w:spacing w:line="360" w:lineRule="auto"/>
        <w:jc w:val="right"/>
        <w:rPr>
          <w:rStyle w:val="630"/>
          <w:rFonts w:hint="eastAsia"/>
          <w:color w:val="auto"/>
          <w:highlight w:val="none"/>
        </w:rPr>
      </w:pPr>
      <w:r>
        <w:rPr>
          <w:rStyle w:val="630"/>
          <w:rFonts w:hint="eastAsia"/>
          <w:color w:val="auto"/>
          <w:highlight w:val="none"/>
        </w:rPr>
        <w:t>法定代表人（负责人） (签名)：</w:t>
      </w:r>
    </w:p>
    <w:p>
      <w:pPr>
        <w:snapToGrid w:val="0"/>
        <w:spacing w:line="360" w:lineRule="auto"/>
        <w:ind w:right="480" w:firstLine="5520" w:firstLineChars="2300"/>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分包供应商名称(公章)：</w:t>
      </w:r>
    </w:p>
    <w:p>
      <w:pPr>
        <w:snapToGrid w:val="0"/>
        <w:spacing w:line="360" w:lineRule="auto"/>
        <w:jc w:val="right"/>
        <w:rPr>
          <w:rFonts w:hint="eastAsia"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pPr>
        <w:snapToGrid w:val="0"/>
        <w:spacing w:line="360" w:lineRule="auto"/>
        <w:ind w:firstLine="5760" w:firstLineChars="24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pacing w:line="360" w:lineRule="auto"/>
        <w:jc w:val="center"/>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pPr>
        <w:widowControl/>
        <w:adjustRightInd/>
        <w:jc w:val="left"/>
        <w:rPr>
          <w:rFonts w:hint="eastAsia"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、所有资信文件（复印件）</w:t>
      </w:r>
    </w:p>
    <w:p>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pPr>
        <w:spacing w:line="360" w:lineRule="auto"/>
        <w:jc w:val="center"/>
        <w:rPr>
          <w:rFonts w:hint="eastAsia" w:cs="仿宋_GB2312" w:asciiTheme="minorEastAsia" w:hAnsiTheme="minorEastAsia" w:eastAsiaTheme="minorEastAsia"/>
          <w:b/>
          <w:color w:val="auto"/>
          <w:sz w:val="30"/>
          <w:szCs w:val="30"/>
          <w:highlight w:val="none"/>
        </w:rPr>
      </w:pPr>
    </w:p>
    <w:p>
      <w:pPr>
        <w:snapToGrid w:val="0"/>
        <w:spacing w:line="360" w:lineRule="auto"/>
        <w:ind w:firstLine="5160" w:firstLineChars="215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p>
    <w:p>
      <w:pPr>
        <w:snapToGrid w:val="0"/>
        <w:spacing w:line="360" w:lineRule="auto"/>
        <w:ind w:firstLine="5160" w:firstLineChars="215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pPr>
        <w:spacing w:line="360" w:lineRule="auto"/>
        <w:jc w:val="center"/>
        <w:rPr>
          <w:rFonts w:hint="eastAsia" w:cs="仿宋_GB2312" w:asciiTheme="minorEastAsia" w:hAnsiTheme="minorEastAsia" w:eastAsiaTheme="minorEastAsia"/>
          <w:b/>
          <w:color w:val="auto"/>
          <w:kern w:val="0"/>
          <w:sz w:val="32"/>
          <w:szCs w:val="32"/>
          <w:highlight w:val="none"/>
        </w:rPr>
      </w:pP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pPr>
        <w:autoSpaceDE w:val="0"/>
        <w:autoSpaceDN w:val="0"/>
        <w:spacing w:line="360" w:lineRule="auto"/>
        <w:ind w:firstLine="120"/>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pPr>
              <w:autoSpaceDE w:val="0"/>
              <w:autoSpaceDN w:val="0"/>
              <w:spacing w:line="360" w:lineRule="auto"/>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eastAsia="zh-CN"/>
              </w:rPr>
              <w:t>资金</w:t>
            </w:r>
          </w:p>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eastAsia="zh-CN"/>
              </w:rPr>
              <w:t>项目</w:t>
            </w:r>
          </w:p>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eastAsia="zh-CN"/>
              </w:rPr>
              <w:t>项目地址与业主</w:t>
            </w:r>
            <w:r>
              <w:rPr>
                <w:rFonts w:hint="eastAsia" w:cs="仿宋_GB2312" w:asciiTheme="minorEastAsia" w:hAnsiTheme="minorEastAsia" w:eastAsiaTheme="minorEastAsia"/>
                <w:color w:val="auto"/>
                <w:sz w:val="24"/>
                <w:highlight w:val="none"/>
              </w:rPr>
              <w:t>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r>
      <w:tr>
        <w:trPr>
          <w:trHeight w:val="92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r>
      <w:tr>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r>
      <w:tr>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r>
      <w:tr>
        <w:trPr>
          <w:trHeight w:val="927"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r>
    </w:tbl>
    <w:p>
      <w:pPr>
        <w:autoSpaceDE w:val="0"/>
        <w:autoSpaceDN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注：供应商可按上述的格式自行编制，须随表提交相应的合同复印件和用户单位验收证明并注明所在文件页码。</w:t>
      </w:r>
    </w:p>
    <w:p>
      <w:pPr>
        <w:autoSpaceDE w:val="0"/>
        <w:autoSpaceDN w:val="0"/>
        <w:spacing w:line="360" w:lineRule="auto"/>
        <w:rPr>
          <w:rFonts w:hint="eastAsia" w:cs="仿宋_GB2312" w:asciiTheme="minorEastAsia" w:hAnsiTheme="minorEastAsia" w:eastAsiaTheme="minorEastAsia"/>
          <w:color w:val="auto"/>
          <w:sz w:val="24"/>
          <w:highlight w:val="none"/>
        </w:rPr>
      </w:pPr>
    </w:p>
    <w:p>
      <w:pPr>
        <w:autoSpaceDE w:val="0"/>
        <w:autoSpaceDN w:val="0"/>
        <w:spacing w:line="360" w:lineRule="auto"/>
        <w:ind w:firstLine="5280" w:firstLineChars="2200"/>
        <w:rPr>
          <w:rFonts w:hint="eastAsia" w:cs="仿宋_GB2312" w:asciiTheme="minorEastAsia" w:hAnsiTheme="minorEastAsia" w:eastAsiaTheme="minorEastAsia"/>
          <w:color w:val="auto"/>
          <w:kern w:val="0"/>
          <w:sz w:val="24"/>
          <w:highlight w:val="none"/>
        </w:rPr>
      </w:pPr>
    </w:p>
    <w:p>
      <w:pPr>
        <w:autoSpaceDE w:val="0"/>
        <w:autoSpaceDN w:val="0"/>
        <w:spacing w:line="360" w:lineRule="auto"/>
        <w:ind w:firstLine="5280" w:firstLineChars="2200"/>
        <w:rPr>
          <w:rFonts w:hint="eastAsia"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七、关于</w:t>
      </w:r>
      <w:r>
        <w:rPr>
          <w:rFonts w:hint="eastAsia" w:cs="仿宋_GB2312" w:asciiTheme="minorEastAsia" w:hAnsiTheme="minorEastAsia" w:eastAsiaTheme="minorEastAsia"/>
          <w:b/>
          <w:color w:val="auto"/>
          <w:kern w:val="0"/>
          <w:sz w:val="32"/>
          <w:szCs w:val="32"/>
          <w:highlight w:val="none"/>
          <w:lang w:val="zh-CN"/>
        </w:rPr>
        <w:t>对磋商文件中有关条款的拒绝声明</w:t>
      </w:r>
    </w:p>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rPr>
          <w:rFonts w:hint="eastAsia" w:cs="仿宋_GB2312" w:asciiTheme="minorEastAsia" w:hAnsiTheme="minorEastAsia" w:eastAsiaTheme="minorEastAsia"/>
          <w:color w:val="auto"/>
          <w:sz w:val="24"/>
          <w:highlight w:val="none"/>
        </w:rPr>
      </w:pPr>
    </w:p>
    <w:p>
      <w:pPr>
        <w:spacing w:line="360" w:lineRule="auto"/>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磋商供应商名称(公章)：</w:t>
      </w:r>
    </w:p>
    <w:p>
      <w:pPr>
        <w:spacing w:line="360" w:lineRule="auto"/>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法定代表人（负责人）或委托代理人(签名)：                          </w:t>
      </w: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八、认为需要的</w:t>
      </w:r>
      <w:r>
        <w:rPr>
          <w:rFonts w:hint="eastAsia" w:cs="仿宋_GB2312" w:asciiTheme="minorEastAsia" w:hAnsiTheme="minorEastAsia" w:eastAsiaTheme="minorEastAsia"/>
          <w:b/>
          <w:color w:val="auto"/>
          <w:kern w:val="0"/>
          <w:sz w:val="32"/>
          <w:szCs w:val="32"/>
          <w:highlight w:val="none"/>
          <w:lang w:val="zh-CN"/>
        </w:rPr>
        <w:t>其他商务文件或说明</w:t>
      </w:r>
    </w:p>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jc w:val="center"/>
        <w:rPr>
          <w:rFonts w:hint="eastAsia" w:cs="仿宋_GB2312" w:asciiTheme="minorEastAsia" w:hAnsiTheme="minorEastAsia" w:eastAsiaTheme="minorEastAsia"/>
          <w:color w:val="auto"/>
          <w:sz w:val="24"/>
          <w:highlight w:val="none"/>
        </w:rPr>
      </w:pPr>
    </w:p>
    <w:p>
      <w:pPr>
        <w:spacing w:line="360" w:lineRule="auto"/>
        <w:rPr>
          <w:rFonts w:hint="eastAsia"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rPr>
          <w:rFonts w:hint="eastAsia" w:cs="仿宋_GB2312" w:asciiTheme="minorEastAsia" w:hAnsiTheme="minorEastAsia" w:eastAsiaTheme="minorEastAsia"/>
          <w:b/>
          <w:bCs/>
          <w:color w:val="auto"/>
          <w:kern w:val="0"/>
          <w:sz w:val="24"/>
          <w:highlight w:val="none"/>
        </w:rPr>
      </w:pPr>
    </w:p>
    <w:p>
      <w:pPr>
        <w:widowControl/>
        <w:adjustRightInd/>
        <w:jc w:val="left"/>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highlight w:val="none"/>
        </w:rPr>
        <w:br w:type="page"/>
      </w: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九、</w:t>
      </w:r>
      <w:r>
        <w:rPr>
          <w:rFonts w:hint="eastAsia" w:cs="仿宋_GB2312" w:asciiTheme="minorEastAsia" w:hAnsiTheme="minorEastAsia" w:eastAsiaTheme="minorEastAsia"/>
          <w:b/>
          <w:bCs/>
          <w:color w:val="auto"/>
          <w:sz w:val="32"/>
          <w:szCs w:val="32"/>
          <w:highlight w:val="none"/>
          <w:lang w:eastAsia="zh-CN"/>
        </w:rPr>
        <w:t>技术设计</w:t>
      </w:r>
      <w:r>
        <w:rPr>
          <w:rFonts w:hint="eastAsia" w:cs="仿宋_GB2312" w:asciiTheme="minorEastAsia" w:hAnsiTheme="minorEastAsia" w:eastAsiaTheme="minorEastAsia"/>
          <w:b/>
          <w:bCs/>
          <w:color w:val="auto"/>
          <w:sz w:val="32"/>
          <w:szCs w:val="32"/>
          <w:highlight w:val="none"/>
        </w:rPr>
        <w:t>方案</w:t>
      </w:r>
    </w:p>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pPr>
        <w:spacing w:line="360" w:lineRule="auto"/>
        <w:jc w:val="center"/>
        <w:rPr>
          <w:rFonts w:hint="eastAsia" w:cs="仿宋_GB2312" w:asciiTheme="minorEastAsia" w:hAnsiTheme="minorEastAsia" w:eastAsiaTheme="minorEastAsia"/>
          <w:color w:val="auto"/>
          <w:sz w:val="24"/>
          <w:highlight w:val="none"/>
        </w:rPr>
      </w:pPr>
    </w:p>
    <w:p>
      <w:pPr>
        <w:autoSpaceDE w:val="0"/>
        <w:autoSpaceDN w:val="0"/>
        <w:spacing w:line="360" w:lineRule="auto"/>
        <w:rPr>
          <w:rFonts w:hint="eastAsia" w:cs="仿宋_GB2312" w:asciiTheme="minorEastAsia" w:hAnsiTheme="minorEastAsia" w:eastAsiaTheme="minorEastAsia"/>
          <w:color w:val="auto"/>
          <w:kern w:val="0"/>
          <w:sz w:val="24"/>
          <w:highlight w:val="none"/>
        </w:rPr>
      </w:pPr>
    </w:p>
    <w:p>
      <w:pPr>
        <w:spacing w:line="360" w:lineRule="auto"/>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磋商供应商名称(公章)：</w:t>
      </w:r>
    </w:p>
    <w:p>
      <w:pPr>
        <w:spacing w:line="360" w:lineRule="auto"/>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法定代表人（负责人）或委托代理人(签名)：                          </w:t>
      </w: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tabs>
          <w:tab w:val="left" w:pos="2790"/>
          <w:tab w:val="left" w:pos="4230"/>
        </w:tabs>
        <w:autoSpaceDE w:val="0"/>
        <w:autoSpaceDN w:val="0"/>
        <w:spacing w:line="360" w:lineRule="auto"/>
        <w:ind w:right="1400"/>
        <w:jc w:val="center"/>
        <w:rPr>
          <w:rFonts w:hint="eastAsia"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 xml:space="preserve">       </w:t>
      </w:r>
    </w:p>
    <w:p>
      <w:pPr>
        <w:spacing w:line="360" w:lineRule="auto"/>
        <w:ind w:firstLine="1333" w:firstLineChars="400"/>
        <w:jc w:val="left"/>
        <w:rPr>
          <w:rFonts w:hint="eastAsia" w:asciiTheme="minorEastAsia" w:hAnsiTheme="minorEastAsia" w:eastAsiaTheme="minorEastAsia"/>
          <w:b/>
          <w:color w:val="auto"/>
          <w:spacing w:val="6"/>
          <w:sz w:val="32"/>
          <w:szCs w:val="32"/>
          <w:highlight w:val="none"/>
        </w:rPr>
      </w:pPr>
    </w:p>
    <w:p>
      <w:pPr>
        <w:spacing w:line="360" w:lineRule="auto"/>
        <w:ind w:firstLine="1333" w:firstLineChars="400"/>
        <w:jc w:val="center"/>
        <w:rPr>
          <w:rFonts w:hint="eastAsia"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w:t>
      </w:r>
    </w:p>
    <w:p>
      <w:pPr>
        <w:spacing w:line="360" w:lineRule="auto"/>
        <w:ind w:firstLine="1333" w:firstLineChars="400"/>
        <w:jc w:val="center"/>
        <w:rPr>
          <w:rFonts w:hint="eastAsia" w:asciiTheme="minorEastAsia" w:hAnsiTheme="minorEastAsia" w:eastAsiaTheme="minorEastAsia"/>
          <w:b/>
          <w:color w:val="auto"/>
          <w:spacing w:val="6"/>
          <w:sz w:val="32"/>
          <w:szCs w:val="32"/>
          <w:highlight w:val="none"/>
        </w:rPr>
      </w:pPr>
    </w:p>
    <w:p>
      <w:pPr>
        <w:spacing w:line="360" w:lineRule="auto"/>
        <w:jc w:val="center"/>
        <w:rPr>
          <w:rFonts w:hint="eastAsia" w:asciiTheme="minorEastAsia" w:hAnsiTheme="minorEastAsia" w:eastAsiaTheme="minorEastAsia"/>
          <w:b/>
          <w:bCs/>
          <w:color w:val="auto"/>
          <w:sz w:val="24"/>
          <w:highlight w:val="none"/>
        </w:rPr>
      </w:pPr>
    </w:p>
    <w:p>
      <w:pPr>
        <w:spacing w:line="360" w:lineRule="auto"/>
        <w:ind w:firstLine="1000" w:firstLineChars="300"/>
        <w:jc w:val="center"/>
        <w:rPr>
          <w:rFonts w:hint="eastAsia"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w:t>
      </w:r>
    </w:p>
    <w:p>
      <w:pPr>
        <w:autoSpaceDE w:val="0"/>
        <w:autoSpaceDN w:val="0"/>
        <w:spacing w:line="360" w:lineRule="auto"/>
        <w:rPr>
          <w:rFonts w:hint="eastAsia" w:cs="仿宋_GB2312" w:asciiTheme="minorEastAsia" w:hAnsiTheme="minorEastAsia" w:eastAsiaTheme="minorEastAsia"/>
          <w:b/>
          <w:color w:val="auto"/>
          <w:kern w:val="0"/>
          <w:sz w:val="28"/>
          <w:szCs w:val="28"/>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tabs>
          <w:tab w:val="left" w:pos="2790"/>
          <w:tab w:val="left" w:pos="4230"/>
        </w:tabs>
        <w:autoSpaceDE w:val="0"/>
        <w:autoSpaceDN w:val="0"/>
        <w:spacing w:line="360" w:lineRule="auto"/>
        <w:ind w:right="1400"/>
        <w:jc w:val="center"/>
        <w:rPr>
          <w:rFonts w:hint="eastAsia" w:cs="仿宋_GB2312" w:asciiTheme="minorEastAsia" w:hAnsiTheme="minorEastAsia" w:eastAsiaTheme="minorEastAsia"/>
          <w:b/>
          <w:bCs/>
          <w:color w:val="auto"/>
          <w:kern w:val="0"/>
          <w:sz w:val="24"/>
          <w:highlight w:val="none"/>
          <w:lang w:val="zh-CN"/>
        </w:rPr>
      </w:pPr>
    </w:p>
    <w:p>
      <w:pPr>
        <w:tabs>
          <w:tab w:val="left" w:pos="2790"/>
          <w:tab w:val="left" w:pos="4230"/>
        </w:tabs>
        <w:autoSpaceDE w:val="0"/>
        <w:autoSpaceDN w:val="0"/>
        <w:spacing w:line="360" w:lineRule="auto"/>
        <w:ind w:right="1400"/>
        <w:jc w:val="center"/>
        <w:rPr>
          <w:rFonts w:hint="eastAsia"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十、项目实施方案</w:t>
      </w:r>
    </w:p>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pPr>
        <w:autoSpaceDE w:val="0"/>
        <w:autoSpaceDN w:val="0"/>
        <w:spacing w:line="360" w:lineRule="auto"/>
        <w:rPr>
          <w:rFonts w:hint="eastAsia" w:cs="仿宋_GB2312" w:asciiTheme="minorEastAsia" w:hAnsiTheme="minorEastAsia" w:eastAsiaTheme="minorEastAsia"/>
          <w:b/>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十一、售后服务方案</w:t>
      </w:r>
    </w:p>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根据采购需求及磋商文件要求编制）</w:t>
      </w:r>
    </w:p>
    <w:p>
      <w:pPr>
        <w:autoSpaceDE w:val="0"/>
        <w:autoSpaceDN w:val="0"/>
        <w:spacing w:line="360" w:lineRule="auto"/>
        <w:rPr>
          <w:rFonts w:hint="eastAsia"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十二、项目小组人员名单</w:t>
      </w:r>
    </w:p>
    <w:p>
      <w:pPr>
        <w:spacing w:line="360" w:lineRule="auto"/>
        <w:jc w:val="center"/>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pPr>
        <w:keepNext/>
        <w:autoSpaceDE w:val="0"/>
        <w:autoSpaceDN w:val="0"/>
        <w:spacing w:line="360" w:lineRule="auto"/>
        <w:ind w:firstLine="477"/>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附表:本项目的项目</w:t>
      </w:r>
      <w:r>
        <w:rPr>
          <w:rFonts w:hint="eastAsia" w:cs="仿宋_GB2312" w:asciiTheme="minorEastAsia" w:hAnsiTheme="minorEastAsia" w:eastAsiaTheme="minorEastAsia"/>
          <w:b/>
          <w:color w:val="auto"/>
          <w:sz w:val="24"/>
          <w:highlight w:val="none"/>
          <w:lang w:eastAsia="zh-CN"/>
        </w:rPr>
        <w:t>人员</w:t>
      </w:r>
      <w:r>
        <w:rPr>
          <w:rFonts w:hint="eastAsia" w:cs="仿宋_GB2312" w:asciiTheme="minorEastAsia" w:hAnsiTheme="minorEastAsia" w:eastAsiaTheme="minorEastAsia"/>
          <w:b/>
          <w:color w:val="auto"/>
          <w:sz w:val="24"/>
          <w:highlight w:val="none"/>
        </w:rPr>
        <w:t>情况表</w:t>
      </w:r>
    </w:p>
    <w:tbl>
      <w:tblPr>
        <w:tblStyle w:val="60"/>
        <w:tblW w:w="91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865"/>
        <w:gridCol w:w="2060"/>
        <w:gridCol w:w="1449"/>
        <w:gridCol w:w="1988"/>
        <w:gridCol w:w="18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3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rPr>
              <w:t>姓名</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rPr>
              <w:t>职务</w:t>
            </w:r>
          </w:p>
        </w:tc>
        <w:tc>
          <w:tcPr>
            <w:tcW w:w="20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rPr>
              <w:t>专业技术资格</w:t>
            </w:r>
          </w:p>
        </w:tc>
        <w:tc>
          <w:tcPr>
            <w:tcW w:w="14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rPr>
              <w:t>证书编号</w:t>
            </w:r>
          </w:p>
        </w:tc>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s="宋体"/>
                <w:bCs/>
                <w:color w:val="auto"/>
                <w:szCs w:val="21"/>
                <w:highlight w:val="none"/>
              </w:rPr>
            </w:pPr>
            <w:r>
              <w:rPr>
                <w:rFonts w:hint="eastAsia" w:ascii="宋体" w:hAnsi="宋体" w:eastAsia="宋体" w:cs="宋体"/>
                <w:bCs/>
                <w:color w:val="auto"/>
                <w:szCs w:val="21"/>
                <w:highlight w:val="none"/>
              </w:rPr>
              <w:t>参加本单位</w:t>
            </w:r>
          </w:p>
          <w:p>
            <w:pPr>
              <w:snapToGrid w:val="0"/>
              <w:spacing w:before="156" w:beforeLines="50" w:after="50" w:line="360" w:lineRule="exact"/>
              <w:jc w:val="center"/>
              <w:rPr>
                <w:rFonts w:hint="eastAsia" w:ascii="宋体" w:hAnsi="宋体" w:cs="宋体"/>
                <w:bCs/>
                <w:color w:val="auto"/>
                <w:szCs w:val="21"/>
                <w:highlight w:val="none"/>
              </w:rPr>
            </w:pPr>
            <w:r>
              <w:rPr>
                <w:rFonts w:hint="eastAsia" w:ascii="宋体" w:hAnsi="宋体" w:eastAsia="宋体" w:cs="宋体"/>
                <w:bCs/>
                <w:color w:val="auto"/>
                <w:szCs w:val="21"/>
                <w:highlight w:val="none"/>
              </w:rPr>
              <w:t>工作时间</w:t>
            </w:r>
          </w:p>
        </w:tc>
        <w:tc>
          <w:tcPr>
            <w:tcW w:w="188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s="宋体"/>
                <w:bCs/>
                <w:color w:val="auto"/>
                <w:szCs w:val="21"/>
                <w:highlight w:val="none"/>
              </w:rPr>
            </w:pPr>
            <w:r>
              <w:rPr>
                <w:rFonts w:hint="eastAsia" w:ascii="宋体" w:hAnsi="宋体" w:eastAsia="宋体" w:cs="宋体"/>
                <w:bCs/>
                <w:color w:val="auto"/>
                <w:szCs w:val="21"/>
                <w:highlight w:val="none"/>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865"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1449"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1988"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1889"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865"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1449"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1988"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1889"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r>
    </w:tbl>
    <w:p>
      <w:pPr>
        <w:pStyle w:val="2"/>
        <w:rPr>
          <w:rFonts w:hint="eastAsia"/>
          <w:color w:val="auto"/>
          <w:highlight w:val="none"/>
        </w:rPr>
      </w:pPr>
    </w:p>
    <w:p>
      <w:pPr>
        <w:autoSpaceDE w:val="0"/>
        <w:autoSpaceDN w:val="0"/>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pPr>
        <w:spacing w:line="360" w:lineRule="auto"/>
        <w:rPr>
          <w:rFonts w:hint="eastAsia" w:cs="仿宋_GB2312" w:asciiTheme="minorEastAsia" w:hAnsiTheme="minorEastAsia" w:eastAsiaTheme="minorEastAsia"/>
          <w:b/>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24"/>
          <w:highlight w:val="none"/>
        </w:rPr>
        <w:br w:type="page"/>
      </w:r>
      <w:r>
        <w:rPr>
          <w:rFonts w:hint="eastAsia" w:cs="仿宋_GB2312" w:asciiTheme="minorEastAsia" w:hAnsiTheme="minorEastAsia" w:eastAsiaTheme="minorEastAsia"/>
          <w:b/>
          <w:color w:val="auto"/>
          <w:kern w:val="0"/>
          <w:sz w:val="32"/>
          <w:szCs w:val="32"/>
          <w:highlight w:val="none"/>
          <w:lang w:val="zh-CN"/>
        </w:rPr>
        <w:t>十三</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优惠条件及特殊承诺</w:t>
      </w:r>
    </w:p>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jc w:val="center"/>
        <w:rPr>
          <w:rFonts w:hint="eastAsia"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bCs/>
          <w:color w:val="auto"/>
          <w:sz w:val="24"/>
          <w:highlight w:val="none"/>
        </w:rPr>
      </w:pP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十四、</w:t>
      </w:r>
      <w:r>
        <w:rPr>
          <w:rFonts w:hint="eastAsia" w:cs="仿宋_GB2312" w:asciiTheme="minorEastAsia" w:hAnsiTheme="minorEastAsia" w:eastAsiaTheme="minorEastAsia"/>
          <w:b/>
          <w:color w:val="auto"/>
          <w:kern w:val="0"/>
          <w:sz w:val="32"/>
          <w:szCs w:val="32"/>
          <w:highlight w:val="none"/>
          <w:lang w:val="zh-CN"/>
        </w:rPr>
        <w:t>培训计划</w:t>
      </w:r>
    </w:p>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keepNext/>
        <w:autoSpaceDE w:val="0"/>
        <w:autoSpaceDN w:val="0"/>
        <w:spacing w:line="360" w:lineRule="auto"/>
        <w:ind w:firstLine="477"/>
        <w:jc w:val="left"/>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r>
      <w:t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r>
      <w:t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r>
      <w:tr>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注解:A</w:t>
      </w:r>
      <w:r>
        <w:rPr>
          <w:rFonts w:hint="eastAsia" w:cs="仿宋_GB2312" w:asciiTheme="minorEastAsia" w:hAnsiTheme="minorEastAsia" w:eastAsiaTheme="minorEastAsia"/>
          <w:color w:val="auto"/>
          <w:sz w:val="24"/>
          <w:highlight w:val="none"/>
        </w:rPr>
        <w:tab/>
      </w:r>
      <w:r>
        <w:rPr>
          <w:rFonts w:hint="eastAsia" w:cs="仿宋_GB2312" w:asciiTheme="minorEastAsia" w:hAnsiTheme="minorEastAsia" w:eastAsiaTheme="minorEastAsia"/>
          <w:color w:val="auto"/>
          <w:sz w:val="24"/>
          <w:highlight w:val="none"/>
        </w:rPr>
        <w:t>课程清单按时间顺序排列，并提供以下详细资料：</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课程概要</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课程目的</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教学方式</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先决条件</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教材目录</w:t>
      </w:r>
    </w:p>
    <w:p>
      <w:pPr>
        <w:autoSpaceDE w:val="0"/>
        <w:autoSpaceDN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B  按照附表A提供授课教师的简历</w:t>
      </w:r>
    </w:p>
    <w:p>
      <w:pPr>
        <w:autoSpaceDE w:val="0"/>
        <w:autoSpaceDN w:val="0"/>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pPr>
        <w:autoSpaceDE w:val="0"/>
        <w:autoSpaceDN w:val="0"/>
        <w:spacing w:line="360" w:lineRule="auto"/>
        <w:rPr>
          <w:rFonts w:hint="eastAsia" w:cs="仿宋_GB2312" w:asciiTheme="minorEastAsia" w:hAnsiTheme="minorEastAsia" w:eastAsiaTheme="minorEastAsia"/>
          <w:b/>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color w:val="auto"/>
          <w:kern w:val="0"/>
          <w:sz w:val="24"/>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名称</w:t>
            </w:r>
          </w:p>
        </w:tc>
        <w:tc>
          <w:tcPr>
            <w:tcW w:w="1900" w:type="dxa"/>
            <w:vAlign w:val="center"/>
          </w:tcPr>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品牌</w:t>
            </w:r>
          </w:p>
        </w:tc>
        <w:tc>
          <w:tcPr>
            <w:tcW w:w="1800" w:type="dxa"/>
            <w:vAlign w:val="center"/>
          </w:tcPr>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制造厂/原产地</w:t>
            </w:r>
          </w:p>
        </w:tc>
        <w:tc>
          <w:tcPr>
            <w:tcW w:w="2880" w:type="dxa"/>
            <w:vAlign w:val="center"/>
          </w:tcPr>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规格型号</w:t>
            </w:r>
          </w:p>
        </w:tc>
        <w:tc>
          <w:tcPr>
            <w:tcW w:w="1332" w:type="dxa"/>
            <w:vAlign w:val="center"/>
          </w:tcPr>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bl>
    <w:p>
      <w:pPr>
        <w:spacing w:line="360" w:lineRule="auto"/>
        <w:ind w:firstLine="470" w:firstLineChars="196"/>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注：随机特殊工具和备品备件是指供应商在供货时免费赠送给采购人的工具及零配件，以备用。</w:t>
      </w:r>
    </w:p>
    <w:p>
      <w:pPr>
        <w:spacing w:line="360" w:lineRule="auto"/>
        <w:ind w:firstLine="480" w:firstLineChars="200"/>
        <w:rPr>
          <w:rFonts w:hint="eastAsia"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color w:val="auto"/>
          <w:kern w:val="0"/>
          <w:sz w:val="24"/>
          <w:highlight w:val="none"/>
        </w:rPr>
      </w:pPr>
    </w:p>
    <w:p>
      <w:pPr>
        <w:spacing w:line="360" w:lineRule="auto"/>
        <w:jc w:val="center"/>
        <w:rPr>
          <w:rFonts w:hint="eastAsia" w:cs="仿宋_GB2312" w:asciiTheme="minorEastAsia" w:hAnsiTheme="minorEastAsia" w:eastAsiaTheme="minorEastAsia"/>
          <w:color w:val="auto"/>
          <w:kern w:val="0"/>
          <w:sz w:val="24"/>
          <w:highlight w:val="none"/>
        </w:rPr>
      </w:pP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十六、认为需求的</w:t>
      </w:r>
      <w:r>
        <w:rPr>
          <w:rFonts w:hint="eastAsia" w:cs="仿宋_GB2312" w:asciiTheme="minorEastAsia" w:hAnsiTheme="minorEastAsia" w:eastAsiaTheme="minorEastAsia"/>
          <w:b/>
          <w:color w:val="auto"/>
          <w:kern w:val="0"/>
          <w:sz w:val="32"/>
          <w:szCs w:val="32"/>
          <w:highlight w:val="none"/>
          <w:lang w:val="zh-CN"/>
        </w:rPr>
        <w:t>其他技术文件或说明</w:t>
      </w:r>
    </w:p>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rPr>
          <w:rFonts w:hint="eastAsia"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tabs>
          <w:tab w:val="left" w:pos="0"/>
        </w:tabs>
        <w:autoSpaceDE w:val="0"/>
        <w:autoSpaceDN w:val="0"/>
        <w:spacing w:line="360" w:lineRule="auto"/>
        <w:ind w:firstLine="2409" w:firstLineChars="800"/>
        <w:rPr>
          <w:rFonts w:hint="eastAsia" w:cs="仿宋_GB2312" w:asciiTheme="minorEastAsia" w:hAnsiTheme="minorEastAsia" w:eastAsiaTheme="minorEastAsia"/>
          <w:b/>
          <w:bCs/>
          <w:color w:val="auto"/>
          <w:sz w:val="30"/>
          <w:szCs w:val="30"/>
          <w:highlight w:val="none"/>
        </w:rPr>
      </w:pPr>
    </w:p>
    <w:p>
      <w:pPr>
        <w:tabs>
          <w:tab w:val="left" w:pos="0"/>
        </w:tabs>
        <w:autoSpaceDE w:val="0"/>
        <w:autoSpaceDN w:val="0"/>
        <w:spacing w:line="360" w:lineRule="auto"/>
        <w:jc w:val="center"/>
        <w:rPr>
          <w:rFonts w:hint="eastAsia" w:cs="仿宋_GB2312" w:asciiTheme="minorEastAsia" w:hAnsiTheme="minorEastAsia" w:eastAsiaTheme="minorEastAsia"/>
          <w:b/>
          <w:bCs/>
          <w:color w:val="auto"/>
          <w:sz w:val="30"/>
          <w:szCs w:val="30"/>
          <w:highlight w:val="none"/>
        </w:rPr>
      </w:pPr>
    </w:p>
    <w:p>
      <w:pPr>
        <w:widowControl/>
        <w:adjustRightInd/>
        <w:jc w:val="left"/>
        <w:rPr>
          <w:rFonts w:hint="eastAsia"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pPr>
        <w:tabs>
          <w:tab w:val="left" w:pos="0"/>
        </w:tabs>
        <w:autoSpaceDE w:val="0"/>
        <w:autoSpaceDN w:val="0"/>
        <w:spacing w:line="360" w:lineRule="auto"/>
        <w:jc w:val="center"/>
        <w:rPr>
          <w:rFonts w:hint="eastAsia"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十七、</w:t>
      </w:r>
      <w:r>
        <w:rPr>
          <w:rFonts w:hint="eastAsia" w:cs="宋体" w:asciiTheme="minorEastAsia" w:hAnsiTheme="minorEastAsia" w:eastAsiaTheme="minorEastAsia"/>
          <w:b/>
          <w:color w:val="auto"/>
          <w:kern w:val="0"/>
          <w:sz w:val="32"/>
          <w:szCs w:val="32"/>
          <w:highlight w:val="none"/>
          <w:lang w:val="zh-CN"/>
        </w:rPr>
        <w:t>政府采购供应商廉洁自律承诺书</w:t>
      </w:r>
    </w:p>
    <w:p>
      <w:pPr>
        <w:autoSpaceDE w:val="0"/>
        <w:autoSpaceDN w:val="0"/>
        <w:spacing w:line="360" w:lineRule="auto"/>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kern w:val="0"/>
          <w:sz w:val="24"/>
          <w:highlight w:val="none"/>
          <w:lang w:val="zh-CN"/>
        </w:rPr>
        <w:t xml:space="preserve">：    </w:t>
      </w:r>
    </w:p>
    <w:p>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hint="eastAsia"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hint="eastAsia"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hint="eastAsia" w:cs="仿宋_GB2312" w:asciiTheme="minorEastAsia" w:hAnsiTheme="minorEastAsia" w:eastAsiaTheme="minorEastAsia"/>
          <w:color w:val="auto"/>
          <w:kern w:val="0"/>
          <w:sz w:val="24"/>
          <w:highlight w:val="none"/>
          <w:lang w:val="zh-CN"/>
        </w:rPr>
      </w:pPr>
    </w:p>
    <w:p>
      <w:pPr>
        <w:autoSpaceDE w:val="0"/>
        <w:autoSpaceDN w:val="0"/>
        <w:spacing w:line="360" w:lineRule="auto"/>
        <w:ind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pPr>
        <w:autoSpaceDE w:val="0"/>
        <w:autoSpaceDN w:val="0"/>
        <w:spacing w:line="360" w:lineRule="auto"/>
        <w:ind w:left="2" w:leftChars="1"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hint="eastAsia" w:cs="仿宋_GB2312" w:asciiTheme="minorEastAsia" w:hAnsiTheme="minorEastAsia" w:eastAsiaTheme="minorEastAsia"/>
          <w:b/>
          <w:color w:val="auto"/>
          <w:sz w:val="36"/>
          <w:szCs w:val="36"/>
          <w:highlight w:val="none"/>
        </w:rPr>
      </w:pPr>
    </w:p>
    <w:p>
      <w:pPr>
        <w:widowControl/>
        <w:adjustRightInd/>
        <w:jc w:val="left"/>
        <w:rPr>
          <w:rFonts w:hint="eastAsia"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jc w:val="center"/>
        <w:rPr>
          <w:rFonts w:hint="eastAsia" w:ascii="宋体" w:hAnsi="宋体" w:cs="宋体"/>
          <w:b/>
          <w:color w:val="auto"/>
          <w:kern w:val="0"/>
          <w:sz w:val="32"/>
          <w:szCs w:val="21"/>
          <w:highlight w:val="none"/>
        </w:rPr>
      </w:pPr>
      <w:r>
        <w:rPr>
          <w:rFonts w:hint="eastAsia" w:cs="仿宋_GB2312" w:asciiTheme="minorEastAsia" w:hAnsiTheme="minorEastAsia" w:eastAsiaTheme="minorEastAsia"/>
          <w:b/>
          <w:bCs/>
          <w:color w:val="auto"/>
          <w:sz w:val="30"/>
          <w:szCs w:val="30"/>
          <w:highlight w:val="none"/>
        </w:rPr>
        <w:t>十八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pPr>
        <w:widowControl/>
        <w:adjustRightInd/>
        <w:ind w:firstLine="640" w:firstLineChars="200"/>
        <w:jc w:val="left"/>
        <w:rPr>
          <w:rFonts w:hint="eastAsia" w:ascii="宋体" w:hAnsi="宋体" w:cs="宋体"/>
          <w:color w:val="auto"/>
          <w:kern w:val="0"/>
          <w:sz w:val="32"/>
          <w:szCs w:val="21"/>
          <w:highlight w:val="none"/>
        </w:rPr>
      </w:pPr>
    </w:p>
    <w:p>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我方作为本次采购项目的磋商供应商，根据磋商文件要求，现郑重承诺如下：</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二、参加本次磋商采购活动，不存在与单位负责人为同一人或者存在直接控股、管理关系的其他供应商参与同一合同项下的政府采购活动的行为。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四、参加本次磋商采购活动，不存在和其他供应商在同一合同项下的采购项目中，同时委托同一个自然人、同一家庭的人员、同一单位的人员作为代理人的行为。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八、参加本次磋商采购活动，我方完全同意磋商文件第三部分关于“磋商费用”、“合同分包”、“合同转包”、“履约保证金”的实质性要求，并承诺严格按照磋商文件要求履行。</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我方对上述承诺的内容事项真实性负责。如经查实上述承诺的内容事项存在虚假，我方愿意接受以提供虚假材料谋取成交追究法律责任。</w:t>
      </w:r>
    </w:p>
    <w:p>
      <w:pPr>
        <w:widowControl/>
        <w:adjustRightInd/>
        <w:spacing w:line="360" w:lineRule="auto"/>
        <w:ind w:firstLine="480" w:firstLineChars="200"/>
        <w:jc w:val="left"/>
        <w:rPr>
          <w:rFonts w:hint="eastAsia" w:ascii="宋体" w:hAnsi="宋体" w:cs="宋体"/>
          <w:color w:val="auto"/>
          <w:kern w:val="0"/>
          <w:sz w:val="24"/>
          <w:highlight w:val="none"/>
        </w:rPr>
      </w:pPr>
    </w:p>
    <w:p>
      <w:pPr>
        <w:autoSpaceDE w:val="0"/>
        <w:autoSpaceDN w:val="0"/>
        <w:spacing w:line="360" w:lineRule="auto"/>
        <w:ind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pPr>
        <w:autoSpaceDE w:val="0"/>
        <w:autoSpaceDN w:val="0"/>
        <w:spacing w:line="360" w:lineRule="auto"/>
        <w:ind w:left="2" w:leftChars="1"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hint="eastAsia" w:ascii="宋体" w:hAnsi="宋体" w:cs="宋体"/>
          <w:b/>
          <w:bCs/>
          <w:color w:val="auto"/>
          <w:sz w:val="24"/>
          <w:highlight w:val="none"/>
        </w:rPr>
      </w:pP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4"/>
        <w:keepNext w:val="0"/>
        <w:pageBreakBefore w:val="0"/>
        <w:tabs>
          <w:tab w:val="clear" w:pos="720"/>
        </w:tabs>
        <w:ind w:firstLine="640"/>
        <w:outlineLvl w:val="9"/>
        <w:rPr>
          <w:rFonts w:hint="eastAsia" w:ascii="宋体" w:hAnsi="宋体" w:eastAsia="宋体" w:cs="宋体"/>
          <w:color w:val="auto"/>
          <w:kern w:val="0"/>
          <w:sz w:val="32"/>
          <w:szCs w:val="21"/>
          <w:highlight w:val="none"/>
        </w:rPr>
      </w:pPr>
    </w:p>
    <w:p>
      <w:pPr>
        <w:pStyle w:val="114"/>
        <w:keepNext w:val="0"/>
        <w:pageBreakBefore w:val="0"/>
        <w:tabs>
          <w:tab w:val="clear" w:pos="720"/>
        </w:tabs>
        <w:ind w:firstLine="640"/>
        <w:outlineLvl w:val="9"/>
        <w:rPr>
          <w:rFonts w:ascii="宋体"/>
          <w:color w:val="auto"/>
          <w:spacing w:val="6"/>
          <w:sz w:val="32"/>
          <w:szCs w:val="32"/>
          <w:highlight w:val="none"/>
        </w:rPr>
      </w:pPr>
      <w:r>
        <w:rPr>
          <w:rFonts w:hint="eastAsia" w:ascii="宋体" w:hAnsi="宋体" w:eastAsia="宋体" w:cs="宋体"/>
          <w:color w:val="auto"/>
          <w:kern w:val="0"/>
          <w:sz w:val="32"/>
          <w:szCs w:val="21"/>
          <w:highlight w:val="none"/>
        </w:rPr>
        <w:t>十九、商务、服务（技术）响应、偏离情况说明表</w:t>
      </w:r>
    </w:p>
    <w:p>
      <w:pPr>
        <w:spacing w:line="300" w:lineRule="auto"/>
        <w:rPr>
          <w:rFonts w:ascii="宋体"/>
          <w:color w:val="auto"/>
          <w:szCs w:val="21"/>
          <w:highlight w:val="none"/>
        </w:rPr>
      </w:pPr>
    </w:p>
    <w:p>
      <w:pPr>
        <w:spacing w:line="500" w:lineRule="exac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spacing w:line="500" w:lineRule="exact"/>
        <w:rPr>
          <w:rFonts w:hint="eastAsia" w:asciiTheme="minorEastAsia" w:hAnsiTheme="minorEastAsia" w:eastAsiaTheme="minorEastAsia" w:cstheme="minorEastAsia"/>
          <w:color w:val="auto"/>
          <w:sz w:val="24"/>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服务交付时间及地点</w:t>
            </w: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付款条件</w:t>
            </w: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服务要求</w:t>
            </w: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bl>
    <w:p>
      <w:pPr>
        <w:snapToGrid w:val="0"/>
        <w:spacing w:line="360" w:lineRule="exact"/>
        <w:rPr>
          <w:rFonts w:hint="eastAsia" w:asciiTheme="minorEastAsia" w:hAnsiTheme="minorEastAsia" w:eastAsiaTheme="minorEastAsia" w:cstheme="minorEastAsia"/>
          <w:color w:val="auto"/>
          <w:sz w:val="24"/>
          <w:highlight w:val="none"/>
        </w:rPr>
      </w:pPr>
    </w:p>
    <w:p>
      <w:pPr>
        <w:snapToGrid w:val="0"/>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说明：1.应写明竞争性磋商响应文件对商务与服务技术要求的响应和偏离情况</w:t>
      </w:r>
      <w:r>
        <w:rPr>
          <w:rFonts w:hint="eastAsia" w:asciiTheme="minorEastAsia" w:hAnsiTheme="minorEastAsia" w:eastAsiaTheme="minorEastAsia" w:cstheme="minorEastAsia"/>
          <w:bCs/>
          <w:color w:val="auto"/>
          <w:sz w:val="24"/>
          <w:highlight w:val="none"/>
        </w:rPr>
        <w:t>；</w:t>
      </w:r>
    </w:p>
    <w:p>
      <w:pPr>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pPr>
        <w:spacing w:line="360" w:lineRule="exact"/>
        <w:rPr>
          <w:rFonts w:hint="eastAsia" w:asciiTheme="minorEastAsia" w:hAnsiTheme="minorEastAsia" w:eastAsiaTheme="minorEastAsia" w:cstheme="minorEastAsia"/>
          <w:color w:val="auto"/>
          <w:sz w:val="24"/>
          <w:highlight w:val="none"/>
        </w:rPr>
      </w:pPr>
    </w:p>
    <w:p>
      <w:pPr>
        <w:spacing w:line="360" w:lineRule="exact"/>
        <w:ind w:firstLine="3480" w:firstLineChars="1450"/>
        <w:rPr>
          <w:rFonts w:hint="eastAsia" w:asciiTheme="minorEastAsia" w:hAnsiTheme="minorEastAsia" w:eastAsiaTheme="minorEastAsia" w:cstheme="minorEastAsia"/>
          <w:color w:val="auto"/>
          <w:sz w:val="24"/>
          <w:highlight w:val="none"/>
        </w:rPr>
      </w:pPr>
    </w:p>
    <w:p>
      <w:pPr>
        <w:spacing w:line="360" w:lineRule="exact"/>
        <w:ind w:firstLine="3480" w:firstLineChars="14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法定代表人(负责人)或委托代理人签名: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pStyle w:val="114"/>
        <w:keepNext w:val="0"/>
        <w:pageBreakBefore w:val="0"/>
        <w:tabs>
          <w:tab w:val="clear" w:pos="720"/>
        </w:tabs>
        <w:ind w:firstLine="64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114"/>
        <w:keepNext w:val="0"/>
        <w:pageBreakBefore w:val="0"/>
        <w:tabs>
          <w:tab w:val="clear" w:pos="720"/>
        </w:tabs>
        <w:ind w:firstLine="64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pPr>
        <w:pStyle w:val="114"/>
        <w:keepNext w:val="0"/>
        <w:pageBreakBefore w:val="0"/>
        <w:tabs>
          <w:tab w:val="clear" w:pos="720"/>
        </w:tabs>
        <w:ind w:firstLine="640"/>
        <w:outlineLvl w:val="9"/>
        <w:rPr>
          <w:rFonts w:hint="eastAsia" w:asciiTheme="minorEastAsia" w:hAnsiTheme="minorEastAsia" w:eastAsiaTheme="minorEastAsia" w:cstheme="minorEastAsia"/>
          <w:color w:val="auto"/>
          <w:sz w:val="24"/>
          <w:szCs w:val="24"/>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二十</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初始报价表</w:t>
      </w:r>
    </w:p>
    <w:p>
      <w:pPr>
        <w:pStyle w:val="631"/>
        <w:jc w:val="center"/>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（初始报价表格式参照第八部分  最后报价格式）</w:t>
      </w:r>
    </w:p>
    <w:p>
      <w:pPr>
        <w:pStyle w:val="114"/>
        <w:keepNext w:val="0"/>
        <w:pageBreakBefore w:val="0"/>
        <w:tabs>
          <w:tab w:val="clear" w:pos="720"/>
        </w:tabs>
        <w:ind w:firstLine="0"/>
        <w:jc w:val="left"/>
        <w:outlineLvl w:val="9"/>
        <w:rPr>
          <w:rFonts w:hint="eastAsia" w:asciiTheme="minorEastAsia" w:hAnsiTheme="minorEastAsia" w:eastAsiaTheme="minorEastAsia" w:cstheme="minorEastAsia"/>
          <w:color w:val="auto"/>
          <w:sz w:val="24"/>
          <w:szCs w:val="24"/>
          <w:highlight w:val="none"/>
        </w:rPr>
        <w:sectPr>
          <w:headerReference r:id="rId10" w:type="first"/>
          <w:footerReference r:id="rId13" w:type="first"/>
          <w:headerReference r:id="rId9" w:type="default"/>
          <w:footerReference r:id="rId11" w:type="default"/>
          <w:footerReference r:id="rId12" w:type="even"/>
          <w:pgSz w:w="11906" w:h="16838"/>
          <w:pgMar w:top="779" w:right="1418" w:bottom="468" w:left="1418" w:header="851" w:footer="992" w:gutter="0"/>
          <w:cols w:space="720" w:num="1"/>
          <w:titlePg/>
          <w:docGrid w:linePitch="312" w:charSpace="0"/>
        </w:sectPr>
      </w:pPr>
    </w:p>
    <w:p>
      <w:pPr>
        <w:pStyle w:val="392"/>
        <w:ind w:firstLine="0" w:firstLineChars="0"/>
        <w:jc w:val="center"/>
        <w:outlineLvl w:val="0"/>
        <w:rPr>
          <w:rFonts w:hint="eastAsia" w:cs="仿宋_GB2312" w:asciiTheme="minorEastAsia" w:hAnsiTheme="minorEastAsia" w:eastAsiaTheme="minorEastAsia"/>
          <w:b/>
          <w:color w:val="auto"/>
          <w:sz w:val="36"/>
          <w:szCs w:val="36"/>
          <w:highlight w:val="none"/>
        </w:rPr>
      </w:pPr>
      <w:bookmarkStart w:id="100" w:name="_Toc181203101"/>
      <w:r>
        <w:rPr>
          <w:rFonts w:hint="eastAsia" w:cs="仿宋_GB2312" w:asciiTheme="minorEastAsia" w:hAnsiTheme="minorEastAsia" w:eastAsiaTheme="minorEastAsia"/>
          <w:b/>
          <w:color w:val="auto"/>
          <w:sz w:val="36"/>
          <w:szCs w:val="36"/>
          <w:highlight w:val="none"/>
        </w:rPr>
        <w:t>第八部分  最后报价格式</w:t>
      </w:r>
      <w:bookmarkEnd w:id="100"/>
    </w:p>
    <w:p>
      <w:pPr>
        <w:pStyle w:val="631"/>
        <w:jc w:val="center"/>
        <w:rPr>
          <w:rFonts w:hint="eastAsia"/>
          <w:b/>
          <w:color w:val="auto"/>
          <w:sz w:val="32"/>
          <w:szCs w:val="32"/>
          <w:highlight w:val="none"/>
        </w:rPr>
      </w:pPr>
      <w:r>
        <w:rPr>
          <w:rFonts w:hint="eastAsia"/>
          <w:b/>
          <w:color w:val="auto"/>
          <w:sz w:val="32"/>
          <w:szCs w:val="32"/>
          <w:highlight w:val="none"/>
        </w:rPr>
        <w:t>（一）报价一览表</w:t>
      </w:r>
    </w:p>
    <w:p>
      <w:pPr>
        <w:autoSpaceDE w:val="0"/>
        <w:autoSpaceDN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pPr>
        <w:spacing w:line="360" w:lineRule="auto"/>
        <w:ind w:firstLine="72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按你方磋商文件要求，</w:t>
      </w:r>
      <w:r>
        <w:rPr>
          <w:rFonts w:hint="eastAsia" w:cs="仿宋_GB2312" w:asciiTheme="minorEastAsia" w:hAnsiTheme="minorEastAsia" w:eastAsiaTheme="minorEastAsia"/>
          <w:color w:val="auto"/>
          <w:sz w:val="24"/>
          <w:highlight w:val="none"/>
        </w:rPr>
        <w:t>我们即</w:t>
      </w:r>
      <w:r>
        <w:rPr>
          <w:rFonts w:hint="eastAsia" w:cs="仿宋_GB2312" w:asciiTheme="minorEastAsia" w:hAnsiTheme="minorEastAsia" w:eastAsiaTheme="minorEastAsia"/>
          <w:color w:val="auto"/>
          <w:kern w:val="0"/>
          <w:sz w:val="24"/>
          <w:highlight w:val="none"/>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的实施。</w:t>
      </w:r>
    </w:p>
    <w:p>
      <w:pPr>
        <w:snapToGrid w:val="0"/>
        <w:spacing w:line="360" w:lineRule="auto"/>
        <w:ind w:left="480"/>
        <w:jc w:val="center"/>
        <w:rPr>
          <w:rFonts w:hint="eastAsia" w:cs="仿宋_GB2312" w:asciiTheme="minorEastAsia" w:hAnsiTheme="minorEastAsia" w:eastAsiaTheme="minorEastAsia"/>
          <w:b/>
          <w:color w:val="auto"/>
          <w:kern w:val="0"/>
          <w:sz w:val="24"/>
          <w:highlight w:val="none"/>
          <w:lang w:val="zh-CN"/>
        </w:rPr>
      </w:pPr>
      <w:r>
        <w:rPr>
          <w:rFonts w:hint="eastAsia" w:cs="仿宋_GB2312" w:asciiTheme="minorEastAsia" w:hAnsiTheme="minorEastAsia" w:eastAsiaTheme="minorEastAsia"/>
          <w:b/>
          <w:color w:val="auto"/>
          <w:kern w:val="0"/>
          <w:sz w:val="24"/>
          <w:highlight w:val="none"/>
          <w:lang w:val="zh-CN"/>
        </w:rPr>
        <w:t>报价一览表(单位均为人民币元)</w:t>
      </w:r>
    </w:p>
    <w:tbl>
      <w:tblPr>
        <w:tblStyle w:val="6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438"/>
        <w:gridCol w:w="3293"/>
        <w:gridCol w:w="3499"/>
        <w:gridCol w:w="3293"/>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375" w:type="pct"/>
            <w:vAlign w:val="center"/>
          </w:tcPr>
          <w:p>
            <w:pPr>
              <w:snapToGrid w:val="0"/>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序号</w:t>
            </w:r>
          </w:p>
        </w:tc>
        <w:tc>
          <w:tcPr>
            <w:tcW w:w="455" w:type="pct"/>
            <w:vAlign w:val="center"/>
          </w:tcPr>
          <w:p>
            <w:pPr>
              <w:snapToGrid w:val="0"/>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服务内容</w:t>
            </w:r>
          </w:p>
        </w:tc>
        <w:tc>
          <w:tcPr>
            <w:tcW w:w="1042" w:type="pct"/>
            <w:vAlign w:val="center"/>
          </w:tcPr>
          <w:p>
            <w:pPr>
              <w:snapToGrid w:val="0"/>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数  量</w:t>
            </w:r>
          </w:p>
        </w:tc>
        <w:tc>
          <w:tcPr>
            <w:tcW w:w="1107" w:type="pct"/>
            <w:vAlign w:val="center"/>
          </w:tcPr>
          <w:p>
            <w:pPr>
              <w:snapToGrid w:val="0"/>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单位</w:t>
            </w:r>
          </w:p>
        </w:tc>
        <w:tc>
          <w:tcPr>
            <w:tcW w:w="104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  额</w:t>
            </w:r>
          </w:p>
          <w:p>
            <w:pPr>
              <w:snapToGrid w:val="0"/>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（元）</w:t>
            </w:r>
          </w:p>
        </w:tc>
        <w:tc>
          <w:tcPr>
            <w:tcW w:w="977" w:type="pct"/>
            <w:vAlign w:val="center"/>
          </w:tcPr>
          <w:p>
            <w:pPr>
              <w:snapToGrid w:val="0"/>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Cs/>
                <w:color w:val="auto"/>
                <w:kern w:val="0"/>
                <w:sz w:val="24"/>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5"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p>
        </w:tc>
        <w:tc>
          <w:tcPr>
            <w:tcW w:w="455"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1042"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1107"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1042"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977" w:type="pct"/>
            <w:vAlign w:val="top"/>
          </w:tcPr>
          <w:p>
            <w:pPr>
              <w:snapToGrid w:val="0"/>
              <w:spacing w:line="400" w:lineRule="exact"/>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75"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2</w:t>
            </w:r>
          </w:p>
        </w:tc>
        <w:tc>
          <w:tcPr>
            <w:tcW w:w="455"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1042"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1107"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1042"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977" w:type="pct"/>
            <w:vAlign w:val="top"/>
          </w:tcPr>
          <w:p>
            <w:pPr>
              <w:snapToGrid w:val="0"/>
              <w:spacing w:line="400" w:lineRule="exact"/>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75"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3</w:t>
            </w:r>
          </w:p>
        </w:tc>
        <w:tc>
          <w:tcPr>
            <w:tcW w:w="455"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1042"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1107"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1042"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977" w:type="pct"/>
            <w:vAlign w:val="top"/>
          </w:tcPr>
          <w:p>
            <w:pPr>
              <w:snapToGrid w:val="0"/>
              <w:spacing w:line="400" w:lineRule="exact"/>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000" w:type="pct"/>
            <w:gridSpan w:val="6"/>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人民币合计金额（大写）：                                 小写金额：</w:t>
            </w:r>
          </w:p>
        </w:tc>
      </w:tr>
    </w:tbl>
    <w:p>
      <w:pPr>
        <w:spacing w:line="360" w:lineRule="auto"/>
        <w:ind w:left="-2" w:leftChars="-1"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注：</w:t>
      </w:r>
      <w:r>
        <w:rPr>
          <w:rFonts w:hint="eastAsia" w:cs="仿宋_GB2312"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供应商需按本表格式填写</w:t>
      </w: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响应文件含有采购人不能接受的附加条件，响应无效</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ind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w:t>
      </w:r>
      <w:r>
        <w:rPr>
          <w:rFonts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lang w:val="zh-CN"/>
        </w:rPr>
        <w:t>有关本项目实施所涉及的一切费用均计入报价。</w:t>
      </w:r>
      <w:r>
        <w:rPr>
          <w:rFonts w:hint="eastAsia" w:cs="宋体" w:asciiTheme="minorEastAsia" w:hAnsiTheme="minorEastAsia" w:eastAsiaTheme="minorEastAsia"/>
          <w:b/>
          <w:color w:val="auto"/>
          <w:kern w:val="0"/>
          <w:sz w:val="24"/>
          <w:highlight w:val="none"/>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不得出现“0元”“免费赠送”等形式的无偿报价，</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最后报价文件含有采购人不能接受的附加条件，响应无效</w:t>
      </w:r>
      <w:r>
        <w:rPr>
          <w:rFonts w:hint="eastAsia" w:cs="宋体" w:asciiTheme="minorEastAsia" w:hAnsiTheme="minorEastAsia" w:eastAsiaTheme="minorEastAsia"/>
          <w:b/>
          <w:color w:val="auto"/>
          <w:kern w:val="0"/>
          <w:sz w:val="24"/>
          <w:highlight w:val="none"/>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highlight w:val="none"/>
        </w:rPr>
        <w:t>视为</w:t>
      </w:r>
      <w:r>
        <w:rPr>
          <w:rFonts w:hint="eastAsia" w:cs="宋体" w:asciiTheme="minorEastAsia" w:hAnsiTheme="minorEastAsia" w:eastAsiaTheme="minorEastAsia"/>
          <w:b/>
          <w:color w:val="auto"/>
          <w:sz w:val="24"/>
          <w:highlight w:val="none"/>
        </w:rPr>
        <w:t>响应文件含有采购人不能接受的附加条件的，响应无效。</w:t>
      </w:r>
    </w:p>
    <w:p>
      <w:pPr>
        <w:snapToGrid w:val="0"/>
        <w:spacing w:line="360" w:lineRule="auto"/>
        <w:ind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highlight w:val="none"/>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highlight w:val="none"/>
          <w:lang w:val="zh-CN"/>
        </w:rPr>
        <w:t>。</w:t>
      </w:r>
    </w:p>
    <w:p>
      <w:pPr>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szCs w:val="22"/>
          <w:highlight w:val="none"/>
          <w:lang w:val="zh-CN"/>
        </w:rPr>
        <w:t>4</w:t>
      </w:r>
      <w:r>
        <w:rPr>
          <w:rFonts w:cs="仿宋_GB2312" w:asciiTheme="minorEastAsia" w:hAnsiTheme="minorEastAsia" w:eastAsiaTheme="minorEastAsia"/>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pPr>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5、本项目为北海市推动解决政府采购异常低价试点项目，若供应商磋商报价属于采购文件规定的异常低价情形之一的，应按磋商文件及磋商小组要求在规定时间内提供书面证明及必要的证明材料，否则磋商无效。</w:t>
      </w:r>
    </w:p>
    <w:p>
      <w:pPr>
        <w:pStyle w:val="2"/>
        <w:autoSpaceDE/>
        <w:autoSpaceDN/>
        <w:ind w:firstLine="480" w:firstLineChars="200"/>
        <w:jc w:val="both"/>
        <w:rPr>
          <w:rFonts w:hint="eastAsia" w:cs="仿宋_GB2312" w:asciiTheme="minorEastAsia" w:hAnsiTheme="minorEastAsia" w:eastAsiaTheme="minorEastAsia"/>
          <w:b w:val="0"/>
          <w:color w:val="auto"/>
          <w:szCs w:val="24"/>
          <w:highlight w:val="none"/>
          <w:lang w:val="zh-CN"/>
        </w:rPr>
      </w:pPr>
      <w:r>
        <w:rPr>
          <w:rFonts w:hint="eastAsia" w:cs="仿宋_GB2312" w:asciiTheme="minorEastAsia" w:hAnsiTheme="minorEastAsia" w:eastAsiaTheme="minorEastAsia"/>
          <w:b w:val="0"/>
          <w:color w:val="auto"/>
          <w:kern w:val="0"/>
          <w:sz w:val="24"/>
          <w:szCs w:val="24"/>
          <w:highlight w:val="none"/>
          <w:lang w:val="en-US" w:eastAsia="zh-CN"/>
        </w:rPr>
        <w:t>6</w:t>
      </w:r>
      <w:r>
        <w:rPr>
          <w:rFonts w:hint="eastAsia" w:cs="仿宋_GB2312" w:asciiTheme="minorEastAsia" w:hAnsiTheme="minorEastAsia" w:eastAsiaTheme="minorEastAsia"/>
          <w:b w:val="0"/>
          <w:color w:val="auto"/>
          <w:kern w:val="0"/>
          <w:sz w:val="24"/>
          <w:szCs w:val="24"/>
          <w:highlight w:val="none"/>
          <w:lang w:val="zh-CN"/>
        </w:rPr>
        <w:t>、如有多轮报价，则每轮报价供应商均需按本表格式填写。</w:t>
      </w:r>
    </w:p>
    <w:p>
      <w:pPr>
        <w:spacing w:line="360" w:lineRule="auto"/>
        <w:ind w:right="-874" w:rightChars="-416"/>
        <w:rPr>
          <w:rFonts w:hint="eastAsia" w:cs="仿宋_GB2312" w:asciiTheme="minorEastAsia" w:hAnsiTheme="minorEastAsia" w:eastAsiaTheme="minorEastAsia"/>
          <w:color w:val="auto"/>
          <w:sz w:val="24"/>
          <w:highlight w:val="none"/>
        </w:rPr>
      </w:pPr>
    </w:p>
    <w:p>
      <w:pPr>
        <w:spacing w:line="360" w:lineRule="auto"/>
        <w:ind w:right="-874" w:rightChars="-416"/>
        <w:rPr>
          <w:rFonts w:hint="eastAsia" w:cs="仿宋_GB2312" w:asciiTheme="minorEastAsia" w:hAnsiTheme="minorEastAsia" w:eastAsiaTheme="minorEastAsia"/>
          <w:color w:val="auto"/>
          <w:sz w:val="24"/>
          <w:highlight w:val="none"/>
        </w:rPr>
      </w:pPr>
    </w:p>
    <w:p>
      <w:pPr>
        <w:spacing w:line="360" w:lineRule="auto"/>
        <w:ind w:right="-874" w:rightChars="-416"/>
        <w:rPr>
          <w:rFonts w:hint="eastAsia" w:cs="仿宋_GB2312" w:asciiTheme="minorEastAsia" w:hAnsiTheme="minorEastAsia" w:eastAsiaTheme="minorEastAsia"/>
          <w:color w:val="auto"/>
          <w:sz w:val="24"/>
          <w:highlight w:val="none"/>
        </w:rPr>
      </w:pPr>
    </w:p>
    <w:p>
      <w:pPr>
        <w:autoSpaceDE w:val="0"/>
        <w:autoSpaceDN w:val="0"/>
        <w:spacing w:line="360" w:lineRule="auto"/>
        <w:ind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 xml:space="preserve">磋商供应商名称(公章)： </w:t>
      </w:r>
    </w:p>
    <w:p>
      <w:pPr>
        <w:autoSpaceDE w:val="0"/>
        <w:autoSpaceDN w:val="0"/>
        <w:spacing w:line="360" w:lineRule="auto"/>
        <w:ind w:left="2" w:leftChars="1" w:firstLine="9456" w:firstLineChars="394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firstLine="4920" w:firstLineChars="2050"/>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ind w:right="-874" w:rightChars="-416"/>
        <w:rPr>
          <w:rFonts w:hint="eastAsia" w:cs="仿宋_GB2312" w:asciiTheme="minorEastAsia" w:hAnsiTheme="minorEastAsia" w:eastAsiaTheme="minorEastAsia"/>
          <w:color w:val="auto"/>
          <w:kern w:val="0"/>
          <w:sz w:val="24"/>
          <w:highlight w:val="none"/>
          <w:lang w:val="zh-CN"/>
        </w:rPr>
        <w:sectPr>
          <w:pgSz w:w="16838" w:h="11906" w:orient="landscape"/>
          <w:pgMar w:top="1418" w:right="471" w:bottom="1418" w:left="777" w:header="851" w:footer="992" w:gutter="0"/>
          <w:cols w:space="720" w:num="1"/>
          <w:titlePg/>
          <w:docGrid w:linePitch="312" w:charSpace="0"/>
        </w:sectPr>
      </w:pPr>
    </w:p>
    <w:p>
      <w:pPr>
        <w:widowControl/>
        <w:adjustRightInd/>
        <w:jc w:val="center"/>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101" w:name="_Toc465665161"/>
      <w:r>
        <w:rPr>
          <w:rFonts w:hint="eastAsia" w:asciiTheme="minorEastAsia" w:hAnsiTheme="minorEastAsia" w:eastAsiaTheme="minorEastAsia"/>
          <w:b/>
          <w:color w:val="auto"/>
          <w:sz w:val="32"/>
          <w:szCs w:val="32"/>
          <w:highlight w:val="none"/>
        </w:rPr>
        <w:t>（</w:t>
      </w:r>
      <w:r>
        <w:rPr>
          <w:rFonts w:hint="eastAsia" w:asciiTheme="minorEastAsia" w:hAnsiTheme="minorEastAsia" w:eastAsiaTheme="minorEastAsia"/>
          <w:b/>
          <w:color w:val="auto"/>
          <w:sz w:val="32"/>
          <w:szCs w:val="32"/>
          <w:highlight w:val="none"/>
          <w:lang w:eastAsia="zh-CN"/>
        </w:rPr>
        <w:t>必须提供</w:t>
      </w:r>
      <w:r>
        <w:rPr>
          <w:rFonts w:hint="eastAsia" w:asciiTheme="minorEastAsia" w:hAnsiTheme="minorEastAsia" w:eastAsiaTheme="minorEastAsia"/>
          <w:b/>
          <w:color w:val="auto"/>
          <w:sz w:val="32"/>
          <w:szCs w:val="32"/>
          <w:highlight w:val="none"/>
        </w:rPr>
        <w:t>）</w:t>
      </w:r>
    </w:p>
    <w:p>
      <w:pPr>
        <w:widowControl/>
        <w:spacing w:line="360" w:lineRule="auto"/>
        <w:ind w:firstLine="120" w:firstLineChars="50"/>
        <w:jc w:val="left"/>
        <w:rPr>
          <w:rFonts w:hint="eastAsia" w:cs="宋体" w:asciiTheme="minorEastAsia" w:hAnsiTheme="minorEastAsia" w:eastAsiaTheme="minorEastAsia"/>
          <w:b/>
          <w:color w:val="auto"/>
          <w:sz w:val="24"/>
          <w:highlight w:val="none"/>
        </w:rPr>
      </w:pPr>
    </w:p>
    <w:p>
      <w:pPr>
        <w:widowControl/>
        <w:spacing w:line="360" w:lineRule="auto"/>
        <w:ind w:firstLine="120" w:firstLineChars="50"/>
        <w:jc w:val="left"/>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pPr>
        <w:widowControl/>
        <w:adjustRightInd/>
        <w:jc w:val="center"/>
        <w:rPr>
          <w:rFonts w:hint="eastAsia" w:cs="仿宋_GB2312" w:asciiTheme="minorEastAsia" w:hAnsiTheme="minorEastAsia" w:eastAsiaTheme="minorEastAsia"/>
          <w:color w:val="auto"/>
          <w:sz w:val="24"/>
          <w:highlight w:val="none"/>
        </w:rPr>
      </w:pPr>
    </w:p>
    <w:p>
      <w:pPr>
        <w:widowControl/>
        <w:adjustRightInd/>
        <w:jc w:val="left"/>
        <w:rPr>
          <w:rFonts w:hint="eastAsia"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pPr>
        <w:pStyle w:val="631"/>
        <w:rPr>
          <w:rFonts w:hint="eastAsia"/>
          <w:color w:val="auto"/>
          <w:highlight w:val="none"/>
        </w:rPr>
      </w:pPr>
      <w:r>
        <w:rPr>
          <w:rFonts w:hint="eastAsia"/>
          <w:color w:val="auto"/>
          <w:highlight w:val="none"/>
        </w:rPr>
        <w:t>附件</w:t>
      </w:r>
      <w:bookmarkEnd w:id="101"/>
    </w:p>
    <w:p>
      <w:pPr>
        <w:spacing w:line="360" w:lineRule="auto"/>
        <w:jc w:val="left"/>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pPr>
        <w:spacing w:line="360" w:lineRule="auto"/>
        <w:jc w:val="center"/>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pPr>
        <w:snapToGrid w:val="0"/>
        <w:spacing w:before="240" w:beforeLines="100"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pPr>
        <w:snapToGrid w:val="0"/>
        <w:spacing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rPr>
      </w:pP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hint="eastAsia" w:cs="仿宋_GB2312" w:asciiTheme="minorEastAsia" w:hAnsiTheme="minorEastAsia" w:eastAsiaTheme="minorEastAsia"/>
          <w:color w:val="auto"/>
          <w:sz w:val="30"/>
          <w:szCs w:val="30"/>
          <w:highlight w:val="none"/>
        </w:rPr>
      </w:pPr>
    </w:p>
    <w:p>
      <w:pPr>
        <w:spacing w:line="360" w:lineRule="auto"/>
        <w:jc w:val="left"/>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pPr>
        <w:spacing w:line="360" w:lineRule="auto"/>
        <w:jc w:val="center"/>
        <w:rPr>
          <w:rFonts w:hint="eastAsia" w:cs="仿宋_GB2312" w:asciiTheme="minorEastAsia" w:hAnsiTheme="minorEastAsia" w:eastAsiaTheme="minorEastAsia"/>
          <w:b/>
          <w:color w:val="auto"/>
          <w:sz w:val="24"/>
          <w:highlight w:val="none"/>
        </w:rPr>
      </w:pPr>
    </w:p>
    <w:p>
      <w:pPr>
        <w:spacing w:line="360" w:lineRule="auto"/>
        <w:jc w:val="center"/>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tabs>
          <w:tab w:val="left" w:pos="6510"/>
        </w:tabs>
        <w:spacing w:line="360" w:lineRule="auto"/>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tabs>
          <w:tab w:val="left" w:pos="6510"/>
        </w:tabs>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pPr>
        <w:spacing w:line="360" w:lineRule="auto"/>
        <w:ind w:firstLine="480" w:firstLineChars="200"/>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ind w:firstLine="360" w:firstLineChars="15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hint="eastAsia" w:cs="仿宋_GB2312" w:asciiTheme="minorEastAsia" w:hAnsiTheme="minorEastAsia" w:eastAsiaTheme="minorEastAsia"/>
          <w:b/>
          <w:color w:val="auto"/>
          <w:sz w:val="24"/>
          <w:highlight w:val="none"/>
        </w:rPr>
      </w:pPr>
    </w:p>
    <w:p>
      <w:pPr>
        <w:spacing w:line="360" w:lineRule="auto"/>
        <w:rPr>
          <w:rFonts w:hint="eastAsia" w:cs="仿宋_GB2312" w:asciiTheme="minorEastAsia" w:hAnsiTheme="minorEastAsia" w:eastAsiaTheme="minorEastAsia"/>
          <w:b/>
          <w:color w:val="auto"/>
          <w:sz w:val="24"/>
          <w:highlight w:val="none"/>
        </w:rPr>
      </w:pPr>
    </w:p>
    <w:p>
      <w:pPr>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pPr>
        <w:widowControl/>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pPr>
        <w:widowControl/>
        <w:spacing w:line="360" w:lineRule="auto"/>
        <w:ind w:firstLine="480" w:firstLineChars="200"/>
        <w:jc w:val="left"/>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pPr>
        <w:rPr>
          <w:rFonts w:hint="eastAsia" w:cs="仿宋_GB2312" w:asciiTheme="minorEastAsia" w:hAnsiTheme="minorEastAsia" w:eastAsiaTheme="minorEastAsia"/>
          <w:b/>
          <w:color w:val="auto"/>
          <w:sz w:val="24"/>
          <w:highlight w:val="none"/>
        </w:rPr>
      </w:pPr>
    </w:p>
    <w:p>
      <w:pPr>
        <w:widowControl/>
        <w:adjustRightInd/>
        <w:jc w:val="left"/>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pPr>
        <w:spacing w:line="360" w:lineRule="auto"/>
        <w:jc w:val="left"/>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pPr>
        <w:spacing w:line="360" w:lineRule="auto"/>
        <w:rPr>
          <w:rFonts w:hint="eastAsia" w:asciiTheme="minorEastAsia" w:hAnsiTheme="minorEastAsia" w:eastAsiaTheme="minorEastAsia"/>
          <w:b/>
          <w:color w:val="auto"/>
          <w:spacing w:val="6"/>
          <w:sz w:val="32"/>
          <w:szCs w:val="32"/>
          <w:highlight w:val="none"/>
        </w:rPr>
      </w:pPr>
    </w:p>
    <w:p>
      <w:pPr>
        <w:spacing w:line="360" w:lineRule="auto"/>
        <w:jc w:val="center"/>
        <w:rPr>
          <w:rFonts w:hint="eastAsia"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pPr>
        <w:spacing w:line="360" w:lineRule="auto"/>
        <w:rPr>
          <w:rFonts w:hint="eastAsia" w:asciiTheme="minorEastAsia" w:hAnsiTheme="minorEastAsia" w:eastAsiaTheme="minorEastAsia"/>
          <w:b/>
          <w:color w:val="auto"/>
          <w:spacing w:val="6"/>
          <w:sz w:val="30"/>
          <w:szCs w:val="30"/>
          <w:highlight w:val="none"/>
        </w:rPr>
      </w:pPr>
    </w:p>
    <w:p>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pPr>
        <w:spacing w:line="360" w:lineRule="auto"/>
        <w:ind w:firstLine="480" w:firstLineChars="200"/>
        <w:rPr>
          <w:rFonts w:hint="eastAsia" w:cs="仿宋_GB2312" w:asciiTheme="minorEastAsia" w:hAnsiTheme="minorEastAsia" w:eastAsiaTheme="minorEastAsia"/>
          <w:color w:val="auto"/>
          <w:sz w:val="24"/>
          <w:highlight w:val="none"/>
        </w:rPr>
      </w:pPr>
    </w:p>
    <w:p>
      <w:pPr>
        <w:spacing w:line="360" w:lineRule="auto"/>
        <w:ind w:firstLine="480" w:firstLineChars="200"/>
        <w:rPr>
          <w:rFonts w:hint="eastAsia" w:cs="仿宋_GB2312" w:asciiTheme="minorEastAsia" w:hAnsiTheme="minorEastAsia" w:eastAsiaTheme="minorEastAsia"/>
          <w:color w:val="auto"/>
          <w:sz w:val="24"/>
          <w:highlight w:val="none"/>
        </w:rPr>
      </w:pPr>
    </w:p>
    <w:p>
      <w:pPr>
        <w:tabs>
          <w:tab w:val="left" w:pos="4860"/>
        </w:tabs>
        <w:spacing w:line="360" w:lineRule="auto"/>
        <w:ind w:right="1560" w:firstLine="480" w:firstLineChars="200"/>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sz w:val="24"/>
          <w:highlight w:val="none"/>
        </w:rPr>
        <w:t>：</w:t>
      </w:r>
    </w:p>
    <w:p>
      <w:pPr>
        <w:tabs>
          <w:tab w:val="left" w:pos="4860"/>
        </w:tabs>
        <w:spacing w:line="360" w:lineRule="auto"/>
        <w:ind w:right="1560" w:firstLine="480" w:firstLineChars="200"/>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pPr>
        <w:spacing w:line="360" w:lineRule="auto"/>
        <w:ind w:firstLine="480" w:firstLineChars="200"/>
        <w:rPr>
          <w:rFonts w:hint="eastAsia" w:cs="仿宋_GB2312" w:asciiTheme="minorEastAsia" w:hAnsiTheme="minorEastAsia" w:eastAsiaTheme="minorEastAsia"/>
          <w:color w:val="auto"/>
          <w:sz w:val="24"/>
          <w:highlight w:val="none"/>
        </w:rPr>
      </w:pPr>
    </w:p>
    <w:p>
      <w:pPr>
        <w:widowControl/>
        <w:adjustRightInd/>
        <w:jc w:val="left"/>
        <w:rPr>
          <w:rFonts w:hint="eastAsia"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autoSpaceDE w:val="0"/>
        <w:autoSpaceDN w:val="0"/>
        <w:jc w:val="left"/>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pPr>
        <w:spacing w:line="360" w:lineRule="auto"/>
        <w:jc w:val="left"/>
        <w:rPr>
          <w:rFonts w:hint="eastAsia" w:cs="仿宋_GB2312" w:asciiTheme="minorEastAsia" w:hAnsiTheme="minorEastAsia" w:eastAsiaTheme="minorEastAsia"/>
          <w:b/>
          <w:color w:val="auto"/>
          <w:sz w:val="24"/>
          <w:highlight w:val="none"/>
        </w:rPr>
      </w:pPr>
    </w:p>
    <w:p>
      <w:pPr>
        <w:autoSpaceDE w:val="0"/>
        <w:autoSpaceDN w:val="0"/>
        <w:jc w:val="center"/>
        <w:rPr>
          <w:rFonts w:hint="eastAsia"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pPr>
        <w:autoSpaceDE w:val="0"/>
        <w:autoSpaceDN w:val="0"/>
        <w:jc w:val="center"/>
        <w:rPr>
          <w:rFonts w:hint="eastAsia" w:asciiTheme="minorEastAsia" w:hAnsiTheme="minorEastAsia" w:eastAsiaTheme="minorEastAsia"/>
          <w:b/>
          <w:bCs/>
          <w:color w:val="auto"/>
          <w:sz w:val="32"/>
          <w:szCs w:val="32"/>
          <w:highlight w:val="none"/>
        </w:rPr>
      </w:pPr>
    </w:p>
    <w:p>
      <w:pPr>
        <w:spacing w:line="360" w:lineRule="auto"/>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pPr>
        <w:spacing w:line="360" w:lineRule="auto"/>
        <w:ind w:firstLine="494"/>
        <w:rPr>
          <w:rFonts w:hint="eastAsia" w:cs="宋体" w:asciiTheme="minorEastAsia" w:hAnsiTheme="minorEastAsia" w:eastAsiaTheme="minorEastAsia"/>
          <w:color w:val="auto"/>
          <w:sz w:val="24"/>
          <w:highlight w:val="none"/>
        </w:rPr>
      </w:pPr>
    </w:p>
    <w:p>
      <w:pPr>
        <w:spacing w:line="360" w:lineRule="auto"/>
        <w:ind w:firstLine="494"/>
        <w:rPr>
          <w:rFonts w:hint="eastAsia" w:cs="宋体" w:asciiTheme="minorEastAsia" w:hAnsiTheme="minorEastAsia" w:eastAsiaTheme="minorEastAsia"/>
          <w:color w:val="auto"/>
          <w:sz w:val="24"/>
          <w:highlight w:val="none"/>
        </w:rPr>
      </w:pPr>
    </w:p>
    <w:p>
      <w:pPr>
        <w:spacing w:line="360" w:lineRule="auto"/>
        <w:ind w:firstLine="494"/>
        <w:rPr>
          <w:rFonts w:hint="eastAsia" w:cs="宋体" w:asciiTheme="minorEastAsia" w:hAnsiTheme="minorEastAsia" w:eastAsiaTheme="minorEastAsia"/>
          <w:color w:val="auto"/>
          <w:sz w:val="24"/>
          <w:highlight w:val="none"/>
        </w:rPr>
      </w:pPr>
    </w:p>
    <w:p>
      <w:pPr>
        <w:spacing w:line="360" w:lineRule="auto"/>
        <w:ind w:firstLine="494"/>
        <w:rPr>
          <w:rFonts w:hint="eastAsia" w:cs="宋体" w:asciiTheme="minorEastAsia" w:hAnsiTheme="minorEastAsia" w:eastAsiaTheme="minorEastAsia"/>
          <w:color w:val="auto"/>
          <w:sz w:val="24"/>
          <w:highlight w:val="none"/>
        </w:rPr>
      </w:pPr>
    </w:p>
    <w:p>
      <w:pPr>
        <w:spacing w:line="360" w:lineRule="auto"/>
        <w:ind w:right="482" w:firstLine="4080" w:firstLineChars="17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pPr>
        <w:spacing w:line="360" w:lineRule="auto"/>
        <w:ind w:right="482" w:firstLine="4080" w:firstLineChars="17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pP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pPr>
        <w:spacing w:line="360" w:lineRule="auto"/>
        <w:rPr>
          <w:rFonts w:hint="eastAsia"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264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2816"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366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rPr>
      </w:pPr>
    </w:p>
    <w:p>
      <w:pPr>
        <w:snapToGrid w:val="0"/>
        <w:spacing w:line="360" w:lineRule="auto"/>
        <w:jc w:val="center"/>
        <w:rPr>
          <w:rFonts w:hint="eastAsia" w:cs="仿宋_GB2312" w:asciiTheme="minorEastAsia" w:hAnsiTheme="minorEastAsia" w:eastAsiaTheme="minorEastAsia"/>
          <w:b/>
          <w:color w:val="auto"/>
          <w:sz w:val="24"/>
          <w:highlight w:val="none"/>
        </w:rPr>
      </w:pPr>
    </w:p>
    <w:p>
      <w:pPr>
        <w:widowControl/>
        <w:adjustRightInd/>
        <w:jc w:val="left"/>
        <w:rPr>
          <w:rFonts w:hint="eastAsia"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pPr>
        <w:autoSpaceDE w:val="0"/>
        <w:autoSpaceDN w:val="0"/>
        <w:jc w:val="left"/>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pPr>
        <w:spacing w:line="360" w:lineRule="auto"/>
        <w:jc w:val="center"/>
        <w:rPr>
          <w:rFonts w:hint="eastAsia" w:cs="宋体" w:asciiTheme="minorEastAsia" w:hAnsiTheme="minorEastAsia" w:eastAsiaTheme="minorEastAsia"/>
          <w:b/>
          <w:color w:val="auto"/>
          <w:sz w:val="32"/>
          <w:szCs w:val="32"/>
          <w:highlight w:val="none"/>
        </w:rPr>
      </w:pPr>
    </w:p>
    <w:p>
      <w:pPr>
        <w:adjustRightInd/>
        <w:spacing w:line="360" w:lineRule="auto"/>
        <w:jc w:val="center"/>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pPr>
        <w:spacing w:line="360" w:lineRule="auto"/>
        <w:jc w:val="center"/>
        <w:rPr>
          <w:rFonts w:hint="eastAsia" w:cs="宋体" w:asciiTheme="minorEastAsia" w:hAnsiTheme="minorEastAsia" w:eastAsiaTheme="minorEastAsia"/>
          <w:b/>
          <w:color w:val="auto"/>
          <w:sz w:val="32"/>
          <w:szCs w:val="32"/>
          <w:highlight w:val="none"/>
        </w:rPr>
      </w:pPr>
    </w:p>
    <w:p>
      <w:pPr>
        <w:spacing w:line="360" w:lineRule="auto"/>
        <w:ind w:firstLine="360" w:firstLineChars="15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pPr>
        <w:spacing w:line="360" w:lineRule="auto"/>
        <w:ind w:right="1760"/>
        <w:jc w:val="right"/>
        <w:rPr>
          <w:rFonts w:hint="eastAsia"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宋体" w:asciiTheme="minorEastAsia" w:hAnsiTheme="minorEastAsia" w:eastAsiaTheme="minorEastAsia"/>
          <w:color w:val="auto"/>
          <w:sz w:val="24"/>
          <w:highlight w:val="none"/>
        </w:rPr>
        <w:t>：</w:t>
      </w:r>
    </w:p>
    <w:p>
      <w:pPr>
        <w:spacing w:line="360" w:lineRule="auto"/>
        <w:ind w:right="1120" w:firstLine="4680" w:firstLineChars="195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pPr>
        <w:spacing w:line="360" w:lineRule="auto"/>
        <w:ind w:right="42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pPr>
        <w:spacing w:line="360" w:lineRule="auto"/>
        <w:ind w:right="42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hint="eastAsia" w:cs="仿宋_GB2312" w:asciiTheme="minorEastAsia" w:hAnsiTheme="minorEastAsia" w:eastAsiaTheme="minorEastAsia"/>
          <w:b/>
          <w:color w:val="auto"/>
          <w:sz w:val="24"/>
          <w:highlight w:val="none"/>
        </w:rPr>
      </w:pPr>
    </w:p>
    <w:p>
      <w:pPr>
        <w:spacing w:line="360" w:lineRule="auto"/>
        <w:ind w:firstLine="482" w:firstLineChars="200"/>
        <w:rPr>
          <w:rFonts w:hint="eastAsia" w:cs="仿宋_GB2312" w:asciiTheme="minorEastAsia" w:hAnsiTheme="minorEastAsia" w:eastAsiaTheme="minorEastAsia"/>
          <w:b/>
          <w:color w:val="auto"/>
          <w:sz w:val="24"/>
          <w:highlight w:val="none"/>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4"/>
      </w:rPr>
    </w:pPr>
    <w:r>
      <w:fldChar w:fldCharType="begin"/>
    </w:r>
    <w:r>
      <w:rPr>
        <w:rStyle w:val="64"/>
      </w:rPr>
      <w:instrText xml:space="preserve">PAGE  </w:instrText>
    </w:r>
    <w:r>
      <w:fldChar w:fldCharType="end"/>
    </w:r>
  </w:p>
  <w:p>
    <w:pPr>
      <w:pStyle w:val="3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Fonts w:ascii="仿宋_GB2312" w:eastAsia="仿宋_GB2312"/>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4"/>
      </w:rPr>
    </w:pPr>
    <w:r>
      <w:fldChar w:fldCharType="begin"/>
    </w:r>
    <w:r>
      <w:rPr>
        <w:rStyle w:val="64"/>
      </w:rPr>
      <w:instrText xml:space="preserve">PAGE  </w:instrText>
    </w:r>
    <w:r>
      <w:fldChar w:fldCharType="end"/>
    </w:r>
  </w:p>
  <w:p>
    <w:pPr>
      <w:pStyle w:val="3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bookmarkStart w:id="102" w:name="_Toc91899912"/>
    <w:bookmarkStart w:id="103" w:name="_Toc131845147"/>
    <w:bookmarkStart w:id="104" w:name="_Toc36110187"/>
    <w:bookmarkStart w:id="105" w:name="_Toc164085800"/>
    <w:r>
      <w:rPr>
        <w:rFonts w:hint="eastAsia" w:ascii="仿宋_GB2312" w:eastAsia="仿宋_GB2312"/>
        <w:kern w:val="0"/>
        <w:sz w:val="21"/>
        <w:szCs w:val="21"/>
      </w:rPr>
      <w:t xml:space="preserve"> 页</w:t>
    </w:r>
    <w:bookmarkEnd w:id="102"/>
    <w:bookmarkEnd w:id="103"/>
    <w:bookmarkEnd w:id="104"/>
    <w:bookmarkEnd w:id="105"/>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ascii="仿宋_GB2312" w:eastAsia="仿宋_GB2312"/>
        <w:b w:val="0"/>
        <w:sz w:val="21"/>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jc w:val="both"/>
      <w:rPr>
        <w:rFonts w:eastAsia="仿宋_GB2312"/>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jc w:val="both"/>
      <w:rPr>
        <w:rFonts w:eastAsia="仿宋_GB2312"/>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jc w:val="both"/>
      <w:rPr>
        <w:rFonts w:eastAsia="仿宋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38D5FFB1"/>
    <w:multiLevelType w:val="singleLevel"/>
    <w:tmpl w:val="38D5FFB1"/>
    <w:lvl w:ilvl="0" w:tentative="0">
      <w:start w:val="1"/>
      <w:numFmt w:val="decimal"/>
      <w:suff w:val="nothing"/>
      <w:lvlText w:val="%1、"/>
      <w:lvlJc w:val="left"/>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68FFAAC6"/>
    <w:multiLevelType w:val="singleLevel"/>
    <w:tmpl w:val="68FFAAC6"/>
    <w:lvl w:ilvl="0" w:tentative="0">
      <w:start w:val="1"/>
      <w:numFmt w:val="decimal"/>
      <w:suff w:val="nothing"/>
      <w:lvlText w:val="%1、"/>
      <w:lvlJc w:val="left"/>
    </w:lvl>
  </w:abstractNum>
  <w:abstractNum w:abstractNumId="9">
    <w:nsid w:val="6D142147"/>
    <w:multiLevelType w:val="singleLevel"/>
    <w:tmpl w:val="6D142147"/>
    <w:lvl w:ilvl="0" w:tentative="0">
      <w:start w:val="1"/>
      <w:numFmt w:val="decimal"/>
      <w:suff w:val="nothing"/>
      <w:lvlText w:val="%1、"/>
      <w:lvlJc w:val="left"/>
    </w:lvl>
  </w:abstractNum>
  <w:abstractNum w:abstractNumId="10">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
    <w:nsid w:val="7D5F4524"/>
    <w:multiLevelType w:val="singleLevel"/>
    <w:tmpl w:val="7D5F4524"/>
    <w:lvl w:ilvl="0" w:tentative="0">
      <w:start w:val="1"/>
      <w:numFmt w:val="decimal"/>
      <w:suff w:val="nothing"/>
      <w:lvlText w:val="%1、"/>
      <w:lvlJc w:val="left"/>
    </w:lvl>
  </w:abstractNum>
  <w:num w:numId="1">
    <w:abstractNumId w:val="4"/>
  </w:num>
  <w:num w:numId="2">
    <w:abstractNumId w:val="2"/>
  </w:num>
  <w:num w:numId="3">
    <w:abstractNumId w:val="0"/>
  </w:num>
  <w:num w:numId="4">
    <w:abstractNumId w:val="1"/>
  </w:num>
  <w:num w:numId="5">
    <w:abstractNumId w:val="7"/>
  </w:num>
  <w:num w:numId="6">
    <w:abstractNumId w:val="10"/>
  </w:num>
  <w:num w:numId="7">
    <w:abstractNumId w:val="5"/>
  </w:num>
  <w:num w:numId="8">
    <w:abstractNumId w:val="11"/>
  </w:num>
  <w:num w:numId="9">
    <w:abstractNumId w:val="8"/>
  </w:num>
  <w:num w:numId="10">
    <w:abstractNumId w:val="9"/>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jZDdlZTgyNDM5MTU0YmM3NzA2Y2EwNTAxZDc0YmEifQ=="/>
  </w:docVars>
  <w:rsids>
    <w:rsidRoot w:val="00172A27"/>
    <w:rsid w:val="0000133D"/>
    <w:rsid w:val="0000488B"/>
    <w:rsid w:val="00005CAC"/>
    <w:rsid w:val="00005E5F"/>
    <w:rsid w:val="00006109"/>
    <w:rsid w:val="00006725"/>
    <w:rsid w:val="0000675E"/>
    <w:rsid w:val="00007CAA"/>
    <w:rsid w:val="00010FE9"/>
    <w:rsid w:val="0001122F"/>
    <w:rsid w:val="00012BE8"/>
    <w:rsid w:val="00013F31"/>
    <w:rsid w:val="000149B3"/>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37D30"/>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ED8"/>
    <w:rsid w:val="0009145F"/>
    <w:rsid w:val="00091B4E"/>
    <w:rsid w:val="00091D89"/>
    <w:rsid w:val="00092FE9"/>
    <w:rsid w:val="00094342"/>
    <w:rsid w:val="00094E92"/>
    <w:rsid w:val="000960BA"/>
    <w:rsid w:val="0009662A"/>
    <w:rsid w:val="000A1A52"/>
    <w:rsid w:val="000A1F98"/>
    <w:rsid w:val="000A23CE"/>
    <w:rsid w:val="000A2C30"/>
    <w:rsid w:val="000A49BB"/>
    <w:rsid w:val="000A4C67"/>
    <w:rsid w:val="000A5674"/>
    <w:rsid w:val="000A5A46"/>
    <w:rsid w:val="000B0E04"/>
    <w:rsid w:val="000B3E3E"/>
    <w:rsid w:val="000B4938"/>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273"/>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3A87"/>
    <w:rsid w:val="00114847"/>
    <w:rsid w:val="0011585B"/>
    <w:rsid w:val="00115B1A"/>
    <w:rsid w:val="001168F8"/>
    <w:rsid w:val="001224AB"/>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062"/>
    <w:rsid w:val="001524DC"/>
    <w:rsid w:val="001525E5"/>
    <w:rsid w:val="00153859"/>
    <w:rsid w:val="00153ED0"/>
    <w:rsid w:val="00155A91"/>
    <w:rsid w:val="00157432"/>
    <w:rsid w:val="00160BE5"/>
    <w:rsid w:val="00161185"/>
    <w:rsid w:val="00161853"/>
    <w:rsid w:val="00161C7D"/>
    <w:rsid w:val="00162E0E"/>
    <w:rsid w:val="00162FD8"/>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0E85"/>
    <w:rsid w:val="001C10BD"/>
    <w:rsid w:val="001C1B4A"/>
    <w:rsid w:val="001C1F01"/>
    <w:rsid w:val="001C2076"/>
    <w:rsid w:val="001C232F"/>
    <w:rsid w:val="001C31F5"/>
    <w:rsid w:val="001C44BC"/>
    <w:rsid w:val="001C5885"/>
    <w:rsid w:val="001C6698"/>
    <w:rsid w:val="001D1D55"/>
    <w:rsid w:val="001D21EF"/>
    <w:rsid w:val="001D330D"/>
    <w:rsid w:val="001D4AD3"/>
    <w:rsid w:val="001D5A94"/>
    <w:rsid w:val="001E1ABC"/>
    <w:rsid w:val="001E59FB"/>
    <w:rsid w:val="001E5AF5"/>
    <w:rsid w:val="001E787E"/>
    <w:rsid w:val="001F087C"/>
    <w:rsid w:val="001F0DA4"/>
    <w:rsid w:val="001F0FD1"/>
    <w:rsid w:val="001F1F18"/>
    <w:rsid w:val="001F2F92"/>
    <w:rsid w:val="001F6095"/>
    <w:rsid w:val="00200E37"/>
    <w:rsid w:val="00201EE3"/>
    <w:rsid w:val="00202D33"/>
    <w:rsid w:val="00202F99"/>
    <w:rsid w:val="00203BF7"/>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496B"/>
    <w:rsid w:val="00245269"/>
    <w:rsid w:val="00247422"/>
    <w:rsid w:val="00247B53"/>
    <w:rsid w:val="00247BA2"/>
    <w:rsid w:val="00251CB4"/>
    <w:rsid w:val="00252862"/>
    <w:rsid w:val="00252C7E"/>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84D"/>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1F56"/>
    <w:rsid w:val="002C22FD"/>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C24"/>
    <w:rsid w:val="002F6EFF"/>
    <w:rsid w:val="002F7DF0"/>
    <w:rsid w:val="002F7FAF"/>
    <w:rsid w:val="00300AFA"/>
    <w:rsid w:val="00301A22"/>
    <w:rsid w:val="00302783"/>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3B6"/>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3D24"/>
    <w:rsid w:val="003944EA"/>
    <w:rsid w:val="00394639"/>
    <w:rsid w:val="003962E6"/>
    <w:rsid w:val="00396831"/>
    <w:rsid w:val="003A03EF"/>
    <w:rsid w:val="003A12B6"/>
    <w:rsid w:val="003A20D5"/>
    <w:rsid w:val="003A24CC"/>
    <w:rsid w:val="003A2EE8"/>
    <w:rsid w:val="003A373C"/>
    <w:rsid w:val="003A3E10"/>
    <w:rsid w:val="003A52DB"/>
    <w:rsid w:val="003A5378"/>
    <w:rsid w:val="003A5567"/>
    <w:rsid w:val="003A7E2B"/>
    <w:rsid w:val="003A7E40"/>
    <w:rsid w:val="003B0336"/>
    <w:rsid w:val="003B0A3A"/>
    <w:rsid w:val="003B4810"/>
    <w:rsid w:val="003B514E"/>
    <w:rsid w:val="003B5E0A"/>
    <w:rsid w:val="003B613B"/>
    <w:rsid w:val="003B6277"/>
    <w:rsid w:val="003B636A"/>
    <w:rsid w:val="003B6AF1"/>
    <w:rsid w:val="003B7D14"/>
    <w:rsid w:val="003C011C"/>
    <w:rsid w:val="003C435B"/>
    <w:rsid w:val="003C4EBE"/>
    <w:rsid w:val="003C685A"/>
    <w:rsid w:val="003C6B25"/>
    <w:rsid w:val="003C6E9C"/>
    <w:rsid w:val="003C781B"/>
    <w:rsid w:val="003C7F12"/>
    <w:rsid w:val="003D03D6"/>
    <w:rsid w:val="003D04C3"/>
    <w:rsid w:val="003D0952"/>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3696"/>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63E8"/>
    <w:rsid w:val="00457CF7"/>
    <w:rsid w:val="00457D37"/>
    <w:rsid w:val="00460E68"/>
    <w:rsid w:val="00461F80"/>
    <w:rsid w:val="0046240D"/>
    <w:rsid w:val="00462C96"/>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783"/>
    <w:rsid w:val="00492B76"/>
    <w:rsid w:val="0049333E"/>
    <w:rsid w:val="0049418F"/>
    <w:rsid w:val="00495DC6"/>
    <w:rsid w:val="00497AAD"/>
    <w:rsid w:val="00497D1A"/>
    <w:rsid w:val="00497EE7"/>
    <w:rsid w:val="004A1DBC"/>
    <w:rsid w:val="004A1EA7"/>
    <w:rsid w:val="004A2C96"/>
    <w:rsid w:val="004A4125"/>
    <w:rsid w:val="004A4689"/>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3BE2"/>
    <w:rsid w:val="004D54A4"/>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27D0"/>
    <w:rsid w:val="00554C03"/>
    <w:rsid w:val="005550F9"/>
    <w:rsid w:val="0055525C"/>
    <w:rsid w:val="00556386"/>
    <w:rsid w:val="00556441"/>
    <w:rsid w:val="00561903"/>
    <w:rsid w:val="00561A9B"/>
    <w:rsid w:val="00562FB1"/>
    <w:rsid w:val="00563068"/>
    <w:rsid w:val="00563380"/>
    <w:rsid w:val="00564DA7"/>
    <w:rsid w:val="00564EFA"/>
    <w:rsid w:val="00565204"/>
    <w:rsid w:val="00565473"/>
    <w:rsid w:val="00565DAC"/>
    <w:rsid w:val="00565F0D"/>
    <w:rsid w:val="005662DC"/>
    <w:rsid w:val="00566329"/>
    <w:rsid w:val="005701C2"/>
    <w:rsid w:val="0057117C"/>
    <w:rsid w:val="005725F4"/>
    <w:rsid w:val="00573560"/>
    <w:rsid w:val="0057438C"/>
    <w:rsid w:val="00574E7B"/>
    <w:rsid w:val="00575D34"/>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97818"/>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D7EE1"/>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075B6"/>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1984"/>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38E9"/>
    <w:rsid w:val="006945A1"/>
    <w:rsid w:val="00694982"/>
    <w:rsid w:val="00695EAC"/>
    <w:rsid w:val="00697062"/>
    <w:rsid w:val="006971F8"/>
    <w:rsid w:val="00697D5F"/>
    <w:rsid w:val="006A060C"/>
    <w:rsid w:val="006A150D"/>
    <w:rsid w:val="006A1526"/>
    <w:rsid w:val="006A39D0"/>
    <w:rsid w:val="006A4321"/>
    <w:rsid w:val="006A5186"/>
    <w:rsid w:val="006A61EE"/>
    <w:rsid w:val="006B0580"/>
    <w:rsid w:val="006B0F30"/>
    <w:rsid w:val="006B1D06"/>
    <w:rsid w:val="006B2823"/>
    <w:rsid w:val="006B33DB"/>
    <w:rsid w:val="006B4CF8"/>
    <w:rsid w:val="006B5FBC"/>
    <w:rsid w:val="006B6ED2"/>
    <w:rsid w:val="006C0230"/>
    <w:rsid w:val="006C09CC"/>
    <w:rsid w:val="006C09F4"/>
    <w:rsid w:val="006C3EFE"/>
    <w:rsid w:val="006C53F3"/>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68D7"/>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0B39"/>
    <w:rsid w:val="00751073"/>
    <w:rsid w:val="00752188"/>
    <w:rsid w:val="0075281E"/>
    <w:rsid w:val="00752A7F"/>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A6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DDC"/>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035"/>
    <w:rsid w:val="0082417A"/>
    <w:rsid w:val="008241F0"/>
    <w:rsid w:val="0082427D"/>
    <w:rsid w:val="00824785"/>
    <w:rsid w:val="00824CB7"/>
    <w:rsid w:val="0082646C"/>
    <w:rsid w:val="008270CE"/>
    <w:rsid w:val="00827E2A"/>
    <w:rsid w:val="00827E3D"/>
    <w:rsid w:val="00830052"/>
    <w:rsid w:val="008300D0"/>
    <w:rsid w:val="0083257C"/>
    <w:rsid w:val="00832755"/>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0115"/>
    <w:rsid w:val="008A2F5A"/>
    <w:rsid w:val="008A39EB"/>
    <w:rsid w:val="008A47CE"/>
    <w:rsid w:val="008A5CBF"/>
    <w:rsid w:val="008A6BAE"/>
    <w:rsid w:val="008A7350"/>
    <w:rsid w:val="008B16E6"/>
    <w:rsid w:val="008B18AA"/>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1CC"/>
    <w:rsid w:val="0090079D"/>
    <w:rsid w:val="00900D2C"/>
    <w:rsid w:val="00901F0E"/>
    <w:rsid w:val="0090408F"/>
    <w:rsid w:val="0090446A"/>
    <w:rsid w:val="00904DC3"/>
    <w:rsid w:val="00905469"/>
    <w:rsid w:val="0090629C"/>
    <w:rsid w:val="009065C6"/>
    <w:rsid w:val="00906EA2"/>
    <w:rsid w:val="00907278"/>
    <w:rsid w:val="009128B8"/>
    <w:rsid w:val="0091328F"/>
    <w:rsid w:val="00913B4A"/>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2DFE"/>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AA"/>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165"/>
    <w:rsid w:val="00A61B91"/>
    <w:rsid w:val="00A62864"/>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875B4"/>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B7EF8"/>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07176"/>
    <w:rsid w:val="00B10B04"/>
    <w:rsid w:val="00B10CC6"/>
    <w:rsid w:val="00B11AE4"/>
    <w:rsid w:val="00B12082"/>
    <w:rsid w:val="00B13150"/>
    <w:rsid w:val="00B13389"/>
    <w:rsid w:val="00B1364C"/>
    <w:rsid w:val="00B141A5"/>
    <w:rsid w:val="00B14CC6"/>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38A1"/>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1C68"/>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7E1"/>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13F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5FA0"/>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6E64"/>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1209"/>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0130"/>
    <w:rsid w:val="00D01590"/>
    <w:rsid w:val="00D030C1"/>
    <w:rsid w:val="00D0336E"/>
    <w:rsid w:val="00D04F01"/>
    <w:rsid w:val="00D04F8B"/>
    <w:rsid w:val="00D054EF"/>
    <w:rsid w:val="00D05637"/>
    <w:rsid w:val="00D05BA9"/>
    <w:rsid w:val="00D06E71"/>
    <w:rsid w:val="00D0764E"/>
    <w:rsid w:val="00D07D82"/>
    <w:rsid w:val="00D1094E"/>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84"/>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3D18"/>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B69"/>
    <w:rsid w:val="00E97F7A"/>
    <w:rsid w:val="00EA0143"/>
    <w:rsid w:val="00EA089B"/>
    <w:rsid w:val="00EA2638"/>
    <w:rsid w:val="00EA2E21"/>
    <w:rsid w:val="00EA380C"/>
    <w:rsid w:val="00EA47B5"/>
    <w:rsid w:val="00EA4C84"/>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508"/>
    <w:rsid w:val="00F419B8"/>
    <w:rsid w:val="00F41C0F"/>
    <w:rsid w:val="00F41C84"/>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41D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2DA0C0E"/>
    <w:rsid w:val="03DD35E4"/>
    <w:rsid w:val="057378BD"/>
    <w:rsid w:val="065A6178"/>
    <w:rsid w:val="075562B7"/>
    <w:rsid w:val="07F6164B"/>
    <w:rsid w:val="087A1B7A"/>
    <w:rsid w:val="08D21C83"/>
    <w:rsid w:val="096B2097"/>
    <w:rsid w:val="0A5B7E63"/>
    <w:rsid w:val="0A945D6F"/>
    <w:rsid w:val="0AE55761"/>
    <w:rsid w:val="0BA332B2"/>
    <w:rsid w:val="0C87121B"/>
    <w:rsid w:val="0DF702FE"/>
    <w:rsid w:val="0E3F698B"/>
    <w:rsid w:val="0F21508F"/>
    <w:rsid w:val="0F816ACD"/>
    <w:rsid w:val="0FB94501"/>
    <w:rsid w:val="10B047CF"/>
    <w:rsid w:val="10FC16EA"/>
    <w:rsid w:val="117B2484"/>
    <w:rsid w:val="118963A1"/>
    <w:rsid w:val="127723A9"/>
    <w:rsid w:val="12FA3E4F"/>
    <w:rsid w:val="13072A44"/>
    <w:rsid w:val="145044FA"/>
    <w:rsid w:val="16304CE1"/>
    <w:rsid w:val="175245F6"/>
    <w:rsid w:val="186742B0"/>
    <w:rsid w:val="187F096C"/>
    <w:rsid w:val="194D19D1"/>
    <w:rsid w:val="195245AB"/>
    <w:rsid w:val="1A423204"/>
    <w:rsid w:val="1B2A271F"/>
    <w:rsid w:val="1B890139"/>
    <w:rsid w:val="1D266CE1"/>
    <w:rsid w:val="1D3963AF"/>
    <w:rsid w:val="1E2E469B"/>
    <w:rsid w:val="1E714A66"/>
    <w:rsid w:val="1FE868A9"/>
    <w:rsid w:val="211E26D6"/>
    <w:rsid w:val="21283D08"/>
    <w:rsid w:val="245F5FE8"/>
    <w:rsid w:val="25B440B3"/>
    <w:rsid w:val="26A12BEB"/>
    <w:rsid w:val="272917D9"/>
    <w:rsid w:val="27646D45"/>
    <w:rsid w:val="27EF325A"/>
    <w:rsid w:val="2AA1365A"/>
    <w:rsid w:val="2BDC12DF"/>
    <w:rsid w:val="2DD15014"/>
    <w:rsid w:val="2FD25781"/>
    <w:rsid w:val="313A5EF4"/>
    <w:rsid w:val="319C6071"/>
    <w:rsid w:val="32DB72BE"/>
    <w:rsid w:val="339431D7"/>
    <w:rsid w:val="342E63AB"/>
    <w:rsid w:val="34574366"/>
    <w:rsid w:val="345D260B"/>
    <w:rsid w:val="363946D8"/>
    <w:rsid w:val="365302AE"/>
    <w:rsid w:val="37F142D2"/>
    <w:rsid w:val="395C4605"/>
    <w:rsid w:val="39A13F14"/>
    <w:rsid w:val="3AEC1764"/>
    <w:rsid w:val="3C5F759A"/>
    <w:rsid w:val="3D5C78D4"/>
    <w:rsid w:val="3FFF72A6"/>
    <w:rsid w:val="42CF228D"/>
    <w:rsid w:val="42E1381E"/>
    <w:rsid w:val="4308762F"/>
    <w:rsid w:val="43FB717C"/>
    <w:rsid w:val="451E447A"/>
    <w:rsid w:val="45345B76"/>
    <w:rsid w:val="45C21136"/>
    <w:rsid w:val="47307808"/>
    <w:rsid w:val="481F77AE"/>
    <w:rsid w:val="486F747C"/>
    <w:rsid w:val="4ABD3B35"/>
    <w:rsid w:val="4D861CF6"/>
    <w:rsid w:val="4DEF1265"/>
    <w:rsid w:val="4F103A13"/>
    <w:rsid w:val="4F726AF1"/>
    <w:rsid w:val="51A0432A"/>
    <w:rsid w:val="527140E5"/>
    <w:rsid w:val="5292508F"/>
    <w:rsid w:val="52A96B6F"/>
    <w:rsid w:val="550764A4"/>
    <w:rsid w:val="551926E0"/>
    <w:rsid w:val="561279B9"/>
    <w:rsid w:val="56515F3B"/>
    <w:rsid w:val="572B71CA"/>
    <w:rsid w:val="57DD3ED9"/>
    <w:rsid w:val="57E958DA"/>
    <w:rsid w:val="58AE4F0C"/>
    <w:rsid w:val="591848B1"/>
    <w:rsid w:val="59E50E60"/>
    <w:rsid w:val="5A2A7C7B"/>
    <w:rsid w:val="5AB23368"/>
    <w:rsid w:val="5C80234E"/>
    <w:rsid w:val="5E261785"/>
    <w:rsid w:val="5E4B7FE7"/>
    <w:rsid w:val="5FCC5339"/>
    <w:rsid w:val="5FE70807"/>
    <w:rsid w:val="607730D1"/>
    <w:rsid w:val="60E53485"/>
    <w:rsid w:val="61054A27"/>
    <w:rsid w:val="611D2366"/>
    <w:rsid w:val="6120147F"/>
    <w:rsid w:val="61C86CA3"/>
    <w:rsid w:val="62885958"/>
    <w:rsid w:val="63144820"/>
    <w:rsid w:val="633604BC"/>
    <w:rsid w:val="64CE2EAA"/>
    <w:rsid w:val="662E75B1"/>
    <w:rsid w:val="66342C2E"/>
    <w:rsid w:val="663E784C"/>
    <w:rsid w:val="685867EC"/>
    <w:rsid w:val="69773BA2"/>
    <w:rsid w:val="6BC7252B"/>
    <w:rsid w:val="6C04327E"/>
    <w:rsid w:val="6D581C9A"/>
    <w:rsid w:val="6E8E12EF"/>
    <w:rsid w:val="71D43752"/>
    <w:rsid w:val="73DD6243"/>
    <w:rsid w:val="749C4185"/>
    <w:rsid w:val="75DA2C18"/>
    <w:rsid w:val="7688786B"/>
    <w:rsid w:val="775319EF"/>
    <w:rsid w:val="77BE04D4"/>
    <w:rsid w:val="78F56773"/>
    <w:rsid w:val="790F1C77"/>
    <w:rsid w:val="7A67303B"/>
    <w:rsid w:val="7AAB1D04"/>
    <w:rsid w:val="7ABA4368"/>
    <w:rsid w:val="7B257FFD"/>
    <w:rsid w:val="7C2B1DA5"/>
    <w:rsid w:val="7DF4317E"/>
    <w:rsid w:val="7E64308B"/>
    <w:rsid w:val="7F6E0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overflowPunct w:val="0"/>
      <w:autoSpaceDE w:val="0"/>
      <w:autoSpaceDN w:val="0"/>
      <w:jc w:val="center"/>
      <w:textAlignment w:val="baseline"/>
    </w:pPr>
    <w:rPr>
      <w:b/>
      <w:kern w:val="0"/>
      <w:sz w:val="24"/>
      <w:szCs w:val="20"/>
      <w:lang w:val="en-GB"/>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2"/>
    <w:qFormat/>
    <w:uiPriority w:val="99"/>
    <w:pPr>
      <w:jc w:val="left"/>
    </w:pPr>
  </w:style>
  <w:style w:type="paragraph" w:styleId="21">
    <w:name w:val="Salutation"/>
    <w:basedOn w:val="1"/>
    <w:next w:val="1"/>
    <w:link w:val="480"/>
    <w:qFormat/>
    <w:uiPriority w:val="0"/>
    <w:rPr>
      <w:rFonts w:ascii="仿宋_GB2312" w:eastAsia="仿宋_GB2312"/>
      <w:sz w:val="28"/>
      <w:szCs w:val="20"/>
    </w:rPr>
  </w:style>
  <w:style w:type="paragraph" w:styleId="22">
    <w:name w:val="Body Text 3"/>
    <w:basedOn w:val="1"/>
    <w:link w:val="579"/>
    <w:qFormat/>
    <w:uiPriority w:val="0"/>
    <w:pPr>
      <w:jc w:val="center"/>
    </w:pPr>
    <w:rPr>
      <w:szCs w:val="20"/>
    </w:rPr>
  </w:style>
  <w:style w:type="paragraph" w:styleId="23">
    <w:name w:val="Body Text"/>
    <w:basedOn w:val="1"/>
    <w:link w:val="510"/>
    <w:qFormat/>
    <w:uiPriority w:val="0"/>
    <w:pPr>
      <w:autoSpaceDE w:val="0"/>
      <w:autoSpaceDN w:val="0"/>
      <w:spacing w:line="360" w:lineRule="auto"/>
    </w:pPr>
    <w:rPr>
      <w:rFonts w:ascii="宋体"/>
      <w:sz w:val="24"/>
      <w:szCs w:val="21"/>
      <w:lang w:val="zh-CN"/>
    </w:rPr>
  </w:style>
  <w:style w:type="paragraph" w:styleId="24">
    <w:name w:val="Body Text Indent"/>
    <w:basedOn w:val="1"/>
    <w:link w:val="47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7"/>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6"/>
    <w:qFormat/>
    <w:uiPriority w:val="0"/>
    <w:pPr>
      <w:ind w:left="100" w:leftChars="2500"/>
    </w:pPr>
    <w:rPr>
      <w:rFonts w:ascii="宋体"/>
      <w:sz w:val="24"/>
      <w:szCs w:val="21"/>
      <w:lang w:val="zh-CN"/>
    </w:rPr>
  </w:style>
  <w:style w:type="paragraph" w:styleId="36">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7">
    <w:name w:val="Balloon Text"/>
    <w:basedOn w:val="1"/>
    <w:link w:val="613"/>
    <w:semiHidden/>
    <w:qFormat/>
    <w:uiPriority w:val="0"/>
    <w:rPr>
      <w:sz w:val="18"/>
      <w:szCs w:val="18"/>
    </w:rPr>
  </w:style>
  <w:style w:type="paragraph" w:styleId="38">
    <w:name w:val="footer"/>
    <w:basedOn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6"/>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6"/>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annotation subject"/>
    <w:basedOn w:val="20"/>
    <w:next w:val="20"/>
    <w:semiHidden/>
    <w:qFormat/>
    <w:uiPriority w:val="0"/>
    <w:rPr>
      <w:b/>
      <w:bCs/>
    </w:rPr>
  </w:style>
  <w:style w:type="paragraph" w:styleId="58">
    <w:name w:val="Body Text First Indent"/>
    <w:basedOn w:val="23"/>
    <w:next w:val="1"/>
    <w:link w:val="543"/>
    <w:qFormat/>
    <w:uiPriority w:val="0"/>
    <w:pPr>
      <w:ind w:firstLine="420"/>
    </w:pPr>
    <w:rPr>
      <w:szCs w:val="20"/>
    </w:rPr>
  </w:style>
  <w:style w:type="paragraph" w:styleId="59">
    <w:name w:val="Body Text First Indent 2"/>
    <w:basedOn w:val="1"/>
    <w:next w:val="1"/>
    <w:link w:val="500"/>
    <w:qFormat/>
    <w:uiPriority w:val="0"/>
    <w:pPr>
      <w:adjustRightInd/>
      <w:spacing w:after="120"/>
      <w:ind w:left="420" w:leftChars="200" w:firstLine="210"/>
    </w:p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6"/>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6"/>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2"/>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4"/>
    <w:qFormat/>
    <w:uiPriority w:val="0"/>
    <w:pPr>
      <w:snapToGrid w:val="0"/>
      <w:spacing w:line="360" w:lineRule="auto"/>
    </w:pPr>
    <w:rPr>
      <w:rFonts w:ascii="宋体"/>
      <w:b/>
      <w:sz w:val="24"/>
      <w:szCs w:val="20"/>
    </w:rPr>
  </w:style>
  <w:style w:type="paragraph" w:customStyle="1" w:styleId="228">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6"/>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5"/>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5"/>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6"/>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9"/>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7"/>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7"/>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字符"/>
    <w:link w:val="40"/>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字符"/>
    <w:link w:val="10"/>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字符"/>
    <w:link w:val="48"/>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字符"/>
    <w:link w:val="24"/>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字符"/>
    <w:link w:val="9"/>
    <w:qFormat/>
    <w:uiPriority w:val="0"/>
    <w:rPr>
      <w:b/>
      <w:bCs/>
      <w:kern w:val="2"/>
      <w:sz w:val="24"/>
      <w:szCs w:val="24"/>
    </w:rPr>
  </w:style>
  <w:style w:type="character" w:customStyle="1" w:styleId="480">
    <w:name w:val="称呼 字符"/>
    <w:link w:val="21"/>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字符"/>
    <w:link w:val="45"/>
    <w:qFormat/>
    <w:uiPriority w:val="0"/>
    <w:rPr>
      <w:rFonts w:ascii="Arial" w:hAnsi="Arial" w:eastAsia="隶书"/>
      <w:b/>
      <w:bCs/>
      <w:kern w:val="28"/>
      <w:sz w:val="44"/>
      <w:szCs w:val="32"/>
      <w:lang w:val="en-US" w:eastAsia="zh-CN" w:bidi="ar-SA"/>
    </w:rPr>
  </w:style>
  <w:style w:type="character" w:customStyle="1" w:styleId="487">
    <w:name w:val="纯文本 字符"/>
    <w:link w:val="32"/>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文本首行缩进 2 字符"/>
    <w:link w:val="59"/>
    <w:qFormat/>
    <w:uiPriority w:val="0"/>
    <w:rPr>
      <w:rFonts w:ascii="宋体" w:hAnsi="宋体"/>
      <w:kern w:val="2"/>
      <w:sz w:val="21"/>
      <w:szCs w:val="24"/>
    </w:rPr>
  </w:style>
  <w:style w:type="character" w:customStyle="1" w:styleId="501">
    <w:name w:val="正文文本缩进 2 字符"/>
    <w:link w:val="36"/>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字符"/>
    <w:link w:val="11"/>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字符"/>
    <w:link w:val="55"/>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文本首行缩进 字符"/>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字符"/>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字符"/>
    <w:link w:val="29"/>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字符"/>
    <w:link w:val="7"/>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字符"/>
    <w:link w:val="22"/>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字符"/>
    <w:link w:val="51"/>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字符"/>
    <w:link w:val="35"/>
    <w:qFormat/>
    <w:uiPriority w:val="0"/>
    <w:rPr>
      <w:rFonts w:ascii="宋体"/>
      <w:kern w:val="2"/>
      <w:sz w:val="24"/>
      <w:szCs w:val="21"/>
      <w:lang w:val="zh-CN"/>
    </w:rPr>
  </w:style>
  <w:style w:type="character" w:customStyle="1" w:styleId="597">
    <w:name w:val="标题 4 字符"/>
    <w:link w:val="6"/>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字符"/>
    <w:link w:val="8"/>
    <w:qFormat/>
    <w:uiPriority w:val="0"/>
    <w:rPr>
      <w:rFonts w:ascii="Arial" w:hAnsi="Arial" w:eastAsia="黑体"/>
      <w:b/>
      <w:bCs/>
      <w:kern w:val="2"/>
      <w:sz w:val="24"/>
      <w:szCs w:val="24"/>
    </w:rPr>
  </w:style>
  <w:style w:type="character" w:customStyle="1" w:styleId="611">
    <w:name w:val="正文缩进 字符"/>
    <w:link w:val="16"/>
    <w:qFormat/>
    <w:uiPriority w:val="0"/>
    <w:rPr>
      <w:rFonts w:ascii="宋体" w:eastAsia="宋体"/>
      <w:snapToGrid w:val="0"/>
      <w:color w:val="000000"/>
      <w:kern w:val="28"/>
      <w:sz w:val="28"/>
      <w:lang w:val="en-US" w:eastAsia="zh-CN" w:bidi="ar-SA"/>
    </w:rPr>
  </w:style>
  <w:style w:type="character" w:customStyle="1" w:styleId="612">
    <w:name w:val="批注文字 字符"/>
    <w:link w:val="20"/>
    <w:qFormat/>
    <w:uiPriority w:val="99"/>
    <w:rPr>
      <w:kern w:val="2"/>
      <w:sz w:val="21"/>
      <w:szCs w:val="24"/>
    </w:rPr>
  </w:style>
  <w:style w:type="character" w:customStyle="1" w:styleId="613">
    <w:name w:val="批注框文本 字符"/>
    <w:link w:val="37"/>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4">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5">
    <w:name w:val="_Style 6"/>
    <w:basedOn w:val="1"/>
    <w:qFormat/>
    <w:uiPriority w:val="34"/>
    <w:pPr>
      <w:adjustRightInd/>
      <w:ind w:firstLine="420" w:firstLineChars="200"/>
    </w:pPr>
    <w:rPr>
      <w:rFonts w:eastAsia="仿宋_GB2312"/>
      <w:sz w:val="28"/>
    </w:rPr>
  </w:style>
  <w:style w:type="character" w:customStyle="1" w:styleId="636">
    <w:name w:val="font01"/>
    <w:basedOn w:val="62"/>
    <w:qFormat/>
    <w:uiPriority w:val="0"/>
    <w:rPr>
      <w:rFonts w:hint="eastAsia" w:ascii="宋体" w:hAnsi="宋体" w:eastAsia="宋体" w:cs="宋体"/>
      <w:color w:val="000000"/>
      <w:sz w:val="22"/>
      <w:szCs w:val="22"/>
      <w:u w:val="none"/>
    </w:rPr>
  </w:style>
  <w:style w:type="paragraph" w:customStyle="1" w:styleId="63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638">
    <w:name w:val="BodyText"/>
    <w:basedOn w:val="1"/>
    <w:next w:val="1"/>
    <w:qFormat/>
    <w:uiPriority w:val="0"/>
    <w:pPr>
      <w:textAlignment w:val="baseline"/>
    </w:pPr>
    <w:rPr>
      <w:sz w:val="32"/>
    </w:rPr>
  </w:style>
  <w:style w:type="paragraph" w:customStyle="1" w:styleId="63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90</Pages>
  <Words>9987</Words>
  <Characters>10622</Characters>
  <Lines>2108</Lines>
  <Paragraphs>1996</Paragraphs>
  <TotalTime>4</TotalTime>
  <ScaleCrop>false</ScaleCrop>
  <LinksUpToDate>false</LinksUpToDate>
  <CharactersWithSpaces>10914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2025-09-16T11:38:00Z</dcterms:created>
  <dc:creator>北海市政府采购中心</dc:creator>
  <cp:lastModifiedBy>wwwww</cp:lastModifiedBy>
  <cp:lastPrinted>2025-09-17T01:57:00Z</cp:lastPrinted>
  <dcterms:modified xsi:type="dcterms:W3CDTF">2025-11-10T09:53:12Z</dcterms:modified>
  <dc:title>北海市政府采购中心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B01FFFD96A99467B86771B85277DB79C_13</vt:lpwstr>
  </property>
  <property fmtid="{D5CDD505-2E9C-101B-9397-08002B2CF9AE}" pid="4" name="KSOTemplateDocerSaveRecord">
    <vt:lpwstr>eyJoZGlkIjoiYWE0MTY0NjlmMjAwNDI5MjliZjdjNzhlNTQxNWNiYjUifQ==</vt:lpwstr>
  </property>
</Properties>
</file>