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p>
    <w:p>
      <w:pPr>
        <w:spacing w:line="360" w:lineRule="auto"/>
        <w:jc w:val="center"/>
        <w:rPr>
          <w:rFonts w:ascii="宋体" w:hAnsi="宋体" w:cs="宋体"/>
          <w:b/>
          <w:sz w:val="24"/>
        </w:rPr>
      </w:pPr>
    </w:p>
    <w:p>
      <w:pPr>
        <w:adjustRightInd/>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adjustRightInd/>
        <w:spacing w:line="360" w:lineRule="auto"/>
        <w:jc w:val="center"/>
        <w:rPr>
          <w:rFonts w:ascii="宋体" w:hAnsi="宋体" w:cs="宋体"/>
          <w:b/>
          <w:sz w:val="48"/>
          <w:szCs w:val="48"/>
        </w:rPr>
      </w:pPr>
    </w:p>
    <w:p>
      <w:pPr>
        <w:adjustRightInd/>
        <w:spacing w:line="360" w:lineRule="auto"/>
        <w:jc w:val="center"/>
        <w:rPr>
          <w:rFonts w:ascii="宋体" w:hAnsi="宋体" w:cs="宋体"/>
          <w:sz w:val="48"/>
          <w:szCs w:val="48"/>
        </w:rPr>
      </w:pPr>
      <w:r>
        <w:rPr>
          <w:rFonts w:hint="eastAsia" w:ascii="宋体" w:hAnsi="宋体" w:cs="宋体"/>
          <w:sz w:val="48"/>
          <w:szCs w:val="48"/>
        </w:rPr>
        <w:t xml:space="preserve">完善康复技术专业实训基地建设招标文件 </w:t>
      </w:r>
    </w:p>
    <w:p>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pPr>
        <w:snapToGrid w:val="0"/>
        <w:spacing w:line="360" w:lineRule="auto"/>
        <w:jc w:val="center"/>
        <w:rPr>
          <w:rFonts w:ascii="宋体" w:hAnsi="宋体" w:cs="宋体"/>
          <w:sz w:val="30"/>
          <w:szCs w:val="30"/>
        </w:rPr>
      </w:pPr>
      <w:r>
        <w:rPr>
          <w:rFonts w:hint="eastAsia" w:ascii="宋体" w:hAnsi="宋体" w:cs="宋体"/>
          <w:sz w:val="30"/>
          <w:szCs w:val="30"/>
        </w:rPr>
        <w:t>编号:</w:t>
      </w:r>
      <w:r>
        <w:t xml:space="preserve"> </w:t>
      </w:r>
      <w:r>
        <w:rPr>
          <w:rFonts w:hint="eastAsia" w:ascii="宋体" w:hAnsi="宋体" w:cs="宋体"/>
          <w:sz w:val="30"/>
          <w:szCs w:val="30"/>
        </w:rPr>
        <w:t>BHZC2025-G1-990291-CGZX</w:t>
      </w:r>
    </w:p>
    <w:p>
      <w:pPr>
        <w:adjustRightInd/>
        <w:spacing w:line="360" w:lineRule="auto"/>
        <w:rPr>
          <w:rFonts w:ascii="宋体" w:hAnsi="宋体" w:cs="宋体"/>
          <w:sz w:val="28"/>
          <w:szCs w:val="20"/>
        </w:rPr>
      </w:pPr>
    </w:p>
    <w:p>
      <w:pPr>
        <w:spacing w:line="360" w:lineRule="auto"/>
        <w:jc w:val="center"/>
        <w:rPr>
          <w:rFonts w:ascii="宋体" w:hAnsi="宋体" w:cs="宋体"/>
          <w:b/>
          <w:sz w:val="44"/>
          <w:szCs w:val="44"/>
        </w:rPr>
      </w:pPr>
      <w:r>
        <w:rPr>
          <w:rFonts w:hint="eastAsia" w:ascii="宋体" w:hAnsi="宋体" w:cs="宋体"/>
          <w:b/>
          <w:sz w:val="44"/>
          <w:szCs w:val="44"/>
        </w:rPr>
        <w:t xml:space="preserve"> </w:t>
      </w:r>
    </w:p>
    <w:p>
      <w:pPr>
        <w:spacing w:line="360" w:lineRule="auto"/>
        <w:jc w:val="center"/>
        <w:rPr>
          <w:rFonts w:ascii="宋体" w:hAnsi="宋体" w:cs="宋体"/>
          <w:b/>
          <w:sz w:val="44"/>
          <w:szCs w:val="4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32"/>
          <w:szCs w:val="32"/>
        </w:rPr>
      </w:pPr>
    </w:p>
    <w:p>
      <w:pPr>
        <w:snapToGrid w:val="0"/>
        <w:spacing w:line="360" w:lineRule="auto"/>
        <w:jc w:val="center"/>
        <w:rPr>
          <w:rFonts w:ascii="宋体" w:hAnsi="宋体" w:cs="宋体"/>
          <w:sz w:val="32"/>
          <w:szCs w:val="32"/>
        </w:rPr>
      </w:pPr>
      <w:r>
        <w:rPr>
          <w:rFonts w:hint="eastAsia" w:ascii="宋体" w:hAnsi="宋体" w:cs="宋体"/>
          <w:sz w:val="32"/>
          <w:szCs w:val="32"/>
        </w:rPr>
        <w:t>北海市卫生学校</w:t>
      </w:r>
    </w:p>
    <w:p>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pPr>
        <w:snapToGrid w:val="0"/>
        <w:spacing w:line="360" w:lineRule="auto"/>
        <w:jc w:val="center"/>
        <w:rPr>
          <w:rFonts w:ascii="宋体" w:hAnsi="宋体" w:cs="宋体"/>
          <w:bCs/>
          <w:sz w:val="32"/>
          <w:szCs w:val="32"/>
        </w:rPr>
      </w:pPr>
      <w:r>
        <w:rPr>
          <w:rFonts w:hint="eastAsia" w:ascii="宋体" w:hAnsi="宋体" w:cs="宋体"/>
          <w:bCs/>
          <w:sz w:val="32"/>
          <w:szCs w:val="32"/>
        </w:rPr>
        <w:t>二〇二五年十</w:t>
      </w:r>
      <w:r>
        <w:rPr>
          <w:rFonts w:hint="eastAsia" w:ascii="宋体" w:hAnsi="宋体" w:cs="宋体"/>
          <w:bCs/>
          <w:sz w:val="32"/>
          <w:szCs w:val="32"/>
          <w:lang w:eastAsia="zh-CN"/>
        </w:rPr>
        <w:t>一</w:t>
      </w:r>
      <w:r>
        <w:rPr>
          <w:rFonts w:hint="eastAsia" w:ascii="宋体" w:hAnsi="宋体" w:cs="宋体"/>
          <w:bCs/>
          <w:sz w:val="32"/>
          <w:szCs w:val="32"/>
        </w:rPr>
        <w:t>月</w:t>
      </w:r>
      <w:r>
        <w:rPr>
          <w:rFonts w:hint="eastAsia" w:ascii="宋体" w:hAnsi="宋体" w:cs="宋体"/>
          <w:bCs/>
          <w:sz w:val="32"/>
          <w:szCs w:val="32"/>
          <w:lang w:eastAsia="zh-CN"/>
        </w:rPr>
        <w:t>十</w:t>
      </w:r>
      <w:r>
        <w:rPr>
          <w:rFonts w:hint="eastAsia" w:ascii="宋体" w:hAnsi="宋体" w:cs="宋体"/>
          <w:bCs/>
          <w:sz w:val="32"/>
          <w:szCs w:val="32"/>
        </w:rPr>
        <w:t>日</w:t>
      </w:r>
    </w:p>
    <w:p>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pPr>
        <w:spacing w:line="360" w:lineRule="auto"/>
        <w:jc w:val="center"/>
        <w:rPr>
          <w:rFonts w:ascii="宋体" w:hAnsi="宋体" w:cs="宋体"/>
          <w:sz w:val="24"/>
        </w:rPr>
      </w:pPr>
    </w:p>
    <w:p>
      <w:pPr>
        <w:spacing w:line="360" w:lineRule="auto"/>
        <w:jc w:val="center"/>
        <w:rPr>
          <w:rFonts w:ascii="宋体" w:hAnsi="宋体" w:cs="宋体"/>
          <w:b/>
          <w:sz w:val="48"/>
          <w:szCs w:val="48"/>
        </w:rPr>
      </w:pPr>
      <w:r>
        <w:rPr>
          <w:rFonts w:hint="eastAsia" w:ascii="宋体" w:hAnsi="宋体" w:cs="宋体"/>
          <w:b/>
          <w:sz w:val="48"/>
          <w:szCs w:val="48"/>
        </w:rPr>
        <w:t>目  录</w:t>
      </w:r>
    </w:p>
    <w:p>
      <w:pPr>
        <w:spacing w:line="360" w:lineRule="auto"/>
        <w:rPr>
          <w:rFonts w:ascii="宋体" w:hAnsi="宋体" w:cs="宋体"/>
          <w:sz w:val="32"/>
          <w:szCs w:val="32"/>
        </w:rPr>
      </w:pPr>
    </w:p>
    <w:p>
      <w:pPr>
        <w:spacing w:line="360" w:lineRule="auto"/>
        <w:rPr>
          <w:rFonts w:ascii="宋体" w:hAnsi="宋体" w:cs="宋体"/>
          <w:sz w:val="32"/>
          <w:szCs w:val="32"/>
        </w:rPr>
      </w:pPr>
    </w:p>
    <w:p>
      <w:pPr>
        <w:pStyle w:val="42"/>
        <w:tabs>
          <w:tab w:val="right" w:leader="dot" w:pos="9060"/>
        </w:tabs>
        <w:spacing w:line="360" w:lineRule="auto"/>
        <w:rPr>
          <w:rFonts w:ascii="宋体" w:hAnsi="宋体" w:cstheme="minorBidi"/>
          <w:sz w:val="32"/>
          <w:szCs w:val="32"/>
        </w:rPr>
      </w:pPr>
      <w:bookmarkStart w:id="1" w:name="_Hlt91233176"/>
      <w:bookmarkEnd w:id="1"/>
      <w:bookmarkStart w:id="2" w:name="_Toc91899869"/>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r>
        <w:fldChar w:fldCharType="begin"/>
      </w:r>
      <w:r>
        <w:instrText xml:space="preserve"> HYPERLINK \l "_Toc176343848" </w:instrText>
      </w:r>
      <w:r>
        <w:fldChar w:fldCharType="separate"/>
      </w:r>
      <w:r>
        <w:rPr>
          <w:rStyle w:val="76"/>
          <w:rFonts w:hint="eastAsia" w:ascii="宋体" w:hAnsi="宋体" w:eastAsia="宋体" w:cs="宋体"/>
          <w:sz w:val="32"/>
          <w:szCs w:val="32"/>
        </w:rPr>
        <w:t>第一部分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"_Toc176343849" </w:instrText>
      </w:r>
      <w:r>
        <w:fldChar w:fldCharType="separate"/>
      </w:r>
      <w:r>
        <w:rPr>
          <w:rStyle w:val="76"/>
          <w:rFonts w:hint="eastAsia" w:ascii="宋体" w:hAnsi="宋体" w:eastAsia="宋体" w:cs="宋体"/>
          <w:sz w:val="32"/>
          <w:szCs w:val="32"/>
        </w:rPr>
        <w:t>第二部分</w:t>
      </w:r>
      <w:r>
        <w:rPr>
          <w:rStyle w:val="76"/>
          <w:rFonts w:ascii="宋体" w:hAnsi="宋体" w:eastAsia="宋体" w:cs="宋体"/>
          <w:sz w:val="32"/>
          <w:szCs w:val="32"/>
        </w:rPr>
        <w:t xml:space="preserve">  </w:t>
      </w:r>
      <w:r>
        <w:rPr>
          <w:rStyle w:val="76"/>
          <w:rFonts w:hint="eastAsia" w:ascii="宋体" w:hAnsi="宋体" w:eastAsia="宋体" w:cs="宋体"/>
          <w:sz w:val="32"/>
          <w:szCs w:val="32"/>
        </w:rPr>
        <w:t>投标人须知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_Toc176343849 \h </w:instrText>
      </w:r>
      <w:r>
        <w:rPr>
          <w:rFonts w:ascii="宋体" w:hAnsi="宋体"/>
          <w:sz w:val="32"/>
          <w:szCs w:val="32"/>
        </w:rPr>
        <w:fldChar w:fldCharType="separate"/>
      </w:r>
      <w:r>
        <w:rPr>
          <w:rFonts w:ascii="宋体" w:hAnsi="宋体"/>
          <w:sz w:val="32"/>
          <w:szCs w:val="32"/>
        </w:rPr>
        <w:t>7</w:t>
      </w:r>
      <w:r>
        <w:rPr>
          <w:rFonts w:ascii="宋体" w:hAnsi="宋体"/>
          <w:sz w:val="32"/>
          <w:szCs w:val="32"/>
        </w:rPr>
        <w:fldChar w:fldCharType="end"/>
      </w:r>
      <w:r>
        <w:rPr>
          <w:rFonts w:ascii="宋体" w:hAnsi="宋体"/>
          <w:sz w:val="32"/>
          <w:szCs w:val="32"/>
        </w:rPr>
        <w:fldChar w:fldCharType="end"/>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"_Toc176343850" </w:instrText>
      </w:r>
      <w:r>
        <w:fldChar w:fldCharType="separate"/>
      </w:r>
      <w:r>
        <w:rPr>
          <w:rStyle w:val="76"/>
          <w:rFonts w:hint="eastAsia" w:ascii="宋体" w:hAnsi="宋体" w:eastAsia="宋体" w:cs="宋体"/>
          <w:sz w:val="32"/>
          <w:szCs w:val="32"/>
        </w:rPr>
        <w:t>第三部分</w:t>
      </w:r>
      <w:r>
        <w:rPr>
          <w:rStyle w:val="76"/>
          <w:rFonts w:ascii="宋体" w:hAnsi="宋体" w:eastAsia="宋体" w:cs="宋体"/>
          <w:sz w:val="32"/>
          <w:szCs w:val="32"/>
        </w:rPr>
        <w:t xml:space="preserve">  </w:t>
      </w:r>
      <w:r>
        <w:rPr>
          <w:rStyle w:val="76"/>
          <w:rFonts w:hint="eastAsia" w:ascii="宋体" w:hAnsi="宋体" w:eastAsia="宋体" w:cs="宋体"/>
          <w:sz w:val="32"/>
          <w:szCs w:val="32"/>
        </w:rPr>
        <w:t>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_Toc176343850 \h </w:instrText>
      </w:r>
      <w:r>
        <w:rPr>
          <w:rFonts w:ascii="宋体" w:hAnsi="宋体"/>
          <w:sz w:val="32"/>
          <w:szCs w:val="32"/>
        </w:rPr>
        <w:fldChar w:fldCharType="separate"/>
      </w:r>
      <w:r>
        <w:rPr>
          <w:rFonts w:ascii="宋体" w:hAnsi="宋体"/>
          <w:sz w:val="32"/>
          <w:szCs w:val="32"/>
        </w:rPr>
        <w:t>28</w:t>
      </w:r>
      <w:r>
        <w:rPr>
          <w:rFonts w:ascii="宋体" w:hAnsi="宋体"/>
          <w:sz w:val="32"/>
          <w:szCs w:val="32"/>
        </w:rPr>
        <w:fldChar w:fldCharType="end"/>
      </w:r>
      <w:r>
        <w:rPr>
          <w:rFonts w:ascii="宋体" w:hAnsi="宋体"/>
          <w:sz w:val="32"/>
          <w:szCs w:val="32"/>
        </w:rPr>
        <w:fldChar w:fldCharType="end"/>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"_Toc176343851" </w:instrText>
      </w:r>
      <w:r>
        <w:fldChar w:fldCharType="separate"/>
      </w:r>
      <w:r>
        <w:rPr>
          <w:rStyle w:val="76"/>
          <w:rFonts w:hint="eastAsia" w:ascii="宋体" w:hAnsi="宋体" w:eastAsia="宋体" w:cs="宋体"/>
          <w:sz w:val="32"/>
          <w:szCs w:val="32"/>
        </w:rPr>
        <w:t>第四部分</w:t>
      </w:r>
      <w:r>
        <w:rPr>
          <w:rStyle w:val="76"/>
          <w:rFonts w:ascii="宋体" w:hAnsi="宋体" w:eastAsia="宋体" w:cs="宋体"/>
          <w:sz w:val="32"/>
          <w:szCs w:val="32"/>
        </w:rPr>
        <w:t xml:space="preserve">  </w:t>
      </w:r>
      <w:r>
        <w:rPr>
          <w:rStyle w:val="76"/>
          <w:rFonts w:hint="eastAsia" w:ascii="宋体" w:hAnsi="宋体" w:eastAsia="宋体" w:cs="宋体"/>
          <w:sz w:val="32"/>
          <w:szCs w:val="32"/>
        </w:rPr>
        <w:t>评标办法</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_Toc176343851 \h </w:instrText>
      </w:r>
      <w:r>
        <w:rPr>
          <w:rFonts w:ascii="宋体" w:hAnsi="宋体"/>
          <w:sz w:val="32"/>
          <w:szCs w:val="32"/>
        </w:rPr>
        <w:fldChar w:fldCharType="separate"/>
      </w:r>
      <w:r>
        <w:rPr>
          <w:rFonts w:ascii="宋体" w:hAnsi="宋体"/>
          <w:sz w:val="32"/>
          <w:szCs w:val="32"/>
        </w:rPr>
        <w:t>49</w:t>
      </w:r>
      <w:r>
        <w:rPr>
          <w:rFonts w:ascii="宋体" w:hAnsi="宋体"/>
          <w:sz w:val="32"/>
          <w:szCs w:val="32"/>
        </w:rPr>
        <w:fldChar w:fldCharType="end"/>
      </w:r>
      <w:r>
        <w:rPr>
          <w:rFonts w:ascii="宋体" w:hAnsi="宋体"/>
          <w:sz w:val="32"/>
          <w:szCs w:val="32"/>
        </w:rPr>
        <w:fldChar w:fldCharType="end"/>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"_Toc176343852" </w:instrText>
      </w:r>
      <w:r>
        <w:fldChar w:fldCharType="separate"/>
      </w:r>
      <w:r>
        <w:rPr>
          <w:rStyle w:val="76"/>
          <w:rFonts w:hint="eastAsia" w:ascii="宋体" w:hAnsi="宋体" w:eastAsia="宋体" w:cs="宋体"/>
          <w:sz w:val="32"/>
          <w:szCs w:val="32"/>
        </w:rPr>
        <w:t>第五部分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拟签订的合同文本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_Toc176343852 \h </w:instrText>
      </w:r>
      <w:r>
        <w:rPr>
          <w:rFonts w:ascii="宋体" w:hAnsi="宋体"/>
          <w:sz w:val="32"/>
          <w:szCs w:val="32"/>
        </w:rPr>
        <w:fldChar w:fldCharType="separate"/>
      </w:r>
      <w:r>
        <w:rPr>
          <w:rFonts w:ascii="宋体" w:hAnsi="宋体"/>
          <w:sz w:val="32"/>
          <w:szCs w:val="32"/>
        </w:rPr>
        <w:t>58</w:t>
      </w:r>
      <w:r>
        <w:rPr>
          <w:rFonts w:ascii="宋体" w:hAnsi="宋体"/>
          <w:sz w:val="32"/>
          <w:szCs w:val="32"/>
        </w:rPr>
        <w:fldChar w:fldCharType="end"/>
      </w:r>
      <w:r>
        <w:rPr>
          <w:rFonts w:ascii="宋体" w:hAnsi="宋体"/>
          <w:sz w:val="32"/>
          <w:szCs w:val="32"/>
        </w:rPr>
        <w:fldChar w:fldCharType="end"/>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"_Toc176343853" </w:instrText>
      </w:r>
      <w:r>
        <w:fldChar w:fldCharType="separate"/>
      </w:r>
      <w:r>
        <w:rPr>
          <w:rStyle w:val="76"/>
          <w:rFonts w:hint="eastAsia" w:ascii="宋体" w:hAnsi="宋体" w:eastAsia="宋体" w:cs="宋体"/>
          <w:sz w:val="32"/>
          <w:szCs w:val="32"/>
        </w:rPr>
        <w:t>第六部分</w:t>
      </w:r>
      <w:r>
        <w:rPr>
          <w:rStyle w:val="76"/>
          <w:rFonts w:ascii="宋体" w:hAnsi="宋体" w:eastAsia="宋体" w:cs="宋体"/>
          <w:sz w:val="32"/>
          <w:szCs w:val="32"/>
        </w:rPr>
        <w:t xml:space="preserve">  </w:t>
      </w:r>
      <w:r>
        <w:rPr>
          <w:rStyle w:val="76"/>
          <w:rFonts w:hint="eastAsia" w:ascii="宋体" w:hAnsi="宋体" w:eastAsia="宋体" w:cs="宋体"/>
          <w:sz w:val="32"/>
          <w:szCs w:val="32"/>
        </w:rPr>
        <w:t>应提交的有关格式范例</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_Toc176343853 \h </w:instrText>
      </w:r>
      <w:r>
        <w:rPr>
          <w:rFonts w:ascii="宋体" w:hAnsi="宋体"/>
          <w:sz w:val="32"/>
          <w:szCs w:val="32"/>
        </w:rPr>
        <w:fldChar w:fldCharType="separate"/>
      </w:r>
      <w:r>
        <w:rPr>
          <w:rFonts w:ascii="宋体" w:hAnsi="宋体"/>
          <w:sz w:val="32"/>
          <w:szCs w:val="32"/>
        </w:rPr>
        <w:t>76</w:t>
      </w:r>
      <w:r>
        <w:rPr>
          <w:rFonts w:ascii="宋体" w:hAnsi="宋体"/>
          <w:sz w:val="32"/>
          <w:szCs w:val="32"/>
        </w:rPr>
        <w:fldChar w:fldCharType="end"/>
      </w:r>
      <w:r>
        <w:rPr>
          <w:rFonts w:ascii="宋体" w:hAnsi="宋体"/>
          <w:sz w:val="32"/>
          <w:szCs w:val="32"/>
        </w:rPr>
        <w:fldChar w:fldCharType="end"/>
      </w:r>
    </w:p>
    <w:p>
      <w:pPr>
        <w:spacing w:line="360" w:lineRule="auto"/>
        <w:ind w:firstLine="732" w:firstLineChars="229"/>
        <w:rPr>
          <w:rFonts w:ascii="宋体" w:hAnsi="宋体" w:cs="宋体"/>
          <w:sz w:val="32"/>
          <w:szCs w:val="32"/>
        </w:rPr>
      </w:pPr>
      <w:r>
        <w:rPr>
          <w:rFonts w:ascii="宋体" w:hAnsi="宋体" w:cs="宋体"/>
          <w:sz w:val="32"/>
          <w:szCs w:val="32"/>
        </w:rPr>
        <w:fldChar w:fldCharType="end"/>
      </w: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rPr>
          <w:rFonts w:ascii="宋体" w:hAnsi="宋体" w:cs="宋体"/>
          <w:sz w:val="24"/>
        </w:rPr>
      </w:pPr>
    </w:p>
    <w:p>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_Toc176185119"/>
      <w:bookmarkStart w:id="9" w:name="_Toc176343848"/>
      <w:bookmarkStart w:id="10" w:name="第二部分"/>
      <w:bookmarkStart w:id="11" w:name="_Toc91899870"/>
      <w:bookmarkStart w:id="12" w:name="_Toc91899871"/>
      <w:r>
        <w:rPr>
          <w:rFonts w:hint="eastAsia" w:ascii="宋体" w:hAnsi="宋体" w:cs="宋体"/>
          <w:b/>
          <w:sz w:val="36"/>
          <w:szCs w:val="20"/>
        </w:rPr>
        <w:t>第一部分  招标公告</w:t>
      </w:r>
      <w:bookmarkEnd w:id="8"/>
      <w:bookmarkEnd w:id="9"/>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rPr>
        <w:t>完善康复技术专业实训基地建设招标项目的潜在投标人应在</w:t>
      </w:r>
      <w:r>
        <w:rPr>
          <w:rFonts w:hint="default" w:cs="Times New Roman" w:asciiTheme="minorEastAsia" w:hAnsiTheme="minorEastAsia" w:eastAsiaTheme="minorEastAsia"/>
          <w:sz w:val="24"/>
        </w:rPr>
        <w:t>广西政府采购云平台线上获取</w:t>
      </w:r>
      <w:r>
        <w:rPr>
          <w:rFonts w:hint="eastAsia" w:cs="Times New Roman" w:asciiTheme="minorEastAsia" w:hAnsiTheme="minorEastAsia" w:eastAsiaTheme="minorEastAsia"/>
          <w:sz w:val="24"/>
        </w:rPr>
        <w:t>获取招标文件，并于 </w:t>
      </w:r>
      <w:r>
        <w:rPr>
          <w:rFonts w:hint="default" w:cs="Times New Roman" w:asciiTheme="minorEastAsia" w:hAnsiTheme="minorEastAsia" w:eastAsiaTheme="minorEastAsia"/>
          <w:sz w:val="24"/>
        </w:rPr>
        <w:t>2025年12月03日 09:00</w:t>
      </w:r>
      <w:r>
        <w:rPr>
          <w:rFonts w:hint="eastAsia" w:cs="Times New Roman" w:asciiTheme="minorEastAsia" w:hAnsiTheme="minorEastAsia" w:eastAsiaTheme="minorEastAsia"/>
          <w:sz w:val="24"/>
        </w:rPr>
        <w:t>（北京时间）前递交投标文件。</w:t>
      </w:r>
    </w:p>
    <w:p>
      <w:pPr>
        <w:spacing w:line="360" w:lineRule="auto"/>
        <w:rPr>
          <w:rFonts w:ascii="宋体" w:hAnsi="宋体" w:cs="宋体"/>
          <w:b/>
          <w:sz w:val="24"/>
        </w:rPr>
      </w:pPr>
      <w:r>
        <w:rPr>
          <w:rFonts w:hint="eastAsia" w:ascii="宋体" w:hAnsi="宋体" w:cs="宋体"/>
          <w:b/>
          <w:sz w:val="24"/>
        </w:rPr>
        <w:t xml:space="preserve">一、项目基本情况                                            </w:t>
      </w:r>
    </w:p>
    <w:p>
      <w:pPr>
        <w:spacing w:line="360" w:lineRule="auto"/>
        <w:rPr>
          <w:rFonts w:ascii="宋体" w:hAnsi="宋体" w:cs="宋体"/>
          <w:sz w:val="24"/>
        </w:rPr>
      </w:pPr>
      <w:r>
        <w:rPr>
          <w:rFonts w:hint="eastAsia" w:ascii="宋体" w:hAnsi="宋体" w:cs="宋体"/>
          <w:sz w:val="24"/>
        </w:rPr>
        <w:t xml:space="preserve">    项目编号：BHZC2025-G1-990291-CGZX</w:t>
      </w:r>
    </w:p>
    <w:p>
      <w:pPr>
        <w:spacing w:line="360" w:lineRule="auto"/>
        <w:rPr>
          <w:rFonts w:ascii="宋体" w:hAnsi="宋体" w:cs="宋体"/>
          <w:sz w:val="24"/>
        </w:rPr>
      </w:pPr>
      <w:r>
        <w:rPr>
          <w:rFonts w:hint="eastAsia" w:ascii="宋体" w:hAnsi="宋体" w:cs="宋体"/>
          <w:sz w:val="24"/>
        </w:rPr>
        <w:t xml:space="preserve">    项目名称：完善康复技术专业实训基地建设(智慧护</w:t>
      </w:r>
      <w:bookmarkStart w:id="449" w:name="_GoBack"/>
      <w:bookmarkEnd w:id="449"/>
      <w:r>
        <w:rPr>
          <w:rFonts w:hint="eastAsia" w:ascii="宋体" w:hAnsi="宋体" w:cs="宋体"/>
          <w:sz w:val="24"/>
        </w:rPr>
        <w:t>理教室建设)</w:t>
      </w:r>
    </w:p>
    <w:p>
      <w:pPr>
        <w:spacing w:line="360" w:lineRule="auto"/>
        <w:rPr>
          <w:rFonts w:ascii="宋体" w:hAnsi="宋体" w:cs="宋体"/>
          <w:sz w:val="24"/>
        </w:rPr>
      </w:pPr>
      <w:r>
        <w:rPr>
          <w:rFonts w:hint="eastAsia" w:ascii="宋体" w:hAnsi="宋体" w:cs="宋体"/>
          <w:sz w:val="24"/>
        </w:rPr>
        <w:t xml:space="preserve">    预算总金额（元）：</w:t>
      </w:r>
      <w:bookmarkStart w:id="13" w:name="OLE_LINK22"/>
      <w:bookmarkStart w:id="14" w:name="OLE_LINK23"/>
      <w:r>
        <w:rPr>
          <w:rFonts w:hint="eastAsia" w:ascii="宋体" w:hAnsi="宋体" w:cs="宋体"/>
          <w:sz w:val="24"/>
        </w:rPr>
        <w:t>599,555.00</w:t>
      </w:r>
    </w:p>
    <w:bookmarkEnd w:id="13"/>
    <w:bookmarkEnd w:id="14"/>
    <w:p>
      <w:pPr>
        <w:spacing w:line="360" w:lineRule="auto"/>
        <w:ind w:firstLine="480"/>
        <w:rPr>
          <w:rFonts w:ascii="宋体" w:hAnsi="宋体" w:cs="宋体"/>
          <w:sz w:val="24"/>
        </w:rPr>
      </w:pPr>
      <w:r>
        <w:rPr>
          <w:rFonts w:hint="eastAsia" w:ascii="宋体" w:hAnsi="宋体" w:cs="宋体"/>
          <w:sz w:val="24"/>
        </w:rPr>
        <w:t>采购需求：</w:t>
      </w: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标项名称: 完善康复技术专业实训基地建设(智慧护理教室建设)</w:t>
      </w:r>
    </w:p>
    <w:p>
      <w:pPr>
        <w:spacing w:line="360" w:lineRule="auto"/>
        <w:ind w:firstLine="480"/>
        <w:rPr>
          <w:rFonts w:hint="eastAsia" w:ascii="宋体" w:hAnsi="宋体" w:eastAsia="宋体" w:cs="宋体"/>
          <w:sz w:val="24"/>
          <w:lang w:eastAsia="zh-CN"/>
        </w:rPr>
      </w:pPr>
      <w:r>
        <w:rPr>
          <w:rFonts w:hint="eastAsia" w:ascii="宋体" w:hAnsi="宋体" w:cs="宋体"/>
          <w:sz w:val="24"/>
        </w:rPr>
        <w:t>数量:</w:t>
      </w:r>
      <w:r>
        <w:rPr>
          <w:rFonts w:hint="eastAsia" w:ascii="宋体" w:hAnsi="宋体" w:cs="宋体"/>
          <w:sz w:val="24"/>
          <w:lang w:val="en-US" w:eastAsia="zh-CN"/>
        </w:rPr>
        <w:t>1</w:t>
      </w:r>
    </w:p>
    <w:p>
      <w:pPr>
        <w:spacing w:line="360" w:lineRule="auto"/>
        <w:ind w:firstLine="480"/>
        <w:rPr>
          <w:rFonts w:ascii="宋体" w:hAnsi="宋体" w:cs="宋体"/>
          <w:sz w:val="24"/>
        </w:rPr>
      </w:pPr>
      <w:r>
        <w:rPr>
          <w:rFonts w:hint="eastAsia" w:ascii="宋体" w:hAnsi="宋体" w:cs="宋体"/>
          <w:sz w:val="24"/>
        </w:rPr>
        <w:t>预算金额（元）:</w:t>
      </w:r>
      <w:r>
        <w:t xml:space="preserve"> </w:t>
      </w:r>
      <w:r>
        <w:rPr>
          <w:rFonts w:hint="eastAsia" w:ascii="宋体" w:hAnsi="宋体" w:cs="宋体"/>
          <w:sz w:val="24"/>
        </w:rPr>
        <w:t>599,555.00</w:t>
      </w:r>
    </w:p>
    <w:p>
      <w:pPr>
        <w:spacing w:line="360" w:lineRule="auto"/>
        <w:ind w:firstLine="480"/>
        <w:rPr>
          <w:rFonts w:ascii="宋体" w:hAnsi="宋体" w:cs="宋体"/>
          <w:sz w:val="24"/>
        </w:rPr>
      </w:pPr>
      <w:r>
        <w:rPr>
          <w:rFonts w:hint="eastAsia" w:ascii="宋体" w:hAnsi="宋体" w:cs="宋体"/>
          <w:sz w:val="24"/>
        </w:rPr>
        <w:t>简要规格描述或项目基本概况介绍、用途：</w:t>
      </w:r>
      <w:r>
        <w:rPr>
          <w:rFonts w:hint="eastAsia" w:ascii="宋体" w:hAnsi="宋体" w:cs="宋体"/>
          <w:szCs w:val="21"/>
        </w:rPr>
        <w:t>平衡功能评定训练系统（动静态平衡评估训练系统）</w:t>
      </w:r>
      <w:r>
        <w:rPr>
          <w:rFonts w:hint="eastAsia" w:ascii="宋体" w:hAnsi="宋体" w:cs="宋体"/>
          <w:sz w:val="24"/>
        </w:rPr>
        <w:t>、</w:t>
      </w:r>
      <w:r>
        <w:rPr>
          <w:rFonts w:hint="eastAsia" w:ascii="宋体" w:hAnsi="宋体" w:cs="宋体"/>
          <w:szCs w:val="21"/>
        </w:rPr>
        <w:t>捏力计</w:t>
      </w:r>
      <w:r>
        <w:rPr>
          <w:rFonts w:hint="eastAsia" w:ascii="宋体" w:hAnsi="宋体" w:cs="宋体"/>
          <w:sz w:val="24"/>
        </w:rPr>
        <w:t>、</w:t>
      </w:r>
      <w:r>
        <w:rPr>
          <w:rFonts w:hint="eastAsia" w:ascii="宋体" w:hAnsi="宋体" w:cs="宋体"/>
          <w:szCs w:val="21"/>
        </w:rPr>
        <w:t>电子量角器</w:t>
      </w:r>
      <w:r>
        <w:rPr>
          <w:rFonts w:hint="eastAsia" w:ascii="宋体" w:hAnsi="宋体" w:cs="宋体"/>
          <w:sz w:val="24"/>
        </w:rPr>
        <w:t>等设备1批。详见招标文件。</w:t>
      </w:r>
    </w:p>
    <w:p>
      <w:pPr>
        <w:spacing w:line="360" w:lineRule="auto"/>
        <w:ind w:firstLine="480"/>
        <w:rPr>
          <w:rFonts w:ascii="宋体" w:hAnsi="宋体" w:cs="宋体"/>
          <w:sz w:val="24"/>
        </w:rPr>
      </w:pPr>
      <w:r>
        <w:rPr>
          <w:rFonts w:hint="eastAsia" w:ascii="宋体" w:hAnsi="宋体" w:cs="宋体"/>
          <w:sz w:val="24"/>
        </w:rPr>
        <w:t>最高限价（如有）：/</w:t>
      </w:r>
    </w:p>
    <w:p>
      <w:pPr>
        <w:spacing w:line="360" w:lineRule="auto"/>
        <w:ind w:firstLine="480"/>
        <w:rPr>
          <w:rFonts w:ascii="宋体" w:hAnsi="宋体" w:cs="宋体"/>
          <w:sz w:val="24"/>
        </w:rPr>
      </w:pPr>
      <w:r>
        <w:rPr>
          <w:rFonts w:hint="eastAsia" w:ascii="宋体" w:hAnsi="宋体" w:cs="宋体"/>
          <w:sz w:val="24"/>
        </w:rPr>
        <w:t>合同履约期限：详见招标文件。</w:t>
      </w:r>
    </w:p>
    <w:p>
      <w:pPr>
        <w:spacing w:line="360" w:lineRule="auto"/>
        <w:ind w:firstLine="480"/>
        <w:rPr>
          <w:rFonts w:ascii="宋体" w:hAnsi="宋体" w:cs="宋体"/>
          <w:sz w:val="24"/>
        </w:rPr>
      </w:pPr>
      <w:r>
        <w:rPr>
          <w:rFonts w:hint="eastAsia" w:ascii="宋体" w:hAnsi="宋体" w:cs="宋体"/>
          <w:sz w:val="24"/>
        </w:rPr>
        <w:t>本标项不接受联合体投标</w:t>
      </w:r>
    </w:p>
    <w:p>
      <w:pPr>
        <w:spacing w:line="360" w:lineRule="auto"/>
        <w:ind w:firstLine="480"/>
        <w:rPr>
          <w:rFonts w:ascii="宋体" w:hAnsi="宋体" w:cs="宋体"/>
          <w:sz w:val="24"/>
        </w:rPr>
      </w:pPr>
      <w:r>
        <w:rPr>
          <w:rFonts w:hint="eastAsia" w:ascii="宋体" w:hAnsi="宋体" w:cs="宋体"/>
          <w:sz w:val="24"/>
        </w:rPr>
        <w:t>备注：/。</w:t>
      </w:r>
    </w:p>
    <w:p>
      <w:pPr>
        <w:spacing w:line="360" w:lineRule="auto"/>
        <w:rPr>
          <w:rFonts w:ascii="宋体" w:hAnsi="宋体" w:cs="宋体"/>
          <w:b/>
          <w:sz w:val="24"/>
        </w:rPr>
      </w:pPr>
      <w:r>
        <w:rPr>
          <w:rFonts w:hint="eastAsia" w:ascii="宋体" w:hAnsi="宋体" w:cs="宋体"/>
          <w:b/>
          <w:sz w:val="24"/>
        </w:rPr>
        <w:t>二、</w:t>
      </w:r>
      <w:bookmarkStart w:id="15" w:name="_Hlk101132948"/>
      <w:r>
        <w:rPr>
          <w:rFonts w:hint="eastAsia" w:ascii="宋体" w:hAnsi="宋体" w:cs="宋体"/>
          <w:b/>
          <w:sz w:val="24"/>
        </w:rPr>
        <w:t>申请人的资格要求</w:t>
      </w:r>
      <w:bookmarkEnd w:id="15"/>
      <w:r>
        <w:rPr>
          <w:rFonts w:hint="eastAsia" w:ascii="宋体" w:hAnsi="宋体" w:cs="宋体"/>
          <w:b/>
          <w:sz w:val="24"/>
        </w:rPr>
        <w:t>：</w:t>
      </w:r>
    </w:p>
    <w:p>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w:t>
      </w:r>
      <w:r>
        <w:rPr>
          <w:rFonts w:ascii="宋体" w:hAnsi="宋体" w:cs="宋体"/>
          <w:snapToGrid w:val="0"/>
          <w:kern w:val="28"/>
          <w:sz w:val="24"/>
          <w:szCs w:val="20"/>
        </w:rPr>
        <w:t xml:space="preserve"> </w:t>
      </w:r>
    </w:p>
    <w:p>
      <w:pPr>
        <w:spacing w:line="360" w:lineRule="auto"/>
        <w:ind w:firstLine="480" w:firstLineChars="200"/>
        <w:rPr>
          <w:rFonts w:ascii="宋体" w:hAnsi="宋体" w:cs="宋体"/>
          <w:snapToGrid w:val="0"/>
          <w:kern w:val="28"/>
          <w:sz w:val="24"/>
          <w:szCs w:val="20"/>
        </w:rPr>
      </w:pPr>
      <w:r>
        <w:rPr>
          <w:rFonts w:hint="eastAsia" w:ascii="宋体" w:hAnsi="宋体" w:cs="宋体"/>
          <w:snapToGrid w:val="0"/>
          <w:kern w:val="28"/>
          <w:sz w:val="24"/>
          <w:szCs w:val="20"/>
        </w:rPr>
        <w:t>2.落实政府采购政策需满足的资格要求：</w:t>
      </w:r>
      <w:bookmarkStart w:id="16" w:name="OLE_LINK17"/>
      <w:bookmarkStart w:id="17" w:name="OLE_LINK12"/>
      <w:bookmarkStart w:id="18" w:name="OLE_LINK16"/>
      <w:bookmarkStart w:id="19" w:name="OLE_LINK15"/>
      <w:r>
        <w:rPr>
          <w:rFonts w:hint="eastAsia" w:ascii="宋体" w:hAnsi="宋体" w:cs="宋体"/>
          <w:sz w:val="24"/>
        </w:rPr>
        <w:t>无。</w:t>
      </w:r>
      <w:bookmarkEnd w:id="16"/>
      <w:bookmarkEnd w:id="17"/>
      <w:bookmarkEnd w:id="18"/>
      <w:bookmarkEnd w:id="19"/>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pacing w:line="360" w:lineRule="auto"/>
        <w:rPr>
          <w:rFonts w:ascii="宋体" w:hAnsi="宋体" w:cs="宋体"/>
          <w:b/>
          <w:sz w:val="24"/>
        </w:rPr>
      </w:pPr>
      <w:r>
        <w:rPr>
          <w:rFonts w:hint="eastAsia" w:ascii="宋体" w:hAnsi="宋体" w:cs="宋体"/>
          <w:b/>
          <w:sz w:val="24"/>
        </w:rPr>
        <w:t xml:space="preserve">三、获取招标文件 </w:t>
      </w:r>
    </w:p>
    <w:p>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2025年1</w:t>
      </w:r>
      <w:r>
        <w:rPr>
          <w:rFonts w:hint="eastAsia" w:ascii="宋体" w:hAnsi="宋体" w:cs="宋体"/>
          <w:sz w:val="24"/>
          <w:u w:val="single"/>
          <w:lang w:val="en-US" w:eastAsia="zh-CN"/>
        </w:rPr>
        <w:t>1</w:t>
      </w:r>
      <w:r>
        <w:rPr>
          <w:rFonts w:hint="eastAsia" w:ascii="宋体" w:hAnsi="宋体" w:cs="宋体"/>
          <w:sz w:val="24"/>
          <w:u w:val="single"/>
        </w:rPr>
        <w:t>月</w:t>
      </w:r>
      <w:r>
        <w:rPr>
          <w:rFonts w:hint="eastAsia" w:ascii="宋体" w:hAnsi="宋体" w:cs="宋体"/>
          <w:sz w:val="24"/>
          <w:u w:val="single"/>
          <w:lang w:val="en-US" w:eastAsia="zh-CN"/>
        </w:rPr>
        <w:t>12</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2025年1</w:t>
      </w:r>
      <w:r>
        <w:rPr>
          <w:rFonts w:hint="eastAsia" w:ascii="宋体" w:hAnsi="宋体" w:cs="宋体"/>
          <w:sz w:val="24"/>
          <w:u w:val="single"/>
          <w:lang w:val="en-US" w:eastAsia="zh-CN"/>
        </w:rPr>
        <w:t>1</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pPr>
        <w:spacing w:line="360" w:lineRule="auto"/>
        <w:ind w:firstLine="480" w:firstLineChars="200"/>
        <w:rPr>
          <w:rFonts w:hint="eastAsia" w:ascii="宋体" w:hAnsi="宋体" w:cs="宋体"/>
          <w:sz w:val="24"/>
        </w:rPr>
      </w:pPr>
      <w:r>
        <w:rPr>
          <w:rFonts w:hint="eastAsia" w:ascii="宋体" w:hAnsi="宋体" w:cs="宋体"/>
          <w:sz w:val="24"/>
        </w:rPr>
        <w:t>地点（网址）：广西政府采购云平台线上获取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sz w:val="24"/>
        </w:rPr>
      </w:pPr>
      <w:r>
        <w:rPr>
          <w:rFonts w:hint="eastAsia" w:ascii="宋体" w:hAnsi="宋体" w:cs="宋体"/>
          <w:sz w:val="24"/>
        </w:rPr>
        <w:t xml:space="preserve">售价（元）：0 </w:t>
      </w:r>
      <w:r>
        <w:rPr>
          <w:rFonts w:hint="eastAsia" w:ascii="宋体" w:hAnsi="宋体" w:cs="宋体"/>
          <w:sz w:val="24"/>
        </w:rPr>
        <w:tab/>
      </w:r>
    </w:p>
    <w:p>
      <w:pPr>
        <w:spacing w:line="360" w:lineRule="auto"/>
        <w:rPr>
          <w:rFonts w:ascii="宋体" w:hAnsi="宋体" w:cs="宋体"/>
          <w:b/>
          <w:sz w:val="24"/>
        </w:rPr>
      </w:pPr>
      <w:r>
        <w:rPr>
          <w:rFonts w:hint="eastAsia" w:ascii="宋体" w:hAnsi="宋体" w:cs="宋体"/>
          <w:b/>
          <w:sz w:val="24"/>
        </w:rPr>
        <w:t>四、提交投标文件截止时间、开标时间和地点</w:t>
      </w:r>
    </w:p>
    <w:p>
      <w:pPr>
        <w:spacing w:line="360" w:lineRule="auto"/>
        <w:ind w:firstLine="480" w:firstLineChars="200"/>
        <w:rPr>
          <w:rFonts w:hint="eastAsia" w:ascii="宋体" w:hAnsi="宋体" w:cs="宋体"/>
          <w:sz w:val="24"/>
        </w:rPr>
      </w:pPr>
      <w:r>
        <w:rPr>
          <w:rFonts w:hint="eastAsia" w:ascii="宋体" w:hAnsi="宋体" w:cs="宋体"/>
          <w:sz w:val="24"/>
        </w:rPr>
        <w:t>提交投标文件截止时间：2025年12月03日 09:00（北京时间）</w:t>
      </w:r>
    </w:p>
    <w:p>
      <w:pPr>
        <w:spacing w:line="360" w:lineRule="auto"/>
        <w:ind w:firstLine="480" w:firstLineChars="200"/>
        <w:rPr>
          <w:rFonts w:hint="eastAsia" w:ascii="宋体" w:hAnsi="宋体" w:cs="宋体"/>
          <w:sz w:val="24"/>
        </w:rPr>
      </w:pPr>
      <w:r>
        <w:rPr>
          <w:rFonts w:hint="eastAsia" w:ascii="宋体" w:hAnsi="宋体" w:cs="宋体"/>
          <w:sz w:val="24"/>
        </w:rPr>
        <w:t>投标地点（网址）：请登录广西政府采购云平台投标客户端投标 </w:t>
      </w:r>
    </w:p>
    <w:p>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2025年1</w:t>
      </w:r>
      <w:r>
        <w:rPr>
          <w:rFonts w:hint="eastAsia" w:ascii="宋体" w:hAnsi="宋体" w:cs="宋体"/>
          <w:sz w:val="24"/>
          <w:u w:val="single"/>
          <w:lang w:val="en-US" w:eastAsia="zh-CN"/>
        </w:rPr>
        <w:t>2</w:t>
      </w:r>
      <w:r>
        <w:rPr>
          <w:rFonts w:hint="eastAsia" w:ascii="宋体" w:hAnsi="宋体" w:cs="宋体"/>
          <w:sz w:val="24"/>
          <w:u w:val="single"/>
        </w:rPr>
        <w:t>月</w:t>
      </w:r>
      <w:r>
        <w:rPr>
          <w:rFonts w:hint="eastAsia" w:ascii="宋体" w:hAnsi="宋体" w:cs="宋体"/>
          <w:sz w:val="24"/>
          <w:u w:val="single"/>
          <w:lang w:val="en-US" w:eastAsia="zh-CN"/>
        </w:rPr>
        <w:t>3</w:t>
      </w:r>
      <w:r>
        <w:rPr>
          <w:rFonts w:hint="eastAsia" w:ascii="宋体" w:hAnsi="宋体" w:cs="宋体"/>
          <w:sz w:val="24"/>
          <w:u w:val="single"/>
        </w:rPr>
        <w:t>日9点00分00秒</w:t>
      </w:r>
    </w:p>
    <w:p>
      <w:pPr>
        <w:spacing w:line="360" w:lineRule="auto"/>
        <w:ind w:firstLine="480" w:firstLineChars="200"/>
        <w:rPr>
          <w:rFonts w:ascii="宋体" w:hAnsi="宋体" w:cs="宋体"/>
          <w:sz w:val="24"/>
        </w:rPr>
      </w:pPr>
      <w:r>
        <w:rPr>
          <w:rFonts w:hint="eastAsia" w:ascii="宋体" w:hAnsi="宋体" w:cs="宋体"/>
          <w:sz w:val="24"/>
        </w:rPr>
        <w:t>开标地点（网址）：广西政府采购云平台（https://www.gcy.zfcg.gxzf.gov.cn/）</w:t>
      </w:r>
    </w:p>
    <w:p>
      <w:pPr>
        <w:spacing w:line="360" w:lineRule="auto"/>
        <w:rPr>
          <w:rFonts w:ascii="宋体" w:hAnsi="宋体" w:cs="宋体"/>
          <w:sz w:val="24"/>
        </w:rPr>
      </w:pPr>
      <w:r>
        <w:rPr>
          <w:rFonts w:hint="eastAsia" w:ascii="宋体" w:hAnsi="宋体" w:cs="宋体"/>
          <w:b/>
          <w:sz w:val="24"/>
        </w:rPr>
        <w:t xml:space="preserve">五、公告期限 </w:t>
      </w:r>
    </w:p>
    <w:p>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pPr>
        <w:spacing w:line="360" w:lineRule="auto"/>
        <w:rPr>
          <w:rFonts w:ascii="宋体" w:hAnsi="宋体" w:cs="宋体"/>
          <w:b/>
          <w:sz w:val="24"/>
        </w:rPr>
      </w:pPr>
      <w:r>
        <w:rPr>
          <w:rFonts w:hint="eastAsia" w:ascii="宋体" w:hAnsi="宋体" w:cs="宋体"/>
          <w:b/>
          <w:sz w:val="24"/>
        </w:rPr>
        <w:t>六、其他补充事宜</w:t>
      </w:r>
    </w:p>
    <w:p>
      <w:pPr>
        <w:spacing w:line="360" w:lineRule="auto"/>
        <w:ind w:firstLine="480" w:firstLineChars="200"/>
        <w:rPr>
          <w:rFonts w:ascii="宋体" w:hAnsi="宋体" w:cs="宋体"/>
          <w:sz w:val="24"/>
        </w:rPr>
      </w:pPr>
      <w:r>
        <w:rPr>
          <w:rFonts w:hint="eastAsia" w:ascii="宋体" w:hAnsi="宋体" w:cs="宋体"/>
          <w:sz w:val="24"/>
        </w:rPr>
        <w:t>1.投标保证金：本项目不收取。</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4.网上公告媒体查询：中国政府采购网、广西政府采购网、北海市政府采购监管网、北海市人民政府网-北海市政府采购中心网站、全国公共资源交易平台（广西•北海）。</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．本项目为北海市推动解决政府采购异常低价试点项目。</w:t>
      </w:r>
    </w:p>
    <w:p>
      <w:pPr>
        <w:spacing w:line="360" w:lineRule="auto"/>
        <w:rPr>
          <w:rFonts w:ascii="宋体" w:hAnsi="宋体" w:cs="宋体"/>
          <w:b/>
          <w:sz w:val="24"/>
        </w:rPr>
      </w:pPr>
      <w:r>
        <w:rPr>
          <w:rFonts w:hint="eastAsia" w:ascii="宋体" w:hAnsi="宋体" w:cs="宋体"/>
          <w:b/>
          <w:sz w:val="24"/>
        </w:rPr>
        <w:t>七、对本次采购提出询问、质疑、投诉，请按以下方式联系</w:t>
      </w:r>
    </w:p>
    <w:p>
      <w:pPr>
        <w:spacing w:line="360" w:lineRule="auto"/>
        <w:ind w:firstLine="480"/>
        <w:rPr>
          <w:rFonts w:ascii="宋体" w:hAnsi="宋体" w:cs="宋体"/>
          <w:sz w:val="24"/>
        </w:rPr>
      </w:pPr>
      <w:r>
        <w:rPr>
          <w:rFonts w:hint="eastAsia" w:ascii="宋体" w:hAnsi="宋体" w:cs="宋体"/>
          <w:sz w:val="24"/>
        </w:rPr>
        <w:t>1.采购人信息</w:t>
      </w:r>
    </w:p>
    <w:p>
      <w:pPr>
        <w:spacing w:line="360" w:lineRule="auto"/>
        <w:ind w:firstLine="480"/>
        <w:rPr>
          <w:rFonts w:ascii="宋体" w:hAnsi="宋体" w:cs="宋体"/>
          <w:sz w:val="24"/>
        </w:rPr>
      </w:pPr>
      <w:r>
        <w:rPr>
          <w:rFonts w:hint="eastAsia" w:ascii="宋体" w:hAnsi="宋体" w:cs="宋体"/>
          <w:sz w:val="24"/>
        </w:rPr>
        <w:t xml:space="preserve">名    称：北海市卫生学校 </w:t>
      </w:r>
    </w:p>
    <w:p>
      <w:pPr>
        <w:spacing w:line="360" w:lineRule="auto"/>
        <w:rPr>
          <w:rFonts w:ascii="宋体" w:hAnsi="宋体" w:cs="宋体"/>
          <w:sz w:val="24"/>
        </w:rPr>
      </w:pPr>
      <w:r>
        <w:rPr>
          <w:rFonts w:hint="eastAsia" w:ascii="宋体" w:hAnsi="宋体" w:cs="宋体"/>
          <w:sz w:val="24"/>
        </w:rPr>
        <w:t xml:space="preserve">    地    址：北海市银海区银滩大道99号   </w:t>
      </w:r>
    </w:p>
    <w:p>
      <w:pPr>
        <w:spacing w:line="360" w:lineRule="auto"/>
        <w:ind w:firstLine="480"/>
        <w:rPr>
          <w:rFonts w:ascii="宋体" w:hAnsi="宋体" w:cs="宋体"/>
          <w:sz w:val="24"/>
        </w:rPr>
      </w:pPr>
      <w:r>
        <w:rPr>
          <w:rFonts w:hint="eastAsia" w:ascii="宋体" w:hAnsi="宋体" w:cs="宋体"/>
          <w:sz w:val="24"/>
        </w:rPr>
        <w:t>项目联系人：何显著</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p>
    <w:p>
      <w:pPr>
        <w:spacing w:line="360" w:lineRule="auto"/>
        <w:ind w:firstLine="480"/>
        <w:rPr>
          <w:rFonts w:hint="eastAsia" w:ascii="宋体" w:hAnsi="宋体" w:cs="宋体"/>
          <w:sz w:val="24"/>
        </w:rPr>
      </w:pPr>
      <w:r>
        <w:rPr>
          <w:rFonts w:hint="eastAsia" w:ascii="宋体" w:hAnsi="宋体" w:cs="宋体"/>
          <w:sz w:val="24"/>
        </w:rPr>
        <w:t>项目联系方式：18177940883 </w:t>
      </w:r>
    </w:p>
    <w:p>
      <w:pPr>
        <w:spacing w:line="360" w:lineRule="auto"/>
        <w:ind w:firstLine="480"/>
        <w:rPr>
          <w:rFonts w:ascii="宋体" w:hAnsi="宋体" w:cs="宋体"/>
          <w:sz w:val="24"/>
        </w:rPr>
      </w:pPr>
      <w:r>
        <w:rPr>
          <w:rFonts w:hint="eastAsia" w:ascii="宋体" w:hAnsi="宋体" w:cs="宋体"/>
          <w:sz w:val="24"/>
        </w:rPr>
        <w:t xml:space="preserve">2.采购代理机构信息            </w:t>
      </w:r>
    </w:p>
    <w:p>
      <w:pPr>
        <w:spacing w:line="360" w:lineRule="auto"/>
        <w:ind w:firstLine="480"/>
        <w:rPr>
          <w:rFonts w:ascii="宋体" w:hAnsi="宋体" w:cs="宋体"/>
          <w:sz w:val="24"/>
        </w:rPr>
      </w:pPr>
      <w:r>
        <w:rPr>
          <w:rFonts w:hint="eastAsia" w:ascii="宋体" w:hAnsi="宋体" w:cs="宋体"/>
          <w:sz w:val="24"/>
        </w:rPr>
        <w:t>名    称：北海市政府采购中心</w:t>
      </w:r>
    </w:p>
    <w:p>
      <w:pPr>
        <w:spacing w:line="360" w:lineRule="auto"/>
        <w:ind w:firstLine="480"/>
        <w:rPr>
          <w:rFonts w:ascii="宋体" w:hAnsi="宋体" w:cs="宋体"/>
          <w:sz w:val="24"/>
        </w:rPr>
      </w:pPr>
      <w:r>
        <w:rPr>
          <w:rFonts w:hint="eastAsia" w:ascii="宋体" w:hAnsi="宋体" w:cs="宋体"/>
          <w:sz w:val="24"/>
        </w:rPr>
        <w:t>地    址：北海市海城区陈文村北路7号市直机关第三办公区2号楼一层</w:t>
      </w:r>
    </w:p>
    <w:p>
      <w:pPr>
        <w:spacing w:line="360" w:lineRule="auto"/>
        <w:rPr>
          <w:rFonts w:ascii="宋体" w:hAnsi="宋体" w:cs="宋体"/>
          <w:sz w:val="24"/>
        </w:rPr>
      </w:pPr>
      <w:r>
        <w:rPr>
          <w:rFonts w:hint="eastAsia" w:ascii="宋体" w:hAnsi="宋体" w:cs="宋体"/>
          <w:sz w:val="24"/>
        </w:rPr>
        <w:t xml:space="preserve">    项目联系人（询问）：莫工</w:t>
      </w:r>
    </w:p>
    <w:p>
      <w:pPr>
        <w:spacing w:line="360" w:lineRule="auto"/>
        <w:rPr>
          <w:rFonts w:ascii="宋体" w:hAnsi="宋体" w:cs="宋体"/>
          <w:sz w:val="24"/>
        </w:rPr>
      </w:pPr>
      <w:r>
        <w:rPr>
          <w:rFonts w:hint="eastAsia" w:ascii="宋体" w:hAnsi="宋体" w:cs="宋体"/>
          <w:sz w:val="24"/>
        </w:rPr>
        <w:t xml:space="preserve">    项目联系方式（询问）：</w:t>
      </w:r>
      <w:r>
        <w:rPr>
          <w:rFonts w:ascii="宋体" w:hAnsi="宋体" w:cs="宋体"/>
          <w:sz w:val="24"/>
        </w:rPr>
        <w:t>0779-3056122</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360" w:lineRule="auto"/>
        <w:ind w:firstLine="480" w:firstLineChars="200"/>
        <w:rPr>
          <w:rFonts w:ascii="宋体" w:hAnsi="宋体" w:cs="宋体"/>
          <w:sz w:val="24"/>
        </w:rPr>
      </w:pPr>
    </w:p>
    <w:p>
      <w:pPr>
        <w:pStyle w:val="32"/>
        <w:spacing w:line="360" w:lineRule="auto"/>
        <w:rPr>
          <w:rFonts w:hAnsi="宋体" w:cs="宋体"/>
          <w:b/>
          <w:sz w:val="36"/>
          <w:szCs w:val="20"/>
        </w:rPr>
      </w:pPr>
      <w:r>
        <w:rPr>
          <w:rFonts w:hint="eastAsia" w:hAnsi="宋体" w:cs="宋体"/>
          <w:sz w:val="24"/>
        </w:rPr>
        <w:t xml:space="preserve">                        </w:t>
      </w:r>
      <w:r>
        <w:rPr>
          <w:rFonts w:hAnsi="宋体" w:cs="宋体"/>
          <w:b/>
          <w:sz w:val="36"/>
          <w:szCs w:val="20"/>
        </w:rPr>
        <w:t xml:space="preserve"> </w:t>
      </w:r>
    </w:p>
    <w:p>
      <w:pPr>
        <w:widowControl/>
        <w:adjustRightInd/>
        <w:jc w:val="left"/>
        <w:rPr>
          <w:rFonts w:ascii="宋体" w:hAnsi="宋体" w:cs="宋体"/>
          <w:b/>
          <w:snapToGrid w:val="0"/>
          <w:sz w:val="36"/>
          <w:szCs w:val="20"/>
        </w:rPr>
      </w:pPr>
      <w:r>
        <w:rPr>
          <w:rFonts w:hAnsi="宋体" w:cs="宋体"/>
          <w:b/>
          <w:sz w:val="36"/>
          <w:szCs w:val="20"/>
        </w:rPr>
        <w:br w:type="page"/>
      </w:r>
    </w:p>
    <w:p>
      <w:pPr>
        <w:pStyle w:val="32"/>
        <w:spacing w:line="360" w:lineRule="auto"/>
        <w:rPr>
          <w:rFonts w:hAnsi="宋体" w:cs="宋体"/>
          <w:b/>
          <w:sz w:val="36"/>
          <w:szCs w:val="20"/>
        </w:rPr>
      </w:pPr>
    </w:p>
    <w:p>
      <w:pPr>
        <w:adjustRightInd/>
        <w:spacing w:line="360" w:lineRule="auto"/>
        <w:jc w:val="center"/>
        <w:outlineLvl w:val="0"/>
        <w:rPr>
          <w:rFonts w:ascii="宋体" w:hAnsi="宋体" w:cs="宋体"/>
          <w:b/>
          <w:sz w:val="36"/>
          <w:szCs w:val="20"/>
        </w:rPr>
      </w:pPr>
      <w:bookmarkStart w:id="20" w:name="_Toc176185120"/>
      <w:bookmarkStart w:id="21" w:name="_Toc176343849"/>
      <w:r>
        <w:rPr>
          <w:rFonts w:hint="eastAsia" w:ascii="宋体" w:hAnsi="宋体" w:cs="宋体"/>
          <w:b/>
          <w:sz w:val="36"/>
          <w:szCs w:val="20"/>
        </w:rPr>
        <w:t>第二部分</w:t>
      </w:r>
      <w:bookmarkEnd w:id="10"/>
      <w:r>
        <w:rPr>
          <w:rFonts w:hint="eastAsia" w:ascii="宋体" w:hAnsi="宋体" w:cs="宋体"/>
          <w:b/>
          <w:sz w:val="36"/>
          <w:szCs w:val="20"/>
        </w:rPr>
        <w:t xml:space="preserve">  投标人须知</w:t>
      </w:r>
      <w:bookmarkEnd w:id="11"/>
      <w:bookmarkEnd w:id="20"/>
      <w:bookmarkEnd w:id="21"/>
    </w:p>
    <w:p>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480" w:lineRule="exact"/>
              <w:rPr>
                <w:rFonts w:ascii="宋体" w:hAnsi="宋体" w:cs="宋体"/>
                <w:kern w:val="0"/>
                <w:sz w:val="24"/>
                <w:u w:val="single"/>
              </w:rPr>
            </w:pPr>
            <w:r>
              <w:rPr>
                <w:rFonts w:hint="eastAsia" w:ascii="宋体" w:hAnsi="宋体" w:cs="宋体"/>
                <w:kern w:val="0"/>
                <w:sz w:val="24"/>
              </w:rPr>
              <w:t>货物类，单一产品或核心产品为：</w:t>
            </w:r>
            <w:r>
              <w:rPr>
                <w:rFonts w:hint="eastAsia" w:ascii="宋体" w:hAnsi="宋体" w:cs="宋体"/>
                <w:szCs w:val="21"/>
                <w:u w:val="single"/>
              </w:rPr>
              <w:t>平衡功能评定训练系统</w:t>
            </w:r>
            <w:r>
              <w:rPr>
                <w:rFonts w:hint="eastAsia" w:ascii="宋体" w:hAnsi="宋体" w:cs="宋体"/>
                <w:kern w:val="0"/>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rPr>
                <w:rFonts w:ascii="宋体" w:hAnsi="宋体" w:cs="宋体"/>
                <w:kern w:val="0"/>
                <w:sz w:val="24"/>
              </w:rPr>
            </w:pPr>
            <w:r>
              <w:rPr>
                <w:rFonts w:hint="eastAsia" w:ascii="宋体" w:hAnsi="宋体" w:cs="宋体"/>
                <w:kern w:val="0"/>
                <w:sz w:val="24"/>
              </w:rPr>
              <w:t>标的：</w:t>
            </w:r>
            <w:r>
              <w:rPr>
                <w:rFonts w:hint="eastAsia" w:ascii="宋体" w:hAnsi="宋体" w:cs="宋体"/>
                <w:szCs w:val="21"/>
                <w:u w:val="single"/>
              </w:rPr>
              <w:t>平衡功能评定训练系统（动静态平衡评估训练系统）</w:t>
            </w:r>
            <w:r>
              <w:rPr>
                <w:rFonts w:hint="eastAsia" w:ascii="宋体" w:hAnsi="宋体" w:cs="宋体"/>
                <w:sz w:val="24"/>
                <w:u w:val="single"/>
              </w:rPr>
              <w:t>、</w:t>
            </w:r>
            <w:r>
              <w:rPr>
                <w:rFonts w:hint="eastAsia" w:ascii="宋体" w:hAnsi="宋体" w:cs="宋体"/>
                <w:szCs w:val="21"/>
                <w:u w:val="single"/>
              </w:rPr>
              <w:t>捏力计</w:t>
            </w:r>
            <w:r>
              <w:rPr>
                <w:rFonts w:hint="eastAsia" w:ascii="宋体" w:hAnsi="宋体" w:cs="宋体"/>
                <w:sz w:val="24"/>
                <w:u w:val="single"/>
              </w:rPr>
              <w:t>、</w:t>
            </w:r>
            <w:r>
              <w:rPr>
                <w:rFonts w:hint="eastAsia" w:ascii="宋体" w:hAnsi="宋体" w:cs="宋体"/>
                <w:szCs w:val="21"/>
                <w:u w:val="single"/>
              </w:rPr>
              <w:t>电子量角器</w:t>
            </w:r>
            <w:r>
              <w:rPr>
                <w:rFonts w:hint="eastAsia" w:ascii="宋体" w:hAnsi="宋体" w:cs="宋体"/>
                <w:kern w:val="0"/>
                <w:sz w:val="24"/>
                <w:u w:val="single"/>
              </w:rPr>
              <w:t>等清单所列设备</w:t>
            </w:r>
            <w:r>
              <w:rPr>
                <w:rFonts w:hint="eastAsia" w:ascii="宋体" w:hAnsi="宋体" w:cs="宋体"/>
                <w:kern w:val="0"/>
                <w:sz w:val="24"/>
              </w:rPr>
              <w:t>，属于</w:t>
            </w:r>
            <w:r>
              <w:rPr>
                <w:rFonts w:ascii="宋体" w:hAnsi="宋体" w:cs="宋体"/>
                <w:kern w:val="0"/>
                <w:sz w:val="24"/>
              </w:rPr>
              <w:t xml:space="preserve"> </w:t>
            </w:r>
            <w:r>
              <w:rPr>
                <w:rFonts w:hint="eastAsia" w:ascii="宋体" w:hAnsi="宋体" w:cs="宋体"/>
                <w:kern w:val="0"/>
                <w:sz w:val="24"/>
                <w:u w:val="single"/>
              </w:rPr>
              <w:t>工业</w:t>
            </w:r>
            <w:r>
              <w:rPr>
                <w:rFonts w:ascii="宋体" w:hAnsi="宋体" w:cs="宋体"/>
                <w:kern w:val="0"/>
                <w:sz w:val="24"/>
              </w:rPr>
              <w:t xml:space="preserve"> </w:t>
            </w:r>
            <w:r>
              <w:rPr>
                <w:rFonts w:hint="eastAsia" w:ascii="宋体" w:hAnsi="宋体" w:cs="宋体"/>
                <w:kern w:val="0"/>
                <w:sz w:val="24"/>
              </w:rPr>
              <w:t>行业；</w:t>
            </w:r>
          </w:p>
          <w:p>
            <w:pPr>
              <w:spacing w:line="48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kern w:val="0"/>
                <w:sz w:val="24"/>
              </w:rPr>
            </w:pPr>
            <w:sdt>
              <w:sdtPr>
                <w:rPr>
                  <w:rFonts w:hint="eastAsia" w:ascii="宋体" w:hAnsi="宋体" w:cs="宋体"/>
                  <w:vanish/>
                  <w:kern w:val="0"/>
                  <w:sz w:val="24"/>
                  <w:highlight w:val="yellow"/>
                </w:rPr>
                <w:id w:val="-1828425707"/>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pPr>
              <w:spacing w:line="360" w:lineRule="auto"/>
              <w:rPr>
                <w:rFonts w:ascii="宋体" w:hAnsi="宋体" w:cs="宋体"/>
              </w:rPr>
            </w:pPr>
            <w:sdt>
              <w:sdtPr>
                <w:rPr>
                  <w:rFonts w:hint="eastAsia" w:ascii="宋体" w:hAnsi="宋体" w:cs="宋体"/>
                  <w:vanish/>
                  <w:kern w:val="0"/>
                  <w:sz w:val="24"/>
                  <w:highlight w:val="yellow"/>
                </w:rPr>
                <w:id w:val="-52852824"/>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1477286927"/>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vanish/>
                  <w:kern w:val="0"/>
                  <w:sz w:val="24"/>
                  <w:highlight w:val="yellow"/>
                </w:rPr>
                <w:id w:val="-1276331357"/>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pPr>
              <w:spacing w:line="360" w:lineRule="auto"/>
              <w:rPr>
                <w:rFonts w:ascii="宋体" w:hAnsi="宋体" w:cs="宋体"/>
                <w:sz w:val="24"/>
              </w:rPr>
            </w:pPr>
            <w:r>
              <w:rPr>
                <w:rFonts w:hint="eastAsia" w:ascii="宋体" w:hAnsi="宋体" w:cs="宋体"/>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212966419"/>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sz w:val="24"/>
                <w:szCs w:val="20"/>
              </w:rPr>
            </w:pPr>
            <w:sdt>
              <w:sdtPr>
                <w:rPr>
                  <w:rFonts w:hint="eastAsia" w:ascii="宋体" w:hAnsi="宋体" w:cs="宋体"/>
                  <w:vanish/>
                  <w:kern w:val="0"/>
                  <w:sz w:val="24"/>
                  <w:highlight w:val="yellow"/>
                </w:rPr>
                <w:id w:val="-999802974"/>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1639946486"/>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pPr>
              <w:spacing w:line="360" w:lineRule="auto"/>
              <w:rPr>
                <w:rFonts w:ascii="宋体" w:hAnsi="宋体" w:cs="宋体"/>
                <w:kern w:val="0"/>
                <w:sz w:val="24"/>
              </w:rPr>
            </w:pPr>
            <w:sdt>
              <w:sdtPr>
                <w:rPr>
                  <w:rFonts w:hint="eastAsia" w:ascii="宋体" w:hAnsi="宋体" w:cs="宋体"/>
                  <w:vanish/>
                  <w:kern w:val="0"/>
                  <w:sz w:val="24"/>
                  <w:highlight w:val="yellow"/>
                </w:rPr>
                <w:id w:val="1026831988"/>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vanish/>
                  <w:kern w:val="0"/>
                  <w:sz w:val="24"/>
                  <w:highlight w:val="yellow"/>
                </w:rPr>
                <w:id w:val="1303421454"/>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vanish/>
                  <w:kern w:val="0"/>
                  <w:sz w:val="24"/>
                  <w:highlight w:val="yellow"/>
                </w:rPr>
                <w:id w:val="1621728433"/>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1859348549"/>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kern w:val="0"/>
                <w:sz w:val="24"/>
              </w:rPr>
            </w:pPr>
            <w:sdt>
              <w:sdtPr>
                <w:rPr>
                  <w:rFonts w:hint="eastAsia" w:ascii="宋体" w:hAnsi="宋体" w:cs="宋体"/>
                  <w:vanish/>
                  <w:kern w:val="0"/>
                  <w:sz w:val="24"/>
                  <w:highlight w:val="yellow"/>
                </w:rPr>
                <w:id w:val="1174071719"/>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t>☐</w:t>
                </w:r>
              </w:sdtContent>
            </w:sdt>
            <w:r>
              <w:rPr>
                <w:rFonts w:hint="eastAsia" w:ascii="宋体" w:hAnsi="宋体" w:cs="宋体"/>
                <w:kern w:val="0"/>
                <w:sz w:val="24"/>
              </w:rPr>
              <w:t>B组织。</w:t>
            </w:r>
          </w:p>
          <w:p>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（1）资格证明文件：见招标文件第二部分11.1。</w:t>
            </w:r>
          </w:p>
          <w:p>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pPr>
              <w:spacing w:line="360" w:lineRule="auto"/>
              <w:ind w:firstLine="480" w:firstLineChars="200"/>
              <w:rPr>
                <w:rFonts w:ascii="宋体" w:hAnsi="宋体" w:cs="宋体"/>
                <w:sz w:val="24"/>
              </w:rPr>
            </w:pPr>
            <w:r>
              <w:rPr>
                <w:rFonts w:hint="eastAsia" w:ascii="宋体" w:hAnsi="宋体" w:cs="宋体"/>
                <w:kern w:val="0"/>
                <w:sz w:val="24"/>
              </w:rPr>
              <w:t>报价属于采购文件规定的异常低价情形之一，且未能按要求提供书面说明或者提交相关证明材料证明其报价合理性的</w:t>
            </w:r>
            <w:r>
              <w:rPr>
                <w:rFonts w:hint="eastAsia" w:ascii="宋体" w:hAnsi="宋体" w:cs="宋体"/>
                <w:sz w:val="24"/>
                <w:szCs w:val="21"/>
              </w:rPr>
              <w:t>;</w:t>
            </w:r>
          </w:p>
          <w:p>
            <w:pPr>
              <w:spacing w:line="360" w:lineRule="auto"/>
              <w:ind w:firstLine="480" w:firstLineChars="200"/>
              <w:rPr>
                <w:rFonts w:ascii="宋体" w:hAnsi="宋体" w:eastAsia="宋体" w:cs="宋体"/>
                <w:kern w:val="2"/>
                <w:sz w:val="24"/>
                <w:szCs w:val="24"/>
                <w:lang w:val="en-US" w:eastAsia="zh-CN" w:bidi="ar-SA"/>
              </w:rPr>
            </w:pPr>
            <w:r>
              <w:rPr>
                <w:rFonts w:hint="eastAsia" w:ascii="宋体" w:hAnsi="宋体" w:cs="宋体"/>
                <w:kern w:val="0"/>
                <w:sz w:val="24"/>
              </w:rPr>
              <w:t>投标人对根据修正原则修正后的报价不确认的</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1297724926"/>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spacing w:line="360" w:lineRule="auto"/>
              <w:rPr>
                <w:rFonts w:hAnsi="宋体" w:cs="宋体"/>
                <w:kern w:val="28"/>
                <w:sz w:val="24"/>
              </w:rPr>
            </w:pPr>
            <w:sdt>
              <w:sdtPr>
                <w:rPr>
                  <w:rFonts w:hint="eastAsia" w:ascii="宋体" w:hAnsi="宋体" w:cs="宋体"/>
                  <w:vanish/>
                  <w:kern w:val="0"/>
                  <w:sz w:val="24"/>
                  <w:highlight w:val="yellow"/>
                </w:rPr>
                <w:id w:val="1206604863"/>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接受</w:t>
            </w:r>
            <w:r>
              <w:rPr>
                <w:rFonts w:hint="eastAsia" w:ascii="宋体" w:hAnsi="宋体" w:cs="宋体"/>
                <w:kern w:val="0"/>
                <w:sz w:val="24"/>
              </w:rPr>
              <w:t>：</w:t>
            </w:r>
            <w:r>
              <w:rPr>
                <w:rFonts w:hint="eastAsia" w:hAnsi="宋体" w:cs="宋体"/>
                <w:kern w:val="28"/>
                <w:sz w:val="24"/>
              </w:rPr>
              <w:t>备份投标文件送达地点：</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sz w:val="24"/>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vanish/>
                  <w:kern w:val="0"/>
                  <w:sz w:val="24"/>
                  <w:highlight w:val="yellow"/>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vanish/>
                  <w:kern w:val="0"/>
                  <w:sz w:val="24"/>
                  <w:highlight w:val="yellow"/>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vanish/>
                  <w:kern w:val="0"/>
                  <w:sz w:val="24"/>
                  <w:highlight w:val="yellow"/>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vanish/>
                  <w:kern w:val="0"/>
                  <w:sz w:val="24"/>
                  <w:highlight w:val="yellow"/>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pPr>
        <w:snapToGrid w:val="0"/>
        <w:spacing w:line="360" w:lineRule="auto"/>
        <w:jc w:val="center"/>
        <w:rPr>
          <w:rFonts w:ascii="宋体" w:hAnsi="宋体" w:cs="宋体"/>
          <w:b/>
          <w:sz w:val="32"/>
          <w:szCs w:val="20"/>
        </w:rPr>
      </w:pPr>
    </w:p>
    <w:bookmarkEnd w:id="12"/>
    <w:p>
      <w:pPr>
        <w:adjustRightInd/>
        <w:spacing w:line="360" w:lineRule="auto"/>
        <w:ind w:firstLine="3845" w:firstLineChars="1197"/>
        <w:outlineLvl w:val="1"/>
        <w:rPr>
          <w:rFonts w:ascii="宋体" w:hAnsi="宋体" w:cs="宋体"/>
          <w:b/>
          <w:sz w:val="32"/>
          <w:szCs w:val="20"/>
        </w:rPr>
      </w:pPr>
      <w:bookmarkStart w:id="22" w:name="_Toc164416483"/>
      <w:bookmarkStart w:id="23" w:name="第三部分"/>
      <w:r>
        <w:rPr>
          <w:rFonts w:hint="eastAsia" w:ascii="宋体" w:hAnsi="宋体" w:cs="宋体"/>
          <w:b/>
          <w:sz w:val="32"/>
          <w:szCs w:val="20"/>
        </w:rPr>
        <w:t>一、总则</w:t>
      </w:r>
    </w:p>
    <w:p>
      <w:pPr>
        <w:snapToGrid w:val="0"/>
        <w:spacing w:line="360" w:lineRule="auto"/>
        <w:jc w:val="left"/>
        <w:rPr>
          <w:rFonts w:ascii="宋体" w:hAnsi="宋体" w:cs="宋体"/>
          <w:b/>
          <w:sz w:val="24"/>
        </w:rPr>
      </w:pPr>
      <w:r>
        <w:rPr>
          <w:rFonts w:hint="eastAsia" w:ascii="宋体" w:hAnsi="宋体" w:cs="宋体"/>
          <w:b/>
          <w:sz w:val="24"/>
        </w:rPr>
        <w:t>1. 适用范围</w:t>
      </w:r>
    </w:p>
    <w:p>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sz w:val="24"/>
        </w:rPr>
      </w:pPr>
      <w:r>
        <w:rPr>
          <w:rFonts w:hint="eastAsia" w:ascii="宋体" w:hAnsi="宋体" w:cs="宋体"/>
          <w:b/>
          <w:sz w:val="24"/>
        </w:rPr>
        <w:t>2.定义</w:t>
      </w:r>
    </w:p>
    <w:p>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pPr>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pPr>
        <w:spacing w:line="360" w:lineRule="auto"/>
        <w:ind w:firstLine="480" w:firstLineChars="200"/>
        <w:rPr>
          <w:rFonts w:ascii="宋体" w:hAnsi="宋体" w:cs="宋体"/>
          <w:sz w:val="24"/>
        </w:rPr>
      </w:pPr>
      <w:r>
        <w:rPr>
          <w:rFonts w:hint="eastAsia" w:ascii="宋体" w:hAnsi="宋体" w:cs="宋体"/>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3.2 支持绿色发展</w:t>
      </w:r>
    </w:p>
    <w:p>
      <w:pPr>
        <w:spacing w:line="360" w:lineRule="auto"/>
        <w:ind w:firstLine="480" w:firstLineChars="200"/>
        <w:rPr>
          <w:rFonts w:ascii="宋体" w:hAnsi="宋体" w:cs="宋体"/>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24" w:name="_Hlk107568539"/>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hint="eastAsia" w:ascii="宋体" w:hAnsi="宋体" w:cs="宋体"/>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24"/>
    </w:p>
    <w:p>
      <w:pPr>
        <w:spacing w:line="360" w:lineRule="auto"/>
        <w:ind w:firstLine="480" w:firstLineChars="200"/>
        <w:rPr>
          <w:rFonts w:ascii="宋体" w:hAnsi="宋体" w:cs="宋体"/>
          <w:sz w:val="24"/>
        </w:rPr>
      </w:pPr>
      <w:r>
        <w:rPr>
          <w:rFonts w:hint="eastAsia" w:ascii="宋体" w:hAnsi="宋体" w:cs="宋体"/>
          <w:sz w:val="24"/>
        </w:rPr>
        <w:t>3.3支持中小企业发展</w:t>
      </w:r>
    </w:p>
    <w:p>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25" w:name="_Hlk101132181"/>
      <w:r>
        <w:rPr>
          <w:rFonts w:hint="eastAsia" w:ascii="宋体" w:hAnsi="宋体" w:cs="宋体"/>
          <w:sz w:val="24"/>
        </w:rPr>
        <w:t>联合协议或者分包意向协议约定小微企业的合同份额占到合同总金额30%以上的</w:t>
      </w:r>
      <w:bookmarkEnd w:id="25"/>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rPr>
        <w:t>面向中小企业采购的政府采购项目或者采购包不再执行价格扣除政策。</w:t>
      </w:r>
    </w:p>
    <w:p>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中标的，依法承担法律责任。</w:t>
      </w:r>
    </w:p>
    <w:p>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sz w:val="24"/>
        </w:rPr>
      </w:pPr>
      <w:r>
        <w:rPr>
          <w:rFonts w:hint="eastAsia" w:ascii="宋体" w:hAnsi="宋体" w:cs="宋体"/>
          <w:sz w:val="24"/>
        </w:rPr>
        <w:t>3.5平等对待内外资企业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2"/>
        <w:rPr>
          <w:bCs/>
        </w:rPr>
      </w:pPr>
      <w:r>
        <w:rPr>
          <w:rFonts w:hint="eastAsia"/>
        </w:rPr>
        <w:t>3.6平等对待符合条件的破产重整企业</w:t>
      </w:r>
    </w:p>
    <w:p>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pPr>
        <w:spacing w:line="360" w:lineRule="auto"/>
        <w:ind w:firstLine="482" w:firstLineChars="200"/>
        <w:rPr>
          <w:rFonts w:asciiTheme="minorEastAsia" w:hAnsiTheme="minorEastAsia" w:eastAsiaTheme="minorEastAsia"/>
          <w:b/>
        </w:rPr>
      </w:pPr>
      <w:r>
        <w:rPr>
          <w:rFonts w:hint="eastAsia" w:ascii="宋体" w:hAnsi="宋体"/>
          <w:b/>
          <w:sz w:val="24"/>
        </w:rPr>
        <w:t>4. 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4.1在线询问、质疑、投诉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中标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w:t>
      </w:r>
      <w:r>
        <w:rPr>
          <w:rFonts w:hint="eastAsia" w:asciiTheme="minorEastAsia" w:hAnsiTheme="minorEastAsia" w:eastAsiaTheme="minorEastAsia"/>
          <w:color w:val="000000" w:themeColor="text1"/>
          <w:sz w:val="24"/>
          <w14:textFill>
            <w14:solidFill>
              <w14:schemeClr w14:val="tx1"/>
            </w14:solidFill>
          </w14:textFill>
        </w:rPr>
        <w:t>3063975</w:t>
      </w:r>
      <w:r>
        <w:rPr>
          <w:rFonts w:hint="eastAsia" w:asciiTheme="minorEastAsia" w:hAnsiTheme="minorEastAsia" w:eastAsiaTheme="minorEastAsia"/>
          <w:color w:val="000000" w:themeColor="text1"/>
          <w:sz w:val="24"/>
          <w:lang w:val="zh-CN"/>
          <w14:textFill>
            <w14:solidFill>
              <w14:schemeClr w14:val="tx1"/>
            </w14:solidFill>
          </w14:textFill>
        </w:rPr>
        <w:t>，地址：广西北海市合浦县廉州镇明园南路50号。</w:t>
      </w:r>
    </w:p>
    <w:p>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4.2供应商询问</w:t>
      </w:r>
    </w:p>
    <w:p>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pPr>
        <w:pStyle w:val="886"/>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pPr>
      <w:r>
        <w:rPr>
          <w:rFonts w:hint="eastAsia"/>
        </w:rPr>
        <w:t>质疑函范本及制作说明详见附件2。</w:t>
      </w:r>
    </w:p>
    <w:p>
      <w:pPr>
        <w:pStyle w:val="886"/>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bookmarkStart w:id="26" w:name="OLE_LINK9"/>
            <w:bookmarkStart w:id="27" w:name="OLE_LINK1"/>
            <w:r>
              <w:rPr>
                <w:rFonts w:hint="eastAsia" w:asciiTheme="minorEastAsia" w:hAnsiTheme="minorEastAsia" w:eastAsiaTheme="minorEastAsia"/>
                <w:sz w:val="24"/>
              </w:rPr>
              <w:t>北海市政府采购中心</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bl>
    <w:p>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采购人或代理机构应当协助质疑答复责任主体及时答复</w:t>
      </w:r>
      <w:r>
        <w:rPr>
          <w:rFonts w:hint="eastAsia"/>
        </w:rPr>
        <w:t>供应商的书面质疑。</w:t>
      </w:r>
    </w:p>
    <w:p>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pPr>
        <w:pStyle w:val="886"/>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pPr>
      <w:r>
        <w:rPr>
          <w:rFonts w:hint="eastAsia"/>
        </w:rPr>
        <w:t>4.4.4 以联合体形式参加政府采购活动的，其投诉应当由组成联合体的所有供应商共同提出。</w:t>
      </w:r>
    </w:p>
    <w:p>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pPr>
        <w:pStyle w:val="32"/>
        <w:spacing w:line="360" w:lineRule="auto"/>
        <w:rPr>
          <w:rFonts w:hAnsi="宋体" w:cs="宋体"/>
          <w:b/>
          <w:sz w:val="24"/>
          <w:szCs w:val="24"/>
        </w:rPr>
      </w:pPr>
      <w:r>
        <w:rPr>
          <w:rFonts w:hint="eastAsia" w:hAnsi="宋体" w:cs="宋体"/>
          <w:b/>
          <w:sz w:val="24"/>
          <w:szCs w:val="24"/>
        </w:rPr>
        <w:t>5．招标文件的构成</w:t>
      </w:r>
    </w:p>
    <w:p>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pPr>
        <w:pStyle w:val="32"/>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pPr>
        <w:pStyle w:val="32"/>
        <w:spacing w:line="360" w:lineRule="auto"/>
        <w:rPr>
          <w:rFonts w:hAnsi="宋体" w:cs="宋体"/>
          <w:b/>
          <w:sz w:val="24"/>
          <w:szCs w:val="24"/>
        </w:rPr>
      </w:pPr>
      <w:r>
        <w:rPr>
          <w:rFonts w:hint="eastAsia" w:hAnsi="宋体" w:cs="宋体"/>
          <w:b/>
          <w:sz w:val="24"/>
          <w:szCs w:val="24"/>
        </w:rPr>
        <w:t>6. 招标文件的澄清、修改</w:t>
      </w:r>
    </w:p>
    <w:p>
      <w:pPr>
        <w:pStyle w:val="128"/>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pPr>
        <w:pStyle w:val="128"/>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sz w:val="18"/>
          <w:szCs w:val="18"/>
          <w:lang w:val="en-US"/>
        </w:rPr>
      </w:pPr>
      <w:r>
        <w:rPr>
          <w:rFonts w:hint="eastAsia" w:hAnsi="宋体" w:cs="宋体"/>
          <w:szCs w:val="24"/>
          <w:lang w:val="en-US"/>
        </w:rPr>
        <w:t xml:space="preserve">    </w:t>
      </w:r>
    </w:p>
    <w:p>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pPr>
        <w:pStyle w:val="32"/>
        <w:spacing w:line="360" w:lineRule="auto"/>
        <w:rPr>
          <w:rFonts w:hAnsi="宋体" w:cs="宋体"/>
          <w:b/>
          <w:sz w:val="24"/>
          <w:szCs w:val="24"/>
        </w:rPr>
      </w:pPr>
      <w:r>
        <w:rPr>
          <w:rFonts w:hint="eastAsia" w:hAnsi="宋体" w:cs="宋体"/>
          <w:b/>
          <w:sz w:val="24"/>
          <w:szCs w:val="24"/>
        </w:rPr>
        <w:t>7. 招标文件的获取</w:t>
      </w:r>
    </w:p>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pPr>
        <w:pStyle w:val="32"/>
        <w:spacing w:line="360" w:lineRule="auto"/>
        <w:rPr>
          <w:rFonts w:hAnsi="宋体" w:cs="宋体"/>
          <w:b/>
          <w:sz w:val="24"/>
          <w:szCs w:val="24"/>
        </w:rPr>
      </w:pPr>
      <w:r>
        <w:rPr>
          <w:rFonts w:hint="eastAsia" w:hAnsi="宋体" w:cs="宋体"/>
          <w:b/>
          <w:sz w:val="24"/>
          <w:szCs w:val="24"/>
        </w:rPr>
        <w:t>8.开标前答疑会或现场考察</w:t>
      </w:r>
    </w:p>
    <w:p>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pPr>
        <w:pStyle w:val="32"/>
        <w:spacing w:line="360" w:lineRule="auto"/>
        <w:rPr>
          <w:rFonts w:hAnsi="宋体" w:cs="宋体"/>
          <w:b/>
          <w:szCs w:val="24"/>
        </w:rPr>
      </w:pPr>
      <w:r>
        <w:rPr>
          <w:rFonts w:hint="eastAsia" w:hAnsi="宋体" w:cs="宋体"/>
          <w:b/>
          <w:kern w:val="28"/>
          <w:sz w:val="24"/>
          <w:szCs w:val="24"/>
        </w:rPr>
        <w:t>9.投标保证金</w:t>
      </w:r>
    </w:p>
    <w:p>
      <w:pPr>
        <w:pStyle w:val="32"/>
        <w:spacing w:line="360" w:lineRule="auto"/>
        <w:ind w:firstLine="480" w:firstLineChars="200"/>
        <w:rPr>
          <w:rFonts w:hint="eastAsia" w:hAnsi="宋体" w:cs="宋体"/>
          <w:color w:val="auto"/>
          <w:sz w:val="24"/>
        </w:rPr>
      </w:pPr>
      <w:r>
        <w:rPr>
          <w:rFonts w:hint="eastAsia" w:hAnsi="宋体" w:cs="宋体"/>
          <w:color w:val="auto"/>
          <w:sz w:val="24"/>
        </w:rPr>
        <w:t>本项目不收取投标保证金。</w:t>
      </w:r>
    </w:p>
    <w:p>
      <w:pPr>
        <w:pStyle w:val="32"/>
        <w:spacing w:line="360" w:lineRule="auto"/>
        <w:rPr>
          <w:rFonts w:hAnsi="宋体" w:cs="宋体"/>
          <w:b/>
          <w:sz w:val="24"/>
          <w:szCs w:val="24"/>
        </w:rPr>
      </w:pPr>
      <w:r>
        <w:rPr>
          <w:rFonts w:hint="eastAsia" w:hAnsi="宋体" w:cs="宋体"/>
          <w:b/>
          <w:sz w:val="24"/>
          <w:szCs w:val="24"/>
        </w:rPr>
        <w:t>10. 投标文件的语言</w:t>
      </w:r>
    </w:p>
    <w:p>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pPr>
        <w:pStyle w:val="32"/>
        <w:spacing w:line="360" w:lineRule="auto"/>
        <w:rPr>
          <w:rFonts w:hAnsi="宋体" w:cs="宋体"/>
          <w:b/>
          <w:sz w:val="24"/>
          <w:szCs w:val="24"/>
        </w:rPr>
      </w:pPr>
      <w:r>
        <w:rPr>
          <w:rFonts w:hint="eastAsia" w:hAnsi="宋体" w:cs="宋体"/>
          <w:b/>
          <w:sz w:val="24"/>
          <w:szCs w:val="24"/>
        </w:rPr>
        <w:t>11. 投标文件的组成</w:t>
      </w:r>
      <w:r>
        <w:rPr>
          <w:rFonts w:hint="eastAsia" w:hAnsi="宋体" w:cs="宋体"/>
          <w:b/>
          <w:color w:val="FF0000"/>
          <w:sz w:val="24"/>
          <w:szCs w:val="24"/>
        </w:rPr>
        <w:t>（标注“▲”为实质性要求，供应商必须提供，否则投标无效。相关格式见招标文件第六部分）</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bookmarkStart w:id="28" w:name="_Hlk101259339"/>
      <w:r>
        <w:rPr>
          <w:rFonts w:hint="eastAsia" w:ascii="宋体" w:hAnsi="宋体" w:cs="宋体"/>
          <w:snapToGrid w:val="0"/>
          <w:kern w:val="28"/>
          <w:sz w:val="24"/>
          <w:szCs w:val="20"/>
        </w:rPr>
        <w:t>联合协议</w:t>
      </w:r>
      <w:bookmarkEnd w:id="28"/>
      <w:r>
        <w:rPr>
          <w:rFonts w:hint="eastAsia" w:ascii="宋体" w:hAnsi="宋体" w:cs="宋体"/>
          <w:snapToGrid w:val="0"/>
          <w:kern w:val="28"/>
          <w:sz w:val="24"/>
          <w:szCs w:val="20"/>
        </w:rPr>
        <w:t>（如果有)；</w:t>
      </w:r>
    </w:p>
    <w:p>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11.2.1投标函；</w:t>
      </w:r>
      <w:r>
        <w:rPr>
          <w:rFonts w:hint="eastAsia" w:ascii="宋体" w:hAnsi="宋体" w:cs="宋体"/>
          <w:sz w:val="24"/>
          <w:lang w:val="zh-CN"/>
        </w:rPr>
        <w:t xml:space="preserve"> </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11.2.2授权委托书或法定代表人（单位负责人、自然人本人）身份证明；</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pPr>
        <w:snapToGrid w:val="0"/>
        <w:spacing w:line="360" w:lineRule="auto"/>
        <w:ind w:firstLine="482" w:firstLineChars="200"/>
        <w:rPr>
          <w:rFonts w:ascii="宋体" w:hAnsi="宋体" w:cs="宋体"/>
          <w:sz w:val="24"/>
          <w:lang w:val="zh-CN"/>
        </w:rPr>
      </w:pPr>
      <w:r>
        <w:rPr>
          <w:rFonts w:hint="eastAsia" w:hAnsi="宋体" w:cs="宋体"/>
          <w:b/>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pStyle w:val="82"/>
      </w:pPr>
      <w:r>
        <w:rPr>
          <w:rFonts w:hint="eastAsia" w:cs="宋体"/>
          <w:b/>
          <w:szCs w:val="24"/>
        </w:rPr>
        <w:t>▲</w:t>
      </w:r>
      <w:r>
        <w:rPr>
          <w:rFonts w:hint="eastAsia"/>
        </w:rPr>
        <w:t>11.2.9承诺函；</w:t>
      </w:r>
    </w:p>
    <w:p>
      <w:pPr>
        <w:pStyle w:val="82"/>
      </w:pPr>
      <w:r>
        <w:rPr>
          <w:rFonts w:hint="eastAsia"/>
        </w:rPr>
        <w:t>11.2.10技术解决方案</w:t>
      </w:r>
      <w:r>
        <w:rPr>
          <w:rFonts w:hint="eastAsia" w:cs="宋体"/>
          <w:snapToGrid w:val="0"/>
          <w:kern w:val="28"/>
        </w:rPr>
        <w:t>（如果有)</w:t>
      </w:r>
      <w:r>
        <w:rPr>
          <w:rFonts w:hint="eastAsia"/>
        </w:rPr>
        <w:t>。可以是针对本项目的完整技术解决方案和实施方案；详细阐述项目方案的实现思路及关键技术；符合本项目对当前和未来发展的要求；以及对功能设计和实施计划的建议；</w:t>
      </w:r>
    </w:p>
    <w:p>
      <w:pPr>
        <w:pStyle w:val="82"/>
      </w:pPr>
      <w:r>
        <w:rPr>
          <w:rFonts w:hint="eastAsia"/>
        </w:rPr>
        <w:t>11.2.11组织实施方案</w:t>
      </w:r>
      <w:r>
        <w:rPr>
          <w:rFonts w:hint="eastAsia" w:cs="宋体"/>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pPr>
        <w:pStyle w:val="82"/>
      </w:pPr>
      <w:r>
        <w:rPr>
          <w:rFonts w:hint="eastAsia" w:cs="宋体"/>
          <w:b/>
          <w:szCs w:val="24"/>
        </w:rPr>
        <w:t>▲</w:t>
      </w:r>
      <w:r>
        <w:rPr>
          <w:rFonts w:hint="eastAsia"/>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报价文件：</w:t>
      </w:r>
      <w:r>
        <w:rPr>
          <w:rFonts w:hint="eastAsia" w:ascii="宋体" w:hAnsi="宋体" w:cs="宋体"/>
          <w:sz w:val="24"/>
        </w:rPr>
        <w:t xml:space="preserve"> </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11.3.1开标一览表（报价表）；</w:t>
      </w:r>
    </w:p>
    <w:p>
      <w:pPr>
        <w:snapToGrid w:val="0"/>
        <w:spacing w:line="360" w:lineRule="auto"/>
        <w:ind w:firstLine="480" w:firstLineChars="200"/>
        <w:rPr>
          <w:rFonts w:ascii="宋体" w:hAnsi="宋体" w:cs="宋体"/>
          <w:sz w:val="24"/>
        </w:rPr>
      </w:pPr>
      <w:r>
        <w:rPr>
          <w:rFonts w:hint="eastAsia" w:ascii="宋体" w:hAnsi="宋体" w:cs="宋体"/>
          <w:sz w:val="24"/>
        </w:rPr>
        <w:t>11.3.2中小企业声明函</w:t>
      </w:r>
      <w:r>
        <w:rPr>
          <w:rFonts w:hint="eastAsia" w:ascii="宋体" w:hAnsi="宋体" w:cs="宋体"/>
          <w:snapToGrid w:val="0"/>
          <w:kern w:val="28"/>
          <w:sz w:val="24"/>
          <w:szCs w:val="20"/>
        </w:rPr>
        <w:t>（如果有)</w:t>
      </w:r>
      <w:r>
        <w:rPr>
          <w:rFonts w:hint="eastAsia" w:ascii="宋体" w:hAnsi="宋体" w:cs="宋体"/>
          <w:sz w:val="24"/>
        </w:rPr>
        <w:t>。</w:t>
      </w:r>
    </w:p>
    <w:p>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pPr>
        <w:pStyle w:val="128"/>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snapToGrid w:val="0"/>
        <w:spacing w:line="360" w:lineRule="auto"/>
        <w:rPr>
          <w:rFonts w:ascii="宋体" w:hAnsi="宋体" w:cs="宋体"/>
          <w:b/>
          <w:sz w:val="24"/>
        </w:rPr>
      </w:pPr>
      <w:r>
        <w:rPr>
          <w:rFonts w:hint="eastAsia" w:ascii="宋体" w:hAnsi="宋体" w:cs="宋体"/>
          <w:b/>
          <w:sz w:val="24"/>
        </w:rPr>
        <w:t>13.投标文件的签署、盖章</w:t>
      </w:r>
    </w:p>
    <w:p>
      <w:pPr>
        <w:pStyle w:val="128"/>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pPr>
        <w:pStyle w:val="128"/>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pPr>
        <w:pStyle w:val="128"/>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pPr>
        <w:pStyle w:val="128"/>
        <w:spacing w:before="0"/>
        <w:ind w:firstLine="0" w:firstLineChars="0"/>
        <w:rPr>
          <w:rFonts w:ascii="宋体" w:hAnsi="宋体" w:cs="宋体"/>
          <w:b/>
          <w:szCs w:val="24"/>
        </w:rPr>
      </w:pPr>
      <w:r>
        <w:rPr>
          <w:rFonts w:hint="eastAsia" w:ascii="宋体" w:hAnsi="宋体" w:cs="宋体"/>
          <w:b/>
          <w:szCs w:val="24"/>
        </w:rPr>
        <w:t>14. 投标文件的提交、补充、修改、撤回</w:t>
      </w:r>
    </w:p>
    <w:p>
      <w:pPr>
        <w:pStyle w:val="128"/>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8"/>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pPr>
        <w:pStyle w:val="128"/>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pPr>
        <w:pStyle w:val="32"/>
        <w:spacing w:line="360" w:lineRule="auto"/>
        <w:rPr>
          <w:rFonts w:hAnsi="宋体" w:cs="宋体"/>
          <w:b/>
          <w:sz w:val="24"/>
          <w:szCs w:val="24"/>
        </w:rPr>
      </w:pPr>
      <w:r>
        <w:rPr>
          <w:rFonts w:hint="eastAsia" w:hAnsi="宋体" w:cs="宋体"/>
          <w:b/>
          <w:sz w:val="24"/>
          <w:szCs w:val="24"/>
        </w:rPr>
        <w:t>15.备份投标文件</w:t>
      </w:r>
    </w:p>
    <w:p>
      <w:pPr>
        <w:ind w:firstLine="480" w:firstLineChars="200"/>
        <w:rPr>
          <w:rFonts w:ascii="宋体" w:hAnsi="宋体" w:cs="宋体"/>
          <w:sz w:val="24"/>
        </w:rPr>
      </w:pPr>
      <w:r>
        <w:rPr>
          <w:rFonts w:hint="eastAsia" w:ascii="宋体" w:hAnsi="宋体" w:cs="宋体"/>
          <w:sz w:val="24"/>
        </w:rPr>
        <w:t>本项目不提交。</w:t>
      </w:r>
    </w:p>
    <w:p>
      <w:pPr>
        <w:pStyle w:val="128"/>
        <w:spacing w:before="0"/>
        <w:ind w:firstLine="0" w:firstLineChars="0"/>
        <w:rPr>
          <w:rFonts w:ascii="宋体" w:hAnsi="宋体" w:cs="宋体"/>
          <w:b/>
          <w:szCs w:val="24"/>
        </w:rPr>
      </w:pPr>
      <w:r>
        <w:rPr>
          <w:rFonts w:hint="eastAsia" w:ascii="宋体" w:hAnsi="宋体" w:cs="宋体"/>
          <w:b/>
          <w:szCs w:val="24"/>
        </w:rPr>
        <w:t>16.投标文件的无效处理</w:t>
      </w:r>
    </w:p>
    <w:p>
      <w:pPr>
        <w:pStyle w:val="24"/>
        <w:spacing w:line="360" w:lineRule="auto"/>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pPr>
        <w:pStyle w:val="128"/>
        <w:spacing w:before="0"/>
        <w:ind w:firstLine="0" w:firstLineChars="0"/>
        <w:rPr>
          <w:rFonts w:ascii="宋体" w:hAnsi="宋体" w:cs="宋体"/>
          <w:b/>
          <w:szCs w:val="24"/>
        </w:rPr>
      </w:pPr>
      <w:r>
        <w:rPr>
          <w:rFonts w:hint="eastAsia" w:ascii="宋体" w:hAnsi="宋体" w:cs="宋体"/>
          <w:b/>
          <w:szCs w:val="24"/>
        </w:rPr>
        <w:t>17.投标有效期</w:t>
      </w:r>
    </w:p>
    <w:p>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pPr>
        <w:pStyle w:val="128"/>
        <w:spacing w:before="0"/>
        <w:ind w:firstLine="480"/>
        <w:rPr>
          <w:rFonts w:ascii="宋体" w:hAnsi="宋体" w:cs="宋体"/>
        </w:rPr>
      </w:pPr>
      <w:r>
        <w:rPr>
          <w:rFonts w:hint="eastAsia" w:ascii="宋体" w:hAnsi="宋体" w:cs="宋体"/>
        </w:rPr>
        <w:t>17.2投标文件合格投递后，自投标截止日期起，在投标有效期内有效。</w:t>
      </w:r>
    </w:p>
    <w:p>
      <w:pPr>
        <w:pStyle w:val="128"/>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color w:val="FF0000"/>
        </w:rPr>
        <w:t>采购人或</w:t>
      </w:r>
      <w:r>
        <w:rPr>
          <w:rFonts w:hint="eastAsia" w:ascii="宋体" w:hAnsi="宋体" w:cs="宋体"/>
        </w:rPr>
        <w:t>采购代理机构可以以书面形式通知</w:t>
      </w:r>
      <w:r>
        <w:rPr>
          <w:rFonts w:hint="eastAsia" w:ascii="宋体" w:hAnsi="宋体" w:cs="宋体"/>
          <w:color w:val="FF0000"/>
        </w:rPr>
        <w:t>所有</w:t>
      </w:r>
      <w:r>
        <w:rPr>
          <w:rFonts w:hint="eastAsia" w:ascii="宋体" w:hAnsi="宋体" w:cs="宋体"/>
        </w:rPr>
        <w:t>投标人延长投标有效期。投标人同意延长的，不得要求或被允许修改其投标文件，投标人拒绝延长的，其投标无效。</w:t>
      </w:r>
    </w:p>
    <w:p>
      <w:pPr>
        <w:pStyle w:val="128"/>
        <w:spacing w:before="0"/>
        <w:ind w:firstLine="643"/>
        <w:rPr>
          <w:rFonts w:ascii="宋体" w:hAnsi="宋体" w:cs="宋体"/>
          <w:b/>
          <w:sz w:val="32"/>
        </w:rPr>
      </w:pPr>
    </w:p>
    <w:p>
      <w:pPr>
        <w:pStyle w:val="128"/>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pPr>
        <w:pStyle w:val="554"/>
        <w:spacing w:before="0" w:line="360" w:lineRule="auto"/>
        <w:ind w:left="0" w:firstLine="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pPr>
        <w:pStyle w:val="554"/>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sz w:val="24"/>
          <w:szCs w:val="20"/>
        </w:rPr>
      </w:pPr>
      <w:r>
        <w:rPr>
          <w:rFonts w:hint="eastAsia" w:ascii="宋体" w:hAnsi="宋体" w:cs="宋体"/>
          <w:b/>
          <w:sz w:val="24"/>
          <w:szCs w:val="20"/>
        </w:rPr>
        <w:t>19.资格审查</w:t>
      </w:r>
    </w:p>
    <w:p>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采购人依据法律法规和招标文件的规定，对投标人的资格进行审查。</w:t>
      </w:r>
    </w:p>
    <w:p>
      <w:pPr>
        <w:pStyle w:val="128"/>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pPr>
        <w:pStyle w:val="128"/>
        <w:spacing w:before="0"/>
        <w:ind w:firstLine="0" w:firstLineChars="0"/>
        <w:rPr>
          <w:rFonts w:ascii="宋体" w:hAnsi="宋体" w:cs="宋体"/>
          <w:b/>
          <w:szCs w:val="24"/>
        </w:rPr>
      </w:pPr>
      <w:r>
        <w:rPr>
          <w:rFonts w:hint="eastAsia" w:ascii="宋体" w:hAnsi="宋体" w:cs="宋体"/>
          <w:b/>
          <w:szCs w:val="24"/>
        </w:rPr>
        <w:t>20.信用信息查询</w:t>
      </w:r>
    </w:p>
    <w:p>
      <w:pPr>
        <w:pStyle w:val="128"/>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rPr>
        <w:t>采购人或采购代理机构</w:t>
      </w:r>
      <w:r>
        <w:rPr>
          <w:rFonts w:hint="eastAsia" w:ascii="宋体" w:hAnsi="宋体" w:cs="宋体"/>
          <w:kern w:val="0"/>
          <w:szCs w:val="24"/>
        </w:rPr>
        <w:t>将在资格审查时通过“信用中国”网站(www.creditchina.gov.cn)、中国政府采购网(www.ccgp.gov.cn)渠道查询投标人接受资格审查时的信用记录。</w:t>
      </w:r>
    </w:p>
    <w:p>
      <w:pPr>
        <w:pStyle w:val="128"/>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pPr>
        <w:pStyle w:val="128"/>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pPr>
        <w:pStyle w:val="128"/>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pPr>
        <w:pStyle w:val="128"/>
        <w:spacing w:before="0"/>
        <w:ind w:firstLine="0" w:firstLineChars="0"/>
        <w:rPr>
          <w:rFonts w:ascii="宋体" w:hAnsi="宋体" w:cs="宋体"/>
          <w:kern w:val="0"/>
          <w:szCs w:val="24"/>
        </w:rPr>
      </w:pPr>
    </w:p>
    <w:p>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pPr>
        <w:spacing w:line="360" w:lineRule="auto"/>
        <w:rPr>
          <w:rFonts w:ascii="宋体" w:hAnsi="宋体" w:cs="宋体"/>
          <w:b/>
          <w:sz w:val="24"/>
        </w:rPr>
      </w:pPr>
      <w:bookmarkStart w:id="29" w:name="_Toc91899903"/>
      <w:r>
        <w:rPr>
          <w:rFonts w:hint="eastAsia" w:ascii="宋体" w:hAnsi="宋体" w:cs="宋体"/>
          <w:b/>
          <w:sz w:val="24"/>
        </w:rPr>
        <w:t>21.评标</w:t>
      </w:r>
    </w:p>
    <w:p>
      <w:pPr>
        <w:pStyle w:val="82"/>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pStyle w:val="82"/>
        <w:rPr>
          <w:rFonts w:cs="宋体"/>
          <w:b/>
        </w:rPr>
      </w:pPr>
      <w:r>
        <w:rPr>
          <w:rFonts w:hint="eastAsia" w:cs="宋体"/>
          <w:b/>
        </w:rPr>
        <w:t>21.2</w:t>
      </w:r>
      <w:r>
        <w:rPr>
          <w:rFonts w:hint="eastAsia" w:cs="宋体"/>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rPr>
        <w:t>详见招标文件第四部分评标办法。</w:t>
      </w:r>
    </w:p>
    <w:p>
      <w:pPr>
        <w:pStyle w:val="82"/>
      </w:pPr>
    </w:p>
    <w:p>
      <w:pPr>
        <w:spacing w:line="360" w:lineRule="auto"/>
        <w:rPr>
          <w:rFonts w:ascii="宋体" w:hAnsi="宋体" w:cs="宋体"/>
          <w:b/>
          <w:sz w:val="24"/>
        </w:rPr>
      </w:pPr>
    </w:p>
    <w:p>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pPr>
        <w:pStyle w:val="24"/>
        <w:spacing w:line="360" w:lineRule="auto"/>
        <w:ind w:left="479" w:hanging="479" w:hangingChars="199"/>
        <w:rPr>
          <w:rFonts w:cs="宋体"/>
          <w:b/>
        </w:rPr>
      </w:pPr>
      <w:r>
        <w:rPr>
          <w:rFonts w:hint="eastAsia" w:cs="宋体"/>
          <w:b/>
        </w:rPr>
        <w:t>22. 确定中标供应商</w:t>
      </w:r>
    </w:p>
    <w:p>
      <w:pPr>
        <w:pStyle w:val="128"/>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FF0000"/>
          <w:szCs w:val="24"/>
        </w:rPr>
        <w:t>5</w:t>
      </w:r>
      <w:r>
        <w:rPr>
          <w:rFonts w:hint="eastAsia" w:ascii="宋体" w:hAnsi="宋体" w:cs="宋体"/>
          <w:szCs w:val="24"/>
        </w:rPr>
        <w:t>个工作日内在线确定中标供应商。中标通知书和中标结果公告应当在规定时间内同时发出。</w:t>
      </w:r>
    </w:p>
    <w:p>
      <w:pPr>
        <w:pStyle w:val="128"/>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pPr>
        <w:snapToGrid w:val="0"/>
        <w:spacing w:line="360" w:lineRule="auto"/>
        <w:ind w:left="120" w:leftChars="57" w:firstLine="482" w:firstLineChars="150"/>
        <w:jc w:val="center"/>
        <w:rPr>
          <w:rFonts w:ascii="宋体" w:hAnsi="宋体" w:cs="宋体"/>
          <w:b/>
          <w:sz w:val="32"/>
        </w:rPr>
      </w:pPr>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pPr>
        <w:pStyle w:val="24"/>
        <w:spacing w:line="360" w:lineRule="auto"/>
        <w:ind w:left="479" w:hanging="479" w:hangingChars="199"/>
        <w:rPr>
          <w:rFonts w:cs="宋体"/>
          <w:b/>
        </w:rPr>
      </w:pPr>
      <w:r>
        <w:rPr>
          <w:rFonts w:hint="eastAsia" w:cs="宋体"/>
          <w:b/>
        </w:rPr>
        <w:t>25. 合同的签订</w:t>
      </w:r>
    </w:p>
    <w:p>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8"/>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pPr>
        <w:pStyle w:val="128"/>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pPr>
        <w:pStyle w:val="128"/>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pPr>
        <w:pStyle w:val="128"/>
        <w:snapToGrid w:val="0"/>
        <w:spacing w:before="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pPr>
        <w:pStyle w:val="128"/>
        <w:snapToGrid w:val="0"/>
        <w:spacing w:before="0"/>
        <w:ind w:firstLine="480"/>
        <w:rPr>
          <w:rFonts w:ascii="宋体" w:hAnsi="宋体" w:cs="宋体"/>
        </w:rPr>
      </w:pPr>
      <w:r>
        <w:rPr>
          <w:rFonts w:hint="eastAsia" w:ascii="宋体" w:hAnsi="宋体" w:cs="宋体"/>
        </w:rPr>
        <w:t>25.6政采贷</w:t>
      </w:r>
    </w:p>
    <w:p>
      <w:pPr>
        <w:pStyle w:val="128"/>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8"/>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8"/>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8"/>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8"/>
        <w:snapToGrid w:val="0"/>
        <w:spacing w:before="0"/>
        <w:ind w:firstLine="480"/>
        <w:rPr>
          <w:rFonts w:ascii="宋体" w:hAnsi="宋体" w:cs="宋体"/>
        </w:rPr>
      </w:pPr>
      <w:r>
        <w:rPr>
          <w:rFonts w:hint="eastAsia" w:ascii="宋体" w:hAnsi="宋体" w:cs="宋体"/>
        </w:rPr>
        <w:t>（四）贷款发放。贷款金融机构根据贷款协议向供应商发放贷款。</w:t>
      </w:r>
    </w:p>
    <w:p>
      <w:pPr>
        <w:pStyle w:val="128"/>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pPr>
        <w:pStyle w:val="128"/>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pPr>
        <w:pStyle w:val="128"/>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pPr>
        <w:pStyle w:val="128"/>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pPr>
        <w:pStyle w:val="82"/>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sz w:val="24"/>
          <w:szCs w:val="20"/>
        </w:rPr>
        <w:t>https://jinrong.gcy.zfcg.gxzf.gov.cn/finance/loan/gx</w:t>
      </w:r>
      <w:r>
        <w:rPr>
          <w:rStyle w:val="76"/>
          <w:rFonts w:ascii="宋体" w:hAnsi="宋体" w:eastAsia="宋体" w:cs="Times New Roman"/>
          <w:snapToGrid/>
          <w:sz w:val="24"/>
          <w:szCs w:val="20"/>
        </w:rPr>
        <w:fldChar w:fldCharType="end"/>
      </w:r>
      <w:r>
        <w:rPr>
          <w:rFonts w:hint="eastAsia"/>
        </w:rPr>
        <w:t>）</w:t>
      </w:r>
    </w:p>
    <w:p>
      <w:pPr>
        <w:pStyle w:val="82"/>
      </w:pPr>
      <w:r>
        <w:rPr>
          <w:rFonts w:hint="eastAsia"/>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银行名称</w:t>
            </w:r>
          </w:p>
        </w:tc>
        <w:tc>
          <w:tcPr>
            <w:tcW w:w="1134" w:type="dxa"/>
            <w:vAlign w:val="center"/>
          </w:tcPr>
          <w:p>
            <w:pPr>
              <w:pStyle w:val="82"/>
              <w:ind w:firstLine="0"/>
              <w:jc w:val="center"/>
            </w:pPr>
            <w:r>
              <w:rPr>
                <w:rFonts w:hint="eastAsia"/>
              </w:rPr>
              <w:t>联系电话</w:t>
            </w:r>
          </w:p>
        </w:tc>
        <w:tc>
          <w:tcPr>
            <w:tcW w:w="1701" w:type="dxa"/>
            <w:vAlign w:val="center"/>
          </w:tcPr>
          <w:p>
            <w:pPr>
              <w:pStyle w:val="82"/>
              <w:ind w:firstLine="0"/>
              <w:jc w:val="center"/>
            </w:pPr>
            <w:r>
              <w:rPr>
                <w:rFonts w:hint="eastAsia"/>
              </w:rPr>
              <w:t>最高授信金额</w:t>
            </w:r>
          </w:p>
        </w:tc>
        <w:tc>
          <w:tcPr>
            <w:tcW w:w="993" w:type="dxa"/>
            <w:vAlign w:val="center"/>
          </w:tcPr>
          <w:p>
            <w:pPr>
              <w:pStyle w:val="82"/>
              <w:ind w:firstLine="0"/>
              <w:jc w:val="center"/>
            </w:pPr>
            <w:r>
              <w:rPr>
                <w:rFonts w:hint="eastAsia"/>
              </w:rPr>
              <w:t>最长授信期限</w:t>
            </w:r>
          </w:p>
        </w:tc>
        <w:tc>
          <w:tcPr>
            <w:tcW w:w="850" w:type="dxa"/>
            <w:vAlign w:val="center"/>
          </w:tcPr>
          <w:p>
            <w:pPr>
              <w:pStyle w:val="82"/>
              <w:ind w:firstLine="0"/>
              <w:jc w:val="center"/>
            </w:pPr>
            <w:r>
              <w:rPr>
                <w:rFonts w:hint="eastAsia"/>
              </w:rPr>
              <w:t>最低利率</w:t>
            </w:r>
          </w:p>
        </w:tc>
        <w:tc>
          <w:tcPr>
            <w:tcW w:w="3366" w:type="dxa"/>
            <w:vAlign w:val="center"/>
          </w:tcPr>
          <w:p>
            <w:pPr>
              <w:pStyle w:val="82"/>
              <w:ind w:firstLine="0"/>
              <w:jc w:val="center"/>
            </w:pPr>
            <w:r>
              <w:rPr>
                <w:rFonts w:hint="eastAsia"/>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建设银行</w:t>
            </w:r>
          </w:p>
        </w:tc>
        <w:tc>
          <w:tcPr>
            <w:tcW w:w="1134" w:type="dxa"/>
            <w:vAlign w:val="center"/>
          </w:tcPr>
          <w:p>
            <w:pPr>
              <w:pStyle w:val="82"/>
              <w:ind w:firstLine="0"/>
              <w:jc w:val="center"/>
            </w:pPr>
            <w:r>
              <w:rPr>
                <w:rFonts w:hint="eastAsia"/>
              </w:rPr>
              <w:t>13077729988</w:t>
            </w:r>
          </w:p>
        </w:tc>
        <w:tc>
          <w:tcPr>
            <w:tcW w:w="1701" w:type="dxa"/>
            <w:vAlign w:val="center"/>
          </w:tcPr>
          <w:p>
            <w:pPr>
              <w:pStyle w:val="82"/>
              <w:ind w:firstLine="0"/>
            </w:pPr>
            <w:r>
              <w:rPr>
                <w:rFonts w:hint="eastAsia"/>
              </w:rPr>
              <w:t>最高3千万</w:t>
            </w:r>
          </w:p>
        </w:tc>
        <w:tc>
          <w:tcPr>
            <w:tcW w:w="993" w:type="dxa"/>
            <w:vAlign w:val="center"/>
          </w:tcPr>
          <w:p>
            <w:pPr>
              <w:pStyle w:val="82"/>
              <w:ind w:firstLine="0"/>
              <w:jc w:val="center"/>
            </w:pPr>
            <w:r>
              <w:rPr>
                <w:rFonts w:hint="eastAsia"/>
              </w:rPr>
              <w:t>1年</w:t>
            </w:r>
          </w:p>
        </w:tc>
        <w:tc>
          <w:tcPr>
            <w:tcW w:w="850" w:type="dxa"/>
            <w:vAlign w:val="center"/>
          </w:tcPr>
          <w:p>
            <w:pPr>
              <w:pStyle w:val="82"/>
              <w:ind w:firstLine="0"/>
              <w:jc w:val="center"/>
            </w:pPr>
            <w:r>
              <w:rPr>
                <w:rFonts w:hint="eastAsia"/>
              </w:rPr>
              <w:t>4%</w:t>
            </w:r>
          </w:p>
        </w:tc>
        <w:tc>
          <w:tcPr>
            <w:tcW w:w="3366" w:type="dxa"/>
            <w:vAlign w:val="center"/>
          </w:tcPr>
          <w:p>
            <w:pPr>
              <w:pStyle w:val="82"/>
              <w:ind w:firstLine="0"/>
            </w:pPr>
            <w:r>
              <w:rPr>
                <w:rFonts w:hint="eastAsia"/>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中国银行</w:t>
            </w:r>
          </w:p>
        </w:tc>
        <w:tc>
          <w:tcPr>
            <w:tcW w:w="1134" w:type="dxa"/>
            <w:vAlign w:val="center"/>
          </w:tcPr>
          <w:p>
            <w:pPr>
              <w:pStyle w:val="82"/>
              <w:ind w:firstLine="0"/>
              <w:jc w:val="center"/>
            </w:pPr>
            <w:r>
              <w:rPr>
                <w:rFonts w:hint="eastAsia"/>
              </w:rPr>
              <w:t>0779-3997084</w:t>
            </w:r>
          </w:p>
        </w:tc>
        <w:tc>
          <w:tcPr>
            <w:tcW w:w="1701" w:type="dxa"/>
            <w:vAlign w:val="center"/>
          </w:tcPr>
          <w:p>
            <w:pPr>
              <w:pStyle w:val="82"/>
              <w:ind w:firstLine="0"/>
            </w:pPr>
            <w:r>
              <w:rPr>
                <w:rFonts w:hint="eastAsia"/>
              </w:rPr>
              <w:t>最高1千万</w:t>
            </w:r>
          </w:p>
        </w:tc>
        <w:tc>
          <w:tcPr>
            <w:tcW w:w="993" w:type="dxa"/>
            <w:vAlign w:val="center"/>
          </w:tcPr>
          <w:p>
            <w:pPr>
              <w:pStyle w:val="82"/>
              <w:ind w:firstLine="0"/>
              <w:jc w:val="center"/>
            </w:pPr>
            <w:r>
              <w:rPr>
                <w:rFonts w:hint="eastAsia"/>
              </w:rPr>
              <w:t>3年</w:t>
            </w:r>
          </w:p>
        </w:tc>
        <w:tc>
          <w:tcPr>
            <w:tcW w:w="850" w:type="dxa"/>
            <w:vAlign w:val="center"/>
          </w:tcPr>
          <w:p>
            <w:pPr>
              <w:pStyle w:val="82"/>
              <w:ind w:firstLine="0"/>
              <w:jc w:val="center"/>
            </w:pPr>
            <w:r>
              <w:rPr>
                <w:rFonts w:hint="eastAsia"/>
              </w:rPr>
              <w:t>1.93%</w:t>
            </w:r>
          </w:p>
        </w:tc>
        <w:tc>
          <w:tcPr>
            <w:tcW w:w="3366" w:type="dxa"/>
            <w:vAlign w:val="center"/>
          </w:tcPr>
          <w:p>
            <w:pPr>
              <w:pStyle w:val="82"/>
              <w:ind w:firstLine="0"/>
            </w:pPr>
            <w:r>
              <w:rPr>
                <w:rFonts w:hint="eastAsia"/>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兴业银行</w:t>
            </w:r>
          </w:p>
        </w:tc>
        <w:tc>
          <w:tcPr>
            <w:tcW w:w="1134" w:type="dxa"/>
            <w:vAlign w:val="center"/>
          </w:tcPr>
          <w:p>
            <w:pPr>
              <w:pStyle w:val="82"/>
              <w:ind w:firstLine="0"/>
              <w:jc w:val="center"/>
            </w:pPr>
            <w:r>
              <w:rPr>
                <w:rFonts w:hint="eastAsia"/>
              </w:rPr>
              <w:t>0779-3158330</w:t>
            </w:r>
          </w:p>
        </w:tc>
        <w:tc>
          <w:tcPr>
            <w:tcW w:w="1701" w:type="dxa"/>
            <w:vAlign w:val="center"/>
          </w:tcPr>
          <w:p>
            <w:pPr>
              <w:pStyle w:val="82"/>
              <w:ind w:firstLine="0"/>
            </w:pPr>
            <w:r>
              <w:rPr>
                <w:rFonts w:hint="eastAsia"/>
              </w:rPr>
              <w:t>最高1千万（单笔提款金额达合同金额70%）</w:t>
            </w:r>
          </w:p>
        </w:tc>
        <w:tc>
          <w:tcPr>
            <w:tcW w:w="993" w:type="dxa"/>
            <w:vAlign w:val="center"/>
          </w:tcPr>
          <w:p>
            <w:pPr>
              <w:pStyle w:val="82"/>
              <w:ind w:firstLine="0"/>
              <w:jc w:val="center"/>
            </w:pPr>
            <w:r>
              <w:rPr>
                <w:rFonts w:hint="eastAsia"/>
              </w:rPr>
              <w:t>1年</w:t>
            </w:r>
          </w:p>
        </w:tc>
        <w:tc>
          <w:tcPr>
            <w:tcW w:w="850" w:type="dxa"/>
            <w:vAlign w:val="center"/>
          </w:tcPr>
          <w:p>
            <w:pPr>
              <w:pStyle w:val="82"/>
              <w:ind w:firstLine="0"/>
              <w:jc w:val="center"/>
            </w:pPr>
            <w:r>
              <w:rPr>
                <w:rFonts w:hint="eastAsia"/>
              </w:rPr>
              <w:t>3.70%</w:t>
            </w:r>
          </w:p>
        </w:tc>
        <w:tc>
          <w:tcPr>
            <w:tcW w:w="3366" w:type="dxa"/>
            <w:vAlign w:val="center"/>
          </w:tcPr>
          <w:p>
            <w:pPr>
              <w:pStyle w:val="82"/>
              <w:ind w:firstLine="0"/>
            </w:pPr>
            <w:r>
              <w:rPr>
                <w:rFonts w:hint="eastAsia"/>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工商银行</w:t>
            </w:r>
          </w:p>
        </w:tc>
        <w:tc>
          <w:tcPr>
            <w:tcW w:w="1134" w:type="dxa"/>
            <w:vAlign w:val="center"/>
          </w:tcPr>
          <w:p>
            <w:pPr>
              <w:pStyle w:val="82"/>
              <w:ind w:firstLine="0"/>
              <w:jc w:val="center"/>
            </w:pPr>
            <w:r>
              <w:rPr>
                <w:rFonts w:hint="eastAsia"/>
              </w:rPr>
              <w:t>0779-3050645</w:t>
            </w:r>
          </w:p>
        </w:tc>
        <w:tc>
          <w:tcPr>
            <w:tcW w:w="1701" w:type="dxa"/>
            <w:vAlign w:val="center"/>
          </w:tcPr>
          <w:p>
            <w:pPr>
              <w:pStyle w:val="82"/>
              <w:ind w:firstLine="0"/>
            </w:pPr>
            <w:r>
              <w:rPr>
                <w:rFonts w:hint="eastAsia"/>
              </w:rPr>
              <w:t>最高1千万且不超过合同金额70%</w:t>
            </w:r>
          </w:p>
        </w:tc>
        <w:tc>
          <w:tcPr>
            <w:tcW w:w="993" w:type="dxa"/>
            <w:vAlign w:val="center"/>
          </w:tcPr>
          <w:p>
            <w:pPr>
              <w:pStyle w:val="82"/>
              <w:ind w:firstLine="0"/>
              <w:jc w:val="center"/>
            </w:pPr>
            <w:r>
              <w:rPr>
                <w:rFonts w:hint="eastAsia"/>
              </w:rPr>
              <w:t>货物类1年</w:t>
            </w:r>
          </w:p>
          <w:p>
            <w:pPr>
              <w:pStyle w:val="82"/>
              <w:ind w:firstLine="0"/>
              <w:jc w:val="center"/>
            </w:pPr>
            <w:r>
              <w:rPr>
                <w:rFonts w:hint="eastAsia"/>
              </w:rPr>
              <w:t>服务类3年</w:t>
            </w:r>
          </w:p>
          <w:p>
            <w:pPr>
              <w:pStyle w:val="82"/>
              <w:ind w:firstLine="0"/>
              <w:jc w:val="center"/>
            </w:pPr>
            <w:r>
              <w:rPr>
                <w:rFonts w:hint="eastAsia"/>
              </w:rPr>
              <w:t>工程类5年</w:t>
            </w:r>
          </w:p>
        </w:tc>
        <w:tc>
          <w:tcPr>
            <w:tcW w:w="850" w:type="dxa"/>
            <w:vAlign w:val="center"/>
          </w:tcPr>
          <w:p>
            <w:pPr>
              <w:pStyle w:val="82"/>
              <w:ind w:firstLine="0"/>
              <w:jc w:val="center"/>
            </w:pPr>
            <w:r>
              <w:rPr>
                <w:rFonts w:hint="eastAsia"/>
              </w:rPr>
              <w:t>3.45%</w:t>
            </w:r>
          </w:p>
        </w:tc>
        <w:tc>
          <w:tcPr>
            <w:tcW w:w="3366" w:type="dxa"/>
            <w:vAlign w:val="center"/>
          </w:tcPr>
          <w:p>
            <w:pPr>
              <w:pStyle w:val="82"/>
              <w:ind w:firstLine="0"/>
            </w:pPr>
            <w:r>
              <w:rPr>
                <w:rFonts w:hint="eastAsia"/>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国民村镇银行</w:t>
            </w:r>
          </w:p>
        </w:tc>
        <w:tc>
          <w:tcPr>
            <w:tcW w:w="1134" w:type="dxa"/>
            <w:vAlign w:val="center"/>
          </w:tcPr>
          <w:p>
            <w:pPr>
              <w:pStyle w:val="82"/>
              <w:ind w:firstLine="0"/>
              <w:jc w:val="center"/>
            </w:pPr>
            <w:r>
              <w:rPr>
                <w:rFonts w:hint="eastAsia"/>
              </w:rPr>
              <w:t>0779-2668801</w:t>
            </w:r>
          </w:p>
        </w:tc>
        <w:tc>
          <w:tcPr>
            <w:tcW w:w="1701" w:type="dxa"/>
            <w:vAlign w:val="center"/>
          </w:tcPr>
          <w:p>
            <w:pPr>
              <w:pStyle w:val="82"/>
              <w:ind w:firstLine="0"/>
            </w:pPr>
            <w:r>
              <w:rPr>
                <w:rFonts w:hint="eastAsia"/>
              </w:rPr>
              <w:t>最高500万</w:t>
            </w:r>
          </w:p>
        </w:tc>
        <w:tc>
          <w:tcPr>
            <w:tcW w:w="993" w:type="dxa"/>
            <w:vAlign w:val="center"/>
          </w:tcPr>
          <w:p>
            <w:pPr>
              <w:pStyle w:val="82"/>
              <w:ind w:firstLine="0"/>
              <w:jc w:val="center"/>
            </w:pPr>
            <w:r>
              <w:rPr>
                <w:rFonts w:hint="eastAsia"/>
              </w:rPr>
              <w:t>5年</w:t>
            </w:r>
          </w:p>
        </w:tc>
        <w:tc>
          <w:tcPr>
            <w:tcW w:w="850" w:type="dxa"/>
            <w:vAlign w:val="center"/>
          </w:tcPr>
          <w:p>
            <w:pPr>
              <w:pStyle w:val="82"/>
              <w:ind w:firstLine="0"/>
              <w:jc w:val="center"/>
            </w:pPr>
            <w:r>
              <w:rPr>
                <w:rFonts w:hint="eastAsia"/>
              </w:rPr>
              <w:t>2.80%</w:t>
            </w:r>
          </w:p>
        </w:tc>
        <w:tc>
          <w:tcPr>
            <w:tcW w:w="3366" w:type="dxa"/>
            <w:vAlign w:val="center"/>
          </w:tcPr>
          <w:p>
            <w:pPr>
              <w:pStyle w:val="82"/>
              <w:ind w:firstLine="0"/>
            </w:pPr>
            <w:r>
              <w:rPr>
                <w:rFonts w:hint="eastAsia"/>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桂林银行</w:t>
            </w:r>
          </w:p>
        </w:tc>
        <w:tc>
          <w:tcPr>
            <w:tcW w:w="1134" w:type="dxa"/>
            <w:vAlign w:val="center"/>
          </w:tcPr>
          <w:p>
            <w:pPr>
              <w:pStyle w:val="82"/>
              <w:ind w:firstLine="0"/>
              <w:jc w:val="center"/>
            </w:pPr>
            <w:r>
              <w:rPr>
                <w:rFonts w:hint="eastAsia"/>
              </w:rPr>
              <w:t>18577993959</w:t>
            </w:r>
          </w:p>
        </w:tc>
        <w:tc>
          <w:tcPr>
            <w:tcW w:w="1701" w:type="dxa"/>
            <w:vAlign w:val="center"/>
          </w:tcPr>
          <w:p>
            <w:pPr>
              <w:pStyle w:val="82"/>
              <w:ind w:firstLine="0"/>
            </w:pPr>
            <w:r>
              <w:rPr>
                <w:rFonts w:hint="eastAsia"/>
              </w:rPr>
              <w:t>最高1千万</w:t>
            </w:r>
          </w:p>
        </w:tc>
        <w:tc>
          <w:tcPr>
            <w:tcW w:w="993" w:type="dxa"/>
            <w:vAlign w:val="center"/>
          </w:tcPr>
          <w:p>
            <w:pPr>
              <w:pStyle w:val="82"/>
              <w:ind w:firstLine="0"/>
              <w:jc w:val="center"/>
            </w:pPr>
            <w:r>
              <w:rPr>
                <w:rFonts w:hint="eastAsia"/>
              </w:rPr>
              <w:t>1年</w:t>
            </w:r>
          </w:p>
        </w:tc>
        <w:tc>
          <w:tcPr>
            <w:tcW w:w="850" w:type="dxa"/>
            <w:vAlign w:val="center"/>
          </w:tcPr>
          <w:p>
            <w:pPr>
              <w:pStyle w:val="82"/>
              <w:ind w:firstLine="0"/>
              <w:jc w:val="center"/>
            </w:pPr>
            <w:r>
              <w:rPr>
                <w:rFonts w:hint="eastAsia"/>
              </w:rPr>
              <w:t>3.45%</w:t>
            </w:r>
          </w:p>
        </w:tc>
        <w:tc>
          <w:tcPr>
            <w:tcW w:w="3366" w:type="dxa"/>
            <w:vAlign w:val="center"/>
          </w:tcPr>
          <w:p>
            <w:pPr>
              <w:pStyle w:val="82"/>
              <w:ind w:firstLine="0"/>
            </w:pPr>
            <w:r>
              <w:rPr>
                <w:rFonts w:hint="eastAsia"/>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中小微商务服务公司</w:t>
            </w:r>
          </w:p>
        </w:tc>
        <w:tc>
          <w:tcPr>
            <w:tcW w:w="1134" w:type="dxa"/>
            <w:vAlign w:val="center"/>
          </w:tcPr>
          <w:p>
            <w:pPr>
              <w:pStyle w:val="82"/>
              <w:ind w:firstLine="0"/>
              <w:jc w:val="center"/>
            </w:pPr>
            <w:r>
              <w:rPr>
                <w:rFonts w:hint="eastAsia"/>
              </w:rPr>
              <w:t>19907799988</w:t>
            </w:r>
          </w:p>
        </w:tc>
        <w:tc>
          <w:tcPr>
            <w:tcW w:w="1701" w:type="dxa"/>
            <w:vAlign w:val="center"/>
          </w:tcPr>
          <w:p>
            <w:pPr>
              <w:pStyle w:val="82"/>
              <w:ind w:firstLine="0"/>
            </w:pPr>
          </w:p>
        </w:tc>
        <w:tc>
          <w:tcPr>
            <w:tcW w:w="993" w:type="dxa"/>
            <w:vAlign w:val="center"/>
          </w:tcPr>
          <w:p>
            <w:pPr>
              <w:pStyle w:val="82"/>
              <w:ind w:firstLine="0"/>
              <w:jc w:val="center"/>
            </w:pPr>
          </w:p>
        </w:tc>
        <w:tc>
          <w:tcPr>
            <w:tcW w:w="850" w:type="dxa"/>
            <w:vAlign w:val="center"/>
          </w:tcPr>
          <w:p>
            <w:pPr>
              <w:pStyle w:val="82"/>
              <w:ind w:firstLine="0"/>
              <w:jc w:val="center"/>
            </w:pPr>
          </w:p>
        </w:tc>
        <w:tc>
          <w:tcPr>
            <w:tcW w:w="3366" w:type="dxa"/>
            <w:vAlign w:val="center"/>
          </w:tcPr>
          <w:p>
            <w:pPr>
              <w:pStyle w:val="82"/>
              <w:ind w:firstLine="0"/>
            </w:pPr>
            <w:r>
              <w:rPr>
                <w:rFonts w:hint="eastAsia"/>
              </w:rPr>
              <w:t>具体业务可电话咨询。</w:t>
            </w:r>
          </w:p>
        </w:tc>
      </w:tr>
    </w:tbl>
    <w:p>
      <w:pPr>
        <w:pStyle w:val="82"/>
      </w:pPr>
      <w:r>
        <w:rPr>
          <w:rFonts w:hint="eastAsia"/>
        </w:rPr>
        <w:t>注：表中联系电话、授信金额、授信期限、最低利率等信息可能动态更新，仅供参考，具体以办理时相关银行公布的为准。</w:t>
      </w:r>
    </w:p>
    <w:p>
      <w:pPr>
        <w:pStyle w:val="24"/>
        <w:spacing w:line="360" w:lineRule="auto"/>
        <w:ind w:left="479" w:hanging="479" w:hangingChars="199"/>
        <w:rPr>
          <w:rFonts w:cs="宋体"/>
          <w:b/>
        </w:rPr>
      </w:pPr>
      <w:r>
        <w:rPr>
          <w:rFonts w:hint="eastAsia" w:cs="宋体"/>
          <w:b/>
        </w:rPr>
        <w:t>26. 履约保证金</w:t>
      </w:r>
    </w:p>
    <w:p>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26.1本项目不收取履约保证金。</w:t>
      </w:r>
    </w:p>
    <w:p>
      <w:pPr>
        <w:tabs>
          <w:tab w:val="left" w:pos="0"/>
        </w:tabs>
        <w:spacing w:line="360" w:lineRule="auto"/>
        <w:ind w:firstLine="480" w:firstLineChars="200"/>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pPr>
        <w:pStyle w:val="82"/>
        <w:ind w:firstLine="480" w:firstLineChars="200"/>
        <w:rPr>
          <w:rFonts w:cs="宋体"/>
          <w:kern w:val="2"/>
          <w:szCs w:val="24"/>
        </w:rPr>
      </w:pPr>
      <w:r>
        <w:rPr>
          <w:rFonts w:hint="eastAsia" w:cs="宋体"/>
        </w:rPr>
        <w:t>履约保证金</w:t>
      </w:r>
      <w:r>
        <w:rPr>
          <w:rFonts w:hint="eastAsia" w:cs="宋体"/>
          <w:kern w:val="2"/>
          <w:szCs w:val="24"/>
        </w:rPr>
        <w:t>收取银行账户</w:t>
      </w:r>
    </w:p>
    <w:p>
      <w:pPr>
        <w:pStyle w:val="82"/>
        <w:ind w:firstLine="480" w:firstLineChars="200"/>
        <w:rPr>
          <w:rFonts w:cs="宋体"/>
          <w:kern w:val="2"/>
          <w:szCs w:val="24"/>
        </w:rPr>
      </w:pPr>
      <w:r>
        <w:rPr>
          <w:rFonts w:hint="eastAsia" w:cs="宋体"/>
          <w:kern w:val="2"/>
          <w:szCs w:val="24"/>
        </w:rPr>
        <w:t xml:space="preserve">开户名称： </w:t>
      </w:r>
    </w:p>
    <w:p>
      <w:pPr>
        <w:pStyle w:val="82"/>
        <w:ind w:firstLine="480" w:firstLineChars="200"/>
        <w:rPr>
          <w:rFonts w:cs="宋体"/>
          <w:kern w:val="2"/>
          <w:szCs w:val="24"/>
        </w:rPr>
      </w:pPr>
      <w:r>
        <w:rPr>
          <w:rFonts w:hint="eastAsia" w:cs="宋体"/>
          <w:kern w:val="2"/>
          <w:szCs w:val="24"/>
        </w:rPr>
        <w:t xml:space="preserve">开户银行： </w:t>
      </w:r>
    </w:p>
    <w:p>
      <w:pPr>
        <w:pStyle w:val="82"/>
        <w:ind w:firstLine="480" w:firstLineChars="200"/>
        <w:rPr>
          <w:rFonts w:cs="宋体"/>
          <w:kern w:val="2"/>
          <w:szCs w:val="24"/>
        </w:rPr>
      </w:pPr>
      <w:r>
        <w:rPr>
          <w:rFonts w:hint="eastAsia" w:cs="宋体"/>
          <w:kern w:val="2"/>
          <w:szCs w:val="24"/>
        </w:rPr>
        <w:t>银行账号：</w:t>
      </w:r>
    </w:p>
    <w:p>
      <w:pPr>
        <w:pStyle w:val="82"/>
        <w:ind w:firstLine="480" w:firstLineChars="200"/>
        <w:rPr>
          <w:snapToGrid w:val="0"/>
        </w:rPr>
      </w:pPr>
      <w:r>
        <w:rPr>
          <w:rFonts w:hint="eastAsia"/>
          <w:snapToGrid w:val="0"/>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pPr>
        <w:pStyle w:val="82"/>
      </w:pPr>
      <w:r>
        <w:rPr>
          <w:rFonts w:hint="eastAsia"/>
        </w:rPr>
        <w:t>26.3履约保证金的退还。验收合格的政府采购项目，采购人应当按照合同约定的退还方式，在5个工作日内办理履约保证金退还手续。</w:t>
      </w:r>
    </w:p>
    <w:p>
      <w:pPr>
        <w:pStyle w:val="82"/>
      </w:pPr>
      <w:r>
        <w:rPr>
          <w:rFonts w:hint="eastAsia"/>
        </w:rPr>
        <w:t>26.4履约保证金不予退还情形：（1）中标供应商未能全部履行政府采购合同的；（2）采购文件规定的其他情形。</w:t>
      </w:r>
    </w:p>
    <w:p>
      <w:pPr>
        <w:pStyle w:val="24"/>
        <w:spacing w:line="360" w:lineRule="auto"/>
        <w:ind w:left="479" w:hanging="479" w:hangingChars="199"/>
        <w:rPr>
          <w:rFonts w:cs="宋体"/>
          <w:b/>
        </w:rPr>
      </w:pPr>
      <w:r>
        <w:rPr>
          <w:rFonts w:cs="宋体"/>
          <w:b/>
        </w:rPr>
        <w:t>27.预付款</w:t>
      </w:r>
    </w:p>
    <w:p>
      <w:pPr>
        <w:pStyle w:val="24"/>
        <w:spacing w:line="360" w:lineRule="auto"/>
        <w:ind w:left="479" w:hanging="479" w:hangingChars="199"/>
        <w:rPr>
          <w:rFonts w:cs="宋体"/>
          <w:b/>
        </w:rPr>
      </w:pPr>
      <w:r>
        <w:rPr>
          <w:rFonts w:hint="eastAsia" w:cs="宋体"/>
          <w:b/>
        </w:rPr>
        <w:t xml:space="preserve">    详见“第三部分  采购需求” 。</w:t>
      </w:r>
    </w:p>
    <w:p>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pPr>
        <w:adjustRightInd/>
        <w:spacing w:line="360" w:lineRule="auto"/>
        <w:ind w:firstLine="480" w:firstLineChars="200"/>
        <w:rPr>
          <w:rFonts w:ascii="宋体" w:hAnsi="宋体"/>
          <w:sz w:val="24"/>
        </w:rPr>
      </w:pPr>
      <w:r>
        <w:rPr>
          <w:rFonts w:hint="eastAsia" w:ascii="宋体" w:hAnsi="宋体"/>
          <w:sz w:val="24"/>
        </w:rPr>
        <w:t>供应商可登录广西政府采购云平台前台大厅选择金融服务</w:t>
      </w:r>
      <w:r>
        <w:rPr>
          <w:rFonts w:ascii="宋体" w:hAnsi="宋体"/>
          <w:sz w:val="24"/>
        </w:rPr>
        <w:t xml:space="preserve">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pPr>
        <w:snapToGrid w:val="0"/>
        <w:spacing w:line="360" w:lineRule="auto"/>
        <w:ind w:firstLine="3357" w:firstLineChars="1045"/>
        <w:rPr>
          <w:rFonts w:ascii="宋体" w:hAnsi="宋体" w:cs="宋体"/>
          <w:b/>
          <w:sz w:val="32"/>
        </w:rPr>
      </w:pPr>
    </w:p>
    <w:p>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pPr>
        <w:pStyle w:val="128"/>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pPr>
        <w:pStyle w:val="128"/>
        <w:snapToGrid w:val="0"/>
        <w:spacing w:before="0"/>
        <w:ind w:firstLine="480"/>
        <w:rPr>
          <w:rFonts w:ascii="宋体" w:hAnsi="宋体" w:cs="宋体"/>
        </w:rPr>
      </w:pPr>
      <w:r>
        <w:rPr>
          <w:rFonts w:hint="eastAsia" w:ascii="宋体" w:hAnsi="宋体" w:cs="宋体"/>
        </w:rPr>
        <w:t xml:space="preserve">28.1电子交易平台发生故障而无法登录访问的； </w:t>
      </w:r>
    </w:p>
    <w:p>
      <w:pPr>
        <w:pStyle w:val="128"/>
        <w:snapToGrid w:val="0"/>
        <w:spacing w:before="0"/>
        <w:ind w:firstLine="480"/>
        <w:rPr>
          <w:rFonts w:ascii="宋体" w:hAnsi="宋体" w:cs="宋体"/>
        </w:rPr>
      </w:pPr>
      <w:r>
        <w:rPr>
          <w:rFonts w:hint="eastAsia" w:ascii="宋体" w:hAnsi="宋体" w:cs="宋体"/>
        </w:rPr>
        <w:t>28.2电子交易平台应用或数据库出现错误，不能进行正常操作的；</w:t>
      </w:r>
    </w:p>
    <w:p>
      <w:pPr>
        <w:pStyle w:val="128"/>
        <w:snapToGrid w:val="0"/>
        <w:spacing w:before="0"/>
        <w:ind w:firstLine="480"/>
        <w:rPr>
          <w:rFonts w:ascii="宋体" w:hAnsi="宋体" w:cs="宋体"/>
        </w:rPr>
      </w:pPr>
      <w:r>
        <w:rPr>
          <w:rFonts w:hint="eastAsia" w:ascii="宋体" w:hAnsi="宋体" w:cs="宋体"/>
        </w:rPr>
        <w:t>28.3电子交易平台发现严重安全漏洞，有潜在泄密危险的；</w:t>
      </w:r>
    </w:p>
    <w:p>
      <w:pPr>
        <w:pStyle w:val="128"/>
        <w:snapToGrid w:val="0"/>
        <w:spacing w:before="0"/>
        <w:ind w:firstLine="480"/>
        <w:rPr>
          <w:rFonts w:ascii="宋体" w:hAnsi="宋体" w:cs="宋体"/>
        </w:rPr>
      </w:pPr>
      <w:r>
        <w:rPr>
          <w:rFonts w:hint="eastAsia" w:ascii="宋体" w:hAnsi="宋体" w:cs="宋体"/>
        </w:rPr>
        <w:t xml:space="preserve">28.4病毒发作导致不能进行正常操作的； </w:t>
      </w:r>
    </w:p>
    <w:p>
      <w:pPr>
        <w:pStyle w:val="128"/>
        <w:snapToGrid w:val="0"/>
        <w:spacing w:before="0"/>
        <w:ind w:firstLine="480"/>
        <w:rPr>
          <w:rFonts w:ascii="宋体" w:hAnsi="宋体" w:cs="宋体"/>
        </w:rPr>
      </w:pPr>
      <w:r>
        <w:rPr>
          <w:rFonts w:hint="eastAsia" w:ascii="宋体" w:hAnsi="宋体" w:cs="宋体"/>
        </w:rPr>
        <w:t>28.5其他无法保证电子交易的公平、公正和安全的情况。</w:t>
      </w:r>
    </w:p>
    <w:p>
      <w:pPr>
        <w:pStyle w:val="128"/>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rPr>
      </w:pPr>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pPr>
        <w:pStyle w:val="24"/>
        <w:spacing w:line="360" w:lineRule="auto"/>
        <w:ind w:firstLine="0" w:firstLineChars="0"/>
        <w:rPr>
          <w:rFonts w:cs="宋体"/>
          <w:b/>
        </w:rPr>
      </w:pPr>
      <w:r>
        <w:rPr>
          <w:rFonts w:hint="eastAsia" w:cs="宋体"/>
          <w:b/>
        </w:rPr>
        <w:t>30.验收</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29"/>
    <w:p>
      <w:pPr>
        <w:tabs>
          <w:tab w:val="left" w:pos="0"/>
        </w:tabs>
        <w:spacing w:line="360" w:lineRule="auto"/>
        <w:ind w:firstLine="480"/>
        <w:rPr>
          <w:rFonts w:ascii="宋体" w:hAnsi="宋体" w:cs="宋体"/>
          <w:kern w:val="0"/>
          <w:sz w:val="24"/>
        </w:rPr>
      </w:pPr>
      <w:bookmarkStart w:id="30" w:name="_Hlt74730295"/>
      <w:bookmarkEnd w:id="30"/>
      <w:bookmarkStart w:id="31" w:name="_Hlt68073093"/>
      <w:bookmarkEnd w:id="31"/>
      <w:bookmarkStart w:id="32" w:name="_Hlt68057669"/>
      <w:bookmarkEnd w:id="32"/>
      <w:bookmarkStart w:id="33" w:name="_Hlt75236101"/>
      <w:bookmarkEnd w:id="33"/>
      <w:bookmarkStart w:id="34" w:name="_Hlt68072990"/>
      <w:bookmarkEnd w:id="34"/>
      <w:bookmarkStart w:id="35" w:name="_Hlt74707468"/>
      <w:bookmarkEnd w:id="35"/>
      <w:bookmarkStart w:id="36" w:name="_Hlt68072998"/>
      <w:bookmarkEnd w:id="36"/>
      <w:bookmarkStart w:id="37" w:name="_Hlt74714665"/>
      <w:bookmarkEnd w:id="37"/>
      <w:bookmarkStart w:id="38" w:name="_Hlt74729768"/>
      <w:bookmarkEnd w:id="38"/>
      <w:bookmarkStart w:id="39" w:name="_Hlt75236290"/>
      <w:bookmarkEnd w:id="39"/>
      <w:bookmarkStart w:id="40" w:name="_Hlt75236011"/>
      <w:bookmarkEnd w:id="40"/>
      <w:bookmarkStart w:id="41" w:name="_Hlt68403820"/>
      <w:bookmarkEnd w:id="41"/>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pPr>
        <w:pStyle w:val="24"/>
        <w:spacing w:line="360" w:lineRule="auto"/>
        <w:ind w:firstLine="0" w:firstLineChars="0"/>
        <w:rPr>
          <w:rFonts w:cs="宋体"/>
          <w:b/>
        </w:rPr>
      </w:pPr>
      <w:r>
        <w:rPr>
          <w:rFonts w:hint="eastAsia" w:cs="宋体"/>
          <w:b/>
        </w:rPr>
        <w:t>31.</w:t>
      </w:r>
      <w:bookmarkStart w:id="42" w:name="OLE_LINK20"/>
      <w:bookmarkStart w:id="43" w:name="OLE_LINK19"/>
      <w:r>
        <w:rPr>
          <w:rFonts w:hint="eastAsia" w:cs="宋体"/>
          <w:b/>
        </w:rPr>
        <w:t>代理费用</w:t>
      </w:r>
      <w:bookmarkEnd w:id="42"/>
      <w:bookmarkEnd w:id="43"/>
      <w:r>
        <w:rPr>
          <w:rFonts w:hint="eastAsia" w:cs="宋体"/>
          <w:b/>
        </w:rPr>
        <w:t>的收取标准和方式（适用于有权收取代理费用的采购代理机构）</w:t>
      </w:r>
    </w:p>
    <w:p>
      <w:pPr>
        <w:snapToGrid w:val="0"/>
        <w:spacing w:line="360" w:lineRule="auto"/>
        <w:ind w:firstLine="480" w:firstLineChars="20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r>
        <w:rPr>
          <w:rFonts w:hint="eastAsia" w:ascii="宋体" w:hAnsi="宋体" w:cs="宋体"/>
          <w:kern w:val="0"/>
          <w:sz w:val="24"/>
        </w:rPr>
        <w:t>不收取代理费用。</w:t>
      </w:r>
    </w:p>
    <w:bookmarkEnd w:id="22"/>
    <w:bookmarkEnd w:id="23"/>
    <w:p>
      <w:pPr>
        <w:spacing w:line="360" w:lineRule="auto"/>
        <w:jc w:val="center"/>
        <w:outlineLvl w:val="0"/>
        <w:rPr>
          <w:rFonts w:ascii="宋体" w:hAnsi="宋体" w:cs="宋体"/>
          <w:b/>
          <w:sz w:val="36"/>
          <w:szCs w:val="36"/>
        </w:rPr>
      </w:pPr>
      <w:bookmarkStart w:id="44" w:name="_Toc176343850"/>
      <w:bookmarkStart w:id="45" w:name="_Toc176185121"/>
      <w:bookmarkStart w:id="46" w:name="第四部分"/>
      <w:r>
        <w:rPr>
          <w:rFonts w:hint="eastAsia" w:ascii="宋体" w:hAnsi="宋体" w:cs="宋体"/>
          <w:b/>
          <w:sz w:val="36"/>
          <w:szCs w:val="36"/>
        </w:rPr>
        <w:t>第三部分  采购需求</w:t>
      </w:r>
      <w:bookmarkEnd w:id="44"/>
      <w:bookmarkEnd w:id="45"/>
    </w:p>
    <w:p>
      <w:pPr>
        <w:pStyle w:val="82"/>
      </w:pPr>
    </w:p>
    <w:p>
      <w:pPr>
        <w:spacing w:line="320" w:lineRule="exact"/>
        <w:ind w:firstLine="440" w:firstLineChars="200"/>
        <w:rPr>
          <w:rFonts w:ascii="宋体" w:hAnsi="宋体" w:cs="宋体"/>
          <w:bCs/>
          <w:sz w:val="22"/>
          <w:szCs w:val="22"/>
        </w:rPr>
      </w:pPr>
      <w:r>
        <w:rPr>
          <w:rFonts w:hint="eastAsia" w:ascii="宋体" w:hAnsi="宋体" w:cs="宋体"/>
          <w:bCs/>
          <w:sz w:val="22"/>
          <w:szCs w:val="22"/>
        </w:rPr>
        <w:t>说明:</w:t>
      </w:r>
    </w:p>
    <w:p>
      <w:pPr>
        <w:spacing w:line="320" w:lineRule="exact"/>
        <w:ind w:firstLine="440" w:firstLineChars="200"/>
        <w:rPr>
          <w:rFonts w:ascii="宋体" w:hAnsi="宋体" w:cs="宋体"/>
          <w:bCs/>
          <w:sz w:val="22"/>
          <w:szCs w:val="22"/>
        </w:rPr>
      </w:pPr>
      <w:r>
        <w:rPr>
          <w:rFonts w:hint="eastAsia" w:ascii="宋体" w:hAnsi="宋体" w:cs="宋体"/>
          <w:bCs/>
          <w:sz w:val="22"/>
          <w:szCs w:val="22"/>
        </w:rPr>
        <w:t>1.本项目一览表中参考品牌型号及技术参数性能(配置)不明确或有误的，或投标人选用其他品牌型号替代的，请以详细、正确的品牌型号、技术参数性能配置填写投标报价表。投标人须根据技术参数及性能配置要求提供对应的技术偏离表。</w:t>
      </w:r>
    </w:p>
    <w:p>
      <w:pPr>
        <w:spacing w:line="320" w:lineRule="exact"/>
        <w:ind w:firstLine="440" w:firstLineChars="200"/>
        <w:rPr>
          <w:rFonts w:ascii="宋体" w:hAnsi="宋体" w:cs="宋体"/>
          <w:bCs/>
          <w:sz w:val="22"/>
          <w:szCs w:val="22"/>
        </w:rPr>
      </w:pPr>
      <w:r>
        <w:rPr>
          <w:rFonts w:hint="eastAsia" w:ascii="宋体" w:hAnsi="宋体" w:cs="宋体"/>
          <w:bCs/>
          <w:sz w:val="22"/>
          <w:szCs w:val="22"/>
        </w:rPr>
        <w:t>2.按财政部发展改革委生态环境部市场监管总局《关于调整优化节能产品、环境标志产品政府采购执行机制的通知》财库(2019)9号文件要求，如发布有政府采购节能产品品目清单中规定为政府强制采购的节能产品，投标产品必须满足文件的相关规定。投标时须提供国家确定的认证机构出具的、处于有效期之内的有效的节能产品认证证书复印件并加盖投标人公章，不提供视为无效投标处理。</w:t>
      </w:r>
    </w:p>
    <w:p>
      <w:pPr>
        <w:ind w:firstLine="420" w:firstLineChars="200"/>
        <w:rPr>
          <w:b/>
        </w:rPr>
      </w:pPr>
      <w:bookmarkStart w:id="47" w:name="OLE_LINK27"/>
      <w:bookmarkStart w:id="48" w:name="OLE_LINK28"/>
      <w:bookmarkStart w:id="49" w:name="OLE_LINK33"/>
      <w:bookmarkStart w:id="50" w:name="OLE_LINK34"/>
      <w:r>
        <w:rPr>
          <w:rFonts w:hint="eastAsia"/>
        </w:rPr>
        <w:t>3.采购需求一览表中标注“▲”的技术参数及配备要求、商务要求必须响应满足或优于，否则投标无效。重要技术参数是指采购需求中带“</w:t>
      </w:r>
      <w:bookmarkStart w:id="51" w:name="OLE_LINK31"/>
      <w:bookmarkStart w:id="52" w:name="OLE_LINK32"/>
      <w:r>
        <w:rPr>
          <w:rFonts w:hint="eastAsia" w:ascii="宋体" w:hAnsi="宋体" w:cs="宋体"/>
          <w:kern w:val="0"/>
          <w:sz w:val="24"/>
        </w:rPr>
        <w:t>★</w:t>
      </w:r>
      <w:bookmarkEnd w:id="51"/>
      <w:bookmarkEnd w:id="52"/>
      <w:r>
        <w:rPr>
          <w:rFonts w:hint="eastAsia"/>
        </w:rPr>
        <w:t>”的条款，重要技术参数将作为评审打分的重要依据。</w:t>
      </w:r>
    </w:p>
    <w:bookmarkEnd w:id="47"/>
    <w:bookmarkEnd w:id="48"/>
    <w:p/>
    <w:tbl>
      <w:tblPr>
        <w:tblStyle w:val="62"/>
        <w:tblW w:w="10787" w:type="dxa"/>
        <w:tblInd w:w="-714" w:type="dxa"/>
        <w:tblLayout w:type="fixed"/>
        <w:tblCellMar>
          <w:top w:w="0" w:type="dxa"/>
          <w:left w:w="108" w:type="dxa"/>
          <w:bottom w:w="0" w:type="dxa"/>
          <w:right w:w="108" w:type="dxa"/>
        </w:tblCellMar>
      </w:tblPr>
      <w:tblGrid>
        <w:gridCol w:w="615"/>
        <w:gridCol w:w="1276"/>
        <w:gridCol w:w="7426"/>
        <w:gridCol w:w="735"/>
        <w:gridCol w:w="735"/>
      </w:tblGrid>
      <w:tr>
        <w:tblPrEx>
          <w:tblCellMar>
            <w:top w:w="0" w:type="dxa"/>
            <w:left w:w="108" w:type="dxa"/>
            <w:bottom w:w="0" w:type="dxa"/>
            <w:right w:w="108" w:type="dxa"/>
          </w:tblCellMar>
        </w:tblPrEx>
        <w:trPr>
          <w:trHeight w:val="315" w:hRule="atLeast"/>
        </w:trPr>
        <w:tc>
          <w:tcPr>
            <w:tcW w:w="10787"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ind w:firstLine="2940" w:firstLineChars="1400"/>
            </w:pPr>
            <w:r>
              <w:rPr>
                <w:rFonts w:hint="eastAsia"/>
              </w:rPr>
              <w:t>技术参数要求表</w:t>
            </w:r>
          </w:p>
        </w:tc>
      </w:tr>
      <w:tr>
        <w:tblPrEx>
          <w:tblCellMar>
            <w:top w:w="0" w:type="dxa"/>
            <w:left w:w="108" w:type="dxa"/>
            <w:bottom w:w="0" w:type="dxa"/>
            <w:right w:w="108" w:type="dxa"/>
          </w:tblCellMar>
        </w:tblPrEx>
        <w:trPr>
          <w:trHeight w:val="31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b/>
                <w:bCs/>
                <w:color w:val="000000"/>
                <w:kern w:val="0"/>
                <w:szCs w:val="21"/>
                <w:lang w:bidi="ar"/>
              </w:rPr>
              <w:t>序号</w:t>
            </w:r>
          </w:p>
        </w:tc>
        <w:tc>
          <w:tcPr>
            <w:tcW w:w="1276" w:type="dxa"/>
            <w:tcBorders>
              <w:top w:val="nil"/>
              <w:left w:val="nil"/>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b/>
                <w:bCs/>
                <w:color w:val="000000"/>
                <w:kern w:val="0"/>
                <w:szCs w:val="21"/>
                <w:lang w:bidi="ar"/>
              </w:rPr>
              <w:t>项目名称</w:t>
            </w:r>
          </w:p>
        </w:tc>
        <w:tc>
          <w:tcPr>
            <w:tcW w:w="7426" w:type="dxa"/>
            <w:tcBorders>
              <w:top w:val="nil"/>
              <w:left w:val="nil"/>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b/>
                <w:bCs/>
                <w:color w:val="000000"/>
                <w:kern w:val="0"/>
                <w:szCs w:val="21"/>
                <w:lang w:bidi="ar"/>
              </w:rPr>
              <w:t>技术参数要求</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b/>
                <w:bCs/>
                <w:color w:val="000000"/>
                <w:kern w:val="0"/>
                <w:szCs w:val="21"/>
                <w:lang w:bidi="ar"/>
              </w:rPr>
              <w:t>数量</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b/>
                <w:bCs/>
                <w:color w:val="000000"/>
                <w:kern w:val="0"/>
                <w:szCs w:val="21"/>
                <w:lang w:bidi="ar"/>
              </w:rPr>
              <w:t>单位</w:t>
            </w:r>
          </w:p>
        </w:tc>
      </w:tr>
      <w:tr>
        <w:tblPrEx>
          <w:tblCellMar>
            <w:top w:w="0" w:type="dxa"/>
            <w:left w:w="108" w:type="dxa"/>
            <w:bottom w:w="0" w:type="dxa"/>
            <w:right w:w="108" w:type="dxa"/>
          </w:tblCellMar>
        </w:tblPrEx>
        <w:trPr>
          <w:trHeight w:val="270" w:hRule="atLeast"/>
        </w:trPr>
        <w:tc>
          <w:tcPr>
            <w:tcW w:w="10787" w:type="dxa"/>
            <w:gridSpan w:val="5"/>
            <w:tcBorders>
              <w:top w:val="nil"/>
              <w:left w:val="single" w:color="auto" w:sz="4" w:space="0"/>
              <w:bottom w:val="single" w:color="auto" w:sz="4" w:space="0"/>
              <w:right w:val="single" w:color="auto" w:sz="4" w:space="0"/>
            </w:tcBorders>
            <w:shd w:val="clear" w:color="auto" w:fill="FFFFFF"/>
            <w:noWrap/>
            <w:vAlign w:val="center"/>
          </w:tcPr>
          <w:p>
            <w:pPr>
              <w:widowControl/>
              <w:textAlignment w:val="center"/>
              <w:rPr>
                <w:rFonts w:ascii="宋体" w:hAnsi="Calibri" w:cs="宋体"/>
                <w:kern w:val="0"/>
                <w:sz w:val="24"/>
                <w:szCs w:val="21"/>
              </w:rPr>
            </w:pPr>
            <w:r>
              <w:rPr>
                <w:rFonts w:hint="eastAsia" w:ascii="宋体" w:hAnsi="宋体" w:cs="宋体"/>
                <w:b/>
                <w:bCs/>
                <w:color w:val="000000"/>
                <w:kern w:val="0"/>
                <w:szCs w:val="21"/>
                <w:lang w:bidi="ar"/>
              </w:rPr>
              <w:t>一、康复评定</w:t>
            </w:r>
            <w:r>
              <w:rPr>
                <w:rFonts w:hint="eastAsia" w:ascii="宋体" w:hAnsi="宋体" w:cs="宋体"/>
                <w:b/>
                <w:bCs/>
                <w:kern w:val="0"/>
                <w:szCs w:val="21"/>
              </w:rPr>
              <w:t>器材</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000000"/>
                <w:kern w:val="0"/>
                <w:szCs w:val="21"/>
                <w:lang w:bidi="ar"/>
              </w:rPr>
              <w:t>1</w:t>
            </w:r>
          </w:p>
        </w:tc>
        <w:tc>
          <w:tcPr>
            <w:tcW w:w="127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宋体" w:cs="宋体"/>
                <w:kern w:val="0"/>
                <w:sz w:val="24"/>
              </w:rPr>
            </w:pPr>
            <w:r>
              <w:rPr>
                <w:rFonts w:hint="eastAsia" w:ascii="宋体" w:hAnsi="宋体" w:cs="宋体"/>
                <w:szCs w:val="21"/>
              </w:rPr>
              <w:t>捏力计</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1、高精度传感器；</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2、液晶显示测量范围：0～99磅；</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3、精度：1％；</w:t>
            </w:r>
          </w:p>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4、可记录100组数据；</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5、按钮：开/关机、上翻、下翻、清零；</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6、低压显示/过载显示；</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7、手动/自动关机；</w:t>
            </w:r>
          </w:p>
          <w:p>
            <w:pPr>
              <w:widowControl/>
              <w:jc w:val="left"/>
              <w:textAlignment w:val="center"/>
              <w:rPr>
                <w:rFonts w:ascii="宋体" w:hAnsi="宋体" w:cs="宋体"/>
                <w:kern w:val="0"/>
                <w:sz w:val="24"/>
              </w:rPr>
            </w:pPr>
            <w:r>
              <w:rPr>
                <w:rFonts w:hint="eastAsia" w:ascii="宋体" w:hAnsi="宋体" w:cs="宋体"/>
                <w:color w:val="000000"/>
                <w:kern w:val="0"/>
                <w:szCs w:val="21"/>
                <w:lang w:bidi="ar"/>
              </w:rPr>
              <w:t>8、使用温度：0～40°C。</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000000"/>
                <w:szCs w:val="21"/>
              </w:rPr>
              <w:t>5</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000000"/>
                <w:szCs w:val="21"/>
              </w:rPr>
              <w:t>个</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2</w:t>
            </w:r>
          </w:p>
        </w:tc>
        <w:tc>
          <w:tcPr>
            <w:tcW w:w="127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cs="宋体"/>
                <w:kern w:val="0"/>
                <w:sz w:val="24"/>
                <w:szCs w:val="21"/>
              </w:rPr>
            </w:pPr>
            <w:r>
              <w:rPr>
                <w:rFonts w:hint="eastAsia" w:ascii="宋体" w:hAnsi="宋体" w:cs="宋体"/>
                <w:szCs w:val="21"/>
              </w:rPr>
              <w:t>电子量角器</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1、角度范围：0-360°；</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2、分辨率：0.05°；</w:t>
            </w:r>
          </w:p>
          <w:p>
            <w:pPr>
              <w:widowControl/>
              <w:jc w:val="left"/>
              <w:textAlignment w:val="center"/>
              <w:rPr>
                <w:rFonts w:ascii="宋体" w:hAnsi="Calibri" w:cs="宋体"/>
                <w:kern w:val="0"/>
                <w:sz w:val="24"/>
                <w:szCs w:val="21"/>
              </w:rPr>
            </w:pPr>
            <w:r>
              <w:rPr>
                <w:rFonts w:hint="eastAsia" w:ascii="宋体" w:hAnsi="宋体" w:cs="宋体"/>
                <w:kern w:val="0"/>
                <w:szCs w:val="21"/>
                <w:lang w:bidi="ar"/>
              </w:rPr>
              <w:t>3、公差范围：±0.3°。</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5</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个</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3</w:t>
            </w:r>
          </w:p>
        </w:tc>
        <w:tc>
          <w:tcPr>
            <w:tcW w:w="127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cs="宋体"/>
                <w:kern w:val="0"/>
                <w:sz w:val="24"/>
                <w:szCs w:val="21"/>
              </w:rPr>
            </w:pPr>
            <w:r>
              <w:rPr>
                <w:rFonts w:hint="eastAsia" w:ascii="宋体" w:hAnsi="宋体" w:cs="宋体"/>
                <w:szCs w:val="21"/>
              </w:rPr>
              <w:t>平衡功能评定训练系统（动静态平衡评估训练系统）</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一、产品组成</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动静态平衡评估及训练系统由支撑台、平衡板、手握持装置、腰部防护带、穿戴式传感器、显示和控制装置、专用软件组成。</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二、主要技术指标和参数</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1、支撑台尺寸（长×宽×高）</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（触摸显示器放置最高位）：1435㎜×915㎜×1860㎜</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2、手握持装置离站位平衡板的高度：950㎜～1100㎜</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3、平衡板测试重量范围：0～150㎏</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4、训练和游戏时长：1min～60min</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5、正常工作条件</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a)环境温度：+10 ℃～+35 ℃；</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b)相对湿度：35%～75%；</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c)大气压力: 860 hPa～1060 hPa；</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d）电源电压：AC220 V，电源频率：50 Hz；</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e）软件运行平台：</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1）CPU：Core i5或以上；</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2）内存：8 GB或以上；</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3）硬盘：160 GB或以上；</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4）显卡：独立显卡；</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5）操作系统：Windows10及以上。</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f）网络条件：无。</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三、产品功能特点</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1、训练模块：具有静态站位模块、以及前庭及躯干2大类模块；</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2、训练方案：内置有上百种训练方案，可根据患者情况自由选择；</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3、具有佩戴式传感器，可在训练及评估过程中监测躯干数据及防跌倒提醒；</w:t>
            </w:r>
          </w:p>
          <w:p>
            <w:pPr>
              <w:widowControl/>
              <w:jc w:val="left"/>
              <w:textAlignment w:val="center"/>
              <w:rPr>
                <w:rFonts w:hint="eastAsia" w:ascii="宋体" w:hAnsi="宋体" w:cs="宋体"/>
                <w:kern w:val="0"/>
                <w:szCs w:val="21"/>
                <w:lang w:bidi="ar"/>
              </w:rPr>
            </w:pPr>
            <w:r>
              <w:rPr>
                <w:rFonts w:hint="eastAsia" w:ascii="宋体" w:hAnsi="宋体" w:cs="宋体"/>
                <w:kern w:val="0"/>
                <w:szCs w:val="21"/>
                <w:highlight w:val="none"/>
                <w:lang w:bidi="ar"/>
              </w:rPr>
              <w:t>★</w:t>
            </w:r>
            <w:r>
              <w:rPr>
                <w:rFonts w:hint="eastAsia" w:ascii="宋体" w:hAnsi="宋体" w:cs="宋体"/>
                <w:kern w:val="0"/>
                <w:szCs w:val="21"/>
                <w:lang w:bidi="ar"/>
              </w:rPr>
              <w:t>4、具有不少于40款游戏，提高训练的趣味性；</w:t>
            </w:r>
          </w:p>
          <w:p>
            <w:pPr>
              <w:widowControl/>
              <w:jc w:val="left"/>
              <w:textAlignment w:val="center"/>
              <w:rPr>
                <w:rFonts w:ascii="宋体" w:hAnsi="宋体" w:cs="宋体"/>
                <w:kern w:val="0"/>
                <w:szCs w:val="21"/>
                <w:lang w:bidi="ar"/>
              </w:rPr>
            </w:pPr>
            <w:r>
              <w:rPr>
                <w:rFonts w:hint="eastAsia" w:ascii="宋体" w:hAnsi="宋体" w:cs="宋体"/>
                <w:kern w:val="0"/>
                <w:szCs w:val="21"/>
                <w:highlight w:val="none"/>
                <w:lang w:bidi="ar"/>
              </w:rPr>
              <w:t>★</w:t>
            </w:r>
            <w:r>
              <w:rPr>
                <w:rFonts w:hint="eastAsia" w:ascii="宋体" w:hAnsi="宋体" w:cs="宋体"/>
                <w:kern w:val="0"/>
                <w:szCs w:val="21"/>
                <w:lang w:bidi="ar"/>
              </w:rPr>
              <w:t>5、具有7类平衡相关评估量表，包含berg、brunel等，可以进行电子化评估及存储；</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6、评估项目：具有静态稳定性评估、稳定极限评估、睁闭眼对比评估、负重极限评估等；</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7、训练项目：可进行自由训练、本体训练、负重训练、描迹训练、位置训练、游戏训练等；</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8、可进行前庭及躯干的功能评估和训练；</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9、自定义方案训练：可将不同的训练项目和游戏等组合为患者特定的治疗方案，长期保存、一键启动；</w:t>
            </w:r>
          </w:p>
          <w:p>
            <w:pPr>
              <w:widowControl/>
              <w:jc w:val="left"/>
              <w:textAlignment w:val="center"/>
              <w:rPr>
                <w:rFonts w:hint="eastAsia" w:ascii="宋体" w:hAnsi="宋体" w:cs="宋体"/>
                <w:kern w:val="0"/>
                <w:szCs w:val="21"/>
                <w:lang w:bidi="ar"/>
              </w:rPr>
            </w:pPr>
            <w:r>
              <w:rPr>
                <w:rFonts w:hint="eastAsia" w:ascii="宋体" w:hAnsi="宋体" w:cs="宋体"/>
                <w:kern w:val="0"/>
                <w:szCs w:val="21"/>
                <w:highlight w:val="none"/>
                <w:lang w:bidi="ar"/>
              </w:rPr>
              <w:t>★</w:t>
            </w:r>
            <w:r>
              <w:rPr>
                <w:rFonts w:hint="eastAsia" w:ascii="宋体" w:hAnsi="宋体" w:cs="宋体"/>
                <w:kern w:val="0"/>
                <w:szCs w:val="21"/>
                <w:lang w:bidi="ar"/>
              </w:rPr>
              <w:t>10、方案推荐功能：可根据患者评估结果，自动推荐相应的治疗方案；</w:t>
            </w:r>
          </w:p>
          <w:p>
            <w:pPr>
              <w:widowControl/>
              <w:jc w:val="left"/>
              <w:textAlignment w:val="center"/>
              <w:rPr>
                <w:rFonts w:ascii="宋体" w:hAnsi="宋体" w:cs="宋体"/>
                <w:kern w:val="0"/>
                <w:szCs w:val="21"/>
                <w:highlight w:val="yellow"/>
                <w:lang w:bidi="ar"/>
              </w:rPr>
            </w:pPr>
            <w:r>
              <w:rPr>
                <w:rFonts w:hint="eastAsia" w:ascii="宋体" w:hAnsi="宋体" w:cs="宋体"/>
                <w:kern w:val="0"/>
                <w:szCs w:val="21"/>
                <w:lang w:bidi="ar"/>
              </w:rPr>
              <w:t>11、具有血氧脉搏进行训练保护功能，一旦检测到患者血氧脉搏超过限值范围，设备自动停机保护；</w:t>
            </w:r>
          </w:p>
          <w:p>
            <w:pPr>
              <w:widowControl/>
              <w:jc w:val="left"/>
              <w:textAlignment w:val="center"/>
              <w:rPr>
                <w:rFonts w:hint="eastAsia" w:ascii="宋体" w:hAnsi="宋体" w:cs="宋体"/>
                <w:kern w:val="0"/>
                <w:szCs w:val="21"/>
                <w:lang w:bidi="ar"/>
              </w:rPr>
            </w:pPr>
            <w:r>
              <w:rPr>
                <w:rFonts w:hint="eastAsia" w:ascii="宋体" w:hAnsi="宋体" w:cs="宋体"/>
                <w:kern w:val="0"/>
                <w:szCs w:val="21"/>
                <w:highlight w:val="none"/>
                <w:lang w:bidi="ar"/>
              </w:rPr>
              <w:t>★1</w:t>
            </w:r>
            <w:r>
              <w:rPr>
                <w:rFonts w:hint="eastAsia" w:ascii="宋体" w:hAnsi="宋体" w:cs="宋体"/>
                <w:kern w:val="0"/>
                <w:szCs w:val="21"/>
                <w:lang w:bidi="ar"/>
              </w:rPr>
              <w:t>2、站位扶手上下高度可电动调节，满足不同身高的人群使用；</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13、扶手上具有两片式防护绑带，防止患者摔倒；</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14、具有设备状态提示氛围灯，可提示设备的运行状态，急停等情况；</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15、具有患者管理模块，可存储患者信息，评估及训练报告、且训练报告可以进行多次对比分析，生成对比分析报告，支持一键打印；</w:t>
            </w:r>
          </w:p>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16、系统设置中可进行登录密码，安全密码，医院及科室信息的修改。修改后，生成的报告上可显示当前医院信息。</w:t>
            </w:r>
          </w:p>
          <w:p>
            <w:pPr>
              <w:widowControl/>
              <w:jc w:val="left"/>
              <w:textAlignment w:val="center"/>
              <w:rPr>
                <w:rFonts w:ascii="宋体" w:hAnsi="Calibri" w:cs="宋体"/>
                <w:b/>
                <w:kern w:val="0"/>
                <w:sz w:val="24"/>
                <w:szCs w:val="21"/>
              </w:rPr>
            </w:pP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套</w:t>
            </w:r>
          </w:p>
        </w:tc>
      </w:tr>
      <w:tr>
        <w:tblPrEx>
          <w:tblCellMar>
            <w:top w:w="0" w:type="dxa"/>
            <w:left w:w="108" w:type="dxa"/>
            <w:bottom w:w="0" w:type="dxa"/>
            <w:right w:w="108" w:type="dxa"/>
          </w:tblCellMar>
        </w:tblPrEx>
        <w:trPr>
          <w:trHeight w:val="285" w:hRule="atLeast"/>
        </w:trPr>
        <w:tc>
          <w:tcPr>
            <w:tcW w:w="10787" w:type="dxa"/>
            <w:gridSpan w:val="5"/>
            <w:tcBorders>
              <w:top w:val="nil"/>
              <w:left w:val="single" w:color="auto" w:sz="4" w:space="0"/>
              <w:bottom w:val="single" w:color="auto" w:sz="4" w:space="0"/>
              <w:right w:val="single" w:color="auto" w:sz="4" w:space="0"/>
            </w:tcBorders>
            <w:shd w:val="clear" w:color="auto" w:fill="FFFFFF"/>
            <w:noWrap/>
            <w:vAlign w:val="center"/>
          </w:tcPr>
          <w:p>
            <w:pPr>
              <w:widowControl/>
              <w:textAlignment w:val="center"/>
              <w:rPr>
                <w:rFonts w:ascii="宋体" w:hAnsi="Calibri" w:cs="宋体"/>
                <w:kern w:val="0"/>
                <w:sz w:val="24"/>
                <w:szCs w:val="21"/>
              </w:rPr>
            </w:pPr>
            <w:r>
              <w:rPr>
                <w:rFonts w:hint="eastAsia" w:ascii="宋体" w:hAnsi="宋体" w:cs="宋体"/>
                <w:b/>
                <w:bCs/>
                <w:color w:val="000000"/>
                <w:kern w:val="0"/>
                <w:szCs w:val="21"/>
                <w:lang w:bidi="ar"/>
              </w:rPr>
              <w:t>二、运动治疗</w:t>
            </w:r>
            <w:r>
              <w:rPr>
                <w:rFonts w:hint="eastAsia" w:ascii="宋体" w:hAnsi="宋体" w:cs="宋体"/>
                <w:b/>
                <w:bCs/>
                <w:kern w:val="0"/>
                <w:szCs w:val="21"/>
              </w:rPr>
              <w:t>器材</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1276"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cs="宋体"/>
                <w:kern w:val="0"/>
                <w:sz w:val="24"/>
                <w:szCs w:val="21"/>
              </w:rPr>
            </w:pPr>
            <w:r>
              <w:rPr>
                <w:rFonts w:hint="eastAsia" w:ascii="宋体" w:hAnsi="宋体" w:cs="宋体"/>
                <w:kern w:val="0"/>
                <w:szCs w:val="21"/>
                <w:lang w:bidi="ar"/>
              </w:rPr>
              <w:t>肌力训练设备</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1、绳索尺寸：≥8×10cm；</w:t>
            </w:r>
          </w:p>
          <w:p>
            <w:pPr>
              <w:widowControl/>
              <w:jc w:val="left"/>
              <w:textAlignment w:val="center"/>
              <w:rPr>
                <w:rFonts w:ascii="宋体" w:hAnsi="Calibri" w:cs="宋体"/>
                <w:kern w:val="0"/>
                <w:sz w:val="24"/>
                <w:szCs w:val="21"/>
              </w:rPr>
            </w:pPr>
            <w:r>
              <w:rPr>
                <w:rFonts w:hint="eastAsia" w:ascii="宋体" w:hAnsi="宋体" w:cs="宋体"/>
                <w:kern w:val="0"/>
                <w:szCs w:val="21"/>
                <w:lang w:bidi="ar"/>
              </w:rPr>
              <w:t>2、拉环额定承载50kg。</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套</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2</w:t>
            </w:r>
          </w:p>
        </w:tc>
        <w:tc>
          <w:tcPr>
            <w:tcW w:w="1276"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cs="宋体"/>
                <w:kern w:val="0"/>
                <w:sz w:val="24"/>
                <w:szCs w:val="21"/>
              </w:rPr>
            </w:pPr>
            <w:r>
              <w:rPr>
                <w:rFonts w:hint="eastAsia" w:ascii="宋体" w:hAnsi="宋体" w:cs="宋体"/>
                <w:color w:val="000000"/>
                <w:kern w:val="0"/>
                <w:szCs w:val="21"/>
                <w:lang w:bidi="ar"/>
              </w:rPr>
              <w:t>电动起立床</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1、尺寸：≥200×120×174cm；</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2、滑轮为万向轮,把手为优质塑料模具一次成型，牵引网架额定承载80kg, 肌力训练、关节活动度训练、牵引治疗、放松调整训练；</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3、主架为优质型钢，静电喷塑、床面采用高密度泡沫海绵，外包优质PU革、不锈钢扶手。</w:t>
            </w:r>
          </w:p>
          <w:p>
            <w:pPr>
              <w:widowControl/>
              <w:jc w:val="left"/>
              <w:textAlignment w:val="center"/>
              <w:rPr>
                <w:rFonts w:ascii="宋体" w:hAnsi="Calibri" w:cs="宋体"/>
                <w:kern w:val="0"/>
                <w:sz w:val="24"/>
                <w:szCs w:val="21"/>
              </w:rPr>
            </w:pPr>
            <w:r>
              <w:rPr>
                <w:rFonts w:hint="eastAsia" w:ascii="宋体" w:hAnsi="宋体" w:cs="宋体"/>
                <w:color w:val="000000"/>
                <w:kern w:val="0"/>
                <w:szCs w:val="21"/>
                <w:lang w:bidi="ar"/>
              </w:rPr>
              <w:t xml:space="preserve">尺寸：≥205×65×50～94cm,床面高度调节高度50～94cm,床面翻转角度:前床面-30°～25°,中间床面0°～25°,后床面0°～75°,床面额定负载kg:前床面35kg,中间78kg,后床面68kg，床面195X60,前床面36×62cm，中间床面53×62cm，后床面105×62cm。 </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张</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3</w:t>
            </w:r>
          </w:p>
        </w:tc>
        <w:tc>
          <w:tcPr>
            <w:tcW w:w="1276"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cs="宋体"/>
                <w:kern w:val="0"/>
                <w:sz w:val="24"/>
                <w:szCs w:val="21"/>
              </w:rPr>
            </w:pPr>
            <w:r>
              <w:rPr>
                <w:rFonts w:hint="eastAsia" w:ascii="宋体" w:hAnsi="宋体" w:cs="宋体"/>
                <w:color w:val="000000"/>
                <w:kern w:val="0"/>
                <w:szCs w:val="21"/>
                <w:lang w:bidi="ar"/>
              </w:rPr>
              <w:t>多体位治疗床</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Calibri" w:cs="宋体"/>
                <w:kern w:val="0"/>
                <w:sz w:val="24"/>
                <w:szCs w:val="21"/>
              </w:rPr>
            </w:pPr>
            <w:r>
              <w:rPr>
                <w:rFonts w:hint="eastAsia" w:ascii="宋体" w:hAnsi="宋体" w:cs="宋体"/>
                <w:color w:val="000000"/>
                <w:kern w:val="0"/>
                <w:szCs w:val="21"/>
                <w:lang w:bidi="ar"/>
              </w:rPr>
              <w:t>1、尺寸：≥205×65×50～94cm,床面高度调节高度50～94cm,床面翻转角度:前床面-30°～25°,中间床面0°～25°,后床面0°～75°,床面额定负载kg:前床面35kg,中间78kg,后床面68kg,床面195X60,前床面：≥36×62cm，中间床面：≥53×62cm，后床面：≥105×62cm。</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张</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4</w:t>
            </w:r>
          </w:p>
        </w:tc>
        <w:tc>
          <w:tcPr>
            <w:tcW w:w="1276"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cs="宋体"/>
                <w:kern w:val="0"/>
                <w:sz w:val="24"/>
                <w:szCs w:val="21"/>
              </w:rPr>
            </w:pPr>
            <w:r>
              <w:rPr>
                <w:rFonts w:hint="eastAsia" w:ascii="宋体" w:hAnsi="宋体" w:cs="宋体"/>
                <w:color w:val="000000"/>
                <w:kern w:val="0"/>
                <w:szCs w:val="21"/>
                <w:lang w:bidi="ar"/>
              </w:rPr>
              <w:t>可升级治疗床</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Calibri" w:cs="宋体"/>
                <w:kern w:val="0"/>
                <w:sz w:val="24"/>
                <w:szCs w:val="21"/>
              </w:rPr>
            </w:pPr>
            <w:r>
              <w:rPr>
                <w:rFonts w:hint="eastAsia" w:ascii="宋体" w:hAnsi="宋体" w:cs="宋体"/>
                <w:color w:val="000000"/>
                <w:kern w:val="0"/>
                <w:szCs w:val="21"/>
                <w:lang w:bidi="ar"/>
              </w:rPr>
              <w:t>1、尺寸：≥200×65×51～95cm, 床面高度调节高度50～94cm,趴手调节范围0～9cm,床面翻转角度:前床面-20°～40, °中间床面0°～25°,后床面0°～75°,床面额定负载kg:前床面13kg,中间78kg,后床面34kg,趴手额定负载11kg,床面尺寸：≥195×60cm，前床面：≥52×32cm，中间床面51×60cm，后床面：≥90×29.5cm。趴手：≥52×12cm。</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张</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5</w:t>
            </w:r>
          </w:p>
        </w:tc>
        <w:tc>
          <w:tcPr>
            <w:tcW w:w="1276"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cs="宋体"/>
                <w:kern w:val="0"/>
                <w:sz w:val="24"/>
                <w:szCs w:val="21"/>
              </w:rPr>
            </w:pPr>
            <w:r>
              <w:rPr>
                <w:rFonts w:hint="eastAsia" w:ascii="宋体" w:hAnsi="宋体" w:cs="宋体"/>
                <w:color w:val="000000"/>
                <w:kern w:val="0"/>
                <w:szCs w:val="21"/>
                <w:lang w:bidi="ar"/>
              </w:rPr>
              <w:t>医用治疗床</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Calibri" w:cs="宋体"/>
                <w:kern w:val="0"/>
                <w:sz w:val="24"/>
                <w:szCs w:val="21"/>
              </w:rPr>
            </w:pPr>
            <w:r>
              <w:rPr>
                <w:rFonts w:hint="eastAsia" w:ascii="宋体" w:hAnsi="宋体" w:cs="宋体"/>
                <w:color w:val="000000"/>
                <w:kern w:val="0"/>
                <w:szCs w:val="21"/>
                <w:lang w:bidi="ar"/>
              </w:rPr>
              <w:t>1、规格：≥长190×宽80×高66，有孔。</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5</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张</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6</w:t>
            </w:r>
          </w:p>
        </w:tc>
        <w:tc>
          <w:tcPr>
            <w:tcW w:w="1276"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kern w:val="0"/>
                <w:szCs w:val="21"/>
                <w:lang w:bidi="ar"/>
              </w:rPr>
              <w:t>连续性关节被动训练器（肩肘关节型）</w:t>
            </w:r>
          </w:p>
        </w:tc>
        <w:tc>
          <w:tcPr>
            <w:tcW w:w="7426" w:type="dxa"/>
            <w:tcBorders>
              <w:top w:val="nil"/>
              <w:left w:val="single" w:color="auto" w:sz="4" w:space="0"/>
              <w:bottom w:val="single" w:color="auto" w:sz="4" w:space="0"/>
              <w:right w:val="single" w:color="auto" w:sz="4" w:space="0"/>
            </w:tcBorders>
            <w:shd w:val="clear" w:color="auto" w:fill="FFFFFF"/>
            <w:noWrap/>
            <w:vAlign w:val="center"/>
          </w:tcPr>
          <w:p>
            <w:pPr>
              <w:widowControl/>
              <w:jc w:val="left"/>
              <w:textAlignment w:val="center"/>
              <w:rPr>
                <w:rFonts w:ascii="宋体" w:hAnsi="宋体" w:cs="宋体"/>
                <w:szCs w:val="21"/>
              </w:rPr>
            </w:pPr>
            <w:r>
              <w:rPr>
                <w:rFonts w:hint="eastAsia" w:ascii="宋体" w:hAnsi="宋体" w:cs="宋体"/>
                <w:szCs w:val="21"/>
              </w:rPr>
              <w:t>1、仪器组成：主机（含控制部分）、关节固定机构、支撑机构、支架、调节杆、手持操作器组成；</w:t>
            </w:r>
          </w:p>
          <w:p>
            <w:pPr>
              <w:widowControl/>
              <w:jc w:val="left"/>
              <w:textAlignment w:val="center"/>
              <w:rPr>
                <w:rFonts w:ascii="宋体" w:hAnsi="宋体" w:cs="宋体"/>
                <w:szCs w:val="21"/>
              </w:rPr>
            </w:pPr>
            <w:r>
              <w:rPr>
                <w:rFonts w:hint="eastAsia" w:ascii="宋体" w:hAnsi="宋体" w:cs="宋体"/>
                <w:szCs w:val="21"/>
              </w:rPr>
              <w:t>2、输入功率：≤80VA；</w:t>
            </w:r>
          </w:p>
          <w:p>
            <w:pPr>
              <w:widowControl/>
              <w:jc w:val="left"/>
              <w:textAlignment w:val="center"/>
              <w:rPr>
                <w:rFonts w:ascii="宋体" w:hAnsi="宋体" w:cs="宋体"/>
                <w:szCs w:val="21"/>
              </w:rPr>
            </w:pPr>
            <w:r>
              <w:rPr>
                <w:rFonts w:hint="eastAsia" w:ascii="宋体" w:hAnsi="宋体" w:cs="宋体"/>
                <w:szCs w:val="21"/>
              </w:rPr>
              <w:t>3、角度范围及误差：≥135°，角度不大于50°时，误差±5%，角度大于50°时，误差±10%；</w:t>
            </w:r>
          </w:p>
          <w:p>
            <w:pPr>
              <w:widowControl/>
              <w:jc w:val="left"/>
              <w:textAlignment w:val="center"/>
              <w:rPr>
                <w:rFonts w:ascii="宋体" w:hAnsi="宋体" w:cs="宋体"/>
                <w:szCs w:val="21"/>
              </w:rPr>
            </w:pPr>
            <w:r>
              <w:rPr>
                <w:rFonts w:hint="eastAsia" w:ascii="宋体" w:hAnsi="宋体" w:cs="宋体"/>
                <w:szCs w:val="21"/>
              </w:rPr>
              <w:t>4、角速度：角速度分1至9档可调，步长为1档，连续可调；</w:t>
            </w:r>
          </w:p>
          <w:p>
            <w:pPr>
              <w:widowControl/>
              <w:jc w:val="left"/>
              <w:textAlignment w:val="center"/>
              <w:rPr>
                <w:rFonts w:ascii="宋体" w:hAnsi="宋体" w:cs="宋体"/>
                <w:szCs w:val="21"/>
              </w:rPr>
            </w:pPr>
            <w:r>
              <w:rPr>
                <w:rFonts w:hint="eastAsia" w:ascii="宋体" w:hAnsi="宋体" w:cs="宋体"/>
                <w:szCs w:val="21"/>
              </w:rPr>
              <w:t>5、最大角速度：≥10°/s；</w:t>
            </w:r>
          </w:p>
          <w:p>
            <w:pPr>
              <w:widowControl/>
              <w:jc w:val="left"/>
              <w:textAlignment w:val="center"/>
              <w:rPr>
                <w:rFonts w:ascii="宋体" w:hAnsi="宋体" w:cs="宋体"/>
                <w:szCs w:val="21"/>
                <w:highlight w:val="yellow"/>
              </w:rPr>
            </w:pPr>
            <w:r>
              <w:rPr>
                <w:rFonts w:hint="eastAsia" w:ascii="宋体" w:hAnsi="宋体" w:cs="宋体"/>
                <w:kern w:val="0"/>
                <w:szCs w:val="21"/>
                <w:highlight w:val="none"/>
                <w:lang w:bidi="ar"/>
              </w:rPr>
              <w:t>★</w:t>
            </w:r>
            <w:r>
              <w:rPr>
                <w:rFonts w:hint="eastAsia" w:ascii="宋体" w:hAnsi="宋体" w:cs="宋体"/>
                <w:szCs w:val="21"/>
              </w:rPr>
              <w:t>6、痉挛保护：大、中、小3个等级，分别为120N、90N、60N，误差范围为±20%；</w:t>
            </w:r>
          </w:p>
          <w:p>
            <w:pPr>
              <w:widowControl/>
              <w:jc w:val="left"/>
              <w:textAlignment w:val="center"/>
              <w:rPr>
                <w:rFonts w:ascii="宋体" w:hAnsi="宋体" w:cs="宋体"/>
                <w:szCs w:val="21"/>
              </w:rPr>
            </w:pPr>
            <w:r>
              <w:rPr>
                <w:rFonts w:hint="eastAsia" w:ascii="宋体" w:hAnsi="宋体" w:cs="宋体"/>
                <w:szCs w:val="21"/>
              </w:rPr>
              <w:t>7、调节杆的长度可调范围：≥0</w:t>
            </w:r>
            <w:r>
              <w:rPr>
                <w:rFonts w:hint="eastAsia" w:ascii="宋体" w:hAnsi="宋体" w:cs="宋体"/>
                <w:kern w:val="0"/>
                <w:szCs w:val="21"/>
                <w:lang w:bidi="ar"/>
              </w:rPr>
              <w:t>～</w:t>
            </w:r>
            <w:r>
              <w:rPr>
                <w:rFonts w:hint="eastAsia" w:ascii="宋体" w:hAnsi="宋体" w:cs="宋体"/>
                <w:szCs w:val="21"/>
              </w:rPr>
              <w:t>120mm，误差≤±10%。支架可调范围为≥0</w:t>
            </w:r>
            <w:r>
              <w:rPr>
                <w:rFonts w:hint="eastAsia" w:ascii="宋体" w:hAnsi="宋体" w:cs="宋体"/>
                <w:kern w:val="0"/>
                <w:szCs w:val="21"/>
                <w:lang w:bidi="ar"/>
              </w:rPr>
              <w:t>～</w:t>
            </w:r>
            <w:r>
              <w:rPr>
                <w:rFonts w:hint="eastAsia" w:ascii="宋体" w:hAnsi="宋体" w:cs="宋体"/>
                <w:szCs w:val="21"/>
              </w:rPr>
              <w:t>350mm，误差±10%；</w:t>
            </w:r>
          </w:p>
          <w:p>
            <w:pPr>
              <w:widowControl/>
              <w:jc w:val="left"/>
              <w:textAlignment w:val="center"/>
              <w:rPr>
                <w:rFonts w:ascii="宋体" w:hAnsi="宋体" w:cs="宋体"/>
                <w:szCs w:val="21"/>
              </w:rPr>
            </w:pPr>
            <w:r>
              <w:rPr>
                <w:rFonts w:hint="eastAsia" w:ascii="宋体" w:hAnsi="宋体" w:cs="宋体"/>
                <w:szCs w:val="21"/>
              </w:rPr>
              <w:t>8、工作噪音：≤60dB；</w:t>
            </w:r>
          </w:p>
          <w:p>
            <w:pPr>
              <w:widowControl/>
              <w:jc w:val="left"/>
              <w:textAlignment w:val="center"/>
              <w:rPr>
                <w:rFonts w:ascii="宋体" w:hAnsi="宋体" w:cs="宋体"/>
                <w:szCs w:val="21"/>
              </w:rPr>
            </w:pPr>
            <w:r>
              <w:rPr>
                <w:rFonts w:hint="eastAsia" w:ascii="宋体" w:hAnsi="宋体" w:cs="宋体"/>
                <w:szCs w:val="21"/>
              </w:rPr>
              <w:t>9、最大承重载荷：≥80N；</w:t>
            </w:r>
          </w:p>
          <w:p>
            <w:pPr>
              <w:widowControl/>
              <w:jc w:val="left"/>
              <w:textAlignment w:val="center"/>
              <w:rPr>
                <w:rFonts w:ascii="宋体" w:hAnsi="宋体" w:cs="宋体"/>
                <w:szCs w:val="21"/>
              </w:rPr>
            </w:pPr>
            <w:r>
              <w:rPr>
                <w:rFonts w:hint="eastAsia" w:ascii="宋体" w:hAnsi="宋体" w:cs="宋体"/>
                <w:szCs w:val="21"/>
              </w:rPr>
              <w:t>10、治疗时间：≥1</w:t>
            </w:r>
            <w:r>
              <w:rPr>
                <w:rFonts w:hint="eastAsia" w:ascii="宋体" w:hAnsi="宋体" w:cs="宋体"/>
                <w:kern w:val="0"/>
                <w:szCs w:val="21"/>
                <w:lang w:bidi="ar"/>
              </w:rPr>
              <w:t>～</w:t>
            </w:r>
            <w:r>
              <w:rPr>
                <w:rFonts w:hint="eastAsia" w:ascii="宋体" w:hAnsi="宋体" w:cs="宋体"/>
                <w:szCs w:val="21"/>
              </w:rPr>
              <w:t>240分钟，步长为≤1分钟，连续可调，误差±10%；</w:t>
            </w:r>
          </w:p>
          <w:p>
            <w:pPr>
              <w:widowControl/>
              <w:jc w:val="left"/>
              <w:textAlignment w:val="center"/>
              <w:rPr>
                <w:rFonts w:ascii="宋体" w:hAnsi="宋体" w:cs="宋体"/>
                <w:szCs w:val="21"/>
              </w:rPr>
            </w:pPr>
            <w:r>
              <w:rPr>
                <w:rFonts w:hint="eastAsia" w:ascii="宋体" w:hAnsi="宋体" w:cs="宋体"/>
                <w:szCs w:val="21"/>
              </w:rPr>
              <w:t>11、工作模式：正常模式、速度模式、角度模式；</w:t>
            </w:r>
          </w:p>
          <w:p>
            <w:pPr>
              <w:widowControl/>
              <w:jc w:val="left"/>
              <w:textAlignment w:val="center"/>
              <w:rPr>
                <w:rFonts w:ascii="宋体" w:hAnsi="宋体" w:cs="宋体"/>
                <w:szCs w:val="21"/>
              </w:rPr>
            </w:pPr>
            <w:r>
              <w:rPr>
                <w:rFonts w:hint="eastAsia" w:ascii="宋体" w:hAnsi="宋体" w:cs="宋体"/>
                <w:szCs w:val="21"/>
              </w:rPr>
              <w:t>12、产品尺寸：≥776.5mm*601mm*941mm（长*宽*高mm）</w:t>
            </w:r>
          </w:p>
          <w:p>
            <w:pPr>
              <w:widowControl/>
              <w:jc w:val="left"/>
              <w:textAlignment w:val="center"/>
              <w:rPr>
                <w:rFonts w:ascii="宋体" w:hAnsi="宋体" w:cs="宋体"/>
                <w:szCs w:val="21"/>
              </w:rPr>
            </w:pPr>
            <w:r>
              <w:rPr>
                <w:rFonts w:hint="eastAsia" w:ascii="宋体" w:hAnsi="宋体" w:cs="宋体"/>
                <w:szCs w:val="21"/>
              </w:rPr>
              <w:t>13、产品重量：≥26kg；</w:t>
            </w:r>
          </w:p>
          <w:p>
            <w:pPr>
              <w:widowControl/>
              <w:jc w:val="left"/>
              <w:textAlignment w:val="center"/>
            </w:pPr>
          </w:p>
        </w:tc>
        <w:tc>
          <w:tcPr>
            <w:tcW w:w="73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color w:val="000000"/>
                <w:szCs w:val="21"/>
              </w:rPr>
              <w:t>1</w:t>
            </w:r>
          </w:p>
        </w:tc>
        <w:tc>
          <w:tcPr>
            <w:tcW w:w="73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color w:val="000000"/>
                <w:kern w:val="0"/>
                <w:szCs w:val="21"/>
                <w:lang w:bidi="ar"/>
              </w:rPr>
              <w:t>台</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7</w:t>
            </w:r>
          </w:p>
        </w:tc>
        <w:tc>
          <w:tcPr>
            <w:tcW w:w="1276"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cs="宋体"/>
                <w:kern w:val="0"/>
                <w:sz w:val="24"/>
                <w:szCs w:val="21"/>
              </w:rPr>
            </w:pPr>
            <w:r>
              <w:rPr>
                <w:rFonts w:hint="eastAsia" w:ascii="宋体" w:hAnsi="宋体" w:cs="宋体"/>
                <w:kern w:val="0"/>
                <w:szCs w:val="21"/>
                <w:lang w:bidi="ar"/>
              </w:rPr>
              <w:t>连续性关节被动训练器（下肢关节型）)</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1、仪器组成：主机（含控制部分）、关节固定机构、支撑机构、调节杆、手持操作器组成；</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2、输入功率：≤80VA；</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3、角度范围及误差：≥0～130°，膝关节屈曲动作角度≥0～130°；髋关节屈曲动作角度≥0～80°；踝关节屈动作角度≥0～60°、内外翻动作角度为≥0～55°；角度不大于50°时，误差±5%，角度大于50°时，误差±10%；</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4、角速度：角速度分1至9档可调，步长为1档，连续可调；</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5、最大角速度：≤10°/s；</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6、痉挛保护：大、中、小3个等级，分别为180N、150N、120N，误差范围为±20%；</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7、调节杆1的长度可调范围≥0～140mm，误差±10%。调节杆2可调范围为≥0～200mm，误差±10%；</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8、工作噪音：≤60dB；</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9、最大承重载荷：≥200N；</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10、治疗时间：≥1～240分钟，步长为1分钟，连续可调，误差≤±10%。；工作模式：正常模式、速度模式、角度模式；</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11、工作模式：正常、速度、角度；</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12、产品尺寸（长宽高）：≥935mm*373 mm* 319mm；</w:t>
            </w:r>
          </w:p>
          <w:p>
            <w:pPr>
              <w:widowControl/>
              <w:jc w:val="left"/>
              <w:textAlignment w:val="center"/>
              <w:rPr>
                <w:rFonts w:ascii="宋体" w:hAnsi="Calibri" w:cs="宋体"/>
                <w:kern w:val="0"/>
                <w:sz w:val="24"/>
                <w:szCs w:val="21"/>
              </w:rPr>
            </w:pPr>
            <w:r>
              <w:rPr>
                <w:rFonts w:hint="eastAsia" w:ascii="宋体" w:hAnsi="宋体" w:cs="宋体"/>
                <w:kern w:val="0"/>
                <w:szCs w:val="21"/>
                <w:lang w:bidi="ar"/>
              </w:rPr>
              <w:t>13、产品重量：≥17kg；</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台</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8</w:t>
            </w:r>
          </w:p>
        </w:tc>
        <w:tc>
          <w:tcPr>
            <w:tcW w:w="127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cs="宋体"/>
                <w:kern w:val="0"/>
                <w:sz w:val="24"/>
                <w:szCs w:val="21"/>
              </w:rPr>
            </w:pPr>
            <w:r>
              <w:rPr>
                <w:rFonts w:hint="eastAsia" w:ascii="宋体" w:hAnsi="宋体" w:cs="宋体"/>
                <w:color w:val="000000"/>
                <w:kern w:val="0"/>
                <w:szCs w:val="21"/>
                <w:lang w:bidi="ar"/>
              </w:rPr>
              <w:t>踏步器</w:t>
            </w:r>
          </w:p>
        </w:tc>
        <w:tc>
          <w:tcPr>
            <w:tcW w:w="7426" w:type="dxa"/>
            <w:tcBorders>
              <w:top w:val="nil"/>
              <w:left w:val="nil"/>
              <w:bottom w:val="single" w:color="auto" w:sz="4" w:space="0"/>
              <w:right w:val="single" w:color="auto" w:sz="4" w:space="0"/>
            </w:tcBorders>
            <w:shd w:val="clear" w:color="auto" w:fill="FFFFFF"/>
            <w:noWrap/>
            <w:vAlign w:val="center"/>
          </w:tcPr>
          <w:p>
            <w:pPr>
              <w:widowControl/>
              <w:jc w:val="left"/>
              <w:textAlignment w:val="center"/>
              <w:rPr>
                <w:rFonts w:ascii="宋体" w:hAnsi="Calibri" w:cs="宋体"/>
                <w:kern w:val="0"/>
                <w:sz w:val="24"/>
                <w:szCs w:val="21"/>
              </w:rPr>
            </w:pPr>
            <w:r>
              <w:rPr>
                <w:rFonts w:hint="eastAsia" w:ascii="宋体" w:hAnsi="宋体" w:cs="宋体"/>
                <w:color w:val="000000"/>
                <w:kern w:val="0"/>
                <w:szCs w:val="21"/>
                <w:lang w:bidi="ar"/>
              </w:rPr>
              <w:t>1、规格：≥80×75×110cm，扶手杆宽63cm，扶手杆高100cm，额定负载135kg，油缸阻力12档可调，线速度位5cm/s，力值调节范围：200～1500N。结构型式：电子表、扶手、油缸、脚踏板、机架；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2、结构型式：电子表、扶手、油缸、脚踏板、机架；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3、材质：主架优质型钢表面喷塑，海绵扶手套。</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2</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台</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9</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上肢内收外展抗阻训练器</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1、针对胸肌，斜方肌和三角肌的训练；</w:t>
            </w:r>
          </w:p>
          <w:p>
            <w:pPr>
              <w:jc w:val="left"/>
              <w:rPr>
                <w:rFonts w:ascii="宋体" w:hAnsi="宋体" w:cs="宋体"/>
                <w:szCs w:val="21"/>
              </w:rPr>
            </w:pPr>
            <w:r>
              <w:rPr>
                <w:rFonts w:hint="eastAsia" w:ascii="宋体" w:hAnsi="宋体" w:cs="宋体"/>
                <w:szCs w:val="21"/>
              </w:rPr>
              <w:t>2、可进行心肺康复训练 、肌力训练、关节活动度训练 、有氧训 练、减脂塑形等有效的训练 ，并达到训练目的；</w:t>
            </w:r>
          </w:p>
          <w:p>
            <w:pPr>
              <w:jc w:val="left"/>
              <w:rPr>
                <w:rFonts w:ascii="宋体" w:hAnsi="宋体" w:cs="宋体"/>
                <w:szCs w:val="21"/>
              </w:rPr>
            </w:pPr>
            <w:r>
              <w:rPr>
                <w:rFonts w:hint="eastAsia" w:ascii="宋体" w:hAnsi="宋体" w:cs="宋体"/>
                <w:szCs w:val="21"/>
              </w:rPr>
              <w:t>3、广泛适用于心肺康复 、骨关节康复、代谢疾病、运动损伤、 老年康复等领域 ，同时也适用于女性的减脂塑形和案牍人群 ；</w:t>
            </w:r>
          </w:p>
          <w:p>
            <w:pPr>
              <w:jc w:val="left"/>
              <w:rPr>
                <w:rFonts w:ascii="宋体" w:hAnsi="宋体" w:cs="宋体"/>
                <w:szCs w:val="21"/>
              </w:rPr>
            </w:pPr>
            <w:r>
              <w:rPr>
                <w:rFonts w:hint="eastAsia" w:ascii="宋体" w:hAnsi="宋体" w:cs="宋体"/>
                <w:szCs w:val="21"/>
              </w:rPr>
              <w:t>4、尺寸（长宽高）：≥980*1080*1260mm；</w:t>
            </w:r>
          </w:p>
          <w:p>
            <w:pPr>
              <w:jc w:val="left"/>
              <w:rPr>
                <w:rFonts w:ascii="宋体" w:hAnsi="宋体" w:cs="宋体"/>
                <w:szCs w:val="21"/>
              </w:rPr>
            </w:pPr>
            <w:r>
              <w:rPr>
                <w:rFonts w:hint="eastAsia" w:ascii="宋体" w:hAnsi="宋体" w:cs="宋体"/>
                <w:szCs w:val="21"/>
              </w:rPr>
              <w:t>5、净重：</w:t>
            </w:r>
            <w:r>
              <w:rPr>
                <w:rFonts w:hint="eastAsia" w:ascii="宋体" w:hAnsi="宋体" w:cs="宋体"/>
                <w:kern w:val="0"/>
                <w:szCs w:val="21"/>
                <w:lang w:bidi="ar"/>
              </w:rPr>
              <w:t>≥</w:t>
            </w:r>
            <w:r>
              <w:rPr>
                <w:rFonts w:hint="eastAsia" w:ascii="宋体" w:hAnsi="宋体" w:cs="宋体"/>
                <w:szCs w:val="21"/>
              </w:rPr>
              <w:t>56kg；</w:t>
            </w:r>
          </w:p>
          <w:p>
            <w:pPr>
              <w:jc w:val="left"/>
              <w:rPr>
                <w:rFonts w:ascii="宋体" w:hAnsi="宋体" w:cs="宋体"/>
                <w:szCs w:val="21"/>
              </w:rPr>
            </w:pPr>
            <w:r>
              <w:rPr>
                <w:rFonts w:hint="eastAsia" w:ascii="宋体" w:hAnsi="宋体" w:cs="宋体"/>
                <w:szCs w:val="21"/>
              </w:rPr>
              <w:t>6、阻力：双向液压阻尼 ，12档阻力调节；</w:t>
            </w:r>
          </w:p>
          <w:p>
            <w:pPr>
              <w:jc w:val="left"/>
              <w:rPr>
                <w:rFonts w:ascii="宋体" w:hAnsi="Calibri" w:cs="宋体"/>
                <w:kern w:val="0"/>
                <w:sz w:val="24"/>
                <w:szCs w:val="21"/>
              </w:rPr>
            </w:pPr>
            <w:r>
              <w:rPr>
                <w:rFonts w:hint="eastAsia" w:ascii="宋体" w:hAnsi="宋体" w:cs="宋体"/>
                <w:szCs w:val="21"/>
              </w:rPr>
              <w:t>7、承重： ≥150KG</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台</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10</w:t>
            </w:r>
          </w:p>
        </w:tc>
        <w:tc>
          <w:tcPr>
            <w:tcW w:w="1276" w:type="dxa"/>
            <w:tcBorders>
              <w:top w:val="nil"/>
              <w:left w:val="single" w:color="auto" w:sz="4" w:space="0"/>
              <w:bottom w:val="single" w:color="auto" w:sz="4" w:space="0"/>
              <w:right w:val="single" w:color="auto" w:sz="4" w:space="0"/>
            </w:tcBorders>
            <w:shd w:val="clear" w:color="auto" w:fill="FFFFFF"/>
            <w:noWrap/>
            <w:vAlign w:val="center"/>
          </w:tcPr>
          <w:p>
            <w:pPr>
              <w:jc w:val="center"/>
            </w:pPr>
            <w:r>
              <w:rPr>
                <w:rFonts w:hint="eastAsia" w:ascii="宋体" w:hAnsi="宋体" w:cs="宋体"/>
                <w:szCs w:val="21"/>
              </w:rPr>
              <w:t>手臂屈伸抗阻训练器</w:t>
            </w:r>
          </w:p>
        </w:tc>
        <w:tc>
          <w:tcPr>
            <w:tcW w:w="7426" w:type="dxa"/>
            <w:tcBorders>
              <w:top w:val="nil"/>
              <w:left w:val="single" w:color="auto" w:sz="4" w:space="0"/>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1、针对肱二头肌和肱三头肌性的训练；</w:t>
            </w:r>
          </w:p>
          <w:p>
            <w:pPr>
              <w:jc w:val="left"/>
              <w:rPr>
                <w:rFonts w:ascii="宋体" w:hAnsi="宋体" w:cs="宋体"/>
                <w:szCs w:val="21"/>
              </w:rPr>
            </w:pPr>
            <w:r>
              <w:rPr>
                <w:rFonts w:hint="eastAsia" w:ascii="宋体" w:hAnsi="宋体" w:cs="宋体"/>
                <w:szCs w:val="21"/>
              </w:rPr>
              <w:t>2、可进行心肺康复训练 、肌力训练、关节活动度训练 、有氧训 练、减脂塑形等有效的训练 ，并达到训练目的；</w:t>
            </w:r>
          </w:p>
          <w:p>
            <w:pPr>
              <w:jc w:val="left"/>
              <w:rPr>
                <w:rFonts w:ascii="宋体" w:hAnsi="宋体" w:cs="宋体"/>
                <w:szCs w:val="21"/>
              </w:rPr>
            </w:pPr>
            <w:r>
              <w:rPr>
                <w:rFonts w:hint="eastAsia" w:ascii="宋体" w:hAnsi="宋体" w:cs="宋体"/>
                <w:szCs w:val="21"/>
              </w:rPr>
              <w:t>3、广泛适用于心肺康复 、骨关节康复、代谢疾病、运动损伤、 老年康复等领域 ，同时也适用于女性的减脂塑形和案牍人群 ；</w:t>
            </w:r>
          </w:p>
          <w:p>
            <w:pPr>
              <w:jc w:val="left"/>
              <w:rPr>
                <w:rFonts w:ascii="宋体" w:hAnsi="宋体" w:cs="宋体"/>
                <w:szCs w:val="21"/>
              </w:rPr>
            </w:pPr>
            <w:r>
              <w:rPr>
                <w:rFonts w:hint="eastAsia" w:ascii="宋体" w:hAnsi="宋体" w:cs="宋体"/>
                <w:szCs w:val="21"/>
              </w:rPr>
              <w:t>4、尺寸（长宽高） ：≥925*740*920mm；</w:t>
            </w:r>
          </w:p>
          <w:p>
            <w:pPr>
              <w:jc w:val="left"/>
              <w:rPr>
                <w:rFonts w:ascii="宋体" w:hAnsi="宋体" w:cs="宋体"/>
                <w:szCs w:val="21"/>
              </w:rPr>
            </w:pPr>
            <w:r>
              <w:rPr>
                <w:rFonts w:hint="eastAsia" w:ascii="宋体" w:hAnsi="宋体" w:cs="宋体"/>
                <w:szCs w:val="21"/>
              </w:rPr>
              <w:t>5、净重：</w:t>
            </w:r>
            <w:r>
              <w:rPr>
                <w:rFonts w:hint="eastAsia" w:ascii="宋体" w:hAnsi="宋体" w:cs="宋体"/>
                <w:kern w:val="0"/>
                <w:szCs w:val="21"/>
                <w:lang w:bidi="ar"/>
              </w:rPr>
              <w:t>≥</w:t>
            </w:r>
            <w:r>
              <w:rPr>
                <w:rFonts w:hint="eastAsia" w:ascii="宋体" w:hAnsi="宋体" w:cs="宋体"/>
                <w:szCs w:val="21"/>
              </w:rPr>
              <w:t>34kg；</w:t>
            </w:r>
          </w:p>
          <w:p>
            <w:pPr>
              <w:jc w:val="left"/>
              <w:rPr>
                <w:rFonts w:ascii="宋体" w:hAnsi="宋体" w:cs="宋体"/>
                <w:szCs w:val="21"/>
              </w:rPr>
            </w:pPr>
            <w:r>
              <w:rPr>
                <w:rFonts w:hint="eastAsia" w:ascii="宋体" w:hAnsi="宋体" w:cs="宋体"/>
                <w:szCs w:val="21"/>
              </w:rPr>
              <w:t>6、阻力：双向液压阻尼 ，12档阻力调节；</w:t>
            </w:r>
          </w:p>
          <w:p>
            <w:pPr>
              <w:jc w:val="left"/>
            </w:pPr>
            <w:r>
              <w:rPr>
                <w:rFonts w:hint="eastAsia" w:ascii="宋体" w:hAnsi="宋体" w:cs="宋体"/>
                <w:szCs w:val="21"/>
              </w:rPr>
              <w:t>7、承重： ≥150KG；</w:t>
            </w:r>
          </w:p>
        </w:tc>
        <w:tc>
          <w:tcPr>
            <w:tcW w:w="73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color w:val="000000"/>
                <w:szCs w:val="21"/>
              </w:rPr>
              <w:t>1</w:t>
            </w:r>
          </w:p>
        </w:tc>
        <w:tc>
          <w:tcPr>
            <w:tcW w:w="73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color w:val="000000"/>
                <w:kern w:val="0"/>
                <w:szCs w:val="21"/>
                <w:lang w:bidi="ar"/>
              </w:rPr>
              <w:t>台</w:t>
            </w:r>
          </w:p>
        </w:tc>
      </w:tr>
      <w:tr>
        <w:tblPrEx>
          <w:tblCellMar>
            <w:top w:w="0" w:type="dxa"/>
            <w:left w:w="108" w:type="dxa"/>
            <w:bottom w:w="0" w:type="dxa"/>
            <w:right w:w="108" w:type="dxa"/>
          </w:tblCellMar>
        </w:tblPrEx>
        <w:trPr>
          <w:trHeight w:val="293"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11</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胸背部抗阻训练器</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1、针对胸肌、背阔肌、斜方肌等肌肉的训练；</w:t>
            </w:r>
          </w:p>
          <w:p>
            <w:pPr>
              <w:jc w:val="left"/>
              <w:rPr>
                <w:rFonts w:ascii="宋体" w:hAnsi="宋体" w:cs="宋体"/>
                <w:szCs w:val="21"/>
              </w:rPr>
            </w:pPr>
            <w:r>
              <w:rPr>
                <w:rFonts w:hint="eastAsia" w:ascii="宋体" w:hAnsi="宋体" w:cs="宋体"/>
                <w:szCs w:val="21"/>
              </w:rPr>
              <w:t>2、可进行心肺康复训练 、肌力训练、关节活动度训练 、有氧训 练、减脂塑形等有效的训练 ，并达到训练目的；</w:t>
            </w:r>
          </w:p>
          <w:p>
            <w:pPr>
              <w:jc w:val="left"/>
              <w:rPr>
                <w:rFonts w:ascii="宋体" w:hAnsi="宋体" w:cs="宋体"/>
                <w:szCs w:val="21"/>
              </w:rPr>
            </w:pPr>
            <w:r>
              <w:rPr>
                <w:rFonts w:hint="eastAsia" w:ascii="宋体" w:hAnsi="宋体" w:cs="宋体"/>
                <w:szCs w:val="21"/>
              </w:rPr>
              <w:t>3、广泛适用于心肺康复 、骨关节康复、代谢疾病、运动损伤、 老年康复等领域 ，同时也适用于女性的减脂塑形和案牍人群 ；</w:t>
            </w:r>
          </w:p>
          <w:p>
            <w:pPr>
              <w:jc w:val="left"/>
              <w:rPr>
                <w:rFonts w:ascii="宋体" w:hAnsi="宋体" w:cs="宋体"/>
                <w:szCs w:val="21"/>
              </w:rPr>
            </w:pPr>
            <w:r>
              <w:rPr>
                <w:rFonts w:hint="eastAsia" w:ascii="宋体" w:hAnsi="宋体" w:cs="宋体"/>
                <w:szCs w:val="21"/>
              </w:rPr>
              <w:t>4、尺寸（长宽高） ：≥980*770*1185mm；</w:t>
            </w:r>
          </w:p>
          <w:p>
            <w:pPr>
              <w:jc w:val="left"/>
              <w:rPr>
                <w:rFonts w:ascii="宋体" w:hAnsi="宋体" w:cs="宋体"/>
                <w:szCs w:val="21"/>
              </w:rPr>
            </w:pPr>
            <w:r>
              <w:rPr>
                <w:rFonts w:hint="eastAsia" w:ascii="宋体" w:hAnsi="宋体" w:cs="宋体"/>
                <w:szCs w:val="21"/>
              </w:rPr>
              <w:t>5、净重：</w:t>
            </w:r>
            <w:r>
              <w:rPr>
                <w:rFonts w:hint="eastAsia" w:ascii="宋体" w:hAnsi="宋体" w:cs="宋体"/>
                <w:kern w:val="0"/>
                <w:szCs w:val="21"/>
                <w:lang w:bidi="ar"/>
              </w:rPr>
              <w:t>≥</w:t>
            </w:r>
            <w:r>
              <w:rPr>
                <w:rFonts w:hint="eastAsia" w:ascii="宋体" w:hAnsi="宋体" w:cs="宋体"/>
                <w:szCs w:val="21"/>
              </w:rPr>
              <w:t>40kg；</w:t>
            </w:r>
          </w:p>
          <w:p>
            <w:pPr>
              <w:jc w:val="left"/>
              <w:rPr>
                <w:rFonts w:ascii="宋体" w:hAnsi="宋体" w:cs="宋体"/>
                <w:szCs w:val="21"/>
              </w:rPr>
            </w:pPr>
            <w:r>
              <w:rPr>
                <w:rFonts w:hint="eastAsia" w:ascii="宋体" w:hAnsi="宋体" w:cs="宋体"/>
                <w:szCs w:val="21"/>
              </w:rPr>
              <w:t>6、阻力：双向液压阻尼 ，12档阻力调节；</w:t>
            </w:r>
          </w:p>
          <w:p>
            <w:pPr>
              <w:jc w:val="left"/>
              <w:rPr>
                <w:rFonts w:ascii="宋体" w:hAnsi="Calibri" w:cs="宋体"/>
                <w:kern w:val="0"/>
                <w:sz w:val="24"/>
                <w:szCs w:val="21"/>
              </w:rPr>
            </w:pPr>
            <w:r>
              <w:rPr>
                <w:rFonts w:hint="eastAsia" w:ascii="宋体" w:hAnsi="宋体" w:cs="宋体"/>
                <w:szCs w:val="21"/>
              </w:rPr>
              <w:t>7、承重： ≥150KG。</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台</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000000"/>
                <w:kern w:val="0"/>
                <w:szCs w:val="21"/>
                <w:lang w:bidi="ar"/>
              </w:rPr>
              <w:t>12</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hAnsi="宋体" w:cs="宋体"/>
                <w:kern w:val="0"/>
                <w:sz w:val="24"/>
              </w:rPr>
            </w:pPr>
            <w:r>
              <w:rPr>
                <w:rFonts w:hint="eastAsia" w:ascii="宋体" w:hAnsi="宋体" w:cs="宋体"/>
                <w:szCs w:val="21"/>
              </w:rPr>
              <w:t>腿部推举抗阻训练器</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1、针对股四头肌、臀部肌群、腘绳肌、腓肠肌、比目鱼肌等的 训练；</w:t>
            </w:r>
          </w:p>
          <w:p>
            <w:pPr>
              <w:jc w:val="left"/>
              <w:rPr>
                <w:rFonts w:ascii="宋体" w:hAnsi="宋体" w:cs="宋体"/>
                <w:szCs w:val="21"/>
              </w:rPr>
            </w:pPr>
            <w:r>
              <w:rPr>
                <w:rFonts w:hint="eastAsia" w:ascii="宋体" w:hAnsi="宋体" w:cs="宋体"/>
                <w:szCs w:val="21"/>
              </w:rPr>
              <w:t>2、可进行心肺康复训练 、肌力训练、关节活动度训练 、有氧训 练、减脂塑形等有效的训练 ，并达到训练目的；</w:t>
            </w:r>
          </w:p>
          <w:p>
            <w:pPr>
              <w:jc w:val="left"/>
              <w:rPr>
                <w:rFonts w:ascii="宋体" w:hAnsi="宋体" w:cs="宋体"/>
                <w:szCs w:val="21"/>
              </w:rPr>
            </w:pPr>
            <w:r>
              <w:rPr>
                <w:rFonts w:hint="eastAsia" w:ascii="宋体" w:hAnsi="宋体" w:cs="宋体"/>
                <w:szCs w:val="21"/>
              </w:rPr>
              <w:t>3、广泛适用于心肺康复 、骨关节康复、代谢疾病、运动损伤、 老年康复等领域 ，同时也适用于女性的减脂塑形和案牍人群 ；</w:t>
            </w:r>
          </w:p>
          <w:p>
            <w:pPr>
              <w:jc w:val="left"/>
              <w:rPr>
                <w:rFonts w:ascii="宋体" w:hAnsi="宋体" w:cs="宋体"/>
                <w:szCs w:val="21"/>
              </w:rPr>
            </w:pPr>
            <w:r>
              <w:rPr>
                <w:rFonts w:hint="eastAsia" w:ascii="宋体" w:hAnsi="宋体" w:cs="宋体"/>
                <w:szCs w:val="21"/>
              </w:rPr>
              <w:t>4、尺寸（长宽高） ：≥1775*740*1030mm；</w:t>
            </w:r>
          </w:p>
          <w:p>
            <w:pPr>
              <w:jc w:val="left"/>
              <w:rPr>
                <w:rFonts w:ascii="宋体" w:hAnsi="宋体" w:cs="宋体"/>
                <w:szCs w:val="21"/>
              </w:rPr>
            </w:pPr>
            <w:r>
              <w:rPr>
                <w:rFonts w:hint="eastAsia" w:ascii="宋体" w:hAnsi="宋体" w:cs="宋体"/>
                <w:szCs w:val="21"/>
              </w:rPr>
              <w:t>5、净重：</w:t>
            </w:r>
            <w:r>
              <w:rPr>
                <w:rFonts w:hint="eastAsia" w:ascii="宋体" w:hAnsi="宋体" w:cs="宋体"/>
                <w:kern w:val="0"/>
                <w:szCs w:val="21"/>
                <w:lang w:bidi="ar"/>
              </w:rPr>
              <w:t>≥</w:t>
            </w:r>
            <w:r>
              <w:rPr>
                <w:rFonts w:hint="eastAsia" w:ascii="宋体" w:hAnsi="宋体" w:cs="宋体"/>
                <w:szCs w:val="21"/>
              </w:rPr>
              <w:t>66kg；</w:t>
            </w:r>
          </w:p>
          <w:p>
            <w:pPr>
              <w:jc w:val="left"/>
              <w:rPr>
                <w:rFonts w:ascii="宋体" w:hAnsi="宋体" w:cs="宋体"/>
                <w:szCs w:val="21"/>
              </w:rPr>
            </w:pPr>
            <w:r>
              <w:rPr>
                <w:rFonts w:hint="eastAsia" w:ascii="宋体" w:hAnsi="宋体" w:cs="宋体"/>
                <w:szCs w:val="21"/>
              </w:rPr>
              <w:t>6、阻力：双向液压阻尼 ，12档阻力调节；</w:t>
            </w:r>
          </w:p>
          <w:p>
            <w:pPr>
              <w:jc w:val="left"/>
              <w:rPr>
                <w:rFonts w:ascii="宋体" w:hAnsi="宋体" w:cs="宋体"/>
                <w:kern w:val="0"/>
                <w:sz w:val="24"/>
              </w:rPr>
            </w:pPr>
            <w:r>
              <w:rPr>
                <w:rFonts w:hint="eastAsia" w:ascii="宋体" w:hAnsi="宋体" w:cs="宋体"/>
                <w:szCs w:val="21"/>
              </w:rPr>
              <w:t>7、承重： ≥150KG。</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000000"/>
                <w:kern w:val="0"/>
                <w:szCs w:val="21"/>
                <w:lang w:bidi="ar"/>
              </w:rPr>
              <w:t>台</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13</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腰背抗阻训练器</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1、针对腹直肌和腹外斜肌的训练；</w:t>
            </w:r>
          </w:p>
          <w:p>
            <w:pPr>
              <w:jc w:val="left"/>
              <w:rPr>
                <w:rFonts w:ascii="宋体" w:hAnsi="宋体" w:cs="宋体"/>
                <w:szCs w:val="21"/>
              </w:rPr>
            </w:pPr>
            <w:r>
              <w:rPr>
                <w:rFonts w:hint="eastAsia" w:ascii="宋体" w:hAnsi="宋体" w:cs="宋体"/>
                <w:szCs w:val="21"/>
              </w:rPr>
              <w:t>2、可进行心肺康复训练 、肌力训练、关节活动度训练 、有氧训 练、减脂塑形等有效的训练 ，并达到训练目的；</w:t>
            </w:r>
          </w:p>
          <w:p>
            <w:pPr>
              <w:jc w:val="left"/>
              <w:rPr>
                <w:rFonts w:ascii="宋体" w:hAnsi="宋体" w:cs="宋体"/>
                <w:szCs w:val="21"/>
              </w:rPr>
            </w:pPr>
            <w:r>
              <w:rPr>
                <w:rFonts w:hint="eastAsia" w:ascii="宋体" w:hAnsi="宋体" w:cs="宋体"/>
                <w:szCs w:val="21"/>
              </w:rPr>
              <w:t>3、广泛适用于心肺康复 、骨关节康复、代谢疾病、运动损伤、 老年康复等领域 ，同时也适用于女性的减脂塑形和案牍人群 ；</w:t>
            </w:r>
          </w:p>
          <w:p>
            <w:pPr>
              <w:jc w:val="left"/>
              <w:rPr>
                <w:rFonts w:ascii="宋体" w:hAnsi="宋体" w:cs="宋体"/>
                <w:szCs w:val="21"/>
              </w:rPr>
            </w:pPr>
            <w:r>
              <w:rPr>
                <w:rFonts w:hint="eastAsia" w:ascii="宋体" w:hAnsi="宋体" w:cs="宋体"/>
                <w:szCs w:val="21"/>
              </w:rPr>
              <w:t>4、尺寸（长宽高） ：≥1045*740*960mm；</w:t>
            </w:r>
          </w:p>
          <w:p>
            <w:pPr>
              <w:jc w:val="left"/>
              <w:rPr>
                <w:rFonts w:ascii="宋体" w:hAnsi="宋体" w:cs="宋体"/>
                <w:szCs w:val="21"/>
              </w:rPr>
            </w:pPr>
            <w:r>
              <w:rPr>
                <w:rFonts w:hint="eastAsia" w:ascii="宋体" w:hAnsi="宋体" w:cs="宋体"/>
                <w:szCs w:val="21"/>
              </w:rPr>
              <w:t>5、净重：</w:t>
            </w:r>
            <w:r>
              <w:rPr>
                <w:rFonts w:hint="eastAsia" w:ascii="宋体" w:hAnsi="宋体" w:cs="宋体"/>
                <w:kern w:val="0"/>
                <w:szCs w:val="21"/>
                <w:lang w:bidi="ar"/>
              </w:rPr>
              <w:t>≥</w:t>
            </w:r>
            <w:r>
              <w:rPr>
                <w:rFonts w:hint="eastAsia" w:ascii="宋体" w:hAnsi="宋体" w:cs="宋体"/>
                <w:szCs w:val="21"/>
              </w:rPr>
              <w:t>42kg；</w:t>
            </w:r>
          </w:p>
          <w:p>
            <w:pPr>
              <w:jc w:val="left"/>
              <w:rPr>
                <w:rFonts w:ascii="宋体" w:hAnsi="宋体" w:cs="宋体"/>
                <w:szCs w:val="21"/>
              </w:rPr>
            </w:pPr>
            <w:r>
              <w:rPr>
                <w:rFonts w:hint="eastAsia" w:ascii="宋体" w:hAnsi="宋体" w:cs="宋体"/>
                <w:szCs w:val="21"/>
              </w:rPr>
              <w:t>6、阻力：双向液压阻尼，12档阻力调节；</w:t>
            </w:r>
          </w:p>
          <w:p>
            <w:pPr>
              <w:jc w:val="left"/>
              <w:rPr>
                <w:rFonts w:ascii="宋体" w:hAnsi="Calibri" w:cs="宋体"/>
                <w:kern w:val="0"/>
                <w:sz w:val="24"/>
                <w:szCs w:val="21"/>
              </w:rPr>
            </w:pPr>
            <w:r>
              <w:rPr>
                <w:rFonts w:hint="eastAsia" w:ascii="宋体" w:hAnsi="宋体" w:cs="宋体"/>
                <w:szCs w:val="21"/>
              </w:rPr>
              <w:t>7、承重： ≥150KG。</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eastAsia="宋体" w:cs="宋体"/>
                <w:color w:val="000000"/>
                <w:szCs w:val="21"/>
                <w:lang w:val="en-US" w:eastAsia="zh-CN"/>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张</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jc w:val="left"/>
              <w:rPr>
                <w:rFonts w:ascii="宋体" w:hAnsi="Calibri" w:cs="宋体"/>
                <w:kern w:val="0"/>
                <w:sz w:val="24"/>
                <w:szCs w:val="21"/>
              </w:rPr>
            </w:pPr>
            <w:r>
              <w:rPr>
                <w:rFonts w:hint="eastAsia" w:ascii="宋体" w:hAnsi="宋体" w:cs="宋体"/>
                <w:color w:val="000000"/>
                <w:kern w:val="0"/>
                <w:szCs w:val="21"/>
              </w:rPr>
              <w:t>14</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训练用棍(铁棍插板)</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1、尺寸：≥20×12×3</w:t>
            </w:r>
            <w:r>
              <w:rPr>
                <w:rFonts w:hint="eastAsia" w:ascii="宋体" w:hAnsi="宋体" w:cs="宋体"/>
                <w:szCs w:val="21"/>
                <w:lang w:val="en-US" w:eastAsia="zh-CN"/>
              </w:rPr>
              <w:t>.</w:t>
            </w:r>
            <w:r>
              <w:rPr>
                <w:rFonts w:hint="eastAsia" w:ascii="宋体" w:hAnsi="宋体" w:cs="宋体"/>
                <w:szCs w:val="21"/>
              </w:rPr>
              <w:t>5cm；</w:t>
            </w:r>
          </w:p>
          <w:p>
            <w:pPr>
              <w:jc w:val="left"/>
              <w:rPr>
                <w:rFonts w:ascii="宋体" w:hAnsi="Calibri" w:cs="宋体"/>
                <w:kern w:val="0"/>
                <w:sz w:val="24"/>
                <w:szCs w:val="21"/>
              </w:rPr>
            </w:pPr>
            <w:r>
              <w:rPr>
                <w:rFonts w:hint="eastAsia" w:ascii="宋体" w:hAnsi="宋体" w:cs="宋体"/>
                <w:szCs w:val="21"/>
              </w:rPr>
              <w:t>2、适用于偏瘫、脑瘫、四肢瘫等功能障碍患者进行协调性训练。</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套</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jc w:val="left"/>
              <w:rPr>
                <w:rFonts w:ascii="宋体" w:hAnsi="Calibri" w:cs="宋体"/>
                <w:kern w:val="0"/>
                <w:sz w:val="24"/>
                <w:szCs w:val="21"/>
              </w:rPr>
            </w:pPr>
            <w:r>
              <w:rPr>
                <w:rFonts w:hint="eastAsia" w:ascii="宋体" w:hAnsi="宋体" w:cs="宋体"/>
                <w:color w:val="000000"/>
                <w:kern w:val="0"/>
                <w:szCs w:val="21"/>
              </w:rPr>
              <w:t>15</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哑铃</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1、尺寸：≥81×53×80cm；</w:t>
            </w:r>
          </w:p>
          <w:p>
            <w:pPr>
              <w:jc w:val="left"/>
              <w:rPr>
                <w:rFonts w:ascii="宋体" w:hAnsi="Calibri" w:cs="宋体"/>
                <w:kern w:val="0"/>
                <w:sz w:val="24"/>
                <w:szCs w:val="21"/>
              </w:rPr>
            </w:pPr>
            <w:r>
              <w:rPr>
                <w:rFonts w:hint="eastAsia" w:ascii="宋体" w:hAnsi="宋体" w:cs="宋体"/>
                <w:szCs w:val="21"/>
              </w:rPr>
              <w:t>2、哑铃规格：质量，1LB，6个。2LB，4个,3LB，4个。4LB，2个。5LB，2个。</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套</w:t>
            </w:r>
          </w:p>
        </w:tc>
      </w:tr>
      <w:tr>
        <w:tblPrEx>
          <w:tblCellMar>
            <w:top w:w="0" w:type="dxa"/>
            <w:left w:w="108" w:type="dxa"/>
            <w:bottom w:w="0" w:type="dxa"/>
            <w:right w:w="108" w:type="dxa"/>
          </w:tblCellMar>
        </w:tblPrEx>
        <w:trPr>
          <w:trHeight w:val="285"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jc w:val="left"/>
              <w:rPr>
                <w:rFonts w:ascii="宋体" w:hAnsi="Calibri" w:cs="宋体"/>
                <w:kern w:val="0"/>
                <w:sz w:val="24"/>
                <w:szCs w:val="21"/>
              </w:rPr>
            </w:pPr>
            <w:r>
              <w:rPr>
                <w:rFonts w:hint="eastAsia" w:ascii="宋体" w:hAnsi="宋体" w:cs="宋体"/>
                <w:color w:val="000000"/>
                <w:kern w:val="0"/>
                <w:szCs w:val="21"/>
              </w:rPr>
              <w:t>16</w:t>
            </w:r>
          </w:p>
        </w:tc>
        <w:tc>
          <w:tcPr>
            <w:tcW w:w="1276" w:type="dxa"/>
            <w:tcBorders>
              <w:top w:val="nil"/>
              <w:left w:val="single" w:color="auto" w:sz="4" w:space="0"/>
              <w:bottom w:val="single" w:color="auto" w:sz="4" w:space="0"/>
              <w:right w:val="single" w:color="auto" w:sz="4" w:space="0"/>
            </w:tcBorders>
            <w:shd w:val="clear" w:color="auto" w:fill="FFFFFF"/>
            <w:noWrap/>
            <w:vAlign w:val="center"/>
          </w:tcPr>
          <w:p>
            <w:pPr>
              <w:jc w:val="center"/>
            </w:pPr>
            <w:r>
              <w:rPr>
                <w:rFonts w:hint="eastAsia" w:ascii="宋体" w:hAnsi="宋体" w:cs="宋体"/>
                <w:szCs w:val="21"/>
              </w:rPr>
              <w:t>复式墙拉力器</w:t>
            </w:r>
          </w:p>
        </w:tc>
        <w:tc>
          <w:tcPr>
            <w:tcW w:w="7426" w:type="dxa"/>
            <w:tcBorders>
              <w:top w:val="nil"/>
              <w:left w:val="single" w:color="auto" w:sz="4" w:space="0"/>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1、尺寸：≥63×20×175cm；</w:t>
            </w:r>
          </w:p>
          <w:p>
            <w:pPr>
              <w:jc w:val="left"/>
            </w:pPr>
            <w:r>
              <w:rPr>
                <w:rFonts w:hint="eastAsia" w:ascii="宋体" w:hAnsi="宋体" w:cs="宋体"/>
                <w:szCs w:val="21"/>
              </w:rPr>
              <w:t>2、拉力器个数2个，每个拉力器配6个配重块，每块2kg,最大行程115cm。</w:t>
            </w:r>
          </w:p>
        </w:tc>
        <w:tc>
          <w:tcPr>
            <w:tcW w:w="73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color w:val="000000"/>
                <w:kern w:val="0"/>
                <w:szCs w:val="21"/>
                <w:lang w:bidi="ar"/>
              </w:rPr>
              <w:t>1</w:t>
            </w:r>
          </w:p>
        </w:tc>
        <w:tc>
          <w:tcPr>
            <w:tcW w:w="73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pPr>
            <w:r>
              <w:rPr>
                <w:rFonts w:hint="eastAsia" w:ascii="宋体" w:hAnsi="宋体" w:cs="宋体"/>
                <w:color w:val="000000"/>
                <w:kern w:val="0"/>
                <w:szCs w:val="21"/>
                <w:lang w:bidi="ar"/>
              </w:rPr>
              <w:t>副</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jc w:val="left"/>
              <w:rPr>
                <w:rFonts w:ascii="宋体" w:hAnsi="Calibri" w:cs="宋体"/>
                <w:kern w:val="0"/>
                <w:sz w:val="24"/>
                <w:szCs w:val="21"/>
              </w:rPr>
            </w:pPr>
            <w:r>
              <w:rPr>
                <w:rFonts w:hint="eastAsia" w:ascii="宋体" w:hAnsi="宋体" w:cs="宋体"/>
                <w:color w:val="000000"/>
                <w:kern w:val="0"/>
                <w:szCs w:val="21"/>
              </w:rPr>
              <w:t>17</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滑轮吊环</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1、尺寸：≥70×16×150cm；</w:t>
            </w:r>
          </w:p>
          <w:p>
            <w:pPr>
              <w:jc w:val="left"/>
              <w:rPr>
                <w:rFonts w:ascii="宋体" w:hAnsi="Calibri" w:cs="宋体"/>
                <w:kern w:val="0"/>
                <w:sz w:val="24"/>
                <w:szCs w:val="21"/>
              </w:rPr>
            </w:pPr>
            <w:r>
              <w:rPr>
                <w:rFonts w:hint="eastAsia" w:ascii="宋体" w:hAnsi="宋体" w:cs="宋体"/>
                <w:szCs w:val="21"/>
              </w:rPr>
              <w:t>2、升降支架调节范围0～50cm，额定载荷15kg</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套</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jc w:val="left"/>
              <w:rPr>
                <w:rFonts w:ascii="宋体" w:hAnsi="Calibri" w:cs="宋体"/>
                <w:kern w:val="0"/>
                <w:sz w:val="24"/>
                <w:szCs w:val="21"/>
              </w:rPr>
            </w:pPr>
            <w:r>
              <w:rPr>
                <w:rFonts w:hint="eastAsia" w:ascii="宋体" w:hAnsi="宋体" w:cs="宋体"/>
                <w:color w:val="000000"/>
                <w:kern w:val="0"/>
                <w:szCs w:val="21"/>
              </w:rPr>
              <w:t>18</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坐姿矫正椅</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szCs w:val="21"/>
              </w:rPr>
            </w:pPr>
            <w:r>
              <w:rPr>
                <w:rFonts w:hint="eastAsia" w:ascii="宋体" w:hAnsi="宋体" w:cs="宋体"/>
                <w:szCs w:val="21"/>
              </w:rPr>
              <w:t>1、尺寸：≥72×60×80cm；</w:t>
            </w:r>
          </w:p>
          <w:p>
            <w:pPr>
              <w:jc w:val="left"/>
              <w:rPr>
                <w:rFonts w:ascii="宋体" w:hAnsi="宋体" w:cs="宋体"/>
                <w:szCs w:val="21"/>
              </w:rPr>
            </w:pPr>
            <w:r>
              <w:rPr>
                <w:rFonts w:hint="eastAsia" w:ascii="宋体" w:hAnsi="宋体" w:cs="宋体"/>
                <w:szCs w:val="21"/>
              </w:rPr>
              <w:t>2、头部垫升级调节范围0～12cm；</w:t>
            </w:r>
          </w:p>
          <w:p>
            <w:pPr>
              <w:jc w:val="left"/>
              <w:rPr>
                <w:rFonts w:ascii="宋体" w:hAnsi="宋体" w:cs="宋体"/>
                <w:szCs w:val="21"/>
              </w:rPr>
            </w:pPr>
            <w:r>
              <w:rPr>
                <w:rFonts w:hint="eastAsia" w:ascii="宋体" w:hAnsi="宋体" w:cs="宋体"/>
                <w:szCs w:val="21"/>
              </w:rPr>
              <w:t>3、裆部垫前后调节范围0～10cm；</w:t>
            </w:r>
          </w:p>
          <w:p>
            <w:pPr>
              <w:jc w:val="left"/>
              <w:rPr>
                <w:rFonts w:ascii="宋体" w:hAnsi="宋体" w:cs="宋体"/>
                <w:szCs w:val="21"/>
              </w:rPr>
            </w:pPr>
            <w:r>
              <w:rPr>
                <w:rFonts w:hint="eastAsia" w:ascii="宋体" w:hAnsi="宋体" w:cs="宋体"/>
                <w:szCs w:val="21"/>
              </w:rPr>
              <w:t>4、坐垫到踏脚板最大距离20cm；</w:t>
            </w:r>
          </w:p>
          <w:p>
            <w:pPr>
              <w:jc w:val="left"/>
              <w:rPr>
                <w:rFonts w:ascii="宋体" w:hAnsi="Calibri" w:cs="宋体"/>
                <w:kern w:val="0"/>
                <w:sz w:val="24"/>
                <w:szCs w:val="21"/>
              </w:rPr>
            </w:pPr>
            <w:r>
              <w:rPr>
                <w:rFonts w:hint="eastAsia" w:ascii="宋体" w:hAnsi="宋体" w:cs="宋体"/>
                <w:szCs w:val="21"/>
              </w:rPr>
              <w:t>5、手臂托盘尺寸：≥cm:60×45cm；手臂托盘的台面至座垫距离为20cm。</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张</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19</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梯背椅</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Calibri" w:cs="宋体"/>
                <w:kern w:val="0"/>
                <w:sz w:val="24"/>
                <w:szCs w:val="21"/>
              </w:rPr>
            </w:pPr>
            <w:r>
              <w:rPr>
                <w:rFonts w:hint="eastAsia" w:ascii="宋体" w:hAnsi="宋体" w:cs="宋体"/>
                <w:szCs w:val="21"/>
              </w:rPr>
              <w:t>尺寸：≥71×51×97cm,最高处肋木至地面距离88cm,最低处肋木至地面距离18cm，肋木间距10cm ，肋木直径2cm。</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张</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20</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儿童梯椅</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Calibri" w:cs="宋体"/>
                <w:kern w:val="0"/>
                <w:sz w:val="24"/>
                <w:szCs w:val="21"/>
              </w:rPr>
            </w:pPr>
            <w:r>
              <w:rPr>
                <w:rFonts w:hint="eastAsia" w:ascii="宋体" w:hAnsi="宋体" w:cs="宋体"/>
                <w:szCs w:val="21"/>
              </w:rPr>
              <w:t>尺寸：≥65×41×100cm,最高肋木处至地面距离69cm,肋木间距10cm，肋木直径2cm,地面到座面距离28cm,扶手至地面距离22.5cm。</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张</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kern w:val="0"/>
                <w:szCs w:val="21"/>
                <w:lang w:bidi="ar"/>
              </w:rPr>
              <w:t>21</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cs="宋体"/>
                <w:kern w:val="0"/>
                <w:sz w:val="24"/>
                <w:szCs w:val="21"/>
              </w:rPr>
            </w:pPr>
            <w:r>
              <w:rPr>
                <w:rFonts w:hint="eastAsia" w:ascii="宋体" w:hAnsi="宋体" w:cs="宋体"/>
                <w:szCs w:val="21"/>
              </w:rPr>
              <w:t>儿童沙袋</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Calibri" w:cs="宋体"/>
                <w:kern w:val="0"/>
                <w:sz w:val="24"/>
                <w:szCs w:val="21"/>
              </w:rPr>
            </w:pPr>
            <w:r>
              <w:rPr>
                <w:rFonts w:hint="eastAsia" w:ascii="宋体" w:hAnsi="宋体" w:cs="宋体"/>
                <w:szCs w:val="21"/>
              </w:rPr>
              <w:t>尺寸：≥67×33×78cm, 袋重量（kg）及个数：0.2（2）、0.4（2）、0.6（2个）、0.8（2个）、1.0（2个）、1.2（2个）共12个。</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000000"/>
                <w:szCs w:val="21"/>
              </w:rPr>
              <w:t>套</w:t>
            </w:r>
          </w:p>
        </w:tc>
      </w:tr>
      <w:tr>
        <w:tblPrEx>
          <w:tblCellMar>
            <w:top w:w="0" w:type="dxa"/>
            <w:left w:w="108" w:type="dxa"/>
            <w:bottom w:w="0" w:type="dxa"/>
            <w:right w:w="108" w:type="dxa"/>
          </w:tblCellMar>
        </w:tblPrEx>
        <w:trPr>
          <w:trHeight w:val="270" w:hRule="atLeast"/>
        </w:trPr>
        <w:tc>
          <w:tcPr>
            <w:tcW w:w="10787" w:type="dxa"/>
            <w:gridSpan w:val="5"/>
            <w:tcBorders>
              <w:top w:val="nil"/>
              <w:left w:val="single" w:color="auto" w:sz="4" w:space="0"/>
              <w:bottom w:val="single" w:color="auto" w:sz="4" w:space="0"/>
              <w:right w:val="single" w:color="auto" w:sz="4" w:space="0"/>
            </w:tcBorders>
            <w:shd w:val="clear" w:color="auto" w:fill="FFFFFF"/>
            <w:noWrap/>
            <w:vAlign w:val="center"/>
          </w:tcPr>
          <w:p>
            <w:pPr>
              <w:widowControl/>
              <w:textAlignment w:val="center"/>
              <w:rPr>
                <w:rFonts w:ascii="宋体" w:hAnsi="Calibri" w:cs="宋体"/>
                <w:kern w:val="0"/>
                <w:sz w:val="24"/>
                <w:szCs w:val="21"/>
              </w:rPr>
            </w:pPr>
            <w:r>
              <w:rPr>
                <w:rFonts w:hint="eastAsia" w:ascii="宋体" w:hAnsi="宋体" w:cs="宋体"/>
                <w:b/>
                <w:bCs/>
                <w:color w:val="000000"/>
                <w:kern w:val="0"/>
                <w:szCs w:val="21"/>
                <w:lang w:bidi="ar"/>
              </w:rPr>
              <w:t>三、物理因子治疗</w:t>
            </w:r>
            <w:r>
              <w:rPr>
                <w:rFonts w:hint="eastAsia" w:ascii="宋体" w:hAnsi="宋体" w:cs="宋体"/>
                <w:b/>
                <w:bCs/>
                <w:kern w:val="0"/>
                <w:szCs w:val="21"/>
              </w:rPr>
              <w:t>器材</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auto"/>
                <w:kern w:val="0"/>
                <w:szCs w:val="21"/>
                <w:lang w:bidi="ar"/>
              </w:rPr>
              <w:t>1</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hAnsi="宋体" w:cs="宋体"/>
                <w:kern w:val="0"/>
                <w:sz w:val="24"/>
              </w:rPr>
            </w:pPr>
            <w:r>
              <w:rPr>
                <w:rFonts w:hint="eastAsia" w:ascii="宋体" w:hAnsi="宋体" w:eastAsia="宋体" w:cs="宋体"/>
                <w:color w:val="auto"/>
                <w:sz w:val="21"/>
                <w:szCs w:val="21"/>
                <w:highlight w:val="none"/>
              </w:rPr>
              <w:t>超声</w:t>
            </w:r>
            <w:r>
              <w:rPr>
                <w:rFonts w:hint="eastAsia" w:ascii="宋体" w:hAnsi="宋体" w:eastAsia="宋体" w:cs="宋体"/>
                <w:color w:val="auto"/>
                <w:sz w:val="21"/>
                <w:szCs w:val="21"/>
                <w:highlight w:val="none"/>
                <w:lang w:val="en-US" w:eastAsia="zh-CN"/>
              </w:rPr>
              <w:t>波</w:t>
            </w:r>
            <w:r>
              <w:rPr>
                <w:rFonts w:hint="eastAsia" w:ascii="宋体" w:hAnsi="宋体" w:eastAsia="宋体" w:cs="宋体"/>
                <w:color w:val="auto"/>
                <w:sz w:val="21"/>
                <w:szCs w:val="21"/>
                <w:highlight w:val="none"/>
              </w:rPr>
              <w:t>治疗仪</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color w:val="auto"/>
                <w:szCs w:val="21"/>
              </w:rPr>
            </w:pPr>
            <w:r>
              <w:rPr>
                <w:rFonts w:hint="eastAsia" w:ascii="宋体" w:hAnsi="宋体" w:cs="宋体"/>
                <w:color w:val="auto"/>
                <w:szCs w:val="21"/>
              </w:rPr>
              <w:t>1、输入电压：220V±22V；</w:t>
            </w:r>
          </w:p>
          <w:p>
            <w:pPr>
              <w:jc w:val="left"/>
              <w:rPr>
                <w:rFonts w:ascii="宋体" w:hAnsi="宋体" w:cs="宋体"/>
                <w:color w:val="auto"/>
                <w:szCs w:val="21"/>
              </w:rPr>
            </w:pPr>
            <w:r>
              <w:rPr>
                <w:rFonts w:hint="eastAsia" w:ascii="宋体" w:hAnsi="宋体" w:cs="宋体"/>
                <w:color w:val="auto"/>
                <w:szCs w:val="21"/>
              </w:rPr>
              <w:t>2、输入频率：50Hz±1Hz；</w:t>
            </w:r>
          </w:p>
          <w:p>
            <w:pPr>
              <w:jc w:val="left"/>
              <w:rPr>
                <w:rFonts w:ascii="宋体" w:hAnsi="宋体" w:cs="宋体"/>
                <w:color w:val="auto"/>
                <w:szCs w:val="21"/>
              </w:rPr>
            </w:pPr>
            <w:r>
              <w:rPr>
                <w:rFonts w:hint="eastAsia" w:ascii="宋体" w:hAnsi="宋体" w:cs="宋体"/>
                <w:color w:val="auto"/>
                <w:szCs w:val="21"/>
              </w:rPr>
              <w:t>3、输入功率：50VA；</w:t>
            </w:r>
          </w:p>
          <w:p>
            <w:pPr>
              <w:jc w:val="left"/>
              <w:rPr>
                <w:rFonts w:ascii="宋体" w:hAnsi="宋体" w:cs="宋体"/>
                <w:color w:val="auto"/>
                <w:szCs w:val="21"/>
              </w:rPr>
            </w:pPr>
            <w:r>
              <w:rPr>
                <w:rFonts w:hint="eastAsia" w:ascii="宋体" w:hAnsi="宋体" w:cs="宋体"/>
                <w:color w:val="auto"/>
                <w:szCs w:val="21"/>
              </w:rPr>
              <w:t>4、输出通道：单路输出；</w:t>
            </w:r>
          </w:p>
          <w:p>
            <w:pPr>
              <w:jc w:val="left"/>
              <w:rPr>
                <w:rFonts w:ascii="宋体" w:hAnsi="宋体" w:cs="宋体"/>
                <w:color w:val="auto"/>
                <w:szCs w:val="21"/>
              </w:rPr>
            </w:pPr>
            <w:r>
              <w:rPr>
                <w:rFonts w:hint="eastAsia" w:ascii="宋体" w:hAnsi="宋体" w:cs="宋体"/>
                <w:color w:val="auto"/>
                <w:szCs w:val="21"/>
              </w:rPr>
              <w:t>5、显示方式：液晶显示；</w:t>
            </w:r>
          </w:p>
          <w:p>
            <w:pPr>
              <w:jc w:val="left"/>
              <w:rPr>
                <w:rFonts w:ascii="宋体" w:hAnsi="宋体" w:cs="宋体"/>
                <w:color w:val="auto"/>
                <w:szCs w:val="21"/>
              </w:rPr>
            </w:pPr>
            <w:r>
              <w:rPr>
                <w:rFonts w:hint="eastAsia" w:ascii="宋体" w:hAnsi="宋体" w:cs="宋体"/>
                <w:color w:val="auto"/>
                <w:szCs w:val="21"/>
              </w:rPr>
              <w:t>6、声工作频率：1MHz±10%；</w:t>
            </w:r>
          </w:p>
          <w:p>
            <w:pPr>
              <w:jc w:val="left"/>
              <w:rPr>
                <w:rFonts w:ascii="宋体" w:hAnsi="宋体" w:cs="宋体"/>
                <w:color w:val="auto"/>
                <w:szCs w:val="21"/>
              </w:rPr>
            </w:pPr>
            <w:r>
              <w:rPr>
                <w:rFonts w:hint="eastAsia" w:ascii="宋体" w:hAnsi="宋体" w:cs="宋体"/>
                <w:color w:val="auto"/>
                <w:szCs w:val="21"/>
              </w:rPr>
              <w:t>7、输出模式：</w:t>
            </w:r>
          </w:p>
          <w:p>
            <w:pPr>
              <w:jc w:val="left"/>
              <w:rPr>
                <w:rFonts w:ascii="宋体" w:hAnsi="宋体" w:cs="宋体"/>
                <w:color w:val="auto"/>
                <w:szCs w:val="21"/>
              </w:rPr>
            </w:pPr>
            <w:r>
              <w:rPr>
                <w:rFonts w:hint="eastAsia" w:ascii="宋体" w:hAnsi="宋体" w:cs="宋体"/>
                <w:color w:val="auto"/>
                <w:szCs w:val="21"/>
              </w:rPr>
              <w:t>a）连续输出；</w:t>
            </w:r>
          </w:p>
          <w:p>
            <w:pPr>
              <w:jc w:val="left"/>
              <w:rPr>
                <w:rFonts w:ascii="宋体" w:hAnsi="宋体" w:cs="宋体"/>
                <w:color w:val="auto"/>
                <w:szCs w:val="21"/>
              </w:rPr>
            </w:pPr>
            <w:r>
              <w:rPr>
                <w:rFonts w:hint="eastAsia" w:ascii="宋体" w:hAnsi="宋体" w:cs="宋体"/>
                <w:color w:val="auto"/>
                <w:szCs w:val="21"/>
              </w:rPr>
              <w:t>b）断续1：输出1s，间歇1s；</w:t>
            </w:r>
          </w:p>
          <w:p>
            <w:pPr>
              <w:jc w:val="left"/>
              <w:rPr>
                <w:rFonts w:ascii="宋体" w:hAnsi="宋体" w:cs="宋体"/>
                <w:color w:val="auto"/>
                <w:szCs w:val="21"/>
              </w:rPr>
            </w:pPr>
            <w:r>
              <w:rPr>
                <w:rFonts w:hint="eastAsia" w:ascii="宋体" w:hAnsi="宋体" w:cs="宋体"/>
                <w:color w:val="auto"/>
                <w:szCs w:val="21"/>
              </w:rPr>
              <w:t>c）断续2：输出0.5s，间歇0.5s；</w:t>
            </w:r>
          </w:p>
          <w:p>
            <w:pPr>
              <w:jc w:val="left"/>
              <w:rPr>
                <w:rFonts w:ascii="宋体" w:hAnsi="宋体" w:cs="宋体"/>
                <w:color w:val="auto"/>
                <w:szCs w:val="21"/>
              </w:rPr>
            </w:pPr>
            <w:r>
              <w:rPr>
                <w:rFonts w:hint="eastAsia" w:ascii="宋体" w:hAnsi="宋体" w:cs="宋体"/>
                <w:color w:val="auto"/>
                <w:szCs w:val="21"/>
              </w:rPr>
              <w:t>d）断续3：输出0.3s，间歇0.3s；</w:t>
            </w:r>
          </w:p>
          <w:p>
            <w:pPr>
              <w:jc w:val="left"/>
              <w:rPr>
                <w:rFonts w:ascii="宋体" w:hAnsi="宋体" w:cs="宋体"/>
                <w:color w:val="auto"/>
                <w:szCs w:val="21"/>
              </w:rPr>
            </w:pPr>
            <w:r>
              <w:rPr>
                <w:rFonts w:hint="eastAsia" w:ascii="宋体" w:hAnsi="宋体" w:cs="宋体"/>
                <w:color w:val="auto"/>
                <w:szCs w:val="21"/>
              </w:rPr>
              <w:t>8、有效声强：0～1.5W/cm²；</w:t>
            </w:r>
          </w:p>
          <w:p>
            <w:pPr>
              <w:jc w:val="left"/>
              <w:rPr>
                <w:rFonts w:ascii="宋体" w:hAnsi="宋体" w:cs="宋体"/>
                <w:color w:val="auto"/>
                <w:szCs w:val="21"/>
              </w:rPr>
            </w:pPr>
            <w:r>
              <w:rPr>
                <w:rFonts w:hint="eastAsia" w:ascii="宋体" w:hAnsi="宋体" w:cs="宋体"/>
                <w:color w:val="auto"/>
                <w:szCs w:val="21"/>
              </w:rPr>
              <w:t>9、定时范围：1～30min；</w:t>
            </w:r>
          </w:p>
          <w:p>
            <w:pPr>
              <w:jc w:val="left"/>
              <w:rPr>
                <w:rFonts w:ascii="宋体" w:hAnsi="宋体" w:cs="宋体"/>
                <w:color w:val="auto"/>
                <w:szCs w:val="21"/>
              </w:rPr>
            </w:pPr>
            <w:r>
              <w:rPr>
                <w:rFonts w:hint="eastAsia" w:ascii="宋体" w:hAnsi="宋体" w:cs="宋体"/>
                <w:color w:val="auto"/>
                <w:szCs w:val="21"/>
              </w:rPr>
              <w:t>10、尺寸：≥380×310×135mm；</w:t>
            </w:r>
          </w:p>
          <w:p>
            <w:pPr>
              <w:jc w:val="left"/>
              <w:rPr>
                <w:rFonts w:ascii="宋体" w:hAnsi="宋体" w:cs="宋体"/>
                <w:color w:val="auto"/>
                <w:szCs w:val="21"/>
              </w:rPr>
            </w:pPr>
            <w:r>
              <w:rPr>
                <w:rFonts w:hint="eastAsia" w:ascii="宋体" w:hAnsi="宋体" w:cs="宋体"/>
                <w:color w:val="auto"/>
                <w:szCs w:val="21"/>
              </w:rPr>
              <w:t>11、最大输出功率：6W，允差±20%；</w:t>
            </w:r>
          </w:p>
          <w:p>
            <w:pPr>
              <w:jc w:val="left"/>
              <w:rPr>
                <w:rFonts w:ascii="宋体" w:hAnsi="宋体" w:cs="宋体"/>
                <w:color w:val="auto"/>
                <w:szCs w:val="21"/>
              </w:rPr>
            </w:pPr>
            <w:r>
              <w:rPr>
                <w:rFonts w:hint="eastAsia" w:ascii="宋体" w:hAnsi="宋体" w:cs="宋体"/>
                <w:color w:val="auto"/>
                <w:szCs w:val="21"/>
              </w:rPr>
              <w:t>12、有效辐射面积：4cm²；</w:t>
            </w:r>
          </w:p>
          <w:p>
            <w:pPr>
              <w:jc w:val="left"/>
              <w:rPr>
                <w:rFonts w:ascii="宋体" w:hAnsi="宋体" w:cs="宋体"/>
                <w:color w:val="auto"/>
                <w:szCs w:val="21"/>
              </w:rPr>
            </w:pPr>
            <w:r>
              <w:rPr>
                <w:rFonts w:hint="eastAsia" w:ascii="宋体" w:hAnsi="宋体" w:cs="宋体"/>
                <w:color w:val="auto"/>
                <w:szCs w:val="21"/>
              </w:rPr>
              <w:t>13、波束不均匀性系数RBN：不超过8.0；</w:t>
            </w:r>
          </w:p>
          <w:p>
            <w:pPr>
              <w:jc w:val="left"/>
              <w:rPr>
                <w:rFonts w:ascii="宋体" w:hAnsi="Calibri" w:cs="宋体"/>
                <w:kern w:val="0"/>
                <w:sz w:val="24"/>
                <w:szCs w:val="21"/>
              </w:rPr>
            </w:pPr>
            <w:r>
              <w:rPr>
                <w:rFonts w:hint="eastAsia" w:ascii="宋体" w:hAnsi="宋体" w:cs="宋体"/>
                <w:color w:val="auto"/>
                <w:szCs w:val="21"/>
              </w:rPr>
              <w:t>14、波束类型：准直型。</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auto"/>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auto"/>
                <w:szCs w:val="21"/>
              </w:rPr>
              <w:t>台</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auto"/>
                <w:kern w:val="0"/>
                <w:szCs w:val="21"/>
                <w:lang w:bidi="ar"/>
              </w:rPr>
              <w:t>2</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hAnsi="宋体" w:cs="宋体"/>
                <w:kern w:val="0"/>
                <w:sz w:val="24"/>
              </w:rPr>
            </w:pPr>
            <w:r>
              <w:rPr>
                <w:rFonts w:hint="eastAsia" w:ascii="宋体" w:hAnsi="宋体" w:eastAsia="宋体" w:cs="宋体"/>
                <w:color w:val="auto"/>
                <w:sz w:val="21"/>
                <w:szCs w:val="21"/>
                <w:highlight w:val="none"/>
              </w:rPr>
              <w:t>经颅磁刺激仪</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color w:val="auto"/>
                <w:szCs w:val="21"/>
              </w:rPr>
            </w:pPr>
            <w:r>
              <w:rPr>
                <w:rFonts w:hint="eastAsia" w:ascii="宋体" w:hAnsi="宋体" w:cs="宋体"/>
                <w:color w:val="auto"/>
                <w:szCs w:val="21"/>
              </w:rPr>
              <w:t xml:space="preserve">1、 工作环境： </w:t>
            </w:r>
          </w:p>
          <w:p>
            <w:pPr>
              <w:jc w:val="left"/>
              <w:rPr>
                <w:rFonts w:ascii="宋体" w:hAnsi="宋体" w:cs="宋体"/>
                <w:color w:val="auto"/>
                <w:szCs w:val="21"/>
              </w:rPr>
            </w:pPr>
            <w:r>
              <w:rPr>
                <w:rFonts w:hint="eastAsia" w:ascii="宋体" w:hAnsi="宋体" w:cs="宋体"/>
                <w:color w:val="auto"/>
                <w:szCs w:val="21"/>
              </w:rPr>
              <w:t xml:space="preserve">（1） 环境温度：5℃～40℃； </w:t>
            </w:r>
          </w:p>
          <w:p>
            <w:pPr>
              <w:jc w:val="left"/>
              <w:rPr>
                <w:rFonts w:ascii="宋体" w:hAnsi="宋体" w:cs="宋体"/>
                <w:color w:val="auto"/>
                <w:szCs w:val="21"/>
              </w:rPr>
            </w:pPr>
            <w:r>
              <w:rPr>
                <w:rFonts w:hint="eastAsia" w:ascii="宋体" w:hAnsi="宋体" w:cs="宋体"/>
                <w:color w:val="auto"/>
                <w:szCs w:val="21"/>
              </w:rPr>
              <w:t>（2）相对湿度：30%～85%；</w:t>
            </w:r>
          </w:p>
          <w:p>
            <w:pPr>
              <w:jc w:val="left"/>
              <w:rPr>
                <w:rFonts w:ascii="宋体" w:hAnsi="宋体" w:cs="宋体"/>
                <w:color w:val="auto"/>
                <w:szCs w:val="21"/>
              </w:rPr>
            </w:pPr>
            <w:r>
              <w:rPr>
                <w:rFonts w:hint="eastAsia" w:ascii="宋体" w:hAnsi="宋体" w:cs="宋体"/>
                <w:color w:val="auto"/>
                <w:szCs w:val="21"/>
              </w:rPr>
              <w:t>（3） 大气压范围 860hPa～1060hPa；</w:t>
            </w:r>
          </w:p>
          <w:p>
            <w:pPr>
              <w:jc w:val="left"/>
              <w:rPr>
                <w:rFonts w:ascii="宋体" w:hAnsi="宋体" w:cs="宋体"/>
                <w:color w:val="auto"/>
                <w:szCs w:val="21"/>
              </w:rPr>
            </w:pPr>
            <w:r>
              <w:rPr>
                <w:rFonts w:hint="eastAsia" w:ascii="宋体" w:hAnsi="宋体" w:cs="宋体"/>
                <w:color w:val="auto"/>
                <w:szCs w:val="21"/>
              </w:rPr>
              <w:t>（4） 电源 AC 220V±22V， 50Hz±1Hz；</w:t>
            </w:r>
          </w:p>
          <w:p>
            <w:pPr>
              <w:jc w:val="left"/>
              <w:rPr>
                <w:rFonts w:ascii="宋体" w:hAnsi="宋体" w:cs="宋体"/>
                <w:color w:val="auto"/>
                <w:szCs w:val="21"/>
              </w:rPr>
            </w:pPr>
            <w:r>
              <w:rPr>
                <w:rFonts w:hint="eastAsia" w:ascii="宋体" w:hAnsi="宋体" w:cs="宋体"/>
                <w:color w:val="auto"/>
                <w:szCs w:val="21"/>
              </w:rPr>
              <w:t>2、便携台式机设计，小巧便携；</w:t>
            </w:r>
          </w:p>
          <w:p>
            <w:pPr>
              <w:jc w:val="left"/>
              <w:rPr>
                <w:rFonts w:ascii="宋体" w:hAnsi="宋体" w:cs="宋体"/>
                <w:color w:val="auto"/>
                <w:szCs w:val="21"/>
              </w:rPr>
            </w:pPr>
            <w:r>
              <w:rPr>
                <w:rFonts w:hint="eastAsia" w:ascii="宋体" w:hAnsi="宋体" w:cs="宋体"/>
                <w:color w:val="auto"/>
                <w:szCs w:val="21"/>
              </w:rPr>
              <w:t xml:space="preserve">3、独立双通道磁疗输出，可同时治疗2人； </w:t>
            </w:r>
          </w:p>
          <w:p>
            <w:pPr>
              <w:jc w:val="left"/>
              <w:rPr>
                <w:rFonts w:ascii="宋体" w:hAnsi="宋体" w:cs="宋体"/>
                <w:color w:val="auto"/>
                <w:szCs w:val="21"/>
              </w:rPr>
            </w:pPr>
            <w:r>
              <w:rPr>
                <w:rFonts w:hint="eastAsia" w:ascii="宋体" w:hAnsi="宋体" w:cs="宋体"/>
                <w:color w:val="auto"/>
                <w:szCs w:val="21"/>
              </w:rPr>
              <w:t xml:space="preserve">4、一键飞梭的操作模式，所有调节均可通过飞梭按键的旋转按压实现； </w:t>
            </w:r>
          </w:p>
          <w:p>
            <w:pPr>
              <w:jc w:val="left"/>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xml:space="preserve">、配备特殊设计的振动磁治疗帽，方便调节和安装，减重防治扭伤，提高磁疗效果； </w:t>
            </w:r>
          </w:p>
          <w:p>
            <w:pPr>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、磁治疗帽治疗头数7个；</w:t>
            </w:r>
          </w:p>
          <w:p>
            <w:pPr>
              <w:jc w:val="left"/>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、磁场频率：50Hz±2%；</w:t>
            </w:r>
          </w:p>
          <w:p>
            <w:pPr>
              <w:jc w:val="left"/>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xml:space="preserve">、治疗头中心磁感应强度：1档3mT～9mT，2档10mT～17mT； </w:t>
            </w:r>
          </w:p>
          <w:p>
            <w:pPr>
              <w:jc w:val="left"/>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xml:space="preserve">、微振功能振频四挡可调：0Hz、2Hz、5Hz、10Hz，±10%； </w:t>
            </w:r>
          </w:p>
          <w:p>
            <w:pPr>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 xml:space="preserve">、微振功能振幅四挡可调：0V、10V、16V、27V，±10%； </w:t>
            </w:r>
          </w:p>
          <w:p>
            <w:pPr>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 xml:space="preserve">、治疗时间：1～99min，调节步长为lmin，误差±5%； </w:t>
            </w:r>
          </w:p>
          <w:p>
            <w:pPr>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、治疗仪可长时间运行，连续运行8小时以上；</w:t>
            </w:r>
          </w:p>
          <w:p>
            <w:pPr>
              <w:jc w:val="left"/>
              <w:rPr>
                <w:rFonts w:ascii="宋体" w:hAnsi="宋体" w:cs="宋体"/>
                <w:color w:val="auto"/>
                <w:szCs w:val="21"/>
              </w:rPr>
            </w:pPr>
            <w:r>
              <w:rPr>
                <w:rFonts w:hint="eastAsia" w:ascii="宋体" w:hAnsi="宋体" w:cs="宋体"/>
                <w:color w:val="auto"/>
                <w:szCs w:val="21"/>
              </w:rPr>
              <w:t>（1）脉冲宽度：刺激仪的脉冲宽度350us,误差±10%；</w:t>
            </w:r>
          </w:p>
          <w:p>
            <w:pPr>
              <w:jc w:val="left"/>
              <w:rPr>
                <w:rFonts w:ascii="宋体" w:hAnsi="宋体" w:cs="宋体"/>
                <w:color w:val="auto"/>
                <w:szCs w:val="21"/>
              </w:rPr>
            </w:pPr>
            <w:r>
              <w:rPr>
                <w:rFonts w:hint="eastAsia" w:ascii="宋体" w:hAnsi="宋体" w:cs="宋体"/>
                <w:color w:val="auto"/>
                <w:szCs w:val="21"/>
              </w:rPr>
              <w:t>（2）定时：刺激仪定时可调时间0～120min,误差±10%；</w:t>
            </w:r>
          </w:p>
          <w:p>
            <w:pPr>
              <w:jc w:val="left"/>
              <w:rPr>
                <w:rFonts w:ascii="宋体" w:hAnsi="宋体" w:cs="宋体"/>
                <w:color w:val="auto"/>
                <w:szCs w:val="21"/>
              </w:rPr>
            </w:pPr>
            <w:r>
              <w:rPr>
                <w:rFonts w:hint="eastAsia" w:ascii="宋体" w:hAnsi="宋体" w:cs="宋体"/>
                <w:color w:val="auto"/>
                <w:szCs w:val="21"/>
              </w:rPr>
              <w:t>（3）磁场终止功能：刺激仪具有手动停止磁场输出的功能；</w:t>
            </w:r>
          </w:p>
          <w:p>
            <w:pPr>
              <w:jc w:val="left"/>
              <w:rPr>
                <w:rFonts w:ascii="宋体" w:hAnsi="宋体" w:cs="宋体"/>
                <w:color w:val="auto"/>
                <w:szCs w:val="21"/>
              </w:rPr>
            </w:pPr>
            <w:r>
              <w:rPr>
                <w:rFonts w:hint="eastAsia" w:ascii="宋体" w:hAnsi="宋体" w:cs="宋体"/>
                <w:color w:val="auto"/>
                <w:szCs w:val="21"/>
              </w:rPr>
              <w:t>（4）保护装置：当刺激线圈故障时，刺激仪应停止输出并在触摸屏有故障提示；</w:t>
            </w:r>
          </w:p>
          <w:p>
            <w:pPr>
              <w:jc w:val="left"/>
              <w:rPr>
                <w:rFonts w:ascii="宋体" w:hAnsi="宋体" w:cs="宋体"/>
                <w:color w:val="auto"/>
                <w:szCs w:val="21"/>
              </w:rPr>
            </w:pPr>
            <w:r>
              <w:rPr>
                <w:rFonts w:hint="eastAsia" w:ascii="宋体" w:hAnsi="宋体" w:cs="宋体"/>
                <w:color w:val="auto"/>
                <w:szCs w:val="21"/>
              </w:rPr>
              <w:t>（5）外观：设备的外表面应整洁，无机械损伤、划痕等缺陷，设备的标志标记应清晰可见；</w:t>
            </w:r>
          </w:p>
          <w:p>
            <w:pPr>
              <w:jc w:val="left"/>
              <w:rPr>
                <w:rFonts w:ascii="宋体" w:hAnsi="宋体" w:cs="宋体"/>
                <w:color w:val="auto"/>
                <w:szCs w:val="21"/>
              </w:rPr>
            </w:pPr>
            <w:r>
              <w:rPr>
                <w:rFonts w:hint="eastAsia" w:ascii="宋体" w:hAnsi="宋体" w:cs="宋体"/>
                <w:color w:val="auto"/>
                <w:szCs w:val="21"/>
              </w:rPr>
              <w:t>设备的开关、旋钮、触摸屏应灵活可靠、紧固件应无松动；</w:t>
            </w:r>
          </w:p>
          <w:p>
            <w:pPr>
              <w:jc w:val="left"/>
              <w:rPr>
                <w:rFonts w:ascii="宋体" w:hAnsi="宋体" w:cs="宋体"/>
                <w:color w:val="auto"/>
                <w:szCs w:val="21"/>
              </w:rPr>
            </w:pPr>
            <w:r>
              <w:rPr>
                <w:rFonts w:hint="eastAsia" w:ascii="宋体" w:hAnsi="宋体" w:cs="宋体"/>
                <w:color w:val="auto"/>
                <w:szCs w:val="21"/>
              </w:rPr>
              <w:t>(6)强磁模式</w:t>
            </w:r>
          </w:p>
          <w:p>
            <w:pPr>
              <w:jc w:val="left"/>
              <w:rPr>
                <w:rFonts w:ascii="宋体" w:hAnsi="宋体" w:cs="宋体"/>
                <w:color w:val="auto"/>
                <w:szCs w:val="21"/>
              </w:rPr>
            </w:pPr>
            <w:r>
              <w:rPr>
                <w:rFonts w:hint="eastAsia" w:ascii="宋体" w:hAnsi="宋体" w:cs="宋体"/>
                <w:color w:val="auto"/>
                <w:szCs w:val="21"/>
              </w:rPr>
              <w:t>a 、重复模式：刺激频率可调1-30Hz,刺激个数1-20个，间歇时间1-60s可调，串数0-99可调；</w:t>
            </w:r>
          </w:p>
          <w:p>
            <w:pPr>
              <w:jc w:val="left"/>
              <w:rPr>
                <w:rFonts w:ascii="宋体" w:hAnsi="宋体" w:cs="宋体"/>
                <w:color w:val="auto"/>
                <w:szCs w:val="21"/>
              </w:rPr>
            </w:pPr>
            <w:r>
              <w:rPr>
                <w:rFonts w:hint="eastAsia" w:ascii="宋体" w:hAnsi="宋体" w:cs="宋体"/>
                <w:color w:val="auto"/>
                <w:szCs w:val="21"/>
              </w:rPr>
              <w:t>b、专业模式：刺激频率可调1-30Hz,刺激个数1-20个，重复频率：0-20Hz,重复个数0-20,间歇时间1-60s可调，串数0-99可调，专业模式参数调节有一定互斥情况；</w:t>
            </w:r>
          </w:p>
          <w:p>
            <w:pPr>
              <w:jc w:val="left"/>
              <w:rPr>
                <w:rFonts w:ascii="宋体" w:hAnsi="宋体" w:cs="宋体"/>
                <w:color w:val="auto"/>
                <w:szCs w:val="21"/>
              </w:rPr>
            </w:pPr>
            <w:r>
              <w:rPr>
                <w:rFonts w:hint="eastAsia" w:ascii="宋体" w:hAnsi="宋体" w:cs="宋体"/>
                <w:color w:val="auto"/>
                <w:szCs w:val="21"/>
              </w:rPr>
              <w:t>(7)温度检测：设备具有探头温度检测功能，当温度≥30°,制冷系统开始工作，当温度≤28°,制冷系统停止工作。当温度≥35°,设备应停止输出并在触摸屏有超温提示；</w:t>
            </w:r>
          </w:p>
          <w:p>
            <w:pPr>
              <w:jc w:val="left"/>
              <w:rPr>
                <w:rFonts w:ascii="宋体" w:hAnsi="宋体" w:cs="宋体"/>
                <w:color w:val="auto"/>
                <w:szCs w:val="21"/>
              </w:rPr>
            </w:pPr>
            <w:r>
              <w:rPr>
                <w:rFonts w:hint="eastAsia" w:ascii="宋体" w:hAnsi="宋体" w:cs="宋体"/>
                <w:color w:val="auto"/>
                <w:szCs w:val="21"/>
              </w:rPr>
              <w:t>(8)经颅磁(交变磁场)治疗体（DK-TMS-30A特有）;治疗体磁感应强度：</w:t>
            </w:r>
          </w:p>
          <w:p>
            <w:pPr>
              <w:jc w:val="left"/>
              <w:rPr>
                <w:rFonts w:ascii="宋体" w:hAnsi="宋体" w:cs="宋体"/>
                <w:color w:val="auto"/>
                <w:szCs w:val="21"/>
              </w:rPr>
            </w:pPr>
            <w:r>
              <w:rPr>
                <w:rFonts w:hint="eastAsia" w:ascii="宋体" w:hAnsi="宋体" w:cs="宋体"/>
                <w:color w:val="auto"/>
                <w:szCs w:val="21"/>
              </w:rPr>
              <w:t>1 档(低档):3mT～5mT误差±20%；</w:t>
            </w:r>
          </w:p>
          <w:p>
            <w:pPr>
              <w:jc w:val="left"/>
              <w:rPr>
                <w:rFonts w:ascii="宋体" w:hAnsi="宋体" w:cs="宋体"/>
                <w:color w:val="auto"/>
                <w:szCs w:val="21"/>
              </w:rPr>
            </w:pPr>
            <w:r>
              <w:rPr>
                <w:rFonts w:hint="eastAsia" w:ascii="宋体" w:hAnsi="宋体" w:cs="宋体"/>
                <w:color w:val="auto"/>
                <w:szCs w:val="21"/>
              </w:rPr>
              <w:t>2 档(中档):6mT～9mT误差±20%；</w:t>
            </w:r>
          </w:p>
          <w:p>
            <w:pPr>
              <w:jc w:val="left"/>
              <w:rPr>
                <w:rFonts w:ascii="宋体" w:hAnsi="宋体" w:cs="宋体"/>
                <w:color w:val="auto"/>
                <w:szCs w:val="21"/>
              </w:rPr>
            </w:pPr>
            <w:r>
              <w:rPr>
                <w:rFonts w:hint="eastAsia" w:ascii="宋体" w:hAnsi="宋体" w:cs="宋体"/>
                <w:color w:val="auto"/>
                <w:szCs w:val="21"/>
              </w:rPr>
              <w:t>3 档(强档):10mT～18mT误差±20%；</w:t>
            </w:r>
          </w:p>
          <w:p>
            <w:pPr>
              <w:jc w:val="left"/>
              <w:rPr>
                <w:rFonts w:ascii="宋体" w:hAnsi="宋体" w:cs="宋体"/>
                <w:color w:val="auto"/>
                <w:szCs w:val="21"/>
              </w:rPr>
            </w:pPr>
            <w:r>
              <w:rPr>
                <w:rFonts w:hint="eastAsia" w:ascii="宋体" w:hAnsi="宋体" w:cs="宋体"/>
                <w:color w:val="auto"/>
                <w:szCs w:val="21"/>
              </w:rPr>
              <w:t>（9）3治疗体磁场频率：1Hz-50Hz分10档可调</w:t>
            </w:r>
          </w:p>
          <w:p>
            <w:pPr>
              <w:jc w:val="left"/>
              <w:rPr>
                <w:rFonts w:ascii="宋体" w:hAnsi="宋体" w:cs="宋体"/>
                <w:color w:val="auto"/>
                <w:szCs w:val="21"/>
              </w:rPr>
            </w:pPr>
            <w:r>
              <w:rPr>
                <w:rFonts w:hint="eastAsia" w:ascii="宋体" w:hAnsi="宋体" w:cs="宋体"/>
                <w:color w:val="auto"/>
                <w:szCs w:val="21"/>
              </w:rPr>
              <w:t>1档1Hz，2档10Hz，3档15Hz，4档20Hz，5档25Hz，</w:t>
            </w:r>
          </w:p>
          <w:p>
            <w:pPr>
              <w:jc w:val="left"/>
              <w:rPr>
                <w:rFonts w:ascii="宋体" w:hAnsi="宋体" w:cs="宋体"/>
                <w:color w:val="auto"/>
                <w:szCs w:val="21"/>
              </w:rPr>
            </w:pPr>
            <w:r>
              <w:rPr>
                <w:rFonts w:hint="eastAsia" w:ascii="宋体" w:hAnsi="宋体" w:cs="宋体"/>
                <w:color w:val="auto"/>
                <w:szCs w:val="21"/>
              </w:rPr>
              <w:t>6档30Hz，7档35Hz，8档40Hz，9档45Hz，10档 50Hz；</w:t>
            </w:r>
          </w:p>
          <w:p>
            <w:pPr>
              <w:jc w:val="left"/>
              <w:rPr>
                <w:rFonts w:ascii="宋体" w:hAnsi="宋体" w:cs="宋体"/>
                <w:color w:val="auto"/>
                <w:szCs w:val="21"/>
              </w:rPr>
            </w:pPr>
            <w:r>
              <w:rPr>
                <w:rFonts w:hint="eastAsia" w:ascii="宋体" w:hAnsi="宋体" w:cs="宋体"/>
                <w:color w:val="auto"/>
                <w:szCs w:val="21"/>
              </w:rPr>
              <w:t>(10)治疗体数量：每个经颅磁(交变磁场)治疗体有6个治疗体。磁疗头相对位置可相对 移动。顶部治疗头直径68mm,高25mm,误差±3mm;周围五个治疗头直径58mm,高22mm,误差±3mm；</w:t>
            </w:r>
          </w:p>
          <w:p>
            <w:pPr>
              <w:jc w:val="left"/>
              <w:rPr>
                <w:rFonts w:ascii="宋体" w:hAnsi="宋体" w:cs="宋体"/>
                <w:color w:val="auto"/>
                <w:szCs w:val="21"/>
              </w:rPr>
            </w:pPr>
            <w:r>
              <w:rPr>
                <w:rFonts w:hint="eastAsia" w:ascii="宋体" w:hAnsi="宋体" w:cs="宋体"/>
                <w:color w:val="auto"/>
                <w:szCs w:val="21"/>
              </w:rPr>
              <w:t>(11)按摩强度：分0-4档调节；</w:t>
            </w:r>
          </w:p>
          <w:p>
            <w:pPr>
              <w:jc w:val="left"/>
              <w:rPr>
                <w:rFonts w:ascii="宋体" w:hAnsi="宋体" w:cs="宋体"/>
                <w:color w:val="auto"/>
                <w:szCs w:val="21"/>
              </w:rPr>
            </w:pPr>
            <w:r>
              <w:rPr>
                <w:rFonts w:hint="eastAsia" w:ascii="宋体" w:hAnsi="宋体" w:cs="宋体"/>
                <w:color w:val="auto"/>
                <w:szCs w:val="21"/>
              </w:rPr>
              <w:t>(12)按摩频率：分1-5档调节；</w:t>
            </w:r>
          </w:p>
          <w:p>
            <w:pPr>
              <w:jc w:val="left"/>
              <w:rPr>
                <w:rFonts w:ascii="宋体" w:hAnsi="宋体" w:cs="宋体"/>
                <w:color w:val="auto"/>
                <w:szCs w:val="21"/>
              </w:rPr>
            </w:pPr>
            <w:r>
              <w:rPr>
                <w:rFonts w:hint="eastAsia" w:ascii="宋体" w:hAnsi="宋体" w:cs="宋体"/>
                <w:color w:val="auto"/>
                <w:szCs w:val="21"/>
              </w:rPr>
              <w:t>按摩频率1档：震动2s间歇时间28s误差±1s；</w:t>
            </w:r>
          </w:p>
          <w:p>
            <w:pPr>
              <w:jc w:val="left"/>
              <w:rPr>
                <w:rFonts w:ascii="宋体" w:hAnsi="宋体" w:cs="宋体"/>
                <w:color w:val="auto"/>
                <w:szCs w:val="21"/>
              </w:rPr>
            </w:pPr>
            <w:r>
              <w:rPr>
                <w:rFonts w:hint="eastAsia" w:ascii="宋体" w:hAnsi="宋体" w:cs="宋体"/>
                <w:color w:val="auto"/>
                <w:szCs w:val="21"/>
              </w:rPr>
              <w:t>按摩频率2档：震动2s间歇时间20s误差±1s；</w:t>
            </w:r>
          </w:p>
          <w:p>
            <w:pPr>
              <w:jc w:val="left"/>
              <w:rPr>
                <w:rFonts w:ascii="宋体" w:hAnsi="宋体" w:cs="宋体"/>
                <w:color w:val="auto"/>
                <w:szCs w:val="21"/>
              </w:rPr>
            </w:pPr>
            <w:r>
              <w:rPr>
                <w:rFonts w:hint="eastAsia" w:ascii="宋体" w:hAnsi="宋体" w:cs="宋体"/>
                <w:color w:val="auto"/>
                <w:szCs w:val="21"/>
              </w:rPr>
              <w:t>按摩频率3档：震动2s间歇时间15s误差±1s；</w:t>
            </w:r>
          </w:p>
          <w:p>
            <w:pPr>
              <w:jc w:val="left"/>
              <w:rPr>
                <w:rFonts w:ascii="宋体" w:hAnsi="宋体" w:cs="宋体"/>
                <w:color w:val="auto"/>
                <w:szCs w:val="21"/>
              </w:rPr>
            </w:pPr>
            <w:r>
              <w:rPr>
                <w:rFonts w:hint="eastAsia" w:ascii="宋体" w:hAnsi="宋体" w:cs="宋体"/>
                <w:color w:val="auto"/>
                <w:szCs w:val="21"/>
              </w:rPr>
              <w:t>按摩频率4档：震动2s间歇时间10s误差±1s；</w:t>
            </w:r>
          </w:p>
          <w:p>
            <w:pPr>
              <w:jc w:val="left"/>
              <w:rPr>
                <w:rFonts w:ascii="宋体" w:hAnsi="宋体" w:cs="宋体"/>
                <w:color w:val="auto"/>
                <w:szCs w:val="21"/>
              </w:rPr>
            </w:pPr>
            <w:r>
              <w:rPr>
                <w:rFonts w:hint="eastAsia" w:ascii="宋体" w:hAnsi="宋体" w:cs="宋体"/>
                <w:color w:val="auto"/>
                <w:szCs w:val="21"/>
              </w:rPr>
              <w:t>按摩频率5档：震动2s间歇时间8s误差±1s；</w:t>
            </w:r>
          </w:p>
          <w:p>
            <w:pPr>
              <w:jc w:val="left"/>
              <w:rPr>
                <w:rFonts w:ascii="宋体" w:hAnsi="宋体" w:cs="宋体"/>
                <w:color w:val="auto"/>
                <w:szCs w:val="21"/>
              </w:rPr>
            </w:pPr>
            <w:r>
              <w:rPr>
                <w:rFonts w:hint="eastAsia" w:ascii="宋体" w:hAnsi="宋体" w:cs="宋体"/>
                <w:color w:val="auto"/>
                <w:szCs w:val="21"/>
              </w:rPr>
              <w:t>(13）时间设定：治疗仪具有定时功能，可在5min～60min范围内设定所需时间，5min递增递减调节；</w:t>
            </w:r>
          </w:p>
          <w:p>
            <w:pPr>
              <w:jc w:val="left"/>
              <w:rPr>
                <w:rFonts w:ascii="宋体" w:hAnsi="宋体" w:cs="宋体"/>
                <w:color w:val="auto"/>
                <w:szCs w:val="21"/>
              </w:rPr>
            </w:pPr>
            <w:r>
              <w:rPr>
                <w:rFonts w:hint="eastAsia" w:ascii="宋体" w:hAnsi="宋体" w:cs="宋体"/>
                <w:color w:val="auto"/>
                <w:szCs w:val="21"/>
              </w:rPr>
              <w:t>(14)运动诱发电位模块MEP/EMG（选配）</w:t>
            </w:r>
          </w:p>
          <w:p>
            <w:pPr>
              <w:jc w:val="left"/>
              <w:rPr>
                <w:rFonts w:ascii="宋体" w:hAnsi="宋体" w:cs="宋体"/>
                <w:color w:val="auto"/>
                <w:szCs w:val="21"/>
              </w:rPr>
            </w:pPr>
            <w:r>
              <w:rPr>
                <w:rFonts w:hint="eastAsia" w:ascii="宋体" w:hAnsi="宋体" w:cs="宋体"/>
                <w:color w:val="auto"/>
                <w:szCs w:val="21"/>
              </w:rPr>
              <w:t>①功能：</w:t>
            </w:r>
          </w:p>
          <w:p>
            <w:pPr>
              <w:jc w:val="left"/>
              <w:rPr>
                <w:rFonts w:ascii="宋体" w:hAnsi="宋体" w:cs="宋体"/>
                <w:color w:val="auto"/>
                <w:szCs w:val="21"/>
              </w:rPr>
            </w:pPr>
            <w:r>
              <w:rPr>
                <w:rFonts w:hint="eastAsia" w:ascii="宋体" w:hAnsi="宋体" w:cs="宋体"/>
                <w:color w:val="auto"/>
                <w:szCs w:val="21"/>
              </w:rPr>
              <w:t>a、具备运动诱发电位检测功能；</w:t>
            </w:r>
          </w:p>
          <w:p>
            <w:pPr>
              <w:jc w:val="left"/>
              <w:rPr>
                <w:rFonts w:ascii="宋体" w:hAnsi="宋体" w:cs="宋体"/>
                <w:color w:val="auto"/>
                <w:szCs w:val="21"/>
              </w:rPr>
            </w:pPr>
            <w:r>
              <w:rPr>
                <w:rFonts w:hint="eastAsia" w:ascii="宋体" w:hAnsi="宋体" w:cs="宋体"/>
                <w:color w:val="auto"/>
                <w:szCs w:val="21"/>
              </w:rPr>
              <w:t>b、可调节工频滤波开关；</w:t>
            </w:r>
          </w:p>
          <w:p>
            <w:pPr>
              <w:jc w:val="left"/>
              <w:rPr>
                <w:rFonts w:ascii="宋体" w:hAnsi="宋体" w:cs="宋体"/>
                <w:color w:val="auto"/>
                <w:szCs w:val="21"/>
              </w:rPr>
            </w:pPr>
            <w:r>
              <w:rPr>
                <w:rFonts w:hint="eastAsia" w:ascii="宋体" w:hAnsi="宋体" w:cs="宋体"/>
                <w:color w:val="auto"/>
                <w:szCs w:val="21"/>
              </w:rPr>
              <w:t>c、阈值设定触发调节 ；</w:t>
            </w:r>
          </w:p>
          <w:p>
            <w:pPr>
              <w:jc w:val="left"/>
              <w:rPr>
                <w:rFonts w:ascii="宋体" w:hAnsi="宋体" w:cs="宋体"/>
                <w:color w:val="auto"/>
                <w:szCs w:val="21"/>
              </w:rPr>
            </w:pPr>
            <w:r>
              <w:rPr>
                <w:rFonts w:hint="eastAsia" w:ascii="宋体" w:hAnsi="宋体" w:cs="宋体"/>
                <w:color w:val="auto"/>
                <w:szCs w:val="21"/>
              </w:rPr>
              <w:t>d、滚屏时间可以调节 ；</w:t>
            </w:r>
          </w:p>
          <w:p>
            <w:pPr>
              <w:jc w:val="left"/>
              <w:rPr>
                <w:rFonts w:ascii="宋体" w:hAnsi="宋体" w:cs="宋体"/>
                <w:color w:val="auto"/>
                <w:szCs w:val="21"/>
              </w:rPr>
            </w:pPr>
            <w:r>
              <w:rPr>
                <w:rFonts w:hint="eastAsia" w:ascii="宋体" w:hAnsi="宋体" w:cs="宋体"/>
                <w:color w:val="auto"/>
                <w:szCs w:val="21"/>
              </w:rPr>
              <w:t>e、测量幅度标尺可调节；</w:t>
            </w:r>
          </w:p>
          <w:p>
            <w:pPr>
              <w:jc w:val="left"/>
              <w:rPr>
                <w:rFonts w:ascii="宋体" w:hAnsi="宋体" w:cs="宋体"/>
                <w:color w:val="auto"/>
                <w:szCs w:val="21"/>
              </w:rPr>
            </w:pPr>
            <w:r>
              <w:rPr>
                <w:rFonts w:hint="eastAsia" w:ascii="宋体" w:hAnsi="宋体" w:cs="宋体"/>
                <w:color w:val="auto"/>
                <w:szCs w:val="21"/>
              </w:rPr>
              <w:t>f、去趋势功能开关按钮；</w:t>
            </w:r>
          </w:p>
          <w:p>
            <w:pPr>
              <w:jc w:val="left"/>
              <w:rPr>
                <w:rFonts w:ascii="宋体" w:hAnsi="宋体" w:cs="宋体"/>
                <w:color w:val="auto"/>
                <w:szCs w:val="21"/>
              </w:rPr>
            </w:pPr>
            <w:r>
              <w:rPr>
                <w:rFonts w:hint="eastAsia" w:ascii="宋体" w:hAnsi="宋体" w:cs="宋体"/>
                <w:color w:val="auto"/>
                <w:szCs w:val="21"/>
              </w:rPr>
              <w:t>②MEP模块参数：</w:t>
            </w:r>
          </w:p>
          <w:p>
            <w:pPr>
              <w:jc w:val="left"/>
              <w:rPr>
                <w:rFonts w:ascii="宋体" w:hAnsi="宋体" w:cs="宋体"/>
                <w:color w:val="auto"/>
                <w:szCs w:val="21"/>
              </w:rPr>
            </w:pPr>
            <w:r>
              <w:rPr>
                <w:rFonts w:hint="eastAsia" w:ascii="宋体" w:hAnsi="宋体" w:cs="宋体"/>
                <w:color w:val="auto"/>
                <w:szCs w:val="21"/>
              </w:rPr>
              <w:t>a、无线wifi传输功能，与主机无线通信；</w:t>
            </w:r>
          </w:p>
          <w:p>
            <w:pPr>
              <w:jc w:val="left"/>
              <w:rPr>
                <w:rFonts w:ascii="宋体" w:hAnsi="宋体" w:cs="宋体"/>
                <w:color w:val="auto"/>
                <w:szCs w:val="21"/>
              </w:rPr>
            </w:pPr>
            <w:r>
              <w:rPr>
                <w:rFonts w:hint="eastAsia" w:ascii="宋体" w:hAnsi="宋体" w:cs="宋体"/>
                <w:color w:val="auto"/>
                <w:szCs w:val="21"/>
              </w:rPr>
              <w:t>b、测量范围1uv~1000uv；</w:t>
            </w:r>
          </w:p>
          <w:p>
            <w:pPr>
              <w:jc w:val="left"/>
              <w:rPr>
                <w:rFonts w:ascii="宋体" w:hAnsi="宋体" w:cs="宋体"/>
                <w:color w:val="auto"/>
                <w:szCs w:val="21"/>
              </w:rPr>
            </w:pPr>
            <w:r>
              <w:rPr>
                <w:rFonts w:hint="eastAsia" w:ascii="宋体" w:hAnsi="宋体" w:cs="宋体"/>
                <w:color w:val="auto"/>
                <w:szCs w:val="21"/>
              </w:rPr>
              <w:t>c、差模输入阻抗大于5MΩ；</w:t>
            </w:r>
          </w:p>
          <w:p>
            <w:pPr>
              <w:jc w:val="left"/>
              <w:rPr>
                <w:rFonts w:ascii="宋体" w:hAnsi="宋体" w:cs="宋体"/>
                <w:color w:val="auto"/>
                <w:szCs w:val="21"/>
              </w:rPr>
            </w:pPr>
            <w:r>
              <w:rPr>
                <w:rFonts w:hint="eastAsia" w:ascii="宋体" w:hAnsi="宋体" w:cs="宋体"/>
                <w:color w:val="auto"/>
                <w:szCs w:val="21"/>
              </w:rPr>
              <w:t>d、共模抑制比大于100db；</w:t>
            </w:r>
          </w:p>
          <w:p>
            <w:pPr>
              <w:jc w:val="left"/>
              <w:rPr>
                <w:rFonts w:ascii="宋体" w:hAnsi="宋体" w:cs="宋体"/>
                <w:color w:val="auto"/>
                <w:szCs w:val="21"/>
              </w:rPr>
            </w:pPr>
            <w:r>
              <w:rPr>
                <w:rFonts w:hint="eastAsia" w:ascii="宋体" w:hAnsi="宋体" w:cs="宋体"/>
                <w:color w:val="auto"/>
                <w:szCs w:val="21"/>
              </w:rPr>
              <w:t>e、最小分辨率不小于2uv；</w:t>
            </w:r>
          </w:p>
          <w:p>
            <w:pPr>
              <w:jc w:val="left"/>
              <w:rPr>
                <w:rFonts w:ascii="宋体" w:hAnsi="宋体" w:cs="宋体"/>
                <w:color w:val="auto"/>
                <w:szCs w:val="21"/>
              </w:rPr>
            </w:pPr>
            <w:r>
              <w:rPr>
                <w:rFonts w:hint="eastAsia" w:ascii="宋体" w:hAnsi="宋体" w:cs="宋体"/>
                <w:color w:val="auto"/>
                <w:szCs w:val="21"/>
              </w:rPr>
              <w:t>f、输入噪声不大于1uv；</w:t>
            </w:r>
          </w:p>
          <w:p>
            <w:pPr>
              <w:jc w:val="left"/>
              <w:rPr>
                <w:rFonts w:ascii="宋体" w:hAnsi="宋体" w:cs="宋体"/>
                <w:color w:val="auto"/>
                <w:szCs w:val="21"/>
              </w:rPr>
            </w:pPr>
            <w:r>
              <w:rPr>
                <w:rFonts w:hint="eastAsia" w:ascii="宋体" w:hAnsi="宋体" w:cs="宋体"/>
                <w:color w:val="auto"/>
                <w:szCs w:val="21"/>
              </w:rPr>
              <w:t>g、频率范围20hz~500hz；</w:t>
            </w:r>
          </w:p>
          <w:p>
            <w:pPr>
              <w:jc w:val="left"/>
              <w:rPr>
                <w:rFonts w:ascii="宋体" w:hAnsi="宋体" w:cs="宋体"/>
                <w:color w:val="auto"/>
                <w:szCs w:val="21"/>
              </w:rPr>
            </w:pPr>
            <w:r>
              <w:rPr>
                <w:rFonts w:hint="eastAsia" w:ascii="宋体" w:hAnsi="宋体" w:cs="宋体"/>
                <w:color w:val="auto"/>
                <w:szCs w:val="21"/>
              </w:rPr>
              <w:t>14、运动诱发电位模块MEP/EMG（选配）</w:t>
            </w:r>
          </w:p>
          <w:p>
            <w:pPr>
              <w:jc w:val="left"/>
              <w:rPr>
                <w:rFonts w:ascii="宋体" w:hAnsi="宋体" w:cs="宋体"/>
                <w:color w:val="auto"/>
                <w:szCs w:val="21"/>
              </w:rPr>
            </w:pPr>
            <w:r>
              <w:rPr>
                <w:rFonts w:hint="eastAsia" w:ascii="宋体" w:hAnsi="宋体" w:cs="宋体"/>
                <w:color w:val="auto"/>
                <w:szCs w:val="21"/>
              </w:rPr>
              <w:t>（1）功能：</w:t>
            </w:r>
          </w:p>
          <w:p>
            <w:pPr>
              <w:jc w:val="left"/>
              <w:rPr>
                <w:rFonts w:ascii="宋体" w:hAnsi="宋体" w:cs="宋体"/>
                <w:color w:val="auto"/>
                <w:szCs w:val="21"/>
              </w:rPr>
            </w:pPr>
            <w:r>
              <w:rPr>
                <w:rFonts w:hint="eastAsia" w:ascii="宋体" w:hAnsi="宋体" w:cs="宋体"/>
                <w:color w:val="auto"/>
                <w:szCs w:val="21"/>
              </w:rPr>
              <w:t>a、具备运动诱发电位检测功能；</w:t>
            </w:r>
          </w:p>
          <w:p>
            <w:pPr>
              <w:jc w:val="left"/>
              <w:rPr>
                <w:rFonts w:ascii="宋体" w:hAnsi="宋体" w:cs="宋体"/>
                <w:color w:val="auto"/>
                <w:szCs w:val="21"/>
              </w:rPr>
            </w:pPr>
            <w:r>
              <w:rPr>
                <w:rFonts w:hint="eastAsia" w:ascii="宋体" w:hAnsi="宋体" w:cs="宋体"/>
                <w:color w:val="auto"/>
                <w:szCs w:val="21"/>
              </w:rPr>
              <w:t>b、可调节工频滤波开关；</w:t>
            </w:r>
          </w:p>
          <w:p>
            <w:pPr>
              <w:jc w:val="left"/>
              <w:rPr>
                <w:rFonts w:ascii="宋体" w:hAnsi="宋体" w:cs="宋体"/>
                <w:color w:val="auto"/>
                <w:szCs w:val="21"/>
              </w:rPr>
            </w:pPr>
            <w:r>
              <w:rPr>
                <w:rFonts w:hint="eastAsia" w:ascii="宋体" w:hAnsi="宋体" w:cs="宋体"/>
                <w:color w:val="auto"/>
                <w:szCs w:val="21"/>
              </w:rPr>
              <w:t>c、阈值设定触发调节 ；</w:t>
            </w:r>
          </w:p>
          <w:p>
            <w:pPr>
              <w:jc w:val="left"/>
              <w:rPr>
                <w:rFonts w:ascii="宋体" w:hAnsi="宋体" w:cs="宋体"/>
                <w:color w:val="auto"/>
                <w:szCs w:val="21"/>
              </w:rPr>
            </w:pPr>
            <w:r>
              <w:rPr>
                <w:rFonts w:hint="eastAsia" w:ascii="宋体" w:hAnsi="宋体" w:cs="宋体"/>
                <w:color w:val="auto"/>
                <w:szCs w:val="21"/>
              </w:rPr>
              <w:t>d、滚屏时间可以调节 ；</w:t>
            </w:r>
          </w:p>
          <w:p>
            <w:pPr>
              <w:jc w:val="left"/>
              <w:rPr>
                <w:rFonts w:ascii="宋体" w:hAnsi="宋体" w:cs="宋体"/>
                <w:color w:val="auto"/>
                <w:szCs w:val="21"/>
              </w:rPr>
            </w:pPr>
            <w:r>
              <w:rPr>
                <w:rFonts w:hint="eastAsia" w:ascii="宋体" w:hAnsi="宋体" w:cs="宋体"/>
                <w:color w:val="auto"/>
                <w:szCs w:val="21"/>
              </w:rPr>
              <w:t>e、测量幅度标尺可调节；</w:t>
            </w:r>
          </w:p>
          <w:p>
            <w:pPr>
              <w:jc w:val="left"/>
              <w:rPr>
                <w:rFonts w:ascii="宋体" w:hAnsi="宋体" w:cs="宋体"/>
                <w:color w:val="auto"/>
                <w:szCs w:val="21"/>
              </w:rPr>
            </w:pPr>
            <w:r>
              <w:rPr>
                <w:rFonts w:hint="eastAsia" w:ascii="宋体" w:hAnsi="宋体" w:cs="宋体"/>
                <w:color w:val="auto"/>
                <w:szCs w:val="21"/>
              </w:rPr>
              <w:t>f、去趋势功能开关按钮；</w:t>
            </w:r>
          </w:p>
          <w:p>
            <w:pPr>
              <w:jc w:val="left"/>
              <w:rPr>
                <w:rFonts w:ascii="宋体" w:hAnsi="宋体" w:cs="宋体"/>
                <w:color w:val="auto"/>
                <w:szCs w:val="21"/>
              </w:rPr>
            </w:pPr>
            <w:r>
              <w:rPr>
                <w:rFonts w:hint="eastAsia" w:ascii="宋体" w:hAnsi="宋体" w:cs="宋体"/>
                <w:color w:val="auto"/>
                <w:szCs w:val="21"/>
              </w:rPr>
              <w:t>（2）参数：</w:t>
            </w:r>
          </w:p>
          <w:p>
            <w:pPr>
              <w:jc w:val="left"/>
              <w:rPr>
                <w:rFonts w:ascii="宋体" w:hAnsi="宋体" w:cs="宋体"/>
                <w:color w:val="auto"/>
                <w:szCs w:val="21"/>
              </w:rPr>
            </w:pPr>
            <w:r>
              <w:rPr>
                <w:rFonts w:hint="eastAsia" w:ascii="宋体" w:hAnsi="宋体" w:cs="宋体"/>
                <w:color w:val="auto"/>
                <w:szCs w:val="21"/>
              </w:rPr>
              <w:t>a、无线wifi传输功能，与主机无线通信；</w:t>
            </w:r>
          </w:p>
          <w:p>
            <w:pPr>
              <w:jc w:val="left"/>
              <w:rPr>
                <w:rFonts w:ascii="宋体" w:hAnsi="宋体" w:cs="宋体"/>
                <w:color w:val="auto"/>
                <w:szCs w:val="21"/>
              </w:rPr>
            </w:pPr>
            <w:r>
              <w:rPr>
                <w:rFonts w:hint="eastAsia" w:ascii="宋体" w:hAnsi="宋体" w:cs="宋体"/>
                <w:color w:val="auto"/>
                <w:szCs w:val="21"/>
              </w:rPr>
              <w:t>b、测量范围1uv~1000uv；</w:t>
            </w:r>
          </w:p>
          <w:p>
            <w:pPr>
              <w:jc w:val="left"/>
              <w:rPr>
                <w:rFonts w:ascii="宋体" w:hAnsi="宋体" w:cs="宋体"/>
                <w:color w:val="auto"/>
                <w:szCs w:val="21"/>
              </w:rPr>
            </w:pPr>
            <w:r>
              <w:rPr>
                <w:rFonts w:hint="eastAsia" w:ascii="宋体" w:hAnsi="宋体" w:cs="宋体"/>
                <w:color w:val="auto"/>
                <w:szCs w:val="21"/>
              </w:rPr>
              <w:t>c、差模输入阻抗大于5MΩ；</w:t>
            </w:r>
          </w:p>
          <w:p>
            <w:pPr>
              <w:jc w:val="left"/>
              <w:rPr>
                <w:rFonts w:ascii="宋体" w:hAnsi="宋体" w:cs="宋体"/>
                <w:color w:val="auto"/>
                <w:szCs w:val="21"/>
              </w:rPr>
            </w:pPr>
            <w:r>
              <w:rPr>
                <w:rFonts w:hint="eastAsia" w:ascii="宋体" w:hAnsi="宋体" w:cs="宋体"/>
                <w:color w:val="auto"/>
                <w:szCs w:val="21"/>
              </w:rPr>
              <w:t>d、共模抑制比大于100db；</w:t>
            </w:r>
          </w:p>
          <w:p>
            <w:pPr>
              <w:jc w:val="left"/>
              <w:rPr>
                <w:rFonts w:ascii="宋体" w:hAnsi="宋体" w:cs="宋体"/>
                <w:color w:val="auto"/>
                <w:szCs w:val="21"/>
              </w:rPr>
            </w:pPr>
            <w:r>
              <w:rPr>
                <w:rFonts w:hint="eastAsia" w:ascii="宋体" w:hAnsi="宋体" w:cs="宋体"/>
                <w:color w:val="auto"/>
                <w:szCs w:val="21"/>
              </w:rPr>
              <w:t>e、最小分辨率不小于2uv；</w:t>
            </w:r>
          </w:p>
          <w:p>
            <w:pPr>
              <w:jc w:val="left"/>
              <w:rPr>
                <w:rFonts w:ascii="宋体" w:hAnsi="宋体" w:cs="宋体"/>
                <w:color w:val="auto"/>
                <w:szCs w:val="21"/>
              </w:rPr>
            </w:pPr>
            <w:r>
              <w:rPr>
                <w:rFonts w:hint="eastAsia" w:ascii="宋体" w:hAnsi="宋体" w:cs="宋体"/>
                <w:color w:val="auto"/>
                <w:szCs w:val="21"/>
              </w:rPr>
              <w:t>f、输入噪声不大于1uv；</w:t>
            </w:r>
          </w:p>
          <w:p>
            <w:pPr>
              <w:jc w:val="left"/>
              <w:rPr>
                <w:rFonts w:ascii="宋体" w:hAnsi="Calibri" w:cs="宋体"/>
                <w:kern w:val="0"/>
                <w:sz w:val="24"/>
                <w:szCs w:val="21"/>
              </w:rPr>
            </w:pPr>
            <w:r>
              <w:rPr>
                <w:rFonts w:hint="eastAsia" w:ascii="宋体" w:hAnsi="宋体" w:cs="宋体"/>
                <w:color w:val="auto"/>
                <w:szCs w:val="21"/>
              </w:rPr>
              <w:t>g、频率范围20hz~500hz。</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auto"/>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auto"/>
                <w:szCs w:val="21"/>
              </w:rPr>
              <w:t>台</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auto"/>
                <w:kern w:val="0"/>
                <w:szCs w:val="21"/>
                <w:lang w:bidi="ar"/>
              </w:rPr>
              <w:t>3</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hAnsi="宋体" w:cs="宋体"/>
                <w:kern w:val="0"/>
                <w:sz w:val="24"/>
              </w:rPr>
            </w:pPr>
            <w:r>
              <w:rPr>
                <w:rFonts w:hint="eastAsia" w:ascii="宋体" w:hAnsi="宋体" w:eastAsia="宋体" w:cs="宋体"/>
                <w:color w:val="auto"/>
                <w:sz w:val="21"/>
                <w:szCs w:val="21"/>
                <w:highlight w:val="none"/>
              </w:rPr>
              <w:t>功能性电刺激（神经肌肉电刺激仪</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color w:val="auto"/>
                <w:szCs w:val="21"/>
              </w:rPr>
            </w:pPr>
            <w:r>
              <w:rPr>
                <w:rFonts w:hint="eastAsia" w:ascii="宋体" w:hAnsi="宋体" w:cs="宋体"/>
                <w:color w:val="auto"/>
                <w:szCs w:val="21"/>
              </w:rPr>
              <w:t>一、适用范围：</w:t>
            </w:r>
          </w:p>
          <w:p>
            <w:pPr>
              <w:jc w:val="left"/>
              <w:rPr>
                <w:rFonts w:ascii="宋体" w:hAnsi="宋体" w:cs="宋体"/>
                <w:color w:val="auto"/>
                <w:szCs w:val="21"/>
              </w:rPr>
            </w:pPr>
            <w:r>
              <w:rPr>
                <w:rFonts w:hint="eastAsia" w:ascii="宋体" w:hAnsi="宋体" w:cs="宋体"/>
                <w:color w:val="auto"/>
                <w:szCs w:val="21"/>
              </w:rPr>
              <w:t>通过患者体表电刺激，进行神经肌肉训练。</w:t>
            </w:r>
          </w:p>
          <w:p>
            <w:pPr>
              <w:jc w:val="left"/>
              <w:rPr>
                <w:rFonts w:ascii="宋体" w:hAnsi="宋体" w:cs="宋体"/>
                <w:color w:val="auto"/>
                <w:szCs w:val="21"/>
              </w:rPr>
            </w:pPr>
            <w:r>
              <w:rPr>
                <w:rFonts w:hint="eastAsia" w:ascii="宋体" w:hAnsi="宋体" w:cs="宋体"/>
                <w:color w:val="auto"/>
                <w:szCs w:val="21"/>
              </w:rPr>
              <w:t>二、技术参数：</w:t>
            </w:r>
          </w:p>
          <w:p>
            <w:pPr>
              <w:jc w:val="left"/>
              <w:rPr>
                <w:rFonts w:ascii="宋体" w:hAnsi="宋体" w:cs="宋体"/>
                <w:color w:val="auto"/>
                <w:szCs w:val="21"/>
              </w:rPr>
            </w:pPr>
            <w:r>
              <w:rPr>
                <w:rFonts w:hint="eastAsia" w:ascii="宋体" w:hAnsi="宋体" w:cs="宋体"/>
                <w:color w:val="auto"/>
                <w:szCs w:val="21"/>
              </w:rPr>
              <w:t>1、正常工作条件</w:t>
            </w:r>
          </w:p>
          <w:p>
            <w:pPr>
              <w:jc w:val="left"/>
              <w:rPr>
                <w:rFonts w:ascii="宋体" w:hAnsi="宋体" w:cs="宋体"/>
                <w:color w:val="auto"/>
                <w:szCs w:val="21"/>
              </w:rPr>
            </w:pPr>
            <w:r>
              <w:rPr>
                <w:rFonts w:hint="eastAsia" w:ascii="宋体" w:hAnsi="宋体" w:cs="宋体"/>
                <w:color w:val="auto"/>
                <w:szCs w:val="21"/>
              </w:rPr>
              <w:t>1）环境温度：+5℃～+40℃；</w:t>
            </w:r>
          </w:p>
          <w:p>
            <w:pPr>
              <w:jc w:val="left"/>
              <w:rPr>
                <w:rFonts w:ascii="宋体" w:hAnsi="宋体" w:cs="宋体"/>
                <w:color w:val="auto"/>
                <w:szCs w:val="21"/>
              </w:rPr>
            </w:pPr>
            <w:r>
              <w:rPr>
                <w:rFonts w:hint="eastAsia" w:ascii="宋体" w:hAnsi="宋体" w:cs="宋体"/>
                <w:color w:val="auto"/>
                <w:szCs w:val="21"/>
              </w:rPr>
              <w:t>2）相对湿度：≤80%；</w:t>
            </w:r>
          </w:p>
          <w:p>
            <w:pPr>
              <w:jc w:val="left"/>
              <w:rPr>
                <w:rFonts w:ascii="宋体" w:hAnsi="宋体" w:cs="宋体"/>
                <w:color w:val="auto"/>
                <w:szCs w:val="21"/>
              </w:rPr>
            </w:pPr>
            <w:r>
              <w:rPr>
                <w:rFonts w:hint="eastAsia" w:ascii="宋体" w:hAnsi="宋体" w:cs="宋体"/>
                <w:color w:val="auto"/>
                <w:szCs w:val="21"/>
              </w:rPr>
              <w:t>3）大气压力：860hPa～1060hPa；</w:t>
            </w:r>
          </w:p>
          <w:p>
            <w:pPr>
              <w:jc w:val="left"/>
              <w:rPr>
                <w:rFonts w:ascii="宋体" w:hAnsi="宋体" w:cs="宋体"/>
                <w:color w:val="auto"/>
                <w:szCs w:val="21"/>
              </w:rPr>
            </w:pPr>
            <w:r>
              <w:rPr>
                <w:rFonts w:hint="eastAsia" w:ascii="宋体" w:hAnsi="宋体" w:cs="宋体"/>
                <w:color w:val="auto"/>
                <w:szCs w:val="21"/>
              </w:rPr>
              <w:t>4）内部电源：DC3.7V±0.4V，600mAh。</w:t>
            </w:r>
          </w:p>
          <w:p>
            <w:pPr>
              <w:jc w:val="left"/>
              <w:rPr>
                <w:rFonts w:ascii="宋体" w:hAnsi="宋体" w:cs="宋体"/>
                <w:color w:val="auto"/>
                <w:szCs w:val="21"/>
              </w:rPr>
            </w:pPr>
            <w:r>
              <w:rPr>
                <w:rFonts w:hint="eastAsia" w:ascii="宋体" w:hAnsi="宋体" w:cs="宋体"/>
                <w:color w:val="auto"/>
                <w:szCs w:val="21"/>
              </w:rPr>
              <w:t>2、充电电源：AC220V，50Hz。</w:t>
            </w:r>
          </w:p>
          <w:p>
            <w:pPr>
              <w:jc w:val="left"/>
              <w:rPr>
                <w:rFonts w:ascii="宋体" w:hAnsi="宋体" w:cs="宋体"/>
                <w:color w:val="auto"/>
                <w:szCs w:val="21"/>
              </w:rPr>
            </w:pPr>
            <w:r>
              <w:rPr>
                <w:rFonts w:hint="eastAsia" w:ascii="宋体" w:hAnsi="宋体" w:cs="宋体"/>
                <w:color w:val="auto"/>
                <w:szCs w:val="21"/>
              </w:rPr>
              <w:t>3、内置蓄电池，无需连接市电使用，满电最大输出状态下可连续输出≥4小时。</w:t>
            </w:r>
          </w:p>
          <w:p>
            <w:pPr>
              <w:jc w:val="left"/>
              <w:rPr>
                <w:rFonts w:ascii="宋体" w:hAnsi="宋体" w:cs="宋体"/>
                <w:color w:val="auto"/>
                <w:szCs w:val="21"/>
              </w:rPr>
            </w:pPr>
            <w:r>
              <w:rPr>
                <w:rFonts w:hint="eastAsia" w:ascii="宋体" w:hAnsi="宋体" w:cs="宋体"/>
                <w:color w:val="auto"/>
                <w:szCs w:val="21"/>
              </w:rPr>
              <w:t>4、输出波形：双向对称方波。</w:t>
            </w:r>
          </w:p>
          <w:p>
            <w:pPr>
              <w:jc w:val="left"/>
              <w:rPr>
                <w:rFonts w:ascii="宋体" w:hAnsi="宋体" w:cs="宋体"/>
                <w:color w:val="auto"/>
                <w:szCs w:val="21"/>
              </w:rPr>
            </w:pPr>
            <w:r>
              <w:rPr>
                <w:rFonts w:hint="eastAsia" w:ascii="宋体" w:hAnsi="宋体" w:cs="宋体"/>
                <w:color w:val="auto"/>
                <w:szCs w:val="21"/>
              </w:rPr>
              <w:t>5、脉宽范围：电刺激器任何模式下输出电流的脉宽均≤500μs。</w:t>
            </w:r>
          </w:p>
          <w:p>
            <w:pPr>
              <w:jc w:val="left"/>
              <w:rPr>
                <w:rFonts w:ascii="宋体" w:hAnsi="宋体" w:cs="宋体"/>
                <w:color w:val="auto"/>
                <w:szCs w:val="21"/>
              </w:rPr>
            </w:pPr>
            <w:r>
              <w:rPr>
                <w:rFonts w:hint="eastAsia" w:ascii="宋体" w:hAnsi="宋体" w:cs="宋体"/>
                <w:color w:val="auto"/>
                <w:szCs w:val="21"/>
              </w:rPr>
              <w:t>6、频率范围：电刺激器任何模式下输出电流的频率均≤100Hz。</w:t>
            </w:r>
          </w:p>
          <w:p>
            <w:pPr>
              <w:jc w:val="left"/>
              <w:rPr>
                <w:rFonts w:ascii="宋体" w:hAnsi="宋体" w:cs="宋体"/>
                <w:color w:val="auto"/>
                <w:szCs w:val="21"/>
              </w:rPr>
            </w:pPr>
            <w:r>
              <w:rPr>
                <w:rFonts w:hint="eastAsia" w:ascii="宋体" w:hAnsi="宋体" w:cs="宋体"/>
                <w:color w:val="auto"/>
                <w:szCs w:val="21"/>
              </w:rPr>
              <w:t>7、电流强度：0-140mA可调节，步进为1mA。</w:t>
            </w:r>
          </w:p>
          <w:p>
            <w:pPr>
              <w:jc w:val="left"/>
              <w:rPr>
                <w:rFonts w:ascii="宋体" w:hAnsi="宋体" w:cs="宋体"/>
                <w:color w:val="auto"/>
                <w:szCs w:val="21"/>
              </w:rPr>
            </w:pPr>
            <w:r>
              <w:rPr>
                <w:rFonts w:hint="eastAsia" w:ascii="宋体" w:hAnsi="宋体" w:cs="宋体"/>
                <w:color w:val="auto"/>
                <w:szCs w:val="21"/>
              </w:rPr>
              <w:t>在500Ω的负载电阻下，任意模式下输出有效电流强度应不超过50 mA。</w:t>
            </w:r>
          </w:p>
          <w:p>
            <w:pPr>
              <w:jc w:val="left"/>
              <w:rPr>
                <w:rFonts w:ascii="宋体" w:hAnsi="宋体" w:cs="宋体"/>
                <w:color w:val="auto"/>
                <w:szCs w:val="21"/>
              </w:rPr>
            </w:pPr>
            <w:r>
              <w:rPr>
                <w:rFonts w:hint="eastAsia" w:ascii="宋体" w:hAnsi="宋体" w:cs="宋体"/>
                <w:color w:val="auto"/>
                <w:szCs w:val="21"/>
              </w:rPr>
              <w:t>三、功能特点：</w:t>
            </w:r>
          </w:p>
          <w:p>
            <w:pPr>
              <w:jc w:val="left"/>
              <w:rPr>
                <w:rFonts w:ascii="宋体" w:hAnsi="宋体" w:cs="宋体"/>
                <w:color w:val="auto"/>
                <w:szCs w:val="21"/>
              </w:rPr>
            </w:pPr>
            <w:r>
              <w:rPr>
                <w:rFonts w:hint="eastAsia" w:ascii="宋体" w:hAnsi="宋体" w:cs="宋体"/>
                <w:color w:val="auto"/>
                <w:szCs w:val="21"/>
              </w:rPr>
              <w:t>1、具有两种治疗模式，可通过电刺激器上的模式键进行手动切换，无需连接软件。</w:t>
            </w:r>
          </w:p>
          <w:p>
            <w:pPr>
              <w:jc w:val="left"/>
              <w:rPr>
                <w:rFonts w:ascii="宋体" w:hAnsi="宋体" w:cs="宋体"/>
                <w:color w:val="auto"/>
                <w:szCs w:val="21"/>
              </w:rPr>
            </w:pPr>
            <w:r>
              <w:rPr>
                <w:rFonts w:hint="eastAsia" w:ascii="宋体" w:hAnsi="宋体" w:cs="宋体"/>
                <w:color w:val="auto"/>
                <w:szCs w:val="21"/>
              </w:rPr>
              <w:t>2、支持无线拓展功能，可拓展连接同品牌运动设备，并按照肌肉收缩时序进行输出。</w:t>
            </w:r>
          </w:p>
          <w:p>
            <w:pPr>
              <w:jc w:val="left"/>
              <w:rPr>
                <w:rFonts w:ascii="宋体" w:hAnsi="宋体" w:cs="宋体"/>
                <w:color w:val="auto"/>
                <w:szCs w:val="21"/>
              </w:rPr>
            </w:pPr>
            <w:r>
              <w:rPr>
                <w:rFonts w:hint="eastAsia" w:ascii="宋体" w:hAnsi="宋体" w:cs="宋体"/>
                <w:color w:val="auto"/>
                <w:szCs w:val="21"/>
              </w:rPr>
              <w:t>3、A模式（镇痛模式），内设有镇痛相关的频率和脉宽，可用于缓解疼痛。</w:t>
            </w:r>
          </w:p>
          <w:p>
            <w:pPr>
              <w:jc w:val="left"/>
              <w:rPr>
                <w:rFonts w:ascii="宋体" w:hAnsi="宋体" w:cs="宋体"/>
                <w:color w:val="auto"/>
                <w:szCs w:val="21"/>
              </w:rPr>
            </w:pPr>
            <w:r>
              <w:rPr>
                <w:rFonts w:hint="eastAsia" w:ascii="宋体" w:hAnsi="宋体" w:cs="宋体"/>
                <w:color w:val="auto"/>
                <w:szCs w:val="21"/>
              </w:rPr>
              <w:t>4、B模式（神经肌肉刺激模式），内设有提高肌力相关的频率和脉宽，可用于提高肌力，预防肌肉萎缩。</w:t>
            </w:r>
          </w:p>
          <w:p>
            <w:pPr>
              <w:jc w:val="left"/>
              <w:rPr>
                <w:rFonts w:ascii="宋体" w:hAnsi="宋体" w:cs="宋体"/>
                <w:color w:val="auto"/>
                <w:szCs w:val="21"/>
              </w:rPr>
            </w:pPr>
            <w:r>
              <w:rPr>
                <w:rFonts w:hint="eastAsia" w:ascii="宋体" w:hAnsi="宋体" w:cs="宋体"/>
                <w:color w:val="auto"/>
                <w:szCs w:val="21"/>
              </w:rPr>
              <w:t>5、内置有固定的训练时长，模式A及模式B下训练时长均为20min。</w:t>
            </w:r>
          </w:p>
          <w:p>
            <w:pPr>
              <w:jc w:val="left"/>
              <w:rPr>
                <w:rFonts w:ascii="宋体" w:hAnsi="宋体" w:cs="宋体"/>
                <w:color w:val="auto"/>
                <w:szCs w:val="21"/>
              </w:rPr>
            </w:pPr>
            <w:r>
              <w:rPr>
                <w:rFonts w:hint="eastAsia" w:ascii="宋体" w:hAnsi="宋体" w:cs="宋体"/>
                <w:color w:val="auto"/>
                <w:szCs w:val="21"/>
              </w:rPr>
              <w:t>6、电刺激器具有独立输出功能，可独立进行启停、模式切换，电流强度的调节等，无需连接手控器、手机或平板等。</w:t>
            </w:r>
          </w:p>
          <w:p>
            <w:pPr>
              <w:jc w:val="left"/>
              <w:rPr>
                <w:rFonts w:ascii="宋体" w:hAnsi="宋体" w:cs="宋体"/>
                <w:color w:val="auto"/>
                <w:szCs w:val="21"/>
              </w:rPr>
            </w:pPr>
            <w:r>
              <w:rPr>
                <w:rFonts w:hint="eastAsia" w:ascii="宋体" w:hAnsi="宋体" w:cs="宋体"/>
                <w:color w:val="auto"/>
                <w:szCs w:val="21"/>
              </w:rPr>
              <w:t>7、电刺激具有5级电流强度指示灯，易于治疗师判断电流强度的大小。</w:t>
            </w:r>
          </w:p>
          <w:p>
            <w:pPr>
              <w:jc w:val="left"/>
              <w:rPr>
                <w:rFonts w:ascii="宋体" w:hAnsi="宋体" w:cs="宋体"/>
                <w:color w:val="auto"/>
                <w:szCs w:val="21"/>
              </w:rPr>
            </w:pPr>
            <w:r>
              <w:rPr>
                <w:rFonts w:hint="eastAsia" w:ascii="宋体" w:hAnsi="宋体" w:cs="宋体"/>
                <w:color w:val="auto"/>
                <w:szCs w:val="21"/>
              </w:rPr>
              <w:t>8、电刺激器具有工作模式指示灯，当切换至不同治疗模式下显示不同的颜色以利于区分。</w:t>
            </w:r>
          </w:p>
          <w:p>
            <w:pPr>
              <w:jc w:val="left"/>
              <w:rPr>
                <w:rFonts w:ascii="宋体" w:hAnsi="宋体" w:cs="宋体"/>
                <w:color w:val="auto"/>
                <w:szCs w:val="21"/>
              </w:rPr>
            </w:pPr>
            <w:r>
              <w:rPr>
                <w:rFonts w:hint="eastAsia" w:ascii="宋体" w:hAnsi="宋体" w:cs="宋体"/>
                <w:color w:val="auto"/>
                <w:szCs w:val="21"/>
              </w:rPr>
              <w:t>9、具有电极片脱落检测及保护功能，电极片脱落后电流输出停止，恢复待机状态，且工作状态指示灯闪烁提醒。</w:t>
            </w:r>
          </w:p>
          <w:p>
            <w:pPr>
              <w:jc w:val="left"/>
              <w:rPr>
                <w:rFonts w:ascii="宋体" w:hAnsi="宋体" w:cs="宋体"/>
                <w:color w:val="auto"/>
                <w:szCs w:val="21"/>
              </w:rPr>
            </w:pPr>
            <w:r>
              <w:rPr>
                <w:rFonts w:hint="eastAsia" w:ascii="宋体" w:hAnsi="宋体" w:cs="宋体"/>
                <w:color w:val="auto"/>
                <w:szCs w:val="21"/>
              </w:rPr>
              <w:t>10、电刺激器背部具有磁扣，可吸附于磁扣式电极片并直接粘贴于皮肤上，运动过程中不脱落，无需绑带进行固定。</w:t>
            </w:r>
          </w:p>
          <w:p>
            <w:pPr>
              <w:jc w:val="left"/>
              <w:rPr>
                <w:rFonts w:ascii="宋体" w:hAnsi="宋体" w:cs="宋体"/>
                <w:color w:val="auto"/>
                <w:szCs w:val="21"/>
              </w:rPr>
            </w:pPr>
            <w:r>
              <w:rPr>
                <w:rFonts w:hint="eastAsia" w:ascii="宋体" w:hAnsi="宋体" w:cs="宋体"/>
                <w:color w:val="auto"/>
                <w:szCs w:val="21"/>
              </w:rPr>
              <w:t>11、具有电池电量指示功能，当电压过低时电量指示灯会闪烁报警。</w:t>
            </w:r>
          </w:p>
          <w:p>
            <w:pPr>
              <w:jc w:val="left"/>
              <w:rPr>
                <w:rFonts w:ascii="宋体" w:hAnsi="Calibri" w:cs="宋体"/>
                <w:kern w:val="0"/>
                <w:sz w:val="24"/>
                <w:szCs w:val="21"/>
              </w:rPr>
            </w:pPr>
            <w:r>
              <w:rPr>
                <w:rFonts w:hint="eastAsia" w:ascii="宋体" w:hAnsi="宋体" w:cs="宋体"/>
                <w:color w:val="auto"/>
                <w:szCs w:val="21"/>
              </w:rPr>
              <w:t>12、自动关机节能，当电刺激器处于待机状态下，5分钟无任何操作时，会自动关机，减少电量及机器的损耗。</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auto"/>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auto"/>
                <w:szCs w:val="21"/>
              </w:rPr>
              <w:t>台</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auto"/>
                <w:kern w:val="0"/>
                <w:szCs w:val="21"/>
                <w:lang w:bidi="ar"/>
              </w:rPr>
              <w:t>4</w:t>
            </w:r>
          </w:p>
        </w:tc>
        <w:tc>
          <w:tcPr>
            <w:tcW w:w="1276" w:type="dxa"/>
            <w:tcBorders>
              <w:top w:val="nil"/>
              <w:left w:val="nil"/>
              <w:bottom w:val="single" w:color="auto" w:sz="4" w:space="0"/>
              <w:right w:val="single" w:color="auto" w:sz="4" w:space="0"/>
            </w:tcBorders>
            <w:shd w:val="clear" w:color="auto" w:fill="FFFFFF"/>
            <w:noWrap/>
            <w:vAlign w:val="center"/>
          </w:tcPr>
          <w:p>
            <w:pPr>
              <w:jc w:val="center"/>
              <w:rPr>
                <w:rFonts w:ascii="宋体" w:hAnsi="宋体" w:cs="宋体"/>
                <w:kern w:val="0"/>
                <w:sz w:val="24"/>
              </w:rPr>
            </w:pPr>
            <w:r>
              <w:rPr>
                <w:rFonts w:hint="eastAsia" w:ascii="宋体" w:hAnsi="宋体" w:eastAsia="宋体" w:cs="宋体"/>
                <w:color w:val="auto"/>
                <w:sz w:val="21"/>
                <w:szCs w:val="21"/>
                <w:highlight w:val="none"/>
              </w:rPr>
              <w:t>加压冷热敷机</w:t>
            </w:r>
          </w:p>
        </w:tc>
        <w:tc>
          <w:tcPr>
            <w:tcW w:w="7426" w:type="dxa"/>
            <w:tcBorders>
              <w:top w:val="nil"/>
              <w:left w:val="nil"/>
              <w:bottom w:val="single" w:color="auto" w:sz="4" w:space="0"/>
              <w:right w:val="single" w:color="auto" w:sz="4" w:space="0"/>
            </w:tcBorders>
            <w:shd w:val="clear" w:color="auto" w:fill="FFFFFF"/>
            <w:noWrap/>
            <w:vAlign w:val="top"/>
          </w:tcPr>
          <w:p>
            <w:pPr>
              <w:jc w:val="left"/>
              <w:rPr>
                <w:rFonts w:ascii="宋体" w:hAnsi="宋体" w:cs="宋体"/>
                <w:color w:val="auto"/>
                <w:szCs w:val="21"/>
              </w:rPr>
            </w:pPr>
            <w:r>
              <w:rPr>
                <w:rFonts w:hint="eastAsia" w:ascii="宋体" w:hAnsi="宋体" w:cs="宋体"/>
                <w:color w:val="auto"/>
                <w:szCs w:val="21"/>
              </w:rPr>
              <w:t xml:space="preserve">1、工作条件： </w:t>
            </w:r>
          </w:p>
          <w:p>
            <w:pPr>
              <w:jc w:val="left"/>
              <w:rPr>
                <w:rFonts w:ascii="宋体" w:hAnsi="宋体" w:cs="宋体"/>
                <w:color w:val="auto"/>
                <w:szCs w:val="21"/>
              </w:rPr>
            </w:pPr>
            <w:r>
              <w:rPr>
                <w:rFonts w:hint="eastAsia" w:ascii="宋体" w:hAnsi="宋体" w:cs="宋体"/>
                <w:color w:val="auto"/>
                <w:szCs w:val="21"/>
              </w:rPr>
              <w:t>（1） 环境温度：+5℃～+40℃；</w:t>
            </w:r>
          </w:p>
          <w:p>
            <w:pPr>
              <w:jc w:val="left"/>
              <w:rPr>
                <w:rFonts w:ascii="宋体" w:hAnsi="宋体" w:cs="宋体"/>
                <w:color w:val="auto"/>
                <w:szCs w:val="21"/>
              </w:rPr>
            </w:pPr>
            <w:r>
              <w:rPr>
                <w:rFonts w:hint="eastAsia" w:ascii="宋体" w:hAnsi="宋体" w:cs="宋体"/>
                <w:color w:val="auto"/>
                <w:szCs w:val="21"/>
              </w:rPr>
              <w:t>（2） 相对湿度：≤30%～80%；</w:t>
            </w:r>
          </w:p>
          <w:p>
            <w:pPr>
              <w:jc w:val="left"/>
              <w:rPr>
                <w:rFonts w:ascii="宋体" w:hAnsi="宋体" w:cs="宋体"/>
                <w:color w:val="auto"/>
                <w:szCs w:val="21"/>
              </w:rPr>
            </w:pPr>
            <w:r>
              <w:rPr>
                <w:rFonts w:hint="eastAsia" w:ascii="宋体" w:hAnsi="宋体" w:cs="宋体"/>
                <w:color w:val="auto"/>
                <w:szCs w:val="21"/>
              </w:rPr>
              <w:t>（3） 大气压范围 700hPa～1060hPa；</w:t>
            </w:r>
          </w:p>
          <w:p>
            <w:pPr>
              <w:jc w:val="left"/>
              <w:rPr>
                <w:rFonts w:ascii="宋体" w:hAnsi="宋体" w:cs="宋体"/>
                <w:color w:val="auto"/>
                <w:szCs w:val="21"/>
              </w:rPr>
            </w:pPr>
            <w:r>
              <w:rPr>
                <w:rFonts w:hint="eastAsia" w:ascii="宋体" w:hAnsi="宋体" w:cs="宋体"/>
                <w:color w:val="auto"/>
                <w:szCs w:val="21"/>
              </w:rPr>
              <w:t>（4） 电源额定电压和频率  AC220V+22V 50Hz±1Hz；</w:t>
            </w:r>
          </w:p>
          <w:p>
            <w:pPr>
              <w:jc w:val="left"/>
              <w:rPr>
                <w:rFonts w:ascii="宋体" w:hAnsi="宋体" w:cs="宋体"/>
                <w:color w:val="auto"/>
                <w:szCs w:val="21"/>
              </w:rPr>
            </w:pPr>
            <w:r>
              <w:rPr>
                <w:rFonts w:hint="eastAsia" w:ascii="宋体" w:hAnsi="宋体" w:cs="宋体"/>
                <w:color w:val="auto"/>
                <w:szCs w:val="21"/>
              </w:rPr>
              <w:t>（5） 额定输入功率  500VA；</w:t>
            </w:r>
          </w:p>
          <w:p>
            <w:pPr>
              <w:jc w:val="left"/>
              <w:rPr>
                <w:rFonts w:ascii="宋体" w:hAnsi="宋体" w:cs="宋体"/>
                <w:color w:val="auto"/>
                <w:szCs w:val="21"/>
              </w:rPr>
            </w:pPr>
            <w:r>
              <w:rPr>
                <w:rFonts w:hint="eastAsia" w:ascii="宋体" w:hAnsi="宋体" w:cs="宋体"/>
                <w:color w:val="auto"/>
                <w:szCs w:val="21"/>
              </w:rPr>
              <w:t xml:space="preserve">2、台推式设计，单独使用小巧便携，与台车结合可以作为柜式机使用； </w:t>
            </w:r>
          </w:p>
          <w:p>
            <w:pPr>
              <w:jc w:val="left"/>
              <w:rPr>
                <w:rFonts w:ascii="宋体" w:hAnsi="宋体" w:cs="宋体"/>
                <w:color w:val="auto"/>
                <w:szCs w:val="21"/>
              </w:rPr>
            </w:pPr>
            <w:r>
              <w:rPr>
                <w:rFonts w:hint="eastAsia" w:ascii="宋体" w:hAnsi="宋体" w:cs="宋体"/>
                <w:color w:val="auto"/>
                <w:szCs w:val="21"/>
              </w:rPr>
              <w:t xml:space="preserve">3、7寸全触摸屏操作，界面简洁，人机界面友好； </w:t>
            </w:r>
          </w:p>
          <w:p>
            <w:pPr>
              <w:jc w:val="left"/>
              <w:rPr>
                <w:rFonts w:ascii="宋体" w:hAnsi="宋体" w:cs="宋体"/>
                <w:color w:val="auto"/>
                <w:szCs w:val="21"/>
              </w:rPr>
            </w:pPr>
            <w:r>
              <w:rPr>
                <w:rFonts w:hint="eastAsia" w:ascii="宋体" w:hAnsi="宋体" w:cs="宋体"/>
                <w:color w:val="auto"/>
                <w:szCs w:val="21"/>
              </w:rPr>
              <w:t xml:space="preserve">4、治疗水囊：共8种不同类型治疗水囊。标配4种不同部位治疗水囊，同时有4种其他部位治疗水囊可选配； </w:t>
            </w:r>
          </w:p>
          <w:p>
            <w:pPr>
              <w:jc w:val="left"/>
              <w:rPr>
                <w:rFonts w:ascii="宋体" w:hAnsi="宋体" w:cs="宋体"/>
                <w:color w:val="auto"/>
                <w:szCs w:val="21"/>
              </w:rPr>
            </w:pPr>
            <w:r>
              <w:rPr>
                <w:rFonts w:hint="eastAsia" w:ascii="宋体" w:hAnsi="宋体" w:cs="宋体"/>
                <w:color w:val="auto"/>
                <w:szCs w:val="21"/>
              </w:rPr>
              <w:t xml:space="preserve">5、出水转接口，经久耐用，且防漏性能更好； </w:t>
            </w:r>
          </w:p>
          <w:p>
            <w:pPr>
              <w:jc w:val="left"/>
              <w:rPr>
                <w:rFonts w:ascii="宋体" w:hAnsi="宋体" w:cs="宋体"/>
                <w:color w:val="auto"/>
                <w:szCs w:val="21"/>
              </w:rPr>
            </w:pPr>
            <w:r>
              <w:rPr>
                <w:rFonts w:hint="eastAsia" w:ascii="宋体" w:hAnsi="宋体" w:cs="宋体"/>
                <w:color w:val="auto"/>
                <w:szCs w:val="21"/>
              </w:rPr>
              <w:t xml:space="preserve">6、采用半导体制冷模块； </w:t>
            </w:r>
          </w:p>
          <w:p>
            <w:pPr>
              <w:jc w:val="left"/>
              <w:rPr>
                <w:rFonts w:ascii="宋体" w:hAnsi="宋体" w:cs="宋体"/>
                <w:color w:val="auto"/>
                <w:szCs w:val="21"/>
              </w:rPr>
            </w:pPr>
            <w:r>
              <w:rPr>
                <w:rFonts w:hint="eastAsia" w:ascii="宋体" w:hAnsi="宋体" w:cs="宋体"/>
                <w:color w:val="auto"/>
                <w:szCs w:val="21"/>
              </w:rPr>
              <w:t xml:space="preserve">7、五种治疗模式：冷敷、热敷、脉动加压治疗、脉动加压冷敷、脉动加压热敷； </w:t>
            </w:r>
          </w:p>
          <w:p>
            <w:pPr>
              <w:jc w:val="left"/>
              <w:rPr>
                <w:rFonts w:ascii="宋体" w:hAnsi="宋体" w:cs="宋体"/>
                <w:color w:val="auto"/>
                <w:szCs w:val="21"/>
              </w:rPr>
            </w:pPr>
            <w:r>
              <w:rPr>
                <w:rFonts w:hint="eastAsia" w:ascii="宋体" w:hAnsi="宋体" w:cs="宋体"/>
                <w:color w:val="auto"/>
                <w:szCs w:val="21"/>
              </w:rPr>
              <w:t xml:space="preserve">8、工作模式：计时模式、计次模式； </w:t>
            </w:r>
          </w:p>
          <w:p>
            <w:pPr>
              <w:jc w:val="left"/>
              <w:rPr>
                <w:rFonts w:ascii="宋体" w:hAnsi="宋体" w:cs="宋体"/>
                <w:color w:val="auto"/>
                <w:szCs w:val="21"/>
              </w:rPr>
            </w:pPr>
            <w:r>
              <w:rPr>
                <w:rFonts w:hint="eastAsia" w:ascii="宋体" w:hAnsi="宋体" w:cs="宋体"/>
                <w:color w:val="auto"/>
                <w:szCs w:val="21"/>
              </w:rPr>
              <w:t xml:space="preserve">9、冷敷温度设置范围：6℃～15℃，进步1℃； </w:t>
            </w:r>
          </w:p>
          <w:p>
            <w:pPr>
              <w:jc w:val="left"/>
              <w:rPr>
                <w:rFonts w:ascii="宋体" w:hAnsi="宋体" w:cs="宋体"/>
                <w:color w:val="auto"/>
                <w:szCs w:val="21"/>
              </w:rPr>
            </w:pPr>
            <w:r>
              <w:rPr>
                <w:rFonts w:hint="eastAsia" w:ascii="宋体" w:hAnsi="宋体" w:cs="宋体"/>
                <w:color w:val="auto"/>
                <w:szCs w:val="21"/>
              </w:rPr>
              <w:t xml:space="preserve">10、热疗温度设置范围：38℃～50℃，进步1℃； </w:t>
            </w:r>
          </w:p>
          <w:p>
            <w:pPr>
              <w:jc w:val="left"/>
              <w:rPr>
                <w:rFonts w:ascii="宋体" w:hAnsi="宋体" w:cs="宋体"/>
                <w:color w:val="auto"/>
                <w:szCs w:val="21"/>
              </w:rPr>
            </w:pPr>
            <w:r>
              <w:rPr>
                <w:rFonts w:hint="eastAsia" w:ascii="宋体" w:hAnsi="宋体" w:cs="宋体"/>
                <w:color w:val="auto"/>
                <w:szCs w:val="21"/>
              </w:rPr>
              <w:t xml:space="preserve">11、温度变化速度快：从25℃起始温度降温/升温至常用的治疗冷（10℃）/热敷（40℃）温度最长时间≤3min； </w:t>
            </w:r>
          </w:p>
          <w:p>
            <w:pPr>
              <w:jc w:val="left"/>
              <w:rPr>
                <w:rFonts w:ascii="宋体" w:hAnsi="宋体" w:cs="宋体"/>
                <w:color w:val="auto"/>
                <w:szCs w:val="21"/>
              </w:rPr>
            </w:pPr>
            <w:r>
              <w:rPr>
                <w:rFonts w:hint="eastAsia" w:ascii="宋体" w:hAnsi="宋体" w:cs="宋体"/>
                <w:color w:val="auto"/>
                <w:szCs w:val="21"/>
              </w:rPr>
              <w:t xml:space="preserve">12、设备具有双重的独立超温保护装置，保证操作的安全性； </w:t>
            </w:r>
          </w:p>
          <w:p>
            <w:pPr>
              <w:jc w:val="left"/>
              <w:rPr>
                <w:rFonts w:hint="eastAsia" w:ascii="宋体" w:hAnsi="宋体" w:eastAsia="宋体" w:cs="宋体"/>
                <w:color w:val="auto"/>
                <w:sz w:val="21"/>
                <w:szCs w:val="21"/>
              </w:rPr>
            </w:pPr>
            <w:r>
              <w:rPr>
                <w:rFonts w:hint="eastAsia" w:ascii="宋体" w:hAnsi="宋体" w:eastAsia="宋体" w:cs="宋体"/>
                <w:color w:val="8064A2" w:themeColor="accent4"/>
                <w:sz w:val="21"/>
                <w:szCs w:val="21"/>
                <w14:textFill>
                  <w14:solidFill>
                    <w14:schemeClr w14:val="accent4"/>
                  </w14:solidFill>
                </w14:textFill>
              </w:rPr>
              <w:t>1</w:t>
            </w:r>
            <w:r>
              <w:rPr>
                <w:rFonts w:hint="eastAsia" w:ascii="宋体" w:hAnsi="宋体" w:eastAsia="宋体" w:cs="宋体"/>
                <w:color w:val="auto"/>
                <w:sz w:val="21"/>
                <w:szCs w:val="21"/>
              </w:rPr>
              <w:t xml:space="preserve">3、加压模式：常压、脉动加压二种模式可选，加压状态的压强≤40kPa，治疗压力设置范围：20kPa～35kPa； </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14、设备具有过压保护措施，单一故障状态下在冷热敷袋连接管路中产生的最大压强应≤最大输出压强的1.2倍； </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15、单次工作时间1～120min，间隔时长1～60min，步进1min，误差±10%；脉动加压功能开启时，加压时长5～90s，释压时长为5～60s，步进1s，误差±10%； </w:t>
            </w:r>
          </w:p>
          <w:p>
            <w:pPr>
              <w:jc w:val="left"/>
              <w:rPr>
                <w:rFonts w:ascii="宋体" w:hAnsi="Calibri" w:cs="宋体"/>
                <w:kern w:val="0"/>
                <w:sz w:val="24"/>
                <w:szCs w:val="21"/>
              </w:rPr>
            </w:pPr>
            <w:r>
              <w:rPr>
                <w:rFonts w:hint="eastAsia" w:ascii="宋体" w:hAnsi="宋体" w:eastAsia="宋体" w:cs="宋体"/>
                <w:color w:val="auto"/>
                <w:sz w:val="21"/>
                <w:szCs w:val="21"/>
              </w:rPr>
              <w:t>16、工作时的噪声≤55dB（A）。</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Calibri" w:cs="宋体"/>
                <w:kern w:val="0"/>
                <w:sz w:val="24"/>
                <w:szCs w:val="21"/>
              </w:rPr>
            </w:pPr>
            <w:r>
              <w:rPr>
                <w:rFonts w:hint="eastAsia" w:ascii="宋体" w:hAnsi="宋体" w:cs="宋体"/>
                <w:color w:val="auto"/>
                <w:szCs w:val="21"/>
              </w:rPr>
              <w:t>1</w:t>
            </w:r>
          </w:p>
        </w:tc>
        <w:tc>
          <w:tcPr>
            <w:tcW w:w="735" w:type="dxa"/>
            <w:tcBorders>
              <w:top w:val="nil"/>
              <w:left w:val="nil"/>
              <w:bottom w:val="single" w:color="auto" w:sz="4" w:space="0"/>
              <w:right w:val="single" w:color="auto" w:sz="4" w:space="0"/>
            </w:tcBorders>
            <w:shd w:val="clear" w:color="auto" w:fill="FFFFFF"/>
            <w:noWrap/>
            <w:vAlign w:val="center"/>
          </w:tcPr>
          <w:p>
            <w:pPr>
              <w:widowControl/>
              <w:jc w:val="center"/>
              <w:textAlignment w:val="center"/>
              <w:rPr>
                <w:rFonts w:ascii="宋体" w:hAnsi="宋体" w:cs="宋体"/>
                <w:kern w:val="0"/>
                <w:sz w:val="24"/>
              </w:rPr>
            </w:pPr>
            <w:r>
              <w:rPr>
                <w:rFonts w:hint="eastAsia" w:ascii="宋体" w:hAnsi="宋体" w:cs="宋体"/>
                <w:color w:val="auto"/>
                <w:szCs w:val="21"/>
              </w:rPr>
              <w:t>台</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Cs w:val="21"/>
                <w:lang w:bidi="ar"/>
              </w:rPr>
              <w:t>5</w:t>
            </w:r>
          </w:p>
        </w:tc>
        <w:tc>
          <w:tcPr>
            <w:tcW w:w="1276" w:type="dxa"/>
            <w:tcBorders>
              <w:top w:val="nil"/>
              <w:left w:val="nil"/>
              <w:bottom w:val="single" w:color="auto" w:sz="4" w:space="0"/>
              <w:right w:val="single" w:color="auto" w:sz="4" w:space="0"/>
            </w:tcBorders>
            <w:noWrap/>
            <w:vAlign w:val="center"/>
          </w:tcPr>
          <w:p>
            <w:pPr>
              <w:jc w:val="center"/>
              <w:rPr>
                <w:rFonts w:ascii="宋体" w:hAnsi="宋体" w:cs="宋体"/>
                <w:color w:val="auto"/>
                <w:kern w:val="0"/>
                <w:sz w:val="24"/>
              </w:rPr>
            </w:pPr>
            <w:r>
              <w:rPr>
                <w:rFonts w:hint="eastAsia" w:ascii="宋体" w:hAnsi="宋体" w:eastAsia="宋体" w:cs="宋体"/>
                <w:color w:val="auto"/>
                <w:sz w:val="21"/>
                <w:szCs w:val="21"/>
                <w:highlight w:val="none"/>
              </w:rPr>
              <w:t>超短波治疗仪</w:t>
            </w:r>
          </w:p>
        </w:tc>
        <w:tc>
          <w:tcPr>
            <w:tcW w:w="7426" w:type="dxa"/>
            <w:tcBorders>
              <w:top w:val="nil"/>
              <w:left w:val="nil"/>
              <w:bottom w:val="single" w:color="auto" w:sz="4" w:space="0"/>
              <w:right w:val="single" w:color="auto" w:sz="4" w:space="0"/>
            </w:tcBorders>
            <w:noWrap/>
            <w:vAlign w:val="top"/>
          </w:tcPr>
          <w:p>
            <w:pPr>
              <w:jc w:val="left"/>
              <w:rPr>
                <w:rFonts w:ascii="宋体" w:hAnsi="宋体" w:cs="宋体"/>
                <w:color w:val="auto"/>
                <w:szCs w:val="21"/>
              </w:rPr>
            </w:pPr>
            <w:r>
              <w:rPr>
                <w:rFonts w:hint="eastAsia" w:ascii="宋体" w:hAnsi="宋体" w:cs="宋体"/>
                <w:color w:val="auto"/>
                <w:szCs w:val="21"/>
              </w:rPr>
              <w:t>1、立式机型，液晶触摸屏+一键飞梭；</w:t>
            </w:r>
          </w:p>
          <w:p>
            <w:pPr>
              <w:jc w:val="left"/>
              <w:rPr>
                <w:rFonts w:ascii="宋体" w:hAnsi="宋体" w:cs="宋体"/>
                <w:color w:val="auto"/>
                <w:szCs w:val="21"/>
              </w:rPr>
            </w:pPr>
            <w:r>
              <w:rPr>
                <w:rFonts w:hint="eastAsia" w:ascii="宋体" w:hAnsi="宋体" w:cs="宋体"/>
                <w:color w:val="auto"/>
                <w:szCs w:val="21"/>
              </w:rPr>
              <w:t>2、工作频率：40.68MHz；</w:t>
            </w:r>
          </w:p>
          <w:p>
            <w:pPr>
              <w:jc w:val="left"/>
              <w:rPr>
                <w:rFonts w:ascii="宋体" w:hAnsi="宋体" w:cs="宋体"/>
                <w:color w:val="auto"/>
                <w:szCs w:val="21"/>
              </w:rPr>
            </w:pPr>
            <w:r>
              <w:rPr>
                <w:rFonts w:hint="eastAsia" w:ascii="宋体" w:hAnsi="宋体" w:cs="宋体"/>
                <w:color w:val="auto"/>
                <w:szCs w:val="21"/>
              </w:rPr>
              <w:t>3、额定输出功率：≤150W；</w:t>
            </w:r>
          </w:p>
          <w:p>
            <w:pPr>
              <w:jc w:val="left"/>
              <w:rPr>
                <w:rFonts w:ascii="宋体" w:hAnsi="宋体" w:cs="宋体"/>
                <w:color w:val="auto"/>
                <w:szCs w:val="21"/>
              </w:rPr>
            </w:pPr>
            <w:r>
              <w:rPr>
                <w:rFonts w:hint="eastAsia" w:ascii="宋体" w:hAnsi="宋体" w:cs="宋体"/>
                <w:color w:val="auto"/>
                <w:szCs w:val="21"/>
              </w:rPr>
              <w:t>4、治疗时间：≥1～99min；</w:t>
            </w:r>
          </w:p>
          <w:p>
            <w:pPr>
              <w:widowControl/>
              <w:jc w:val="left"/>
              <w:textAlignment w:val="center"/>
              <w:rPr>
                <w:rFonts w:ascii="宋体" w:hAnsi="宋体" w:cs="宋体"/>
                <w:color w:val="auto"/>
                <w:szCs w:val="21"/>
                <w:highlight w:val="yellow"/>
              </w:rPr>
            </w:pPr>
            <w:r>
              <w:rPr>
                <w:rFonts w:hint="eastAsia" w:ascii="宋体" w:hAnsi="宋体" w:cs="宋体"/>
                <w:kern w:val="0"/>
                <w:szCs w:val="21"/>
                <w:highlight w:val="none"/>
                <w:lang w:bidi="ar"/>
              </w:rPr>
              <w:t>★</w:t>
            </w:r>
            <w:r>
              <w:rPr>
                <w:rFonts w:hint="eastAsia" w:ascii="宋体" w:hAnsi="宋体" w:cs="宋体"/>
                <w:color w:val="auto"/>
                <w:szCs w:val="21"/>
              </w:rPr>
              <w:t>5、治疗输出模式：连续模式、断续模式、脉冲模式</w:t>
            </w:r>
            <w:r>
              <w:rPr>
                <w:rFonts w:hint="eastAsia" w:ascii="宋体" w:hAnsi="宋体" w:cs="宋体"/>
                <w:color w:val="auto"/>
                <w:szCs w:val="21"/>
                <w:highlight w:val="none"/>
              </w:rPr>
              <w:t>；</w:t>
            </w:r>
          </w:p>
          <w:p>
            <w:pPr>
              <w:jc w:val="left"/>
              <w:rPr>
                <w:rFonts w:ascii="宋体" w:hAnsi="宋体" w:cs="宋体"/>
                <w:color w:val="auto"/>
                <w:szCs w:val="21"/>
              </w:rPr>
            </w:pPr>
            <w:r>
              <w:rPr>
                <w:rFonts w:hint="eastAsia" w:ascii="宋体" w:hAnsi="宋体" w:cs="宋体"/>
                <w:color w:val="auto"/>
                <w:szCs w:val="21"/>
              </w:rPr>
              <w:t>6、断续模式：占空比为50%，脉冲频率10～200Hz；</w:t>
            </w:r>
          </w:p>
          <w:p>
            <w:pPr>
              <w:jc w:val="left"/>
              <w:rPr>
                <w:rFonts w:ascii="宋体" w:hAnsi="宋体" w:cs="宋体"/>
                <w:color w:val="auto"/>
                <w:szCs w:val="21"/>
              </w:rPr>
            </w:pPr>
            <w:r>
              <w:rPr>
                <w:rFonts w:hint="eastAsia" w:ascii="宋体" w:hAnsi="宋体" w:cs="宋体"/>
                <w:color w:val="auto"/>
                <w:szCs w:val="21"/>
              </w:rPr>
              <w:t>7、脉冲模式：</w:t>
            </w:r>
          </w:p>
          <w:p>
            <w:pPr>
              <w:jc w:val="left"/>
              <w:rPr>
                <w:rFonts w:ascii="宋体" w:hAnsi="宋体" w:cs="宋体"/>
                <w:color w:val="auto"/>
                <w:szCs w:val="21"/>
              </w:rPr>
            </w:pPr>
            <w:r>
              <w:rPr>
                <w:rFonts w:hint="eastAsia" w:ascii="宋体" w:hAnsi="宋体" w:cs="宋体"/>
                <w:color w:val="auto"/>
                <w:szCs w:val="21"/>
              </w:rPr>
              <w:t>脉冲1：频率10～200Hz，脉宽200～1000μs；</w:t>
            </w:r>
          </w:p>
          <w:p>
            <w:pPr>
              <w:jc w:val="left"/>
              <w:rPr>
                <w:rFonts w:ascii="宋体" w:hAnsi="宋体" w:cs="宋体"/>
                <w:color w:val="auto"/>
                <w:szCs w:val="21"/>
              </w:rPr>
            </w:pPr>
            <w:r>
              <w:rPr>
                <w:rFonts w:hint="eastAsia" w:ascii="宋体" w:hAnsi="宋体" w:cs="宋体"/>
                <w:color w:val="auto"/>
                <w:szCs w:val="21"/>
              </w:rPr>
              <w:t>脉冲2：频率70Hz，脉宽7143μs；</w:t>
            </w:r>
          </w:p>
          <w:p>
            <w:pPr>
              <w:jc w:val="left"/>
              <w:rPr>
                <w:rFonts w:ascii="宋体" w:hAnsi="宋体" w:cs="宋体"/>
                <w:color w:val="auto"/>
                <w:szCs w:val="21"/>
              </w:rPr>
            </w:pPr>
            <w:r>
              <w:rPr>
                <w:rFonts w:hint="eastAsia" w:ascii="宋体" w:hAnsi="宋体" w:cs="宋体"/>
                <w:color w:val="auto"/>
                <w:szCs w:val="21"/>
              </w:rPr>
              <w:t>脉冲3：频率350Hz，脉宽476μs；</w:t>
            </w:r>
          </w:p>
          <w:p>
            <w:pPr>
              <w:jc w:val="left"/>
              <w:rPr>
                <w:rFonts w:ascii="宋体" w:hAnsi="宋体" w:cs="宋体"/>
                <w:color w:val="auto"/>
                <w:szCs w:val="21"/>
              </w:rPr>
            </w:pPr>
            <w:r>
              <w:rPr>
                <w:rFonts w:hint="eastAsia" w:ascii="宋体" w:hAnsi="宋体" w:cs="宋体"/>
                <w:color w:val="auto"/>
                <w:szCs w:val="21"/>
              </w:rPr>
              <w:t>脉冲4：频率15～240Hz，脉宽500μs；</w:t>
            </w:r>
          </w:p>
          <w:p>
            <w:pPr>
              <w:widowControl/>
              <w:jc w:val="left"/>
              <w:textAlignment w:val="center"/>
              <w:rPr>
                <w:rFonts w:ascii="宋体" w:hAnsi="宋体" w:cs="宋体"/>
                <w:color w:val="auto"/>
                <w:szCs w:val="21"/>
                <w:highlight w:val="yellow"/>
              </w:rPr>
            </w:pPr>
            <w:r>
              <w:rPr>
                <w:rFonts w:hint="eastAsia" w:ascii="宋体" w:hAnsi="宋体" w:cs="宋体"/>
                <w:kern w:val="0"/>
                <w:szCs w:val="21"/>
                <w:highlight w:val="none"/>
                <w:lang w:bidi="ar"/>
              </w:rPr>
              <w:t>★</w:t>
            </w:r>
            <w:r>
              <w:rPr>
                <w:rFonts w:hint="eastAsia" w:ascii="宋体" w:hAnsi="宋体" w:cs="宋体"/>
                <w:color w:val="auto"/>
                <w:szCs w:val="21"/>
              </w:rPr>
              <w:t>8、输出功率档位选择功能：≥六档可调；</w:t>
            </w:r>
          </w:p>
          <w:p>
            <w:pPr>
              <w:jc w:val="left"/>
              <w:rPr>
                <w:rFonts w:ascii="宋体" w:hAnsi="宋体" w:cs="宋体"/>
                <w:color w:val="auto"/>
                <w:szCs w:val="21"/>
              </w:rPr>
            </w:pPr>
            <w:r>
              <w:rPr>
                <w:rFonts w:hint="eastAsia" w:ascii="宋体" w:hAnsi="宋体" w:cs="宋体"/>
                <w:kern w:val="0"/>
                <w:szCs w:val="21"/>
                <w:highlight w:val="none"/>
                <w:lang w:bidi="ar"/>
              </w:rPr>
              <w:t>★</w:t>
            </w:r>
            <w:r>
              <w:rPr>
                <w:rFonts w:hint="eastAsia" w:ascii="宋体" w:hAnsi="宋体" w:cs="宋体"/>
                <w:color w:val="auto"/>
                <w:szCs w:val="21"/>
              </w:rPr>
              <w:t>9、标配≥3种不同规格电极板，选配≥1种圆形电极板：</w:t>
            </w:r>
          </w:p>
          <w:p>
            <w:pPr>
              <w:widowControl/>
              <w:jc w:val="left"/>
              <w:textAlignment w:val="center"/>
              <w:rPr>
                <w:rFonts w:ascii="宋体" w:hAnsi="宋体" w:cs="宋体"/>
                <w:color w:val="auto"/>
                <w:szCs w:val="21"/>
                <w:highlight w:val="yellow"/>
              </w:rPr>
            </w:pPr>
            <w:r>
              <w:rPr>
                <w:rFonts w:hint="eastAsia" w:ascii="宋体" w:hAnsi="宋体" w:cs="宋体"/>
                <w:color w:val="auto"/>
                <w:szCs w:val="21"/>
              </w:rPr>
              <w:t>小号电极板尺寸165mm×110mm±5mm，中号电极板尺寸185mm×120mm±5mm，大号电极板尺寸270mm×180mm±5mm，可选配圆形电极板，超短波选配圆形电极尺寸：直径165mm±5mm；</w:t>
            </w:r>
          </w:p>
          <w:p>
            <w:pPr>
              <w:jc w:val="left"/>
              <w:rPr>
                <w:rFonts w:ascii="宋体" w:hAnsi="宋体" w:cs="宋体"/>
                <w:color w:val="auto"/>
                <w:szCs w:val="21"/>
              </w:rPr>
            </w:pPr>
            <w:r>
              <w:rPr>
                <w:rFonts w:hint="eastAsia" w:ascii="宋体" w:hAnsi="宋体" w:cs="宋体"/>
                <w:color w:val="auto"/>
                <w:szCs w:val="21"/>
              </w:rPr>
              <w:t>10、工作状态显示；</w:t>
            </w:r>
          </w:p>
          <w:p>
            <w:pPr>
              <w:jc w:val="left"/>
              <w:rPr>
                <w:rFonts w:ascii="宋体" w:hAnsi="宋体" w:cs="宋体"/>
                <w:color w:val="auto"/>
                <w:szCs w:val="21"/>
              </w:rPr>
            </w:pPr>
            <w:r>
              <w:rPr>
                <w:rFonts w:hint="eastAsia" w:ascii="宋体" w:hAnsi="宋体" w:cs="宋体"/>
                <w:color w:val="auto"/>
                <w:szCs w:val="21"/>
              </w:rPr>
              <w:t>11、治疗结束后，设备发出声音提示，同时停止输出；</w:t>
            </w:r>
          </w:p>
          <w:p>
            <w:pPr>
              <w:jc w:val="left"/>
              <w:rPr>
                <w:rFonts w:ascii="宋体" w:hAnsi="宋体" w:cs="宋体"/>
                <w:color w:val="auto"/>
                <w:szCs w:val="21"/>
              </w:rPr>
            </w:pPr>
            <w:r>
              <w:rPr>
                <w:rFonts w:hint="eastAsia" w:ascii="宋体" w:hAnsi="宋体" w:cs="宋体"/>
                <w:color w:val="auto"/>
                <w:szCs w:val="21"/>
              </w:rPr>
              <w:t>12、输出调谐功能；当功率指示值与当前设定的功率档位不一致时，则点击屏幕上的“自动调谐”，等待进行重新适配；</w:t>
            </w:r>
          </w:p>
          <w:p>
            <w:pPr>
              <w:jc w:val="left"/>
              <w:rPr>
                <w:rFonts w:ascii="宋体" w:hAnsi="宋体" w:cs="宋体"/>
                <w:color w:val="auto"/>
                <w:szCs w:val="21"/>
              </w:rPr>
            </w:pPr>
            <w:r>
              <w:rPr>
                <w:rFonts w:hint="eastAsia" w:ascii="宋体" w:hAnsi="宋体" w:cs="宋体"/>
                <w:color w:val="auto"/>
                <w:szCs w:val="21"/>
              </w:rPr>
              <w:t>13、使用电源：220V、50Hz；</w:t>
            </w:r>
          </w:p>
          <w:p>
            <w:pPr>
              <w:jc w:val="left"/>
              <w:rPr>
                <w:rFonts w:hint="eastAsia" w:ascii="宋体" w:hAnsi="宋体" w:cs="宋体"/>
                <w:color w:val="auto"/>
                <w:szCs w:val="21"/>
              </w:rPr>
            </w:pPr>
            <w:r>
              <w:rPr>
                <w:rFonts w:hint="eastAsia" w:ascii="宋体" w:hAnsi="宋体" w:cs="宋体"/>
                <w:color w:val="auto"/>
                <w:szCs w:val="21"/>
              </w:rPr>
              <w:t>14、采用高频（晶体管一体化设计）模块。</w:t>
            </w:r>
          </w:p>
          <w:p>
            <w:pPr>
              <w:jc w:val="left"/>
              <w:rPr>
                <w:rFonts w:ascii="宋体" w:hAnsi="Calibri" w:cs="宋体"/>
                <w:kern w:val="0"/>
                <w:sz w:val="24"/>
                <w:szCs w:val="21"/>
              </w:rPr>
            </w:pP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ascii="宋体" w:hAnsi="Calibri" w:cs="宋体"/>
                <w:kern w:val="0"/>
                <w:sz w:val="24"/>
                <w:szCs w:val="21"/>
              </w:rPr>
            </w:pPr>
            <w:r>
              <w:rPr>
                <w:rFonts w:hint="eastAsia" w:ascii="宋体" w:hAnsi="宋体" w:cs="宋体"/>
                <w:color w:val="7030A0"/>
                <w:szCs w:val="21"/>
              </w:rPr>
              <w:t>1</w:t>
            </w: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kern w:val="0"/>
                <w:sz w:val="24"/>
              </w:rPr>
            </w:pPr>
            <w:r>
              <w:rPr>
                <w:rFonts w:hint="eastAsia" w:ascii="宋体" w:hAnsi="宋体" w:cs="宋体"/>
                <w:color w:val="7030A0"/>
                <w:szCs w:val="21"/>
              </w:rPr>
              <w:t>台</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7030A0"/>
                <w:kern w:val="0"/>
                <w:sz w:val="21"/>
                <w:szCs w:val="21"/>
                <w:lang w:val="en-US" w:eastAsia="zh-CN" w:bidi="ar"/>
              </w:rPr>
            </w:pPr>
            <w:r>
              <w:rPr>
                <w:rFonts w:hint="eastAsia" w:ascii="宋体" w:hAnsi="宋体" w:cs="宋体"/>
                <w:color w:val="7030A0"/>
                <w:kern w:val="0"/>
                <w:szCs w:val="21"/>
                <w:lang w:val="en-US" w:eastAsia="zh-CN" w:bidi="ar"/>
              </w:rPr>
              <w:t>6</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高频电灼治疗仪</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1、工作频率: 0.3-0.7 MHz±10％；</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2、输出功率：≤25W±20％；</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3、整机功耗： ≤200W；</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4、供电电源： AC220V±10％  50Hz；</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5、熔断器规格：2A；</w:t>
            </w:r>
          </w:p>
          <w:p>
            <w:pPr>
              <w:jc w:val="left"/>
              <w:rPr>
                <w:rFonts w:hint="eastAsia" w:ascii="宋体" w:hAnsi="宋体" w:eastAsia="宋体" w:cs="宋体"/>
                <w:b/>
                <w:color w:val="auto"/>
                <w:kern w:val="0"/>
                <w:sz w:val="21"/>
                <w:szCs w:val="21"/>
                <w:highlight w:val="yellow"/>
                <w:lang w:val="en-US" w:eastAsia="zh-CN" w:bidi="ar"/>
              </w:rPr>
            </w:pPr>
            <w:r>
              <w:rPr>
                <w:rFonts w:hint="eastAsia" w:ascii="宋体" w:hAnsi="宋体" w:eastAsia="宋体" w:cs="宋体"/>
                <w:color w:val="auto"/>
                <w:sz w:val="21"/>
                <w:szCs w:val="21"/>
              </w:rPr>
              <w:t>6、工作条件：室温5℃～40℃，相对湿度 ≤80%， 大气压70KPa～100KPa。</w:t>
            </w: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w:t>
            </w: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r>
      <w:tr>
        <w:tblPrEx>
          <w:tblCellMar>
            <w:top w:w="0" w:type="dxa"/>
            <w:left w:w="108" w:type="dxa"/>
            <w:bottom w:w="0" w:type="dxa"/>
            <w:right w:w="108" w:type="dxa"/>
          </w:tblCellMar>
        </w:tblPrEx>
        <w:trPr>
          <w:trHeight w:val="270" w:hRule="atLeast"/>
        </w:trPr>
        <w:tc>
          <w:tcPr>
            <w:tcW w:w="615"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7030A0"/>
                <w:kern w:val="0"/>
                <w:sz w:val="21"/>
                <w:szCs w:val="21"/>
                <w:lang w:val="en-US" w:eastAsia="zh-CN" w:bidi="ar"/>
              </w:rPr>
            </w:pPr>
            <w:r>
              <w:rPr>
                <w:rFonts w:hint="eastAsia" w:ascii="宋体" w:hAnsi="宋体" w:cs="宋体"/>
                <w:color w:val="7030A0"/>
                <w:kern w:val="0"/>
                <w:szCs w:val="21"/>
                <w:lang w:val="en-US" w:eastAsia="zh-CN" w:bidi="ar"/>
              </w:rPr>
              <w:t>7</w:t>
            </w:r>
          </w:p>
        </w:tc>
        <w:tc>
          <w:tcPr>
            <w:tcW w:w="1276"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大面积频谱治疗仪</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1、尺寸：≥70×38×40cm；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2、额定功率： 450W；</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3、额定电压：220V  ；</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4、时间调节：30-45分钟；</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5、温度调节：50-80°；</w:t>
            </w:r>
          </w:p>
          <w:p>
            <w:pPr>
              <w:jc w:val="left"/>
              <w:rPr>
                <w:rFonts w:hint="eastAsia" w:ascii="宋体" w:hAnsi="宋体" w:eastAsia="宋体" w:cs="宋体"/>
                <w:b/>
                <w:color w:val="auto"/>
                <w:kern w:val="0"/>
                <w:sz w:val="21"/>
                <w:szCs w:val="21"/>
                <w:highlight w:val="yellow"/>
                <w:lang w:val="en-US" w:eastAsia="zh-CN" w:bidi="ar"/>
              </w:rPr>
            </w:pPr>
            <w:r>
              <w:rPr>
                <w:rFonts w:hint="eastAsia" w:ascii="宋体" w:hAnsi="宋体" w:eastAsia="宋体" w:cs="宋体"/>
                <w:color w:val="auto"/>
                <w:sz w:val="21"/>
                <w:szCs w:val="21"/>
              </w:rPr>
              <w:t>6、产品重量：6.05KG。</w:t>
            </w: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w:t>
            </w: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r>
      <w:tr>
        <w:tblPrEx>
          <w:tblCellMar>
            <w:top w:w="0" w:type="dxa"/>
            <w:left w:w="108" w:type="dxa"/>
            <w:bottom w:w="0" w:type="dxa"/>
            <w:right w:w="108" w:type="dxa"/>
          </w:tblCellMar>
        </w:tblPrEx>
        <w:trPr>
          <w:trHeight w:val="387" w:hRule="atLeast"/>
        </w:trPr>
        <w:tc>
          <w:tcPr>
            <w:tcW w:w="10787" w:type="dxa"/>
            <w:gridSpan w:val="5"/>
            <w:tcBorders>
              <w:top w:val="nil"/>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bidi="ar"/>
              </w:rPr>
              <w:t>作业治疗实训室</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可调式沙磨板及附件</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1、尺寸：≥104×84×83cm；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2、沙磨板面积：97×77cm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±２ｃｍ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3、沙磨板角度调节范围0°～50°， 4只附件，每种1只。</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橡筋手指功能训练器</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1、尺寸：≥60×40×50cm；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2、搁手垫尺寸：≥58×24cm；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3、橡筋框尺寸：≥54×40cm。</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上肢协调功能练习器（腕）</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1、尺寸：≥80×20×45cm；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2、训练上肢稳定性、协调性功能，提高上肢的日常活动能力。</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手工类器具</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1、尺寸：≥66×47×16.5㎝；</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2、适用于对触觉、视觉、听觉感官刺激训练感性认知能力，也训练手指与认知的协调一致性。</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重锤式手指肌力训练桌</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1、尺寸：≥81×61×78cm；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2、重锤重量100g，170g，260g。训练桌面最大承载60kg。</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手指阶梯训练架</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1、尺寸（长×宽×高）：≥295mm×120mm×450mm；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2、阶梯台阶距离:22mm；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3、台阶数量10层；</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通过改善手指关节活动范围，训练手指主动运动的灵活性、协调性。</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叩诊锤</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重量≥60g，长度≥17cm，宽带≥6cm。</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2</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日常生活活动类器具</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1、尺寸（长×宽×高）:≥109×98×5cm；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2、改善手指功能，提高手的灵活性、协调性。</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tblPrEx>
          <w:tblCellMar>
            <w:top w:w="0" w:type="dxa"/>
            <w:left w:w="108" w:type="dxa"/>
            <w:bottom w:w="0" w:type="dxa"/>
            <w:right w:w="108" w:type="dxa"/>
          </w:tblCellMar>
        </w:tblPrEx>
        <w:trPr>
          <w:trHeight w:val="387" w:hRule="atLeast"/>
        </w:trPr>
        <w:tc>
          <w:tcPr>
            <w:tcW w:w="10787" w:type="dxa"/>
            <w:gridSpan w:val="5"/>
            <w:tcBorders>
              <w:top w:val="nil"/>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highlight w:val="none"/>
                <w:lang w:val="en-US" w:eastAsia="zh-CN" w:bidi="ar"/>
              </w:rPr>
              <w:t>五、</w:t>
            </w:r>
            <w:r>
              <w:rPr>
                <w:rFonts w:hint="eastAsia" w:ascii="宋体" w:hAnsi="宋体" w:eastAsia="宋体" w:cs="宋体"/>
                <w:b/>
                <w:bCs/>
                <w:color w:val="auto"/>
                <w:kern w:val="0"/>
                <w:sz w:val="21"/>
                <w:szCs w:val="21"/>
                <w:highlight w:val="none"/>
                <w:lang w:bidi="ar"/>
              </w:rPr>
              <w:t>心理治疗产品</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7030A0"/>
                <w:kern w:val="0"/>
                <w:szCs w:val="21"/>
                <w:lang w:val="en-US" w:eastAsia="zh-CN" w:bidi="ar"/>
              </w:rPr>
            </w:pPr>
            <w:r>
              <w:rPr>
                <w:rFonts w:hint="eastAsia" w:ascii="宋体" w:hAnsi="宋体" w:cs="宋体"/>
                <w:color w:val="7030A0"/>
                <w:kern w:val="0"/>
                <w:szCs w:val="21"/>
                <w:lang w:val="en-US" w:eastAsia="zh-CN" w:bidi="ar"/>
              </w:rPr>
              <w:t>1</w:t>
            </w: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VR心理健康一体机</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一、硬件参数</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双手柄交互、6DOF功能现实场景人物走动在虚拟场景中可实时随动定位追踪；符合人体工学设计、4K高清屏幕、低蓝光认证不伤眼；已与VR软件系统同步匹配，可解锁上百项VR软件资源；</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1、光学技术：视场角≥98度；支持物理瞳距调节；TUV低蓝光认证（可开启）；</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2、计算平台：CPU：</w:t>
            </w:r>
            <w:r>
              <w:rPr>
                <w:rFonts w:hint="eastAsia" w:ascii="宋体" w:hAnsi="宋体" w:eastAsia="宋体" w:cs="宋体"/>
                <w:color w:val="auto"/>
                <w:sz w:val="21"/>
                <w:szCs w:val="21"/>
                <w:lang w:val="en-US" w:eastAsia="zh-CN"/>
              </w:rPr>
              <w:t>I3;</w:t>
            </w:r>
            <w:r>
              <w:rPr>
                <w:rFonts w:hint="eastAsia" w:ascii="宋体" w:hAnsi="宋体" w:eastAsia="宋体" w:cs="宋体"/>
                <w:color w:val="auto"/>
                <w:sz w:val="21"/>
                <w:szCs w:val="21"/>
              </w:rPr>
              <w:t>主频 587MHz；运行内存≥6G，本地储存≥128G；支持WIFI\蓝牙功能，安卓运行系统；</w:t>
            </w:r>
            <w:r>
              <w:rPr>
                <w:rFonts w:hint="eastAsia" w:ascii="宋体" w:hAnsi="宋体" w:eastAsia="宋体" w:cs="宋体"/>
                <w:color w:val="auto"/>
                <w:sz w:val="21"/>
                <w:szCs w:val="21"/>
              </w:rPr>
              <w:t>3、显示功能：屏幕：5.5 inch x 1 SFR TFT；分辨率：4K高清屏幕(3664x1920)，PPI：773；刷新率：≥90Hz，已与VR软件匹配；头盔外壳摄像头：鱼眼摄像头≥4个，支持头部6DoF定位；</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4、交互系统：可与VR软件联动的6DoF体感手柄 x 2，支持光学定位，支持线性振动马达；每个手柄机身按键≥7个，共两套手柄不少于14个交互按键；</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二、软件及特点介绍：</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体验者通过VR软件可进入虚拟空间中身临其境学习、体验各类资源，并可在VR资源中完成互动、行走、点击、抓取等6自由度动作；</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5、VR心理系统：</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（1）VR头盔开机后自动进入VR系统，系统可屏蔽与主题无关内容，给体验者一个独立健康的虚拟放松空间；</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（2）主界面为虚拟心理放松室场景，在虚拟心理放松室可自由选择想要体验的VR心理内容；</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（3）主界面带有内容分类、翻页、LOGO显示、产品名称显示、电量剩余显示等功能；</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（4）主界面菜单分类包含心理健康所需五大主题：心理疏导、宣泄解压、应激训练、旅行放松、职业生涯；</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6、VR心理软件提供78类主题VR软件，包含以下分类内容：</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（1）心理疏导：</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心理沙盘训练、冥想漫游、心理疏导、深度疏导、克服社交恐惧、克服高空恐惧、美好人生、专注力训练、心理测评、深度身心训练、眼动训练、预防早恋、克服厌学、亲子关系、克服叛逆、控制孩子玩手机、Texas社交行为调查量表、阿森斯失眠量表(AIS)、工作压力自测问卷、焦虑测评量表（SAS）、精神压力自测问卷、人际关系综合诊断量表、同学关系测验问卷、显性焦虑量表（MAS）、性格倾向测试、自我压力测试量表；</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（2）应激训练：</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克服公众演讲恐惧、克服幽闭恐惧、克服密集恐惧、冰雹、沙尘暴、山体滑坡、雷击、地震逃生、防溺水、暴雨、雪崩、台风；</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（3）宣泄解压：</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宣泄解压馆、游乐园、解压花园、海洋动物、解压运动馆、太阳系、跳伞、刺激过山车、翼装飞行、艺术馆放松、宇宙解压之旅、攀岩、深海解压；</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（4）职业生涯：</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护士、运动员、消防员、宇航员、手艺人、牙医、飞行员、医生、赛车手、画家、办公室职员；</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（5）旅行放松：</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圆明园、阿瑜陀耶、天坛、北海公园、天安门、柬埔寨、北京、意大利、威尼斯、圣彼得堡、莫斯科、澳门、长城、颐和园、泰国、香山；</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7、软件功能及资源：</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克服社交恐惧》：动画场景与动画模型包含：电脑操作台、戴帽子的男性人物、城市场景、超市场景、公交车、公交车司机、前台女性模型、收银台。任务模块包含：路人借手机任务、与司机询问几站下车任务、超市售货员咨询任务、超市陌生人询问任务、克服社交恐惧鼓励系统。</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护士》：三维虚拟动画病房场景中带有静脉留置针、注射器及针头、锐器收集盒、静脉小垫枕、止血带、戴口罩的男性病人、输液架、等功能模型。具备功能：为病人松开止血带、可用手柄将医疗工具抓取到射线上、为病人输液、为病人做室外康复训练、真实医学教学视频与虚拟场景结合、在室内与其他护士做交接班。</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深度身心训练》：室内场景中带有健康作息、抗焦虑、注意力训练、想象放松训练模块。具备健康作息时间表系统、锤子准备击打烦躁不安痛苦烦恼焦虑石头墙、微型游乐场系统、藏不住的情绪系统、方形数字模块训练系统、宇宙场景下文字引导等功能。</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游乐园》：游乐园场景下带有过山车、跳楼机、海盗船、摩天轮、旋转秋千、套圈圈、神枪手、放烟花等功能。具备地图指引功能、切换黑夜功能、售票处功能、正常模式高速模式切换、放烟花、手柄抓取圈圈、手柄抓取手枪、A键退出功能。</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5）《解压花园》：动画小瀑布前有钓鱼功能并可手持鱼竿仿真钓鱼、具备射箭功能并可手持弓弩射击靶心、具备音乐功能并含有放松心情、自然疗愈、安静助眠、打坐冥想等选项、可随时点击按键结束冥想。场景模型包含：山、水、树木、火堆、云朵。</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6）《深度疏导》：包含自我肯定、学习压力、人际关系、情绪管理、克服虚荣心、深呼吸放松训练模块。具备走迷宫、搭建篝火、现实视频与虚拟场景融合、人际关系问卷、如何克服虚荣心引导、我真的很不错系统等功能。</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（7）《专注力训练》：自然虚拟场景中配有测试答题系统、得分计算系统、专注力游戏系统、长按小人跳跃系统、再次测评、方块模型、答题系统（工作学习时，总觉得时间过得太慢）可选择是或不是。</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8）《防溺水》：虚拟场景中带有河流、身穿救生衣男性、泳装小男孩、树木、山坡、木制码头等模型。具备3D模型人物模拟溺水急救功能、心肺复苏系统、背部控水教学、快速检查生命体征教学、清除口腔教学。</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（9）《心理疏导》：粒子宇宙虚拟场景中带有正念、解压、放松、疏导等模块。包含雪地场景、深海鱼群场景、海岸场景、极光星空场景、高山场景并带有重新选择功能。</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（10）以上所有功能内容必须在三维动画与真实场景中结合呈现，并在每个场景中配有手柄与射线功能。</w:t>
            </w: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w:t>
            </w: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套</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7030A0"/>
                <w:kern w:val="0"/>
                <w:szCs w:val="21"/>
                <w:lang w:val="en-US" w:eastAsia="zh-CN" w:bidi="ar"/>
              </w:rPr>
            </w:pPr>
            <w:r>
              <w:rPr>
                <w:rFonts w:hint="eastAsia" w:ascii="宋体" w:hAnsi="宋体" w:cs="宋体"/>
                <w:color w:val="7030A0"/>
                <w:kern w:val="0"/>
                <w:szCs w:val="21"/>
                <w:lang w:val="en-US" w:eastAsia="zh-CN" w:bidi="ar"/>
              </w:rPr>
              <w:t>2</w:t>
            </w: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运动放松宣泄系统</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一、产品配置：</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1、运动单车1台；</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2、55寸显示触摸屏1台；</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3、移动式显示屏支架1套；</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4、运行主机1套；</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5、运动放松宣泄系统1套；</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6、手腕式采集设备1套；</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二、产品硬件：</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1、运动单车：最大负荷 ≤120kg；单车阻力等级 1～5档变化；可分别在水平或垂直方向调节座垫，适应不同人群；同时采用滚轮设计，方便移动设备。皮带传动顺畅无声音；鞍座高低可调；车把任意角度转动，前底管条纹脚套，移动方便；训练评估指导管理系统为一体的运动调适放松系统；系统可以无线数据传输；</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2、55寸显示触摸屏：整机尺寸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996.58MM*585.78MM，画面显示943MM*531MM，分辨率 1920*1080亮度 ≥350cd/m2，屏幕比例 16：9，对比度 4000：1，背光类型 ELED，输入接口 HDMI*≥1 、DP*1（可选）、DVI*1（可选），无信号待机 支持，画面旋转 支持，喇叭 2*8欧 10W，HDCP 支持HDCP2.2，信号源识别 支持自动识别信号源通道；</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3、移动式显示屏支架：支架白色/黑色可选，显示屏专用支架，承重100kg，底部带滚轮，方便移动，支架高度为148cm，宽为：73cm,可调节显示屏高度。、</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4、CPU </w:t>
            </w:r>
            <w:r>
              <w:rPr>
                <w:rFonts w:hint="eastAsia" w:ascii="宋体" w:hAnsi="宋体" w:eastAsia="宋体" w:cs="宋体"/>
                <w:color w:val="auto"/>
                <w:sz w:val="21"/>
                <w:szCs w:val="21"/>
                <w:lang w:val="en-US" w:eastAsia="zh-CN"/>
              </w:rPr>
              <w:t>I</w:t>
            </w:r>
            <w:r>
              <w:rPr>
                <w:rFonts w:hint="eastAsia" w:ascii="宋体" w:hAnsi="宋体" w:eastAsia="宋体" w:cs="宋体"/>
                <w:color w:val="auto"/>
                <w:sz w:val="21"/>
                <w:szCs w:val="21"/>
              </w:rPr>
              <w:t>5 ，主板 H610，内存</w:t>
            </w:r>
            <w:r>
              <w:rPr>
                <w:rFonts w:hint="eastAsia" w:ascii="宋体" w:hAnsi="宋体" w:eastAsia="宋体" w:cs="宋体"/>
                <w:color w:val="auto"/>
                <w:sz w:val="21"/>
                <w:szCs w:val="21"/>
                <w:lang w:val="en-US" w:eastAsia="zh-CN"/>
              </w:rPr>
              <w:t>容量</w:t>
            </w:r>
            <w:r>
              <w:rPr>
                <w:rFonts w:hint="eastAsia" w:ascii="宋体" w:hAnsi="宋体" w:eastAsia="宋体" w:cs="宋体"/>
                <w:color w:val="auto"/>
                <w:sz w:val="21"/>
                <w:szCs w:val="21"/>
              </w:rPr>
              <w:t>16</w:t>
            </w:r>
            <w:r>
              <w:rPr>
                <w:rFonts w:hint="eastAsia" w:ascii="宋体" w:hAnsi="宋体" w:eastAsia="宋体" w:cs="宋体"/>
                <w:color w:val="auto"/>
                <w:sz w:val="21"/>
                <w:szCs w:val="21"/>
                <w:lang w:val="en-US" w:eastAsia="zh-CN"/>
              </w:rPr>
              <w:t>GB</w:t>
            </w:r>
            <w:r>
              <w:rPr>
                <w:rFonts w:hint="eastAsia" w:ascii="宋体" w:hAnsi="宋体" w:eastAsia="宋体" w:cs="宋体"/>
                <w:color w:val="auto"/>
                <w:sz w:val="21"/>
                <w:szCs w:val="21"/>
              </w:rPr>
              <w:t>，硬盘250</w:t>
            </w:r>
            <w:r>
              <w:rPr>
                <w:rFonts w:hint="eastAsia" w:ascii="宋体" w:hAnsi="宋体" w:eastAsia="宋体" w:cs="宋体"/>
                <w:color w:val="auto"/>
                <w:sz w:val="21"/>
                <w:szCs w:val="21"/>
                <w:lang w:val="en-US" w:eastAsia="zh-CN"/>
              </w:rPr>
              <w:t>G,</w:t>
            </w:r>
            <w:r>
              <w:rPr>
                <w:rFonts w:hint="eastAsia" w:ascii="宋体" w:hAnsi="宋体" w:eastAsia="宋体" w:cs="宋体"/>
                <w:color w:val="auto"/>
                <w:sz w:val="21"/>
                <w:szCs w:val="21"/>
              </w:rPr>
              <w:t>额定电源550</w:t>
            </w:r>
            <w:r>
              <w:rPr>
                <w:rFonts w:hint="eastAsia" w:ascii="宋体" w:hAnsi="宋体" w:eastAsia="宋体" w:cs="宋体"/>
                <w:color w:val="auto"/>
                <w:sz w:val="21"/>
                <w:szCs w:val="21"/>
                <w:lang w:val="en-US" w:eastAsia="zh-CN"/>
              </w:rPr>
              <w:t>W</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独立</w:t>
            </w:r>
            <w:r>
              <w:rPr>
                <w:rFonts w:hint="eastAsia" w:ascii="宋体" w:hAnsi="宋体" w:eastAsia="宋体" w:cs="宋体"/>
                <w:color w:val="auto"/>
                <w:sz w:val="21"/>
                <w:szCs w:val="21"/>
              </w:rPr>
              <w:t>显卡</w:t>
            </w:r>
            <w:r>
              <w:rPr>
                <w:rFonts w:hint="eastAsia" w:ascii="宋体" w:hAnsi="宋体" w:eastAsia="宋体" w:cs="宋体"/>
                <w:color w:val="auto"/>
                <w:sz w:val="21"/>
                <w:szCs w:val="21"/>
                <w:lang w:eastAsia="zh-CN"/>
              </w:rPr>
              <w:t>；</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5、产品软件：</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运动放松宣泄系统基于结合运动的方式和呐喊的方式进行宣泄，用户采用单车为载体，通过趣味骑行感受不一样的宣泄方式，系统包含有心理指导，呐喊训练，压力测试，专家预约，数据中心，系统设置以及骑行游戏7大模块，用户通过选择不同的模块放松宣泄减压。</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心理指导：包含有减压训练，音乐放松，心理图片，减压训练不少于开怀一笑，自然美景，冲刺极限以及亲子关系，音乐放松包含有大自然音乐，放松音乐，冥想音乐，五行音乐，阿尔法脑波音乐等，心理图片包含有不可能图形，双关图，错觉图形，催眠图形等内容。</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呐喊训练：呐喊训练包含不少于家庭生活，焦虑抑郁，竞争合作，情绪调节，人际关系，社交恐惧，生活适应，心灵成长8大主题呐喊训练模块，包含不少于男声，女声，机器声3种主题声选择，可实时获取测试时间，姓名，性别，最大分贝，最小分贝，实时分贝，平均分贝，以及呐喊次数。呐喊完毕后，自动生生成呐喊档案报告，管理员可删除，查看报告等，呐喊报告内容至少包含姓名，账号，性别，出生日期，电话，开始时间，结束时间，训练类型等，所有呐喊包含均有导出自行打印；</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6、压力测试：系统内置有自尊量表（SES）,自信心测试，压力知觉量表，责任感测试，自评抑郁量表（SDS），人际交往能力量表，简易心理健康测验量表等，来访者自助测评，测试完成后自动生成测评报告，测评报告内容至少包含有姓名，账号，性别，电话，部门，开始时间以及结束时间以及测试得分和测评结果，所有报告均可导出自行打印；</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7、专家预约：系统可添加本地咨询师，来访者可查看咨询师的基本信息自主选择对应的咨询师进行预约咨询，用户可查看预约时间，预约方式，预约地点，电话，问题等；</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8、数据中心：可查看用户骑行数据档案报告，骑行统计数据，包含有当前骑行体验模块，休闲骑行模块，竞技训练模块的平均速度，最高速度，可查看当前用户的今日总里程和当月总里程柱状图。包含有用户管理模块，可自行修改图像，个人简介，姓名，性别，出生日期，身高，体重，部门，电话以及邮箱等内容，可自行修改密码等操作；</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9、系统设置：管理员可自行修改Logo，单位名称，单位简介，系统声音大小等操作；</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10、骑行游戏：包含有不少于骑行体验，休闲骑行，竞技训练3个模块内容，其中骑行体验不少于：城市道路，神秘巷道，畅行大道，城市边缘，梦幻大道骑行场景，休闲骑行不少于：花海道路，山寨村落，工业道路，废弃工厂，森林道路骑行场景，竞技训练不少于：洞隧道路，草原道路，山路道路，玉林道路，沙漠道路骑行场景；</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11、不少于有公路车，越野车，避震越野车，摩托自行车，山路越野车，山路车，老式车，小轮摩托车，轻型摩托，三轮车等十四类骑行载具供用户选择；</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12、在骑行模块可设置场景时间，至少可设置早晨，中午，下午，晚上4种类型的场景时间；</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13、可切换骑行场景音乐，可单曲循环，随机播放，顺序播放，上一首，下一首，暂停播放等操作；</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14、手腕式采集设备：系统内置龙猫悬浮图标，点击一下可显示当前实时心率，血氧等数据，系统内置的数据需与手腕式采集设备显示的心率，血氧数据相匹配。</w:t>
            </w: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w:t>
            </w:r>
          </w:p>
        </w:tc>
        <w:tc>
          <w:tcPr>
            <w:tcW w:w="735" w:type="dxa"/>
            <w:tcBorders>
              <w:top w:val="nil"/>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套</w:t>
            </w:r>
          </w:p>
        </w:tc>
      </w:tr>
      <w:tr>
        <w:tblPrEx>
          <w:tblCellMar>
            <w:top w:w="0" w:type="dxa"/>
            <w:left w:w="108" w:type="dxa"/>
            <w:bottom w:w="0" w:type="dxa"/>
            <w:right w:w="108" w:type="dxa"/>
          </w:tblCellMar>
        </w:tblPrEx>
        <w:trPr>
          <w:trHeight w:val="387" w:hRule="atLeast"/>
        </w:trPr>
        <w:tc>
          <w:tcPr>
            <w:tcW w:w="10787" w:type="dxa"/>
            <w:gridSpan w:val="5"/>
            <w:tcBorders>
              <w:top w:val="nil"/>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highlight w:val="none"/>
                <w:lang w:val="en-US" w:eastAsia="zh-CN" w:bidi="ar"/>
              </w:rPr>
              <w:t>六、</w:t>
            </w:r>
            <w:r>
              <w:rPr>
                <w:rFonts w:hint="eastAsia" w:ascii="宋体" w:hAnsi="宋体" w:eastAsia="宋体" w:cs="宋体"/>
                <w:b/>
                <w:bCs/>
                <w:color w:val="auto"/>
                <w:kern w:val="0"/>
                <w:sz w:val="21"/>
                <w:szCs w:val="21"/>
                <w:highlight w:val="none"/>
                <w:lang w:bidi="ar"/>
              </w:rPr>
              <w:t>配套设施</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numPr>
                <w:ilvl w:val="0"/>
                <w:numId w:val="2"/>
              </w:numPr>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空调</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1、大2匹变频冷暖挂机；</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2、能效比≥4.88；</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3、能效等级：新能效1级；</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4、制冷量(W):5090；</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5、制热量(W):7290；</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6、制冷功率(W):1240；</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7、制热功率(W):1950+1200；</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8、运行噪音（dB）:室内21-41，室外38-53；</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9、循环风量（m3/h）:1000；</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10、内机尺寸(长*宽*高)mm：≥1140*275*370；</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11、外机尺寸(宽*高*深)mm：≥807（857）*328*555；</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12、质量（kg）:室内机：19，室外机：31；</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13、制冷适用面积（m3）：22~33；</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14、制热适用面积（m3）：24~32；</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15、冷媒：R32；</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16、电源参考规格：220V/50HZ；</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17、质保期：72个月。</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4</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numPr>
                <w:ilvl w:val="0"/>
                <w:numId w:val="2"/>
              </w:numPr>
              <w:spacing w:line="360" w:lineRule="auto"/>
              <w:ind w:left="0" w:leftChars="0" w:firstLine="0" w:firstLineChars="0"/>
              <w:jc w:val="center"/>
              <w:textAlignment w:val="center"/>
              <w:rPr>
                <w:rFonts w:hint="eastAsia" w:ascii="宋体" w:hAnsi="宋体" w:cs="宋体"/>
                <w:color w:val="7030A0"/>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86吋交互智能平板</w:t>
            </w:r>
          </w:p>
        </w:tc>
        <w:tc>
          <w:tcPr>
            <w:tcW w:w="7426" w:type="dxa"/>
            <w:tcBorders>
              <w:top w:val="nil"/>
              <w:left w:val="nil"/>
              <w:bottom w:val="single" w:color="auto" w:sz="4" w:space="0"/>
              <w:right w:val="single" w:color="auto" w:sz="4" w:space="0"/>
            </w:tcBorders>
            <w:noWrap/>
            <w:vAlign w:val="top"/>
          </w:tcPr>
          <w:p>
            <w:pPr>
              <w:numPr>
                <w:ilvl w:val="0"/>
                <w:numId w:val="3"/>
              </w:numPr>
              <w:spacing w:beforeLines="0" w:afterLines="0"/>
              <w:ind w:left="210" w:leftChars="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主屏综合性能</w:t>
            </w:r>
          </w:p>
          <w:p>
            <w:pPr>
              <w:numPr>
                <w:ilvl w:val="0"/>
                <w:numId w:val="0"/>
              </w:numPr>
              <w:spacing w:beforeLines="0" w:afterLine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1.整机采用一体设计，外部无任何可见内部功能模块连接线。边角采用弧形设计，表面无尖锐边缘或凸起。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2.整机屏幕采用≥86英寸液晶显示器；采用超高清LED液晶显示屏，显示比例16:9。</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二、内置电脑模块性能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1.CPU：搭载Intel酷睿8核 12代处理器系列i5或以上，主频≥2.0Hz。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2.内存：8 GB DDR4笔记本内存或以上配置。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3.硬盘：256 GB或以上SSD固态硬盘。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三、音视频系统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1.整机内置2.2声道扬声器，位于设备上边框，顶置朝前发声，前朝向≥10W高音扬声器≥2个，上朝向≥20W中低音扬声器≥2个，额定总功率≥60W。</w:t>
            </w:r>
          </w:p>
          <w:p>
            <w:pPr>
              <w:numPr>
                <w:ilvl w:val="0"/>
                <w:numId w:val="0"/>
              </w:numPr>
              <w:spacing w:beforeLines="0" w:afterLine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四、触控系统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1.整机支持手笔分离，通过提笔即写唤醒批注功能后，可进行手笔分离功能，使用笔正常书写，使用手指可以操作应用，进行点击操作。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2.支持UOS和麒麟等国产操作系统外置电脑操作系统接入时，无需安装触摸驱动。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3.整机触控书写功能集成预测算法，在书写速度≥50cm/s，支持笔迹距离笔的距离小于20mm，书写触控延迟≤25ms。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4.触摸分辨率不低于32768×32768。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5.整机屏幕触摸有效识别高度不超过3mm，即触摸物体距离玻璃外表面高度不超过3mm时，触摸屏识别为点击操作；触摸响应≤4ms；触摸最小识别物≤3mm。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五</w:t>
            </w:r>
            <w:r>
              <w:rPr>
                <w:rFonts w:hint="eastAsia" w:ascii="宋体" w:hAnsi="宋体" w:eastAsia="宋体" w:cs="宋体"/>
                <w:i w:val="0"/>
                <w:iCs w:val="0"/>
                <w:color w:val="000000"/>
                <w:kern w:val="0"/>
                <w:sz w:val="24"/>
                <w:szCs w:val="24"/>
                <w:highlight w:val="none"/>
                <w:u w:val="none"/>
                <w:lang w:val="en-US" w:eastAsia="zh-CN" w:bidi="ar"/>
              </w:rPr>
              <w:t>、教学软件设计</w:t>
            </w:r>
          </w:p>
          <w:p>
            <w:pPr>
              <w:numPr>
                <w:ilvl w:val="0"/>
                <w:numId w:val="0"/>
              </w:num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一</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lang w:val="en-US" w:eastAsia="zh-CN" w:bidi="ar-SA"/>
              </w:rPr>
              <w:t>、教学软件</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1、备授课一体化，具有备课模式及授课模式，且内置的操作界面可根据备课和授课使用场景不同而选择。</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2、备课模式工具栏具备自动根据老师账号中关联的学科不同而提供相对应的教学工具。</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3、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Pr>
                <w:rFonts w:hint="eastAsia" w:ascii="宋体" w:hAnsi="宋体" w:cs="宋体"/>
                <w:color w:val="auto"/>
                <w:kern w:val="2"/>
                <w:sz w:val="21"/>
                <w:szCs w:val="21"/>
                <w:lang w:val="en-US" w:eastAsia="zh-CN" w:bidi="ar-SA"/>
              </w:rPr>
              <w:t>(投标时须提供国家认可的第三方检测机构出具的检测报告复印件须加盖供应商公章）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5、云教案功能：</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（1）云教案分享：云教案内容可自动同步至云空间，支持以链接方式进行定向式分享和开放式分享。接收者可直接在桌面浏览器微信内打开预览，可将运教案转存至个人云空间。</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（2）云教案模板：提供教案模板以供老师撰写教案，预置表格式提纲式集备式多课时式等不少于3个教案模板。</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（3）支持校本教案模板设计，管理员在教研管理后台设置校本模板后，老师可在云教案模板直接调用。</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（4）云教案与云课件可一对多关联绑定，产生绑定后，在课件页和教案页均支持在同一面板打开关联的云课件或云教案预览，便于老师备课时相互对照。</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6、AI智能生成课堂活动：具有课堂活动智能填写功能，支持选词填空判断对错和趣味选择三大课堂活动。输入文本后可以一键解析，自动将文本内容结构化填充至题干和正确选项，完成课堂活动的制作。</w:t>
            </w:r>
            <w:r>
              <w:rPr>
                <w:rFonts w:hint="eastAsia" w:ascii="宋体" w:hAnsi="宋体" w:cs="宋体"/>
                <w:color w:val="auto"/>
                <w:kern w:val="2"/>
                <w:sz w:val="21"/>
                <w:szCs w:val="21"/>
                <w:lang w:val="en-US" w:eastAsia="zh-CN" w:bidi="ar-SA"/>
              </w:rPr>
              <w:t>(投标时须提供国家认可的第三方检测机构出具的检测报告复印件须加盖供应商公章）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7、课堂互动游戏支持云储存功能：编辑完成的活动可一键存储至教师云空间，便于在不同课件中直接调用，无需反复编辑。</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8、课件背景：提供≥10种以上背景模板供用户选择，持自定义背景。</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9、一键开课：教师可一键开课生成课程海报；学生扫描课程海报微信二维码即可加入直播课堂，无需额外安装APP。</w:t>
            </w:r>
            <w:r>
              <w:rPr>
                <w:rFonts w:hint="eastAsia" w:ascii="宋体" w:hAnsi="宋体" w:cs="宋体"/>
                <w:color w:val="auto"/>
                <w:kern w:val="2"/>
                <w:sz w:val="21"/>
                <w:szCs w:val="21"/>
                <w:lang w:val="en-US" w:eastAsia="zh-CN" w:bidi="ar-SA"/>
              </w:rPr>
              <w:t>(投标时须提供国家认可的第三方检测机构出具的检测报告复印件须加盖供应商公章）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10、剪辑重录：支持按照课件页面片段剪辑和重录微课，支持一键上传至云端保存。</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11、课程回放：课程结束后自动生成直播回放，报名课程的学生可反复学习；回放课程自动保存在云端，支持人工删除。</w:t>
            </w:r>
            <w:r>
              <w:rPr>
                <w:rFonts w:hint="eastAsia" w:ascii="宋体" w:hAnsi="宋体" w:cs="宋体"/>
                <w:color w:val="auto"/>
                <w:kern w:val="2"/>
                <w:sz w:val="21"/>
                <w:szCs w:val="21"/>
                <w:lang w:val="en-US" w:eastAsia="zh-CN" w:bidi="ar-SA"/>
              </w:rPr>
              <w:t>(投标时须提供国家认可的第三方检测机构出具的检测报告复印件须加盖供应商公章）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二</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lang w:val="en-US" w:eastAsia="zh-CN" w:bidi="ar-SA"/>
              </w:rPr>
              <w:t>、备授课软件</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1、为教师提供可扩展，易于学校管理，安全可靠的云存储空间，根据每名教师使用时长与教学资料制作频率提供可扩展升级至不小于200G的个人云空间。</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2、须为使用方全体教师配备个人账号，形成一体的信息化教学账号体系；根据教师账号信息将教师云空间匹配至对应学校、学科校本资源库，支持通过数字账号、微信二维码、硬件密钥方式登录教师个人账号。</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3、互动教学课件支持定向精准分享：分享者可将互动课件、课件组精准推送至指定接收方账号云空间，接收方可在云空间接收并打开分享课件；</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4、上传下载一体化云存储：备课时支持将云空间中存储图片、音频、视频、Flash等素材插入课件，同时支持将课件中的图片、音频、视频、Flash、PPT等素材右键上传至云空间。</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5、互动教学课件支持开放式云分享：分享者可将互动课件、课件组以公开或加密的web链接和二维码形式进行分享，分享链接可设置访问有效期。</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6、互动教学课件支持分享至学校校本资源库，学段学科根据教师个人信息自动匹配，分享后课件全校教师可见，并可直接下载使用。校本资源库支持按学科、学段进行快速查找，同时支持关键词精准检索。</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7、接收方通过web链接或二维码的课件分享入口可预览互动课件内容并可触控课件互动元素，并能将互动课件转存至个人云空间，登陆云空间即可接收并打开互动课件。</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8、可在备课平台直接边写教案，教案为云端存储，支持文本、图片、视频、公式的插入。可将教案关联至教师课件，支持课件同时关联多份教案，关联后教师可在备课界面调用查看教案，便于教研工作开展。</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9、支持移动授课，实现公网连接控制课件翻页、播放，支持手机拍照上传、投屏。手机端和电脑端登录同一账号后即可自动连接，拍照上传、控制课件支持公网。</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10、微课功能内置于交互式课件工具中，支持快速录制微课，微课可录制保存音频和课件的互动操作。</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11、录制功能：录制过程中可对课件中的元素进行拖动、克隆、删除等操作，支持在录制过程中进行书写和擦除。</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12、剪辑重录功能：支持按照课件页面片段剪辑和重录微课，支持一键上传至云端保存。</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13、无课件录制：支持教师在空白页面录制微课，支持自主添加不低于100页电子草稿进行讲解。</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14、听课方式：微课录制结束后自动生成分享海报，学生扫码在即可在微信观看，无需下载额外APP使用。</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15、学生观看微课时可进行多种互动，可在控制课件模式下移动、删除克隆课件内的元素，参与课堂活动互动练习。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16、系统后台自动统微课的观看次数，便于教师做教研管理。</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提供互动式教学课件资源，包含学科教育各学段教材版本全部教学章节、专题教育多个主题教育、特殊教育三大分类的不少于100000份的交互式课件。课件支持直接预览并下载，预览时支持拖动课堂活动、形状、几何、文本等元素，下载时课件可同步至教师个人云课件存储空间；课件支持教师在线评分。</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18、提供由专业教师团队打造的集课件、教案、说课为一体的资源包，教师可一键获取到云课件列表直接授课使用，资源包内的教案和说课和课件可相互对照查看。</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提供备课场景中搜索课件库课件资源，涵盖超过10万课件资源，支持整份课件页插入课件中；支持按照教学环节筛选对应课件页一键插入课件中，例如导入新课、作者简介等等按需所取，在查看部分课件的同时支持查看对应整份课件，了解作者整体教学思路，便于教师积木式补充课件缺失部分。</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20、采用备授课一体化框架设计，教师可根据教学场景自由切换类PPT界面的备课模式与触控交互教学模式，适用于教室、办公室等不同教学环境，便于教师教学使用。</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22、互动课件内容的编辑修改无需人为保存即可自动同步至云空间，可根据教师需要调整云空间自动同步的时间间隔，避免教学资源的损坏、遗失。</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23、编辑多份互动课件时，教师可一键将所有处于编辑状态的课件同步到互动课件云空间。</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24、支持PPT的原生解析，教师可将pptx课件转化为互动教学课件，支持单份导入和批量文件夹导入两种格式，保留pptx原文件中的文字、图片、表格等对象及动画的可编辑性，并可为课件增加互动教学元素。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25、集体备课：支持在备课平台创建集体备课活动，老师可以针对课件、教案进行批注和研讨，可多次修改稿件后上传，具备稿件版本对比功能。支持数据统计和访问记录查看。</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26、可自由调节课件画面的显示比例，支持16:9、4:3画面显示比，可适配各类显示设备。</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27、内嵌文字、视频教程。</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28、具备云端静默推送下载功能，无需用户手动下载即可实现应用的在线升级，升级具有信息验证机制，确保教学秩序不受干扰。</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29、具备图形自由创作工具，教师可自由绘制复杂的任意多边图形及曲边图形；教师自主创作的图形可存储至个人云空间便于后续使用。</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30、内置图片处理功能，无需借助专业图片处理软件即可对课件内的图片进行快速抠图，图片主体处理后边缘无明显毛边，且处理后的图片可直接上传至教师云空间供后续复用。</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31、兼容传统课件制作工具的组合快捷按键，支持如加粗（Ctrl+B）、文字居中（Ctrl+E）等教师熟悉的组合按键，鼠标悬停至功能按键时自动提示组合快捷键，内置组合快捷键数量不少于50个。</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32、支持对任意课件元素自定义路径动画，可自由绘制动画移动轨迹使课件元素沿轨迹路径进行移动。</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33、支持对音频、视频文件进行关键帧标记，可在音、视频进度条任意位置自由设置关键帧播放节点，便于快速定位讲解关键教学内容。</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34、具备交互表格功能，课件可自由插入表格，预置不少于5种表格样式，支持边框、底纹设置，自由合并单元格；表格支持自由输入文本，且根据文本内容可一键自动调整行列宽高。</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35、表格通过表格首行首列交接处的按键可一键精准增加行列；具备遮罩功能，表格中任一单元格可添加遮罩掩盖单元格内容，授课模式点击即可取消遮罩，便于教师交互式教学。</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三</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lang w:val="en-US" w:eastAsia="zh-CN" w:bidi="ar-SA"/>
              </w:rPr>
              <w:t>、信息数据管理平台</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1、为学校提供教研全流程管理服务，包含教学目标与计划、教学设计、集体备课、听课评课、班级氛围的流程管理和数据分析。管理者在教学检查中可以掌握以教研组、备课组为单位的教学资源和集体备数据，了解老师的教学备课工作。支持查看各年级和学科的教研组的教学资源覆盖情况和集体备课数据。支持以时间、教材进行数据筛选，推动老师的备课进度。支持查看备课组下成员的课程资源和集体备课数据概览，支持查看每位成员在不同教材章节下的课程资源上传/获取情况和集体备课的研讨情况。支持以时间、老师、教材章节进行数据筛选。支持导出备课组下全部成员的课程资源和集体备课数据。</w:t>
            </w:r>
            <w:r>
              <w:rPr>
                <w:rFonts w:hint="eastAsia" w:ascii="宋体" w:hAnsi="宋体" w:cs="宋体"/>
                <w:color w:val="auto"/>
                <w:kern w:val="2"/>
                <w:sz w:val="21"/>
                <w:szCs w:val="21"/>
                <w:lang w:val="en-US" w:eastAsia="zh-CN" w:bidi="ar-SA"/>
              </w:rPr>
              <w:t>(投标时须提供国家认可的第三方检测机构出具的检测报告复印件须加盖供应商公章）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2、可查看集体备课的开展统计情况及老师参与集体备课的记录。支持以时间、学科进行筛选，支持输入集体备课名称/主备人名称，进行全局搜索。支持查看集体备课名称，主备人、所属学科、年级、参备老师数、稿数、浏览数、评论数、批注数、评论点赞数、集体备课状态和创建时间等数据。管理员可随时查看学校集体备课详情，查看集体备课的详细内容并给予指导评论，同时支持管理员删除集体备课活动和导出集体备课记录数据表格。支持查看以老师维度统计的集体备课记录，查看老师所属学段学科、发起次数、参备次数、评论数、批注数、最近集体备课时间等数据。支持管理员导出教师集体备课记录数据表格。</w:t>
            </w:r>
            <w:r>
              <w:rPr>
                <w:rFonts w:hint="eastAsia" w:ascii="宋体" w:hAnsi="宋体" w:cs="宋体"/>
                <w:color w:val="auto"/>
                <w:kern w:val="2"/>
                <w:sz w:val="21"/>
                <w:szCs w:val="21"/>
                <w:lang w:val="en-US" w:eastAsia="zh-CN" w:bidi="ar-SA"/>
              </w:rPr>
              <w:t>(投标时须提供国家认可的第三方检测机构出具的检测报告复印件须加盖供应商公章）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3、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点击课程详情可以查看评课报告，可以查看该课程的总分和各板块得分，支持导出为PDF文件。支持查看课程下所有老师的评课表，可以批量导出为Word文件。支持查看以教师维度统计的评课记录，查看教师的所属学科，评课节数，点击操作“详情”，可查看该教师详细的评课记录，包括课程名称，授课老师和评课时间，进入详情可查看该教师对该课程的评价记录。支持导出教师评课记录数据表格。支持自定义设置学校专属评课表，系统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w:t>
            </w:r>
            <w:r>
              <w:rPr>
                <w:rFonts w:hint="eastAsia" w:ascii="宋体" w:hAnsi="宋体" w:cs="宋体"/>
                <w:color w:val="auto"/>
                <w:kern w:val="2"/>
                <w:sz w:val="21"/>
                <w:szCs w:val="21"/>
                <w:lang w:val="en-US" w:eastAsia="zh-CN" w:bidi="ar-SA"/>
              </w:rPr>
              <w:t>(投标时须提供国家认可的第三方检测机构出具的检测报告复印件须加盖供应商公章）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5、全校听评课数据统一汇总，数据包含全校本月评课节数，本月评课次数，累计评课节数和累计评课次数，了解听评课教研活动的开展情况。支持按评课人数/评课平均分查看全校排行详细数据。支持对不同评课维度得分进行统计，计算平均分并找出评分薄弱项，同时支持查看全校的课程评价记录和得分详情、教师评价记录，并可一键导出Excel表格。支持导出课程的评课报告为PDF文件，支持批量导出课程下所有老师的评课表为Word文件。</w:t>
            </w:r>
            <w:r>
              <w:rPr>
                <w:rFonts w:hint="eastAsia" w:ascii="宋体" w:hAnsi="宋体" w:cs="宋体"/>
                <w:color w:val="auto"/>
                <w:kern w:val="2"/>
                <w:sz w:val="21"/>
                <w:szCs w:val="21"/>
                <w:lang w:val="en-US" w:eastAsia="zh-CN" w:bidi="ar-SA"/>
              </w:rPr>
              <w:t>(投标时须提供国家认可的第三方检测机构出具的检测报告复印件须加盖供应商公章）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6、支持管理员在教研数字化管理平台后台移动、删除、重命名教师上传至校本库的课件、教案、微课及多媒体等资源。校本资源库提供学科目录模板/教材目录模板，管理者可搭建校本资源目录框架，以文件夹的形式进行分组，进行各年级学科的资源管理。支持以文件夹的维度进行权限设置，设置某个文件夹仅有权限的部门或者老师可见，同时支持按文件夹的维度进行课件的批量移动、删除。支持树形结构目录，进行资源分类及查找，支持全局资源搜索，按年级、学科筛选资源，支持查找资源后定位到当前资源文件夹。支持查看资源文件夹的创建者，资源的上传作者，更新时间、校本容量等数据。校本资源支持在线预览。管理员可对校本资源进行分类移动，删除或重命名，资源目录在编辑的界面支持同级拖拽移动。</w:t>
            </w:r>
            <w:r>
              <w:rPr>
                <w:rFonts w:hint="eastAsia" w:ascii="宋体" w:hAnsi="宋体" w:cs="宋体"/>
                <w:color w:val="auto"/>
                <w:kern w:val="2"/>
                <w:sz w:val="21"/>
                <w:szCs w:val="21"/>
                <w:lang w:val="en-US" w:eastAsia="zh-CN" w:bidi="ar-SA"/>
              </w:rPr>
              <w:t>(投标时须提供国家认可的第三方检测机构出具的检测报告复印件须加盖供应商公章）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六</w:t>
            </w:r>
            <w:r>
              <w:rPr>
                <w:rFonts w:hint="eastAsia" w:ascii="宋体" w:hAnsi="宋体" w:eastAsia="宋体" w:cs="宋体"/>
                <w:color w:val="auto"/>
                <w:kern w:val="2"/>
                <w:sz w:val="21"/>
                <w:szCs w:val="21"/>
                <w:lang w:val="en-US" w:eastAsia="zh-CN" w:bidi="ar-SA"/>
              </w:rPr>
              <w:t>、教师教学空间</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（一）教师个人空间</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1、空间管理：教师可对个人云空间进行管理，支持课件搜索及图片、音视频、文档等的上传，并支持将任意资源分享至校本资源库。</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2、习题管理：支持创建习题，习题类型包括选择题、填空题、解答题，支持批量导入习题。可对习题进行学科、教材版本、章节进行分类，方便后续对习题进行筛选。</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3、资源分享：可对空间中课件等资源进行分享至校本资料夹，也可以加入资源包进行备授课调用。</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4、资源调用：可在空间中直接访问校本库，对校本库的资源进行保存至个人空间进行调用。</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时间胶囊查看：支持在个人空间查看胶囊录制数量、累计时长数据，根据上述数据提供个人领先全校教师总数的百分值。支持根据最新、最多收藏、最多播放顺序查看个人胶囊，支持直接使用名称与作者来搜索胶囊，并提供学段、学科、年级、上传或收藏方式筛选胶囊。</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6、时间胶囊管理：支持对胶囊课程名进行编辑，根据学科学段进行归类，支持对胶囊进行删除。</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时间胶囊播放：支持在胶囊中直接对胶囊中的课件进行控制，包括翻页、跳转至任意指定页、支持画笔、橡皮擦、撤销等工具的调用，方便对课件进行预览学习。支持一键对音频内容进行语音识别，转化为文字，方便对讲解内容深入学习。</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8、时间胶囊分享：支持通过链接分享、手机号分享、微信二维码分享以及上传到校本资源库等方式进行分享。</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（二）资源中心</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1、资源情况：资源中心支持教师调用资源，资源类型包括课件资源、题库资源、多媒体图片视频素材资源等。</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2互动课件资源：资源中心课件支持使用配套备授课工具打开并二次编辑，包含各类特色互动内容。</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3、题库资源：资源中心习题资源不少于200万道题，包含题型种类有单选题、多选题、填空题、应用题等。</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4、多媒体资源：资源中心多媒体资源包含Word、PPT、视频、音频、图片各类型资源。</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5、教材管理：教师可进行教材管理，自由添加、删除教材，教学时可在不同教材间切换，以满足不同学段的教学资源需求。</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6、资源下发：教师可将课件、题库资源加入资源包，进行备课授课或布置学生作业，方便教师在不同教学场景下进行资源调用。</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7、课件预览：支持教师在资源中心课件库中点击所需课件进行预览，并可直接在预览时体验课件交互，包括体验课件动画、学科工具、思维导图、课堂活动等功能。</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8、课件使用：教师选择多份课件并下发到配套备授课工具使用时，可选择新建课件或关联现有课件，关联课件可选择在配套备授课工具的个人云空间中关联调用已有课件。</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9、习题使用：教师可以选择习题插入课件使用。支持在云空间中创建习题，包括选择题、填空题、解答题，支持批量导入习题，将习题分享至校本资源库。</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10、多媒体素材使用：支持教师选择媒体图片视频资源插入课件进行使用。</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2</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numPr>
                <w:ilvl w:val="0"/>
                <w:numId w:val="2"/>
              </w:numPr>
              <w:spacing w:line="360" w:lineRule="auto"/>
              <w:ind w:left="0" w:leftChars="0" w:firstLine="0" w:firstLineChars="0"/>
              <w:jc w:val="center"/>
              <w:textAlignment w:val="center"/>
              <w:rPr>
                <w:rFonts w:hint="eastAsia" w:ascii="宋体" w:hAnsi="宋体" w:cs="宋体"/>
                <w:color w:val="auto"/>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有源音箱</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采用功放与有源音箱一体化设计，内置麦克风无线接收模块，帮助教师实现多媒体扩音以及本地扩声功能。</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输出额定功率≥ 2x15W。</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音箱灵敏度≥85dB，1W/1M。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信噪比≥80dB@额定功率、A计权。</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全频喇叭单元尺寸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≥5英寸。</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THD+N≤1%。</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声频响110Hz-16kHz。</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距离音箱10米处声压级≥75dB。</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具备≥1路电源开关、1路LINE IN、1路USB 接口。USB接口可外接U盘设备对音箱固件进行升级。</w:t>
            </w:r>
          </w:p>
          <w:p>
            <w:pPr>
              <w:spacing w:beforeLines="0" w:afterLines="0"/>
              <w:jc w:val="left"/>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支持无线麦克风扩音接收，采用Wi-Fi射频2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4GHz与 5GHz双频段传输，有效避免环境中运营商U段（700MHz）的信号干扰。</w:t>
            </w:r>
          </w:p>
          <w:p>
            <w:pPr>
              <w:spacing w:beforeLines="0" w:afterLines="0"/>
              <w:jc w:val="left"/>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采用红外对码方式，避免连接到其他教室音箱。可快速完成与教学扩声麦克风对码，无需繁琐操作。</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配置独立音频数字信号处理芯片，支持啸叫抑制功能。</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支持蓝牙无线接收，可分享移动设备上的音频。支持密码模式，防止学生连接。</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支持安卓手机通过蓝牙无线连接音箱，实现控制有源音箱的音量、设置蓝牙名称、设置蓝牙密码等功能，方便教师对音箱的管控。</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支持交互智能平板显示设备通过蓝牙无线连接音箱，实现控制有源音箱的音量的功能。</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主音箱与副音箱采用有线连接，音箱采用木质材质，保证声音还原度</w:t>
            </w:r>
            <w:r>
              <w:rPr>
                <w:rFonts w:hint="eastAsia" w:ascii="宋体" w:hAnsi="宋体" w:eastAsia="宋体" w:cs="宋体"/>
                <w:color w:val="auto"/>
                <w:sz w:val="21"/>
                <w:szCs w:val="21"/>
                <w:lang w:eastAsia="zh-CN"/>
              </w:rPr>
              <w:t>。</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2</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numPr>
                <w:ilvl w:val="0"/>
                <w:numId w:val="2"/>
              </w:numPr>
              <w:spacing w:line="360" w:lineRule="auto"/>
              <w:ind w:left="0" w:leftChars="0" w:firstLine="0" w:firstLineChars="0"/>
              <w:jc w:val="center"/>
              <w:textAlignment w:val="center"/>
              <w:rPr>
                <w:rFonts w:hint="eastAsia" w:ascii="宋体" w:hAnsi="宋体" w:cs="宋体"/>
                <w:color w:val="auto"/>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室内墙面氛围</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墙面及天花修复粉刷，腻子粉刮平、环保乳胶墙面处理，底层一遍，面层两遍。</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400</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numPr>
                <w:ilvl w:val="0"/>
                <w:numId w:val="2"/>
              </w:numPr>
              <w:spacing w:line="360" w:lineRule="auto"/>
              <w:ind w:left="0" w:leftChars="0" w:firstLine="0" w:firstLineChars="0"/>
              <w:jc w:val="center"/>
              <w:textAlignment w:val="center"/>
              <w:rPr>
                <w:rFonts w:hint="eastAsia" w:ascii="宋体" w:hAnsi="宋体" w:cs="宋体"/>
                <w:color w:val="auto"/>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场室文化</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根据实训室现场情况和整体效果要求，定制文化展板， </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1、门牌2块尺寸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50×15cm，1公分PVC+水晶膜；</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2、功能室简介2块60×80cm:亚克力+写真画面；</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3、交化墙制作≥16.6平方:1公分PVC+水晶膜。</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numPr>
                <w:ilvl w:val="0"/>
                <w:numId w:val="2"/>
              </w:numPr>
              <w:spacing w:line="360" w:lineRule="auto"/>
              <w:ind w:left="0" w:leftChars="0" w:firstLine="0" w:firstLineChars="0"/>
              <w:jc w:val="center"/>
              <w:textAlignment w:val="center"/>
              <w:rPr>
                <w:rFonts w:hint="eastAsia" w:ascii="宋体" w:hAnsi="宋体" w:cs="宋体"/>
                <w:color w:val="auto"/>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隔断柜</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规格：W800×D400×H1200cm。</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10</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numPr>
                <w:ilvl w:val="0"/>
                <w:numId w:val="2"/>
              </w:numPr>
              <w:spacing w:line="360" w:lineRule="auto"/>
              <w:ind w:left="0" w:leftChars="0" w:firstLine="0" w:firstLineChars="0"/>
              <w:jc w:val="center"/>
              <w:textAlignment w:val="center"/>
              <w:rPr>
                <w:rFonts w:hint="eastAsia" w:ascii="宋体" w:hAnsi="宋体" w:cs="宋体"/>
                <w:color w:val="auto"/>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器械柜</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1、规格：H180×W85×D39cm；</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2、基材:选用宝钢优质冷轧0.5mm钢钢板；</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3、表层:采用静电粉沫喷塑，带锁。</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6</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numPr>
                <w:ilvl w:val="0"/>
                <w:numId w:val="2"/>
              </w:numPr>
              <w:spacing w:line="360" w:lineRule="auto"/>
              <w:ind w:left="0" w:leftChars="0" w:firstLine="0" w:firstLineChars="0"/>
              <w:jc w:val="center"/>
              <w:textAlignment w:val="center"/>
              <w:rPr>
                <w:rFonts w:hint="eastAsia" w:ascii="宋体" w:hAnsi="宋体" w:cs="宋体"/>
                <w:color w:val="auto"/>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PVC地胶</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1、规格：厚度为3.0mm卷材；</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2、材质：PVC地板胶，无DOP,不含重金属，零甲醛；</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3、铝合金踢脚线。</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144</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r>
      <w:tr>
        <w:tblPrEx>
          <w:tblCellMar>
            <w:top w:w="0" w:type="dxa"/>
            <w:left w:w="108" w:type="dxa"/>
            <w:bottom w:w="0" w:type="dxa"/>
            <w:right w:w="108" w:type="dxa"/>
          </w:tblCellMar>
        </w:tblPrEx>
        <w:trPr>
          <w:trHeight w:val="387" w:hRule="atLeast"/>
        </w:trPr>
        <w:tc>
          <w:tcPr>
            <w:tcW w:w="615" w:type="dxa"/>
            <w:tcBorders>
              <w:top w:val="nil"/>
              <w:left w:val="single" w:color="auto" w:sz="4" w:space="0"/>
              <w:bottom w:val="single" w:color="auto" w:sz="4" w:space="0"/>
              <w:right w:val="single" w:color="auto" w:sz="4" w:space="0"/>
            </w:tcBorders>
            <w:noWrap/>
            <w:vAlign w:val="center"/>
          </w:tcPr>
          <w:p>
            <w:pPr>
              <w:widowControl/>
              <w:numPr>
                <w:ilvl w:val="0"/>
                <w:numId w:val="2"/>
              </w:numPr>
              <w:spacing w:line="360" w:lineRule="auto"/>
              <w:ind w:left="0" w:leftChars="0" w:firstLine="0" w:firstLineChars="0"/>
              <w:jc w:val="center"/>
              <w:textAlignment w:val="center"/>
              <w:rPr>
                <w:rFonts w:hint="eastAsia" w:ascii="宋体" w:hAnsi="宋体" w:cs="宋体"/>
                <w:color w:val="auto"/>
                <w:kern w:val="0"/>
                <w:szCs w:val="21"/>
                <w:lang w:val="en-US" w:eastAsia="zh-CN" w:bidi="ar"/>
              </w:rPr>
            </w:pPr>
          </w:p>
        </w:tc>
        <w:tc>
          <w:tcPr>
            <w:tcW w:w="1276"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窗帘</w:t>
            </w:r>
          </w:p>
        </w:tc>
        <w:tc>
          <w:tcPr>
            <w:tcW w:w="7426" w:type="dxa"/>
            <w:tcBorders>
              <w:top w:val="nil"/>
              <w:left w:val="nil"/>
              <w:bottom w:val="single" w:color="auto" w:sz="4" w:space="0"/>
              <w:right w:val="single" w:color="auto" w:sz="4" w:space="0"/>
            </w:tcBorders>
            <w:noWrap/>
            <w:vAlign w:val="top"/>
          </w:tcPr>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1、面料采用：高环保双面海浪棉麻遮光布；</w:t>
            </w:r>
          </w:p>
          <w:p>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2、挂杆采用：铝合金材质。</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cs="宋体"/>
                <w:color w:val="auto"/>
                <w:szCs w:val="21"/>
                <w:lang w:val="en-US" w:eastAsia="zh-CN"/>
              </w:rPr>
            </w:pPr>
            <w:r>
              <w:rPr>
                <w:rFonts w:hint="eastAsia" w:ascii="宋体" w:hAnsi="宋体" w:eastAsia="宋体" w:cs="宋体"/>
                <w:color w:val="auto"/>
                <w:sz w:val="21"/>
                <w:szCs w:val="21"/>
              </w:rPr>
              <w:t>110</w:t>
            </w:r>
          </w:p>
        </w:tc>
        <w:tc>
          <w:tcPr>
            <w:tcW w:w="735" w:type="dxa"/>
            <w:tcBorders>
              <w:top w:val="nil"/>
              <w:left w:val="nil"/>
              <w:bottom w:val="single" w:color="auto" w:sz="4" w:space="0"/>
              <w:right w:val="single" w:color="auto" w:sz="4" w:space="0"/>
            </w:tcBorders>
            <w:noWrap/>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r>
      <w:tr>
        <w:tblPrEx>
          <w:tblCellMar>
            <w:top w:w="0" w:type="dxa"/>
            <w:left w:w="108" w:type="dxa"/>
            <w:bottom w:w="0" w:type="dxa"/>
            <w:right w:w="108" w:type="dxa"/>
          </w:tblCellMar>
        </w:tblPrEx>
        <w:trPr>
          <w:trHeight w:val="290" w:hRule="atLeast"/>
        </w:trPr>
        <w:tc>
          <w:tcPr>
            <w:tcW w:w="10787"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ind w:firstLine="4305" w:firstLineChars="2050"/>
            </w:pPr>
            <w:r>
              <w:rPr>
                <w:rFonts w:hint="eastAsia"/>
              </w:rPr>
              <w:t>▲商务要求表</w:t>
            </w:r>
          </w:p>
        </w:tc>
      </w:tr>
      <w:tr>
        <w:tblPrEx>
          <w:tblCellMar>
            <w:top w:w="0" w:type="dxa"/>
            <w:left w:w="108" w:type="dxa"/>
            <w:bottom w:w="0" w:type="dxa"/>
            <w:right w:w="108" w:type="dxa"/>
          </w:tblCellMar>
        </w:tblPrEx>
        <w:trPr>
          <w:trHeight w:val="315" w:hRule="atLeast"/>
        </w:trPr>
        <w:tc>
          <w:tcPr>
            <w:tcW w:w="189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rPr>
                <w:highlight w:val="yellow"/>
              </w:rPr>
            </w:pPr>
            <w:r>
              <w:rPr>
                <w:rFonts w:hint="eastAsia"/>
                <w:highlight w:val="none"/>
              </w:rPr>
              <w:t>签订合同日期</w:t>
            </w:r>
          </w:p>
        </w:tc>
        <w:tc>
          <w:tcPr>
            <w:tcW w:w="8896" w:type="dxa"/>
            <w:gridSpan w:val="3"/>
            <w:tcBorders>
              <w:top w:val="single" w:color="auto" w:sz="4" w:space="0"/>
              <w:left w:val="nil"/>
              <w:bottom w:val="single" w:color="auto" w:sz="4" w:space="0"/>
              <w:right w:val="single" w:color="auto" w:sz="4" w:space="0"/>
            </w:tcBorders>
            <w:shd w:val="clear" w:color="auto" w:fill="FFFFFF"/>
            <w:noWrap/>
            <w:vAlign w:val="center"/>
          </w:tcPr>
          <w:p>
            <w:pPr>
              <w:rPr>
                <w:highlight w:val="yellow"/>
              </w:rPr>
            </w:pPr>
            <w:r>
              <w:rPr>
                <w:rFonts w:hint="eastAsia"/>
              </w:rPr>
              <w:t>自中标通知书发出之日起25日内 。</w:t>
            </w:r>
          </w:p>
        </w:tc>
      </w:tr>
      <w:tr>
        <w:tblPrEx>
          <w:tblCellMar>
            <w:top w:w="0" w:type="dxa"/>
            <w:left w:w="108" w:type="dxa"/>
            <w:bottom w:w="0" w:type="dxa"/>
            <w:right w:w="108" w:type="dxa"/>
          </w:tblCellMar>
        </w:tblPrEx>
        <w:trPr>
          <w:trHeight w:val="315" w:hRule="atLeast"/>
        </w:trPr>
        <w:tc>
          <w:tcPr>
            <w:tcW w:w="189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rPr>
                <w:highlight w:val="yellow"/>
              </w:rPr>
            </w:pPr>
            <w:r>
              <w:rPr>
                <w:rFonts w:hint="eastAsia"/>
                <w:highlight w:val="none"/>
              </w:rPr>
              <w:t>质量要求</w:t>
            </w:r>
          </w:p>
        </w:tc>
        <w:tc>
          <w:tcPr>
            <w:tcW w:w="8896" w:type="dxa"/>
            <w:gridSpan w:val="3"/>
            <w:tcBorders>
              <w:top w:val="single" w:color="auto" w:sz="4" w:space="0"/>
              <w:left w:val="nil"/>
              <w:bottom w:val="single" w:color="auto" w:sz="4" w:space="0"/>
              <w:right w:val="single" w:color="auto" w:sz="4" w:space="0"/>
            </w:tcBorders>
            <w:shd w:val="clear" w:color="auto" w:fill="FFFFFF"/>
            <w:noWrap/>
            <w:vAlign w:val="center"/>
          </w:tcPr>
          <w:p>
            <w:r>
              <w:rPr>
                <w:rFonts w:hint="eastAsia"/>
              </w:rPr>
              <w:t>1.质量达到国家验收合格标准。</w:t>
            </w:r>
          </w:p>
          <w:p>
            <w:r>
              <w:rPr>
                <w:rFonts w:hint="eastAsia"/>
              </w:rPr>
              <w:t>2.投标人所提供的货物型号、技术规格、技术参数等质量必须与招投标文件和承诺相一致。</w:t>
            </w:r>
          </w:p>
          <w:p>
            <w:r>
              <w:rPr>
                <w:rFonts w:hint="eastAsia"/>
              </w:rPr>
              <w:t>3.投标人所提供的货物必须是全新、未使用的原装产品，且在正常安装、使用和保养条件下，其使用寿命期内各项指标均达到质量要求。</w:t>
            </w:r>
          </w:p>
          <w:p>
            <w:pPr>
              <w:rPr>
                <w:highlight w:val="yellow"/>
              </w:rPr>
            </w:pPr>
            <w:r>
              <w:rPr>
                <w:rFonts w:hint="eastAsia"/>
              </w:rPr>
              <w:t>4.测试及检验：检验和测试在产品使用地进行；如果任何被检验或测试的产品不能满足采购 要求的，采购人可以拒绝接受该产品，中标人需承担被采购人终止合同的一切风险和费用。</w:t>
            </w:r>
          </w:p>
        </w:tc>
      </w:tr>
      <w:tr>
        <w:tblPrEx>
          <w:tblCellMar>
            <w:top w:w="0" w:type="dxa"/>
            <w:left w:w="108" w:type="dxa"/>
            <w:bottom w:w="0" w:type="dxa"/>
            <w:right w:w="108" w:type="dxa"/>
          </w:tblCellMar>
        </w:tblPrEx>
        <w:trPr>
          <w:trHeight w:val="315" w:hRule="atLeast"/>
        </w:trPr>
        <w:tc>
          <w:tcPr>
            <w:tcW w:w="189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rPr>
                <w:highlight w:val="yellow"/>
              </w:rPr>
            </w:pPr>
            <w:r>
              <w:rPr>
                <w:rFonts w:hint="eastAsia"/>
                <w:highlight w:val="none"/>
              </w:rPr>
              <w:t>交货时间及地点</w:t>
            </w:r>
          </w:p>
        </w:tc>
        <w:tc>
          <w:tcPr>
            <w:tcW w:w="8896" w:type="dxa"/>
            <w:gridSpan w:val="3"/>
            <w:tcBorders>
              <w:top w:val="single" w:color="auto" w:sz="4" w:space="0"/>
              <w:left w:val="nil"/>
              <w:bottom w:val="single" w:color="auto" w:sz="4" w:space="0"/>
              <w:right w:val="single" w:color="auto" w:sz="4" w:space="0"/>
            </w:tcBorders>
            <w:shd w:val="clear" w:color="auto" w:fill="FFFFFF"/>
            <w:noWrap/>
            <w:vAlign w:val="center"/>
          </w:tcPr>
          <w:p>
            <w:r>
              <w:rPr>
                <w:rFonts w:hint="eastAsia"/>
              </w:rPr>
              <w:t>1.交货时间：签订合同后20 个工作日。</w:t>
            </w:r>
          </w:p>
          <w:p>
            <w:r>
              <w:rPr>
                <w:rFonts w:hint="eastAsia"/>
              </w:rPr>
              <w:t>2.交付地点：广西北海市卫生学校，具体安装地点由采购人指定 。</w:t>
            </w:r>
          </w:p>
        </w:tc>
      </w:tr>
      <w:tr>
        <w:tblPrEx>
          <w:tblCellMar>
            <w:top w:w="0" w:type="dxa"/>
            <w:left w:w="108" w:type="dxa"/>
            <w:bottom w:w="0" w:type="dxa"/>
            <w:right w:w="108" w:type="dxa"/>
          </w:tblCellMar>
        </w:tblPrEx>
        <w:trPr>
          <w:trHeight w:val="315" w:hRule="atLeast"/>
        </w:trPr>
        <w:tc>
          <w:tcPr>
            <w:tcW w:w="189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rPr>
                <w:highlight w:val="yellow"/>
              </w:rPr>
            </w:pPr>
            <w:bookmarkStart w:id="53" w:name="_Hlk212019584"/>
            <w:r>
              <w:rPr>
                <w:rFonts w:hint="eastAsia"/>
              </w:rPr>
              <w:t>付款时间和方式</w:t>
            </w:r>
          </w:p>
        </w:tc>
        <w:tc>
          <w:tcPr>
            <w:tcW w:w="8896" w:type="dxa"/>
            <w:gridSpan w:val="3"/>
            <w:tcBorders>
              <w:top w:val="single" w:color="auto" w:sz="4" w:space="0"/>
              <w:left w:val="nil"/>
              <w:bottom w:val="single" w:color="auto" w:sz="4" w:space="0"/>
              <w:right w:val="single" w:color="auto" w:sz="4" w:space="0"/>
            </w:tcBorders>
            <w:shd w:val="clear" w:color="auto" w:fill="FFFFFF"/>
            <w:noWrap/>
            <w:vAlign w:val="center"/>
          </w:tcPr>
          <w:p>
            <w:r>
              <w:rPr>
                <w:rFonts w:hint="eastAsia"/>
              </w:rPr>
              <w:t>自合同签订生效后，采购方向中标供应商支付合同金额的40%预付款，所有设备交货安装完毕，并经采购人验收合格后15个工作日内，由采购方一次性付清剩余的全部价款。</w:t>
            </w:r>
          </w:p>
        </w:tc>
      </w:tr>
      <w:bookmarkEnd w:id="53"/>
      <w:tr>
        <w:tblPrEx>
          <w:tblCellMar>
            <w:top w:w="0" w:type="dxa"/>
            <w:left w:w="108" w:type="dxa"/>
            <w:bottom w:w="0" w:type="dxa"/>
            <w:right w:w="108" w:type="dxa"/>
          </w:tblCellMar>
        </w:tblPrEx>
        <w:trPr>
          <w:trHeight w:val="315" w:hRule="atLeast"/>
        </w:trPr>
        <w:tc>
          <w:tcPr>
            <w:tcW w:w="189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rPr>
                <w:highlight w:val="yellow"/>
              </w:rPr>
            </w:pPr>
            <w:r>
              <w:rPr>
                <w:rFonts w:hint="eastAsia"/>
              </w:rPr>
              <w:t>保修和服务要求</w:t>
            </w:r>
          </w:p>
        </w:tc>
        <w:tc>
          <w:tcPr>
            <w:tcW w:w="8896" w:type="dxa"/>
            <w:gridSpan w:val="3"/>
            <w:tcBorders>
              <w:top w:val="single" w:color="auto" w:sz="4" w:space="0"/>
              <w:left w:val="nil"/>
              <w:bottom w:val="single" w:color="auto" w:sz="4" w:space="0"/>
              <w:right w:val="single" w:color="auto" w:sz="4" w:space="0"/>
            </w:tcBorders>
            <w:shd w:val="clear" w:color="auto" w:fill="FFFFFF"/>
            <w:noWrap/>
            <w:vAlign w:val="center"/>
          </w:tcPr>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1.按国家标准有关规定实行“三包”，质保期三年，自交货并验收合格之日起三年内所有设备免费维护。。</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2.免费送货上门，安装调试。</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3.所有货物必须保证全新原装，否则，采购方有权拒收。</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4.故障响应时间：对采购人的服务通知，中标供应商在接采购人服务通知后24小时内响应，48小时内到达现场量，及时响应，72小时内处理完毕。</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5.为保证服务质服务要求，提供本地化服务。</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全国原品牌自建400电话保修体系（不接受外包）、二维码扫描保修、区域化驻地技术工程师专线保修。</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微信售后报修服务：快速输入相关问题及所在区域进行在线保修，贴心服务人员实时在线提供客服专线报修，更好更快的解决售后故障问题带来的使用不便。</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中标供应商须提供7天*8小时的一年软件故障免费上门服务。</w:t>
            </w:r>
          </w:p>
          <w:p>
            <w:pPr>
              <w:spacing w:beforeLines="0" w:afterLines="0"/>
              <w:jc w:val="left"/>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315" w:hRule="atLeast"/>
        </w:trPr>
        <w:tc>
          <w:tcPr>
            <w:tcW w:w="189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rPr>
                <w:highlight w:val="yellow"/>
              </w:rPr>
            </w:pPr>
            <w:r>
              <w:rPr>
                <w:rFonts w:hint="eastAsia"/>
              </w:rPr>
              <w:t>其他要求</w:t>
            </w:r>
          </w:p>
        </w:tc>
        <w:tc>
          <w:tcPr>
            <w:tcW w:w="8896" w:type="dxa"/>
            <w:gridSpan w:val="3"/>
            <w:tcBorders>
              <w:top w:val="single" w:color="auto" w:sz="4" w:space="0"/>
              <w:left w:val="nil"/>
              <w:bottom w:val="single" w:color="auto" w:sz="4" w:space="0"/>
              <w:right w:val="single" w:color="auto" w:sz="4" w:space="0"/>
            </w:tcBorders>
            <w:shd w:val="clear" w:color="auto" w:fill="FFFFFF"/>
            <w:noWrap/>
            <w:vAlign w:val="center"/>
          </w:tcPr>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为避免投标人虚假响应及弄虚作假行为，投标人在中标后3个自然日内需提供招投标文件中需要提供的相关资料、类似合同业绩等评分资料原件给采购人进行核对复查。如：中标人不能提供原件或提供的原件与投标文件不符的视为虚假响应及弄虚作假，中标人虚假响应，作为废标处理及追究相关法律责任进行处理，由此引发的一切后果由投标人承担全部负责。</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投标产品必须是整套全新且经由正规合法经销渠道的符合国家各项有关质量标准的合格产品。相关部件及服务须满足本表中各项要求。所有设备除满足上表要求的技术参数和配置外，其余均按国家标准及厂家出厂标准配置，若产品在运输过程中损坏须无偿调换同样产品。</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如中标供应商有下列情况之一的，采购人有权拒绝验收和支付款项，并依照相关法规做出处理：</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（1）提供的货物规格、技术标准、材料未达到其投标文件所承诺的，导致无法通过验收交付使用的；</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（2）提供的货物经查证无法得到生产厂家正规售后服务的；</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（3）提供的货物未经正规合法经销渠道的；</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（4）提供的货物侵犯了第三方合法权益而引发了纠纷或诉讼，导致无法按期交付使用的；</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（5）所提交的货物品种、型号、规格、质量等不符合响应文件提供的技术数据经实际验收发现不真实的。</w:t>
            </w:r>
          </w:p>
          <w:p>
            <w:pPr>
              <w:spacing w:beforeLines="0" w:afterLine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（6）发现所提供的产品有弄虚作假的行为的，采购单位有权不予以最终验收并有权单方面终止合同，所造成的后果由成交供应商自行承担。</w:t>
            </w:r>
          </w:p>
          <w:p>
            <w:pPr>
              <w:spacing w:beforeLines="0" w:afterLines="0"/>
              <w:jc w:val="left"/>
              <w:rPr>
                <w:rFonts w:hint="eastAsia" w:ascii="宋体" w:hAnsi="宋体" w:eastAsia="宋体" w:cs="宋体"/>
                <w:color w:val="auto"/>
                <w:kern w:val="2"/>
                <w:sz w:val="21"/>
                <w:szCs w:val="21"/>
                <w:lang w:val="en-US" w:eastAsia="zh-CN" w:bidi="ar-SA"/>
              </w:rPr>
            </w:pPr>
          </w:p>
        </w:tc>
      </w:tr>
      <w:bookmarkEnd w:id="49"/>
      <w:bookmarkEnd w:id="50"/>
    </w:tbl>
    <w:p>
      <w:pPr>
        <w:widowControl/>
        <w:adjustRightInd/>
        <w:jc w:val="left"/>
        <w:rPr>
          <w:rFonts w:ascii="宋体" w:hAnsi="宋体" w:cs="宋体"/>
          <w:bCs/>
          <w:spacing w:val="10"/>
          <w:kern w:val="0"/>
          <w:sz w:val="24"/>
        </w:rPr>
        <w:sectPr>
          <w:pgSz w:w="11906" w:h="16838"/>
          <w:pgMar w:top="1247" w:right="849" w:bottom="1247" w:left="1418" w:header="851" w:footer="992" w:gutter="0"/>
          <w:cols w:space="720" w:num="1"/>
          <w:titlePg/>
          <w:docGrid w:type="lines" w:linePitch="312" w:charSpace="0"/>
        </w:sectPr>
      </w:pPr>
    </w:p>
    <w:p>
      <w:pPr>
        <w:spacing w:line="360" w:lineRule="auto"/>
        <w:jc w:val="center"/>
        <w:outlineLvl w:val="0"/>
        <w:rPr>
          <w:rFonts w:ascii="宋体" w:hAnsi="宋体" w:cs="宋体"/>
          <w:b/>
          <w:sz w:val="36"/>
          <w:szCs w:val="36"/>
        </w:rPr>
      </w:pPr>
      <w:bookmarkStart w:id="54" w:name="_Toc176343851"/>
      <w:bookmarkStart w:id="55" w:name="_Toc176185122"/>
      <w:r>
        <w:rPr>
          <w:rFonts w:hint="eastAsia" w:ascii="宋体" w:hAnsi="宋体" w:cs="宋体"/>
          <w:b/>
          <w:sz w:val="36"/>
          <w:szCs w:val="36"/>
        </w:rPr>
        <w:t xml:space="preserve">第四部分  </w:t>
      </w:r>
      <w:bookmarkStart w:id="56" w:name="_Toc184314482"/>
      <w:bookmarkEnd w:id="56"/>
      <w:bookmarkStart w:id="57" w:name="_Toc184312084"/>
      <w:bookmarkEnd w:id="57"/>
      <w:bookmarkStart w:id="58" w:name="_Toc184314456"/>
      <w:bookmarkEnd w:id="58"/>
      <w:bookmarkStart w:id="59" w:name="_Toc184308090"/>
      <w:bookmarkEnd w:id="59"/>
      <w:bookmarkStart w:id="60" w:name="_Toc184313245"/>
      <w:bookmarkEnd w:id="60"/>
      <w:bookmarkStart w:id="61" w:name="_Toc184308085"/>
      <w:bookmarkEnd w:id="61"/>
      <w:bookmarkStart w:id="62" w:name="_Toc184308056"/>
      <w:bookmarkEnd w:id="62"/>
      <w:bookmarkStart w:id="63" w:name="_Toc184314473"/>
      <w:bookmarkEnd w:id="63"/>
      <w:bookmarkStart w:id="64" w:name="_Toc184310276"/>
      <w:bookmarkEnd w:id="64"/>
      <w:bookmarkStart w:id="65" w:name="_Toc184314435"/>
      <w:bookmarkEnd w:id="65"/>
      <w:bookmarkStart w:id="66" w:name="_Toc184313257"/>
      <w:bookmarkEnd w:id="66"/>
      <w:bookmarkStart w:id="67" w:name="_Toc184310334"/>
      <w:bookmarkEnd w:id="67"/>
      <w:bookmarkStart w:id="68" w:name="_Toc184310273"/>
      <w:bookmarkEnd w:id="68"/>
      <w:bookmarkStart w:id="69" w:name="_Toc184308037"/>
      <w:bookmarkEnd w:id="69"/>
      <w:bookmarkStart w:id="70" w:name="_Toc184314412"/>
      <w:bookmarkEnd w:id="70"/>
      <w:bookmarkStart w:id="71" w:name="_Toc184314419"/>
      <w:bookmarkEnd w:id="71"/>
      <w:bookmarkStart w:id="72" w:name="_Toc184310286"/>
      <w:bookmarkEnd w:id="72"/>
      <w:bookmarkStart w:id="73" w:name="_Toc184310274"/>
      <w:bookmarkEnd w:id="73"/>
      <w:bookmarkStart w:id="74" w:name="_Toc184314479"/>
      <w:bookmarkEnd w:id="74"/>
      <w:bookmarkStart w:id="75" w:name="_Toc184313286"/>
      <w:bookmarkEnd w:id="75"/>
      <w:bookmarkStart w:id="76" w:name="_Toc184310313"/>
      <w:bookmarkEnd w:id="76"/>
      <w:bookmarkStart w:id="77" w:name="_Toc184313296"/>
      <w:bookmarkEnd w:id="77"/>
      <w:bookmarkStart w:id="78" w:name="_Toc184310272"/>
      <w:bookmarkEnd w:id="78"/>
      <w:bookmarkStart w:id="79" w:name="_Toc184308040"/>
      <w:bookmarkEnd w:id="79"/>
      <w:bookmarkStart w:id="80" w:name="_Toc184313303"/>
      <w:bookmarkEnd w:id="80"/>
      <w:bookmarkStart w:id="81" w:name="_Toc184313244"/>
      <w:bookmarkEnd w:id="81"/>
      <w:bookmarkStart w:id="82" w:name="_Toc184312082"/>
      <w:bookmarkEnd w:id="82"/>
      <w:bookmarkStart w:id="83" w:name="_Toc184308106"/>
      <w:bookmarkEnd w:id="83"/>
      <w:bookmarkStart w:id="84" w:name="_Toc184313240"/>
      <w:bookmarkEnd w:id="84"/>
      <w:bookmarkStart w:id="85" w:name="_Toc184312108"/>
      <w:bookmarkEnd w:id="85"/>
      <w:bookmarkStart w:id="86" w:name="_Toc184308070"/>
      <w:bookmarkEnd w:id="86"/>
      <w:bookmarkStart w:id="87" w:name="_Toc184308062"/>
      <w:bookmarkEnd w:id="87"/>
      <w:bookmarkStart w:id="88" w:name="_Toc184313310"/>
      <w:bookmarkEnd w:id="88"/>
      <w:bookmarkStart w:id="89" w:name="_Toc184312120"/>
      <w:bookmarkEnd w:id="89"/>
      <w:bookmarkStart w:id="90" w:name="_Toc184312128"/>
      <w:bookmarkEnd w:id="90"/>
      <w:bookmarkStart w:id="91" w:name="_Toc184314444"/>
      <w:bookmarkEnd w:id="91"/>
      <w:bookmarkStart w:id="92" w:name="_Toc184313308"/>
      <w:bookmarkEnd w:id="92"/>
      <w:bookmarkStart w:id="93" w:name="_Toc184310294"/>
      <w:bookmarkEnd w:id="93"/>
      <w:bookmarkStart w:id="94" w:name="_Toc184308088"/>
      <w:bookmarkEnd w:id="94"/>
      <w:bookmarkStart w:id="95" w:name="_Toc184314470"/>
      <w:bookmarkEnd w:id="95"/>
      <w:bookmarkStart w:id="96" w:name="_Toc184308105"/>
      <w:bookmarkEnd w:id="96"/>
      <w:bookmarkStart w:id="97" w:name="_Toc184310329"/>
      <w:bookmarkEnd w:id="97"/>
      <w:bookmarkStart w:id="98" w:name="_Toc184310331"/>
      <w:bookmarkEnd w:id="98"/>
      <w:bookmarkStart w:id="99" w:name="_Toc184313280"/>
      <w:bookmarkEnd w:id="99"/>
      <w:bookmarkStart w:id="100" w:name="_Toc184310310"/>
      <w:bookmarkEnd w:id="100"/>
      <w:bookmarkStart w:id="101" w:name="_Toc184314458"/>
      <w:bookmarkEnd w:id="101"/>
      <w:bookmarkStart w:id="102" w:name="_Toc184313275"/>
      <w:bookmarkEnd w:id="102"/>
      <w:bookmarkStart w:id="103" w:name="_Toc184310322"/>
      <w:bookmarkEnd w:id="103"/>
      <w:bookmarkStart w:id="104" w:name="_Toc184314434"/>
      <w:bookmarkEnd w:id="104"/>
      <w:bookmarkStart w:id="105" w:name="_Toc184308092"/>
      <w:bookmarkEnd w:id="105"/>
      <w:bookmarkStart w:id="106" w:name="_Toc184313302"/>
      <w:bookmarkEnd w:id="106"/>
      <w:bookmarkStart w:id="107" w:name="_Toc184312135"/>
      <w:bookmarkEnd w:id="107"/>
      <w:bookmarkStart w:id="108" w:name="_Toc184313285"/>
      <w:bookmarkEnd w:id="108"/>
      <w:bookmarkStart w:id="109" w:name="_Toc184313304"/>
      <w:bookmarkEnd w:id="109"/>
      <w:bookmarkStart w:id="110" w:name="_Toc184314464"/>
      <w:bookmarkEnd w:id="110"/>
      <w:bookmarkStart w:id="111" w:name="_Toc184313292"/>
      <w:bookmarkEnd w:id="111"/>
      <w:bookmarkStart w:id="112" w:name="_Toc184314468"/>
      <w:bookmarkEnd w:id="112"/>
      <w:bookmarkStart w:id="113" w:name="_Toc184313309"/>
      <w:bookmarkEnd w:id="113"/>
      <w:bookmarkStart w:id="114" w:name="_Toc184308061"/>
      <w:bookmarkEnd w:id="114"/>
      <w:bookmarkStart w:id="115" w:name="_Toc184308064"/>
      <w:bookmarkEnd w:id="115"/>
      <w:bookmarkStart w:id="116" w:name="_Toc184308077"/>
      <w:bookmarkEnd w:id="116"/>
      <w:bookmarkStart w:id="117" w:name="_Toc184310332"/>
      <w:bookmarkEnd w:id="117"/>
      <w:bookmarkStart w:id="118" w:name="_Toc184308069"/>
      <w:bookmarkEnd w:id="118"/>
      <w:bookmarkStart w:id="119" w:name="_Toc184314451"/>
      <w:bookmarkEnd w:id="119"/>
      <w:bookmarkStart w:id="120" w:name="_Toc184312091"/>
      <w:bookmarkEnd w:id="120"/>
      <w:bookmarkStart w:id="121" w:name="_Toc184312139"/>
      <w:bookmarkEnd w:id="121"/>
      <w:bookmarkStart w:id="122" w:name="_Toc184312118"/>
      <w:bookmarkEnd w:id="122"/>
      <w:bookmarkStart w:id="123" w:name="_Toc184312124"/>
      <w:bookmarkEnd w:id="123"/>
      <w:bookmarkStart w:id="124" w:name="_Toc184314469"/>
      <w:bookmarkEnd w:id="124"/>
      <w:bookmarkStart w:id="125" w:name="_Toc184313246"/>
      <w:bookmarkEnd w:id="125"/>
      <w:bookmarkStart w:id="126" w:name="_Toc184313267"/>
      <w:bookmarkEnd w:id="126"/>
      <w:bookmarkStart w:id="127" w:name="_Toc184314438"/>
      <w:bookmarkEnd w:id="127"/>
      <w:bookmarkStart w:id="128" w:name="_Toc184310275"/>
      <w:bookmarkEnd w:id="128"/>
      <w:bookmarkStart w:id="129" w:name="_Toc184313252"/>
      <w:bookmarkEnd w:id="129"/>
      <w:bookmarkStart w:id="130" w:name="_Toc184308068"/>
      <w:bookmarkEnd w:id="130"/>
      <w:bookmarkStart w:id="131" w:name="_Toc184314427"/>
      <w:bookmarkEnd w:id="131"/>
      <w:bookmarkStart w:id="132" w:name="_Toc184314422"/>
      <w:bookmarkEnd w:id="132"/>
      <w:bookmarkStart w:id="133" w:name="_Toc184308083"/>
      <w:bookmarkEnd w:id="133"/>
      <w:bookmarkStart w:id="134" w:name="_Toc184310281"/>
      <w:bookmarkEnd w:id="134"/>
      <w:bookmarkStart w:id="135" w:name="_Toc184313268"/>
      <w:bookmarkEnd w:id="135"/>
      <w:bookmarkStart w:id="136" w:name="_Toc184312113"/>
      <w:bookmarkEnd w:id="136"/>
      <w:bookmarkStart w:id="137" w:name="_Toc184312071"/>
      <w:bookmarkEnd w:id="137"/>
      <w:bookmarkStart w:id="138" w:name="_Toc184310283"/>
      <w:bookmarkEnd w:id="138"/>
      <w:bookmarkStart w:id="139" w:name="_Toc184310278"/>
      <w:bookmarkEnd w:id="139"/>
      <w:bookmarkStart w:id="140" w:name="_Toc184308094"/>
      <w:bookmarkEnd w:id="140"/>
      <w:bookmarkStart w:id="141" w:name="_Toc184308101"/>
      <w:bookmarkEnd w:id="141"/>
      <w:bookmarkStart w:id="142" w:name="_Toc184310311"/>
      <w:bookmarkEnd w:id="142"/>
      <w:bookmarkStart w:id="143" w:name="_Toc184312134"/>
      <w:bookmarkEnd w:id="143"/>
      <w:bookmarkStart w:id="144" w:name="_Toc184313264"/>
      <w:bookmarkEnd w:id="144"/>
      <w:bookmarkStart w:id="145" w:name="_Toc184310290"/>
      <w:bookmarkEnd w:id="145"/>
      <w:bookmarkStart w:id="146" w:name="_Toc184310343"/>
      <w:bookmarkEnd w:id="146"/>
      <w:bookmarkStart w:id="147" w:name="_Toc184310342"/>
      <w:bookmarkEnd w:id="147"/>
      <w:bookmarkStart w:id="148" w:name="_Toc184310297"/>
      <w:bookmarkEnd w:id="148"/>
      <w:bookmarkStart w:id="149" w:name="_Toc184312067"/>
      <w:bookmarkEnd w:id="149"/>
      <w:bookmarkStart w:id="150" w:name="_Toc184310291"/>
      <w:bookmarkEnd w:id="150"/>
      <w:bookmarkStart w:id="151" w:name="_Toc184313270"/>
      <w:bookmarkEnd w:id="151"/>
      <w:bookmarkStart w:id="152" w:name="_Toc184308093"/>
      <w:bookmarkEnd w:id="152"/>
      <w:bookmarkStart w:id="153" w:name="_Toc184313297"/>
      <w:bookmarkEnd w:id="153"/>
      <w:bookmarkStart w:id="154" w:name="_Toc184313255"/>
      <w:bookmarkEnd w:id="154"/>
      <w:bookmarkStart w:id="155" w:name="_Toc184313272"/>
      <w:bookmarkEnd w:id="155"/>
      <w:bookmarkStart w:id="156" w:name="_Toc184312103"/>
      <w:bookmarkEnd w:id="156"/>
      <w:bookmarkStart w:id="157" w:name="_Toc184308043"/>
      <w:bookmarkEnd w:id="157"/>
      <w:bookmarkStart w:id="158" w:name="_Toc184308086"/>
      <w:bookmarkEnd w:id="158"/>
      <w:bookmarkStart w:id="159" w:name="_Toc184313241"/>
      <w:bookmarkEnd w:id="159"/>
      <w:bookmarkStart w:id="160" w:name="_Toc184312092"/>
      <w:bookmarkEnd w:id="160"/>
      <w:bookmarkStart w:id="161" w:name="_Toc184312132"/>
      <w:bookmarkEnd w:id="161"/>
      <w:bookmarkStart w:id="162" w:name="_Toc184313260"/>
      <w:bookmarkEnd w:id="162"/>
      <w:bookmarkStart w:id="163" w:name="_Toc184308095"/>
      <w:bookmarkEnd w:id="163"/>
      <w:bookmarkStart w:id="164" w:name="_Toc184314447"/>
      <w:bookmarkEnd w:id="164"/>
      <w:bookmarkStart w:id="165" w:name="_Toc184314471"/>
      <w:bookmarkEnd w:id="165"/>
      <w:bookmarkStart w:id="166" w:name="_Toc184314437"/>
      <w:bookmarkEnd w:id="166"/>
      <w:bookmarkStart w:id="167" w:name="_Toc184312102"/>
      <w:bookmarkEnd w:id="167"/>
      <w:bookmarkStart w:id="168" w:name="_Toc184310301"/>
      <w:bookmarkEnd w:id="168"/>
      <w:bookmarkStart w:id="169" w:name="_Toc184308084"/>
      <w:bookmarkEnd w:id="169"/>
      <w:bookmarkStart w:id="170" w:name="_Toc184308038"/>
      <w:bookmarkEnd w:id="170"/>
      <w:bookmarkStart w:id="171" w:name="_Toc184313269"/>
      <w:bookmarkEnd w:id="171"/>
      <w:bookmarkStart w:id="172" w:name="_Toc184314466"/>
      <w:bookmarkEnd w:id="172"/>
      <w:bookmarkStart w:id="173" w:name="_Toc184310289"/>
      <w:bookmarkEnd w:id="173"/>
      <w:bookmarkStart w:id="174" w:name="_Toc184314463"/>
      <w:bookmarkEnd w:id="174"/>
      <w:bookmarkStart w:id="175" w:name="_Toc184314417"/>
      <w:bookmarkEnd w:id="175"/>
      <w:bookmarkStart w:id="176" w:name="_Toc184310293"/>
      <w:bookmarkEnd w:id="176"/>
      <w:bookmarkStart w:id="177" w:name="_Toc184312088"/>
      <w:bookmarkEnd w:id="177"/>
      <w:bookmarkStart w:id="178" w:name="_Toc184308045"/>
      <w:bookmarkEnd w:id="178"/>
      <w:bookmarkStart w:id="179" w:name="_Toc184313254"/>
      <w:bookmarkEnd w:id="179"/>
      <w:bookmarkStart w:id="180" w:name="_Toc184312085"/>
      <w:bookmarkEnd w:id="180"/>
      <w:bookmarkStart w:id="181" w:name="_Toc184312073"/>
      <w:bookmarkEnd w:id="181"/>
      <w:bookmarkStart w:id="182" w:name="_Toc184314450"/>
      <w:bookmarkEnd w:id="182"/>
      <w:bookmarkStart w:id="183" w:name="_Toc184310327"/>
      <w:bookmarkEnd w:id="183"/>
      <w:bookmarkStart w:id="184" w:name="_Toc184314432"/>
      <w:bookmarkEnd w:id="184"/>
      <w:bookmarkStart w:id="185" w:name="_Toc184310314"/>
      <w:bookmarkEnd w:id="185"/>
      <w:bookmarkStart w:id="186" w:name="_Toc184310318"/>
      <w:bookmarkEnd w:id="186"/>
      <w:bookmarkStart w:id="187" w:name="_Toc184308046"/>
      <w:bookmarkEnd w:id="187"/>
      <w:bookmarkStart w:id="188" w:name="_Toc184312121"/>
      <w:bookmarkEnd w:id="188"/>
      <w:bookmarkStart w:id="189" w:name="_Toc184310337"/>
      <w:bookmarkEnd w:id="189"/>
      <w:bookmarkStart w:id="190" w:name="_Toc184308081"/>
      <w:bookmarkEnd w:id="190"/>
      <w:bookmarkStart w:id="191" w:name="_Toc184313238"/>
      <w:bookmarkEnd w:id="191"/>
      <w:bookmarkStart w:id="192" w:name="_Toc184312129"/>
      <w:bookmarkEnd w:id="192"/>
      <w:bookmarkStart w:id="193" w:name="_Toc184313250"/>
      <w:bookmarkEnd w:id="193"/>
      <w:bookmarkStart w:id="194" w:name="_Toc184308057"/>
      <w:bookmarkEnd w:id="194"/>
      <w:bookmarkStart w:id="195" w:name="_Toc184313300"/>
      <w:bookmarkEnd w:id="195"/>
      <w:bookmarkStart w:id="196" w:name="_Toc184314418"/>
      <w:bookmarkEnd w:id="196"/>
      <w:bookmarkStart w:id="197" w:name="_Toc184308108"/>
      <w:bookmarkEnd w:id="197"/>
      <w:bookmarkStart w:id="198" w:name="_Toc184312123"/>
      <w:bookmarkEnd w:id="198"/>
      <w:bookmarkStart w:id="199" w:name="_Toc184310340"/>
      <w:bookmarkEnd w:id="199"/>
      <w:bookmarkStart w:id="200" w:name="_Toc184314453"/>
      <w:bookmarkEnd w:id="200"/>
      <w:bookmarkStart w:id="201" w:name="_Toc184310306"/>
      <w:bookmarkEnd w:id="201"/>
      <w:bookmarkStart w:id="202" w:name="_Toc184312109"/>
      <w:bookmarkEnd w:id="202"/>
      <w:bookmarkStart w:id="203" w:name="_Toc184310317"/>
      <w:bookmarkEnd w:id="203"/>
      <w:bookmarkStart w:id="204" w:name="_Toc184310326"/>
      <w:bookmarkEnd w:id="204"/>
      <w:bookmarkStart w:id="205" w:name="_Toc184312077"/>
      <w:bookmarkEnd w:id="205"/>
      <w:bookmarkStart w:id="206" w:name="_Toc184312086"/>
      <w:bookmarkEnd w:id="206"/>
      <w:bookmarkStart w:id="207" w:name="_Toc184312125"/>
      <w:bookmarkEnd w:id="207"/>
      <w:bookmarkStart w:id="208" w:name="_Toc184313256"/>
      <w:bookmarkEnd w:id="208"/>
      <w:bookmarkStart w:id="209" w:name="_Toc184313242"/>
      <w:bookmarkEnd w:id="209"/>
      <w:bookmarkStart w:id="210" w:name="_Toc184308075"/>
      <w:bookmarkEnd w:id="210"/>
      <w:bookmarkStart w:id="211" w:name="_Toc184314414"/>
      <w:bookmarkEnd w:id="211"/>
      <w:bookmarkStart w:id="212" w:name="_Toc184314423"/>
      <w:bookmarkEnd w:id="212"/>
      <w:bookmarkStart w:id="213" w:name="_Toc184312098"/>
      <w:bookmarkEnd w:id="213"/>
      <w:bookmarkStart w:id="214" w:name="_Toc184310335"/>
      <w:bookmarkEnd w:id="214"/>
      <w:bookmarkStart w:id="215" w:name="_Toc184308066"/>
      <w:bookmarkEnd w:id="215"/>
      <w:bookmarkStart w:id="216" w:name="_Toc184308072"/>
      <w:bookmarkEnd w:id="216"/>
      <w:bookmarkStart w:id="217" w:name="_Toc184314440"/>
      <w:bookmarkEnd w:id="217"/>
      <w:bookmarkStart w:id="218" w:name="_Toc184314428"/>
      <w:bookmarkEnd w:id="218"/>
      <w:bookmarkStart w:id="219" w:name="_Toc184314420"/>
      <w:bookmarkEnd w:id="219"/>
      <w:bookmarkStart w:id="220" w:name="_Toc184313273"/>
      <w:bookmarkEnd w:id="220"/>
      <w:bookmarkStart w:id="221" w:name="_Toc184312099"/>
      <w:bookmarkEnd w:id="221"/>
      <w:bookmarkStart w:id="222" w:name="_Toc184314460"/>
      <w:bookmarkEnd w:id="222"/>
      <w:bookmarkStart w:id="223" w:name="_Toc184314433"/>
      <w:bookmarkEnd w:id="223"/>
      <w:bookmarkStart w:id="224" w:name="_Toc184314474"/>
      <w:bookmarkEnd w:id="224"/>
      <w:bookmarkStart w:id="225" w:name="_Toc184312080"/>
      <w:bookmarkEnd w:id="225"/>
      <w:bookmarkStart w:id="226" w:name="_Toc184313274"/>
      <w:bookmarkEnd w:id="226"/>
      <w:bookmarkStart w:id="227" w:name="_Toc184313282"/>
      <w:bookmarkEnd w:id="227"/>
      <w:bookmarkStart w:id="228" w:name="_Toc184310321"/>
      <w:bookmarkEnd w:id="228"/>
      <w:bookmarkStart w:id="229" w:name="_Toc184312070"/>
      <w:bookmarkEnd w:id="229"/>
      <w:bookmarkStart w:id="230" w:name="_Toc184314439"/>
      <w:bookmarkEnd w:id="230"/>
      <w:bookmarkStart w:id="231" w:name="_Toc184312104"/>
      <w:bookmarkEnd w:id="231"/>
      <w:bookmarkStart w:id="232" w:name="_Toc184308076"/>
      <w:bookmarkEnd w:id="232"/>
      <w:bookmarkStart w:id="233" w:name="_Toc184312074"/>
      <w:bookmarkEnd w:id="233"/>
      <w:bookmarkStart w:id="234" w:name="_Toc184314467"/>
      <w:bookmarkEnd w:id="234"/>
      <w:bookmarkStart w:id="235" w:name="_Toc184312095"/>
      <w:bookmarkEnd w:id="235"/>
      <w:bookmarkStart w:id="236" w:name="_Toc184312105"/>
      <w:bookmarkEnd w:id="236"/>
      <w:bookmarkStart w:id="237" w:name="_Toc184310344"/>
      <w:bookmarkEnd w:id="237"/>
      <w:bookmarkStart w:id="238" w:name="_Toc184313277"/>
      <w:bookmarkEnd w:id="238"/>
      <w:bookmarkStart w:id="239" w:name="_Toc184314416"/>
      <w:bookmarkEnd w:id="239"/>
      <w:bookmarkStart w:id="240" w:name="_Toc184313294"/>
      <w:bookmarkEnd w:id="240"/>
      <w:bookmarkStart w:id="241" w:name="_Toc184308100"/>
      <w:bookmarkEnd w:id="241"/>
      <w:bookmarkStart w:id="242" w:name="_Toc184308055"/>
      <w:bookmarkEnd w:id="242"/>
      <w:bookmarkStart w:id="243" w:name="_Toc184310279"/>
      <w:bookmarkEnd w:id="243"/>
      <w:bookmarkStart w:id="244" w:name="_Toc184313243"/>
      <w:bookmarkEnd w:id="244"/>
      <w:bookmarkStart w:id="245" w:name="_Toc184313263"/>
      <w:bookmarkEnd w:id="245"/>
      <w:bookmarkStart w:id="246" w:name="_Toc184313284"/>
      <w:bookmarkEnd w:id="246"/>
      <w:bookmarkStart w:id="247" w:name="_Toc184310333"/>
      <w:bookmarkEnd w:id="247"/>
      <w:bookmarkStart w:id="248" w:name="_Toc184310295"/>
      <w:bookmarkEnd w:id="248"/>
      <w:bookmarkStart w:id="249" w:name="_Toc184312069"/>
      <w:bookmarkEnd w:id="249"/>
      <w:bookmarkStart w:id="250" w:name="_Toc184312111"/>
      <w:bookmarkEnd w:id="250"/>
      <w:bookmarkStart w:id="251" w:name="_Toc184312114"/>
      <w:bookmarkEnd w:id="251"/>
      <w:bookmarkStart w:id="252" w:name="_Toc184308063"/>
      <w:bookmarkEnd w:id="252"/>
      <w:bookmarkStart w:id="253" w:name="_Toc184314443"/>
      <w:bookmarkEnd w:id="253"/>
      <w:bookmarkStart w:id="254" w:name="_Toc184314477"/>
      <w:bookmarkEnd w:id="254"/>
      <w:bookmarkStart w:id="255" w:name="_Toc184313258"/>
      <w:bookmarkEnd w:id="255"/>
      <w:bookmarkStart w:id="256" w:name="_Toc184310287"/>
      <w:bookmarkEnd w:id="256"/>
      <w:bookmarkStart w:id="257" w:name="_Toc184313295"/>
      <w:bookmarkEnd w:id="257"/>
      <w:bookmarkStart w:id="258" w:name="_Toc184308097"/>
      <w:bookmarkEnd w:id="258"/>
      <w:bookmarkStart w:id="259" w:name="_Toc184308102"/>
      <w:bookmarkEnd w:id="259"/>
      <w:bookmarkStart w:id="260" w:name="_Toc184312127"/>
      <w:bookmarkEnd w:id="260"/>
      <w:bookmarkStart w:id="261" w:name="_Toc184310315"/>
      <w:bookmarkEnd w:id="261"/>
      <w:bookmarkStart w:id="262" w:name="_Toc184314480"/>
      <w:bookmarkEnd w:id="262"/>
      <w:bookmarkStart w:id="263" w:name="_Toc184314430"/>
      <w:bookmarkEnd w:id="263"/>
      <w:bookmarkStart w:id="264" w:name="_Toc184310296"/>
      <w:bookmarkEnd w:id="264"/>
      <w:bookmarkStart w:id="265" w:name="_Toc184308060"/>
      <w:bookmarkEnd w:id="265"/>
      <w:bookmarkStart w:id="266" w:name="_Toc184313289"/>
      <w:bookmarkEnd w:id="266"/>
      <w:bookmarkStart w:id="267" w:name="_Toc184312110"/>
      <w:bookmarkEnd w:id="267"/>
      <w:bookmarkStart w:id="268" w:name="_Toc184310300"/>
      <w:bookmarkEnd w:id="268"/>
      <w:bookmarkStart w:id="269" w:name="_Toc184308044"/>
      <w:bookmarkEnd w:id="269"/>
      <w:bookmarkStart w:id="270" w:name="_Toc184310284"/>
      <w:bookmarkEnd w:id="270"/>
      <w:bookmarkStart w:id="271" w:name="_Toc184308089"/>
      <w:bookmarkEnd w:id="271"/>
      <w:bookmarkStart w:id="272" w:name="_Toc184308041"/>
      <w:bookmarkEnd w:id="272"/>
      <w:bookmarkStart w:id="273" w:name="_Toc184308052"/>
      <w:bookmarkEnd w:id="273"/>
      <w:bookmarkStart w:id="274" w:name="_Toc184308059"/>
      <w:bookmarkEnd w:id="274"/>
      <w:bookmarkStart w:id="275" w:name="_Toc184308039"/>
      <w:bookmarkEnd w:id="275"/>
      <w:bookmarkStart w:id="276" w:name="_Toc184310319"/>
      <w:bookmarkEnd w:id="276"/>
      <w:bookmarkStart w:id="277" w:name="_Toc184314445"/>
      <w:bookmarkEnd w:id="277"/>
      <w:bookmarkStart w:id="278" w:name="_Toc184308079"/>
      <w:bookmarkEnd w:id="278"/>
      <w:bookmarkStart w:id="279" w:name="_Toc184314442"/>
      <w:bookmarkEnd w:id="279"/>
      <w:bookmarkStart w:id="280" w:name="_Toc184310316"/>
      <w:bookmarkEnd w:id="280"/>
      <w:bookmarkStart w:id="281" w:name="_Toc184312138"/>
      <w:bookmarkEnd w:id="281"/>
      <w:bookmarkStart w:id="282" w:name="_Toc184314462"/>
      <w:bookmarkEnd w:id="282"/>
      <w:bookmarkStart w:id="283" w:name="_Toc184312126"/>
      <w:bookmarkEnd w:id="283"/>
      <w:bookmarkStart w:id="284" w:name="_Toc184314411"/>
      <w:bookmarkEnd w:id="284"/>
      <w:bookmarkStart w:id="285" w:name="_Toc184308087"/>
      <w:bookmarkEnd w:id="285"/>
      <w:bookmarkStart w:id="286" w:name="_Toc184312079"/>
      <w:bookmarkEnd w:id="286"/>
      <w:bookmarkStart w:id="287" w:name="_Toc184310277"/>
      <w:bookmarkEnd w:id="287"/>
      <w:bookmarkStart w:id="288" w:name="_Toc184312100"/>
      <w:bookmarkEnd w:id="288"/>
      <w:bookmarkStart w:id="289" w:name="_Toc184310328"/>
      <w:bookmarkEnd w:id="289"/>
      <w:bookmarkStart w:id="290" w:name="_Toc184312115"/>
      <w:bookmarkEnd w:id="290"/>
      <w:bookmarkStart w:id="291" w:name="_Toc184314415"/>
      <w:bookmarkEnd w:id="291"/>
      <w:bookmarkStart w:id="292" w:name="_Toc184308050"/>
      <w:bookmarkEnd w:id="292"/>
      <w:bookmarkStart w:id="293" w:name="_Toc184313239"/>
      <w:bookmarkEnd w:id="293"/>
      <w:bookmarkStart w:id="294" w:name="_Toc184310307"/>
      <w:bookmarkEnd w:id="294"/>
      <w:bookmarkStart w:id="295" w:name="_Toc184313283"/>
      <w:bookmarkEnd w:id="295"/>
      <w:bookmarkStart w:id="296" w:name="_Toc184310339"/>
      <w:bookmarkEnd w:id="296"/>
      <w:bookmarkStart w:id="297" w:name="_Toc184314431"/>
      <w:bookmarkEnd w:id="297"/>
      <w:bookmarkStart w:id="298" w:name="_Toc184313249"/>
      <w:bookmarkEnd w:id="298"/>
      <w:bookmarkStart w:id="299" w:name="_Toc184314426"/>
      <w:bookmarkEnd w:id="299"/>
      <w:bookmarkStart w:id="300" w:name="_Toc184313259"/>
      <w:bookmarkEnd w:id="300"/>
      <w:bookmarkStart w:id="301" w:name="_Toc184308071"/>
      <w:bookmarkEnd w:id="301"/>
      <w:bookmarkStart w:id="302" w:name="_Toc184310285"/>
      <w:bookmarkEnd w:id="302"/>
      <w:bookmarkStart w:id="303" w:name="_Toc184308067"/>
      <w:bookmarkEnd w:id="303"/>
      <w:bookmarkStart w:id="304" w:name="_Toc184312093"/>
      <w:bookmarkEnd w:id="304"/>
      <w:bookmarkStart w:id="305" w:name="_Toc184313307"/>
      <w:bookmarkEnd w:id="305"/>
      <w:bookmarkStart w:id="306" w:name="_Toc184310312"/>
      <w:bookmarkEnd w:id="306"/>
      <w:bookmarkStart w:id="307" w:name="_Toc184308082"/>
      <w:bookmarkEnd w:id="307"/>
      <w:bookmarkStart w:id="308" w:name="_Toc184313305"/>
      <w:bookmarkEnd w:id="308"/>
      <w:bookmarkStart w:id="309" w:name="_Toc184310338"/>
      <w:bookmarkEnd w:id="309"/>
      <w:bookmarkStart w:id="310" w:name="_Toc184313261"/>
      <w:bookmarkEnd w:id="310"/>
      <w:bookmarkStart w:id="311" w:name="_Toc184314446"/>
      <w:bookmarkEnd w:id="311"/>
      <w:bookmarkStart w:id="312" w:name="_Toc184310323"/>
      <w:bookmarkEnd w:id="312"/>
      <w:bookmarkStart w:id="313" w:name="_Toc184310292"/>
      <w:bookmarkEnd w:id="313"/>
      <w:bookmarkStart w:id="314" w:name="_Toc184312101"/>
      <w:bookmarkEnd w:id="314"/>
      <w:bookmarkStart w:id="315" w:name="_Toc184312133"/>
      <w:bookmarkEnd w:id="315"/>
      <w:bookmarkStart w:id="316" w:name="_Toc184313251"/>
      <w:bookmarkEnd w:id="316"/>
      <w:bookmarkStart w:id="317" w:name="_Toc184314465"/>
      <w:bookmarkEnd w:id="317"/>
      <w:bookmarkStart w:id="318" w:name="_Toc184313262"/>
      <w:bookmarkEnd w:id="318"/>
      <w:bookmarkStart w:id="319" w:name="_Toc184312087"/>
      <w:bookmarkEnd w:id="319"/>
      <w:bookmarkStart w:id="320" w:name="_Toc184310325"/>
      <w:bookmarkEnd w:id="320"/>
      <w:bookmarkStart w:id="321" w:name="_Toc184313288"/>
      <w:bookmarkEnd w:id="321"/>
      <w:bookmarkStart w:id="322" w:name="_Toc184308078"/>
      <w:bookmarkEnd w:id="322"/>
      <w:bookmarkStart w:id="323" w:name="_Toc184310280"/>
      <w:bookmarkEnd w:id="323"/>
      <w:bookmarkStart w:id="324" w:name="_Toc184312076"/>
      <w:bookmarkEnd w:id="324"/>
      <w:bookmarkStart w:id="325" w:name="_Toc184308047"/>
      <w:bookmarkEnd w:id="325"/>
      <w:bookmarkStart w:id="326" w:name="_Toc184312116"/>
      <w:bookmarkEnd w:id="326"/>
      <w:bookmarkStart w:id="327" w:name="_Toc184312136"/>
      <w:bookmarkEnd w:id="327"/>
      <w:bookmarkStart w:id="328" w:name="_Toc184312119"/>
      <w:bookmarkEnd w:id="328"/>
      <w:bookmarkStart w:id="329" w:name="_Toc184314476"/>
      <w:bookmarkEnd w:id="329"/>
      <w:bookmarkStart w:id="330" w:name="_Toc184312068"/>
      <w:bookmarkEnd w:id="330"/>
      <w:bookmarkStart w:id="331" w:name="_Toc184313271"/>
      <w:bookmarkEnd w:id="331"/>
      <w:bookmarkStart w:id="332" w:name="_Toc184314475"/>
      <w:bookmarkEnd w:id="332"/>
      <w:bookmarkStart w:id="333" w:name="_Toc184310330"/>
      <w:bookmarkEnd w:id="333"/>
      <w:bookmarkStart w:id="334" w:name="_Toc184308054"/>
      <w:bookmarkEnd w:id="334"/>
      <w:bookmarkStart w:id="335" w:name="_Toc184308099"/>
      <w:bookmarkEnd w:id="335"/>
      <w:bookmarkStart w:id="336" w:name="_Toc184308051"/>
      <w:bookmarkEnd w:id="336"/>
      <w:bookmarkStart w:id="337" w:name="_Toc184310302"/>
      <w:bookmarkEnd w:id="337"/>
      <w:bookmarkStart w:id="338" w:name="_Toc184308091"/>
      <w:bookmarkEnd w:id="338"/>
      <w:bookmarkStart w:id="339" w:name="_Toc184313291"/>
      <w:bookmarkEnd w:id="339"/>
      <w:bookmarkStart w:id="340" w:name="_Toc184314425"/>
      <w:bookmarkEnd w:id="340"/>
      <w:bookmarkStart w:id="341" w:name="_Toc184312131"/>
      <w:bookmarkEnd w:id="341"/>
      <w:bookmarkStart w:id="342" w:name="_Toc184308058"/>
      <w:bookmarkEnd w:id="342"/>
      <w:bookmarkStart w:id="343" w:name="_Toc184314410"/>
      <w:bookmarkEnd w:id="343"/>
      <w:bookmarkStart w:id="344" w:name="_Toc184314455"/>
      <w:bookmarkEnd w:id="344"/>
      <w:bookmarkStart w:id="345" w:name="_Toc184312072"/>
      <w:bookmarkEnd w:id="345"/>
      <w:bookmarkStart w:id="346" w:name="_Toc184314454"/>
      <w:bookmarkEnd w:id="346"/>
      <w:bookmarkStart w:id="347" w:name="_Toc184312106"/>
      <w:bookmarkEnd w:id="347"/>
      <w:bookmarkStart w:id="348" w:name="_Toc184310309"/>
      <w:bookmarkEnd w:id="348"/>
      <w:bookmarkStart w:id="349" w:name="_Toc184314421"/>
      <w:bookmarkEnd w:id="349"/>
      <w:bookmarkStart w:id="350" w:name="_Toc184313253"/>
      <w:bookmarkEnd w:id="350"/>
      <w:bookmarkStart w:id="351" w:name="_Toc184314481"/>
      <w:bookmarkEnd w:id="351"/>
      <w:bookmarkStart w:id="352" w:name="_Toc184314461"/>
      <w:bookmarkEnd w:id="352"/>
      <w:bookmarkStart w:id="353" w:name="_Toc184312112"/>
      <w:bookmarkEnd w:id="353"/>
      <w:bookmarkStart w:id="354" w:name="_Toc184313298"/>
      <w:bookmarkEnd w:id="354"/>
      <w:bookmarkStart w:id="355" w:name="_Toc184313281"/>
      <w:bookmarkEnd w:id="355"/>
      <w:bookmarkStart w:id="356" w:name="_Toc184314424"/>
      <w:bookmarkEnd w:id="356"/>
      <w:bookmarkStart w:id="357" w:name="_Toc184308036"/>
      <w:bookmarkEnd w:id="357"/>
      <w:bookmarkStart w:id="358" w:name="_Toc184308049"/>
      <w:bookmarkEnd w:id="358"/>
      <w:bookmarkStart w:id="359" w:name="_Toc184310324"/>
      <w:bookmarkEnd w:id="359"/>
      <w:bookmarkStart w:id="360" w:name="_Toc184308048"/>
      <w:bookmarkEnd w:id="360"/>
      <w:bookmarkStart w:id="361" w:name="_Toc184313290"/>
      <w:bookmarkEnd w:id="361"/>
      <w:bookmarkStart w:id="362" w:name="_Toc184310336"/>
      <w:bookmarkEnd w:id="362"/>
      <w:bookmarkStart w:id="363" w:name="_Toc184310303"/>
      <w:bookmarkEnd w:id="363"/>
      <w:bookmarkStart w:id="364" w:name="_Toc184312130"/>
      <w:bookmarkEnd w:id="364"/>
      <w:bookmarkStart w:id="365" w:name="_Toc184314413"/>
      <w:bookmarkEnd w:id="365"/>
      <w:bookmarkStart w:id="366" w:name="_Toc184314448"/>
      <w:bookmarkEnd w:id="366"/>
      <w:bookmarkStart w:id="367" w:name="_Toc184313248"/>
      <w:bookmarkEnd w:id="367"/>
      <w:bookmarkStart w:id="368" w:name="_Toc184313306"/>
      <w:bookmarkEnd w:id="368"/>
      <w:bookmarkStart w:id="369" w:name="_Toc184308053"/>
      <w:bookmarkEnd w:id="369"/>
      <w:bookmarkStart w:id="370" w:name="_Toc184310305"/>
      <w:bookmarkEnd w:id="370"/>
      <w:bookmarkStart w:id="371" w:name="_Toc184314452"/>
      <w:bookmarkEnd w:id="371"/>
      <w:bookmarkStart w:id="372" w:name="_Toc184313247"/>
      <w:bookmarkEnd w:id="372"/>
      <w:bookmarkStart w:id="373" w:name="_Toc184310308"/>
      <w:bookmarkEnd w:id="373"/>
      <w:bookmarkStart w:id="374" w:name="_Toc184310288"/>
      <w:bookmarkEnd w:id="374"/>
      <w:bookmarkStart w:id="375" w:name="_Toc184313301"/>
      <w:bookmarkEnd w:id="375"/>
      <w:bookmarkStart w:id="376" w:name="_Toc184308098"/>
      <w:bookmarkEnd w:id="376"/>
      <w:bookmarkStart w:id="377" w:name="_Toc184312137"/>
      <w:bookmarkEnd w:id="377"/>
      <w:bookmarkStart w:id="378" w:name="_Toc184313299"/>
      <w:bookmarkEnd w:id="378"/>
      <w:bookmarkStart w:id="379" w:name="_Toc184312075"/>
      <w:bookmarkEnd w:id="379"/>
      <w:bookmarkStart w:id="380" w:name="_Toc184308074"/>
      <w:bookmarkEnd w:id="380"/>
      <w:bookmarkStart w:id="381" w:name="_Toc184313278"/>
      <w:bookmarkEnd w:id="381"/>
      <w:bookmarkStart w:id="382" w:name="_Toc184314429"/>
      <w:bookmarkEnd w:id="382"/>
      <w:bookmarkStart w:id="383" w:name="_Toc184310298"/>
      <w:bookmarkEnd w:id="383"/>
      <w:bookmarkStart w:id="384" w:name="_Toc184308065"/>
      <w:bookmarkEnd w:id="384"/>
      <w:bookmarkStart w:id="385" w:name="_Toc184308080"/>
      <w:bookmarkEnd w:id="385"/>
      <w:bookmarkStart w:id="386" w:name="_Toc184312089"/>
      <w:bookmarkEnd w:id="386"/>
      <w:bookmarkStart w:id="387" w:name="_Toc184314478"/>
      <w:bookmarkEnd w:id="387"/>
      <w:bookmarkStart w:id="388" w:name="_Toc184312090"/>
      <w:bookmarkEnd w:id="388"/>
      <w:bookmarkStart w:id="389" w:name="_Toc184308096"/>
      <w:bookmarkEnd w:id="389"/>
      <w:bookmarkStart w:id="390" w:name="_Toc184308107"/>
      <w:bookmarkEnd w:id="390"/>
      <w:bookmarkStart w:id="391" w:name="_Toc184314457"/>
      <w:bookmarkEnd w:id="391"/>
      <w:bookmarkStart w:id="392" w:name="_Toc184310282"/>
      <w:bookmarkEnd w:id="392"/>
      <w:bookmarkStart w:id="393" w:name="_Toc184314472"/>
      <w:bookmarkEnd w:id="393"/>
      <w:bookmarkStart w:id="394" w:name="_Toc184314441"/>
      <w:bookmarkEnd w:id="394"/>
      <w:bookmarkStart w:id="395" w:name="_Toc184312078"/>
      <w:bookmarkEnd w:id="395"/>
      <w:bookmarkStart w:id="396" w:name="_Toc184313293"/>
      <w:bookmarkEnd w:id="396"/>
      <w:bookmarkStart w:id="397" w:name="_Toc184313276"/>
      <w:bookmarkEnd w:id="397"/>
      <w:bookmarkStart w:id="398" w:name="_Toc184314436"/>
      <w:bookmarkEnd w:id="398"/>
      <w:bookmarkStart w:id="399" w:name="_Toc184308073"/>
      <w:bookmarkEnd w:id="399"/>
      <w:bookmarkStart w:id="400" w:name="_Toc184310304"/>
      <w:bookmarkEnd w:id="400"/>
      <w:bookmarkStart w:id="401" w:name="_Toc184308104"/>
      <w:bookmarkEnd w:id="401"/>
      <w:bookmarkStart w:id="402" w:name="_Toc184314459"/>
      <w:bookmarkEnd w:id="402"/>
      <w:bookmarkStart w:id="403" w:name="_Toc184313265"/>
      <w:bookmarkEnd w:id="403"/>
      <w:bookmarkStart w:id="404" w:name="_Toc184313279"/>
      <w:bookmarkEnd w:id="404"/>
      <w:bookmarkStart w:id="405" w:name="_Toc184312107"/>
      <w:bookmarkEnd w:id="405"/>
      <w:bookmarkStart w:id="406" w:name="_Toc184312083"/>
      <w:bookmarkEnd w:id="406"/>
      <w:bookmarkStart w:id="407" w:name="_Toc184312094"/>
      <w:bookmarkEnd w:id="407"/>
      <w:bookmarkStart w:id="408" w:name="_Toc184314449"/>
      <w:bookmarkEnd w:id="408"/>
      <w:bookmarkStart w:id="409" w:name="_Toc184312096"/>
      <w:bookmarkEnd w:id="409"/>
      <w:bookmarkStart w:id="410" w:name="_Toc184312117"/>
      <w:bookmarkEnd w:id="410"/>
      <w:bookmarkStart w:id="411" w:name="_Toc184313287"/>
      <w:bookmarkEnd w:id="411"/>
      <w:bookmarkStart w:id="412" w:name="_Toc184312097"/>
      <w:bookmarkEnd w:id="412"/>
      <w:bookmarkStart w:id="413" w:name="_Toc184313266"/>
      <w:bookmarkEnd w:id="413"/>
      <w:bookmarkStart w:id="414" w:name="_Toc184312122"/>
      <w:bookmarkEnd w:id="414"/>
      <w:bookmarkStart w:id="415" w:name="_Toc184308103"/>
      <w:bookmarkEnd w:id="415"/>
      <w:bookmarkStart w:id="416" w:name="_Toc184310320"/>
      <w:bookmarkEnd w:id="416"/>
      <w:bookmarkStart w:id="417" w:name="_Toc184310341"/>
      <w:bookmarkEnd w:id="417"/>
      <w:bookmarkStart w:id="418" w:name="_Toc184310299"/>
      <w:bookmarkEnd w:id="418"/>
      <w:bookmarkStart w:id="419" w:name="_Toc184308042"/>
      <w:bookmarkEnd w:id="419"/>
      <w:bookmarkStart w:id="420" w:name="_Toc184312081"/>
      <w:bookmarkEnd w:id="420"/>
      <w:r>
        <w:rPr>
          <w:rFonts w:hint="eastAsia" w:ascii="宋体" w:hAnsi="宋体" w:cs="宋体"/>
          <w:b/>
          <w:sz w:val="36"/>
          <w:szCs w:val="36"/>
        </w:rPr>
        <w:t>评标办法</w:t>
      </w:r>
      <w:bookmarkEnd w:id="54"/>
      <w:bookmarkEnd w:id="55"/>
    </w:p>
    <w:p>
      <w:pPr>
        <w:snapToGrid w:val="0"/>
        <w:spacing w:line="360" w:lineRule="auto"/>
        <w:jc w:val="center"/>
        <w:outlineLvl w:val="1"/>
        <w:rPr>
          <w:rFonts w:ascii="宋体" w:hAnsi="宋体" w:cs="宋体"/>
          <w:b/>
          <w:sz w:val="32"/>
          <w:szCs w:val="20"/>
        </w:rPr>
      </w:pPr>
    </w:p>
    <w:p>
      <w:pPr>
        <w:tabs>
          <w:tab w:val="left" w:pos="0"/>
        </w:tabs>
        <w:adjustRightInd/>
        <w:spacing w:line="360" w:lineRule="auto"/>
        <w:ind w:firstLine="480"/>
        <w:rPr>
          <w:rFonts w:ascii="宋体" w:hAnsi="宋体" w:cs="宋体"/>
          <w:kern w:val="0"/>
          <w:sz w:val="24"/>
        </w:rPr>
      </w:pPr>
      <w:r>
        <w:rPr>
          <w:rFonts w:hint="eastAsia" w:ascii="宋体" w:hAnsi="宋体" w:cs="宋体"/>
          <w:kern w:val="0"/>
          <w:sz w:val="24"/>
        </w:rPr>
        <w:t>1.价格分……………………………………………………………30分</w:t>
      </w:r>
    </w:p>
    <w:p>
      <w:pPr>
        <w:snapToGrid w:val="0"/>
        <w:spacing w:line="400" w:lineRule="exact"/>
        <w:ind w:firstLine="480" w:firstLineChars="200"/>
        <w:jc w:val="left"/>
        <w:rPr>
          <w:rFonts w:ascii="宋体" w:hAnsi="宋体" w:cs="宋体"/>
          <w:kern w:val="0"/>
          <w:sz w:val="24"/>
        </w:rPr>
      </w:pPr>
      <w:r>
        <w:rPr>
          <w:rFonts w:hint="eastAsia" w:ascii="宋体" w:hAnsi="宋体" w:cs="宋体"/>
          <w:kern w:val="0"/>
          <w:sz w:val="24"/>
        </w:rPr>
        <w:t>（1）满足招标文件要求且评标报价最低的评标报价为评标基准价，基准价报价得分为30分；</w:t>
      </w:r>
    </w:p>
    <w:p>
      <w:pPr>
        <w:snapToGrid w:val="0"/>
        <w:spacing w:line="400" w:lineRule="exact"/>
        <w:ind w:firstLine="480" w:firstLineChars="20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）价格分计算公式：</w:t>
      </w:r>
    </w:p>
    <w:p>
      <w:pPr>
        <w:snapToGrid w:val="0"/>
        <w:spacing w:line="400" w:lineRule="exact"/>
        <w:ind w:firstLine="480" w:firstLineChars="200"/>
        <w:jc w:val="left"/>
        <w:rPr>
          <w:rFonts w:ascii="宋体" w:hAnsi="宋体" w:cs="宋体"/>
          <w:kern w:val="0"/>
          <w:sz w:val="24"/>
        </w:rPr>
      </w:pPr>
      <w:r>
        <w:rPr>
          <w:rFonts w:hint="eastAsia" w:ascii="宋体" w:hAnsi="宋体" w:cs="宋体"/>
          <w:kern w:val="0"/>
          <w:sz w:val="24"/>
        </w:rPr>
        <w:t>某投标人价格分 = 投标人最低评标价（金额）/某投标人评标价（金额）×30分</w:t>
      </w:r>
    </w:p>
    <w:p>
      <w:pPr>
        <w:snapToGrid w:val="0"/>
        <w:spacing w:line="400" w:lineRule="exact"/>
        <w:ind w:firstLine="480" w:firstLineChars="20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）报价要求</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t>根据《北海市财政局关于开展推动解决政府采购异常低价问题试点工作的通知》北财采〔2025〕25 号要求，政府采购评审中出现下列情形之一的，评审委员会应当启动异常低价投标（响应）审查程序</w:t>
      </w:r>
      <w:r>
        <w:rPr>
          <w:rFonts w:hint="eastAsia" w:ascii="宋体" w:hAnsi="宋体" w:cs="宋体"/>
          <w:kern w:val="0"/>
          <w:sz w:val="24"/>
          <w:lang w:eastAsia="zh-CN"/>
        </w:rPr>
        <w:t>，</w:t>
      </w:r>
      <w:r>
        <w:rPr>
          <w:rFonts w:hint="eastAsia" w:ascii="宋体" w:hAnsi="宋体" w:cs="宋体"/>
          <w:kern w:val="0"/>
          <w:sz w:val="24"/>
        </w:rPr>
        <w:t>应当要求其在评标现场合理的时间内提供书面说明，必要时提交相关证明材料；投标人不能证明其报价合理性的，评标委员会应当将其作为无效投标处理:</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t>（1）投标（响应）报价低于全部通过符合性审查供应商投标（响应）报价平均值 50%的，即投标（响应）报价&lt;全部通过符合性审查供应商投标（响应）报价平均值×50%；</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t>（2）投标（响应）报价低于通过符合性审查且报价次低供应商投标（响应）报价 50%的，即投标（响应）报价&lt;通过符合性审查且报价次低供应商投标（响应）报价×50%；</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t>（3）投标（响应）报价低于采购项目最高限价 45%的，即投标（响应）报价&lt;采购项目最高限价×45%；</w:t>
      </w:r>
    </w:p>
    <w:p>
      <w:pPr>
        <w:tabs>
          <w:tab w:val="left" w:pos="0"/>
          <w:tab w:val="left" w:pos="312"/>
        </w:tabs>
        <w:adjustRightInd/>
        <w:spacing w:line="360" w:lineRule="auto"/>
        <w:ind w:left="480"/>
        <w:rPr>
          <w:rFonts w:ascii="宋体" w:hAnsi="宋体" w:cs="宋体"/>
          <w:kern w:val="0"/>
          <w:sz w:val="24"/>
        </w:rPr>
      </w:pPr>
      <w:r>
        <w:rPr>
          <w:rFonts w:hint="eastAsia" w:ascii="宋体" w:hAnsi="宋体" w:cs="宋体"/>
          <w:kern w:val="0"/>
          <w:sz w:val="24"/>
        </w:rPr>
        <w:t>（4）其他评审委员会认为供应商报价过低，有可能影响产品质量或者不能诚信履约的情形。</w:t>
      </w:r>
    </w:p>
    <w:p>
      <w:pPr>
        <w:spacing w:line="400" w:lineRule="exact"/>
        <w:ind w:firstLine="480" w:firstLineChars="200"/>
        <w:textAlignment w:val="baseline"/>
        <w:rPr>
          <w:rFonts w:ascii="宋体" w:hAnsi="宋体" w:cs="宋体"/>
          <w:kern w:val="0"/>
          <w:sz w:val="24"/>
        </w:rPr>
      </w:pPr>
      <w:bookmarkStart w:id="421" w:name="OLE_LINK11"/>
      <w:bookmarkStart w:id="422" w:name="OLE_LINK10"/>
      <w:r>
        <w:rPr>
          <w:rFonts w:hint="eastAsia" w:ascii="宋体" w:hAnsi="宋体" w:cs="宋体"/>
          <w:kern w:val="0"/>
          <w:sz w:val="24"/>
        </w:rPr>
        <w:t>2.</w:t>
      </w:r>
      <w:r>
        <w:rPr>
          <w:rFonts w:ascii="宋体" w:hAnsi="宋体" w:cs="宋体"/>
          <w:kern w:val="0"/>
          <w:sz w:val="24"/>
        </w:rPr>
        <w:t>技术性能分</w:t>
      </w:r>
      <w:r>
        <w:rPr>
          <w:rFonts w:hint="eastAsia" w:ascii="宋体" w:hAnsi="宋体" w:cs="宋体"/>
          <w:kern w:val="0"/>
          <w:sz w:val="24"/>
        </w:rPr>
        <w:t>………………………………2</w:t>
      </w:r>
      <w:r>
        <w:rPr>
          <w:rFonts w:hint="eastAsia" w:ascii="宋体" w:hAnsi="宋体" w:cs="宋体"/>
          <w:kern w:val="0"/>
          <w:sz w:val="24"/>
          <w:lang w:val="en-US" w:eastAsia="zh-CN"/>
        </w:rPr>
        <w:t>4</w:t>
      </w:r>
      <w:r>
        <w:rPr>
          <w:rFonts w:hint="eastAsia" w:ascii="宋体" w:hAnsi="宋体" w:cs="宋体"/>
          <w:kern w:val="0"/>
          <w:sz w:val="24"/>
        </w:rPr>
        <w:t>分</w:t>
      </w:r>
    </w:p>
    <w:p>
      <w:pPr>
        <w:spacing w:line="400" w:lineRule="exact"/>
        <w:ind w:firstLine="480" w:firstLineChars="200"/>
        <w:textAlignment w:val="baseline"/>
        <w:rPr>
          <w:rFonts w:ascii="宋体" w:hAnsi="宋体" w:cs="宋体"/>
          <w:b/>
          <w:kern w:val="0"/>
          <w:sz w:val="24"/>
          <w:highlight w:val="none"/>
        </w:rPr>
      </w:pPr>
      <w:r>
        <w:rPr>
          <w:rFonts w:hint="eastAsia" w:ascii="宋体" w:hAnsi="宋体" w:cs="宋体"/>
          <w:b w:val="0"/>
          <w:bCs w:val="0"/>
          <w:kern w:val="0"/>
          <w:sz w:val="24"/>
          <w:highlight w:val="none"/>
        </w:rPr>
        <w:t>第三部分《采购需求》中</w:t>
      </w:r>
      <w:r>
        <w:rPr>
          <w:rFonts w:hint="eastAsia" w:ascii="宋体" w:hAnsi="宋体" w:cs="宋体"/>
          <w:b w:val="0"/>
          <w:bCs w:val="0"/>
          <w:color w:val="auto"/>
          <w:kern w:val="0"/>
          <w:sz w:val="24"/>
          <w:highlight w:val="none"/>
        </w:rPr>
        <w:t>“★</w:t>
      </w:r>
      <w:r>
        <w:rPr>
          <w:rFonts w:hint="eastAsia" w:ascii="宋体" w:hAnsi="宋体" w:cs="宋体"/>
          <w:b w:val="0"/>
          <w:bCs w:val="0"/>
          <w:kern w:val="0"/>
          <w:sz w:val="24"/>
          <w:highlight w:val="none"/>
        </w:rPr>
        <w:t>”的技术条款每有1项不满足技术要求扣2分，直到扣完20分为止。</w:t>
      </w:r>
    </w:p>
    <w:p>
      <w:pPr>
        <w:spacing w:line="400" w:lineRule="exact"/>
        <w:ind w:firstLine="480" w:firstLineChars="200"/>
        <w:textAlignment w:val="baseline"/>
        <w:rPr>
          <w:rFonts w:hint="eastAsia" w:ascii="宋体" w:hAnsi="宋体" w:eastAsia="宋体" w:cs="宋体"/>
          <w:kern w:val="0"/>
          <w:sz w:val="24"/>
          <w:highlight w:val="green"/>
          <w:lang w:eastAsia="zh-CN"/>
        </w:rPr>
      </w:pPr>
      <w:r>
        <w:rPr>
          <w:rFonts w:hint="eastAsia" w:ascii="宋体" w:hAnsi="宋体" w:cs="宋体"/>
          <w:kern w:val="0"/>
          <w:sz w:val="24"/>
        </w:rPr>
        <w:t>注：如采购需求有要求提供具体证明材料的，需按采购需求要求提供</w:t>
      </w:r>
      <w:r>
        <w:rPr>
          <w:rFonts w:hint="eastAsia" w:ascii="宋体" w:hAnsi="宋体" w:cs="宋体"/>
          <w:kern w:val="0"/>
          <w:sz w:val="24"/>
          <w:lang w:eastAsia="zh-CN"/>
        </w:rPr>
        <w:t>，</w:t>
      </w:r>
      <w:r>
        <w:rPr>
          <w:rFonts w:hint="eastAsia" w:ascii="宋体" w:hAnsi="宋体" w:cs="宋体"/>
          <w:kern w:val="0"/>
          <w:sz w:val="24"/>
        </w:rPr>
        <w:t>不按要求提供或提供不符的视为负偏离；</w:t>
      </w:r>
      <w:bookmarkEnd w:id="421"/>
      <w:bookmarkEnd w:id="422"/>
      <w:r>
        <w:rPr>
          <w:rFonts w:hint="eastAsia" w:ascii="宋体" w:hAnsi="宋体" w:cs="宋体"/>
          <w:kern w:val="0"/>
          <w:sz w:val="24"/>
          <w:highlight w:val="none"/>
        </w:rPr>
        <w:t>如采购需求无明确要求提供具体证明材料的，则以投标人在投标时</w:t>
      </w:r>
      <w:r>
        <w:rPr>
          <w:rFonts w:hint="eastAsia" w:ascii="宋体" w:hAnsi="宋体" w:cs="宋体"/>
          <w:kern w:val="0"/>
          <w:sz w:val="24"/>
          <w:highlight w:val="none"/>
          <w:lang w:val="en-US" w:eastAsia="zh-CN"/>
        </w:rPr>
        <w:t>自行</w:t>
      </w:r>
      <w:r>
        <w:rPr>
          <w:rFonts w:hint="eastAsia" w:ascii="宋体" w:hAnsi="宋体" w:cs="宋体"/>
          <w:kern w:val="0"/>
          <w:sz w:val="24"/>
          <w:highlight w:val="none"/>
        </w:rPr>
        <w:t>提供</w:t>
      </w:r>
      <w:r>
        <w:rPr>
          <w:rFonts w:hint="eastAsia" w:ascii="宋体" w:hAnsi="宋体" w:cs="宋体"/>
          <w:kern w:val="0"/>
          <w:sz w:val="24"/>
          <w:highlight w:val="none"/>
          <w:lang w:val="en-US" w:eastAsia="zh-CN"/>
        </w:rPr>
        <w:t>的</w:t>
      </w:r>
      <w:r>
        <w:rPr>
          <w:rFonts w:hint="eastAsia" w:ascii="宋体" w:hAnsi="宋体" w:cs="宋体"/>
          <w:kern w:val="0"/>
          <w:sz w:val="24"/>
          <w:highlight w:val="none"/>
        </w:rPr>
        <w:t>相关证明</w:t>
      </w:r>
      <w:r>
        <w:rPr>
          <w:rFonts w:hint="eastAsia" w:ascii="宋体" w:hAnsi="宋体" w:cs="宋体"/>
          <w:kern w:val="0"/>
          <w:sz w:val="24"/>
          <w:highlight w:val="none"/>
          <w:lang w:val="en-US" w:eastAsia="zh-CN"/>
        </w:rPr>
        <w:t>材料</w:t>
      </w:r>
      <w:r>
        <w:rPr>
          <w:rFonts w:hint="eastAsia" w:ascii="宋体" w:hAnsi="宋体" w:cs="宋体"/>
          <w:kern w:val="0"/>
          <w:sz w:val="24"/>
          <w:highlight w:val="none"/>
        </w:rPr>
        <w:t>，证明其技术符合参数要求</w:t>
      </w:r>
      <w:r>
        <w:rPr>
          <w:rFonts w:hint="eastAsia" w:ascii="宋体" w:hAnsi="宋体" w:cs="宋体"/>
          <w:kern w:val="0"/>
          <w:sz w:val="24"/>
          <w:highlight w:val="none"/>
          <w:lang w:eastAsia="zh-CN"/>
        </w:rPr>
        <w:t>。</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t>3.</w:t>
      </w:r>
      <w:r>
        <w:rPr>
          <w:rFonts w:ascii="宋体" w:hAnsi="宋体" w:cs="宋体"/>
          <w:kern w:val="0"/>
          <w:sz w:val="24"/>
        </w:rPr>
        <w:t>项目实施方案及急处理预案</w:t>
      </w:r>
      <w:r>
        <w:rPr>
          <w:rFonts w:hint="eastAsia" w:ascii="宋体" w:hAnsi="宋体" w:cs="宋体"/>
          <w:kern w:val="0"/>
          <w:sz w:val="24"/>
        </w:rPr>
        <w:t>……………2</w:t>
      </w:r>
      <w:r>
        <w:rPr>
          <w:rFonts w:hint="eastAsia" w:ascii="宋体" w:hAnsi="宋体" w:cs="宋体"/>
          <w:kern w:val="0"/>
          <w:sz w:val="24"/>
          <w:lang w:val="en-US" w:eastAsia="zh-CN"/>
        </w:rPr>
        <w:t>4</w:t>
      </w:r>
      <w:r>
        <w:rPr>
          <w:rFonts w:hint="eastAsia" w:ascii="宋体" w:hAnsi="宋体" w:cs="宋体"/>
          <w:kern w:val="0"/>
          <w:sz w:val="24"/>
        </w:rPr>
        <w:t>分</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lang w:val="en-US" w:eastAsia="zh-CN"/>
        </w:rPr>
        <w:t>(1)</w:t>
      </w:r>
      <w:r>
        <w:rPr>
          <w:rFonts w:ascii="宋体" w:hAnsi="宋体" w:cs="宋体"/>
          <w:kern w:val="0"/>
          <w:sz w:val="24"/>
        </w:rPr>
        <w:t>项目实施方案（1</w:t>
      </w:r>
      <w:r>
        <w:rPr>
          <w:rFonts w:hint="eastAsia" w:ascii="宋体" w:hAnsi="宋体" w:cs="宋体"/>
          <w:kern w:val="0"/>
          <w:sz w:val="24"/>
          <w:lang w:val="en-US" w:eastAsia="zh-CN"/>
        </w:rPr>
        <w:t>2</w:t>
      </w:r>
      <w:r>
        <w:rPr>
          <w:rFonts w:ascii="宋体" w:hAnsi="宋体" w:cs="宋体"/>
          <w:kern w:val="0"/>
          <w:sz w:val="24"/>
        </w:rPr>
        <w:t>分）</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一档(0分)：未提供项目实施方案，或项目实施方案无可行性:不能满足完成本项目需求；</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二档(</w:t>
      </w:r>
      <w:r>
        <w:rPr>
          <w:rFonts w:hint="eastAsia" w:ascii="宋体" w:hAnsi="宋体" w:cs="宋体"/>
          <w:kern w:val="0"/>
          <w:sz w:val="24"/>
          <w:lang w:val="en-US" w:eastAsia="zh-CN"/>
        </w:rPr>
        <w:t>4</w:t>
      </w:r>
      <w:r>
        <w:rPr>
          <w:rFonts w:ascii="宋体" w:hAnsi="宋体" w:cs="宋体"/>
          <w:kern w:val="0"/>
          <w:sz w:val="24"/>
        </w:rPr>
        <w:t>分)：项目实施方案简单，能提供对接方案;保证项目实施的技术力量和人力资源安排基本满足要求，技术服务、技术培训的服务内容和措施一般的；</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三档(</w:t>
      </w:r>
      <w:r>
        <w:rPr>
          <w:rFonts w:hint="eastAsia" w:ascii="宋体" w:hAnsi="宋体" w:cs="宋体"/>
          <w:kern w:val="0"/>
          <w:sz w:val="24"/>
          <w:lang w:val="en-US" w:eastAsia="zh-CN"/>
        </w:rPr>
        <w:t>8</w:t>
      </w:r>
      <w:r>
        <w:rPr>
          <w:rFonts w:ascii="宋体" w:hAnsi="宋体" w:cs="宋体"/>
          <w:kern w:val="0"/>
          <w:sz w:val="24"/>
        </w:rPr>
        <w:t>分)：项目实施方案较详细，能提供对接方案:保证项目实施的技术力量和人力资源安排满足项目实施要求，技术服务、技术培训的服务内容和措施完善，表述较清、完整，措施具体有效；</w:t>
      </w:r>
    </w:p>
    <w:p>
      <w:pPr>
        <w:spacing w:line="400" w:lineRule="exact"/>
        <w:ind w:firstLine="480" w:firstLineChars="200"/>
        <w:textAlignment w:val="baseline"/>
        <w:rPr>
          <w:rFonts w:ascii="宋体" w:hAnsi="宋体" w:cs="宋体"/>
          <w:kern w:val="0"/>
          <w:sz w:val="24"/>
          <w:highlight w:val="none"/>
        </w:rPr>
      </w:pPr>
      <w:r>
        <w:rPr>
          <w:rFonts w:ascii="宋体" w:hAnsi="宋体" w:cs="宋体"/>
          <w:kern w:val="0"/>
          <w:sz w:val="24"/>
          <w:highlight w:val="none"/>
        </w:rPr>
        <w:t>四档(1</w:t>
      </w:r>
      <w:r>
        <w:rPr>
          <w:rFonts w:hint="eastAsia" w:ascii="宋体" w:hAnsi="宋体" w:cs="宋体"/>
          <w:kern w:val="0"/>
          <w:sz w:val="24"/>
          <w:highlight w:val="none"/>
          <w:lang w:val="en-US" w:eastAsia="zh-CN"/>
        </w:rPr>
        <w:t>2</w:t>
      </w:r>
      <w:r>
        <w:rPr>
          <w:rFonts w:ascii="宋体" w:hAnsi="宋体" w:cs="宋体"/>
          <w:kern w:val="0"/>
          <w:sz w:val="24"/>
          <w:highlight w:val="none"/>
        </w:rPr>
        <w:t>分)：项目实施方案详实，能切合本项目实际提供对接方案，保证项目实施的技术力量和人力资源安排充足，技术服务、技术培训的服务内容和措施十分完善，表述较清晰、完整、严谨、合理、措施先进。</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(2)应急处理预案（1</w:t>
      </w:r>
      <w:r>
        <w:rPr>
          <w:rFonts w:hint="eastAsia" w:ascii="宋体" w:hAnsi="宋体" w:cs="宋体"/>
          <w:kern w:val="0"/>
          <w:sz w:val="24"/>
          <w:lang w:val="en-US" w:eastAsia="zh-CN"/>
        </w:rPr>
        <w:t>2</w:t>
      </w:r>
      <w:r>
        <w:rPr>
          <w:rFonts w:ascii="宋体" w:hAnsi="宋体" w:cs="宋体"/>
          <w:kern w:val="0"/>
          <w:sz w:val="24"/>
        </w:rPr>
        <w:t>分）</w:t>
      </w:r>
    </w:p>
    <w:p>
      <w:pPr>
        <w:spacing w:line="400" w:lineRule="exact"/>
        <w:ind w:firstLine="480" w:firstLineChars="200"/>
        <w:textAlignment w:val="baseline"/>
        <w:rPr>
          <w:rFonts w:hint="eastAsia" w:ascii="宋体" w:hAnsi="宋体" w:eastAsia="宋体" w:cs="宋体"/>
          <w:kern w:val="0"/>
          <w:sz w:val="24"/>
          <w:lang w:eastAsia="zh-CN"/>
        </w:rPr>
      </w:pPr>
      <w:r>
        <w:rPr>
          <w:rFonts w:ascii="宋体" w:hAnsi="宋体" w:cs="宋体"/>
          <w:kern w:val="0"/>
          <w:sz w:val="24"/>
        </w:rPr>
        <w:t>一档(0分)：提供的应急处理预案不切合实际，不合理的</w:t>
      </w:r>
      <w:r>
        <w:rPr>
          <w:rFonts w:hint="eastAsia" w:ascii="宋体" w:hAnsi="宋体" w:cs="宋体"/>
          <w:kern w:val="0"/>
          <w:sz w:val="24"/>
          <w:lang w:eastAsia="zh-CN"/>
        </w:rPr>
        <w:t>；</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二档(</w:t>
      </w:r>
      <w:r>
        <w:rPr>
          <w:rFonts w:hint="eastAsia" w:ascii="宋体" w:hAnsi="宋体" w:cs="宋体"/>
          <w:kern w:val="0"/>
          <w:sz w:val="24"/>
          <w:lang w:val="en-US" w:eastAsia="zh-CN"/>
        </w:rPr>
        <w:t>4</w:t>
      </w:r>
      <w:r>
        <w:rPr>
          <w:rFonts w:ascii="宋体" w:hAnsi="宋体" w:cs="宋体"/>
          <w:kern w:val="0"/>
          <w:sz w:val="24"/>
        </w:rPr>
        <w:t>分)；提供的应急处理预案内容简单，无预案响应时间、处理时间，解决方案可实施性较差；</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三档</w:t>
      </w:r>
      <w:r>
        <w:rPr>
          <w:rFonts w:ascii="宋体" w:hAnsi="宋体" w:cs="宋体"/>
          <w:kern w:val="0"/>
          <w:sz w:val="24"/>
          <w:highlight w:val="none"/>
        </w:rPr>
        <w:t>(</w:t>
      </w:r>
      <w:r>
        <w:rPr>
          <w:rFonts w:hint="eastAsia" w:ascii="宋体" w:hAnsi="宋体" w:cs="宋体"/>
          <w:kern w:val="0"/>
          <w:sz w:val="24"/>
          <w:highlight w:val="none"/>
          <w:lang w:val="en-US" w:eastAsia="zh-CN"/>
        </w:rPr>
        <w:t>8</w:t>
      </w:r>
      <w:r>
        <w:rPr>
          <w:rFonts w:ascii="宋体" w:hAnsi="宋体" w:cs="宋体"/>
          <w:kern w:val="0"/>
          <w:sz w:val="24"/>
        </w:rPr>
        <w:t>分):提供的应急处理预案内容较详细、较完整、基本可行;有具体的预案响应时间及处理时间，解决方案详细、有具体的解决办法和措施、措施有条理，且规划较合理的；</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四档(</w:t>
      </w:r>
      <w:r>
        <w:rPr>
          <w:rFonts w:ascii="宋体" w:hAnsi="宋体" w:cs="宋体"/>
          <w:kern w:val="0"/>
          <w:sz w:val="24"/>
          <w:highlight w:val="none"/>
        </w:rPr>
        <w:t>1</w:t>
      </w:r>
      <w:r>
        <w:rPr>
          <w:rFonts w:hint="eastAsia" w:ascii="宋体" w:hAnsi="宋体" w:cs="宋体"/>
          <w:kern w:val="0"/>
          <w:sz w:val="24"/>
          <w:highlight w:val="none"/>
          <w:lang w:val="en-US" w:eastAsia="zh-CN"/>
        </w:rPr>
        <w:t>2</w:t>
      </w:r>
      <w:r>
        <w:rPr>
          <w:rFonts w:ascii="宋体" w:hAnsi="宋体" w:cs="宋体"/>
          <w:kern w:val="0"/>
          <w:sz w:val="24"/>
        </w:rPr>
        <w:t>分):提供的应急处理预案内容详细、具有完整性、可行性、针对性;有具体的预案响应时间及处理时间，解决方案详细、有具体的解决办法和措施，措施内容详细、具有完整性、针对性且可行性较强，内容完整且描述清晰的。</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t>4.</w:t>
      </w:r>
      <w:r>
        <w:rPr>
          <w:rFonts w:ascii="宋体" w:hAnsi="宋体" w:cs="宋体"/>
          <w:kern w:val="0"/>
          <w:sz w:val="24"/>
        </w:rPr>
        <w:t>售后服务方案分</w:t>
      </w:r>
      <w:r>
        <w:rPr>
          <w:rFonts w:hint="eastAsia" w:ascii="宋体" w:hAnsi="宋体" w:cs="宋体"/>
          <w:kern w:val="0"/>
          <w:sz w:val="24"/>
        </w:rPr>
        <w:t>…………………………………………………15分</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一档(0分)：提供的售后服务方案内容不合理、描述内容不清晰；</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二档(5分)：提供现场服务及支持方案，有运行保障方案针对本项目的售后服务体系、服务内容、服务方式、响应能力、响应时间但方案简单，考虑欠周全的；</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三档(10分)：提供现场服务及支持方案有一定的针对性，配备专业技术人员，有完善的运行保障方案针对本项目的售后服务体系、服务内容、服务方式、响应能力、响应时间有基本的，可行的方案且方案有一定针对性的；</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四档(15分)：提供针对性的、完整的现场服务及支持方案，配备有专业技术人员，有完善的运行保障方案针对本项目的售后服务体系、服务内容、服务方式、响应能力、响应时间有详细的，切实可行的方案，且方案有针对性的。</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t>5.</w:t>
      </w:r>
      <w:r>
        <w:rPr>
          <w:rFonts w:ascii="宋体" w:hAnsi="宋体" w:cs="宋体"/>
          <w:kern w:val="0"/>
          <w:sz w:val="24"/>
        </w:rPr>
        <w:t>业绩分</w:t>
      </w:r>
      <w:r>
        <w:rPr>
          <w:rFonts w:hint="eastAsia" w:ascii="宋体" w:hAnsi="宋体" w:cs="宋体"/>
          <w:kern w:val="0"/>
          <w:sz w:val="24"/>
        </w:rPr>
        <w:t>………………………………………5分</w:t>
      </w:r>
    </w:p>
    <w:p>
      <w:pPr>
        <w:spacing w:line="400" w:lineRule="exact"/>
        <w:ind w:firstLine="480" w:firstLineChars="200"/>
        <w:textAlignment w:val="baseline"/>
        <w:rPr>
          <w:rFonts w:ascii="宋体" w:hAnsi="宋体" w:cs="宋体"/>
          <w:kern w:val="0"/>
          <w:sz w:val="24"/>
        </w:rPr>
      </w:pPr>
      <w:bookmarkStart w:id="423" w:name="OLE_LINK25"/>
      <w:r>
        <w:rPr>
          <w:rFonts w:ascii="宋体" w:hAnsi="宋体" w:cs="宋体"/>
          <w:kern w:val="0"/>
          <w:sz w:val="24"/>
        </w:rPr>
        <w:t>自20</w:t>
      </w:r>
      <w:r>
        <w:rPr>
          <w:rFonts w:hint="eastAsia" w:ascii="宋体" w:hAnsi="宋体" w:cs="宋体"/>
          <w:kern w:val="0"/>
          <w:sz w:val="24"/>
        </w:rPr>
        <w:t>22</w:t>
      </w:r>
      <w:r>
        <w:rPr>
          <w:rFonts w:ascii="宋体" w:hAnsi="宋体" w:cs="宋体"/>
          <w:kern w:val="0"/>
          <w:sz w:val="24"/>
        </w:rPr>
        <w:t>年1月1日以来至投标截止日期止，投标人或投标产品生产厂家同类产品的销售业绩，每提供一项得2.5分，满分5分。</w:t>
      </w:r>
    </w:p>
    <w:p>
      <w:pPr>
        <w:spacing w:line="400" w:lineRule="exact"/>
        <w:ind w:firstLine="480" w:firstLineChars="200"/>
        <w:textAlignment w:val="baseline"/>
        <w:rPr>
          <w:rFonts w:ascii="宋体" w:hAnsi="宋体" w:cs="宋体"/>
          <w:kern w:val="0"/>
          <w:sz w:val="24"/>
        </w:rPr>
      </w:pPr>
      <w:r>
        <w:rPr>
          <w:rFonts w:ascii="宋体" w:hAnsi="宋体" w:cs="宋体"/>
          <w:kern w:val="0"/>
          <w:sz w:val="24"/>
        </w:rPr>
        <w:t>注：在投标交件中提供合同原件扫描件(须附有采购货物清单及金额、能清晰反映产品的名称、签订日期)，未提供不得分。</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t>6.</w:t>
      </w:r>
      <w:r>
        <w:rPr>
          <w:rFonts w:ascii="宋体" w:hAnsi="宋体" w:cs="宋体"/>
          <w:kern w:val="0"/>
          <w:sz w:val="24"/>
        </w:rPr>
        <w:t>政策分</w:t>
      </w: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分</w:t>
      </w:r>
    </w:p>
    <w:bookmarkEnd w:id="423"/>
    <w:p>
      <w:pPr>
        <w:spacing w:line="400" w:lineRule="exact"/>
        <w:ind w:firstLine="480" w:firstLineChars="200"/>
        <w:textAlignment w:val="baseline"/>
        <w:rPr>
          <w:rFonts w:hint="eastAsia" w:cs="宋体" w:asciiTheme="minorEastAsia" w:hAnsiTheme="minorEastAsia" w:eastAsiaTheme="minorEastAsia"/>
          <w:bCs/>
          <w:sz w:val="24"/>
        </w:rPr>
      </w:pPr>
      <w:bookmarkStart w:id="424" w:name="OLE_LINK75"/>
      <w:r>
        <w:rPr>
          <w:rFonts w:hint="eastAsia" w:cs="宋体" w:asciiTheme="minorEastAsia" w:hAnsiTheme="minorEastAsia" w:eastAsiaTheme="minorEastAsia"/>
          <w:bCs/>
          <w:sz w:val="24"/>
        </w:rPr>
        <w:t>（</w:t>
      </w:r>
      <w:bookmarkEnd w:id="424"/>
      <w:r>
        <w:rPr>
          <w:rFonts w:hint="eastAsia" w:cs="宋体" w:asciiTheme="minorEastAsia" w:hAnsiTheme="minorEastAsia" w:eastAsiaTheme="minorEastAsia"/>
          <w:bCs/>
          <w:sz w:val="24"/>
        </w:rPr>
        <w:t>投标产品纳入财政部 国家发展改革委《关于印发节能产品政府采购品目清单的通知》（财库〔2019〕19号）中节能产品政府采购品目清单的，投标时须提供国家确定的认证机构出具的、处于有效期之内的有效的认证证书复印件并加盖投标人公章。（适用于非强制采购节能产品）每有一项得1分，满分1分。</w:t>
      </w:r>
    </w:p>
    <w:p>
      <w:pPr>
        <w:spacing w:line="400" w:lineRule="exact"/>
        <w:ind w:firstLine="480" w:firstLineChars="200"/>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rPr>
        <w:t>投标产品纳入财政部 国家发展改革委《关于印发环境标志产品政府采购品目清单的通知》（财库〔2019〕18号）中环境标志产品政府采购品目清单的,投标时须提供国家确定的认证机构出具的、处于有效期之内的有效的认证证书复印件并加盖投标人公章。每有一项得1分，满分1分。</w:t>
      </w: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t>（三）总得分=1+2+3+4+5+6。</w:t>
      </w:r>
    </w:p>
    <w:p>
      <w:pPr>
        <w:spacing w:line="400" w:lineRule="exact"/>
        <w:ind w:firstLine="480" w:firstLineChars="200"/>
        <w:textAlignment w:val="baseline"/>
        <w:rPr>
          <w:rFonts w:ascii="宋体" w:hAnsi="宋体" w:cs="宋体"/>
          <w:kern w:val="0"/>
          <w:sz w:val="24"/>
        </w:rPr>
      </w:pPr>
    </w:p>
    <w:p>
      <w:pPr>
        <w:spacing w:line="400" w:lineRule="exact"/>
        <w:ind w:firstLine="480" w:firstLineChars="200"/>
        <w:textAlignment w:val="baseline"/>
        <w:rPr>
          <w:rFonts w:ascii="宋体" w:hAnsi="宋体" w:cs="宋体"/>
          <w:kern w:val="0"/>
          <w:sz w:val="24"/>
        </w:rPr>
      </w:pPr>
      <w:r>
        <w:rPr>
          <w:rFonts w:hint="eastAsia" w:ascii="宋体" w:hAnsi="宋体" w:cs="宋体"/>
          <w:kern w:val="0"/>
          <w:sz w:val="24"/>
        </w:rPr>
        <w:br w:type="page"/>
      </w:r>
    </w:p>
    <w:p>
      <w:pPr>
        <w:snapToGrid w:val="0"/>
        <w:spacing w:line="360" w:lineRule="auto"/>
        <w:jc w:val="center"/>
        <w:outlineLvl w:val="1"/>
        <w:rPr>
          <w:rFonts w:ascii="宋体" w:hAnsi="宋体" w:cs="宋体"/>
          <w:b/>
          <w:sz w:val="32"/>
          <w:szCs w:val="20"/>
        </w:rPr>
      </w:pPr>
    </w:p>
    <w:p>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pPr>
        <w:adjustRightInd/>
        <w:spacing w:line="360" w:lineRule="auto"/>
        <w:outlineLvl w:val="1"/>
        <w:rPr>
          <w:rFonts w:ascii="宋体" w:hAnsi="宋体" w:cs="宋体"/>
          <w:b/>
          <w:sz w:val="32"/>
        </w:rPr>
      </w:pPr>
      <w:r>
        <w:rPr>
          <w:rFonts w:hint="eastAsia" w:ascii="宋体" w:hAnsi="宋体" w:cs="宋体"/>
          <w:b/>
          <w:sz w:val="32"/>
        </w:rPr>
        <w:t>一、评标方法</w:t>
      </w:r>
    </w:p>
    <w:p>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sym w:font="Wingdings" w:char="F0FE"/>
      </w:r>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kern w:val="0"/>
          <w:sz w:val="24"/>
        </w:rPr>
      </w:pPr>
      <w:r>
        <w:rPr>
          <w:rFonts w:hint="eastAsia" w:ascii="宋体" w:hAnsi="宋体" w:cs="宋体"/>
          <w:kern w:val="0"/>
          <w:sz w:val="24"/>
        </w:rPr>
        <w:t>□</w:t>
      </w:r>
      <w:r>
        <w:rPr>
          <w:rFonts w:hint="eastAsia" w:ascii="宋体" w:hAnsi="宋体" w:cs="宋体"/>
          <w:sz w:val="24"/>
        </w:rPr>
        <w:t>B最低评标价法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kern w:val="0"/>
          <w:sz w:val="24"/>
        </w:rPr>
      </w:pPr>
      <w:r>
        <w:rPr>
          <w:rFonts w:hint="eastAsia" w:ascii="宋体" w:hAnsi="宋体" w:cs="宋体"/>
          <w:b/>
          <w:sz w:val="32"/>
        </w:rPr>
        <w:t>二、评标标准</w:t>
      </w:r>
    </w:p>
    <w:p>
      <w:pPr>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sz w:val="32"/>
          <w:szCs w:val="32"/>
        </w:rPr>
      </w:pPr>
      <w:r>
        <w:rPr>
          <w:rFonts w:hint="eastAsia" w:ascii="宋体" w:hAnsi="宋体" w:cs="宋体"/>
          <w:b/>
          <w:sz w:val="32"/>
          <w:szCs w:val="32"/>
        </w:rPr>
        <w:t>三、评标程序</w:t>
      </w:r>
    </w:p>
    <w:p>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pPr>
        <w:pStyle w:val="128"/>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pPr>
        <w:pStyle w:val="128"/>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pPr>
        <w:pStyle w:val="128"/>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pPr>
        <w:pStyle w:val="128"/>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pPr>
        <w:pStyle w:val="128"/>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pPr>
        <w:pStyle w:val="128"/>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pPr>
        <w:pStyle w:val="128"/>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128"/>
        <w:ind w:firstLine="480"/>
        <w:rPr>
          <w:rFonts w:ascii="宋体" w:hAnsi="宋体" w:cs="宋体"/>
          <w:kern w:val="0"/>
          <w:szCs w:val="24"/>
        </w:rPr>
      </w:pPr>
      <w:r>
        <w:rPr>
          <w:rFonts w:hint="eastAsia" w:ascii="宋体" w:hAnsi="宋体" w:cs="宋体"/>
          <w:kern w:val="0"/>
          <w:szCs w:val="24"/>
        </w:rPr>
        <w:t>3.4.4.1启动异常低价审查情形。政府采购评审中出现下列情形之一的，评</w:t>
      </w:r>
      <w:r>
        <w:rPr>
          <w:rFonts w:hint="eastAsia" w:ascii="宋体" w:hAnsi="宋体" w:cs="宋体"/>
          <w:kern w:val="0"/>
          <w:szCs w:val="24"/>
          <w:lang w:eastAsia="zh-CN"/>
        </w:rPr>
        <w:t>标</w:t>
      </w:r>
      <w:r>
        <w:rPr>
          <w:rFonts w:hint="eastAsia" w:ascii="宋体" w:hAnsi="宋体" w:cs="宋体"/>
          <w:kern w:val="0"/>
          <w:szCs w:val="24"/>
        </w:rPr>
        <w:t>委员会应当启动异常低价投标（响应）审查程序:</w:t>
      </w:r>
    </w:p>
    <w:p>
      <w:pPr>
        <w:pStyle w:val="128"/>
        <w:ind w:firstLine="480"/>
        <w:rPr>
          <w:rFonts w:ascii="宋体" w:hAnsi="宋体" w:cs="宋体"/>
          <w:kern w:val="0"/>
          <w:szCs w:val="24"/>
        </w:rPr>
      </w:pPr>
      <w:r>
        <w:rPr>
          <w:rFonts w:hint="eastAsia" w:ascii="宋体" w:hAnsi="宋体" w:cs="宋体"/>
          <w:kern w:val="0"/>
          <w:szCs w:val="24"/>
        </w:rPr>
        <w:t>（1）投标（响应）报价低于全部通过符合性审查供应商投标（响应）报价平均值 50%的，即投标（响应）报价&lt;全部通过符合性审查供应商投标（响应）报价平均值×50%；</w:t>
      </w:r>
    </w:p>
    <w:p>
      <w:pPr>
        <w:pStyle w:val="128"/>
        <w:ind w:firstLine="480"/>
        <w:rPr>
          <w:rFonts w:ascii="宋体" w:hAnsi="宋体" w:cs="宋体"/>
          <w:kern w:val="0"/>
          <w:szCs w:val="24"/>
        </w:rPr>
      </w:pPr>
      <w:r>
        <w:rPr>
          <w:rFonts w:hint="eastAsia" w:ascii="宋体" w:hAnsi="宋体" w:cs="宋体"/>
          <w:kern w:val="0"/>
          <w:szCs w:val="24"/>
        </w:rPr>
        <w:t>（2）投标（响应）报价低于通过符合性审查且报价次低供应商投标（响应）报价 50%的，即投标（响应）报价&lt;通过符合性审查且报价次低供应商投标（响应）报价×50%；</w:t>
      </w:r>
    </w:p>
    <w:p>
      <w:pPr>
        <w:pStyle w:val="128"/>
        <w:ind w:firstLine="480"/>
        <w:rPr>
          <w:rFonts w:ascii="宋体" w:hAnsi="宋体" w:cs="宋体"/>
          <w:kern w:val="0"/>
          <w:szCs w:val="24"/>
        </w:rPr>
      </w:pPr>
      <w:r>
        <w:rPr>
          <w:rFonts w:hint="eastAsia" w:ascii="宋体" w:hAnsi="宋体" w:cs="宋体"/>
          <w:kern w:val="0"/>
          <w:szCs w:val="24"/>
        </w:rPr>
        <w:t>（3）投标（响应）报价低于采购项目最高限价 45%的，即投标（响应）报价&lt;采购项目最高限价×45%；</w:t>
      </w:r>
    </w:p>
    <w:p>
      <w:pPr>
        <w:pStyle w:val="128"/>
        <w:ind w:firstLine="480"/>
        <w:rPr>
          <w:rFonts w:ascii="宋体" w:hAnsi="宋体" w:cs="宋体"/>
          <w:kern w:val="0"/>
          <w:szCs w:val="24"/>
        </w:rPr>
      </w:pPr>
      <w:r>
        <w:rPr>
          <w:rFonts w:hint="eastAsia" w:ascii="宋体" w:hAnsi="宋体" w:cs="宋体"/>
          <w:kern w:val="0"/>
          <w:szCs w:val="24"/>
        </w:rPr>
        <w:t>（4）其他评审委员会认为供应商报价过低，有可能影响产品质量或者不能诚信履约的情形。</w:t>
      </w:r>
    </w:p>
    <w:p>
      <w:pPr>
        <w:pStyle w:val="128"/>
        <w:ind w:firstLine="480"/>
        <w:rPr>
          <w:rFonts w:ascii="宋体" w:hAnsi="宋体" w:cs="宋体"/>
          <w:kern w:val="0"/>
          <w:szCs w:val="24"/>
        </w:rPr>
      </w:pPr>
      <w:r>
        <w:rPr>
          <w:rFonts w:hint="eastAsia" w:ascii="宋体" w:hAnsi="宋体" w:cs="宋体"/>
          <w:kern w:val="0"/>
          <w:szCs w:val="24"/>
        </w:rPr>
        <w:t>3.4.4.2.审查工作流程。评审委员会严格按照评审现场说明、综合评估研判和出具处理结果三个步骤开展审查流程。</w:t>
      </w:r>
    </w:p>
    <w:p>
      <w:pPr>
        <w:pStyle w:val="128"/>
        <w:ind w:firstLine="480"/>
        <w:rPr>
          <w:rFonts w:ascii="宋体" w:hAnsi="宋体" w:cs="宋体"/>
          <w:kern w:val="0"/>
          <w:szCs w:val="24"/>
        </w:rPr>
      </w:pPr>
      <w:r>
        <w:rPr>
          <w:rFonts w:hint="eastAsia" w:ascii="宋体" w:hAnsi="宋体" w:cs="宋体"/>
          <w:kern w:val="0"/>
          <w:szCs w:val="24"/>
        </w:rPr>
        <w:t>（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128"/>
        <w:ind w:firstLine="480"/>
        <w:rPr>
          <w:rFonts w:ascii="宋体" w:hAnsi="宋体" w:cs="宋体"/>
          <w:kern w:val="0"/>
          <w:szCs w:val="24"/>
        </w:rPr>
      </w:pPr>
      <w:r>
        <w:rPr>
          <w:rFonts w:hint="eastAsia" w:ascii="宋体" w:hAnsi="宋体" w:cs="宋体"/>
          <w:kern w:val="0"/>
          <w:szCs w:val="24"/>
        </w:rPr>
        <w:t>（2）综合评估研判。评审委员会应当结合同类产品在主要电商平台的价格、该行业当地薪资水平等情况，依据专业经验对报价合理性进行判断。对异常低价存在争议的，应当按照少数服从多数的原则作出结论。</w:t>
      </w:r>
    </w:p>
    <w:p>
      <w:pPr>
        <w:pStyle w:val="128"/>
        <w:ind w:firstLine="480"/>
        <w:rPr>
          <w:rFonts w:ascii="宋体" w:hAnsi="宋体" w:cs="宋体"/>
          <w:kern w:val="0"/>
          <w:szCs w:val="24"/>
        </w:rPr>
      </w:pPr>
      <w:r>
        <w:rPr>
          <w:rFonts w:hint="eastAsia" w:ascii="宋体" w:hAnsi="宋体" w:cs="宋体"/>
          <w:kern w:val="0"/>
          <w:szCs w:val="24"/>
        </w:rPr>
        <w:t>（3）出具处理结果。如果投标（响应）供应商不提供书面说明、证明材料，或者提供的书面说明、证明材料不能证明其报价合理性的，应当将其作为无效投标（响应）处理。审查相关情况应当在评审报告中记录。</w:t>
      </w:r>
    </w:p>
    <w:p>
      <w:pPr>
        <w:pStyle w:val="128"/>
        <w:spacing w:before="0"/>
        <w:ind w:firstLine="480"/>
        <w:rPr>
          <w:rFonts w:ascii="宋体" w:hAnsi="宋体" w:cs="宋体"/>
          <w:color w:val="FF0000"/>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FF0000"/>
          <w:kern w:val="0"/>
          <w:szCs w:val="24"/>
        </w:rPr>
        <w:t>对于专门面向中小企业采购的项目或者采购包，不再执行价格评审优惠的扶持政策。</w:t>
      </w:r>
    </w:p>
    <w:p>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pPr>
        <w:spacing w:line="360" w:lineRule="auto"/>
        <w:ind w:firstLine="482" w:firstLineChars="200"/>
        <w:rPr>
          <w:rFonts w:ascii="宋体" w:hAnsi="宋体" w:cs="宋体"/>
          <w:kern w:val="0"/>
          <w:sz w:val="24"/>
        </w:rPr>
      </w:pPr>
      <w:r>
        <w:rPr>
          <w:rFonts w:hint="eastAsia" w:ascii="宋体" w:hAnsi="宋体" w:cs="宋体"/>
          <w:b/>
          <w:kern w:val="0"/>
          <w:sz w:val="24"/>
        </w:rPr>
        <w:t>3.5.1</w:t>
      </w:r>
      <w:r>
        <w:rPr>
          <w:rFonts w:hint="eastAsia" w:ascii="宋体" w:hAnsi="宋体" w:cs="宋体"/>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82"/>
        <w:rPr>
          <w:rFonts w:cs="宋体"/>
        </w:rPr>
      </w:pPr>
      <w:r>
        <w:rPr>
          <w:rFonts w:hint="eastAsia" w:cs="宋体"/>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pStyle w:val="82"/>
      </w:pPr>
      <w:r>
        <w:rPr>
          <w:rFonts w:hint="eastAsia" w:cs="宋体"/>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line="360" w:lineRule="auto"/>
        <w:jc w:val="left"/>
        <w:outlineLvl w:val="1"/>
        <w:rPr>
          <w:rFonts w:ascii="宋体" w:hAnsi="宋体" w:cs="宋体"/>
          <w:b/>
          <w:sz w:val="32"/>
        </w:rPr>
      </w:pPr>
      <w:r>
        <w:rPr>
          <w:rFonts w:hint="eastAsia" w:ascii="宋体" w:hAnsi="宋体" w:cs="宋体"/>
          <w:b/>
          <w:sz w:val="32"/>
        </w:rPr>
        <w:t>四、评标中的其他事项</w:t>
      </w:r>
    </w:p>
    <w:p>
      <w:pPr>
        <w:pStyle w:val="128"/>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pPr>
        <w:pStyle w:val="82"/>
        <w:rPr>
          <w:b/>
          <w:bCs/>
        </w:rPr>
      </w:pPr>
      <w:r>
        <w:rPr>
          <w:rFonts w:hint="eastAsia"/>
        </w:rPr>
        <w:t>4.2.13 投标文件不满足招标文件的其它实质性要求的；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pPr>
        <w:pStyle w:val="24"/>
        <w:snapToGrid w:val="0"/>
        <w:spacing w:line="360" w:lineRule="auto"/>
        <w:rPr>
          <w:rFonts w:cs="宋体"/>
        </w:rPr>
      </w:pPr>
      <w:r>
        <w:rPr>
          <w:rFonts w:hint="eastAsia" w:cs="宋体"/>
        </w:rPr>
        <w:t>5.1符合专业条件的供应商或者对招标文件作实质响应的供应商不足3家的；</w:t>
      </w:r>
    </w:p>
    <w:p>
      <w:pPr>
        <w:pStyle w:val="24"/>
        <w:snapToGrid w:val="0"/>
        <w:spacing w:line="360" w:lineRule="auto"/>
        <w:rPr>
          <w:rFonts w:cs="宋体"/>
        </w:rPr>
      </w:pPr>
      <w:r>
        <w:rPr>
          <w:rFonts w:hint="eastAsia" w:cs="宋体"/>
        </w:rPr>
        <w:t>5.2出现影响采购公正的违法、违规行为的；</w:t>
      </w:r>
    </w:p>
    <w:p>
      <w:pPr>
        <w:pStyle w:val="24"/>
        <w:snapToGrid w:val="0"/>
        <w:spacing w:line="360" w:lineRule="auto"/>
        <w:rPr>
          <w:rFonts w:cs="宋体"/>
        </w:rPr>
      </w:pPr>
      <w:r>
        <w:rPr>
          <w:rFonts w:hint="eastAsia" w:cs="宋体"/>
        </w:rPr>
        <w:t>5.3投标人的报价均超过了采购预算，采购人不能支付的；</w:t>
      </w:r>
    </w:p>
    <w:p>
      <w:pPr>
        <w:pStyle w:val="24"/>
        <w:snapToGrid w:val="0"/>
        <w:spacing w:line="360" w:lineRule="auto"/>
        <w:rPr>
          <w:rFonts w:cs="宋体"/>
        </w:rPr>
      </w:pPr>
      <w:r>
        <w:rPr>
          <w:rFonts w:hint="eastAsia" w:cs="宋体"/>
        </w:rPr>
        <w:t>5.4因重大变故，采购任务取消的。</w:t>
      </w:r>
    </w:p>
    <w:p>
      <w:pPr>
        <w:pStyle w:val="24"/>
        <w:snapToGrid w:val="0"/>
        <w:spacing w:line="360" w:lineRule="auto"/>
        <w:rPr>
          <w:rFonts w:cs="宋体"/>
        </w:rPr>
      </w:pPr>
      <w:r>
        <w:rPr>
          <w:rFonts w:hint="eastAsia" w:cs="宋体"/>
        </w:rPr>
        <w:t>废标后，采购代理机构应当将废标理由通知所有投标人。</w:t>
      </w:r>
    </w:p>
    <w:p>
      <w:pPr>
        <w:pStyle w:val="24"/>
        <w:snapToGrid w:val="0"/>
        <w:spacing w:line="360" w:lineRule="auto"/>
        <w:ind w:firstLine="482"/>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pPr>
        <w:pStyle w:val="24"/>
        <w:snapToGrid w:val="0"/>
        <w:spacing w:line="360" w:lineRule="auto"/>
        <w:rPr>
          <w:rFonts w:cs="宋体"/>
        </w:rPr>
      </w:pPr>
      <w:r>
        <w:rPr>
          <w:rFonts w:hint="eastAsia" w:cs="宋体"/>
        </w:rPr>
        <w:t>7.1未确定中标供应商的，终止本次政府采购活动，重新开展政府采购活动。</w:t>
      </w:r>
    </w:p>
    <w:p>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rPr>
      </w:pPr>
      <w:r>
        <w:rPr>
          <w:rFonts w:hint="eastAsia" w:cs="宋体"/>
        </w:rPr>
        <w:t>7.4政府采购合同已经履行，给采购人、供应商造成损失的，由责任人承担赔偿责任。</w:t>
      </w:r>
    </w:p>
    <w:p>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pPr>
        <w:pStyle w:val="82"/>
        <w:ind w:firstLine="0"/>
        <w:rPr>
          <w:b/>
          <w:sz w:val="32"/>
          <w:szCs w:val="32"/>
        </w:rPr>
      </w:pPr>
      <w:r>
        <w:rPr>
          <w:rFonts w:hint="eastAsia"/>
          <w:b/>
          <w:sz w:val="32"/>
          <w:szCs w:val="32"/>
        </w:rPr>
        <w:t>五、评审过程的保密与录像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4"/>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bookmarkEnd w:id="46"/>
    <w:p>
      <w:pPr>
        <w:spacing w:line="360" w:lineRule="auto"/>
        <w:ind w:left="720" w:leftChars="343" w:firstLine="1084" w:firstLineChars="300"/>
        <w:rPr>
          <w:rFonts w:ascii="宋体" w:hAnsi="宋体" w:cs="宋体"/>
          <w:b/>
          <w:sz w:val="36"/>
          <w:szCs w:val="36"/>
        </w:rPr>
      </w:pPr>
      <w:bookmarkStart w:id="425" w:name="第五部分"/>
      <w:bookmarkStart w:id="426" w:name="_Toc86217003"/>
    </w:p>
    <w:p>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pPr>
        <w:pStyle w:val="82"/>
      </w:pPr>
      <w:r>
        <w:br w:type="page"/>
      </w:r>
    </w:p>
    <w:p>
      <w:pPr>
        <w:pStyle w:val="82"/>
      </w:pPr>
    </w:p>
    <w:p>
      <w:pPr>
        <w:spacing w:line="360" w:lineRule="auto"/>
        <w:jc w:val="center"/>
        <w:outlineLvl w:val="0"/>
        <w:rPr>
          <w:rFonts w:ascii="宋体" w:hAnsi="宋体" w:cs="宋体"/>
          <w:b/>
          <w:sz w:val="36"/>
          <w:szCs w:val="36"/>
        </w:rPr>
      </w:pPr>
      <w:bookmarkStart w:id="427" w:name="_Toc176343852"/>
      <w:bookmarkStart w:id="428" w:name="_Toc176185125"/>
      <w:r>
        <w:rPr>
          <w:rFonts w:hint="eastAsia" w:ascii="宋体" w:hAnsi="宋体" w:cs="宋体"/>
          <w:b/>
          <w:sz w:val="36"/>
          <w:szCs w:val="36"/>
        </w:rPr>
        <w:t>第五部分  拟签订的合同文本</w:t>
      </w:r>
      <w:bookmarkEnd w:id="427"/>
      <w:bookmarkEnd w:id="428"/>
    </w:p>
    <w:p>
      <w:pPr>
        <w:adjustRightInd/>
        <w:spacing w:line="600" w:lineRule="exact"/>
        <w:ind w:firstLine="1044"/>
        <w:rPr>
          <w:rFonts w:ascii="宋体" w:hAnsi="宋体" w:cs="宋体"/>
          <w:b/>
          <w:kern w:val="0"/>
          <w:sz w:val="52"/>
          <w:szCs w:val="52"/>
        </w:rPr>
      </w:pPr>
    </w:p>
    <w:p>
      <w:pPr>
        <w:adjustRightInd/>
        <w:jc w:val="center"/>
        <w:rPr>
          <w:rFonts w:ascii="宋体" w:hAnsi="宋体" w:cs="宋体"/>
          <w:b/>
          <w:bCs/>
          <w:spacing w:val="-20"/>
          <w:kern w:val="44"/>
          <w:sz w:val="48"/>
          <w:szCs w:val="48"/>
        </w:rPr>
      </w:pPr>
      <w:bookmarkStart w:id="429" w:name="_Toc3995"/>
    </w:p>
    <w:p>
      <w:pPr>
        <w:adjustRightInd/>
        <w:jc w:val="center"/>
        <w:rPr>
          <w:rFonts w:ascii="宋体" w:hAnsi="宋体" w:cs="宋体"/>
          <w:b/>
          <w:bCs/>
          <w:spacing w:val="-20"/>
          <w:kern w:val="44"/>
          <w:sz w:val="48"/>
          <w:szCs w:val="48"/>
        </w:rPr>
      </w:pPr>
    </w:p>
    <w:p>
      <w:pPr>
        <w:adjustRightInd/>
        <w:jc w:val="center"/>
        <w:rPr>
          <w:rFonts w:ascii="宋体" w:hAnsi="宋体" w:cs="宋体"/>
          <w:b/>
          <w:bCs/>
          <w:spacing w:val="-20"/>
          <w:kern w:val="44"/>
          <w:sz w:val="48"/>
          <w:szCs w:val="48"/>
        </w:rPr>
      </w:pPr>
    </w:p>
    <w:p>
      <w:pPr>
        <w:adjustRightInd/>
        <w:jc w:val="center"/>
        <w:rPr>
          <w:rFonts w:ascii="宋体" w:hAnsi="宋体" w:cs="宋体"/>
          <w:b/>
          <w:bCs/>
          <w:spacing w:val="-20"/>
          <w:kern w:val="44"/>
          <w:sz w:val="48"/>
          <w:szCs w:val="48"/>
        </w:rPr>
      </w:pPr>
    </w:p>
    <w:p>
      <w:pPr>
        <w:adjustRightInd/>
        <w:jc w:val="center"/>
        <w:rPr>
          <w:rFonts w:ascii="宋体" w:hAnsi="宋体" w:cs="宋体"/>
          <w:b/>
          <w:bCs/>
          <w:color w:val="FF0000"/>
          <w:spacing w:val="-20"/>
          <w:kern w:val="44"/>
          <w:sz w:val="48"/>
          <w:szCs w:val="48"/>
        </w:rPr>
      </w:pPr>
      <w:r>
        <w:rPr>
          <w:rFonts w:hint="eastAsia" w:ascii="宋体" w:hAnsi="宋体" w:cs="宋体"/>
          <w:b/>
          <w:bCs/>
          <w:color w:val="FF0000"/>
          <w:spacing w:val="-20"/>
          <w:kern w:val="44"/>
          <w:sz w:val="48"/>
          <w:szCs w:val="48"/>
        </w:rPr>
        <w:t>北海市政府采购合同</w:t>
      </w:r>
    </w:p>
    <w:p>
      <w:pPr>
        <w:adjustRightInd/>
        <w:jc w:val="center"/>
        <w:rPr>
          <w:rFonts w:ascii="宋体" w:hAnsi="宋体" w:cs="宋体"/>
          <w:b/>
          <w:bCs/>
          <w:spacing w:val="-20"/>
          <w:kern w:val="44"/>
          <w:sz w:val="36"/>
          <w:szCs w:val="36"/>
        </w:rPr>
      </w:pPr>
    </w:p>
    <w:p>
      <w:pPr>
        <w:adjustRightInd/>
        <w:jc w:val="center"/>
        <w:rPr>
          <w:rFonts w:ascii="宋体" w:hAnsi="宋体" w:cs="宋体"/>
          <w:b/>
          <w:bCs/>
          <w:spacing w:val="-20"/>
          <w:kern w:val="44"/>
          <w:sz w:val="36"/>
          <w:szCs w:val="36"/>
        </w:rPr>
      </w:pPr>
      <w:r>
        <w:rPr>
          <w:rFonts w:hint="eastAsia" w:ascii="宋体" w:hAnsi="宋体" w:cs="宋体"/>
          <w:b/>
          <w:bCs/>
          <w:spacing w:val="-20"/>
          <w:kern w:val="44"/>
          <w:sz w:val="36"/>
          <w:szCs w:val="36"/>
        </w:rPr>
        <w:t>（货物类）</w:t>
      </w:r>
    </w:p>
    <w:p>
      <w:pPr>
        <w:adjustRightInd/>
        <w:rPr>
          <w:rFonts w:ascii="宋体" w:hAnsi="宋体" w:cs="宋体"/>
          <w:b/>
          <w:bCs/>
          <w:spacing w:val="-20"/>
          <w:kern w:val="44"/>
          <w:sz w:val="40"/>
          <w:szCs w:val="40"/>
        </w:rPr>
      </w:pPr>
    </w:p>
    <w:p>
      <w:pPr>
        <w:adjustRightInd/>
        <w:rPr>
          <w:rFonts w:ascii="宋体" w:hAnsi="宋体" w:cs="宋体"/>
          <w:b/>
          <w:bCs/>
          <w:spacing w:val="-20"/>
          <w:kern w:val="44"/>
          <w:sz w:val="40"/>
          <w:szCs w:val="40"/>
        </w:rPr>
      </w:pPr>
    </w:p>
    <w:p>
      <w:pPr>
        <w:adjustRightInd/>
        <w:rPr>
          <w:rFonts w:ascii="宋体" w:hAnsi="宋体" w:cs="宋体"/>
          <w:b/>
          <w:bCs/>
          <w:spacing w:val="-20"/>
          <w:kern w:val="44"/>
          <w:sz w:val="40"/>
          <w:szCs w:val="40"/>
        </w:rPr>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pPr>
        <w:adjustRightInd/>
      </w:pPr>
    </w:p>
    <w:p>
      <w:pPr>
        <w:adjustRightInd/>
        <w:jc w:val="center"/>
        <w:outlineLvl w:val="1"/>
        <w:rPr>
          <w:rFonts w:ascii="黑体" w:hAnsi="黑体" w:eastAsia="黑体"/>
          <w:sz w:val="28"/>
          <w:szCs w:val="28"/>
        </w:rPr>
      </w:pPr>
      <w:r>
        <w:rPr>
          <w:rFonts w:eastAsia="黑体"/>
          <w:sz w:val="44"/>
          <w:szCs w:val="44"/>
        </w:rPr>
        <w:br w:type="page"/>
      </w:r>
      <w:bookmarkEnd w:id="429"/>
      <w:bookmarkStart w:id="430" w:name="_Toc22209"/>
      <w:r>
        <w:rPr>
          <w:rFonts w:hint="eastAsia" w:ascii="黑体" w:hAnsi="黑体" w:eastAsia="黑体"/>
          <w:sz w:val="28"/>
          <w:szCs w:val="28"/>
        </w:rPr>
        <w:t>第一节 政府采购合同协议书</w:t>
      </w:r>
      <w:bookmarkEnd w:id="430"/>
    </w:p>
    <w:p>
      <w:pPr>
        <w:pStyle w:val="82"/>
      </w:pPr>
    </w:p>
    <w:p>
      <w:pPr>
        <w:pStyle w:val="82"/>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pPr>
        <w:pStyle w:val="82"/>
        <w:ind w:firstLine="0"/>
      </w:pPr>
      <w:r>
        <w:rPr>
          <w:rFonts w:hint="eastAsia"/>
        </w:rPr>
        <w:t>乙方1（全称）：</w:t>
      </w:r>
      <w:r>
        <w:rPr>
          <w:rFonts w:hint="eastAsia"/>
          <w:u w:val="single"/>
        </w:rPr>
        <w:t xml:space="preserve">                       </w:t>
      </w:r>
      <w:r>
        <w:rPr>
          <w:rFonts w:hint="eastAsia"/>
        </w:rPr>
        <w:t>（供应商）</w:t>
      </w:r>
    </w:p>
    <w:p>
      <w:pPr>
        <w:pStyle w:val="82"/>
        <w:ind w:firstLine="0"/>
      </w:pPr>
      <w:r>
        <w:rPr>
          <w:rFonts w:hint="eastAsia"/>
        </w:rPr>
        <w:t>乙方2（全称）：</w:t>
      </w:r>
      <w:r>
        <w:rPr>
          <w:rFonts w:hint="eastAsia"/>
          <w:u w:val="single"/>
        </w:rPr>
        <w:t xml:space="preserve">                        </w:t>
      </w:r>
      <w:r>
        <w:rPr>
          <w:rFonts w:hint="eastAsia"/>
        </w:rPr>
        <w:t>（联合体成员供应商或其他合同主体）（如有）</w:t>
      </w:r>
    </w:p>
    <w:p>
      <w:pPr>
        <w:pStyle w:val="82"/>
        <w:ind w:firstLine="0"/>
      </w:pPr>
      <w:r>
        <w:rPr>
          <w:rFonts w:hint="eastAsia"/>
        </w:rPr>
        <w:t>乙方3（全称）：</w:t>
      </w:r>
      <w:r>
        <w:rPr>
          <w:rFonts w:hint="eastAsia"/>
          <w:u w:val="single"/>
        </w:rPr>
        <w:t xml:space="preserve">                         </w:t>
      </w:r>
      <w:r>
        <w:rPr>
          <w:rFonts w:hint="eastAsia"/>
        </w:rPr>
        <w:t>（联合体成员供应商或其他合同主体）（如有）</w:t>
      </w:r>
    </w:p>
    <w:p>
      <w:pPr>
        <w:adjustRightInd/>
        <w:spacing w:line="400" w:lineRule="exact"/>
      </w:pPr>
    </w:p>
    <w:p>
      <w:pPr>
        <w:pStyle w:val="82"/>
        <w:ind w:firstLine="480" w:firstLineChars="200"/>
      </w:pPr>
      <w:r>
        <w:rPr>
          <w:rFonts w:hint="eastAsia"/>
        </w:rPr>
        <w:t xml:space="preserve">依据《中华人民共和国民法典》、《中华人民共和国政府采购法》等有关的法律法规，以及本采购项目的招标/谈判文件等采购文件、乙方的《投标（响应）文件》及《中标（中标）通知书》，甲乙双方同意签订本合同。具体情况及要求如下：     </w:t>
      </w:r>
    </w:p>
    <w:p>
      <w:pPr>
        <w:pStyle w:val="82"/>
        <w:ind w:firstLine="0"/>
        <w:rPr>
          <w:b/>
        </w:rPr>
      </w:pPr>
      <w:r>
        <w:rPr>
          <w:rFonts w:hint="eastAsia"/>
          <w:b/>
        </w:rPr>
        <w:t>1.项目信息</w:t>
      </w:r>
    </w:p>
    <w:p>
      <w:pPr>
        <w:pStyle w:val="82"/>
        <w:ind w:firstLine="480" w:firstLineChars="200"/>
        <w:rPr>
          <w:u w:val="single"/>
        </w:rPr>
      </w:pPr>
      <w:r>
        <w:rPr>
          <w:rFonts w:hint="eastAsia"/>
        </w:rPr>
        <w:t>（1）采购项目名称：</w:t>
      </w:r>
      <w:r>
        <w:rPr>
          <w:rFonts w:hint="eastAsia"/>
          <w:u w:val="single"/>
        </w:rPr>
        <w:t xml:space="preserve">                                          </w:t>
      </w:r>
    </w:p>
    <w:p>
      <w:pPr>
        <w:pStyle w:val="82"/>
        <w:ind w:firstLine="1080" w:firstLineChars="450"/>
      </w:pPr>
      <w:r>
        <w:rPr>
          <w:rFonts w:hint="eastAsia"/>
        </w:rPr>
        <w:t>采购项目编号：</w:t>
      </w:r>
      <w:r>
        <w:rPr>
          <w:rFonts w:hint="eastAsia"/>
          <w:u w:val="single"/>
        </w:rPr>
        <w:t xml:space="preserve">                                          </w:t>
      </w:r>
    </w:p>
    <w:p>
      <w:pPr>
        <w:pStyle w:val="82"/>
        <w:ind w:firstLine="480" w:firstLineChars="200"/>
      </w:pPr>
      <w:r>
        <w:rPr>
          <w:rFonts w:hint="eastAsia"/>
        </w:rPr>
        <w:t>（2）采购计划编号：</w:t>
      </w:r>
      <w:r>
        <w:rPr>
          <w:rFonts w:hint="eastAsia"/>
          <w:u w:val="single"/>
        </w:rPr>
        <w:t xml:space="preserve">                                          </w:t>
      </w:r>
      <w:r>
        <w:rPr>
          <w:rFonts w:hint="eastAsia"/>
        </w:rPr>
        <w:t xml:space="preserve"> </w:t>
      </w:r>
    </w:p>
    <w:p>
      <w:pPr>
        <w:pStyle w:val="82"/>
        <w:ind w:firstLine="480" w:firstLineChars="200"/>
      </w:pPr>
      <w:r>
        <w:rPr>
          <w:rFonts w:hint="eastAsia"/>
        </w:rPr>
        <w:t>（3）项目内容：</w:t>
      </w:r>
    </w:p>
    <w:p>
      <w:pPr>
        <w:pStyle w:val="82"/>
        <w:ind w:firstLine="480" w:firstLineChars="200"/>
      </w:pPr>
      <w:r>
        <w:rPr>
          <w:rFonts w:hint="eastAsia"/>
        </w:rPr>
        <w:t xml:space="preserve">     采购标的及数量（台/套</w:t>
      </w:r>
      <w:r>
        <w:rPr>
          <w:rFonts w:hint="eastAsia"/>
          <w:lang w:val="en"/>
        </w:rPr>
        <w:t>/个/架/组等</w:t>
      </w:r>
      <w:r>
        <w:rPr>
          <w:rFonts w:hint="eastAsia"/>
        </w:rPr>
        <w:t>）：</w:t>
      </w:r>
      <w:r>
        <w:rPr>
          <w:rFonts w:hint="eastAsia"/>
          <w:u w:val="single"/>
        </w:rPr>
        <w:t xml:space="preserve">               </w:t>
      </w:r>
      <w:r>
        <w:rPr>
          <w:rFonts w:hint="eastAsia"/>
        </w:rPr>
        <w:t xml:space="preserve">   </w:t>
      </w:r>
    </w:p>
    <w:p>
      <w:pPr>
        <w:pStyle w:val="82"/>
        <w:ind w:firstLine="480" w:firstLineChars="200"/>
        <w:rPr>
          <w:rFonts w:cs="宋体"/>
          <w:lang w:val="en"/>
        </w:rPr>
      </w:pPr>
      <w:r>
        <w:rPr>
          <w:rFonts w:hint="eastAsia"/>
        </w:rPr>
        <w:t xml:space="preserve">     </w:t>
      </w:r>
      <w:r>
        <w:rPr>
          <w:rFonts w:hint="eastAsia" w:cs="宋体"/>
        </w:rPr>
        <w:t>品牌：</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lang w:val="en"/>
        </w:rPr>
        <w:t xml:space="preserve">     </w:t>
      </w:r>
      <w:r>
        <w:rPr>
          <w:rFonts w:hint="eastAsia" w:cs="宋体"/>
        </w:rPr>
        <w:t>规格型号：</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p>
    <w:p>
      <w:pPr>
        <w:pStyle w:val="82"/>
        <w:ind w:firstLine="480" w:firstLineChars="200"/>
        <w:rPr>
          <w:u w:val="single"/>
        </w:rPr>
      </w:pPr>
      <w:r>
        <w:rPr>
          <w:rFonts w:hint="eastAsia"/>
        </w:rPr>
        <w:t>采购标的的技术要求、商务要求具体见附件。</w:t>
      </w:r>
    </w:p>
    <w:p>
      <w:pPr>
        <w:pStyle w:val="82"/>
        <w:ind w:firstLine="480" w:firstLineChars="200"/>
        <w:rPr>
          <w:rFonts w:cs="宋体"/>
        </w:rPr>
      </w:pPr>
      <w:r>
        <w:rPr>
          <w:rFonts w:hint="eastAsia" w:cs="宋体"/>
        </w:rPr>
        <w:t>①涉及信息类产品，请填写该产品关键部件的品牌、型号：</w:t>
      </w:r>
    </w:p>
    <w:p>
      <w:pPr>
        <w:pStyle w:val="82"/>
        <w:ind w:firstLine="480" w:firstLineChars="200"/>
        <w:rPr>
          <w:rFonts w:cs="宋体"/>
          <w:u w:val="single"/>
        </w:rPr>
      </w:pPr>
      <w:r>
        <w:rPr>
          <w:rFonts w:hint="eastAsia" w:cs="宋体"/>
        </w:rPr>
        <w:t xml:space="preserve">     标的名称：</w:t>
      </w:r>
      <w:r>
        <w:rPr>
          <w:rFonts w:hint="eastAsia" w:cs="宋体"/>
          <w:u w:val="single"/>
        </w:rPr>
        <w:t xml:space="preserve">      </w:t>
      </w:r>
      <w:r>
        <w:rPr>
          <w:rFonts w:hint="eastAsia" w:cs="宋体"/>
          <w:u w:val="single"/>
          <w:lang w:val="en"/>
        </w:rPr>
        <w:t xml:space="preserve">               </w:t>
      </w:r>
      <w:r>
        <w:rPr>
          <w:rFonts w:hint="eastAsia" w:cs="宋体"/>
          <w:u w:val="single"/>
        </w:rPr>
        <w:t xml:space="preserve">    </w:t>
      </w:r>
    </w:p>
    <w:p>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p>
    <w:p>
      <w:pPr>
        <w:pStyle w:val="82"/>
        <w:ind w:firstLine="480" w:firstLineChars="200"/>
        <w:rPr>
          <w:rFonts w:cs="宋体"/>
        </w:rPr>
      </w:pPr>
      <w:r>
        <w:rPr>
          <w:rFonts w:hint="eastAsia" w:cs="宋体"/>
        </w:rPr>
        <w:t>（注：关键部件是指财政部会同有关部门发布的政府采购需求标准规定的需要通过国家有关部门指定的测评机构开展的安全可靠测评的软硬件，如CPU芯片、操作系统、数据库等。）</w:t>
      </w:r>
    </w:p>
    <w:p>
      <w:pPr>
        <w:pStyle w:val="82"/>
        <w:ind w:firstLine="480" w:firstLineChars="200"/>
        <w:rPr>
          <w:rFonts w:cs="宋体"/>
        </w:rPr>
      </w:pPr>
      <w:r>
        <w:rPr>
          <w:rFonts w:hint="eastAsia" w:cs="宋体"/>
        </w:rPr>
        <w:t>②涉及车辆采购，请填写是否属于新能源汽车：</w:t>
      </w:r>
    </w:p>
    <w:p>
      <w:pPr>
        <w:pStyle w:val="82"/>
        <w:ind w:firstLine="480" w:firstLineChars="200"/>
        <w:rPr>
          <w:rFonts w:cs="宋体"/>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数量：</w:t>
      </w:r>
      <w:r>
        <w:rPr>
          <w:rFonts w:hint="eastAsia" w:cs="宋体"/>
          <w:u w:val="single"/>
        </w:rPr>
        <w:t xml:space="preserve">    </w:t>
      </w:r>
      <w:r>
        <w:rPr>
          <w:rFonts w:hint="eastAsia" w:cs="宋体"/>
        </w:rPr>
        <w:t xml:space="preserve"> 金额：</w:t>
      </w:r>
      <w:r>
        <w:rPr>
          <w:rFonts w:hint="eastAsia" w:cs="宋体"/>
          <w:u w:val="single"/>
        </w:rPr>
        <w:t xml:space="preserve">     </w:t>
      </w:r>
      <w:r>
        <w:rPr>
          <w:rFonts w:hint="eastAsia" w:cs="宋体"/>
        </w:rPr>
        <w:t xml:space="preserve"> </w:t>
      </w:r>
    </w:p>
    <w:p>
      <w:pPr>
        <w:pStyle w:val="82"/>
        <w:ind w:firstLine="480" w:firstLineChars="200"/>
        <w:rPr>
          <w:rFonts w:cs="宋体"/>
        </w:rPr>
      </w:pPr>
      <w:r>
        <w:rPr>
          <w:rFonts w:cs="宋体"/>
        </w:rPr>
        <w:sym w:font="Wingdings" w:char="F0A8"/>
      </w:r>
      <w:r>
        <w:rPr>
          <w:rFonts w:hint="eastAsia" w:cs="宋体"/>
        </w:rPr>
        <w:t>否</w:t>
      </w:r>
    </w:p>
    <w:p>
      <w:pPr>
        <w:pStyle w:val="82"/>
        <w:ind w:firstLine="480" w:firstLineChars="200"/>
        <w:rPr>
          <w:rFonts w:cs="宋体"/>
        </w:rPr>
      </w:pPr>
      <w:r>
        <w:rPr>
          <w:rFonts w:hint="eastAsia" w:cs="宋体"/>
        </w:rPr>
        <w:t>（</w:t>
      </w:r>
      <w:r>
        <w:rPr>
          <w:rFonts w:hint="eastAsia" w:cs="宋体"/>
          <w:lang w:val="en"/>
        </w:rPr>
        <w:t>4</w:t>
      </w:r>
      <w:r>
        <w:rPr>
          <w:rFonts w:hint="eastAsia" w:cs="宋体"/>
        </w:rPr>
        <w:t>）政府采购组织形式：</w:t>
      </w:r>
      <w:r>
        <w:rPr>
          <w:rFonts w:cs="宋体"/>
        </w:rPr>
        <w:sym w:font="Wingdings" w:char="F0A8"/>
      </w:r>
      <w:r>
        <w:rPr>
          <w:rFonts w:hint="eastAsia" w:cs="宋体"/>
        </w:rPr>
        <w:t xml:space="preserve">政府集中采购  </w:t>
      </w:r>
      <w:r>
        <w:rPr>
          <w:rFonts w:cs="宋体"/>
        </w:rPr>
        <w:sym w:font="Wingdings" w:char="F0A8"/>
      </w:r>
      <w:r>
        <w:rPr>
          <w:rFonts w:hint="eastAsia" w:cs="宋体"/>
        </w:rPr>
        <w:t xml:space="preserve">部门集中采购  </w:t>
      </w:r>
      <w:r>
        <w:rPr>
          <w:rFonts w:cs="宋体"/>
        </w:rPr>
        <w:sym w:font="Wingdings" w:char="F0A8"/>
      </w:r>
      <w:r>
        <w:rPr>
          <w:rFonts w:hint="eastAsia" w:cs="宋体"/>
        </w:rPr>
        <w:t>分散采购</w:t>
      </w:r>
    </w:p>
    <w:p>
      <w:pPr>
        <w:pStyle w:val="82"/>
        <w:ind w:firstLine="480" w:firstLineChars="200"/>
        <w:rPr>
          <w:rFonts w:cs="宋体"/>
        </w:rPr>
      </w:pPr>
      <w:r>
        <w:rPr>
          <w:rFonts w:hint="eastAsia" w:cs="宋体"/>
        </w:rPr>
        <w:t>（</w:t>
      </w:r>
      <w:r>
        <w:rPr>
          <w:rFonts w:hint="eastAsia" w:cs="宋体"/>
          <w:lang w:val="en"/>
        </w:rPr>
        <w:t>5</w:t>
      </w:r>
      <w:r>
        <w:rPr>
          <w:rFonts w:hint="eastAsia" w:cs="宋体"/>
        </w:rPr>
        <w:t>）政府采购方式：</w:t>
      </w:r>
      <w:r>
        <w:rPr>
          <w:rFonts w:cs="宋体"/>
        </w:rPr>
        <w:sym w:font="Wingdings" w:char="F0A8"/>
      </w:r>
      <w:r>
        <w:rPr>
          <w:rFonts w:hint="eastAsia" w:cs="宋体"/>
        </w:rPr>
        <w:t xml:space="preserve">公开招标 </w:t>
      </w:r>
      <w:r>
        <w:rPr>
          <w:rFonts w:cs="宋体"/>
        </w:rPr>
        <w:sym w:font="Wingdings" w:char="F0A8"/>
      </w:r>
      <w:r>
        <w:rPr>
          <w:rFonts w:hint="eastAsia" w:cs="宋体"/>
        </w:rPr>
        <w:t xml:space="preserve">邀请招标 </w:t>
      </w:r>
      <w:r>
        <w:rPr>
          <w:rFonts w:cs="宋体"/>
        </w:rPr>
        <w:sym w:font="Wingdings" w:char="F0A8"/>
      </w:r>
      <w:r>
        <w:rPr>
          <w:rFonts w:hint="eastAsia" w:cs="宋体"/>
        </w:rPr>
        <w:t xml:space="preserve">竞争性谈判 </w:t>
      </w:r>
      <w:r>
        <w:rPr>
          <w:rFonts w:cs="宋体"/>
        </w:rPr>
        <w:sym w:font="Wingdings" w:char="F0A8"/>
      </w:r>
      <w:r>
        <w:rPr>
          <w:rFonts w:hint="eastAsia" w:cs="宋体"/>
        </w:rPr>
        <w:t>竞争性磋商</w:t>
      </w:r>
    </w:p>
    <w:p>
      <w:pPr>
        <w:pStyle w:val="82"/>
        <w:ind w:firstLine="440" w:firstLineChars="200"/>
        <w:rPr>
          <w:rFonts w:cs="宋体"/>
          <w:u w:val="single"/>
        </w:rPr>
      </w:pPr>
      <w:r>
        <w:rPr>
          <w:rFonts w:hint="eastAsia" w:eastAsia="华文楷体" w:cs="宋体"/>
          <w:sz w:val="22"/>
        </w:rPr>
        <w:t xml:space="preserve">                     </w:t>
      </w:r>
      <w:r>
        <w:rPr>
          <w:rFonts w:cs="宋体"/>
        </w:rPr>
        <w:sym w:font="Wingdings" w:char="F0A8"/>
      </w:r>
      <w:r>
        <w:rPr>
          <w:rFonts w:hint="eastAsia" w:cs="宋体"/>
        </w:rPr>
        <w:t xml:space="preserve">询价 </w:t>
      </w:r>
      <w:r>
        <w:rPr>
          <w:rFonts w:cs="宋体"/>
        </w:rPr>
        <w:sym w:font="Wingdings" w:char="F0A8"/>
      </w:r>
      <w:r>
        <w:rPr>
          <w:rFonts w:hint="eastAsia" w:cs="宋体"/>
        </w:rPr>
        <w:t xml:space="preserve">单一来源 </w:t>
      </w:r>
      <w:r>
        <w:rPr>
          <w:rFonts w:cs="宋体"/>
        </w:rPr>
        <w:sym w:font="Wingdings" w:char="F0A8"/>
      </w:r>
      <w:r>
        <w:rPr>
          <w:rFonts w:hint="eastAsia" w:cs="宋体"/>
        </w:rPr>
        <w:t xml:space="preserve">框架协议 </w:t>
      </w:r>
      <w:r>
        <w:rPr>
          <w:rFonts w:cs="宋体"/>
        </w:rPr>
        <w:sym w:font="Wingdings" w:char="F0A8"/>
      </w:r>
      <w:r>
        <w:rPr>
          <w:rFonts w:hint="eastAsia" w:cs="宋体"/>
        </w:rPr>
        <w:t>其他：</w:t>
      </w:r>
      <w:r>
        <w:rPr>
          <w:rFonts w:hint="eastAsia" w:cs="宋体"/>
          <w:u w:val="single"/>
        </w:rPr>
        <w:t xml:space="preserve">          </w:t>
      </w:r>
    </w:p>
    <w:p>
      <w:pPr>
        <w:pStyle w:val="82"/>
        <w:ind w:firstLine="480" w:firstLineChars="200"/>
        <w:rPr>
          <w:rFonts w:cs="宋体"/>
        </w:rPr>
      </w:pPr>
      <w:r>
        <w:rPr>
          <w:rFonts w:hint="eastAsia" w:cs="宋体"/>
        </w:rPr>
        <w:t>（注：在框架协议采购的第二阶段，可选择使用该合同文本）</w:t>
      </w:r>
    </w:p>
    <w:p>
      <w:pPr>
        <w:pStyle w:val="82"/>
        <w:ind w:firstLine="440" w:firstLineChars="200"/>
      </w:pPr>
      <w:r>
        <w:rPr>
          <w:rFonts w:hint="eastAsia" w:eastAsia="华文楷体" w:cs="华文楷体"/>
          <w:sz w:val="22"/>
        </w:rPr>
        <w:t>（</w:t>
      </w:r>
      <w:r>
        <w:rPr>
          <w:rFonts w:hint="eastAsia" w:eastAsia="华文楷体" w:cs="华文楷体"/>
          <w:sz w:val="22"/>
          <w:lang w:val="en"/>
        </w:rPr>
        <w:t>6</w:t>
      </w:r>
      <w:r>
        <w:rPr>
          <w:rFonts w:hint="eastAsia" w:eastAsia="华文楷体" w:cs="华文楷体"/>
          <w:sz w:val="22"/>
        </w:rPr>
        <w:t>）</w:t>
      </w:r>
      <w:r>
        <w:rPr>
          <w:rFonts w:hint="eastAsia"/>
        </w:rPr>
        <w:t>中标（中标）采购标的制造商是否为中小企业：</w:t>
      </w:r>
      <w:r>
        <w:rPr/>
        <w:sym w:font="Wingdings" w:char="F0A8"/>
      </w:r>
      <w:r>
        <w:rPr>
          <w:rFonts w:hint="eastAsia"/>
        </w:rPr>
        <w:t xml:space="preserve">是      </w:t>
      </w:r>
      <w:r>
        <w:rPr/>
        <w:sym w:font="Wingdings" w:char="F0A8"/>
      </w:r>
      <w:r>
        <w:rPr>
          <w:rFonts w:hint="eastAsia"/>
        </w:rPr>
        <w:t>否</w:t>
      </w:r>
    </w:p>
    <w:p>
      <w:pPr>
        <w:pStyle w:val="82"/>
        <w:ind w:firstLine="480" w:firstLineChars="20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rPr>
          <w:iCs/>
        </w:rPr>
      </w:pPr>
      <w:r>
        <w:rPr>
          <w:rFonts w:hint="eastAsia"/>
        </w:rPr>
        <w:t>若本项目不专门面向中小企业采购，是否给予小微企业评审优惠：</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rPr>
          <w:iCs/>
        </w:rPr>
      </w:pPr>
      <w:r>
        <w:rPr>
          <w:rFonts w:hint="eastAsia"/>
        </w:rPr>
        <w:t>中标（中标）采购标的制造商是否为残疾人福利性单位：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pPr>
      <w:r>
        <w:rPr>
          <w:rFonts w:hint="eastAsia"/>
        </w:rPr>
        <w:t>中标（中标）采购标的制造商是否为监狱企业：</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rPr>
          <w:u w:val="single"/>
        </w:rPr>
      </w:pPr>
      <w:r>
        <w:rPr>
          <w:rFonts w:hint="eastAsia"/>
        </w:rPr>
        <w:t>分包主要内容：</w:t>
      </w:r>
      <w:r>
        <w:rPr>
          <w:rFonts w:hint="eastAsia"/>
          <w:u w:val="single"/>
        </w:rPr>
        <w:t xml:space="preserve">                                            </w:t>
      </w:r>
    </w:p>
    <w:p>
      <w:pPr>
        <w:pStyle w:val="82"/>
        <w:ind w:firstLine="480" w:firstLineChars="200"/>
      </w:pPr>
      <w:r>
        <w:rPr>
          <w:rFonts w:hint="eastAsia"/>
        </w:rPr>
        <w:t>分包供应商/制造商名称（如供应商和制造商不同，请分别填写）：</w:t>
      </w:r>
    </w:p>
    <w:p>
      <w:pPr>
        <w:pStyle w:val="82"/>
        <w:ind w:firstLine="480" w:firstLineChars="200"/>
        <w:rPr>
          <w:u w:val="single"/>
        </w:rPr>
      </w:pPr>
      <w:r>
        <w:rPr>
          <w:rFonts w:hint="eastAsia"/>
        </w:rPr>
        <w:t xml:space="preserve"> </w:t>
      </w:r>
      <w:r>
        <w:rPr>
          <w:rFonts w:hint="eastAsia"/>
          <w:u w:val="single"/>
        </w:rPr>
        <w:t xml:space="preserve">                                                          </w:t>
      </w:r>
    </w:p>
    <w:p>
      <w:pPr>
        <w:pStyle w:val="82"/>
        <w:ind w:firstLine="480" w:firstLineChars="200"/>
      </w:pPr>
      <w:r>
        <w:rPr>
          <w:rFonts w:hint="eastAsia"/>
        </w:rPr>
        <w:t>分包供应商/制造商类型（如果供应商和制造商不同，只填写制造商类型）：</w:t>
      </w:r>
    </w:p>
    <w:p>
      <w:pPr>
        <w:pStyle w:val="82"/>
        <w:ind w:firstLine="480" w:firstLineChars="20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pPr>
        <w:pStyle w:val="82"/>
        <w:ind w:firstLine="480" w:firstLineChars="20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pPr>
        <w:pStyle w:val="82"/>
        <w:ind w:firstLine="480" w:firstLineChars="200"/>
        <w:rPr>
          <w:rFonts w:cs="宋体"/>
          <w:iCs/>
        </w:rPr>
      </w:pPr>
      <w:r>
        <w:rPr>
          <w:rFonts w:hint="eastAsia" w:cs="宋体"/>
        </w:rPr>
        <w:t>（</w:t>
      </w:r>
      <w:r>
        <w:rPr>
          <w:rFonts w:hint="eastAsia" w:cs="宋体"/>
          <w:lang w:val="en"/>
        </w:rPr>
        <w:t>8</w:t>
      </w:r>
      <w:r>
        <w:rPr>
          <w:rFonts w:hint="eastAsia" w:cs="宋体"/>
        </w:rPr>
        <w:t>）中标（中标）供应商是否为外商投资企业：</w:t>
      </w:r>
      <w:r>
        <w:rPr>
          <w:rFonts w:cs="宋体"/>
          <w:iCs/>
        </w:rPr>
        <w:sym w:font="Wingdings" w:char="F0A8"/>
      </w:r>
      <w:r>
        <w:rPr>
          <w:rFonts w:hint="eastAsia" w:cs="宋体"/>
          <w:iCs/>
        </w:rPr>
        <w:t xml:space="preserve">是       </w:t>
      </w:r>
      <w:r>
        <w:rPr>
          <w:rFonts w:cs="宋体"/>
          <w:iCs/>
        </w:rPr>
        <w:sym w:font="Wingdings" w:char="F0A8"/>
      </w:r>
      <w:r>
        <w:rPr>
          <w:rFonts w:hint="eastAsia" w:cs="宋体"/>
          <w:iCs/>
        </w:rPr>
        <w:t>否</w:t>
      </w:r>
    </w:p>
    <w:p>
      <w:pPr>
        <w:pStyle w:val="82"/>
        <w:ind w:firstLine="480" w:firstLineChars="200"/>
        <w:rPr>
          <w:rFonts w:cs="宋体"/>
          <w:u w:val="single"/>
        </w:rPr>
      </w:pPr>
      <w:r>
        <w:rPr>
          <w:rFonts w:hint="eastAsia" w:cs="宋体"/>
        </w:rPr>
        <w:t xml:space="preserve">     外商投资企业类型：</w:t>
      </w:r>
      <w:r>
        <w:rPr>
          <w:rFonts w:cs="宋体"/>
          <w:iCs/>
        </w:rPr>
        <w:sym w:font="Wingdings" w:char="F0A8"/>
      </w:r>
      <w:r>
        <w:rPr>
          <w:rFonts w:hint="eastAsia" w:cs="宋体"/>
        </w:rPr>
        <w:t xml:space="preserve">全部由外国投资者投资  </w:t>
      </w:r>
      <w:r>
        <w:rPr>
          <w:rFonts w:cs="宋体"/>
          <w:iCs/>
        </w:rPr>
        <w:sym w:font="Wingdings" w:char="F0A8"/>
      </w:r>
      <w:r>
        <w:rPr>
          <w:rFonts w:hint="eastAsia" w:cs="宋体"/>
          <w:iCs/>
        </w:rPr>
        <w:t>部分由外国投资者投资</w:t>
      </w:r>
    </w:p>
    <w:p>
      <w:pPr>
        <w:pStyle w:val="82"/>
        <w:ind w:firstLine="480" w:firstLineChars="200"/>
        <w:rPr>
          <w:rFonts w:cs="宋体"/>
        </w:rPr>
      </w:pPr>
      <w:r>
        <w:rPr>
          <w:rFonts w:hint="eastAsia" w:cs="宋体"/>
        </w:rPr>
        <w:t>（</w:t>
      </w:r>
      <w:r>
        <w:rPr>
          <w:rFonts w:hint="eastAsia" w:cs="宋体"/>
          <w:lang w:val="en"/>
        </w:rPr>
        <w:t>9</w:t>
      </w:r>
      <w:r>
        <w:rPr>
          <w:rFonts w:hint="eastAsia" w:cs="宋体"/>
        </w:rPr>
        <w:t>）是否涉及进口产品：</w:t>
      </w:r>
    </w:p>
    <w:p>
      <w:pPr>
        <w:pStyle w:val="82"/>
        <w:ind w:firstLine="480" w:firstLineChars="200"/>
        <w:rPr>
          <w:rFonts w:cs="宋体"/>
          <w:u w:val="single"/>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金额：</w:t>
      </w:r>
      <w:r>
        <w:rPr>
          <w:rFonts w:hint="eastAsia" w:cs="宋体"/>
          <w:u w:val="single"/>
        </w:rPr>
        <w:t xml:space="preserve">        </w:t>
      </w:r>
    </w:p>
    <w:p>
      <w:pPr>
        <w:pStyle w:val="82"/>
        <w:ind w:firstLine="480" w:firstLineChars="200"/>
      </w:pPr>
      <w:r>
        <w:rPr>
          <w:rFonts w:hint="eastAsia" w:cs="宋体"/>
        </w:rPr>
        <w:t xml:space="preserve">        国别：</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规格型号：</w:t>
      </w:r>
      <w:r>
        <w:rPr>
          <w:rFonts w:hint="eastAsia" w:cs="宋体"/>
          <w:u w:val="single"/>
        </w:rPr>
        <w:t xml:space="preserve">        </w:t>
      </w:r>
      <w:r>
        <w:rPr>
          <w:rFonts w:hint="eastAsia"/>
        </w:rPr>
        <w:t xml:space="preserve">      </w:t>
      </w:r>
    </w:p>
    <w:p>
      <w:pPr>
        <w:pStyle w:val="82"/>
        <w:ind w:firstLine="480" w:firstLineChars="200"/>
      </w:pPr>
      <w:r>
        <w:rPr/>
        <w:sym w:font="Wingdings" w:char="F0A8"/>
      </w:r>
      <w:r>
        <w:rPr>
          <w:rFonts w:hint="eastAsia"/>
        </w:rPr>
        <w:t>否</w:t>
      </w:r>
    </w:p>
    <w:p>
      <w:pPr>
        <w:pStyle w:val="82"/>
        <w:ind w:firstLine="480" w:firstLineChars="200"/>
      </w:pPr>
      <w:r>
        <w:rPr>
          <w:rFonts w:hint="eastAsia"/>
        </w:rPr>
        <w:t>（1</w:t>
      </w:r>
      <w:r>
        <w:rPr>
          <w:rFonts w:hint="eastAsia"/>
          <w:lang w:val="en"/>
        </w:rPr>
        <w:t>0</w:t>
      </w:r>
      <w:r>
        <w:rPr>
          <w:rFonts w:hint="eastAsia"/>
        </w:rPr>
        <w:t>）是否涉及节能产品：</w:t>
      </w:r>
    </w:p>
    <w:p>
      <w:pPr>
        <w:pStyle w:val="82"/>
        <w:ind w:firstLine="480" w:firstLineChars="200"/>
        <w:rPr>
          <w:iCs/>
        </w:rPr>
      </w:pPr>
      <w:r>
        <w:rPr/>
        <w:sym w:font="Wingdings" w:char="F0A8"/>
      </w:r>
      <w:r>
        <w:rPr>
          <w:rFonts w:hint="eastAsia"/>
        </w:rPr>
        <w:t>是，《节能产品政府采购品目清单》的底级品目名称：</w:t>
      </w:r>
      <w:r>
        <w:rPr>
          <w:rFonts w:hint="eastAsia"/>
          <w:u w:val="single"/>
        </w:rPr>
        <w:t xml:space="preserve">         </w:t>
      </w:r>
      <w:r>
        <w:rPr>
          <w:rFonts w:hint="eastAsia"/>
          <w:iCs/>
        </w:rPr>
        <w:t xml:space="preserve">     </w:t>
      </w:r>
    </w:p>
    <w:p>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pPr>
        <w:pStyle w:val="82"/>
        <w:ind w:firstLine="480" w:firstLineChars="200"/>
      </w:pPr>
      <w:r>
        <w:rPr/>
        <w:sym w:font="Wingdings" w:char="F0A8"/>
      </w:r>
      <w:r>
        <w:rPr>
          <w:rFonts w:hint="eastAsia"/>
        </w:rPr>
        <w:t>否</w:t>
      </w:r>
    </w:p>
    <w:p>
      <w:pPr>
        <w:pStyle w:val="82"/>
        <w:ind w:firstLine="480" w:firstLineChars="200"/>
      </w:pPr>
      <w:r>
        <w:rPr>
          <w:rFonts w:hint="eastAsia"/>
        </w:rPr>
        <w:t>是否涉及环境标志产品：</w:t>
      </w:r>
    </w:p>
    <w:p>
      <w:pPr>
        <w:pStyle w:val="82"/>
        <w:ind w:firstLine="480" w:firstLineChars="200"/>
      </w:pPr>
      <w:r>
        <w:rPr/>
        <w:sym w:font="Wingdings" w:char="F0A8"/>
      </w:r>
      <w:r>
        <w:rPr>
          <w:rFonts w:hint="eastAsia"/>
        </w:rPr>
        <w:t>是，《环境标志产品政府采购品目清单》的底级品目名称：</w:t>
      </w:r>
      <w:r>
        <w:rPr>
          <w:rFonts w:hint="eastAsia"/>
          <w:u w:val="single"/>
        </w:rPr>
        <w:t xml:space="preserve">         </w:t>
      </w:r>
      <w:r>
        <w:rPr>
          <w:rFonts w:hint="eastAsia"/>
          <w:iCs/>
        </w:rPr>
        <w:t xml:space="preserve"> </w:t>
      </w:r>
    </w:p>
    <w:p>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pPr>
        <w:pStyle w:val="82"/>
        <w:ind w:firstLine="480" w:firstLineChars="200"/>
      </w:pPr>
      <w:r>
        <w:rPr/>
        <w:sym w:font="Wingdings" w:char="F0A8"/>
      </w:r>
      <w:r>
        <w:rPr>
          <w:rFonts w:hint="eastAsia"/>
        </w:rPr>
        <w:t>否</w:t>
      </w:r>
    </w:p>
    <w:p>
      <w:pPr>
        <w:pStyle w:val="82"/>
        <w:ind w:firstLine="480" w:firstLineChars="200"/>
      </w:pPr>
      <w:r>
        <w:rPr>
          <w:rFonts w:hint="eastAsia"/>
        </w:rPr>
        <w:t xml:space="preserve">是否涉及绿色产品： </w:t>
      </w:r>
    </w:p>
    <w:p>
      <w:pPr>
        <w:pStyle w:val="82"/>
        <w:ind w:firstLine="480" w:firstLineChars="200"/>
        <w:rPr>
          <w:rFonts w:cs="华文楷体"/>
          <w:sz w:val="22"/>
          <w:u w:val="single"/>
        </w:rPr>
      </w:pPr>
      <w:r>
        <w:rPr/>
        <w:sym w:font="Wingdings" w:char="F0A8"/>
      </w:r>
      <w:r>
        <w:rPr>
          <w:rFonts w:hint="eastAsia"/>
        </w:rPr>
        <w:t>是，绿色产品政府采购相关政策确定的底级品目名称：</w:t>
      </w:r>
      <w:r>
        <w:rPr>
          <w:rFonts w:hint="eastAsia" w:cs="华文楷体"/>
          <w:sz w:val="22"/>
          <w:u w:val="single"/>
        </w:rPr>
        <w:t xml:space="preserve">         </w:t>
      </w:r>
    </w:p>
    <w:p>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pPr>
        <w:pStyle w:val="82"/>
        <w:ind w:firstLine="480" w:firstLineChars="200"/>
        <w:rPr>
          <w:rFonts w:eastAsia="华文楷体" w:cs="华文楷体"/>
        </w:rPr>
      </w:pPr>
      <w:r>
        <w:rPr/>
        <w:sym w:font="Wingdings" w:char="F0A8"/>
      </w:r>
      <w:r>
        <w:rPr>
          <w:rFonts w:hint="eastAsia"/>
        </w:rPr>
        <w:t>否</w:t>
      </w:r>
    </w:p>
    <w:p>
      <w:pPr>
        <w:pStyle w:val="82"/>
        <w:ind w:firstLine="480" w:firstLineChars="20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pPr>
        <w:pStyle w:val="82"/>
        <w:ind w:firstLine="480" w:firstLineChars="200"/>
      </w:pPr>
      <w:r>
        <w:rPr/>
        <w:sym w:font="Wingdings" w:char="F0A8"/>
      </w:r>
      <w:r>
        <w:rPr>
          <w:rFonts w:hint="eastAsia"/>
        </w:rPr>
        <w:t xml:space="preserve">是       </w:t>
      </w:r>
      <w:r>
        <w:rPr/>
        <w:sym w:font="Wingdings" w:char="F0A8"/>
      </w:r>
      <w:r>
        <w:rPr>
          <w:rFonts w:hint="eastAsia"/>
        </w:rPr>
        <w:t xml:space="preserve">否      </w:t>
      </w:r>
      <w:r>
        <w:rPr/>
        <w:sym w:font="Wingdings" w:char="F0A8"/>
      </w:r>
      <w:r>
        <w:rPr>
          <w:rFonts w:hint="eastAsia"/>
        </w:rPr>
        <w:t>不涉及</w:t>
      </w:r>
    </w:p>
    <w:p>
      <w:pPr>
        <w:pStyle w:val="82"/>
        <w:ind w:firstLineChars="200"/>
        <w:rPr>
          <w:b/>
        </w:rPr>
      </w:pPr>
      <w:r>
        <w:rPr>
          <w:rFonts w:hint="eastAsia"/>
          <w:b/>
        </w:rPr>
        <w:t>2.合同金额</w:t>
      </w:r>
    </w:p>
    <w:p>
      <w:pPr>
        <w:pStyle w:val="82"/>
        <w:ind w:firstLine="480" w:firstLineChars="200"/>
      </w:pPr>
      <w:r>
        <w:rPr>
          <w:rFonts w:hint="eastAsia"/>
        </w:rPr>
        <w:t>（1）合同金额小写：</w:t>
      </w:r>
      <w:r>
        <w:rPr>
          <w:rFonts w:hint="eastAsia"/>
          <w:u w:val="single"/>
        </w:rPr>
        <w:t xml:space="preserve">                           </w:t>
      </w:r>
    </w:p>
    <w:p>
      <w:pPr>
        <w:pStyle w:val="82"/>
        <w:ind w:firstLine="480" w:firstLineChars="200"/>
        <w:rPr>
          <w:u w:val="single"/>
        </w:rPr>
      </w:pPr>
      <w:r>
        <w:rPr>
          <w:rFonts w:hint="eastAsia"/>
        </w:rPr>
        <w:t xml:space="preserve">             大写：</w:t>
      </w:r>
      <w:r>
        <w:rPr>
          <w:rFonts w:hint="eastAsia"/>
          <w:u w:val="single"/>
        </w:rPr>
        <w:t xml:space="preserve">                           </w:t>
      </w:r>
    </w:p>
    <w:p>
      <w:pPr>
        <w:pStyle w:val="82"/>
        <w:ind w:firstLine="480" w:firstLineChars="200"/>
      </w:pPr>
      <w:r>
        <w:rPr>
          <w:rFonts w:hint="eastAsia"/>
        </w:rPr>
        <w:t xml:space="preserve">     分包金额（如有）小写：</w:t>
      </w:r>
      <w:r>
        <w:rPr>
          <w:rFonts w:hint="eastAsia"/>
          <w:u w:val="single"/>
        </w:rPr>
        <w:t xml:space="preserve">                   </w:t>
      </w:r>
    </w:p>
    <w:p>
      <w:pPr>
        <w:pStyle w:val="82"/>
        <w:ind w:firstLine="480" w:firstLineChars="200"/>
        <w:rPr>
          <w:u w:val="single"/>
        </w:rPr>
      </w:pPr>
      <w:r>
        <w:rPr>
          <w:rFonts w:hint="eastAsia"/>
        </w:rPr>
        <w:t xml:space="preserve">                     大写：</w:t>
      </w:r>
      <w:r>
        <w:rPr>
          <w:rFonts w:hint="eastAsia"/>
          <w:u w:val="single"/>
        </w:rPr>
        <w:t xml:space="preserve">                   </w:t>
      </w:r>
    </w:p>
    <w:p>
      <w:pPr>
        <w:pStyle w:val="82"/>
        <w:ind w:firstLine="480" w:firstLineChars="200"/>
      </w:pPr>
      <w:r>
        <w:rPr>
          <w:rFonts w:hint="eastAsia"/>
        </w:rPr>
        <w:t xml:space="preserve">    （注：固定单价合同应填写单价和最高限价）</w:t>
      </w:r>
    </w:p>
    <w:p>
      <w:pPr>
        <w:pStyle w:val="82"/>
        <w:ind w:firstLine="480" w:firstLineChars="200"/>
      </w:pPr>
      <w:r>
        <w:rPr>
          <w:rFonts w:hint="eastAsia"/>
        </w:rPr>
        <w:t>（2）合同定价方式（采用组合定价方式的，可以勾选多项）：</w:t>
      </w:r>
    </w:p>
    <w:p>
      <w:pPr>
        <w:pStyle w:val="82"/>
        <w:ind w:firstLine="480" w:firstLineChars="20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pPr>
        <w:pStyle w:val="82"/>
        <w:ind w:firstLine="480" w:firstLineChars="200"/>
      </w:pPr>
      <w:r>
        <w:rPr>
          <w:rFonts w:hint="eastAsia"/>
        </w:rPr>
        <w:t>（3）付款方式（按项目实际勾选填写）：</w:t>
      </w:r>
    </w:p>
    <w:p>
      <w:pPr>
        <w:pStyle w:val="82"/>
        <w:ind w:firstLine="480" w:firstLineChars="200"/>
        <w:rPr>
          <w:u w:val="single"/>
        </w:rPr>
      </w:pPr>
      <w:r>
        <w:rPr/>
        <w:sym w:font="Wingdings" w:char="F0A8"/>
      </w:r>
      <w:r>
        <w:rPr>
          <w:rFonts w:hint="eastAsia"/>
        </w:rPr>
        <w:t>全额付款：</w:t>
      </w:r>
      <w:r>
        <w:rPr>
          <w:rFonts w:hint="eastAsia"/>
          <w:u w:val="single"/>
        </w:rPr>
        <w:t xml:space="preserve">     （应明确一次性支付合同款项的条件）                    </w:t>
      </w:r>
    </w:p>
    <w:p>
      <w:pPr>
        <w:pStyle w:val="82"/>
        <w:ind w:firstLine="480" w:firstLineChars="200"/>
      </w:pPr>
      <w:r>
        <w:rP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pPr>
        <w:pStyle w:val="82"/>
        <w:ind w:firstLine="480" w:firstLineChars="200"/>
        <w:rPr>
          <w:u w:val="single"/>
        </w:rPr>
      </w:pPr>
      <w:r>
        <w:rPr/>
        <w:sym w:font="Wingdings" w:char="F0A8"/>
      </w:r>
      <w:r>
        <w:rPr>
          <w:rFonts w:hint="eastAsia"/>
        </w:rPr>
        <w:t>成本补偿：</w:t>
      </w:r>
      <w:r>
        <w:rPr>
          <w:rFonts w:hint="eastAsia"/>
          <w:u w:val="single"/>
        </w:rPr>
        <w:t xml:space="preserve">      （应明确按照成本补偿方式的支付方式和支付条件）   </w:t>
      </w:r>
    </w:p>
    <w:p>
      <w:pPr>
        <w:pStyle w:val="82"/>
        <w:ind w:firstLine="480" w:firstLineChars="200"/>
      </w:pPr>
      <w:r>
        <w:rPr/>
        <w:sym w:font="Wingdings" w:char="F0A8"/>
      </w:r>
      <w:r>
        <w:rPr>
          <w:rFonts w:hint="eastAsia"/>
        </w:rPr>
        <w:t>绩效激励：</w:t>
      </w:r>
      <w:r>
        <w:rPr>
          <w:rFonts w:hint="eastAsia"/>
          <w:u w:val="single"/>
        </w:rPr>
        <w:t xml:space="preserve">      （应明确按照绩效激励方式的支付方式和支付条件）   </w:t>
      </w:r>
    </w:p>
    <w:p>
      <w:pPr>
        <w:pStyle w:val="82"/>
        <w:ind w:firstLineChars="200"/>
        <w:rPr>
          <w:b/>
          <w:u w:val="single"/>
        </w:rPr>
      </w:pPr>
      <w:r>
        <w:rPr>
          <w:rFonts w:hint="eastAsia"/>
          <w:b/>
        </w:rPr>
        <w:t>3.合同履行</w:t>
      </w:r>
    </w:p>
    <w:p>
      <w:pPr>
        <w:pStyle w:val="82"/>
        <w:ind w:firstLine="480" w:firstLineChars="200"/>
        <w:rPr>
          <w:rFonts w:cs="宋体"/>
        </w:rPr>
      </w:pPr>
      <w:r>
        <w:rPr>
          <w:rFonts w:hint="eastAsia" w:cs="宋体"/>
        </w:rPr>
        <w:t>（1）起始日期：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日，完成日期：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pPr>
        <w:pStyle w:val="82"/>
        <w:ind w:firstLine="480" w:firstLineChars="200"/>
        <w:rPr>
          <w:rFonts w:cs="宋体"/>
          <w:u w:val="single"/>
        </w:rPr>
      </w:pPr>
      <w:r>
        <w:rPr>
          <w:rFonts w:hint="eastAsia" w:cs="宋体"/>
        </w:rPr>
        <w:t>（2）履约地点</w:t>
      </w:r>
      <w:r>
        <w:rPr>
          <w:rFonts w:hint="eastAsia" w:cs="宋体"/>
          <w:bCs/>
        </w:rPr>
        <w:t>：</w:t>
      </w:r>
      <w:r>
        <w:rPr>
          <w:rFonts w:hint="eastAsia" w:cs="宋体"/>
          <w:u w:val="single"/>
        </w:rPr>
        <w:t xml:space="preserve">                             </w:t>
      </w:r>
    </w:p>
    <w:p>
      <w:pPr>
        <w:pStyle w:val="82"/>
        <w:ind w:firstLine="480" w:firstLineChars="200"/>
        <w:rPr>
          <w:rFonts w:cs="宋体"/>
        </w:rPr>
      </w:pPr>
      <w:r>
        <w:rPr>
          <w:rFonts w:hint="eastAsia" w:cs="宋体"/>
          <w:bCs/>
        </w:rPr>
        <w:t>（3）履约担保：</w:t>
      </w:r>
      <w:r>
        <w:rPr>
          <w:rFonts w:hint="eastAsia" w:cs="宋体"/>
        </w:rPr>
        <w:t>是否收取履约保证金：</w:t>
      </w:r>
      <w:r>
        <w:rPr>
          <w:rFonts w:cs="宋体"/>
        </w:rPr>
        <w:sym w:font="Wingdings" w:char="F0A8"/>
      </w:r>
      <w:r>
        <w:rPr>
          <w:rFonts w:hint="eastAsia" w:cs="宋体"/>
        </w:rPr>
        <w:t xml:space="preserve">是    </w:t>
      </w:r>
      <w:r>
        <w:rPr>
          <w:rFonts w:cs="宋体"/>
        </w:rPr>
        <w:sym w:font="Wingdings" w:char="F0A8"/>
      </w:r>
      <w:r>
        <w:rPr>
          <w:rFonts w:hint="eastAsia" w:cs="宋体"/>
        </w:rPr>
        <w:t>否</w:t>
      </w:r>
    </w:p>
    <w:p>
      <w:pPr>
        <w:pStyle w:val="82"/>
        <w:ind w:firstLine="480" w:firstLineChars="200"/>
        <w:rPr>
          <w:rFonts w:cs="宋体"/>
        </w:rPr>
      </w:pPr>
      <w:r>
        <w:rPr>
          <w:rFonts w:hint="eastAsia" w:cs="宋体"/>
        </w:rPr>
        <w:t>收取履约保证金形式：</w:t>
      </w:r>
      <w:r>
        <w:rPr>
          <w:rFonts w:hint="eastAsia" w:cs="宋体"/>
          <w:bCs/>
          <w:u w:val="single"/>
        </w:rPr>
        <w:t xml:space="preserve">                            </w:t>
      </w:r>
    </w:p>
    <w:p>
      <w:pPr>
        <w:pStyle w:val="82"/>
        <w:ind w:firstLine="480" w:firstLineChars="200"/>
        <w:rPr>
          <w:rFonts w:cs="宋体"/>
        </w:rPr>
      </w:pPr>
      <w:r>
        <w:rPr>
          <w:rFonts w:hint="eastAsia" w:cs="宋体"/>
        </w:rPr>
        <w:t>收取履约保证金金额：</w:t>
      </w:r>
      <w:r>
        <w:rPr>
          <w:rFonts w:hint="eastAsia" w:cs="宋体"/>
          <w:bCs/>
          <w:u w:val="single"/>
        </w:rPr>
        <w:t xml:space="preserve">                            </w:t>
      </w:r>
    </w:p>
    <w:p>
      <w:pPr>
        <w:pStyle w:val="82"/>
        <w:ind w:firstLine="480" w:firstLineChars="200"/>
        <w:rPr>
          <w:rFonts w:cs="宋体"/>
        </w:rPr>
      </w:pPr>
      <w:r>
        <w:rPr>
          <w:rFonts w:hint="eastAsia" w:cs="宋体"/>
          <w:bCs/>
        </w:rPr>
        <w:t>履约担保期限：</w:t>
      </w:r>
      <w:r>
        <w:rPr>
          <w:rFonts w:hint="eastAsia" w:cs="宋体"/>
          <w:bCs/>
          <w:u w:val="single"/>
        </w:rPr>
        <w:t xml:space="preserve">                                  </w:t>
      </w:r>
    </w:p>
    <w:p>
      <w:pPr>
        <w:pStyle w:val="82"/>
        <w:ind w:firstLine="480" w:firstLineChars="200"/>
        <w:rPr>
          <w:rFonts w:cs="宋体"/>
          <w:bCs/>
        </w:rPr>
      </w:pPr>
      <w:r>
        <w:rPr>
          <w:rFonts w:hint="eastAsia" w:cs="宋体"/>
          <w:bCs/>
        </w:rPr>
        <w:t>（4）分期履行要求：</w:t>
      </w:r>
      <w:r>
        <w:rPr>
          <w:rFonts w:hint="eastAsia" w:cs="宋体"/>
          <w:bCs/>
          <w:u w:val="single"/>
        </w:rPr>
        <w:t xml:space="preserve">                                                        </w:t>
      </w:r>
    </w:p>
    <w:p>
      <w:pPr>
        <w:pStyle w:val="82"/>
        <w:ind w:firstLine="480" w:firstLineChars="200"/>
        <w:rPr>
          <w:rFonts w:cs="宋体"/>
          <w:u w:val="single"/>
        </w:rPr>
      </w:pPr>
      <w:r>
        <w:rPr>
          <w:rFonts w:hint="eastAsia" w:cs="宋体"/>
          <w:bCs/>
        </w:rPr>
        <w:t>（5）风险处置措施和替代方案：</w:t>
      </w:r>
      <w:r>
        <w:rPr>
          <w:rFonts w:hint="eastAsia" w:cs="宋体"/>
          <w:u w:val="single"/>
        </w:rPr>
        <w:t xml:space="preserve">                                                               </w:t>
      </w:r>
    </w:p>
    <w:p>
      <w:pPr>
        <w:pStyle w:val="82"/>
        <w:ind w:firstLineChars="200"/>
        <w:rPr>
          <w:b/>
        </w:rPr>
      </w:pPr>
      <w:r>
        <w:rPr>
          <w:rFonts w:hint="eastAsia"/>
          <w:b/>
        </w:rPr>
        <w:t>4.合同验收</w:t>
      </w:r>
    </w:p>
    <w:p>
      <w:pPr>
        <w:pStyle w:val="82"/>
        <w:ind w:firstLine="480" w:firstLineChars="20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pPr>
        <w:pStyle w:val="82"/>
        <w:ind w:firstLine="480" w:firstLineChars="200"/>
        <w:rPr>
          <w:bCs/>
        </w:rPr>
      </w:pPr>
      <w:r>
        <w:rPr>
          <w:rFonts w:hint="eastAsia"/>
          <w:bCs/>
        </w:rPr>
        <w:t>验收主体：</w:t>
      </w:r>
      <w:r>
        <w:rPr>
          <w:rFonts w:hint="eastAsia"/>
          <w:bCs/>
          <w:u w:val="single"/>
        </w:rPr>
        <w:t xml:space="preserve">                  </w:t>
      </w:r>
    </w:p>
    <w:p>
      <w:pPr>
        <w:pStyle w:val="82"/>
        <w:ind w:firstLine="480" w:firstLineChars="20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pPr>
        <w:pStyle w:val="82"/>
        <w:ind w:firstLine="480" w:firstLineChars="20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pPr>
        <w:pStyle w:val="82"/>
        <w:ind w:firstLine="480" w:firstLineChars="20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pPr>
        <w:pStyle w:val="82"/>
        <w:ind w:firstLine="480" w:firstLineChars="20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pPr>
        <w:pStyle w:val="82"/>
        <w:ind w:firstLine="480" w:firstLineChars="20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r>
        <w:rPr>
          <w:rFonts w:hint="eastAsia"/>
          <w:bCs/>
        </w:rPr>
        <w:t>否</w:t>
      </w:r>
    </w:p>
    <w:p>
      <w:pPr>
        <w:pStyle w:val="82"/>
        <w:ind w:firstLine="480" w:firstLineChars="20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pPr>
        <w:pStyle w:val="82"/>
        <w:ind w:firstLine="480" w:firstLineChars="200"/>
        <w:rPr>
          <w:bCs/>
        </w:rPr>
      </w:pPr>
      <w:r>
        <w:rPr>
          <w:rFonts w:hint="eastAsia"/>
          <w:bCs/>
        </w:rPr>
        <w:t xml:space="preserve">                    </w:t>
      </w:r>
      <w:r>
        <w:rPr>
          <w:rFonts w:cs="宋体"/>
        </w:rPr>
        <w:sym w:font="Wingdings" w:char="F0A8"/>
      </w:r>
      <w:r>
        <w:rPr>
          <w:rFonts w:hint="eastAsia"/>
          <w:bCs/>
        </w:rPr>
        <w:t>否</w:t>
      </w:r>
    </w:p>
    <w:p>
      <w:pPr>
        <w:pStyle w:val="82"/>
        <w:ind w:firstLine="480" w:firstLineChars="200"/>
        <w:rPr>
          <w:bCs/>
          <w:u w:val="single"/>
        </w:rPr>
      </w:pPr>
      <w:r>
        <w:rPr>
          <w:rFonts w:hint="eastAsia"/>
          <w:bCs/>
        </w:rPr>
        <w:t>验收组织的其他事项：</w:t>
      </w:r>
      <w:r>
        <w:rPr>
          <w:rFonts w:hint="eastAsia"/>
          <w:bCs/>
          <w:u w:val="single"/>
        </w:rPr>
        <w:t xml:space="preserve">                </w:t>
      </w:r>
    </w:p>
    <w:p>
      <w:pPr>
        <w:pStyle w:val="82"/>
        <w:ind w:firstLine="480" w:firstLineChars="200"/>
        <w:rPr>
          <w:bCs/>
          <w:u w:val="single"/>
        </w:rPr>
      </w:pPr>
      <w:r>
        <w:rPr>
          <w:rFonts w:hint="eastAsia"/>
          <w:bCs/>
        </w:rPr>
        <w:t>（2）履约验收时间：</w:t>
      </w:r>
      <w:r>
        <w:rPr>
          <w:rFonts w:hint="eastAsia"/>
          <w:bCs/>
          <w:u w:val="single"/>
        </w:rPr>
        <w:t xml:space="preserve">（计划于何时验收/供应商提出验收申请之日起   日内组织验收） </w:t>
      </w:r>
    </w:p>
    <w:p>
      <w:pPr>
        <w:pStyle w:val="82"/>
        <w:ind w:firstLine="480" w:firstLineChars="200"/>
        <w:rPr>
          <w:bCs/>
        </w:rPr>
      </w:pPr>
      <w:r>
        <w:rPr>
          <w:rFonts w:hint="eastAsia"/>
          <w:bCs/>
        </w:rPr>
        <w:t>（3）履约验收方式：</w:t>
      </w:r>
      <w:r>
        <w:rPr>
          <w:rFonts w:cs="宋体"/>
        </w:rPr>
        <w:sym w:font="Wingdings" w:char="F0A8"/>
      </w:r>
      <w:r>
        <w:rPr>
          <w:rFonts w:hint="eastAsia"/>
          <w:bCs/>
        </w:rPr>
        <w:t xml:space="preserve">一次性验收         </w:t>
      </w:r>
    </w:p>
    <w:p>
      <w:pPr>
        <w:pStyle w:val="82"/>
        <w:ind w:firstLine="480" w:firstLineChars="20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pPr>
        <w:pStyle w:val="82"/>
        <w:ind w:firstLine="480" w:firstLineChars="200"/>
        <w:rPr>
          <w:bCs/>
        </w:rPr>
      </w:pPr>
      <w:r>
        <w:rPr>
          <w:rFonts w:hint="eastAsia"/>
          <w:bCs/>
        </w:rPr>
        <w:t>（4）履约验收程序：</w:t>
      </w:r>
      <w:r>
        <w:rPr>
          <w:rFonts w:hint="eastAsia"/>
          <w:bCs/>
          <w:u w:val="single"/>
        </w:rPr>
        <w:t xml:space="preserve">                                         </w:t>
      </w:r>
    </w:p>
    <w:p>
      <w:pPr>
        <w:pStyle w:val="82"/>
        <w:ind w:firstLine="480" w:firstLineChars="20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pPr>
        <w:pStyle w:val="82"/>
        <w:ind w:firstLine="480" w:firstLineChars="200"/>
        <w:rPr>
          <w:bCs/>
          <w:u w:val="single"/>
        </w:rPr>
      </w:pPr>
      <w:r>
        <w:rPr>
          <w:rFonts w:hint="eastAsia"/>
          <w:bCs/>
        </w:rPr>
        <w:t>（6）履约验收标准：</w:t>
      </w:r>
      <w:r>
        <w:rPr>
          <w:rFonts w:hint="eastAsia"/>
          <w:bCs/>
          <w:u w:val="single"/>
        </w:rPr>
        <w:t xml:space="preserve">                                         </w:t>
      </w:r>
    </w:p>
    <w:p>
      <w:pPr>
        <w:pStyle w:val="82"/>
        <w:ind w:firstLine="480" w:firstLineChars="200"/>
        <w:rPr>
          <w:rFonts w:cs="宋体"/>
        </w:rPr>
      </w:pPr>
      <w:r>
        <w:rPr>
          <w:rFonts w:hint="eastAsia" w:cs="宋体"/>
          <w:bCs/>
        </w:rPr>
        <w:t>（7）是否以采购活动中供应商提供的样品作为参考：</w:t>
      </w:r>
      <w:r>
        <w:rPr>
          <w:rFonts w:cs="宋体"/>
        </w:rPr>
        <w:sym w:font="Wingdings" w:char="F0A8"/>
      </w:r>
      <w:r>
        <w:rPr>
          <w:rFonts w:hint="eastAsia" w:cs="宋体"/>
          <w:bCs/>
        </w:rPr>
        <w:t xml:space="preserve">是  </w:t>
      </w:r>
      <w:r>
        <w:rPr>
          <w:rFonts w:cs="宋体"/>
        </w:rPr>
        <w:sym w:font="Wingdings" w:char="F0A8"/>
      </w:r>
      <w:r>
        <w:rPr>
          <w:rFonts w:hint="eastAsia" w:cs="宋体"/>
          <w:bCs/>
        </w:rPr>
        <w:t>否</w:t>
      </w:r>
    </w:p>
    <w:p>
      <w:pPr>
        <w:pStyle w:val="82"/>
        <w:ind w:firstLine="480" w:firstLineChars="200"/>
        <w:rPr>
          <w:rFonts w:cs="宋体"/>
          <w:bCs/>
          <w:u w:val="single"/>
        </w:rPr>
      </w:pPr>
      <w:r>
        <w:rPr>
          <w:rFonts w:hint="eastAsia" w:cs="宋体"/>
          <w:bCs/>
        </w:rPr>
        <w:t>（8）履约验收其他事项：</w:t>
      </w:r>
      <w:r>
        <w:rPr>
          <w:rFonts w:hint="eastAsia" w:cs="宋体"/>
          <w:bCs/>
          <w:u w:val="single"/>
        </w:rPr>
        <w:t xml:space="preserve">      （产权过户登记等）          </w:t>
      </w:r>
    </w:p>
    <w:p>
      <w:pPr>
        <w:pStyle w:val="82"/>
        <w:ind w:firstLineChars="200"/>
        <w:rPr>
          <w:b/>
        </w:rPr>
      </w:pPr>
      <w:r>
        <w:rPr>
          <w:rFonts w:hint="eastAsia"/>
          <w:b/>
        </w:rPr>
        <w:t>5.组成合同的文件</w:t>
      </w:r>
    </w:p>
    <w:p>
      <w:pPr>
        <w:pStyle w:val="82"/>
        <w:ind w:firstLine="480" w:firstLineChars="200"/>
      </w:pPr>
      <w:r>
        <w:rPr>
          <w:rFonts w:hint="eastAsia"/>
        </w:rPr>
        <w:t>本协议书与下列文件一起构成合同文件，如下述文件之间有任何抵触、矛盾或歧义，应按以下顺序解释：</w:t>
      </w:r>
    </w:p>
    <w:p>
      <w:pPr>
        <w:pStyle w:val="82"/>
        <w:ind w:firstLine="480" w:firstLineChars="200"/>
      </w:pPr>
      <w:r>
        <w:rPr>
          <w:rFonts w:hint="eastAsia"/>
        </w:rPr>
        <w:t>（1）政府采购合同协议书及其变更、补充协议</w:t>
      </w:r>
    </w:p>
    <w:p>
      <w:pPr>
        <w:pStyle w:val="82"/>
        <w:ind w:firstLine="480" w:firstLineChars="200"/>
      </w:pPr>
      <w:r>
        <w:rPr>
          <w:rFonts w:hint="eastAsia"/>
        </w:rPr>
        <w:t>（2）政府采购合同专用条款</w:t>
      </w:r>
    </w:p>
    <w:p>
      <w:pPr>
        <w:pStyle w:val="82"/>
        <w:ind w:firstLine="480" w:firstLineChars="200"/>
      </w:pPr>
      <w:r>
        <w:rPr>
          <w:rFonts w:hint="eastAsia"/>
        </w:rPr>
        <w:t>（3）政府采购合同通用条款</w:t>
      </w:r>
    </w:p>
    <w:p>
      <w:pPr>
        <w:pStyle w:val="82"/>
        <w:ind w:firstLine="480" w:firstLineChars="200"/>
      </w:pPr>
      <w:r>
        <w:rPr>
          <w:rFonts w:hint="eastAsia"/>
        </w:rPr>
        <w:t>（4）中标（中标）通知书</w:t>
      </w:r>
    </w:p>
    <w:p>
      <w:pPr>
        <w:pStyle w:val="82"/>
        <w:ind w:firstLine="480" w:firstLineChars="200"/>
      </w:pPr>
      <w:r>
        <w:rPr>
          <w:rFonts w:hint="eastAsia"/>
        </w:rPr>
        <w:t>（5）投标（响应）文件</w:t>
      </w:r>
    </w:p>
    <w:p>
      <w:pPr>
        <w:pStyle w:val="82"/>
        <w:ind w:firstLine="480" w:firstLineChars="200"/>
      </w:pPr>
      <w:r>
        <w:rPr>
          <w:rFonts w:hint="eastAsia"/>
        </w:rPr>
        <w:t>（6）采购文件</w:t>
      </w:r>
    </w:p>
    <w:p>
      <w:pPr>
        <w:pStyle w:val="82"/>
        <w:ind w:firstLine="480" w:firstLineChars="200"/>
      </w:pPr>
      <w:r>
        <w:rPr>
          <w:rFonts w:hint="eastAsia"/>
        </w:rPr>
        <w:t>（7）有关技术文件，图纸</w:t>
      </w:r>
    </w:p>
    <w:p>
      <w:pPr>
        <w:pStyle w:val="82"/>
        <w:ind w:firstLine="480" w:firstLineChars="200"/>
        <w:rPr>
          <w:rFonts w:cs="宋体"/>
        </w:rPr>
      </w:pPr>
      <w:r>
        <w:rPr>
          <w:rFonts w:hint="eastAsia" w:cs="宋体"/>
        </w:rPr>
        <w:t>（8）国家法律、行政法规和规章制度规定或合同约定的作为合同组成部分的其他文件</w:t>
      </w:r>
    </w:p>
    <w:p>
      <w:pPr>
        <w:pStyle w:val="82"/>
        <w:ind w:firstLineChars="200"/>
        <w:rPr>
          <w:b/>
        </w:rPr>
      </w:pPr>
      <w:r>
        <w:rPr>
          <w:rFonts w:hint="eastAsia"/>
          <w:b/>
        </w:rPr>
        <w:t>6.合同生效</w:t>
      </w:r>
    </w:p>
    <w:p>
      <w:pPr>
        <w:pStyle w:val="82"/>
        <w:ind w:firstLine="480" w:firstLineChars="200"/>
      </w:pPr>
      <w:r>
        <w:rPr>
          <w:rFonts w:hint="eastAsia"/>
        </w:rPr>
        <w:t>本合同自</w:t>
      </w:r>
      <w:r>
        <w:rPr>
          <w:rFonts w:hint="eastAsia"/>
          <w:u w:val="single"/>
        </w:rPr>
        <w:t xml:space="preserve">                             </w:t>
      </w:r>
      <w:r>
        <w:rPr>
          <w:rFonts w:hint="eastAsia"/>
        </w:rPr>
        <w:t>生效。</w:t>
      </w:r>
    </w:p>
    <w:p>
      <w:pPr>
        <w:pStyle w:val="82"/>
        <w:ind w:firstLineChars="200"/>
        <w:rPr>
          <w:b/>
        </w:rPr>
      </w:pPr>
      <w:r>
        <w:rPr>
          <w:rFonts w:hint="eastAsia"/>
          <w:b/>
        </w:rPr>
        <w:t>7.合同份数</w:t>
      </w:r>
    </w:p>
    <w:p>
      <w:pPr>
        <w:pStyle w:val="82"/>
        <w:ind w:firstLine="480" w:firstLineChars="20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pPr>
        <w:pStyle w:val="82"/>
        <w:ind w:firstLine="480" w:firstLineChars="20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82"/>
        <w:ind w:firstLine="480" w:firstLineChars="200"/>
      </w:pPr>
      <w:r>
        <w:rPr>
          <w:rFonts w:hint="eastAsia"/>
        </w:rPr>
        <w:t>合同订立地点：</w:t>
      </w:r>
      <w:r>
        <w:rPr>
          <w:rFonts w:hint="eastAsia"/>
          <w:u w:val="single"/>
        </w:rPr>
        <w:t xml:space="preserve">                           </w:t>
      </w:r>
    </w:p>
    <w:p>
      <w:pPr>
        <w:pStyle w:val="82"/>
        <w:ind w:firstLine="480" w:firstLineChars="200"/>
      </w:pPr>
      <w:r>
        <w:rPr>
          <w:rFonts w:hint="eastAsia"/>
        </w:rPr>
        <w:t>附件：具体标的及其技术要求和商务要求、联合协议、分包意向协议等。</w:t>
      </w:r>
    </w:p>
    <w:p>
      <w:pPr>
        <w:pStyle w:val="82"/>
      </w:pPr>
    </w:p>
    <w:p>
      <w:pPr>
        <w:pStyle w:val="82"/>
        <w:rPr>
          <w:szCs w:val="21"/>
        </w:rPr>
      </w:pPr>
      <w:r>
        <w:rPr>
          <w:lang w:val="en"/>
        </w:rPr>
        <w:t xml:space="preserve">   </w:t>
      </w:r>
    </w:p>
    <w:p>
      <w:pPr>
        <w:adjustRightInd/>
      </w:pPr>
      <w:r>
        <w:br w:type="page"/>
      </w:r>
    </w:p>
    <w:p>
      <w:pPr>
        <w:adjustRightInd/>
        <w:ind w:firstLine="420" w:firstLineChars="200"/>
        <w:rPr>
          <w:szCs w:val="21"/>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sz w:val="28"/>
          <w:szCs w:val="28"/>
        </w:rPr>
      </w:pPr>
      <w:r>
        <w:rPr>
          <w:rFonts w:hint="eastAsia" w:ascii="宋体" w:hAnsi="宋体"/>
          <w:b/>
          <w:bCs/>
          <w:szCs w:val="21"/>
          <w:u w:val="single"/>
        </w:rPr>
        <w:br w:type="page"/>
      </w:r>
      <w:bookmarkStart w:id="431" w:name="_Toc27624"/>
      <w:r>
        <w:rPr>
          <w:rFonts w:hint="eastAsia" w:ascii="黑体" w:hAnsi="黑体" w:eastAsia="黑体"/>
          <w:sz w:val="28"/>
          <w:szCs w:val="28"/>
        </w:rPr>
        <w:t>第二节 政府采购合同通用条款</w:t>
      </w:r>
      <w:bookmarkEnd w:id="431"/>
    </w:p>
    <w:p>
      <w:pPr>
        <w:tabs>
          <w:tab w:val="left" w:pos="8820"/>
          <w:tab w:val="left" w:pos="9345"/>
          <w:tab w:val="left" w:pos="9765"/>
        </w:tabs>
        <w:snapToGrid w:val="0"/>
        <w:spacing w:line="360" w:lineRule="auto"/>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1.1合同当事人</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（2）供应商（以下称乙方）是指参加政府采购活动并且中标（中标），向采购人提供合同约定的货物及其相关服务的法人、非法人组织或者自然人。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sz w:val="24"/>
        </w:rPr>
        <w:t>。</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1.2本合同下列术语应解释为：</w:t>
      </w:r>
    </w:p>
    <w:p>
      <w:pPr>
        <w:snapToGrid w:val="0"/>
        <w:spacing w:line="360" w:lineRule="auto"/>
        <w:ind w:firstLine="480" w:firstLineChars="200"/>
        <w:jc w:val="left"/>
        <w:rPr>
          <w:rFonts w:ascii="宋体" w:hAnsi="宋体"/>
          <w:sz w:val="24"/>
        </w:rPr>
      </w:pPr>
      <w:r>
        <w:rPr>
          <w:rFonts w:hint="eastAsia" w:ascii="宋体" w:hAnsi="宋体"/>
          <w:sz w:val="24"/>
        </w:rPr>
        <w:t>（1）“合同”系指</w:t>
      </w:r>
      <w:r>
        <w:rPr>
          <w:rFonts w:hint="eastAsia" w:ascii="宋体" w:hAnsi="宋体" w:cs="宋体"/>
          <w:bCs/>
          <w:sz w:val="24"/>
        </w:rPr>
        <w:t>合同当事人意思表示达成一致的任何协议，包括签署的</w:t>
      </w:r>
      <w:r>
        <w:rPr>
          <w:rFonts w:hint="eastAsia" w:ascii="宋体" w:hAnsi="宋体"/>
          <w:sz w:val="24"/>
        </w:rPr>
        <w:t>政府采购合同协议书及其变更、补充协议，政府采购合同专用条款，政府采购合同通用条款，中标（中标）通知书，投标（响应）文件，采购文件，有关技术文件和图纸，以及</w:t>
      </w:r>
      <w:r>
        <w:rPr>
          <w:rFonts w:hint="eastAsia" w:ascii="宋体" w:hAnsi="宋体" w:cs="宋体"/>
          <w:sz w:val="24"/>
        </w:rPr>
        <w:t>国家法律、行政法规和规章制度规定或合同约定的作为合同组成部分的其他文件</w:t>
      </w:r>
      <w:r>
        <w:rPr>
          <w:rFonts w:hint="eastAsia" w:ascii="宋体" w:hAnsi="宋体"/>
          <w:sz w:val="24"/>
        </w:rPr>
        <w:t>。</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（3）“货物”系指乙方根据本合同规定须向甲方提供的各种形态和种类的物品，包括原材料、设备、产品（包括软件）及相关的其备品备件、工具、手册及</w:t>
      </w:r>
      <w:r>
        <w:rPr>
          <w:rFonts w:hint="eastAsia" w:ascii="宋体" w:hAnsi="宋体"/>
          <w:sz w:val="24"/>
          <w:lang w:val="en"/>
        </w:rPr>
        <w:t>其他</w:t>
      </w:r>
      <w:r>
        <w:rPr>
          <w:rFonts w:hint="eastAsia" w:ascii="宋体" w:hAnsi="宋体"/>
          <w:sz w:val="24"/>
        </w:rPr>
        <w:t>技术资料和材料等。</w:t>
      </w:r>
    </w:p>
    <w:p>
      <w:pPr>
        <w:snapToGrid w:val="0"/>
        <w:spacing w:line="360" w:lineRule="auto"/>
        <w:ind w:firstLine="480" w:firstLineChars="200"/>
        <w:jc w:val="left"/>
        <w:rPr>
          <w:rFonts w:ascii="宋体" w:hAnsi="宋体"/>
          <w:sz w:val="24"/>
        </w:rPr>
      </w:pPr>
      <w:r>
        <w:rPr>
          <w:rFonts w:hint="eastAsia" w:ascii="宋体" w:hAnsi="宋体"/>
          <w:sz w:val="24"/>
        </w:rPr>
        <w:t>（4）“相关服务”系指根据合同规定，乙方应提供的与货物有关的技术、管理和</w:t>
      </w:r>
      <w:r>
        <w:rPr>
          <w:rFonts w:hint="eastAsia" w:ascii="宋体" w:hAnsi="宋体"/>
          <w:sz w:val="24"/>
          <w:lang w:val="en"/>
        </w:rPr>
        <w:t>其他</w:t>
      </w:r>
      <w:r>
        <w:rPr>
          <w:rFonts w:hint="eastAsia" w:ascii="宋体" w:hAnsi="宋体"/>
          <w:sz w:val="24"/>
        </w:rPr>
        <w:t>服务，包括但不限于：管理和质量保证、运输、保险、检验、现场准备、安装、集成、调试、培训、维修、废弃处置、技术支持等以及合同中规定乙方应承担的</w:t>
      </w:r>
      <w:r>
        <w:rPr>
          <w:rFonts w:hint="eastAsia" w:ascii="宋体" w:hAnsi="宋体"/>
          <w:sz w:val="24"/>
          <w:lang w:val="en"/>
        </w:rPr>
        <w:t>其他</w:t>
      </w:r>
      <w:r>
        <w:rPr>
          <w:rFonts w:hint="eastAsia" w:ascii="宋体" w:hAnsi="宋体"/>
          <w:sz w:val="24"/>
        </w:rPr>
        <w:t>义务。</w:t>
      </w:r>
    </w:p>
    <w:p>
      <w:pPr>
        <w:snapToGrid w:val="0"/>
        <w:spacing w:line="360" w:lineRule="auto"/>
        <w:ind w:firstLine="480" w:firstLineChars="200"/>
        <w:jc w:val="left"/>
        <w:rPr>
          <w:rFonts w:ascii="宋体" w:hAnsi="宋体"/>
          <w:sz w:val="24"/>
        </w:rPr>
      </w:pPr>
      <w:r>
        <w:rPr>
          <w:rFonts w:hint="eastAsia" w:ascii="宋体" w:hAnsi="宋体"/>
          <w:sz w:val="24"/>
        </w:rPr>
        <w:t>（5）“分包”系指中标（中标）供应商按采购文件、投标（响应）文件的规定，根据分包意向协议，将中标（中标）项目中的部分履约内容，分给具有相应资质条件的供应商履行合同的行为。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4"/>
        </w:rPr>
        <w:t>政府采购合同专用条款</w:t>
      </w:r>
      <w:r>
        <w:rPr>
          <w:rFonts w:hint="eastAsia" w:ascii="宋体" w:hAnsi="宋体"/>
          <w:sz w:val="24"/>
        </w:rPr>
        <w:t>】。</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（7）其他术语解释，见【</w:t>
      </w:r>
      <w:r>
        <w:rPr>
          <w:rFonts w:hint="eastAsia" w:ascii="宋体" w:hAnsi="宋体"/>
          <w:b/>
          <w:bCs/>
          <w:sz w:val="24"/>
        </w:rPr>
        <w:t>政府采购合同专用条款</w:t>
      </w:r>
      <w:r>
        <w:rPr>
          <w:rFonts w:hint="eastAsia" w:ascii="宋体" w:hAnsi="宋体"/>
          <w:sz w:val="24"/>
        </w:rPr>
        <w:t>】。</w:t>
      </w:r>
    </w:p>
    <w:p>
      <w:pPr>
        <w:tabs>
          <w:tab w:val="left" w:pos="8820"/>
          <w:tab w:val="left" w:pos="9345"/>
          <w:tab w:val="left" w:pos="9765"/>
        </w:tabs>
        <w:snapToGrid w:val="0"/>
        <w:spacing w:line="360" w:lineRule="auto"/>
        <w:jc w:val="left"/>
        <w:rPr>
          <w:rFonts w:ascii="宋体" w:hAnsi="宋体"/>
          <w:b/>
          <w:sz w:val="24"/>
        </w:rPr>
      </w:pPr>
      <w:r>
        <w:rPr>
          <w:rFonts w:hint="eastAsia" w:ascii="宋体" w:hAnsi="宋体"/>
          <w:b/>
          <w:sz w:val="24"/>
        </w:rPr>
        <w:t>2. 合同标的及金额</w:t>
      </w:r>
    </w:p>
    <w:p>
      <w:pPr>
        <w:autoSpaceDE w:val="0"/>
        <w:autoSpaceDN w:val="0"/>
        <w:snapToGrid w:val="0"/>
        <w:spacing w:line="360" w:lineRule="auto"/>
        <w:ind w:firstLine="480" w:firstLineChars="200"/>
        <w:jc w:val="left"/>
        <w:rPr>
          <w:rFonts w:ascii="宋体" w:hAnsi="宋体"/>
          <w:b/>
          <w:bCs/>
          <w:i/>
          <w:iCs/>
          <w:sz w:val="24"/>
        </w:rPr>
      </w:pPr>
      <w:r>
        <w:rPr>
          <w:rFonts w:hint="eastAsia" w:ascii="宋体" w:hAnsi="宋体"/>
          <w:sz w:val="24"/>
        </w:rPr>
        <w:t>2.1 合同标的及金额应与中标（中标）结果一致。乙方为履行本合同而发生的所有费用均应包含在合同价款中，甲方不再另行支付</w:t>
      </w:r>
      <w:r>
        <w:rPr>
          <w:rFonts w:hint="eastAsia" w:ascii="宋体" w:hAnsi="宋体"/>
          <w:sz w:val="24"/>
          <w:lang w:val="en"/>
        </w:rPr>
        <w:t>其他</w:t>
      </w:r>
      <w:r>
        <w:rPr>
          <w:rFonts w:hint="eastAsia" w:ascii="宋体" w:hAnsi="宋体"/>
          <w:sz w:val="24"/>
        </w:rPr>
        <w:t>任何费用。</w:t>
      </w:r>
    </w:p>
    <w:p>
      <w:pPr>
        <w:snapToGrid w:val="0"/>
        <w:spacing w:line="360" w:lineRule="auto"/>
        <w:jc w:val="left"/>
        <w:rPr>
          <w:rFonts w:ascii="宋体" w:hAnsi="宋体"/>
          <w:b/>
          <w:sz w:val="24"/>
        </w:rPr>
      </w:pPr>
      <w:r>
        <w:rPr>
          <w:rFonts w:hint="eastAsia" w:ascii="宋体" w:hAnsi="宋体"/>
          <w:b/>
          <w:sz w:val="24"/>
        </w:rPr>
        <w:t>3. 履行合同的时间、地点和方式</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3.1 </w:t>
      </w:r>
      <w:r>
        <w:rPr>
          <w:rFonts w:hint="eastAsia" w:ascii="宋体" w:hAnsi="宋体" w:cs="宋体"/>
          <w:sz w:val="24"/>
        </w:rPr>
        <w:t>乙方应当在约定的时间、地点，按照约定方式履行合同。</w:t>
      </w:r>
    </w:p>
    <w:p>
      <w:pPr>
        <w:autoSpaceDE w:val="0"/>
        <w:autoSpaceDN w:val="0"/>
        <w:snapToGrid w:val="0"/>
        <w:spacing w:line="360" w:lineRule="auto"/>
        <w:jc w:val="left"/>
        <w:rPr>
          <w:rFonts w:ascii="宋体" w:hAnsi="宋体"/>
          <w:b/>
          <w:bCs/>
          <w:sz w:val="24"/>
        </w:rPr>
      </w:pPr>
      <w:r>
        <w:rPr>
          <w:rFonts w:hint="eastAsia" w:ascii="宋体" w:hAnsi="宋体"/>
          <w:b/>
          <w:bCs/>
          <w:sz w:val="24"/>
        </w:rPr>
        <w:t>4. 甲方的权利和义务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sz w:val="24"/>
        </w:rPr>
      </w:pPr>
      <w:r>
        <w:rPr>
          <w:rFonts w:hint="eastAsia" w:ascii="宋体" w:hAnsi="宋体"/>
          <w:sz w:val="24"/>
        </w:rPr>
        <w:t>4.4 甲方应当按照合同约定及时对交付的货物进行验收，</w:t>
      </w:r>
      <w:r>
        <w:rPr>
          <w:rFonts w:hint="eastAsia" w:ascii="宋体" w:hAnsi="宋体" w:cs="宋体"/>
          <w:sz w:val="24"/>
        </w:rPr>
        <w:t>未</w:t>
      </w:r>
      <w:r>
        <w:rPr>
          <w:rFonts w:hint="eastAsia" w:ascii="宋体" w:hAnsi="宋体"/>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sz w:val="24"/>
        </w:rPr>
        <w:t>视为验收通过。</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4.6 国家法律法规规定及</w:t>
      </w:r>
      <w:r>
        <w:rPr>
          <w:rFonts w:hint="eastAsia" w:ascii="宋体" w:hAnsi="宋体" w:cs="宋体"/>
          <w:b/>
          <w:bCs/>
          <w:sz w:val="24"/>
        </w:rPr>
        <w:t>【政府采购合同专用条款】</w:t>
      </w:r>
      <w:r>
        <w:rPr>
          <w:rFonts w:hint="eastAsia" w:ascii="宋体" w:hAnsi="宋体"/>
          <w:sz w:val="24"/>
        </w:rPr>
        <w:t>约定应由甲方承担的其他义务和责任。</w:t>
      </w:r>
    </w:p>
    <w:p>
      <w:pPr>
        <w:autoSpaceDE w:val="0"/>
        <w:autoSpaceDN w:val="0"/>
        <w:snapToGrid w:val="0"/>
        <w:spacing w:line="360" w:lineRule="auto"/>
        <w:jc w:val="left"/>
        <w:rPr>
          <w:rFonts w:ascii="宋体" w:hAnsi="宋体"/>
          <w:b/>
          <w:bCs/>
          <w:sz w:val="24"/>
        </w:rPr>
      </w:pPr>
      <w:r>
        <w:rPr>
          <w:rFonts w:hint="eastAsia" w:ascii="宋体" w:hAnsi="宋体"/>
          <w:b/>
          <w:bCs/>
          <w:sz w:val="24"/>
        </w:rPr>
        <w:t>5. 乙方的权利和义务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sz w:val="24"/>
        </w:rPr>
      </w:pPr>
      <w:r>
        <w:rPr>
          <w:rFonts w:hint="eastAsia" w:ascii="宋体" w:hAnsi="宋体"/>
          <w:sz w:val="24"/>
        </w:rPr>
        <w:t>5.3乙方有权</w:t>
      </w:r>
      <w:r>
        <w:rPr>
          <w:rFonts w:hint="eastAsia" w:ascii="宋体" w:hAnsi="宋体" w:cs="宋体"/>
          <w:sz w:val="24"/>
        </w:rPr>
        <w:t>根据合同约定向甲方收取合同价款。</w:t>
      </w:r>
    </w:p>
    <w:p>
      <w:pPr>
        <w:adjustRightInd/>
        <w:spacing w:line="360" w:lineRule="auto"/>
        <w:ind w:firstLine="422" w:firstLineChars="176"/>
        <w:rPr>
          <w:rFonts w:ascii="宋体" w:hAnsi="宋体" w:cs="宋体"/>
          <w:sz w:val="24"/>
        </w:rPr>
      </w:pPr>
      <w:r>
        <w:rPr>
          <w:rFonts w:hint="eastAsia" w:ascii="宋体" w:hAnsi="宋体"/>
          <w:sz w:val="24"/>
        </w:rPr>
        <w:t>5.4</w:t>
      </w:r>
      <w:r>
        <w:rPr>
          <w:rFonts w:hint="eastAsia" w:ascii="宋体" w:hAnsi="宋体" w:cs="宋体"/>
          <w:sz w:val="24"/>
        </w:rPr>
        <w:t>国家法律法规规定</w:t>
      </w:r>
      <w:r>
        <w:rPr>
          <w:rFonts w:hint="eastAsia" w:ascii="宋体" w:hAnsi="宋体"/>
          <w:sz w:val="24"/>
        </w:rPr>
        <w:t>及</w:t>
      </w:r>
      <w:r>
        <w:rPr>
          <w:rFonts w:hint="eastAsia" w:ascii="宋体" w:hAnsi="宋体" w:cs="宋体"/>
          <w:b/>
          <w:bCs/>
          <w:sz w:val="24"/>
        </w:rPr>
        <w:t>【政府采购合同专用条款】</w:t>
      </w:r>
      <w:r>
        <w:rPr>
          <w:rFonts w:hint="eastAsia" w:ascii="宋体" w:hAnsi="宋体" w:cs="宋体"/>
          <w:sz w:val="24"/>
        </w:rPr>
        <w:t>约定应由乙方承担的其他义务和责任。</w:t>
      </w:r>
    </w:p>
    <w:p>
      <w:pPr>
        <w:autoSpaceDE w:val="0"/>
        <w:autoSpaceDN w:val="0"/>
        <w:snapToGrid w:val="0"/>
        <w:spacing w:line="360" w:lineRule="auto"/>
        <w:jc w:val="left"/>
        <w:rPr>
          <w:rFonts w:ascii="宋体" w:hAnsi="宋体"/>
          <w:b/>
          <w:bCs/>
          <w:sz w:val="24"/>
        </w:rPr>
      </w:pPr>
      <w:r>
        <w:rPr>
          <w:rFonts w:hint="eastAsia" w:ascii="宋体" w:hAnsi="宋体"/>
          <w:b/>
          <w:bCs/>
          <w:sz w:val="24"/>
        </w:rPr>
        <w:t>6.合同履行</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6.1 甲乙双方应当按照</w:t>
      </w:r>
      <w:r>
        <w:rPr>
          <w:rFonts w:hint="eastAsia" w:ascii="宋体" w:hAnsi="宋体" w:cs="宋体"/>
          <w:b/>
          <w:bCs/>
          <w:sz w:val="24"/>
        </w:rPr>
        <w:t>【政府采购合同专用条款】</w:t>
      </w:r>
      <w:r>
        <w:rPr>
          <w:rFonts w:hint="eastAsia" w:ascii="宋体" w:hAnsi="宋体"/>
          <w:sz w:val="24"/>
        </w:rPr>
        <w:t>约定顺序履行合同义务；如果没有先后顺序的，应当同时履行。</w:t>
      </w:r>
    </w:p>
    <w:p>
      <w:pPr>
        <w:autoSpaceDE w:val="0"/>
        <w:autoSpaceDN w:val="0"/>
        <w:snapToGrid w:val="0"/>
        <w:spacing w:line="360" w:lineRule="auto"/>
        <w:ind w:firstLine="480" w:firstLineChars="200"/>
        <w:jc w:val="left"/>
        <w:rPr>
          <w:sz w:val="24"/>
        </w:rPr>
      </w:pPr>
      <w:r>
        <w:rPr>
          <w:rFonts w:hint="eastAsia" w:ascii="宋体" w:hAnsi="宋体"/>
          <w:sz w:val="24"/>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sz w:val="24"/>
        </w:rPr>
      </w:pPr>
      <w:r>
        <w:rPr>
          <w:rFonts w:hint="eastAsia" w:ascii="宋体" w:hAnsi="宋体"/>
          <w:b/>
          <w:bCs/>
          <w:sz w:val="24"/>
        </w:rPr>
        <w:t>7. 货物包装、运输、保险和交付要求</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7.1 本合同</w:t>
      </w:r>
      <w:r>
        <w:rPr>
          <w:rFonts w:hint="eastAsia" w:ascii="宋体" w:hAnsi="宋体"/>
          <w:bCs/>
          <w:sz w:val="24"/>
        </w:rPr>
        <w:t>涉及商品包装、快递包装的，</w:t>
      </w:r>
      <w:r>
        <w:rPr>
          <w:rFonts w:hint="eastAsia" w:ascii="宋体" w:hAnsi="宋体"/>
          <w:sz w:val="24"/>
        </w:rPr>
        <w:t>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包装应适应远距离运输、防潮、防震、防锈和防野蛮装卸等要求，确保货物安全无损地运抵</w:t>
      </w:r>
      <w:r>
        <w:rPr>
          <w:rFonts w:hint="eastAsia" w:ascii="宋体" w:hAnsi="宋体"/>
          <w:b/>
          <w:sz w:val="24"/>
        </w:rPr>
        <w:t>【政府采购合同专用条款】</w:t>
      </w:r>
      <w:r>
        <w:rPr>
          <w:rFonts w:hint="eastAsia" w:ascii="宋体" w:hAnsi="宋体"/>
          <w:bCs/>
          <w:sz w:val="24"/>
        </w:rPr>
        <w:t>约定的</w:t>
      </w:r>
      <w:r>
        <w:rPr>
          <w:rFonts w:hint="eastAsia" w:ascii="宋体" w:hAnsi="宋体"/>
          <w:sz w:val="24"/>
        </w:rPr>
        <w:t>指定现场。</w:t>
      </w:r>
    </w:p>
    <w:p>
      <w:pPr>
        <w:snapToGrid w:val="0"/>
        <w:spacing w:line="360" w:lineRule="auto"/>
        <w:ind w:firstLine="480" w:firstLineChars="200"/>
        <w:jc w:val="left"/>
        <w:rPr>
          <w:rFonts w:ascii="宋体" w:hAnsi="宋体"/>
          <w:sz w:val="24"/>
        </w:rPr>
      </w:pPr>
      <w:r>
        <w:rPr>
          <w:rFonts w:hint="eastAsia" w:ascii="宋体" w:hAnsi="宋体"/>
          <w:sz w:val="24"/>
        </w:rPr>
        <w:t>7.2 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sz w:val="24"/>
        </w:rPr>
      </w:pPr>
      <w:r>
        <w:rPr>
          <w:rFonts w:hint="eastAsia" w:ascii="宋体" w:hAnsi="宋体"/>
          <w:sz w:val="24"/>
        </w:rPr>
        <w:t>7.3 货物保险要求按</w:t>
      </w:r>
      <w:r>
        <w:rPr>
          <w:rFonts w:hint="eastAsia" w:ascii="宋体" w:hAnsi="宋体"/>
          <w:b/>
          <w:sz w:val="24"/>
        </w:rPr>
        <w:t>【政府采购合同专用条款】</w:t>
      </w:r>
      <w:r>
        <w:rPr>
          <w:rFonts w:hint="eastAsia" w:ascii="宋体" w:hAnsi="宋体"/>
          <w:bCs/>
          <w:sz w:val="24"/>
        </w:rPr>
        <w:t>规定执行</w:t>
      </w:r>
      <w:r>
        <w:rPr>
          <w:rFonts w:hint="eastAsia" w:ascii="宋体" w:hAnsi="宋体"/>
          <w:sz w:val="24"/>
        </w:rPr>
        <w:t>。</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7.5 </w:t>
      </w:r>
      <w:r>
        <w:rPr>
          <w:rFonts w:hint="eastAsia" w:ascii="宋体" w:hAnsi="宋体" w:cs="宋体"/>
          <w:sz w:val="24"/>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kern w:val="0"/>
          <w:sz w:val="24"/>
        </w:rPr>
      </w:pPr>
      <w:r>
        <w:rPr>
          <w:rFonts w:hint="eastAsia" w:ascii="宋体" w:hAnsi="宋体"/>
          <w:sz w:val="24"/>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sz w:val="24"/>
        </w:rPr>
      </w:pPr>
      <w:r>
        <w:rPr>
          <w:rFonts w:hint="eastAsia" w:ascii="宋体" w:hAnsi="宋体"/>
          <w:b/>
          <w:sz w:val="24"/>
        </w:rPr>
        <w:t>8. 质量标准和保证</w:t>
      </w:r>
    </w:p>
    <w:p>
      <w:pPr>
        <w:snapToGrid w:val="0"/>
        <w:spacing w:line="360" w:lineRule="auto"/>
        <w:ind w:firstLine="480" w:firstLineChars="200"/>
        <w:jc w:val="left"/>
        <w:rPr>
          <w:rFonts w:ascii="宋体" w:hAnsi="宋体" w:cs="Courier New"/>
          <w:b/>
          <w:sz w:val="24"/>
        </w:rPr>
      </w:pPr>
      <w:r>
        <w:rPr>
          <w:rFonts w:hint="eastAsia" w:ascii="宋体" w:hAnsi="宋体" w:cs="Courier New"/>
          <w:sz w:val="24"/>
        </w:rPr>
        <w:t>8.1 质量标准</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（1）本合同下提供的货物应符合合同</w:t>
      </w:r>
      <w:r>
        <w:rPr>
          <w:rFonts w:hint="eastAsia" w:ascii="宋体" w:hAnsi="宋体" w:cs="宋体"/>
          <w:sz w:val="24"/>
        </w:rPr>
        <w:t>约定的品牌、规格型号、技术性能、配置、质量、数量等要求。</w:t>
      </w:r>
      <w:r>
        <w:rPr>
          <w:rFonts w:hint="eastAsia" w:ascii="宋体" w:hAnsi="宋体"/>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sz w:val="24"/>
        </w:rPr>
      </w:pPr>
      <w:r>
        <w:rPr>
          <w:rFonts w:hint="eastAsia" w:ascii="宋体" w:hAnsi="宋体" w:cs="Courier New"/>
          <w:sz w:val="24"/>
        </w:rPr>
        <w:t>（2）采用中华人民共和国法定计量单位。</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（3）乙方所提供的货物应符合国家有关安全、环保、卫生的规定。</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8.2 保证</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（1）乙方应保证提供的货物完全符合合同规定的质量、规格和性能要求。乙方应保证货物在正确安装、正常使用和保养条件下，</w:t>
      </w:r>
      <w:r>
        <w:rPr>
          <w:rFonts w:hint="eastAsia" w:ascii="宋体" w:hAnsi="宋体" w:cs="宋体"/>
          <w:sz w:val="24"/>
        </w:rPr>
        <w:t>在其使用寿命期内具备合同约定的性能</w:t>
      </w:r>
      <w:r>
        <w:rPr>
          <w:rFonts w:hint="eastAsia" w:ascii="宋体" w:hAnsi="宋体"/>
          <w:sz w:val="24"/>
        </w:rPr>
        <w:t>。存在质量保证期的，货物最终交付验收合格后在</w:t>
      </w:r>
      <w:r>
        <w:rPr>
          <w:rFonts w:hint="eastAsia" w:ascii="宋体" w:hAnsi="宋体"/>
          <w:b/>
          <w:sz w:val="24"/>
        </w:rPr>
        <w:t>【政府采购合同专用条款】</w:t>
      </w:r>
      <w:r>
        <w:rPr>
          <w:rFonts w:hint="eastAsia" w:ascii="宋体" w:hAnsi="宋体"/>
          <w:sz w:val="24"/>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（3）乙方收到通知后，应在</w:t>
      </w:r>
      <w:r>
        <w:rPr>
          <w:rFonts w:hint="eastAsia" w:ascii="宋体" w:hAnsi="宋体"/>
          <w:b/>
          <w:sz w:val="24"/>
        </w:rPr>
        <w:t>【政府采购合同专用条款】</w:t>
      </w:r>
      <w:r>
        <w:rPr>
          <w:rFonts w:hint="eastAsia" w:ascii="宋体" w:hAnsi="宋体"/>
          <w:sz w:val="24"/>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sz w:val="24"/>
        </w:rPr>
      </w:pPr>
      <w:r>
        <w:rPr>
          <w:rFonts w:hint="eastAsia" w:ascii="宋体" w:hAnsi="宋体"/>
          <w:sz w:val="24"/>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sz w:val="24"/>
        </w:rPr>
      </w:pPr>
      <w:r>
        <w:rPr>
          <w:rFonts w:hint="eastAsia" w:ascii="宋体" w:hAnsi="宋体"/>
          <w:b/>
          <w:bCs/>
          <w:sz w:val="24"/>
        </w:rPr>
        <w:t>9. 权利瑕疵担保</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9.1 乙方保证对其出售的货物享有合法的权利。</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9.2 </w:t>
      </w:r>
      <w:r>
        <w:rPr>
          <w:rFonts w:hint="eastAsia" w:ascii="宋体" w:hAnsi="宋体" w:cs="宋体"/>
          <w:sz w:val="24"/>
        </w:rPr>
        <w:t>乙方保证在交付的货物上不存在抵押权等担保物权。</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9.3 如甲方使用上述货物构成对第三人侵权的，则由乙方承担全部责任。</w:t>
      </w:r>
    </w:p>
    <w:p>
      <w:pPr>
        <w:autoSpaceDE w:val="0"/>
        <w:autoSpaceDN w:val="0"/>
        <w:snapToGrid w:val="0"/>
        <w:spacing w:line="360" w:lineRule="auto"/>
        <w:jc w:val="left"/>
        <w:rPr>
          <w:rFonts w:ascii="宋体" w:hAnsi="宋体"/>
          <w:b/>
          <w:bCs/>
          <w:sz w:val="24"/>
        </w:rPr>
      </w:pPr>
      <w:r>
        <w:rPr>
          <w:rFonts w:hint="eastAsia" w:ascii="宋体" w:hAnsi="宋体"/>
          <w:b/>
          <w:bCs/>
          <w:sz w:val="24"/>
        </w:rPr>
        <w:t>10. 知识产权保护</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10.1 乙方对其所销售的货物应当享有知识产权或经权利人合法授权，保证没有侵犯任何第三人的知识产权等权利。</w:t>
      </w:r>
      <w:bookmarkStart w:id="432"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432"/>
      <w:r>
        <w:rPr>
          <w:rFonts w:hint="eastAsia" w:ascii="宋体" w:hAnsi="宋体"/>
          <w:sz w:val="24"/>
        </w:rPr>
        <w:t>。</w:t>
      </w:r>
    </w:p>
    <w:p>
      <w:pPr>
        <w:autoSpaceDE w:val="0"/>
        <w:autoSpaceDN w:val="0"/>
        <w:snapToGrid w:val="0"/>
        <w:spacing w:line="360" w:lineRule="auto"/>
        <w:jc w:val="left"/>
        <w:rPr>
          <w:rFonts w:ascii="宋体" w:hAnsi="宋体"/>
          <w:b/>
          <w:bCs/>
          <w:sz w:val="24"/>
        </w:rPr>
      </w:pPr>
      <w:r>
        <w:rPr>
          <w:rFonts w:hint="eastAsia" w:ascii="宋体" w:hAnsi="宋体"/>
          <w:b/>
          <w:bCs/>
          <w:sz w:val="24"/>
        </w:rPr>
        <w:t>11. 保密义务</w:t>
      </w:r>
    </w:p>
    <w:p>
      <w:pPr>
        <w:autoSpaceDE w:val="0"/>
        <w:autoSpaceDN w:val="0"/>
        <w:snapToGrid w:val="0"/>
        <w:spacing w:line="360" w:lineRule="auto"/>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pPr>
        <w:autoSpaceDE w:val="0"/>
        <w:autoSpaceDN w:val="0"/>
        <w:snapToGrid w:val="0"/>
        <w:spacing w:line="360" w:lineRule="auto"/>
        <w:jc w:val="left"/>
        <w:rPr>
          <w:rFonts w:ascii="宋体" w:hAnsi="宋体"/>
          <w:b/>
          <w:bCs/>
          <w:sz w:val="24"/>
        </w:rPr>
      </w:pPr>
      <w:r>
        <w:rPr>
          <w:rFonts w:hint="eastAsia" w:ascii="宋体" w:hAnsi="宋体"/>
          <w:b/>
          <w:bCs/>
          <w:sz w:val="24"/>
        </w:rPr>
        <w:t>12. 合同价款支付</w:t>
      </w:r>
    </w:p>
    <w:p>
      <w:pPr>
        <w:snapToGrid w:val="0"/>
        <w:spacing w:line="360" w:lineRule="auto"/>
        <w:ind w:firstLine="480" w:firstLineChars="200"/>
        <w:jc w:val="left"/>
        <w:rPr>
          <w:rFonts w:ascii="宋体" w:hAnsi="宋体"/>
          <w:sz w:val="24"/>
        </w:rPr>
      </w:pPr>
      <w:r>
        <w:rPr>
          <w:rFonts w:hint="eastAsia" w:ascii="宋体" w:hAnsi="宋体"/>
          <w:sz w:val="24"/>
        </w:rPr>
        <w:t>12.1 合同价款支付按照国库集中支付制度及财政管理相关规定执行。</w:t>
      </w:r>
    </w:p>
    <w:p>
      <w:pPr>
        <w:keepNext/>
        <w:keepLines/>
        <w:adjustRightInd/>
        <w:spacing w:line="360" w:lineRule="auto"/>
        <w:ind w:firstLine="480" w:firstLineChars="200"/>
        <w:rPr>
          <w:rFonts w:ascii="Arial" w:hAnsi="Arial"/>
          <w:b/>
          <w:bCs/>
          <w:sz w:val="24"/>
        </w:rPr>
      </w:pPr>
      <w:r>
        <w:rPr>
          <w:rFonts w:hint="eastAsia" w:ascii="宋体" w:hAnsi="宋体"/>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 w:val="24"/>
        </w:rPr>
        <w:t>政府采购合同专用条款</w:t>
      </w:r>
      <w:r>
        <w:rPr>
          <w:rFonts w:hint="eastAsia" w:ascii="宋体" w:hAnsi="宋体"/>
          <w:sz w:val="24"/>
        </w:rPr>
        <w:t>】中约定。</w:t>
      </w:r>
    </w:p>
    <w:p>
      <w:pPr>
        <w:adjustRightInd/>
        <w:spacing w:line="360" w:lineRule="auto"/>
        <w:rPr>
          <w:rFonts w:ascii="宋体" w:hAnsi="宋体"/>
          <w:b/>
          <w:bCs/>
          <w:sz w:val="24"/>
        </w:rPr>
      </w:pPr>
      <w:r>
        <w:rPr>
          <w:rFonts w:hint="eastAsia" w:ascii="宋体" w:hAnsi="宋体"/>
          <w:b/>
          <w:bCs/>
          <w:sz w:val="24"/>
        </w:rPr>
        <w:t>13. 履约保证金</w:t>
      </w:r>
    </w:p>
    <w:p>
      <w:pPr>
        <w:snapToGrid w:val="0"/>
        <w:spacing w:line="360" w:lineRule="auto"/>
        <w:ind w:firstLine="480" w:firstLineChars="200"/>
        <w:jc w:val="left"/>
        <w:rPr>
          <w:rFonts w:ascii="宋体" w:hAnsi="宋体"/>
          <w:sz w:val="24"/>
        </w:rPr>
      </w:pPr>
      <w:r>
        <w:rPr>
          <w:rFonts w:hint="eastAsia" w:ascii="宋体" w:hAnsi="宋体"/>
          <w:sz w:val="24"/>
        </w:rPr>
        <w:t xml:space="preserve">13.1 </w:t>
      </w:r>
      <w:r>
        <w:rPr>
          <w:rFonts w:hint="eastAsia" w:ascii="宋体" w:hAnsi="宋体" w:cs="宋体"/>
          <w:sz w:val="24"/>
        </w:rPr>
        <w:t>乙方应当以支票、汇票、本票或者金融机构、担保机构出具的保函等非现金形式提交。</w:t>
      </w:r>
    </w:p>
    <w:p>
      <w:pPr>
        <w:snapToGrid w:val="0"/>
        <w:spacing w:line="360" w:lineRule="auto"/>
        <w:ind w:firstLine="480" w:firstLineChars="200"/>
        <w:jc w:val="left"/>
        <w:rPr>
          <w:rFonts w:ascii="宋体" w:hAnsi="宋体"/>
          <w:sz w:val="24"/>
        </w:rPr>
      </w:pPr>
      <w:r>
        <w:rPr>
          <w:rFonts w:hint="eastAsia" w:ascii="宋体" w:hAnsi="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w:t>
      </w:r>
      <w:r>
        <w:rPr>
          <w:rFonts w:hint="eastAsia" w:ascii="宋体" w:hAnsi="宋体"/>
          <w:sz w:val="24"/>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sz w:val="24"/>
        </w:rPr>
      </w:pPr>
      <w:r>
        <w:rPr>
          <w:rFonts w:hint="eastAsia" w:ascii="宋体" w:hAnsi="宋体"/>
          <w:sz w:val="24"/>
        </w:rPr>
        <w:t>13.3 甲方在项目通过验收后按照</w:t>
      </w:r>
      <w:r>
        <w:rPr>
          <w:rFonts w:hint="eastAsia" w:ascii="宋体" w:hAnsi="宋体"/>
          <w:b/>
          <w:sz w:val="24"/>
        </w:rPr>
        <w:t>【政府采购合同专用条款】</w:t>
      </w:r>
      <w:r>
        <w:rPr>
          <w:rFonts w:hint="eastAsia" w:ascii="宋体" w:hAnsi="宋体"/>
          <w:sz w:val="24"/>
        </w:rPr>
        <w:t>规定的时间内将履约保证金退还乙方；逾期退还的，乙方可要求甲方支付违约金，违约金按照</w:t>
      </w:r>
      <w:r>
        <w:rPr>
          <w:rFonts w:hint="eastAsia" w:ascii="宋体" w:hAnsi="宋体"/>
          <w:b/>
          <w:sz w:val="24"/>
        </w:rPr>
        <w:t>【政府采购合同专用条款】</w:t>
      </w:r>
      <w:r>
        <w:rPr>
          <w:rFonts w:hint="eastAsia" w:ascii="宋体" w:hAnsi="宋体"/>
          <w:sz w:val="24"/>
        </w:rPr>
        <w:t>规定支付。</w:t>
      </w:r>
    </w:p>
    <w:p>
      <w:pPr>
        <w:autoSpaceDE w:val="0"/>
        <w:autoSpaceDN w:val="0"/>
        <w:snapToGrid w:val="0"/>
        <w:spacing w:line="360" w:lineRule="auto"/>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（1）货物的现场移动、安装、调试、启动监督及技术支持；</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（2）提供货物组装和维修所需的专用工具和辅助材料；</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（3）在</w:t>
      </w:r>
      <w:r>
        <w:rPr>
          <w:rFonts w:hint="eastAsia" w:ascii="宋体" w:hAnsi="宋体" w:cs="宋体"/>
          <w:b/>
          <w:bCs/>
          <w:sz w:val="24"/>
        </w:rPr>
        <w:t>【政府采购合同专用条款】</w:t>
      </w:r>
      <w:r>
        <w:rPr>
          <w:rFonts w:hint="eastAsia" w:ascii="宋体" w:hAnsi="宋体"/>
          <w:sz w:val="24"/>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（4）在制造商所在地或指定现场就货物的安装、启动、运营、维护、废弃处置等对甲方操作人员进行培训</w:t>
      </w:r>
      <w:r>
        <w:rPr>
          <w:rFonts w:hint="eastAsia" w:ascii="宋体" w:hAnsi="宋体" w:cs="宋体"/>
          <w:sz w:val="24"/>
        </w:rPr>
        <w:t>；</w:t>
      </w:r>
    </w:p>
    <w:p>
      <w:pPr>
        <w:widowControl/>
        <w:autoSpaceDE w:val="0"/>
        <w:autoSpaceDN w:val="0"/>
        <w:spacing w:line="360" w:lineRule="auto"/>
        <w:ind w:firstLine="480" w:firstLineChars="200"/>
        <w:jc w:val="left"/>
        <w:rPr>
          <w:rFonts w:ascii="宋体" w:hAnsi="宋体" w:cs="宋体"/>
          <w:kern w:val="0"/>
          <w:sz w:val="24"/>
        </w:rPr>
      </w:pPr>
      <w:r>
        <w:rPr>
          <w:rFonts w:hint="eastAsia" w:ascii="宋体" w:hAnsi="宋体" w:cs="宋体"/>
          <w:kern w:val="0"/>
          <w:sz w:val="24"/>
        </w:rPr>
        <w:t>（5）依照法律、行政法规的规定或者按照</w:t>
      </w:r>
      <w:r>
        <w:rPr>
          <w:rFonts w:hint="eastAsia" w:ascii="宋体" w:hAnsi="宋体" w:cs="宋体"/>
          <w:b/>
          <w:bCs/>
          <w:kern w:val="0"/>
          <w:sz w:val="24"/>
        </w:rPr>
        <w:t>【政府采购合同专用条款】</w:t>
      </w:r>
      <w:r>
        <w:rPr>
          <w:rFonts w:hint="eastAsia" w:ascii="宋体" w:hAnsi="宋体" w:cs="宋体"/>
          <w:kern w:val="0"/>
          <w:sz w:val="24"/>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w:t>
      </w:r>
      <w:r>
        <w:rPr>
          <w:rFonts w:hint="eastAsia" w:ascii="宋体" w:hAnsi="宋体"/>
          <w:b/>
          <w:sz w:val="24"/>
        </w:rPr>
        <w:t>【政府采购合同专用条款】</w:t>
      </w:r>
      <w:r>
        <w:rPr>
          <w:rFonts w:hint="eastAsia" w:ascii="宋体" w:hAnsi="宋体"/>
          <w:sz w:val="24"/>
        </w:rPr>
        <w:t>规定由乙方提供的其他服务。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14.2 乙方提供的售后服务的费用已包含在合同价款中，甲方不再另行支付。</w:t>
      </w:r>
    </w:p>
    <w:p>
      <w:pPr>
        <w:snapToGrid w:val="0"/>
        <w:spacing w:line="360" w:lineRule="auto"/>
        <w:jc w:val="left"/>
        <w:rPr>
          <w:rFonts w:ascii="宋体" w:hAnsi="宋体"/>
          <w:b/>
          <w:bCs/>
          <w:sz w:val="24"/>
        </w:rPr>
      </w:pPr>
      <w:r>
        <w:rPr>
          <w:rFonts w:hint="eastAsia" w:ascii="宋体" w:hAnsi="宋体"/>
          <w:b/>
          <w:bCs/>
          <w:sz w:val="24"/>
        </w:rPr>
        <w:t>15. 违约责任</w:t>
      </w:r>
    </w:p>
    <w:p>
      <w:pPr>
        <w:snapToGrid w:val="0"/>
        <w:spacing w:line="360" w:lineRule="auto"/>
        <w:ind w:firstLine="480" w:firstLineChars="200"/>
        <w:jc w:val="left"/>
        <w:rPr>
          <w:rFonts w:ascii="宋体" w:hAnsi="宋体"/>
          <w:bCs/>
          <w:sz w:val="24"/>
        </w:rPr>
      </w:pPr>
      <w:r>
        <w:rPr>
          <w:rFonts w:hint="eastAsia" w:ascii="宋体" w:hAnsi="宋体"/>
          <w:bCs/>
          <w:sz w:val="24"/>
        </w:rPr>
        <w:t>15.1质量瑕疵的违约责任</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乙方提供的产品不符合合同约定的质量标准或存在产品质量缺陷，甲方有权要求乙方根据</w:t>
      </w:r>
      <w:r>
        <w:rPr>
          <w:rFonts w:hint="eastAsia" w:ascii="宋体" w:hAnsi="宋体"/>
          <w:b/>
          <w:sz w:val="24"/>
        </w:rPr>
        <w:t>【政府采购合同专用条款】</w:t>
      </w:r>
      <w:r>
        <w:rPr>
          <w:rFonts w:hint="eastAsia" w:ascii="宋体" w:hAnsi="宋体"/>
          <w:bCs/>
          <w:sz w:val="24"/>
        </w:rPr>
        <w:t>要求</w:t>
      </w:r>
      <w:r>
        <w:rPr>
          <w:rFonts w:hint="eastAsia" w:ascii="宋体" w:hAnsi="宋体"/>
          <w:sz w:val="24"/>
        </w:rPr>
        <w:t>及时修理、重作、更换，并承担由此给甲方造成的损失。</w:t>
      </w:r>
    </w:p>
    <w:p>
      <w:pPr>
        <w:autoSpaceDE w:val="0"/>
        <w:autoSpaceDN w:val="0"/>
        <w:snapToGrid w:val="0"/>
        <w:spacing w:line="360" w:lineRule="auto"/>
        <w:ind w:firstLine="480" w:firstLineChars="200"/>
        <w:jc w:val="left"/>
        <w:rPr>
          <w:rFonts w:ascii="宋体" w:hAnsi="宋体"/>
          <w:bCs/>
          <w:sz w:val="24"/>
        </w:rPr>
      </w:pPr>
      <w:r>
        <w:rPr>
          <w:rFonts w:hint="eastAsia" w:ascii="宋体" w:hAnsi="宋体"/>
          <w:bCs/>
          <w:sz w:val="24"/>
        </w:rPr>
        <w:t>15.2 迟延交货的违约责任</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（2）如果乙方没有按照合同规定的时间交货和提供相关服务，甲方有权从货款中扣除误期赔偿费而不影响合同项下的其他补救方法，赔偿费按</w:t>
      </w:r>
      <w:r>
        <w:rPr>
          <w:rFonts w:hint="eastAsia" w:ascii="宋体" w:hAnsi="宋体"/>
          <w:b/>
          <w:sz w:val="24"/>
        </w:rPr>
        <w:t>【政府采购合同专用条款】</w:t>
      </w:r>
      <w:r>
        <w:rPr>
          <w:rFonts w:hint="eastAsia" w:ascii="宋体" w:hAnsi="宋体"/>
          <w:sz w:val="24"/>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15.3 迟延支付的违约责任</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甲方存在迟延支付乙方合同款项的，应当承担</w:t>
      </w:r>
      <w:r>
        <w:rPr>
          <w:rFonts w:hint="eastAsia" w:ascii="宋体" w:hAnsi="宋体"/>
          <w:b/>
          <w:bCs/>
          <w:sz w:val="24"/>
        </w:rPr>
        <w:t>【政府采购合同专用条款】</w:t>
      </w:r>
      <w:r>
        <w:rPr>
          <w:rFonts w:hint="eastAsia" w:ascii="宋体" w:hAnsi="宋体"/>
          <w:sz w:val="24"/>
        </w:rPr>
        <w:t>规定的逾期付款利息。</w:t>
      </w:r>
    </w:p>
    <w:p>
      <w:pPr>
        <w:snapToGrid w:val="0"/>
        <w:spacing w:line="360" w:lineRule="auto"/>
        <w:ind w:firstLine="480" w:firstLineChars="200"/>
        <w:jc w:val="left"/>
        <w:rPr>
          <w:rFonts w:ascii="宋体" w:hAnsi="宋体"/>
          <w:sz w:val="24"/>
        </w:rPr>
      </w:pPr>
      <w:r>
        <w:rPr>
          <w:rFonts w:hint="eastAsia" w:ascii="宋体" w:hAnsi="宋体"/>
          <w:bCs/>
          <w:sz w:val="24"/>
        </w:rPr>
        <w:t>15.4其他违约责任根据项目实际需要按</w:t>
      </w:r>
      <w:r>
        <w:rPr>
          <w:rFonts w:hint="eastAsia" w:ascii="宋体" w:hAnsi="宋体"/>
          <w:b/>
          <w:bCs/>
          <w:sz w:val="24"/>
        </w:rPr>
        <w:t>【政府采购合同专用条款】</w:t>
      </w:r>
      <w:r>
        <w:rPr>
          <w:rFonts w:hint="eastAsia" w:ascii="宋体" w:hAnsi="宋体"/>
          <w:sz w:val="24"/>
        </w:rPr>
        <w:t>规定执行。</w:t>
      </w:r>
    </w:p>
    <w:p>
      <w:pPr>
        <w:snapToGrid w:val="0"/>
        <w:spacing w:line="360" w:lineRule="auto"/>
        <w:jc w:val="left"/>
        <w:rPr>
          <w:rFonts w:ascii="宋体" w:hAnsi="宋体"/>
          <w:b/>
          <w:bCs/>
          <w:sz w:val="24"/>
        </w:rPr>
      </w:pPr>
      <w:r>
        <w:rPr>
          <w:rFonts w:hint="eastAsia" w:ascii="宋体" w:hAnsi="宋体"/>
          <w:b/>
          <w:bCs/>
          <w:sz w:val="24"/>
        </w:rPr>
        <w:t>16. 合同变更、中止与终止</w:t>
      </w:r>
    </w:p>
    <w:p>
      <w:pPr>
        <w:snapToGrid w:val="0"/>
        <w:spacing w:line="360" w:lineRule="auto"/>
        <w:jc w:val="left"/>
        <w:rPr>
          <w:rFonts w:ascii="宋体" w:hAnsi="宋体"/>
          <w:sz w:val="24"/>
        </w:rPr>
      </w:pPr>
      <w:r>
        <w:rPr>
          <w:rFonts w:hint="eastAsia" w:ascii="宋体" w:hAnsi="宋体"/>
          <w:sz w:val="24"/>
        </w:rPr>
        <w:t xml:space="preserve">    16.1合同的变更</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sz w:val="24"/>
        </w:rPr>
      </w:pPr>
      <w:r>
        <w:rPr>
          <w:rFonts w:hint="eastAsia" w:ascii="宋体" w:hAnsi="宋体"/>
          <w:sz w:val="24"/>
        </w:rPr>
        <w:t>16.2合同的中止</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sz w:val="24"/>
        </w:rPr>
      </w:pPr>
      <w:r>
        <w:rPr>
          <w:rFonts w:hint="eastAsia" w:ascii="宋体" w:hAnsi="宋体"/>
          <w:sz w:val="24"/>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sz w:val="24"/>
        </w:rPr>
      </w:pPr>
      <w:r>
        <w:rPr>
          <w:rFonts w:hint="eastAsia" w:ascii="宋体" w:hAnsi="宋体"/>
          <w:sz w:val="24"/>
        </w:rPr>
        <w:t>16.3合同的终止</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（1）合同因有效期限届满而终止；</w:t>
      </w:r>
    </w:p>
    <w:p>
      <w:pPr>
        <w:adjustRightInd/>
        <w:snapToGrid w:val="0"/>
        <w:spacing w:line="360" w:lineRule="auto"/>
        <w:ind w:firstLine="480" w:firstLineChars="200"/>
        <w:rPr>
          <w:rFonts w:ascii="宋体" w:hAnsi="宋体" w:cs="宋体"/>
          <w:sz w:val="24"/>
        </w:rPr>
      </w:pPr>
      <w:r>
        <w:rPr>
          <w:rFonts w:hint="eastAsia" w:ascii="宋体" w:hAnsi="宋体"/>
          <w:sz w:val="24"/>
        </w:rPr>
        <w:t>（2）乙方未按合同约定履行，构成根本性违约的，甲方有权终止合同，</w:t>
      </w:r>
      <w:r>
        <w:rPr>
          <w:rFonts w:hint="eastAsia" w:ascii="宋体" w:hAnsi="宋体" w:cs="宋体"/>
          <w:sz w:val="24"/>
        </w:rPr>
        <w:t>并追究乙方的违约责任</w:t>
      </w:r>
      <w:r>
        <w:rPr>
          <w:rFonts w:hint="eastAsia" w:ascii="宋体" w:hAnsi="宋体"/>
          <w:sz w:val="24"/>
        </w:rPr>
        <w:t>。</w:t>
      </w:r>
    </w:p>
    <w:p>
      <w:pPr>
        <w:widowControl/>
        <w:autoSpaceDE w:val="0"/>
        <w:autoSpaceDN w:val="0"/>
        <w:spacing w:line="360" w:lineRule="auto"/>
        <w:ind w:firstLine="480" w:firstLineChars="200"/>
        <w:jc w:val="left"/>
        <w:rPr>
          <w:rFonts w:ascii="宋体" w:hAnsi="宋体" w:eastAsia="华文楷体" w:cs="华文楷体"/>
          <w:kern w:val="0"/>
          <w:sz w:val="24"/>
        </w:rPr>
      </w:pPr>
      <w:r>
        <w:rPr>
          <w:rFonts w:hint="eastAsia" w:ascii="宋体" w:hAnsi="宋体" w:eastAsia="华文楷体" w:cs="华文楷体"/>
          <w:kern w:val="0"/>
          <w:sz w:val="24"/>
        </w:rPr>
        <w:t xml:space="preserve">16.4 </w:t>
      </w:r>
      <w:r>
        <w:rPr>
          <w:rFonts w:hint="eastAsia" w:ascii="宋体" w:hAnsi="宋体"/>
          <w:sz w:val="24"/>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sz w:val="24"/>
        </w:rPr>
      </w:pPr>
      <w:r>
        <w:rPr>
          <w:rFonts w:hint="eastAsia" w:ascii="宋体" w:hAnsi="宋体"/>
          <w:b/>
          <w:bCs/>
          <w:sz w:val="24"/>
        </w:rPr>
        <w:t>17. 合同分包</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sz w:val="24"/>
        </w:rPr>
      </w:pPr>
      <w:r>
        <w:rPr>
          <w:rFonts w:hint="eastAsia" w:ascii="宋体" w:hAnsi="宋体"/>
          <w:b/>
          <w:bCs/>
          <w:sz w:val="24"/>
        </w:rPr>
        <w:t>18. 不可抗力</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sz w:val="24"/>
        </w:rPr>
      </w:pPr>
      <w:r>
        <w:rPr>
          <w:rFonts w:hint="eastAsia" w:ascii="宋体" w:hAnsi="宋体"/>
          <w:b/>
          <w:bCs/>
          <w:sz w:val="24"/>
        </w:rPr>
        <w:t>19. 解决争议的方法</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19.2 选择仲裁的，应在</w:t>
      </w:r>
      <w:r>
        <w:rPr>
          <w:rFonts w:hint="eastAsia" w:ascii="宋体" w:hAnsi="宋体" w:cs="宋体"/>
          <w:b/>
          <w:bCs/>
          <w:kern w:val="0"/>
          <w:sz w:val="24"/>
        </w:rPr>
        <w:t>【政府采购合同专用条款】</w:t>
      </w:r>
      <w:r>
        <w:rPr>
          <w:rFonts w:hint="eastAsia" w:ascii="宋体" w:hAnsi="宋体" w:cs="宋体"/>
          <w:kern w:val="0"/>
          <w:sz w:val="24"/>
        </w:rPr>
        <w:t>中明确仲裁机构及仲裁地；通过诉讼方式解决的，可以在</w:t>
      </w:r>
      <w:r>
        <w:rPr>
          <w:rFonts w:hint="eastAsia" w:ascii="宋体" w:hAnsi="宋体" w:cs="宋体"/>
          <w:b/>
          <w:bCs/>
          <w:kern w:val="0"/>
          <w:sz w:val="24"/>
        </w:rPr>
        <w:t>【政府采购合同专用条款】</w:t>
      </w:r>
      <w:r>
        <w:rPr>
          <w:rFonts w:hint="eastAsia" w:ascii="宋体" w:hAnsi="宋体" w:cs="宋体"/>
          <w:kern w:val="0"/>
          <w:sz w:val="24"/>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sz w:val="24"/>
        </w:rPr>
      </w:pPr>
      <w:r>
        <w:rPr>
          <w:rFonts w:hint="eastAsia" w:ascii="宋体" w:hAnsi="宋体"/>
          <w:b/>
          <w:sz w:val="24"/>
        </w:rPr>
        <w:t>20. 政府采购政策</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20.1 </w:t>
      </w:r>
      <w:r>
        <w:rPr>
          <w:rFonts w:hint="eastAsia" w:ascii="宋体" w:hAnsi="宋体" w:cs="宋体"/>
          <w:sz w:val="24"/>
          <w:lang w:val="en-GB"/>
        </w:rPr>
        <w:t>本合同应当按照规定执行政府采购政策。</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20.2 本合同依法执行政府采购政策的方式和内容，属于合同履约验收的范围。</w:t>
      </w:r>
      <w:r>
        <w:rPr>
          <w:rFonts w:hint="eastAsia" w:ascii="宋体" w:hAnsi="宋体" w:cs="宋体"/>
          <w:sz w:val="24"/>
        </w:rPr>
        <w:t>甲乙双方</w:t>
      </w:r>
      <w:r>
        <w:rPr>
          <w:rFonts w:hint="eastAsia" w:ascii="宋体" w:hAnsi="宋体" w:cs="宋体"/>
          <w:sz w:val="24"/>
          <w:lang w:val="en-GB"/>
        </w:rPr>
        <w:t>未按规定要求执行政府采购政策造成损失的</w:t>
      </w:r>
      <w:r>
        <w:rPr>
          <w:rFonts w:hint="eastAsia" w:ascii="宋体" w:hAnsi="宋体"/>
          <w:sz w:val="24"/>
        </w:rPr>
        <w:t>，有过错的一方应当承担赔偿责任，双方都有过错的，各自承担相应的责任。</w:t>
      </w:r>
    </w:p>
    <w:p>
      <w:pPr>
        <w:adjustRightInd/>
        <w:spacing w:line="360" w:lineRule="auto"/>
        <w:ind w:firstLine="480" w:firstLineChars="200"/>
        <w:rPr>
          <w:rFonts w:ascii="Calibri" w:hAnsi="Calibri"/>
          <w:sz w:val="24"/>
        </w:rPr>
      </w:pPr>
      <w:r>
        <w:rPr>
          <w:rFonts w:hint="eastAsia" w:ascii="宋体" w:hAnsi="宋体"/>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sz w:val="24"/>
        </w:rPr>
      </w:pPr>
      <w:r>
        <w:rPr>
          <w:rFonts w:hint="eastAsia" w:ascii="宋体" w:hAnsi="宋体"/>
          <w:b/>
          <w:sz w:val="24"/>
        </w:rPr>
        <w:t>21. 法律适用</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sz w:val="24"/>
        </w:rPr>
      </w:pPr>
      <w:r>
        <w:rPr>
          <w:rFonts w:hint="eastAsia" w:ascii="宋体" w:hAnsi="宋体"/>
          <w:b/>
          <w:sz w:val="24"/>
        </w:rPr>
        <w:t>22. 通知</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kern w:val="0"/>
          <w:sz w:val="24"/>
        </w:rPr>
      </w:pPr>
      <w:r>
        <w:rPr>
          <w:rFonts w:hint="eastAsia" w:ascii="宋体" w:hAnsi="宋体" w:cs="宋体"/>
          <w:kern w:val="0"/>
          <w:sz w:val="24"/>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sz w:val="24"/>
        </w:rPr>
      </w:pPr>
      <w:r>
        <w:rPr>
          <w:rFonts w:hint="eastAsia" w:ascii="宋体" w:hAnsi="宋体"/>
          <w:sz w:val="24"/>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sz w:val="24"/>
        </w:rPr>
      </w:pPr>
      <w:r>
        <w:rPr>
          <w:rFonts w:hint="eastAsia" w:ascii="宋体" w:hAnsi="宋体"/>
          <w:sz w:val="24"/>
        </w:rPr>
        <w:t>22.4通知以送达之日或通知书中规定的生效之日起生效，两者中以较迟之日为准。</w:t>
      </w:r>
    </w:p>
    <w:p>
      <w:pPr>
        <w:autoSpaceDE w:val="0"/>
        <w:autoSpaceDN w:val="0"/>
        <w:snapToGrid w:val="0"/>
        <w:spacing w:line="360" w:lineRule="auto"/>
        <w:jc w:val="left"/>
        <w:rPr>
          <w:rFonts w:ascii="宋体" w:hAnsi="宋体"/>
          <w:b/>
          <w:sz w:val="24"/>
        </w:rPr>
      </w:pPr>
      <w:r>
        <w:rPr>
          <w:rFonts w:hint="eastAsia" w:ascii="宋体" w:hAnsi="宋体"/>
          <w:b/>
          <w:sz w:val="24"/>
        </w:rPr>
        <w:t>23. 合同未尽事项</w:t>
      </w:r>
    </w:p>
    <w:p>
      <w:pPr>
        <w:snapToGrid w:val="0"/>
        <w:spacing w:line="360" w:lineRule="auto"/>
        <w:ind w:firstLine="480" w:firstLineChars="200"/>
        <w:jc w:val="left"/>
        <w:rPr>
          <w:rFonts w:ascii="宋体" w:hAnsi="宋体"/>
          <w:bCs/>
          <w:sz w:val="24"/>
        </w:rPr>
      </w:pPr>
      <w:r>
        <w:rPr>
          <w:rFonts w:hint="eastAsia" w:ascii="宋体" w:hAnsi="宋体"/>
          <w:bCs/>
          <w:sz w:val="24"/>
        </w:rPr>
        <w:t>23.1合同未尽事项见</w:t>
      </w:r>
      <w:r>
        <w:rPr>
          <w:rFonts w:hint="eastAsia" w:ascii="宋体" w:hAnsi="宋体"/>
          <w:b/>
          <w:sz w:val="24"/>
        </w:rPr>
        <w:t>【政府采购合同专用条款】</w:t>
      </w:r>
      <w:r>
        <w:rPr>
          <w:rFonts w:hint="eastAsia" w:ascii="宋体" w:hAnsi="宋体"/>
          <w:bCs/>
          <w:sz w:val="24"/>
        </w:rPr>
        <w:t>。</w:t>
      </w:r>
    </w:p>
    <w:p>
      <w:pPr>
        <w:snapToGrid w:val="0"/>
        <w:spacing w:line="360" w:lineRule="auto"/>
        <w:jc w:val="left"/>
        <w:rPr>
          <w:rFonts w:ascii="黑体" w:hAnsi="华文中宋" w:eastAsia="黑体"/>
          <w:sz w:val="24"/>
        </w:rPr>
      </w:pPr>
      <w:r>
        <w:rPr>
          <w:rFonts w:hint="eastAsia" w:ascii="宋体" w:hAnsi="宋体"/>
          <w:bCs/>
          <w:sz w:val="24"/>
        </w:rPr>
        <w:t xml:space="preserve">    23.2 合同附件与合同正文具有同等的法律效力。</w:t>
      </w:r>
      <w:bookmarkStart w:id="433" w:name="_Toc20313"/>
      <w:r>
        <w:rPr>
          <w:rFonts w:hint="eastAsia" w:ascii="黑体" w:hAnsi="华文中宋" w:eastAsia="黑体"/>
          <w:sz w:val="24"/>
        </w:rPr>
        <w:br w:type="page"/>
      </w:r>
    </w:p>
    <w:p>
      <w:pPr>
        <w:keepNext/>
        <w:keepLines/>
        <w:snapToGrid w:val="0"/>
        <w:spacing w:line="360" w:lineRule="auto"/>
        <w:jc w:val="center"/>
        <w:outlineLvl w:val="1"/>
        <w:rPr>
          <w:rFonts w:ascii="黑体" w:hAnsi="华文中宋" w:eastAsia="黑体"/>
          <w:sz w:val="24"/>
        </w:rPr>
      </w:pPr>
      <w:r>
        <w:rPr>
          <w:rFonts w:hint="eastAsia" w:ascii="黑体" w:hAnsi="华文中宋" w:eastAsia="黑体"/>
          <w:sz w:val="24"/>
        </w:rPr>
        <w:t>第三节 政府采购合同专用条款</w:t>
      </w:r>
      <w:bookmarkEnd w:id="433"/>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adjustRightInd/>
              <w:snapToGrid w:val="0"/>
              <w:spacing w:line="360" w:lineRule="auto"/>
              <w:jc w:val="center"/>
              <w:rPr>
                <w:rFonts w:ascii="Calibri" w:hAnsi="Calibri"/>
                <w:sz w:val="24"/>
              </w:rPr>
            </w:pPr>
            <w:r>
              <w:rPr>
                <w:rFonts w:hint="eastAsia" w:ascii="宋体" w:hAnsi="宋体"/>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adjustRightInd/>
              <w:snapToGrid w:val="0"/>
              <w:spacing w:line="360" w:lineRule="auto"/>
              <w:jc w:val="center"/>
              <w:rPr>
                <w:rFonts w:ascii="宋体" w:hAnsi="宋体"/>
                <w:sz w:val="24"/>
              </w:rPr>
            </w:pPr>
            <w:r>
              <w:rPr>
                <w:rFonts w:hint="eastAsia" w:ascii="宋体" w:hAnsi="宋体"/>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sz w:val="24"/>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货物质量缺陷</w:t>
            </w:r>
          </w:p>
          <w:p>
            <w:pPr>
              <w:snapToGrid w:val="0"/>
              <w:spacing w:line="360" w:lineRule="auto"/>
              <w:jc w:val="left"/>
              <w:rPr>
                <w:rFonts w:ascii="宋体" w:hAnsi="宋体"/>
                <w:sz w:val="24"/>
              </w:rPr>
            </w:pPr>
            <w:r>
              <w:rPr>
                <w:rFonts w:hint="eastAsia" w:ascii="宋体" w:hAnsi="宋体"/>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sz w:val="24"/>
              </w:rPr>
            </w:pPr>
            <w:r>
              <w:rPr>
                <w:rFonts w:hint="eastAsia" w:ascii="宋体" w:hAnsi="宋体" w:cs="宋体"/>
                <w:sz w:val="24"/>
              </w:rPr>
              <w:t>第二节</w:t>
            </w:r>
          </w:p>
          <w:p>
            <w:pPr>
              <w:widowControl/>
              <w:autoSpaceDE w:val="0"/>
              <w:autoSpaceDN w:val="0"/>
              <w:spacing w:line="360" w:lineRule="auto"/>
              <w:jc w:val="center"/>
              <w:rPr>
                <w:rFonts w:ascii="华文楷体" w:hAnsi="华文楷体" w:eastAsia="华文楷体" w:cs="华文楷体"/>
                <w:kern w:val="0"/>
                <w:sz w:val="24"/>
              </w:rPr>
            </w:pPr>
            <w:r>
              <w:rPr>
                <w:rFonts w:hint="eastAsia" w:ascii="宋体" w:hAnsi="宋体" w:cs="宋体"/>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sz w:val="24"/>
              </w:rPr>
            </w:pPr>
            <w:r>
              <w:rPr>
                <w:rFonts w:hint="eastAsia" w:ascii="宋体" w:hAnsi="宋体"/>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sz w:val="24"/>
              </w:rPr>
            </w:pPr>
            <w:r>
              <w:rPr>
                <w:rFonts w:hint="eastAsia" w:ascii="宋体" w:hAnsi="宋体"/>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sz w:val="24"/>
              </w:rPr>
            </w:pPr>
            <w:r>
              <w:rPr>
                <w:rFonts w:hint="eastAsia" w:ascii="宋体" w:hAnsi="宋体"/>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 xml:space="preserve">   </w:t>
            </w:r>
            <w:r>
              <w:rPr>
                <w:rFonts w:hint="eastAsia" w:ascii="宋体" w:hAnsi="宋体" w:cs="宋体"/>
                <w:iCs/>
                <w:sz w:val="24"/>
              </w:rPr>
              <w:t>种方式解决：</w:t>
            </w:r>
          </w:p>
          <w:p>
            <w:pPr>
              <w:autoSpaceDE w:val="0"/>
              <w:autoSpaceDN w:val="0"/>
              <w:snapToGrid w:val="0"/>
              <w:spacing w:line="360" w:lineRule="auto"/>
              <w:jc w:val="left"/>
              <w:rPr>
                <w:rFonts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pPr>
              <w:snapToGrid w:val="0"/>
              <w:spacing w:line="360" w:lineRule="auto"/>
              <w:jc w:val="left"/>
              <w:rPr>
                <w:rFonts w:ascii="宋体" w:hAnsi="宋体"/>
                <w:sz w:val="24"/>
                <w:u w:val="single"/>
              </w:rPr>
            </w:pPr>
            <w:r>
              <w:rPr>
                <w:rFonts w:hint="eastAsia" w:ascii="宋体" w:hAnsi="宋体" w:cs="宋体"/>
                <w:iCs/>
                <w:sz w:val="24"/>
              </w:rPr>
              <w:t>（2）向</w:t>
            </w:r>
            <w:r>
              <w:rPr>
                <w:rFonts w:hint="eastAsia" w:ascii="宋体" w:hAnsi="宋体" w:cs="宋体"/>
                <w:iCs/>
                <w:sz w:val="24"/>
                <w:u w:val="single"/>
              </w:rPr>
              <w:t xml:space="preserve">                    </w:t>
            </w:r>
            <w:r>
              <w:rPr>
                <w:rFonts w:hint="eastAsia" w:ascii="宋体" w:hAnsi="宋体" w:cs="宋体"/>
                <w:iCs/>
                <w:sz w:val="24"/>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sz w:val="24"/>
              </w:rPr>
            </w:pPr>
            <w:r>
              <w:rPr>
                <w:rFonts w:hint="eastAsia" w:ascii="宋体" w:hAnsi="宋体"/>
                <w:bCs/>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sz w:val="24"/>
              </w:rPr>
            </w:pPr>
          </w:p>
        </w:tc>
      </w:tr>
    </w:tbl>
    <w:p>
      <w:pPr>
        <w:adjustRightInd/>
      </w:pPr>
    </w:p>
    <w:p>
      <w:pPr>
        <w:adjustRightInd/>
      </w:pPr>
    </w:p>
    <w:p>
      <w:pPr>
        <w:spacing w:line="360" w:lineRule="auto"/>
        <w:ind w:left="-420" w:leftChars="-200" w:right="-420" w:rightChars="-200"/>
        <w:rPr>
          <w:rFonts w:ascii="宋体" w:hAnsi="宋体" w:cs="宋体"/>
          <w:sz w:val="24"/>
        </w:rPr>
      </w:pPr>
    </w:p>
    <w:p>
      <w:pPr>
        <w:pStyle w:val="2"/>
      </w:pPr>
      <w:r>
        <w:br w:type="page"/>
      </w:r>
    </w:p>
    <w:p/>
    <w:p>
      <w:pPr>
        <w:spacing w:line="360" w:lineRule="auto"/>
        <w:ind w:left="720" w:firstLine="723" w:firstLineChars="200"/>
        <w:outlineLvl w:val="0"/>
        <w:rPr>
          <w:rFonts w:ascii="宋体" w:hAnsi="宋体" w:cs="宋体"/>
          <w:b/>
          <w:sz w:val="36"/>
          <w:szCs w:val="20"/>
        </w:rPr>
      </w:pPr>
      <w:bookmarkStart w:id="434" w:name="_Toc176343853"/>
      <w:bookmarkStart w:id="435" w:name="_Toc176185126"/>
      <w:r>
        <w:rPr>
          <w:rFonts w:hint="eastAsia" w:ascii="宋体" w:hAnsi="宋体" w:cs="宋体"/>
          <w:b/>
          <w:sz w:val="36"/>
          <w:szCs w:val="20"/>
        </w:rPr>
        <w:t>第六部分</w:t>
      </w:r>
      <w:bookmarkEnd w:id="425"/>
      <w:r>
        <w:rPr>
          <w:rFonts w:hint="eastAsia" w:ascii="宋体" w:hAnsi="宋体" w:cs="宋体"/>
          <w:b/>
          <w:sz w:val="36"/>
          <w:szCs w:val="20"/>
        </w:rPr>
        <w:t xml:space="preserve"> </w:t>
      </w:r>
      <w:bookmarkEnd w:id="426"/>
      <w:r>
        <w:rPr>
          <w:rFonts w:hint="eastAsia" w:ascii="宋体" w:hAnsi="宋体" w:cs="宋体"/>
          <w:b/>
          <w:sz w:val="36"/>
          <w:szCs w:val="20"/>
        </w:rPr>
        <w:t xml:space="preserve"> 应提交的有关格式范例</w:t>
      </w:r>
      <w:bookmarkEnd w:id="434"/>
      <w:bookmarkEnd w:id="435"/>
    </w:p>
    <w:p>
      <w:pPr>
        <w:pStyle w:val="82"/>
      </w:pPr>
    </w:p>
    <w:p>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pPr>
        <w:pStyle w:val="82"/>
      </w:pPr>
    </w:p>
    <w:p>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pPr>
        <w:snapToGrid w:val="0"/>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napToGrid w:val="0"/>
        <w:spacing w:line="360" w:lineRule="auto"/>
        <w:ind w:right="480"/>
        <w:jc w:val="center"/>
        <w:rPr>
          <w:rFonts w:ascii="宋体" w:hAnsi="宋体" w:cs="宋体"/>
          <w:kern w:val="0"/>
          <w:sz w:val="24"/>
        </w:rPr>
      </w:pPr>
      <w:r>
        <w:rPr>
          <w:rFonts w:hint="eastAsia" w:ascii="宋体" w:hAnsi="宋体" w:cs="宋体"/>
          <w:kern w:val="0"/>
          <w:sz w:val="24"/>
        </w:rPr>
        <w:br w:type="page"/>
      </w: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 xml:space="preserve">  一、 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jc w:val="center"/>
        <w:rPr>
          <w:rFonts w:ascii="宋体" w:hAnsi="宋体" w:cs="宋体"/>
          <w:b/>
          <w:sz w:val="24"/>
        </w:rPr>
      </w:pPr>
      <w:r>
        <w:rPr>
          <w:rFonts w:hint="eastAsia" w:ascii="宋体" w:hAnsi="宋体" w:cs="宋体"/>
          <w:b/>
          <w:sz w:val="24"/>
        </w:rPr>
        <w:t>北海市政府采购供应商信用承诺函（格式）</w:t>
      </w:r>
    </w:p>
    <w:p>
      <w:pPr>
        <w:snapToGrid w:val="0"/>
        <w:spacing w:line="360" w:lineRule="auto"/>
        <w:rPr>
          <w:rFonts w:ascii="宋体" w:hAnsi="宋体" w:cs="宋体"/>
          <w:color w:val="0000FF"/>
          <w:sz w:val="24"/>
        </w:rPr>
      </w:pPr>
    </w:p>
    <w:p>
      <w:pPr>
        <w:snapToGrid w:val="0"/>
        <w:spacing w:line="360" w:lineRule="auto"/>
        <w:ind w:right="480"/>
        <w:rPr>
          <w:rFonts w:ascii="宋体" w:hAnsi="宋体" w:cs="宋体"/>
          <w:sz w:val="24"/>
        </w:rPr>
      </w:pPr>
      <w:r>
        <w:rPr>
          <w:rFonts w:hint="eastAsia" w:ascii="宋体" w:hAnsi="宋体" w:cs="宋体"/>
          <w:sz w:val="24"/>
        </w:rPr>
        <w:t>（采购人）、（采购代理机构）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若我单位承诺不实，自愿承担提供虚假材料谋取中标、中标的法律责任。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napToGrid w:val="0"/>
        <w:spacing w:line="360" w:lineRule="auto"/>
        <w:ind w:right="480"/>
        <w:jc w:val="center"/>
        <w:rPr>
          <w:rFonts w:ascii="宋体" w:hAnsi="宋体" w:cs="宋体"/>
          <w:b/>
          <w:kern w:val="0"/>
          <w:sz w:val="32"/>
          <w:szCs w:val="32"/>
        </w:rPr>
      </w:pPr>
    </w:p>
    <w:p>
      <w:pPr>
        <w:rPr>
          <w:rFonts w:ascii="宋体" w:hAnsi="宋体" w:cs="宋体"/>
        </w:rPr>
      </w:pPr>
    </w:p>
    <w:p>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.专门面向中小企业，货物全部由符合政策要求的中小企业（或小微企业）制造的，提供相应的中小企业声明函（附件</w:t>
      </w:r>
      <w:r>
        <w:rPr>
          <w:rFonts w:ascii="宋体" w:hAnsi="宋体" w:cs="宋体"/>
          <w:sz w:val="24"/>
        </w:rPr>
        <w:t>7</w:t>
      </w:r>
      <w:r>
        <w:rPr>
          <w:rFonts w:hint="eastAsia" w:ascii="宋体" w:hAnsi="宋体" w:cs="宋体"/>
          <w:sz w:val="24"/>
        </w:rPr>
        <w:t xml:space="preserve">）。 </w:t>
      </w:r>
    </w:p>
    <w:p>
      <w:pPr>
        <w:widowControl/>
        <w:spacing w:line="360" w:lineRule="auto"/>
        <w:ind w:firstLine="480"/>
        <w:jc w:val="left"/>
        <w:rPr>
          <w:rFonts w:ascii="宋体" w:hAnsi="宋体" w:cs="宋体"/>
          <w:sz w:val="24"/>
        </w:rPr>
      </w:pPr>
    </w:p>
    <w:p>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pPr>
        <w:snapToGrid w:val="0"/>
        <w:spacing w:before="50" w:after="50" w:line="360" w:lineRule="auto"/>
        <w:jc w:val="center"/>
        <w:rPr>
          <w:rFonts w:ascii="宋体" w:hAnsi="宋体" w:cs="宋体"/>
          <w:sz w:val="24"/>
        </w:rPr>
      </w:pPr>
      <w:r>
        <w:rPr>
          <w:rFonts w:hint="eastAsia" w:ascii="宋体" w:hAnsi="宋体" w:cs="宋体"/>
          <w:b/>
          <w:sz w:val="24"/>
        </w:rPr>
        <w:t xml:space="preserve">    </w:t>
      </w:r>
    </w:p>
    <w:p>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pPr>
        <w:widowControl/>
        <w:spacing w:line="360" w:lineRule="auto"/>
        <w:ind w:left="150"/>
        <w:jc w:val="center"/>
        <w:rPr>
          <w:rFonts w:ascii="宋体" w:hAnsi="宋体" w:cs="宋体"/>
          <w:b/>
          <w:kern w:val="0"/>
          <w:sz w:val="32"/>
          <w:szCs w:val="32"/>
        </w:rPr>
      </w:pPr>
    </w:p>
    <w:p>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pPr>
        <w:rPr>
          <w:rFonts w:ascii="宋体" w:hAnsi="宋体" w:cs="宋体"/>
        </w:rPr>
      </w:pPr>
    </w:p>
    <w:p>
      <w:pPr>
        <w:widowControl/>
        <w:adjustRightInd/>
        <w:jc w:val="center"/>
        <w:rPr>
          <w:rFonts w:ascii="宋体" w:hAnsi="宋体" w:cs="宋体"/>
          <w:b/>
          <w:kern w:val="0"/>
          <w:sz w:val="32"/>
          <w:szCs w:val="32"/>
        </w:rPr>
      </w:pPr>
      <w:r>
        <w:rPr>
          <w:rFonts w:ascii="宋体" w:hAnsi="宋体" w:cs="宋体"/>
          <w:b/>
          <w:kern w:val="0"/>
          <w:sz w:val="32"/>
          <w:szCs w:val="32"/>
        </w:rPr>
        <w:br w:type="page"/>
      </w:r>
    </w:p>
    <w:p>
      <w:pPr>
        <w:widowControl/>
        <w:adjustRightInd/>
        <w:jc w:val="center"/>
        <w:rPr>
          <w:rFonts w:ascii="宋体" w:hAnsi="宋体" w:cs="宋体"/>
          <w:b/>
          <w:kern w:val="0"/>
          <w:sz w:val="36"/>
          <w:szCs w:val="36"/>
        </w:rPr>
      </w:pPr>
      <w:r>
        <w:rPr>
          <w:rFonts w:hint="eastAsia" w:ascii="宋体" w:hAnsi="宋体" w:cs="宋体"/>
          <w:b/>
          <w:kern w:val="0"/>
          <w:sz w:val="36"/>
          <w:szCs w:val="36"/>
        </w:rPr>
        <w:t>商务技术文件部分</w:t>
      </w:r>
    </w:p>
    <w:p>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10</w:t>
      </w:r>
      <w:r>
        <w:rPr>
          <w:rFonts w:hint="eastAsia" w:ascii="宋体" w:hAnsi="宋体" w:cs="宋体"/>
          <w:color w:val="FF0000"/>
          <w:sz w:val="24"/>
          <w:lang w:val="zh-CN"/>
        </w:rPr>
        <w:t>）技术解决方案</w:t>
      </w:r>
      <w:r>
        <w:rPr>
          <w:rFonts w:hint="eastAsia" w:ascii="宋体" w:hAnsi="宋体" w:cs="宋体"/>
          <w:color w:val="FF0000"/>
        </w:rPr>
        <w:t>…………………………………………………………………………（页码）</w:t>
      </w:r>
    </w:p>
    <w:p>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11</w:t>
      </w:r>
      <w:r>
        <w:rPr>
          <w:rFonts w:hint="eastAsia" w:ascii="宋体" w:hAnsi="宋体" w:cs="宋体"/>
          <w:color w:val="FF0000"/>
          <w:sz w:val="24"/>
          <w:lang w:val="zh-CN"/>
        </w:rPr>
        <w:t>）组织实施方案</w:t>
      </w:r>
      <w:r>
        <w:rPr>
          <w:rFonts w:hint="eastAsia" w:ascii="宋体" w:hAnsi="宋体" w:cs="宋体"/>
          <w:color w:val="FF0000"/>
        </w:rPr>
        <w:t>…………………………………………………………………………（页码）</w:t>
      </w:r>
    </w:p>
    <w:p>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12</w:t>
      </w:r>
      <w:r>
        <w:rPr>
          <w:rFonts w:hint="eastAsia" w:ascii="宋体" w:hAnsi="宋体" w:cs="宋体"/>
          <w:color w:val="FF0000"/>
          <w:sz w:val="24"/>
          <w:lang w:val="zh-CN"/>
        </w:rPr>
        <w:t>）售后服务方案</w:t>
      </w:r>
      <w:r>
        <w:rPr>
          <w:rFonts w:hint="eastAsia" w:ascii="宋体" w:hAnsi="宋体" w:cs="宋体"/>
          <w:color w:val="FF0000"/>
        </w:rPr>
        <w:t>…………………………………………………………………………（页码）</w:t>
      </w:r>
    </w:p>
    <w:p>
      <w:pPr>
        <w:pStyle w:val="82"/>
      </w:pPr>
    </w:p>
    <w:p>
      <w:pPr>
        <w:snapToGrid w:val="0"/>
        <w:spacing w:line="360" w:lineRule="auto"/>
        <w:jc w:val="center"/>
        <w:rPr>
          <w:rFonts w:ascii="宋体" w:hAnsi="宋体" w:cs="宋体"/>
          <w:b/>
          <w:kern w:val="0"/>
          <w:sz w:val="32"/>
          <w:szCs w:val="32"/>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rPr>
      </w:pPr>
    </w:p>
    <w:p>
      <w:pPr>
        <w:snapToGrid w:val="0"/>
        <w:spacing w:line="360" w:lineRule="auto"/>
        <w:jc w:val="center"/>
        <w:rPr>
          <w:rFonts w:ascii="宋体" w:hAnsi="宋体" w:cs="宋体"/>
          <w:b/>
          <w:kern w:val="0"/>
          <w:sz w:val="32"/>
          <w:szCs w:val="32"/>
        </w:rPr>
      </w:pPr>
    </w:p>
    <w:p>
      <w:pPr>
        <w:pStyle w:val="82"/>
      </w:pPr>
    </w:p>
    <w:p/>
    <w:p>
      <w:pPr>
        <w:snapToGrid w:val="0"/>
        <w:spacing w:line="360" w:lineRule="auto"/>
        <w:ind w:firstLine="3855" w:firstLineChars="1200"/>
        <w:rPr>
          <w:rFonts w:ascii="宋体" w:hAnsi="宋体" w:cs="宋体"/>
          <w:b/>
          <w:kern w:val="0"/>
          <w:sz w:val="32"/>
          <w:szCs w:val="32"/>
        </w:rPr>
      </w:pPr>
    </w:p>
    <w:p>
      <w:pPr>
        <w:snapToGrid w:val="0"/>
        <w:spacing w:line="360" w:lineRule="auto"/>
        <w:ind w:firstLine="3855" w:firstLineChars="1200"/>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napToGrid w:val="0"/>
        <w:spacing w:line="360" w:lineRule="auto"/>
        <w:ind w:firstLine="3855" w:firstLineChars="120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pPr>
        <w:snapToGrid w:val="0"/>
        <w:spacing w:line="360" w:lineRule="auto"/>
        <w:rPr>
          <w:rFonts w:ascii="宋体" w:hAnsi="宋体" w:cs="宋体"/>
          <w:sz w:val="24"/>
        </w:rPr>
      </w:pPr>
      <w:r>
        <w:rPr>
          <w:rFonts w:hint="eastAsia" w:ascii="宋体" w:hAnsi="宋体" w:cs="宋体"/>
          <w:sz w:val="24"/>
        </w:rPr>
        <w:t>（采购人）、（采购代理机构）：</w:t>
      </w:r>
    </w:p>
    <w:p>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pPr>
        <w:pStyle w:val="82"/>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10</w:t>
      </w:r>
      <w:r>
        <w:rPr>
          <w:rFonts w:hint="eastAsia" w:cs="宋体"/>
          <w:color w:val="FF0000"/>
          <w:lang w:val="zh-CN"/>
        </w:rPr>
        <w:t>技术解决方案</w:t>
      </w:r>
      <w:r>
        <w:rPr>
          <w:rFonts w:hint="eastAsia" w:cs="宋体"/>
          <w:snapToGrid w:val="0"/>
          <w:color w:val="FF0000"/>
          <w:kern w:val="28"/>
        </w:rPr>
        <w:t>（如果有）</w:t>
      </w:r>
      <w:r>
        <w:rPr>
          <w:rFonts w:hint="eastAsia" w:cs="宋体"/>
          <w:color w:val="FF0000"/>
          <w:lang w:val="zh-CN"/>
        </w:rPr>
        <w:t>；</w:t>
      </w:r>
    </w:p>
    <w:p>
      <w:pPr>
        <w:pStyle w:val="82"/>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11</w:t>
      </w:r>
      <w:r>
        <w:rPr>
          <w:rFonts w:hint="eastAsia" w:cs="宋体"/>
          <w:color w:val="FF0000"/>
          <w:lang w:val="zh-CN"/>
        </w:rPr>
        <w:t>组织实施方案</w:t>
      </w:r>
      <w:r>
        <w:rPr>
          <w:rFonts w:hint="eastAsia" w:cs="宋体"/>
          <w:snapToGrid w:val="0"/>
          <w:color w:val="FF0000"/>
          <w:kern w:val="28"/>
        </w:rPr>
        <w:t>（如果有）</w:t>
      </w:r>
      <w:r>
        <w:rPr>
          <w:rFonts w:hint="eastAsia" w:cs="宋体"/>
          <w:color w:val="FF0000"/>
          <w:lang w:val="zh-CN"/>
        </w:rPr>
        <w:t>；</w:t>
      </w:r>
    </w:p>
    <w:p>
      <w:pPr>
        <w:pStyle w:val="82"/>
        <w:ind w:left="420" w:leftChars="200" w:firstLine="480" w:firstLineChars="200"/>
        <w:rPr>
          <w:color w:val="FF0000"/>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12</w:t>
      </w:r>
      <w:r>
        <w:rPr>
          <w:rFonts w:hint="eastAsia" w:cs="宋体"/>
          <w:color w:val="FF0000"/>
          <w:lang w:val="zh-CN"/>
        </w:rPr>
        <w:t>售后服务方案。</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left="420" w:leftChars="200" w:firstLine="4200" w:firstLineChars="1750"/>
        <w:rPr>
          <w:rFonts w:ascii="宋体" w:hAnsi="宋体" w:cs="宋体"/>
          <w:kern w:val="0"/>
          <w:sz w:val="24"/>
          <w:u w:val="single"/>
        </w:rPr>
      </w:pPr>
    </w:p>
    <w:p>
      <w:pPr>
        <w:spacing w:line="360" w:lineRule="auto"/>
        <w:ind w:right="420"/>
        <w:rPr>
          <w:rFonts w:ascii="宋体" w:hAnsi="宋体" w:cs="宋体"/>
          <w:sz w:val="24"/>
        </w:rPr>
      </w:pPr>
      <w:r>
        <w:rPr>
          <w:rFonts w:hint="eastAsia" w:ascii="宋体" w:hAnsi="宋体" w:cs="宋体"/>
          <w:sz w:val="24"/>
        </w:rPr>
        <w:t>注：按本格式和要求提供。</w:t>
      </w:r>
    </w:p>
    <w:p>
      <w:pPr>
        <w:snapToGrid w:val="0"/>
        <w:spacing w:line="360" w:lineRule="auto"/>
        <w:jc w:val="center"/>
        <w:rPr>
          <w:rFonts w:ascii="宋体" w:hAnsi="宋体" w:cs="宋体"/>
          <w:b/>
          <w:kern w:val="0"/>
          <w:sz w:val="32"/>
          <w:szCs w:val="32"/>
        </w:rPr>
      </w:pPr>
    </w:p>
    <w:p>
      <w:pPr>
        <w:snapToGrid w:val="0"/>
        <w:spacing w:line="360" w:lineRule="auto"/>
        <w:rPr>
          <w:rFonts w:ascii="宋体" w:hAnsi="宋体" w:cs="宋体"/>
          <w:sz w:val="24"/>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pStyle w:val="146"/>
        <w:spacing w:line="360" w:lineRule="auto"/>
        <w:rPr>
          <w:rFonts w:hAnsi="宋体"/>
          <w:color w:val="FF0000"/>
          <w:sz w:val="24"/>
        </w:rPr>
      </w:pPr>
    </w:p>
    <w:p>
      <w:pPr>
        <w:pStyle w:val="146"/>
        <w:spacing w:line="360" w:lineRule="auto"/>
        <w:rPr>
          <w:rFonts w:hAnsi="宋体" w:cs="宋体"/>
          <w:bCs/>
          <w:color w:val="FF0000"/>
          <w:sz w:val="24"/>
        </w:rPr>
      </w:pPr>
      <w:r>
        <w:rPr>
          <w:rFonts w:hint="eastAsia" w:hAnsi="宋体"/>
          <w:color w:val="FF0000"/>
          <w:sz w:val="24"/>
        </w:rPr>
        <w:t>委托代理人和法定代表人</w:t>
      </w:r>
      <w:r>
        <w:rPr>
          <w:rFonts w:hint="eastAsia" w:hAnsi="宋体" w:cs="宋体"/>
          <w:color w:val="FF0000"/>
          <w:kern w:val="0"/>
          <w:sz w:val="24"/>
        </w:rPr>
        <w:t>（负责人）</w:t>
      </w:r>
      <w:r>
        <w:rPr>
          <w:rFonts w:hint="eastAsia" w:hAnsi="宋体" w:cs="宋体"/>
          <w:bCs/>
          <w:color w:val="FF0000"/>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sz w:val="24"/>
        </w:rPr>
      </w:pPr>
    </w:p>
    <w:p>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81"/>
        </w:rPr>
      </w:pPr>
      <w:r>
        <w:rPr>
          <w:rStyle w:val="81"/>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pPr>
        <w:pStyle w:val="82"/>
        <w:ind w:firstLine="5040" w:firstLineChars="2100"/>
      </w:pPr>
      <w:r>
        <w:rPr>
          <w:rFonts w:hint="eastAsia"/>
        </w:rPr>
        <w:t>法定代表人（负责人） (签名)：</w:t>
      </w:r>
    </w:p>
    <w:p>
      <w:pPr>
        <w:snapToGrid w:val="0"/>
        <w:spacing w:line="360" w:lineRule="auto"/>
        <w:ind w:firstLine="5040" w:firstLineChars="2100"/>
        <w:rPr>
          <w:rFonts w:ascii="宋体" w:hAnsi="宋体" w:cs="宋体"/>
          <w:kern w:val="0"/>
          <w:sz w:val="24"/>
          <w:lang w:val="zh-CN"/>
        </w:rPr>
      </w:pP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pStyle w:val="146"/>
        <w:spacing w:line="360" w:lineRule="auto"/>
        <w:rPr>
          <w:rFonts w:hAnsi="宋体"/>
          <w:color w:val="FF0000"/>
          <w:sz w:val="24"/>
        </w:rPr>
      </w:pPr>
    </w:p>
    <w:p>
      <w:pPr>
        <w:pStyle w:val="146"/>
        <w:spacing w:line="360" w:lineRule="auto"/>
        <w:rPr>
          <w:rFonts w:hAnsi="宋体" w:cs="宋体"/>
          <w:bCs/>
          <w:color w:val="FF0000"/>
          <w:sz w:val="24"/>
        </w:rPr>
      </w:pPr>
      <w:r>
        <w:rPr>
          <w:rFonts w:hint="eastAsia" w:hAnsi="宋体"/>
          <w:color w:val="FF0000"/>
          <w:sz w:val="24"/>
        </w:rPr>
        <w:t>委托代理人和联合体牵头单位法定代表人</w:t>
      </w:r>
      <w:r>
        <w:rPr>
          <w:rFonts w:hint="eastAsia" w:hAnsi="宋体" w:cs="宋体"/>
          <w:color w:val="FF0000"/>
          <w:kern w:val="0"/>
          <w:sz w:val="24"/>
        </w:rPr>
        <w:t>（负责人）</w:t>
      </w:r>
      <w:r>
        <w:rPr>
          <w:rFonts w:hint="eastAsia" w:hAnsi="宋体" w:cs="宋体"/>
          <w:bCs/>
          <w:color w:val="FF0000"/>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pPr>
        <w:pStyle w:val="146"/>
        <w:spacing w:line="360" w:lineRule="auto"/>
        <w:rPr>
          <w:rFonts w:hAnsi="宋体" w:cs="宋体"/>
          <w:bCs/>
          <w:sz w:val="24"/>
        </w:rPr>
      </w:pPr>
    </w:p>
    <w:p>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pPr>
        <w:snapToGrid w:val="0"/>
        <w:spacing w:line="276" w:lineRule="auto"/>
        <w:ind w:firstLine="960" w:firstLineChars="400"/>
        <w:rPr>
          <w:rFonts w:ascii="宋体" w:hAnsi="宋体"/>
          <w:color w:val="FF0000"/>
          <w:sz w:val="24"/>
          <w:u w:val="single"/>
        </w:rPr>
      </w:pPr>
    </w:p>
    <w:p>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pPr>
        <w:snapToGrid w:val="0"/>
        <w:spacing w:line="276" w:lineRule="auto"/>
        <w:rPr>
          <w:rFonts w:ascii="宋体" w:hAnsi="宋体"/>
          <w:color w:val="FF0000"/>
          <w:sz w:val="24"/>
        </w:rPr>
      </w:pPr>
    </w:p>
    <w:p>
      <w:pPr>
        <w:snapToGrid w:val="0"/>
        <w:spacing w:line="276" w:lineRule="auto"/>
        <w:rPr>
          <w:rFonts w:ascii="宋体" w:hAnsi="宋体"/>
          <w:color w:val="FF0000"/>
          <w:sz w:val="24"/>
        </w:rPr>
      </w:pPr>
      <w:r>
        <w:rPr>
          <w:rFonts w:hint="eastAsia" w:ascii="宋体" w:hAnsi="宋体"/>
          <w:color w:val="FF0000"/>
          <w:sz w:val="24"/>
        </w:rPr>
        <w:t xml:space="preserve">                        </w:t>
      </w:r>
    </w:p>
    <w:p>
      <w:pPr>
        <w:snapToGrid w:val="0"/>
        <w:spacing w:line="276" w:lineRule="auto"/>
        <w:rPr>
          <w:rFonts w:ascii="宋体" w:hAnsi="宋体"/>
          <w:color w:val="FF0000"/>
          <w:sz w:val="24"/>
        </w:rPr>
      </w:pPr>
    </w:p>
    <w:p>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投标人名称(公章)：                              </w:t>
      </w:r>
    </w:p>
    <w:p>
      <w:pPr>
        <w:pStyle w:val="146"/>
        <w:spacing w:line="360" w:lineRule="auto"/>
        <w:rPr>
          <w:rFonts w:hAnsi="宋体" w:cs="宋体"/>
          <w:bCs/>
          <w:color w:val="FF0000"/>
          <w:sz w:val="24"/>
        </w:rPr>
      </w:pPr>
      <w:r>
        <w:rPr>
          <w:rFonts w:hint="eastAsia" w:hAnsi="宋体" w:cs="宋体"/>
          <w:color w:val="FF0000"/>
          <w:kern w:val="0"/>
          <w:sz w:val="24"/>
          <w:lang w:val="zh-CN"/>
        </w:rPr>
        <w:t xml:space="preserve">                               日期：  年  月  日</w:t>
      </w:r>
    </w:p>
    <w:p>
      <w:pPr>
        <w:pStyle w:val="146"/>
        <w:spacing w:line="360" w:lineRule="auto"/>
        <w:rPr>
          <w:rFonts w:hAnsi="宋体" w:cs="宋体"/>
          <w:bCs/>
          <w:color w:val="FF0000"/>
          <w:sz w:val="24"/>
        </w:rPr>
      </w:pPr>
    </w:p>
    <w:p>
      <w:pPr>
        <w:pStyle w:val="146"/>
        <w:spacing w:line="360" w:lineRule="auto"/>
        <w:rPr>
          <w:rFonts w:hAnsi="宋体" w:cs="宋体"/>
          <w:bCs/>
          <w:color w:val="FF0000"/>
          <w:sz w:val="24"/>
        </w:rPr>
      </w:pPr>
      <w:r>
        <w:rPr>
          <w:rFonts w:hint="eastAsia" w:hAnsi="宋体"/>
          <w:color w:val="FF0000"/>
          <w:sz w:val="24"/>
        </w:rPr>
        <w:t>法定代表人</w:t>
      </w:r>
      <w:r>
        <w:rPr>
          <w:rFonts w:hint="eastAsia" w:hAnsi="宋体" w:cs="宋体"/>
          <w:color w:val="FF0000"/>
          <w:kern w:val="0"/>
          <w:sz w:val="24"/>
        </w:rPr>
        <w:t>（负责人）</w:t>
      </w:r>
      <w:r>
        <w:rPr>
          <w:rFonts w:hint="eastAsia" w:hAnsi="宋体" w:cs="宋体"/>
          <w:bCs/>
          <w:color w:val="FF0000"/>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pPr>
        <w:widowControl/>
        <w:spacing w:line="360" w:lineRule="auto"/>
        <w:ind w:firstLine="120" w:firstLineChars="50"/>
        <w:jc w:val="left"/>
        <w:rPr>
          <w:rFonts w:ascii="宋体" w:hAnsi="宋体" w:cs="宋体"/>
          <w:sz w:val="24"/>
        </w:rPr>
      </w:pPr>
      <w:bookmarkStart w:id="436"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436"/>
    <w:p>
      <w:pPr>
        <w:snapToGrid w:val="0"/>
        <w:spacing w:line="360" w:lineRule="auto"/>
        <w:rPr>
          <w:rFonts w:ascii="宋体" w:hAnsi="宋体" w:cs="宋体"/>
          <w:kern w:val="0"/>
          <w:sz w:val="24"/>
        </w:rPr>
      </w:pPr>
    </w:p>
    <w:p>
      <w:pPr>
        <w:jc w:val="center"/>
        <w:rPr>
          <w:rFonts w:ascii="宋体" w:hAnsi="宋体" w:cs="宋体"/>
          <w:b/>
          <w:kern w:val="0"/>
          <w:sz w:val="32"/>
          <w:szCs w:val="32"/>
        </w:rPr>
      </w:pPr>
    </w:p>
    <w:p>
      <w:pPr>
        <w:pStyle w:val="82"/>
      </w:pPr>
    </w:p>
    <w:p/>
    <w:p>
      <w:pPr>
        <w:pStyle w:val="82"/>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四、符合性审查资料</w:t>
      </w:r>
    </w:p>
    <w:p>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pPr>
              <w:snapToGrid w:val="0"/>
              <w:spacing w:line="240" w:lineRule="atLeast"/>
              <w:jc w:val="center"/>
              <w:rPr>
                <w:rFonts w:ascii="宋体" w:hAnsi="宋体" w:cs="宋体"/>
                <w:b/>
                <w:sz w:val="24"/>
              </w:rPr>
            </w:pPr>
            <w:r>
              <w:rPr>
                <w:rFonts w:hint="eastAsia" w:ascii="宋体" w:hAnsi="宋体" w:cs="宋体"/>
                <w:b/>
                <w:sz w:val="24"/>
              </w:rPr>
              <w:t>投标文件中的</w:t>
            </w:r>
          </w:p>
          <w:p>
            <w:pPr>
              <w:snapToGrid w:val="0"/>
              <w:spacing w:line="240" w:lineRule="atLeast"/>
              <w:jc w:val="center"/>
              <w:rPr>
                <w:rFonts w:ascii="宋体" w:hAnsi="宋体" w:cs="宋体"/>
                <w:b/>
                <w:sz w:val="24"/>
              </w:rPr>
            </w:pPr>
            <w:r>
              <w:rPr>
                <w:rFonts w:hint="eastAsia" w:ascii="宋体" w:hAnsi="宋体" w:cs="宋体"/>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1</w:t>
            </w:r>
          </w:p>
        </w:tc>
        <w:tc>
          <w:tcPr>
            <w:tcW w:w="4991" w:type="dxa"/>
            <w:vAlign w:val="center"/>
          </w:tcPr>
          <w:p>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pPr>
              <w:rPr>
                <w:rFonts w:ascii="宋体" w:hAnsi="宋体" w:cs="宋体"/>
                <w:sz w:val="24"/>
              </w:rPr>
            </w:pPr>
          </w:p>
          <w:p>
            <w:pPr>
              <w:rPr>
                <w:rFonts w:ascii="宋体" w:hAnsi="宋体" w:cs="宋体"/>
                <w:sz w:val="24"/>
              </w:rPr>
            </w:pPr>
            <w:r>
              <w:rPr>
                <w:rFonts w:hint="eastAsia" w:ascii="宋体" w:hAnsi="宋体" w:cs="宋体"/>
                <w:sz w:val="24"/>
              </w:rPr>
              <w:t>见投标文件</w:t>
            </w:r>
          </w:p>
          <w:p>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2</w:t>
            </w:r>
          </w:p>
        </w:tc>
        <w:tc>
          <w:tcPr>
            <w:tcW w:w="4991" w:type="dxa"/>
            <w:vAlign w:val="center"/>
          </w:tcPr>
          <w:p>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pPr>
              <w:rPr>
                <w:rFonts w:ascii="宋体" w:hAnsi="宋体" w:cs="宋体"/>
                <w:sz w:val="24"/>
              </w:rPr>
            </w:pPr>
            <w:r>
              <w:rPr>
                <w:rFonts w:hint="eastAsia" w:ascii="宋体" w:hAnsi="宋体" w:cs="宋体"/>
                <w:sz w:val="24"/>
              </w:rPr>
              <w:t>投标函</w:t>
            </w:r>
          </w:p>
        </w:tc>
        <w:tc>
          <w:tcPr>
            <w:tcW w:w="1418" w:type="dxa"/>
            <w:vAlign w:val="center"/>
          </w:tcPr>
          <w:p>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3</w:t>
            </w:r>
          </w:p>
        </w:tc>
        <w:tc>
          <w:tcPr>
            <w:tcW w:w="4991" w:type="dxa"/>
            <w:vAlign w:val="center"/>
          </w:tcPr>
          <w:p>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 xml:space="preserve">            </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jc w:val="center"/>
        <w:rPr>
          <w:rFonts w:ascii="宋体" w:hAnsi="宋体" w:cs="宋体"/>
        </w:rPr>
      </w:pPr>
      <w:r>
        <w:rPr>
          <w:rFonts w:hint="eastAsia" w:ascii="宋体" w:hAnsi="宋体" w:cs="宋体"/>
          <w:b/>
          <w:kern w:val="0"/>
          <w:sz w:val="32"/>
          <w:szCs w:val="32"/>
        </w:rPr>
        <w:t>五、评标标准相应的商务技术资料</w:t>
      </w:r>
    </w:p>
    <w:p>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sz w:val="24"/>
              </w:rPr>
            </w:pPr>
            <w:r>
              <w:rPr>
                <w:rFonts w:hint="eastAsia" w:ascii="宋体" w:hAnsi="宋体" w:cs="宋体"/>
                <w:b/>
                <w:bCs/>
                <w:sz w:val="24"/>
              </w:rPr>
              <w:t>序号</w:t>
            </w:r>
          </w:p>
        </w:tc>
        <w:tc>
          <w:tcPr>
            <w:tcW w:w="3683" w:type="dxa"/>
          </w:tcPr>
          <w:p>
            <w:pPr>
              <w:jc w:val="center"/>
              <w:rPr>
                <w:rFonts w:ascii="宋体" w:hAnsi="宋体" w:cs="宋体"/>
                <w:b/>
                <w:bCs/>
                <w:sz w:val="24"/>
              </w:rPr>
            </w:pPr>
            <w:r>
              <w:rPr>
                <w:rFonts w:hint="eastAsia" w:ascii="宋体" w:hAnsi="宋体" w:cs="宋体"/>
                <w:b/>
                <w:bCs/>
                <w:sz w:val="24"/>
              </w:rPr>
              <w:t>招标文件章节及具体内容</w:t>
            </w:r>
          </w:p>
        </w:tc>
        <w:tc>
          <w:tcPr>
            <w:tcW w:w="3546" w:type="dxa"/>
          </w:tcPr>
          <w:p>
            <w:pPr>
              <w:jc w:val="center"/>
              <w:rPr>
                <w:rFonts w:ascii="宋体" w:hAnsi="宋体" w:cs="宋体"/>
                <w:b/>
                <w:bCs/>
                <w:sz w:val="24"/>
              </w:rPr>
            </w:pPr>
            <w:r>
              <w:rPr>
                <w:rFonts w:hint="eastAsia" w:ascii="宋体" w:hAnsi="宋体" w:cs="宋体"/>
                <w:b/>
                <w:bCs/>
                <w:sz w:val="24"/>
              </w:rPr>
              <w:t>投标文件章节及具体内容</w:t>
            </w:r>
          </w:p>
        </w:tc>
        <w:tc>
          <w:tcPr>
            <w:tcW w:w="1276" w:type="dxa"/>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1</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2</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bl>
    <w:p>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pPr>
        <w:spacing w:line="360" w:lineRule="auto"/>
        <w:ind w:firstLine="3600" w:firstLineChars="150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jc w:val="center"/>
        <w:rPr>
          <w:rFonts w:ascii="宋体" w:hAnsi="宋体" w:cs="宋体"/>
          <w:b/>
          <w:kern w:val="0"/>
          <w:sz w:val="32"/>
          <w:szCs w:val="32"/>
        </w:rPr>
      </w:pPr>
    </w:p>
    <w:p>
      <w:pPr>
        <w:spacing w:line="360" w:lineRule="auto"/>
        <w:ind w:right="420"/>
        <w:rPr>
          <w:rFonts w:ascii="宋体" w:hAnsi="宋体" w:cs="宋体"/>
          <w:sz w:val="24"/>
        </w:rPr>
      </w:pPr>
      <w:r>
        <w:rPr>
          <w:rFonts w:hint="eastAsia" w:ascii="宋体" w:hAnsi="宋体" w:cs="宋体"/>
          <w:sz w:val="24"/>
        </w:rPr>
        <w:t>注：按本格式和要求提供。</w:t>
      </w: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widowControl/>
        <w:adjustRightInd/>
        <w:jc w:val="left"/>
        <w:rPr>
          <w:rFonts w:ascii="宋体" w:hAnsi="宋体" w:cs="宋体"/>
          <w:b/>
          <w:bCs/>
          <w:sz w:val="32"/>
          <w:szCs w:val="32"/>
        </w:rPr>
      </w:pPr>
    </w:p>
    <w:p>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pPr>
        <w:snapToGrid w:val="0"/>
        <w:spacing w:line="360" w:lineRule="auto"/>
        <w:rPr>
          <w:rFonts w:ascii="宋体" w:hAnsi="宋体" w:cs="宋体"/>
          <w:sz w:val="24"/>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left="4620" w:leftChars="2200"/>
        <w:rPr>
          <w:rFonts w:ascii="宋体" w:hAnsi="宋体" w:cs="宋体"/>
          <w:sz w:val="24"/>
        </w:rPr>
      </w:pP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kern w:val="0"/>
          <w:sz w:val="24"/>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十、技术解决方案</w:t>
      </w:r>
    </w:p>
    <w:p>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pPr>
        <w:spacing w:line="360" w:lineRule="auto"/>
        <w:jc w:val="center"/>
        <w:rPr>
          <w:rFonts w:cs="仿宋_GB2312" w:asciiTheme="minorEastAsia" w:hAnsiTheme="minorEastAsia" w:eastAsiaTheme="minorEastAsia"/>
          <w:color w:val="FF0000"/>
          <w:sz w:val="24"/>
        </w:rPr>
      </w:pPr>
    </w:p>
    <w:p>
      <w:pPr>
        <w:autoSpaceDE w:val="0"/>
        <w:autoSpaceDN w:val="0"/>
        <w:spacing w:line="360" w:lineRule="auto"/>
        <w:rPr>
          <w:rFonts w:cs="仿宋_GB2312" w:asciiTheme="minorEastAsia" w:hAnsiTheme="minorEastAsia" w:eastAsiaTheme="minorEastAsia"/>
          <w:color w:val="FF0000"/>
          <w:kern w:val="0"/>
          <w:sz w:val="24"/>
        </w:rPr>
      </w:pPr>
    </w:p>
    <w:p>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pPr>
        <w:spacing w:line="360" w:lineRule="auto"/>
        <w:jc w:val="center"/>
        <w:rPr>
          <w:rFonts w:cs="仿宋_GB2312" w:asciiTheme="minorEastAsia" w:hAnsiTheme="minorEastAsia" w:eastAsiaTheme="minorEastAsia"/>
          <w:b/>
          <w:bCs/>
          <w:color w:val="FF0000"/>
          <w:sz w:val="32"/>
          <w:szCs w:val="32"/>
        </w:rPr>
      </w:pPr>
    </w:p>
    <w:p>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十一、组织实施方案</w:t>
      </w:r>
    </w:p>
    <w:p>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pPr>
        <w:spacing w:line="360" w:lineRule="auto"/>
        <w:jc w:val="center"/>
        <w:rPr>
          <w:rFonts w:cs="仿宋_GB2312" w:asciiTheme="minorEastAsia" w:hAnsiTheme="minorEastAsia" w:eastAsiaTheme="minorEastAsia"/>
          <w:color w:val="FF0000"/>
          <w:sz w:val="24"/>
        </w:rPr>
      </w:pPr>
    </w:p>
    <w:p>
      <w:pPr>
        <w:autoSpaceDE w:val="0"/>
        <w:autoSpaceDN w:val="0"/>
        <w:spacing w:line="360" w:lineRule="auto"/>
        <w:rPr>
          <w:rFonts w:cs="仿宋_GB2312" w:asciiTheme="minorEastAsia" w:hAnsiTheme="minorEastAsia" w:eastAsiaTheme="minorEastAsia"/>
          <w:color w:val="FF0000"/>
          <w:kern w:val="0"/>
          <w:sz w:val="24"/>
        </w:rPr>
      </w:pPr>
    </w:p>
    <w:p>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pPr>
        <w:spacing w:line="360" w:lineRule="auto"/>
        <w:jc w:val="center"/>
        <w:rPr>
          <w:rFonts w:cs="仿宋_GB2312" w:asciiTheme="minorEastAsia" w:hAnsiTheme="minorEastAsia" w:eastAsiaTheme="minorEastAsia"/>
          <w:b/>
          <w:bCs/>
          <w:color w:val="FF0000"/>
          <w:sz w:val="32"/>
          <w:szCs w:val="32"/>
        </w:rPr>
      </w:pPr>
    </w:p>
    <w:p>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十二、售后服务方案</w:t>
      </w:r>
    </w:p>
    <w:p>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pPr>
        <w:spacing w:line="360" w:lineRule="auto"/>
        <w:jc w:val="center"/>
        <w:rPr>
          <w:rFonts w:cs="仿宋_GB2312" w:asciiTheme="minorEastAsia" w:hAnsiTheme="minorEastAsia" w:eastAsiaTheme="minorEastAsia"/>
          <w:color w:val="FF0000"/>
          <w:sz w:val="24"/>
        </w:rPr>
      </w:pPr>
    </w:p>
    <w:p>
      <w:pPr>
        <w:autoSpaceDE w:val="0"/>
        <w:autoSpaceDN w:val="0"/>
        <w:spacing w:line="360" w:lineRule="auto"/>
        <w:rPr>
          <w:rFonts w:cs="仿宋_GB2312" w:asciiTheme="minorEastAsia" w:hAnsiTheme="minorEastAsia" w:eastAsiaTheme="minorEastAsia"/>
          <w:color w:val="FF0000"/>
          <w:kern w:val="0"/>
          <w:sz w:val="24"/>
        </w:rPr>
      </w:pPr>
    </w:p>
    <w:p>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pPr>
        <w:spacing w:line="360" w:lineRule="auto"/>
        <w:jc w:val="center"/>
        <w:rPr>
          <w:rFonts w:ascii="宋体" w:hAnsi="宋体" w:cs="宋体"/>
          <w:b/>
          <w:bCs/>
          <w:sz w:val="24"/>
        </w:rPr>
      </w:pPr>
    </w:p>
    <w:p>
      <w:pPr>
        <w:pStyle w:val="2"/>
        <w:rPr>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（1）开标一览表（报价表）………………………………………………………（页码）</w:t>
      </w:r>
    </w:p>
    <w:p>
      <w:pPr>
        <w:snapToGrid w:val="0"/>
        <w:spacing w:line="360" w:lineRule="auto"/>
        <w:rPr>
          <w:rFonts w:ascii="宋体" w:hAnsi="宋体" w:cs="宋体"/>
          <w:sz w:val="24"/>
        </w:rPr>
      </w:pPr>
      <w:r>
        <w:rPr>
          <w:rFonts w:hint="eastAsia" w:ascii="宋体" w:hAnsi="宋体" w:cs="宋体"/>
          <w:sz w:val="24"/>
        </w:rPr>
        <w:t>（2）中小企业声明函………………………………………………………………（页码）</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pPr>
        <w:pStyle w:val="82"/>
        <w:jc w:val="center"/>
        <w:rPr>
          <w:b/>
          <w:sz w:val="32"/>
          <w:szCs w:val="32"/>
        </w:rPr>
      </w:pPr>
      <w:bookmarkStart w:id="437" w:name="_Toc176185127"/>
      <w:r>
        <w:rPr>
          <w:rFonts w:hint="eastAsia"/>
          <w:b/>
          <w:sz w:val="32"/>
          <w:szCs w:val="32"/>
        </w:rPr>
        <w:t>一、开标一览表（报价表）</w:t>
      </w:r>
      <w:bookmarkEnd w:id="437"/>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pPr>
              <w:spacing w:line="360" w:lineRule="auto"/>
              <w:jc w:val="center"/>
              <w:rPr>
                <w:rFonts w:ascii="宋体" w:hAnsi="宋体" w:cs="宋体"/>
                <w:b/>
                <w:sz w:val="24"/>
              </w:rPr>
            </w:pPr>
            <w:r>
              <w:rPr>
                <w:rFonts w:hint="eastAsia" w:ascii="宋体" w:hAnsi="宋体" w:cs="宋体"/>
                <w:b/>
                <w:sz w:val="24"/>
              </w:rPr>
              <w:t>名称</w:t>
            </w:r>
          </w:p>
        </w:tc>
        <w:tc>
          <w:tcPr>
            <w:tcW w:w="1843" w:type="dxa"/>
            <w:vAlign w:val="center"/>
          </w:tcPr>
          <w:p>
            <w:pPr>
              <w:spacing w:line="360" w:lineRule="auto"/>
              <w:jc w:val="center"/>
              <w:rPr>
                <w:rFonts w:ascii="宋体" w:hAnsi="宋体" w:cs="宋体"/>
                <w:b/>
                <w:sz w:val="24"/>
              </w:rPr>
            </w:pPr>
            <w:r>
              <w:rPr>
                <w:rFonts w:hint="eastAsia" w:ascii="宋体" w:hAnsi="宋体" w:cs="宋体"/>
                <w:b/>
                <w:sz w:val="24"/>
              </w:rPr>
              <w:t>生产厂家、</w:t>
            </w:r>
          </w:p>
          <w:p>
            <w:pPr>
              <w:spacing w:line="360" w:lineRule="auto"/>
              <w:jc w:val="center"/>
              <w:rPr>
                <w:rFonts w:ascii="宋体" w:hAnsi="宋体" w:cs="宋体"/>
                <w:b/>
                <w:sz w:val="24"/>
              </w:rPr>
            </w:pPr>
            <w:r>
              <w:rPr>
                <w:rFonts w:hint="eastAsia" w:ascii="宋体" w:hAnsi="宋体" w:cs="宋体"/>
                <w:b/>
                <w:sz w:val="24"/>
              </w:rPr>
              <w:t>品牌（如果有）</w:t>
            </w:r>
          </w:p>
        </w:tc>
        <w:tc>
          <w:tcPr>
            <w:tcW w:w="3118" w:type="dxa"/>
            <w:vAlign w:val="center"/>
          </w:tcPr>
          <w:p>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备注（如果有）</w:t>
            </w:r>
          </w:p>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pPr>
              <w:snapToGrid w:val="0"/>
              <w:spacing w:line="360" w:lineRule="auto"/>
              <w:jc w:val="center"/>
              <w:rPr>
                <w:rFonts w:ascii="宋体" w:hAnsi="宋体" w:cs="宋体"/>
                <w:sz w:val="24"/>
              </w:rPr>
            </w:pP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sz w:val="24"/>
              </w:rPr>
            </w:pPr>
          </w:p>
        </w:tc>
        <w:tc>
          <w:tcPr>
            <w:tcW w:w="1417" w:type="dxa"/>
            <w:vAlign w:val="center"/>
          </w:tcPr>
          <w:p>
            <w:pPr>
              <w:snapToGrid w:val="0"/>
              <w:spacing w:line="360" w:lineRule="auto"/>
              <w:jc w:val="center"/>
              <w:rPr>
                <w:rFonts w:ascii="宋体" w:hAnsi="宋体" w:cs="宋体"/>
                <w:sz w:val="24"/>
              </w:rPr>
            </w:pP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sz w:val="24"/>
              </w:rPr>
            </w:pPr>
          </w:p>
        </w:tc>
        <w:tc>
          <w:tcPr>
            <w:tcW w:w="1417" w:type="dxa"/>
            <w:vAlign w:val="center"/>
          </w:tcPr>
          <w:p>
            <w:pPr>
              <w:snapToGrid w:val="0"/>
              <w:spacing w:line="360" w:lineRule="auto"/>
              <w:jc w:val="center"/>
              <w:rPr>
                <w:rFonts w:ascii="宋体" w:hAnsi="宋体" w:cs="宋体"/>
                <w:sz w:val="24"/>
              </w:rPr>
            </w:pP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pPr>
              <w:spacing w:line="360" w:lineRule="auto"/>
              <w:jc w:val="center"/>
              <w:rPr>
                <w:rFonts w:ascii="宋体" w:hAnsi="宋体" w:cs="宋体"/>
                <w:sz w:val="24"/>
              </w:rPr>
            </w:pPr>
          </w:p>
        </w:tc>
      </w:tr>
    </w:tbl>
    <w:p>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中标，依照《中华人民共和国政府采购法》等国家有关规定追究相应责任。</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5、本项目为北海市推动解决政府采购异常低价试点项目，供应商投标报价低于采购文件规定异常低价情况的，应按评标委员会要求在规定时间内提交书面证明及必要的证明材料，否则投标无效。</w:t>
      </w:r>
    </w:p>
    <w:p>
      <w:pPr>
        <w:spacing w:line="360" w:lineRule="auto"/>
        <w:ind w:firstLine="6240" w:firstLineChars="2600"/>
        <w:rPr>
          <w:rFonts w:ascii="宋体" w:hAnsi="宋体" w:cs="宋体"/>
          <w:sz w:val="24"/>
        </w:rPr>
      </w:pPr>
      <w:r>
        <w:rPr>
          <w:rFonts w:hint="eastAsia" w:ascii="宋体" w:hAnsi="宋体" w:cs="宋体"/>
          <w:sz w:val="24"/>
        </w:rPr>
        <w:t>投标人名称（公章）：</w:t>
      </w:r>
    </w:p>
    <w:p>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firstLine="482" w:firstLineChars="200"/>
        <w:rPr>
          <w:rFonts w:ascii="宋体" w:hAnsi="宋体" w:cs="宋体"/>
          <w:b/>
          <w:kern w:val="0"/>
          <w:sz w:val="24"/>
        </w:rPr>
      </w:pPr>
    </w:p>
    <w:p>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pPr>
    </w:p>
    <w:p>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pPr>
        <w:pStyle w:val="82"/>
        <w:jc w:val="center"/>
        <w:rPr>
          <w:b/>
          <w:sz w:val="32"/>
          <w:szCs w:val="32"/>
        </w:rPr>
      </w:pPr>
      <w:bookmarkStart w:id="438" w:name="_Toc176185128"/>
      <w:r>
        <w:rPr>
          <w:rFonts w:hint="eastAsia"/>
          <w:b/>
          <w:kern w:val="2"/>
          <w:sz w:val="32"/>
          <w:szCs w:val="32"/>
        </w:rPr>
        <w:t>二、</w:t>
      </w:r>
      <w:r>
        <w:rPr>
          <w:rFonts w:hint="eastAsia"/>
          <w:b/>
          <w:sz w:val="32"/>
          <w:szCs w:val="32"/>
        </w:rPr>
        <w:t>中小企业声明函</w:t>
      </w:r>
      <w:bookmarkStart w:id="439" w:name="_Hlk101259491"/>
      <w:r>
        <w:rPr>
          <w:rFonts w:hint="eastAsia"/>
          <w:b/>
          <w:sz w:val="32"/>
          <w:szCs w:val="32"/>
        </w:rPr>
        <w:t>（如果有）</w:t>
      </w:r>
      <w:bookmarkEnd w:id="438"/>
      <w:bookmarkEnd w:id="439"/>
    </w:p>
    <w:p>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pPr>
        <w:pStyle w:val="690"/>
        <w:keepNext w:val="0"/>
        <w:pageBreakBefore w:val="0"/>
        <w:tabs>
          <w:tab w:val="clear" w:pos="720"/>
        </w:tabs>
        <w:snapToGrid w:val="0"/>
        <w:spacing w:before="120" w:after="120"/>
        <w:ind w:firstLine="643"/>
        <w:outlineLvl w:val="9"/>
        <w:rPr>
          <w:rFonts w:ascii="宋体" w:hAnsi="宋体" w:eastAsia="宋体" w:cs="宋体"/>
          <w:b w:val="0"/>
          <w:sz w:val="32"/>
          <w:szCs w:val="32"/>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pStyle w:val="82"/>
        <w:jc w:val="center"/>
        <w:rPr>
          <w:b/>
          <w:sz w:val="36"/>
          <w:szCs w:val="36"/>
        </w:rPr>
      </w:pPr>
      <w:bookmarkStart w:id="440" w:name="_Toc465665161"/>
      <w:r>
        <w:rPr>
          <w:rFonts w:hint="eastAsia"/>
          <w:b/>
          <w:sz w:val="36"/>
          <w:szCs w:val="36"/>
        </w:rPr>
        <w:t>附件</w:t>
      </w:r>
      <w:bookmarkEnd w:id="440"/>
    </w:p>
    <w:p>
      <w:pPr>
        <w:spacing w:line="360" w:lineRule="auto"/>
        <w:rPr>
          <w:rFonts w:ascii="宋体" w:hAnsi="宋体" w:cs="宋体"/>
          <w:b/>
          <w:spacing w:val="6"/>
          <w:sz w:val="32"/>
          <w:szCs w:val="32"/>
        </w:rPr>
      </w:pPr>
      <w:r>
        <w:rPr>
          <w:rFonts w:hint="eastAsia" w:ascii="宋体" w:hAnsi="宋体" w:cs="宋体"/>
          <w:b/>
          <w:spacing w:val="6"/>
          <w:sz w:val="32"/>
          <w:szCs w:val="32"/>
        </w:rPr>
        <w:t>附件1：</w:t>
      </w:r>
    </w:p>
    <w:p>
      <w:pPr>
        <w:spacing w:line="360" w:lineRule="auto"/>
        <w:jc w:val="center"/>
        <w:rPr>
          <w:rFonts w:ascii="宋体" w:hAnsi="宋体" w:cs="宋体"/>
          <w:b/>
          <w:spacing w:val="6"/>
          <w:sz w:val="32"/>
          <w:szCs w:val="32"/>
        </w:rPr>
      </w:pPr>
      <w:bookmarkStart w:id="441" w:name="OLE_LINK13"/>
      <w:bookmarkStart w:id="442" w:name="OLE_LINK14"/>
      <w:r>
        <w:rPr>
          <w:rFonts w:hint="eastAsia" w:ascii="宋体" w:hAnsi="宋体" w:cs="宋体"/>
          <w:b/>
          <w:spacing w:val="6"/>
          <w:sz w:val="32"/>
          <w:szCs w:val="32"/>
        </w:rPr>
        <w:t>残疾人福利性单位声明函</w:t>
      </w:r>
    </w:p>
    <w:bookmarkEnd w:id="441"/>
    <w:bookmarkEnd w:id="442"/>
    <w:p>
      <w:pPr>
        <w:spacing w:line="360" w:lineRule="auto"/>
        <w:rPr>
          <w:rFonts w:ascii="宋体" w:hAnsi="宋体" w:cs="宋体"/>
          <w:b/>
          <w:spacing w:val="6"/>
          <w:sz w:val="30"/>
          <w:szCs w:val="30"/>
        </w:rPr>
      </w:pPr>
    </w:p>
    <w:p>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pacing w:line="360" w:lineRule="auto"/>
        <w:ind w:firstLine="480" w:firstLineChars="200"/>
        <w:rPr>
          <w:rFonts w:ascii="宋体" w:hAnsi="宋体" w:cs="宋体"/>
          <w:sz w:val="24"/>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pPr>
        <w:spacing w:line="360" w:lineRule="auto"/>
        <w:jc w:val="center"/>
        <w:rPr>
          <w:rFonts w:ascii="宋体" w:hAnsi="宋体" w:cs="宋体"/>
          <w:b/>
          <w:sz w:val="24"/>
        </w:rPr>
      </w:pPr>
    </w:p>
    <w:p>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pPr>
        <w:spacing w:line="360" w:lineRule="auto"/>
        <w:rPr>
          <w:rFonts w:ascii="宋体" w:hAnsi="宋体" w:cs="宋体"/>
          <w:sz w:val="24"/>
        </w:rPr>
      </w:pPr>
      <w:r>
        <w:rPr>
          <w:rFonts w:hint="eastAsia" w:ascii="宋体" w:hAnsi="宋体" w:cs="宋体"/>
          <w:sz w:val="24"/>
        </w:rPr>
        <w:t>一、投诉相关主体基本情况</w:t>
      </w:r>
    </w:p>
    <w:p>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被投诉人2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二、投诉项目基本情况</w:t>
      </w:r>
    </w:p>
    <w:p>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三、质疑基本情况</w:t>
      </w:r>
    </w:p>
    <w:p>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pPr>
        <w:spacing w:line="360" w:lineRule="auto"/>
        <w:rPr>
          <w:rFonts w:ascii="宋体" w:hAnsi="宋体" w:cs="宋体"/>
          <w:sz w:val="24"/>
        </w:rPr>
      </w:pPr>
      <w:r>
        <w:rPr>
          <w:rFonts w:hint="eastAsia" w:ascii="宋体" w:hAnsi="宋体" w:cs="宋体"/>
          <w:sz w:val="24"/>
        </w:rPr>
        <w:t>四、投诉事项具体内容</w:t>
      </w:r>
    </w:p>
    <w:p>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投诉事项2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五、与投诉事项相关的投诉请求</w:t>
      </w:r>
    </w:p>
    <w:p>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投诉书制作说明：</w:t>
      </w:r>
    </w:p>
    <w:p>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sz w:val="24"/>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left"/>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pPr>
        <w:spacing w:line="360" w:lineRule="auto"/>
        <w:rPr>
          <w:rFonts w:ascii="宋体" w:hAnsi="宋体" w:cs="宋体"/>
          <w:sz w:val="24"/>
          <w:u w:val="single"/>
        </w:rPr>
      </w:pPr>
    </w:p>
    <w:p>
      <w:pPr>
        <w:spacing w:line="360" w:lineRule="auto"/>
        <w:rPr>
          <w:rFonts w:ascii="宋体" w:hAnsi="宋体" w:cs="宋体"/>
          <w:sz w:val="24"/>
        </w:rPr>
      </w:pPr>
      <w:r>
        <w:rPr>
          <w:rFonts w:hint="eastAsia" w:ascii="宋体" w:hAnsi="宋体" w:cs="宋体"/>
          <w:sz w:val="24"/>
          <w:u w:val="single"/>
        </w:rPr>
        <w:t>（采购人）、（采购代理机构）：</w:t>
      </w:r>
    </w:p>
    <w:p>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rPr>
      </w:pPr>
      <w:r>
        <w:rPr>
          <w:rFonts w:hint="eastAsia" w:ascii="宋体" w:hAnsi="宋体" w:cs="宋体"/>
          <w:sz w:val="24"/>
        </w:rPr>
        <w:t>特此说明。</w:t>
      </w: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pPr>
        <w:ind w:right="1440" w:firstLine="494"/>
        <w:jc w:val="center"/>
        <w:rPr>
          <w:rFonts w:ascii="宋体" w:hAnsi="宋体" w:cs="宋体"/>
          <w:sz w:val="24"/>
        </w:rPr>
      </w:pPr>
      <w:r>
        <w:rPr>
          <w:rFonts w:hint="eastAsia" w:ascii="宋体" w:hAnsi="宋体" w:cs="宋体"/>
          <w:sz w:val="24"/>
        </w:rPr>
        <w:t xml:space="preserve">                              日期：       年     月     日</w:t>
      </w:r>
    </w:p>
    <w:p>
      <w:pPr>
        <w:rPr>
          <w:rFonts w:ascii="宋体" w:hAnsi="宋体" w:cs="宋体"/>
          <w:sz w:val="24"/>
        </w:rPr>
      </w:pPr>
      <w:r>
        <w:rPr>
          <w:rFonts w:hint="eastAsia" w:ascii="宋体" w:hAnsi="宋体" w:cs="宋体"/>
          <w:b/>
          <w:bCs/>
          <w:sz w:val="24"/>
        </w:rPr>
        <w:t>附：</w:t>
      </w:r>
    </w:p>
    <w:p>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pPr>
        <w:snapToGrid w:val="0"/>
        <w:spacing w:line="360" w:lineRule="auto"/>
        <w:ind w:firstLine="576"/>
        <w:rPr>
          <w:rFonts w:ascii="宋体" w:hAnsi="宋体" w:cs="宋体"/>
          <w:kern w:val="0"/>
          <w:sz w:val="24"/>
          <w:lang w:val="zh-CN"/>
        </w:rPr>
      </w:pPr>
      <w:bookmarkStart w:id="443"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443"/>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81"/>
        </w:rPr>
      </w:pPr>
      <w:r>
        <w:rPr>
          <w:rStyle w:val="81"/>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pPr>
        <w:spacing w:line="360" w:lineRule="auto"/>
        <w:ind w:right="420"/>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pPr>
        <w:pStyle w:val="82"/>
      </w:pPr>
      <w:r>
        <w:rPr>
          <w:rFonts w:hint="eastAsia"/>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44"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444"/>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投标人名称(公章)：</w:t>
      </w:r>
    </w:p>
    <w:p>
      <w:pPr>
        <w:snapToGrid w:val="0"/>
        <w:spacing w:line="360" w:lineRule="auto"/>
        <w:rPr>
          <w:rStyle w:val="81"/>
        </w:rPr>
      </w:pPr>
      <w:r>
        <w:rPr>
          <w:rStyle w:val="81"/>
          <w:rFonts w:hint="eastAsia"/>
        </w:rPr>
        <w:t xml:space="preserve">                                              法定代表人（负责人） (签名)：</w:t>
      </w:r>
    </w:p>
    <w:p>
      <w:pPr>
        <w:snapToGrid w:val="0"/>
        <w:spacing w:line="360" w:lineRule="auto"/>
        <w:ind w:right="480"/>
        <w:rPr>
          <w:rFonts w:ascii="宋体" w:hAnsi="宋体"/>
          <w:sz w:val="24"/>
        </w:rPr>
      </w:pPr>
      <w:r>
        <w:rPr>
          <w:rFonts w:hint="eastAsia" w:ascii="宋体" w:hAnsi="宋体" w:cs="宋体"/>
          <w:kern w:val="0"/>
          <w:sz w:val="24"/>
        </w:rPr>
        <w:t xml:space="preserve">                                              </w:t>
      </w:r>
      <w:r>
        <w:rPr>
          <w:rFonts w:hint="eastAsia" w:ascii="宋体" w:hAnsi="宋体" w:cs="宋体"/>
          <w:kern w:val="0"/>
          <w:sz w:val="24"/>
          <w:lang w:val="zh-CN"/>
        </w:rPr>
        <w:t>分包供应商名称(公章)：</w:t>
      </w:r>
    </w:p>
    <w:p>
      <w:pPr>
        <w:pStyle w:val="82"/>
        <w:ind w:firstLine="5520" w:firstLineChars="2300"/>
        <w:jc w:val="both"/>
      </w:pPr>
      <w:r>
        <w:rPr>
          <w:rStyle w:val="81"/>
          <w:rFonts w:hint="eastAsia"/>
        </w:rPr>
        <w:t>法定代表人（负责人） (签名)：</w:t>
      </w:r>
    </w:p>
    <w:p>
      <w:pPr>
        <w:snapToGrid w:val="0"/>
        <w:spacing w:line="360" w:lineRule="auto"/>
        <w:ind w:firstLine="5760" w:firstLineChars="2400"/>
        <w:rPr>
          <w:rFonts w:ascii="宋体" w:hAnsi="宋体" w:cs="宋体"/>
        </w:rPr>
      </w:pPr>
      <w:r>
        <w:rPr>
          <w:rFonts w:hint="eastAsia" w:ascii="宋体" w:hAnsi="宋体" w:cs="宋体"/>
          <w:kern w:val="0"/>
          <w:sz w:val="24"/>
        </w:rPr>
        <w:t>……</w:t>
      </w:r>
    </w:p>
    <w:p>
      <w:pPr>
        <w:spacing w:line="360" w:lineRule="auto"/>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pacing w:line="360" w:lineRule="auto"/>
        <w:ind w:right="420"/>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7</w:t>
      </w:r>
      <w:r>
        <w:rPr>
          <w:rFonts w:hint="eastAsia" w:ascii="宋体" w:hAnsi="宋体" w:cs="宋体"/>
          <w:b/>
          <w:kern w:val="0"/>
          <w:sz w:val="32"/>
          <w:szCs w:val="32"/>
        </w:rPr>
        <w:t>：中小企业声明函</w:t>
      </w:r>
    </w:p>
    <w:p>
      <w:pPr>
        <w:spacing w:line="360" w:lineRule="auto"/>
        <w:jc w:val="center"/>
        <w:rPr>
          <w:rFonts w:ascii="宋体" w:hAnsi="宋体" w:cs="宋体"/>
          <w:sz w:val="24"/>
          <w:u w:val="single"/>
        </w:rPr>
      </w:pPr>
    </w:p>
    <w:p>
      <w:pPr>
        <w:spacing w:line="360" w:lineRule="auto"/>
        <w:jc w:val="center"/>
        <w:rPr>
          <w:rFonts w:ascii="宋体" w:hAnsi="宋体" w:cs="宋体"/>
          <w:b/>
          <w:sz w:val="32"/>
          <w:szCs w:val="32"/>
        </w:rPr>
      </w:pPr>
      <w:r>
        <w:rPr>
          <w:rFonts w:hint="eastAsia" w:ascii="宋体" w:hAnsi="宋体" w:cs="宋体"/>
          <w:b/>
          <w:sz w:val="32"/>
          <w:szCs w:val="32"/>
        </w:rPr>
        <w:t>中小企业声明函（货物）</w:t>
      </w:r>
    </w:p>
    <w:p>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pacing w:line="360" w:lineRule="auto"/>
        <w:ind w:right="420" w:firstLine="480" w:firstLineChars="200"/>
        <w:rPr>
          <w:rFonts w:ascii="宋体" w:hAnsi="宋体" w:cs="宋体"/>
          <w:sz w:val="24"/>
        </w:rPr>
      </w:pPr>
      <w:r>
        <w:rPr>
          <w:rFonts w:hint="eastAsia" w:ascii="宋体" w:hAnsi="宋体" w:cs="宋体"/>
          <w:sz w:val="24"/>
        </w:rPr>
        <w:t>注：</w:t>
      </w:r>
    </w:p>
    <w:p>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中标的，依法承担法律责任。</w:t>
      </w:r>
    </w:p>
    <w:p>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宋体"/>
    <w:panose1 w:val="00000000000000000000"/>
    <w:charset w:val="86"/>
    <w:family w:val="roman"/>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
  <w:p/>
  <w:p/>
  <w:p/>
  <w:p/>
  <w:p/>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p/>
  <w:p/>
  <w:p/>
  <w:p/>
  <w:p/>
  <w:p/>
  <w:p/>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bookmarkStart w:id="445" w:name="_Toc131845147"/>
    <w:bookmarkStart w:id="446" w:name="_Toc164085800"/>
    <w:bookmarkStart w:id="447" w:name="_Toc91899912"/>
    <w:bookmarkStart w:id="448" w:name="_Toc36110187"/>
    <w:r>
      <w:rPr>
        <w:rFonts w:hint="eastAsia" w:ascii="仿宋_GB2312" w:eastAsia="仿宋_GB2312"/>
        <w:kern w:val="0"/>
        <w:sz w:val="21"/>
        <w:szCs w:val="21"/>
      </w:rPr>
      <w:t xml:space="preserve"> 页</w:t>
    </w:r>
    <w:bookmarkEnd w:id="445"/>
    <w:bookmarkEnd w:id="446"/>
    <w:bookmarkEnd w:id="447"/>
    <w:bookmarkEnd w:id="448"/>
  </w:p>
  <w:p/>
  <w:p/>
  <w:p/>
  <w:p/>
  <w:p/>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p/>
  <w:p/>
  <w:p/>
  <w:p/>
  <w:p/>
  <w:p/>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77B16"/>
    <w:multiLevelType w:val="singleLevel"/>
    <w:tmpl w:val="8D377B16"/>
    <w:lvl w:ilvl="0" w:tentative="0">
      <w:start w:val="1"/>
      <w:numFmt w:val="decimal"/>
      <w:suff w:val="nothing"/>
      <w:lvlText w:val="%1"/>
      <w:lvlJc w:val="left"/>
      <w:pPr>
        <w:ind w:left="0" w:leftChars="0" w:firstLine="0" w:firstLineChars="0"/>
      </w:pPr>
      <w:rPr>
        <w:rFonts w:hint="default"/>
      </w:rPr>
    </w:lvl>
  </w:abstractNum>
  <w:abstractNum w:abstractNumId="1">
    <w:nsid w:val="9F2F9AE5"/>
    <w:multiLevelType w:val="singleLevel"/>
    <w:tmpl w:val="9F2F9AE5"/>
    <w:lvl w:ilvl="0" w:tentative="0">
      <w:start w:val="1"/>
      <w:numFmt w:val="chineseCounting"/>
      <w:suff w:val="nothing"/>
      <w:lvlText w:val="%1、"/>
      <w:lvlJc w:val="left"/>
      <w:pPr>
        <w:ind w:left="210"/>
      </w:pPr>
      <w:rPr>
        <w:rFonts w:hint="eastAsia"/>
      </w:rPr>
    </w:lvl>
  </w:abstractNum>
  <w:abstractNum w:abstractNumId="2">
    <w:nsid w:val="3FCCC128"/>
    <w:multiLevelType w:val="singleLevel"/>
    <w:tmpl w:val="3FCCC128"/>
    <w:lvl w:ilvl="0" w:tentative="0">
      <w:start w:val="1"/>
      <w:numFmt w:val="decimal"/>
      <w:suff w:val="nothing"/>
      <w:lvlText w:val="%1"/>
      <w:lvlJc w:val="left"/>
      <w:pPr>
        <w:ind w:left="0" w:leftChars="0" w:firstLine="0"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YxY2Y2NjljNmNjYTdiY2UyZDkxZTA2YWE5YjEifQ=="/>
  </w:docVars>
  <w:rsids>
    <w:rsidRoot w:val="00172A27"/>
    <w:rsid w:val="00000451"/>
    <w:rsid w:val="00000A8C"/>
    <w:rsid w:val="0000108B"/>
    <w:rsid w:val="0000114C"/>
    <w:rsid w:val="0000133D"/>
    <w:rsid w:val="00001509"/>
    <w:rsid w:val="00001C42"/>
    <w:rsid w:val="000028E0"/>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5E1"/>
    <w:rsid w:val="00036C29"/>
    <w:rsid w:val="00037B93"/>
    <w:rsid w:val="00040447"/>
    <w:rsid w:val="00040494"/>
    <w:rsid w:val="00040B70"/>
    <w:rsid w:val="00042441"/>
    <w:rsid w:val="00042533"/>
    <w:rsid w:val="00042DBB"/>
    <w:rsid w:val="00042E65"/>
    <w:rsid w:val="0004347C"/>
    <w:rsid w:val="00043907"/>
    <w:rsid w:val="00044F48"/>
    <w:rsid w:val="00045432"/>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D65"/>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2CFD"/>
    <w:rsid w:val="000635DA"/>
    <w:rsid w:val="00063C38"/>
    <w:rsid w:val="00063E1E"/>
    <w:rsid w:val="00064278"/>
    <w:rsid w:val="000646CA"/>
    <w:rsid w:val="00066380"/>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99D"/>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2E5"/>
    <w:rsid w:val="000C5374"/>
    <w:rsid w:val="000C555D"/>
    <w:rsid w:val="000C5710"/>
    <w:rsid w:val="000C5EC0"/>
    <w:rsid w:val="000C6162"/>
    <w:rsid w:val="000C64CC"/>
    <w:rsid w:val="000C6688"/>
    <w:rsid w:val="000C692E"/>
    <w:rsid w:val="000C6B28"/>
    <w:rsid w:val="000C725C"/>
    <w:rsid w:val="000C78DB"/>
    <w:rsid w:val="000C7B4D"/>
    <w:rsid w:val="000C7BEB"/>
    <w:rsid w:val="000D0124"/>
    <w:rsid w:val="000D0326"/>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06F7"/>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CD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3C3"/>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4C0"/>
    <w:rsid w:val="00176AA6"/>
    <w:rsid w:val="00176EBA"/>
    <w:rsid w:val="00177063"/>
    <w:rsid w:val="00177400"/>
    <w:rsid w:val="00180A47"/>
    <w:rsid w:val="001816F1"/>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723"/>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D5D"/>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565"/>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A01"/>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77E97"/>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711"/>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5D49"/>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D7FF1"/>
    <w:rsid w:val="002E00E1"/>
    <w:rsid w:val="002E0102"/>
    <w:rsid w:val="002E03AE"/>
    <w:rsid w:val="002E0542"/>
    <w:rsid w:val="002E05F2"/>
    <w:rsid w:val="002E0E87"/>
    <w:rsid w:val="002E12FA"/>
    <w:rsid w:val="002E13CF"/>
    <w:rsid w:val="002E1CBF"/>
    <w:rsid w:val="002E201C"/>
    <w:rsid w:val="002E22CA"/>
    <w:rsid w:val="002E236F"/>
    <w:rsid w:val="002E33CA"/>
    <w:rsid w:val="002E37C5"/>
    <w:rsid w:val="002E3956"/>
    <w:rsid w:val="002E3C08"/>
    <w:rsid w:val="002E3CF2"/>
    <w:rsid w:val="002E469E"/>
    <w:rsid w:val="002E4C01"/>
    <w:rsid w:val="002E4D30"/>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475D"/>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6FED"/>
    <w:rsid w:val="00377B26"/>
    <w:rsid w:val="00380658"/>
    <w:rsid w:val="00381014"/>
    <w:rsid w:val="003811E0"/>
    <w:rsid w:val="00381604"/>
    <w:rsid w:val="00381B67"/>
    <w:rsid w:val="00381C68"/>
    <w:rsid w:val="00381F60"/>
    <w:rsid w:val="00383204"/>
    <w:rsid w:val="00383A9A"/>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358"/>
    <w:rsid w:val="00396831"/>
    <w:rsid w:val="003971A1"/>
    <w:rsid w:val="003A03B8"/>
    <w:rsid w:val="003A0A44"/>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48F"/>
    <w:rsid w:val="003B4587"/>
    <w:rsid w:val="003B4B51"/>
    <w:rsid w:val="003B4FE1"/>
    <w:rsid w:val="003B514E"/>
    <w:rsid w:val="003B5531"/>
    <w:rsid w:val="003B636A"/>
    <w:rsid w:val="003B64A2"/>
    <w:rsid w:val="003B69CE"/>
    <w:rsid w:val="003B7403"/>
    <w:rsid w:val="003B7C3C"/>
    <w:rsid w:val="003C011C"/>
    <w:rsid w:val="003C0BF8"/>
    <w:rsid w:val="003C0E32"/>
    <w:rsid w:val="003C1021"/>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6B76"/>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4628"/>
    <w:rsid w:val="004056B6"/>
    <w:rsid w:val="00405764"/>
    <w:rsid w:val="00405AA4"/>
    <w:rsid w:val="00406745"/>
    <w:rsid w:val="0040674B"/>
    <w:rsid w:val="004067A8"/>
    <w:rsid w:val="00406B32"/>
    <w:rsid w:val="004074AD"/>
    <w:rsid w:val="004074FA"/>
    <w:rsid w:val="00407A56"/>
    <w:rsid w:val="00407FCC"/>
    <w:rsid w:val="0041035A"/>
    <w:rsid w:val="004108D6"/>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5E5F"/>
    <w:rsid w:val="00416208"/>
    <w:rsid w:val="0041690F"/>
    <w:rsid w:val="004169D3"/>
    <w:rsid w:val="00416C2B"/>
    <w:rsid w:val="00416D41"/>
    <w:rsid w:val="00416E70"/>
    <w:rsid w:val="00417264"/>
    <w:rsid w:val="00417490"/>
    <w:rsid w:val="004210C0"/>
    <w:rsid w:val="004211DD"/>
    <w:rsid w:val="00421762"/>
    <w:rsid w:val="00421C73"/>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199"/>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32E"/>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2A"/>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581C"/>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1C"/>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B7D44"/>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247"/>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2D8A"/>
    <w:rsid w:val="0050434C"/>
    <w:rsid w:val="0050537D"/>
    <w:rsid w:val="005056FB"/>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83E"/>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26BD"/>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515"/>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970"/>
    <w:rsid w:val="00557D45"/>
    <w:rsid w:val="00557F87"/>
    <w:rsid w:val="0056070A"/>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2B30"/>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1DB9"/>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4B1"/>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43D9"/>
    <w:rsid w:val="00605217"/>
    <w:rsid w:val="006054A5"/>
    <w:rsid w:val="006059E4"/>
    <w:rsid w:val="00605D60"/>
    <w:rsid w:val="006062A0"/>
    <w:rsid w:val="00606CE0"/>
    <w:rsid w:val="00607015"/>
    <w:rsid w:val="00607261"/>
    <w:rsid w:val="0060746E"/>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04"/>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C82"/>
    <w:rsid w:val="00644CB8"/>
    <w:rsid w:val="00644E2E"/>
    <w:rsid w:val="00645A3A"/>
    <w:rsid w:val="00645B87"/>
    <w:rsid w:val="00645CB4"/>
    <w:rsid w:val="00646084"/>
    <w:rsid w:val="006468ED"/>
    <w:rsid w:val="006472CD"/>
    <w:rsid w:val="0064758A"/>
    <w:rsid w:val="00647664"/>
    <w:rsid w:val="00650401"/>
    <w:rsid w:val="0065046C"/>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A78"/>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AB2"/>
    <w:rsid w:val="00696C79"/>
    <w:rsid w:val="00697068"/>
    <w:rsid w:val="006977DE"/>
    <w:rsid w:val="00697D5F"/>
    <w:rsid w:val="006A035B"/>
    <w:rsid w:val="006A0582"/>
    <w:rsid w:val="006A060C"/>
    <w:rsid w:val="006A06F8"/>
    <w:rsid w:val="006A071C"/>
    <w:rsid w:val="006A0ABB"/>
    <w:rsid w:val="006A0DC7"/>
    <w:rsid w:val="006A150D"/>
    <w:rsid w:val="006A1B00"/>
    <w:rsid w:val="006A1D07"/>
    <w:rsid w:val="006A1E80"/>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996"/>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5CDF"/>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3B7"/>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3D8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1F1F"/>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9CA"/>
    <w:rsid w:val="00775526"/>
    <w:rsid w:val="00775651"/>
    <w:rsid w:val="00775F3F"/>
    <w:rsid w:val="0077710B"/>
    <w:rsid w:val="0077765A"/>
    <w:rsid w:val="007778AE"/>
    <w:rsid w:val="00780032"/>
    <w:rsid w:val="00780636"/>
    <w:rsid w:val="00780E86"/>
    <w:rsid w:val="0078108C"/>
    <w:rsid w:val="00781727"/>
    <w:rsid w:val="007823E8"/>
    <w:rsid w:val="00782CF3"/>
    <w:rsid w:val="0078321A"/>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3CB"/>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469"/>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A96"/>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0CD"/>
    <w:rsid w:val="0080348B"/>
    <w:rsid w:val="00803D82"/>
    <w:rsid w:val="00803D98"/>
    <w:rsid w:val="008043FC"/>
    <w:rsid w:val="008052CE"/>
    <w:rsid w:val="0080548A"/>
    <w:rsid w:val="008058D0"/>
    <w:rsid w:val="00806A4C"/>
    <w:rsid w:val="0080705B"/>
    <w:rsid w:val="0080712F"/>
    <w:rsid w:val="0080723C"/>
    <w:rsid w:val="00807748"/>
    <w:rsid w:val="00807934"/>
    <w:rsid w:val="00807F71"/>
    <w:rsid w:val="00807FFB"/>
    <w:rsid w:val="0081000F"/>
    <w:rsid w:val="00810FE5"/>
    <w:rsid w:val="00811E76"/>
    <w:rsid w:val="00812657"/>
    <w:rsid w:val="00812A1A"/>
    <w:rsid w:val="00812DB4"/>
    <w:rsid w:val="00812DD9"/>
    <w:rsid w:val="00812DFF"/>
    <w:rsid w:val="00812FA8"/>
    <w:rsid w:val="00813237"/>
    <w:rsid w:val="008135BD"/>
    <w:rsid w:val="0081362F"/>
    <w:rsid w:val="0081383A"/>
    <w:rsid w:val="0081497F"/>
    <w:rsid w:val="00814B90"/>
    <w:rsid w:val="00814FC7"/>
    <w:rsid w:val="008154A7"/>
    <w:rsid w:val="008157BC"/>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03D"/>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53A"/>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87484"/>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AE6"/>
    <w:rsid w:val="00897BFA"/>
    <w:rsid w:val="00897D19"/>
    <w:rsid w:val="008A0044"/>
    <w:rsid w:val="008A0156"/>
    <w:rsid w:val="008A0BFE"/>
    <w:rsid w:val="008A12C2"/>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66C"/>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27D"/>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8BC"/>
    <w:rsid w:val="008E3A5C"/>
    <w:rsid w:val="008E3A9A"/>
    <w:rsid w:val="008E429E"/>
    <w:rsid w:val="008E4B9A"/>
    <w:rsid w:val="008E58A3"/>
    <w:rsid w:val="008E5938"/>
    <w:rsid w:val="008E6109"/>
    <w:rsid w:val="008E6395"/>
    <w:rsid w:val="008E6A39"/>
    <w:rsid w:val="008E76BB"/>
    <w:rsid w:val="008E7BC7"/>
    <w:rsid w:val="008F09D3"/>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1F98"/>
    <w:rsid w:val="00912850"/>
    <w:rsid w:val="009128B8"/>
    <w:rsid w:val="00913AFB"/>
    <w:rsid w:val="0091472C"/>
    <w:rsid w:val="00914BAD"/>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02C"/>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25"/>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176"/>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A82"/>
    <w:rsid w:val="009A5FAE"/>
    <w:rsid w:val="009A6B3A"/>
    <w:rsid w:val="009A7081"/>
    <w:rsid w:val="009A70A3"/>
    <w:rsid w:val="009A73C5"/>
    <w:rsid w:val="009A7E7C"/>
    <w:rsid w:val="009A7EFA"/>
    <w:rsid w:val="009B05D2"/>
    <w:rsid w:val="009B152B"/>
    <w:rsid w:val="009B1FC2"/>
    <w:rsid w:val="009B2731"/>
    <w:rsid w:val="009B2DCF"/>
    <w:rsid w:val="009B384C"/>
    <w:rsid w:val="009B39D8"/>
    <w:rsid w:val="009B3D38"/>
    <w:rsid w:val="009B4368"/>
    <w:rsid w:val="009B4D4C"/>
    <w:rsid w:val="009B66F5"/>
    <w:rsid w:val="009B7505"/>
    <w:rsid w:val="009B7F67"/>
    <w:rsid w:val="009C0020"/>
    <w:rsid w:val="009C03F7"/>
    <w:rsid w:val="009C0B13"/>
    <w:rsid w:val="009C10DA"/>
    <w:rsid w:val="009C19CB"/>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AA9"/>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280A"/>
    <w:rsid w:val="009E30DE"/>
    <w:rsid w:val="009E38D1"/>
    <w:rsid w:val="009E3DF1"/>
    <w:rsid w:val="009E40FF"/>
    <w:rsid w:val="009E47DD"/>
    <w:rsid w:val="009E48DE"/>
    <w:rsid w:val="009E514A"/>
    <w:rsid w:val="009E5177"/>
    <w:rsid w:val="009E5701"/>
    <w:rsid w:val="009E5711"/>
    <w:rsid w:val="009E6215"/>
    <w:rsid w:val="009E758E"/>
    <w:rsid w:val="009E7737"/>
    <w:rsid w:val="009E7BC5"/>
    <w:rsid w:val="009E7BFB"/>
    <w:rsid w:val="009E7D6B"/>
    <w:rsid w:val="009E7E81"/>
    <w:rsid w:val="009F020A"/>
    <w:rsid w:val="009F02B9"/>
    <w:rsid w:val="009F05AD"/>
    <w:rsid w:val="009F0659"/>
    <w:rsid w:val="009F1109"/>
    <w:rsid w:val="009F143E"/>
    <w:rsid w:val="009F1DE8"/>
    <w:rsid w:val="009F1EDF"/>
    <w:rsid w:val="009F2186"/>
    <w:rsid w:val="009F227C"/>
    <w:rsid w:val="009F28DC"/>
    <w:rsid w:val="009F2E2B"/>
    <w:rsid w:val="009F2EDB"/>
    <w:rsid w:val="009F33DC"/>
    <w:rsid w:val="009F3572"/>
    <w:rsid w:val="009F3B27"/>
    <w:rsid w:val="009F448D"/>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19C"/>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61B"/>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2E5"/>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E8E"/>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C4"/>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21F"/>
    <w:rsid w:val="00AE4546"/>
    <w:rsid w:val="00AE6575"/>
    <w:rsid w:val="00AE71EE"/>
    <w:rsid w:val="00AE7368"/>
    <w:rsid w:val="00AE7ADA"/>
    <w:rsid w:val="00AF03CF"/>
    <w:rsid w:val="00AF0A0A"/>
    <w:rsid w:val="00AF14FC"/>
    <w:rsid w:val="00AF1ED2"/>
    <w:rsid w:val="00AF1F4E"/>
    <w:rsid w:val="00AF2302"/>
    <w:rsid w:val="00AF2579"/>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6EE"/>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B6B"/>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50E"/>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35C"/>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1F7"/>
    <w:rsid w:val="00B7764D"/>
    <w:rsid w:val="00B77BB2"/>
    <w:rsid w:val="00B8003B"/>
    <w:rsid w:val="00B804F8"/>
    <w:rsid w:val="00B8095A"/>
    <w:rsid w:val="00B81274"/>
    <w:rsid w:val="00B815D3"/>
    <w:rsid w:val="00B81721"/>
    <w:rsid w:val="00B81742"/>
    <w:rsid w:val="00B817B5"/>
    <w:rsid w:val="00B81BC5"/>
    <w:rsid w:val="00B823A6"/>
    <w:rsid w:val="00B829C4"/>
    <w:rsid w:val="00B82D28"/>
    <w:rsid w:val="00B83295"/>
    <w:rsid w:val="00B83E76"/>
    <w:rsid w:val="00B83FA0"/>
    <w:rsid w:val="00B84156"/>
    <w:rsid w:val="00B841D5"/>
    <w:rsid w:val="00B846E6"/>
    <w:rsid w:val="00B847E5"/>
    <w:rsid w:val="00B8537B"/>
    <w:rsid w:val="00B85586"/>
    <w:rsid w:val="00B859FB"/>
    <w:rsid w:val="00B86119"/>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08AB"/>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1912"/>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380A"/>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833"/>
    <w:rsid w:val="00C20B6C"/>
    <w:rsid w:val="00C20B86"/>
    <w:rsid w:val="00C21145"/>
    <w:rsid w:val="00C21552"/>
    <w:rsid w:val="00C215ED"/>
    <w:rsid w:val="00C22350"/>
    <w:rsid w:val="00C2302B"/>
    <w:rsid w:val="00C23615"/>
    <w:rsid w:val="00C2397E"/>
    <w:rsid w:val="00C23A83"/>
    <w:rsid w:val="00C24381"/>
    <w:rsid w:val="00C24544"/>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661"/>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AA8"/>
    <w:rsid w:val="00C83C1C"/>
    <w:rsid w:val="00C84085"/>
    <w:rsid w:val="00C852DC"/>
    <w:rsid w:val="00C854A8"/>
    <w:rsid w:val="00C85677"/>
    <w:rsid w:val="00C85E17"/>
    <w:rsid w:val="00C85F6A"/>
    <w:rsid w:val="00C86061"/>
    <w:rsid w:val="00C861FF"/>
    <w:rsid w:val="00C868A7"/>
    <w:rsid w:val="00C86ABA"/>
    <w:rsid w:val="00C86BF7"/>
    <w:rsid w:val="00C87164"/>
    <w:rsid w:val="00C8786A"/>
    <w:rsid w:val="00C87BBA"/>
    <w:rsid w:val="00C87BD0"/>
    <w:rsid w:val="00C90381"/>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0D9"/>
    <w:rsid w:val="00C95853"/>
    <w:rsid w:val="00C95C2F"/>
    <w:rsid w:val="00C95F87"/>
    <w:rsid w:val="00C96035"/>
    <w:rsid w:val="00C960DB"/>
    <w:rsid w:val="00C968EF"/>
    <w:rsid w:val="00C972CE"/>
    <w:rsid w:val="00C97F6B"/>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4EE"/>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D62"/>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7C6"/>
    <w:rsid w:val="00CC7B8D"/>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81"/>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C25"/>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36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883"/>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328"/>
    <w:rsid w:val="00D96698"/>
    <w:rsid w:val="00D96876"/>
    <w:rsid w:val="00D96940"/>
    <w:rsid w:val="00D96B12"/>
    <w:rsid w:val="00D96F59"/>
    <w:rsid w:val="00D9737A"/>
    <w:rsid w:val="00DA0175"/>
    <w:rsid w:val="00DA099C"/>
    <w:rsid w:val="00DA0AC1"/>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41A"/>
    <w:rsid w:val="00DB5854"/>
    <w:rsid w:val="00DB6F96"/>
    <w:rsid w:val="00DB71B9"/>
    <w:rsid w:val="00DB7662"/>
    <w:rsid w:val="00DB7E46"/>
    <w:rsid w:val="00DC063C"/>
    <w:rsid w:val="00DC1395"/>
    <w:rsid w:val="00DC1B92"/>
    <w:rsid w:val="00DC22FB"/>
    <w:rsid w:val="00DC32FC"/>
    <w:rsid w:val="00DC347D"/>
    <w:rsid w:val="00DC3D53"/>
    <w:rsid w:val="00DC3D89"/>
    <w:rsid w:val="00DC4567"/>
    <w:rsid w:val="00DC4D6C"/>
    <w:rsid w:val="00DC4F47"/>
    <w:rsid w:val="00DC501D"/>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6E7"/>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8D3"/>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30B"/>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2EC"/>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6DF"/>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2F0"/>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35"/>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8F7"/>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1A4"/>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B14"/>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BF5"/>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E40"/>
    <w:rsid w:val="00F51A82"/>
    <w:rsid w:val="00F51B78"/>
    <w:rsid w:val="00F51BDD"/>
    <w:rsid w:val="00F52065"/>
    <w:rsid w:val="00F521CE"/>
    <w:rsid w:val="00F5253E"/>
    <w:rsid w:val="00F5254B"/>
    <w:rsid w:val="00F52CB7"/>
    <w:rsid w:val="00F53034"/>
    <w:rsid w:val="00F5309E"/>
    <w:rsid w:val="00F5364F"/>
    <w:rsid w:val="00F53A44"/>
    <w:rsid w:val="00F54E5E"/>
    <w:rsid w:val="00F551DB"/>
    <w:rsid w:val="00F553E7"/>
    <w:rsid w:val="00F55810"/>
    <w:rsid w:val="00F559BE"/>
    <w:rsid w:val="00F55D76"/>
    <w:rsid w:val="00F56C40"/>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1687"/>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372314"/>
    <w:rsid w:val="02503D32"/>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B35BB4"/>
    <w:rsid w:val="04F66F48"/>
    <w:rsid w:val="05251E14"/>
    <w:rsid w:val="05A16594"/>
    <w:rsid w:val="05A7762D"/>
    <w:rsid w:val="05DB75D6"/>
    <w:rsid w:val="060E5941"/>
    <w:rsid w:val="06110FAF"/>
    <w:rsid w:val="06493CA7"/>
    <w:rsid w:val="065A6178"/>
    <w:rsid w:val="066F1CF3"/>
    <w:rsid w:val="06930BB8"/>
    <w:rsid w:val="07245D42"/>
    <w:rsid w:val="07264C62"/>
    <w:rsid w:val="0779354C"/>
    <w:rsid w:val="07FA27BB"/>
    <w:rsid w:val="08061376"/>
    <w:rsid w:val="08452D77"/>
    <w:rsid w:val="086401F8"/>
    <w:rsid w:val="08716E9D"/>
    <w:rsid w:val="08751CAA"/>
    <w:rsid w:val="087A54E0"/>
    <w:rsid w:val="087E4C40"/>
    <w:rsid w:val="08A871D0"/>
    <w:rsid w:val="08D66AD6"/>
    <w:rsid w:val="08DA33A3"/>
    <w:rsid w:val="08E80F13"/>
    <w:rsid w:val="09335624"/>
    <w:rsid w:val="0944690F"/>
    <w:rsid w:val="09535675"/>
    <w:rsid w:val="095F057D"/>
    <w:rsid w:val="09642282"/>
    <w:rsid w:val="09733572"/>
    <w:rsid w:val="09772C16"/>
    <w:rsid w:val="098353B5"/>
    <w:rsid w:val="09A70D9B"/>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B0590"/>
    <w:rsid w:val="0C5C1171"/>
    <w:rsid w:val="0C5E1CBC"/>
    <w:rsid w:val="0C615B50"/>
    <w:rsid w:val="0C8445DA"/>
    <w:rsid w:val="0C87121B"/>
    <w:rsid w:val="0CB47CA0"/>
    <w:rsid w:val="0CC007F7"/>
    <w:rsid w:val="0CC617AC"/>
    <w:rsid w:val="0CE618DF"/>
    <w:rsid w:val="0CFE707A"/>
    <w:rsid w:val="0D063BDA"/>
    <w:rsid w:val="0D08375F"/>
    <w:rsid w:val="0D184CFB"/>
    <w:rsid w:val="0D274B5A"/>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0FD1203C"/>
    <w:rsid w:val="10646583"/>
    <w:rsid w:val="107D4B15"/>
    <w:rsid w:val="108A3C80"/>
    <w:rsid w:val="10C26171"/>
    <w:rsid w:val="10F33360"/>
    <w:rsid w:val="10FC16EA"/>
    <w:rsid w:val="110F1D40"/>
    <w:rsid w:val="11266F33"/>
    <w:rsid w:val="118963A1"/>
    <w:rsid w:val="11903818"/>
    <w:rsid w:val="11C6522A"/>
    <w:rsid w:val="11E104CC"/>
    <w:rsid w:val="11E20309"/>
    <w:rsid w:val="12255233"/>
    <w:rsid w:val="12530213"/>
    <w:rsid w:val="127723A9"/>
    <w:rsid w:val="12862074"/>
    <w:rsid w:val="12883966"/>
    <w:rsid w:val="129E45B4"/>
    <w:rsid w:val="12D81596"/>
    <w:rsid w:val="13072A44"/>
    <w:rsid w:val="131A6E9B"/>
    <w:rsid w:val="135F4BE2"/>
    <w:rsid w:val="139B1A0A"/>
    <w:rsid w:val="139D25C7"/>
    <w:rsid w:val="13BF3CE4"/>
    <w:rsid w:val="141008D8"/>
    <w:rsid w:val="14125FE6"/>
    <w:rsid w:val="141D3C6B"/>
    <w:rsid w:val="14646327"/>
    <w:rsid w:val="146D271E"/>
    <w:rsid w:val="14982588"/>
    <w:rsid w:val="149A5AD9"/>
    <w:rsid w:val="14A7619D"/>
    <w:rsid w:val="150536C3"/>
    <w:rsid w:val="150C1963"/>
    <w:rsid w:val="150F4DF1"/>
    <w:rsid w:val="151447A0"/>
    <w:rsid w:val="154A6454"/>
    <w:rsid w:val="15762120"/>
    <w:rsid w:val="16A8729C"/>
    <w:rsid w:val="16B33777"/>
    <w:rsid w:val="16BC70A7"/>
    <w:rsid w:val="16C6339E"/>
    <w:rsid w:val="172F2D79"/>
    <w:rsid w:val="17557BEF"/>
    <w:rsid w:val="179C0A16"/>
    <w:rsid w:val="17D349C1"/>
    <w:rsid w:val="18244F26"/>
    <w:rsid w:val="1830729E"/>
    <w:rsid w:val="183A54FD"/>
    <w:rsid w:val="1870062C"/>
    <w:rsid w:val="18817102"/>
    <w:rsid w:val="18830A15"/>
    <w:rsid w:val="18852B28"/>
    <w:rsid w:val="188B5321"/>
    <w:rsid w:val="18CD6020"/>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B807CF"/>
    <w:rsid w:val="1DC357BA"/>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0BD7F29"/>
    <w:rsid w:val="20DE4E3A"/>
    <w:rsid w:val="211116EB"/>
    <w:rsid w:val="216133FC"/>
    <w:rsid w:val="21AB5AD8"/>
    <w:rsid w:val="21D56769"/>
    <w:rsid w:val="21E52EF3"/>
    <w:rsid w:val="21FB5D7B"/>
    <w:rsid w:val="22015E94"/>
    <w:rsid w:val="220B1C3D"/>
    <w:rsid w:val="220C5EAF"/>
    <w:rsid w:val="221D1D20"/>
    <w:rsid w:val="22334A87"/>
    <w:rsid w:val="229D6DB5"/>
    <w:rsid w:val="22A84CC4"/>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373A30"/>
    <w:rsid w:val="258B00E2"/>
    <w:rsid w:val="25A917A6"/>
    <w:rsid w:val="25BE27CC"/>
    <w:rsid w:val="25D172F8"/>
    <w:rsid w:val="25F74A5C"/>
    <w:rsid w:val="2628662C"/>
    <w:rsid w:val="262D45DE"/>
    <w:rsid w:val="26871DC8"/>
    <w:rsid w:val="269404CF"/>
    <w:rsid w:val="26A53EF9"/>
    <w:rsid w:val="26A94201"/>
    <w:rsid w:val="26AC274F"/>
    <w:rsid w:val="27044A29"/>
    <w:rsid w:val="271D34C8"/>
    <w:rsid w:val="275B0FEC"/>
    <w:rsid w:val="276142BF"/>
    <w:rsid w:val="27783712"/>
    <w:rsid w:val="278414A7"/>
    <w:rsid w:val="27907362"/>
    <w:rsid w:val="27A965F8"/>
    <w:rsid w:val="28026ECF"/>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0756A"/>
    <w:rsid w:val="2BC37CFD"/>
    <w:rsid w:val="2BCC24B9"/>
    <w:rsid w:val="2BD35FB2"/>
    <w:rsid w:val="2BD5237F"/>
    <w:rsid w:val="2BE536CE"/>
    <w:rsid w:val="2BE758D9"/>
    <w:rsid w:val="2BF346BB"/>
    <w:rsid w:val="2C09049E"/>
    <w:rsid w:val="2C0A653C"/>
    <w:rsid w:val="2C191F85"/>
    <w:rsid w:val="2CE82D6F"/>
    <w:rsid w:val="2D343236"/>
    <w:rsid w:val="2D4F478D"/>
    <w:rsid w:val="2D575011"/>
    <w:rsid w:val="2DD15014"/>
    <w:rsid w:val="2DF72DE4"/>
    <w:rsid w:val="2E0220AF"/>
    <w:rsid w:val="2E4B082A"/>
    <w:rsid w:val="2E5D4E86"/>
    <w:rsid w:val="2E5D790B"/>
    <w:rsid w:val="2E9A3C18"/>
    <w:rsid w:val="2EBB0FEE"/>
    <w:rsid w:val="2EC63002"/>
    <w:rsid w:val="2EFB774D"/>
    <w:rsid w:val="2F0A6B38"/>
    <w:rsid w:val="2F946CCB"/>
    <w:rsid w:val="2FD25781"/>
    <w:rsid w:val="2FDC745C"/>
    <w:rsid w:val="2FFD7934"/>
    <w:rsid w:val="30733ACD"/>
    <w:rsid w:val="308C3862"/>
    <w:rsid w:val="309379D8"/>
    <w:rsid w:val="30A270F7"/>
    <w:rsid w:val="30DF1478"/>
    <w:rsid w:val="30EC586F"/>
    <w:rsid w:val="31592A40"/>
    <w:rsid w:val="319C6071"/>
    <w:rsid w:val="31AC537E"/>
    <w:rsid w:val="31E3679B"/>
    <w:rsid w:val="31E732FD"/>
    <w:rsid w:val="32517576"/>
    <w:rsid w:val="32BE5C2C"/>
    <w:rsid w:val="32FB6478"/>
    <w:rsid w:val="33263B3F"/>
    <w:rsid w:val="336527E9"/>
    <w:rsid w:val="336963EB"/>
    <w:rsid w:val="33816EEB"/>
    <w:rsid w:val="33EB55CD"/>
    <w:rsid w:val="33EC4C02"/>
    <w:rsid w:val="340D2360"/>
    <w:rsid w:val="3410665D"/>
    <w:rsid w:val="34211214"/>
    <w:rsid w:val="342E63AB"/>
    <w:rsid w:val="34950E68"/>
    <w:rsid w:val="34986E94"/>
    <w:rsid w:val="34AF62C9"/>
    <w:rsid w:val="34CB4388"/>
    <w:rsid w:val="34FA6E12"/>
    <w:rsid w:val="35470E02"/>
    <w:rsid w:val="354D7158"/>
    <w:rsid w:val="358D5588"/>
    <w:rsid w:val="35F1149A"/>
    <w:rsid w:val="363A3B40"/>
    <w:rsid w:val="365302AE"/>
    <w:rsid w:val="36607A0A"/>
    <w:rsid w:val="366E227C"/>
    <w:rsid w:val="366F2E0D"/>
    <w:rsid w:val="367B6A5C"/>
    <w:rsid w:val="36A74ADA"/>
    <w:rsid w:val="36AD60D5"/>
    <w:rsid w:val="36B224F9"/>
    <w:rsid w:val="36EC0CC9"/>
    <w:rsid w:val="36EC6637"/>
    <w:rsid w:val="37103E31"/>
    <w:rsid w:val="373070CD"/>
    <w:rsid w:val="373F410B"/>
    <w:rsid w:val="37EE7094"/>
    <w:rsid w:val="38296C89"/>
    <w:rsid w:val="383002EB"/>
    <w:rsid w:val="38586797"/>
    <w:rsid w:val="385D15DF"/>
    <w:rsid w:val="38BC0149"/>
    <w:rsid w:val="38D87D1C"/>
    <w:rsid w:val="39636459"/>
    <w:rsid w:val="396B7F6C"/>
    <w:rsid w:val="396E1053"/>
    <w:rsid w:val="39B417A9"/>
    <w:rsid w:val="39FC5695"/>
    <w:rsid w:val="3A006D8E"/>
    <w:rsid w:val="3A3651E5"/>
    <w:rsid w:val="3A744481"/>
    <w:rsid w:val="3A8C7BEF"/>
    <w:rsid w:val="3A906246"/>
    <w:rsid w:val="3ACE7FFB"/>
    <w:rsid w:val="3B2349B7"/>
    <w:rsid w:val="3B616CFF"/>
    <w:rsid w:val="3B6259F6"/>
    <w:rsid w:val="3B976654"/>
    <w:rsid w:val="3BC01EFC"/>
    <w:rsid w:val="3BCA786A"/>
    <w:rsid w:val="3BD31E2F"/>
    <w:rsid w:val="3BF15831"/>
    <w:rsid w:val="3C105946"/>
    <w:rsid w:val="3C415D6A"/>
    <w:rsid w:val="3C471448"/>
    <w:rsid w:val="3C5F759A"/>
    <w:rsid w:val="3C6C525A"/>
    <w:rsid w:val="3CCE23CB"/>
    <w:rsid w:val="3CD17D17"/>
    <w:rsid w:val="3D31661F"/>
    <w:rsid w:val="3D3B3983"/>
    <w:rsid w:val="3D3C7F39"/>
    <w:rsid w:val="3D440F09"/>
    <w:rsid w:val="3D4504A0"/>
    <w:rsid w:val="3D8734BB"/>
    <w:rsid w:val="3D9A11D4"/>
    <w:rsid w:val="3DA16D89"/>
    <w:rsid w:val="3DA364BE"/>
    <w:rsid w:val="3DE041CB"/>
    <w:rsid w:val="3E0D48F6"/>
    <w:rsid w:val="3E1868B4"/>
    <w:rsid w:val="3E1C72D0"/>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92C6B"/>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060A1"/>
    <w:rsid w:val="4AEB7664"/>
    <w:rsid w:val="4AFD7C19"/>
    <w:rsid w:val="4B0567D1"/>
    <w:rsid w:val="4B236AAE"/>
    <w:rsid w:val="4B3311B3"/>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C504A2"/>
    <w:rsid w:val="50E97CFC"/>
    <w:rsid w:val="50FA4028"/>
    <w:rsid w:val="510D65B7"/>
    <w:rsid w:val="511157AB"/>
    <w:rsid w:val="5142540C"/>
    <w:rsid w:val="518832C8"/>
    <w:rsid w:val="519D3C50"/>
    <w:rsid w:val="51A0432A"/>
    <w:rsid w:val="51A86090"/>
    <w:rsid w:val="51B7396D"/>
    <w:rsid w:val="522E4CC3"/>
    <w:rsid w:val="5244713B"/>
    <w:rsid w:val="52615633"/>
    <w:rsid w:val="5268443A"/>
    <w:rsid w:val="52691F60"/>
    <w:rsid w:val="526F4DE4"/>
    <w:rsid w:val="52977FD4"/>
    <w:rsid w:val="52A25790"/>
    <w:rsid w:val="52A96B6F"/>
    <w:rsid w:val="52B45975"/>
    <w:rsid w:val="52D94AA4"/>
    <w:rsid w:val="52EA3A62"/>
    <w:rsid w:val="52F50BB8"/>
    <w:rsid w:val="53097272"/>
    <w:rsid w:val="53544462"/>
    <w:rsid w:val="5397158E"/>
    <w:rsid w:val="53990805"/>
    <w:rsid w:val="53A62E65"/>
    <w:rsid w:val="54013861"/>
    <w:rsid w:val="54153F94"/>
    <w:rsid w:val="54487265"/>
    <w:rsid w:val="544D6070"/>
    <w:rsid w:val="54605E1E"/>
    <w:rsid w:val="54894FA5"/>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25341C"/>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A7FFC"/>
    <w:rsid w:val="5DAD38EE"/>
    <w:rsid w:val="5DE80B25"/>
    <w:rsid w:val="5E006862"/>
    <w:rsid w:val="5E0207B9"/>
    <w:rsid w:val="5E1834A1"/>
    <w:rsid w:val="5E186263"/>
    <w:rsid w:val="5E261785"/>
    <w:rsid w:val="5E4A7017"/>
    <w:rsid w:val="5E552BBA"/>
    <w:rsid w:val="5E611C10"/>
    <w:rsid w:val="5E7A0F3F"/>
    <w:rsid w:val="5E8A398A"/>
    <w:rsid w:val="5EFC7377"/>
    <w:rsid w:val="5F06174D"/>
    <w:rsid w:val="5F3A3602"/>
    <w:rsid w:val="5F45733B"/>
    <w:rsid w:val="5F6277C6"/>
    <w:rsid w:val="5F6D0B1D"/>
    <w:rsid w:val="5F897F38"/>
    <w:rsid w:val="5F8D0B82"/>
    <w:rsid w:val="5FCC5339"/>
    <w:rsid w:val="5FE34A5B"/>
    <w:rsid w:val="5FFC117B"/>
    <w:rsid w:val="5FFE1E36"/>
    <w:rsid w:val="60232584"/>
    <w:rsid w:val="607330CE"/>
    <w:rsid w:val="60825176"/>
    <w:rsid w:val="609F2AC4"/>
    <w:rsid w:val="60FA2EE8"/>
    <w:rsid w:val="61054A27"/>
    <w:rsid w:val="610A52BC"/>
    <w:rsid w:val="611D2366"/>
    <w:rsid w:val="612B1454"/>
    <w:rsid w:val="61377DF9"/>
    <w:rsid w:val="613E45A3"/>
    <w:rsid w:val="61421856"/>
    <w:rsid w:val="615227C4"/>
    <w:rsid w:val="61654E3F"/>
    <w:rsid w:val="6182292A"/>
    <w:rsid w:val="619F7F92"/>
    <w:rsid w:val="61F94C26"/>
    <w:rsid w:val="62000E56"/>
    <w:rsid w:val="624F3E49"/>
    <w:rsid w:val="62632286"/>
    <w:rsid w:val="62885958"/>
    <w:rsid w:val="62F40B65"/>
    <w:rsid w:val="62FC2CFE"/>
    <w:rsid w:val="63024505"/>
    <w:rsid w:val="63273E9D"/>
    <w:rsid w:val="635600A5"/>
    <w:rsid w:val="635B1DB5"/>
    <w:rsid w:val="63711FED"/>
    <w:rsid w:val="63880DDC"/>
    <w:rsid w:val="638D750D"/>
    <w:rsid w:val="63AC6CC0"/>
    <w:rsid w:val="64055776"/>
    <w:rsid w:val="64240056"/>
    <w:rsid w:val="643E143A"/>
    <w:rsid w:val="64491666"/>
    <w:rsid w:val="648B6EEF"/>
    <w:rsid w:val="648C045C"/>
    <w:rsid w:val="64C158BF"/>
    <w:rsid w:val="64CE2EAA"/>
    <w:rsid w:val="653C3090"/>
    <w:rsid w:val="65854376"/>
    <w:rsid w:val="658767BE"/>
    <w:rsid w:val="65892531"/>
    <w:rsid w:val="65D8322D"/>
    <w:rsid w:val="66195831"/>
    <w:rsid w:val="662918B0"/>
    <w:rsid w:val="662E75B1"/>
    <w:rsid w:val="66342C2E"/>
    <w:rsid w:val="663E784C"/>
    <w:rsid w:val="668B6A45"/>
    <w:rsid w:val="66D406CF"/>
    <w:rsid w:val="672F3F24"/>
    <w:rsid w:val="673E055F"/>
    <w:rsid w:val="67551CE3"/>
    <w:rsid w:val="67A22552"/>
    <w:rsid w:val="67B22DCC"/>
    <w:rsid w:val="67BE71AA"/>
    <w:rsid w:val="67D90273"/>
    <w:rsid w:val="67DE5875"/>
    <w:rsid w:val="67E55852"/>
    <w:rsid w:val="67EB1AB4"/>
    <w:rsid w:val="67FA1285"/>
    <w:rsid w:val="680E0138"/>
    <w:rsid w:val="68551F4F"/>
    <w:rsid w:val="687C10C9"/>
    <w:rsid w:val="68840C16"/>
    <w:rsid w:val="68876EFB"/>
    <w:rsid w:val="68884654"/>
    <w:rsid w:val="689F444F"/>
    <w:rsid w:val="68B96DBB"/>
    <w:rsid w:val="68CA2805"/>
    <w:rsid w:val="68D669B3"/>
    <w:rsid w:val="68E937A3"/>
    <w:rsid w:val="693E15D3"/>
    <w:rsid w:val="69627681"/>
    <w:rsid w:val="6977531D"/>
    <w:rsid w:val="69CC2BFF"/>
    <w:rsid w:val="69F71B66"/>
    <w:rsid w:val="69FD55B8"/>
    <w:rsid w:val="6A0B1C62"/>
    <w:rsid w:val="6A2406C8"/>
    <w:rsid w:val="6ADE0BD1"/>
    <w:rsid w:val="6AE96859"/>
    <w:rsid w:val="6B147746"/>
    <w:rsid w:val="6B1E5F5B"/>
    <w:rsid w:val="6B24787C"/>
    <w:rsid w:val="6B573233"/>
    <w:rsid w:val="6B5B6274"/>
    <w:rsid w:val="6B935D53"/>
    <w:rsid w:val="6C196F71"/>
    <w:rsid w:val="6C226FCB"/>
    <w:rsid w:val="6C31226F"/>
    <w:rsid w:val="6C552F0B"/>
    <w:rsid w:val="6C8C67B7"/>
    <w:rsid w:val="6C9D744C"/>
    <w:rsid w:val="6CFD5230"/>
    <w:rsid w:val="6D12171A"/>
    <w:rsid w:val="6D167928"/>
    <w:rsid w:val="6D1C273C"/>
    <w:rsid w:val="6D26299B"/>
    <w:rsid w:val="6D4772EC"/>
    <w:rsid w:val="6D9078AF"/>
    <w:rsid w:val="6DAA3FEF"/>
    <w:rsid w:val="6DC0172B"/>
    <w:rsid w:val="6DCB690C"/>
    <w:rsid w:val="6DD41A5B"/>
    <w:rsid w:val="6DF43C2E"/>
    <w:rsid w:val="6DF51CA3"/>
    <w:rsid w:val="6E8335BD"/>
    <w:rsid w:val="6E8E12EF"/>
    <w:rsid w:val="6E972936"/>
    <w:rsid w:val="6EA051D3"/>
    <w:rsid w:val="6EB4292E"/>
    <w:rsid w:val="6ED446C5"/>
    <w:rsid w:val="6F2A7D94"/>
    <w:rsid w:val="6F8331F1"/>
    <w:rsid w:val="6FAE1A09"/>
    <w:rsid w:val="6FBF096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2E25E2C"/>
    <w:rsid w:val="730074EB"/>
    <w:rsid w:val="73C0646E"/>
    <w:rsid w:val="742222F5"/>
    <w:rsid w:val="74476126"/>
    <w:rsid w:val="74706664"/>
    <w:rsid w:val="747F3682"/>
    <w:rsid w:val="749C4185"/>
    <w:rsid w:val="75067759"/>
    <w:rsid w:val="75216216"/>
    <w:rsid w:val="752E6DCD"/>
    <w:rsid w:val="7551380D"/>
    <w:rsid w:val="75600BE5"/>
    <w:rsid w:val="7564475C"/>
    <w:rsid w:val="7583797F"/>
    <w:rsid w:val="75D20F1D"/>
    <w:rsid w:val="75DA2C18"/>
    <w:rsid w:val="75F54412"/>
    <w:rsid w:val="761D08E0"/>
    <w:rsid w:val="765D347C"/>
    <w:rsid w:val="76826699"/>
    <w:rsid w:val="76A50F0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644FDB"/>
    <w:rsid w:val="79763B38"/>
    <w:rsid w:val="797E66A9"/>
    <w:rsid w:val="798518A4"/>
    <w:rsid w:val="79A97383"/>
    <w:rsid w:val="79E06865"/>
    <w:rsid w:val="79E27E8B"/>
    <w:rsid w:val="79F850CE"/>
    <w:rsid w:val="79FD443C"/>
    <w:rsid w:val="7A1B7E60"/>
    <w:rsid w:val="7A1D1975"/>
    <w:rsid w:val="7A3E5150"/>
    <w:rsid w:val="7A4670D6"/>
    <w:rsid w:val="7A534B63"/>
    <w:rsid w:val="7A615382"/>
    <w:rsid w:val="7A67303B"/>
    <w:rsid w:val="7AAB1D04"/>
    <w:rsid w:val="7ABA4368"/>
    <w:rsid w:val="7AD05746"/>
    <w:rsid w:val="7B257FFD"/>
    <w:rsid w:val="7B343476"/>
    <w:rsid w:val="7B472D94"/>
    <w:rsid w:val="7B5A2978"/>
    <w:rsid w:val="7B5A7E4C"/>
    <w:rsid w:val="7B6303DA"/>
    <w:rsid w:val="7B667AF9"/>
    <w:rsid w:val="7B7468F8"/>
    <w:rsid w:val="7BEE0103"/>
    <w:rsid w:val="7C0A0FE4"/>
    <w:rsid w:val="7C254906"/>
    <w:rsid w:val="7C4B59F8"/>
    <w:rsid w:val="7C590818"/>
    <w:rsid w:val="7C7C10F6"/>
    <w:rsid w:val="7C853BEA"/>
    <w:rsid w:val="7C881368"/>
    <w:rsid w:val="7CE27788"/>
    <w:rsid w:val="7D0C32F1"/>
    <w:rsid w:val="7D0F408D"/>
    <w:rsid w:val="7D380577"/>
    <w:rsid w:val="7D491C6C"/>
    <w:rsid w:val="7D5429C0"/>
    <w:rsid w:val="7D6E6D43"/>
    <w:rsid w:val="7DB57A34"/>
    <w:rsid w:val="7DE60973"/>
    <w:rsid w:val="7DEF0916"/>
    <w:rsid w:val="7DFA111A"/>
    <w:rsid w:val="7DFF7C0C"/>
    <w:rsid w:val="7E1E5218"/>
    <w:rsid w:val="7E9A4E1F"/>
    <w:rsid w:val="7EA7723A"/>
    <w:rsid w:val="7EF56FBB"/>
    <w:rsid w:val="7F0768EB"/>
    <w:rsid w:val="7F143BEC"/>
    <w:rsid w:val="7F715AF2"/>
    <w:rsid w:val="7F78365F"/>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2"/>
    <w:qFormat/>
    <w:uiPriority w:val="99"/>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99"/>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2"/>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99"/>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2"/>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表格文字1151"/>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8D05B-BE05-4971-B7C5-AD26B3817822}">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109</Pages>
  <Words>62365</Words>
  <Characters>66727</Characters>
  <Lines>457</Lines>
  <Paragraphs>128</Paragraphs>
  <TotalTime>30</TotalTime>
  <ScaleCrop>false</ScaleCrop>
  <LinksUpToDate>false</LinksUpToDate>
  <CharactersWithSpaces>73872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2025-08-06T02:22:00Z</dcterms:created>
  <dc:creator>北海市政府采购中心</dc:creator>
  <cp:lastModifiedBy>lenovo</cp:lastModifiedBy>
  <cp:lastPrinted>2025-11-10T07:20:00Z</cp:lastPrinted>
  <dcterms:modified xsi:type="dcterms:W3CDTF">2025-11-11T08:12:47Z</dcterms:modified>
  <dc:title>北海市政府采购中心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8D9F8260144C4F2F815CDFCCC7A8D14B</vt:lpwstr>
  </property>
  <property fmtid="{D5CDD505-2E9C-101B-9397-08002B2CF9AE}" pid="5" name="KSOTemplateDocerSaveRecord">
    <vt:lpwstr>eyJoZGlkIjoiMDgyOTAwOGZiMmIzMGFiMmU1OTQ0NmMzNTNkNmQ0OWQiLCJ1c2VySWQiOiIxMzYzOTc3NzIyIn0=</vt:lpwstr>
  </property>
</Properties>
</file>