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15"/>
          <w:szCs w:val="15"/>
        </w:rPr>
      </w:pPr>
      <w:bookmarkStart w:id="0" w:name="_Toc183682338"/>
      <w:bookmarkStart w:id="1" w:name="_Toc217446030"/>
      <w:r>
        <w:rPr>
          <w:sz w:val="15"/>
          <w:szCs w:val="15"/>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190500</wp:posOffset>
                </wp:positionV>
                <wp:extent cx="6360795" cy="10795"/>
                <wp:effectExtent l="8255" t="9525" r="12700" b="8255"/>
                <wp:wrapNone/>
                <wp:docPr id="2" name="直线 4"/>
                <wp:cNvGraphicFramePr/>
                <a:graphic xmlns:a="http://schemas.openxmlformats.org/drawingml/2006/main">
                  <a:graphicData uri="http://schemas.microsoft.com/office/word/2010/wordprocessingShape">
                    <wps:wsp>
                      <wps:cNvCnPr>
                        <a:cxnSpLocks noChangeShapeType="1"/>
                      </wps:cNvCnPr>
                      <wps:spPr bwMode="auto">
                        <a:xfrm flipV="1">
                          <a:off x="0" y="0"/>
                          <a:ext cx="6360795" cy="10795"/>
                        </a:xfrm>
                        <a:prstGeom prst="line">
                          <a:avLst/>
                        </a:prstGeom>
                        <a:noFill/>
                        <a:ln w="15875">
                          <a:solidFill>
                            <a:srgbClr val="000000"/>
                          </a:solidFill>
                          <a:round/>
                        </a:ln>
                      </wps:spPr>
                      <wps:bodyPr/>
                    </wps:wsp>
                  </a:graphicData>
                </a:graphic>
              </wp:anchor>
            </w:drawing>
          </mc:Choice>
          <mc:Fallback>
            <w:pict>
              <v:line id="直线 4" o:spid="_x0000_s1026" o:spt="20" style="position:absolute;left:0pt;flip:y;margin-left:-0.1pt;margin-top:15pt;height:0.85pt;width:500.85pt;z-index:251659264;mso-width-relative:page;mso-height-relative:page;" filled="f" stroked="t" coordsize="21600,21600" o:gfxdata="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92pO3dUAAAAIAQAADwAAAAAA&#10;AAABACAAAAA4AAAAZHJzL2Rvd25yZXYueG1sUEsBAhQAFAAAAAgAh07iQFM4pHHHAQAAYgMAAA4A&#10;AAAAAAAAAQAgAAAAOgEAAGRycy9lMm9Eb2MueG1sUEsFBgAAAAAGAAYAWQEAAHMFAAAAAA==&#10;">
                <v:fill on="f" focussize="0,0"/>
                <v:stroke weight="1.25pt" color="#000000" joinstyle="round"/>
                <v:imagedata o:title=""/>
                <o:lock v:ext="edit" aspectratio="f"/>
              </v:line>
            </w:pict>
          </mc:Fallback>
        </mc:AlternateContent>
      </w:r>
    </w:p>
    <w:p>
      <w:pPr>
        <w:pStyle w:val="36"/>
        <w:rPr>
          <w:sz w:val="15"/>
          <w:szCs w:val="15"/>
        </w:rPr>
      </w:pPr>
    </w:p>
    <w:p>
      <w:pPr>
        <w:pStyle w:val="36"/>
        <w:rPr>
          <w:sz w:val="15"/>
          <w:szCs w:val="15"/>
        </w:rPr>
      </w:pPr>
    </w:p>
    <w:p>
      <w:pPr>
        <w:pStyle w:val="29"/>
        <w:jc w:val="center"/>
        <w:rPr>
          <w:rFonts w:hint="eastAsia"/>
          <w:spacing w:val="-20"/>
          <w:u w:val="single"/>
        </w:rPr>
      </w:pPr>
      <w:r>
        <w:rPr>
          <w:rFonts w:hint="eastAsia" w:ascii="微软雅黑" w:hAnsi="微软雅黑" w:eastAsia="微软雅黑" w:cs="微软雅黑"/>
          <w:b/>
          <w:color w:val="auto"/>
          <w:sz w:val="44"/>
          <w:szCs w:val="44"/>
          <w:highlight w:val="none"/>
          <w:lang w:eastAsia="zh-CN"/>
        </w:rPr>
        <w:t>北海市铁山港区政府采购中心</w:t>
      </w:r>
    </w:p>
    <w:p>
      <w:pPr>
        <w:pStyle w:val="36"/>
        <w:rPr>
          <w:sz w:val="15"/>
          <w:szCs w:val="15"/>
        </w:rPr>
      </w:pPr>
    </w:p>
    <w:p>
      <w:pPr>
        <w:pStyle w:val="36"/>
        <w:rPr>
          <w:sz w:val="15"/>
          <w:szCs w:val="15"/>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rPr>
          <w:rFonts w:ascii="宋体" w:hAnsi="宋体" w:cs="宋体"/>
        </w:rPr>
      </w:pPr>
    </w:p>
    <w:p>
      <w:pPr>
        <w:pStyle w:val="29"/>
        <w:tabs>
          <w:tab w:val="left" w:pos="4253"/>
        </w:tabs>
        <w:jc w:val="center"/>
        <w:rPr>
          <w:rFonts w:hAnsi="宋体" w:cs="宋体"/>
          <w:b/>
          <w:spacing w:val="32"/>
          <w:sz w:val="72"/>
          <w:szCs w:val="72"/>
        </w:rPr>
      </w:pPr>
      <w:r>
        <w:rPr>
          <w:rFonts w:hint="eastAsia" w:hAnsi="宋体" w:cs="宋体"/>
          <w:b/>
          <w:spacing w:val="32"/>
          <w:sz w:val="72"/>
          <w:szCs w:val="72"/>
        </w:rPr>
        <w:t>公开招标文件</w:t>
      </w:r>
    </w:p>
    <w:p>
      <w:pPr>
        <w:rPr>
          <w:rFonts w:ascii="宋体" w:hAnsi="宋体" w:cs="宋体"/>
        </w:rPr>
      </w:pPr>
    </w:p>
    <w:p>
      <w:pPr>
        <w:rPr>
          <w:rFonts w:ascii="宋体" w:hAnsi="宋体" w:cs="宋体"/>
        </w:rPr>
      </w:pPr>
    </w:p>
    <w:p>
      <w:pPr>
        <w:pStyle w:val="29"/>
        <w:rPr>
          <w:rFonts w:hAnsi="宋体" w:cs="宋体"/>
        </w:rPr>
      </w:pPr>
    </w:p>
    <w:p>
      <w:pPr>
        <w:pStyle w:val="29"/>
        <w:rPr>
          <w:rFonts w:hAnsi="宋体" w:cs="宋体"/>
          <w:b/>
          <w:sz w:val="28"/>
          <w:szCs w:val="28"/>
        </w:rPr>
      </w:pPr>
    </w:p>
    <w:p>
      <w:pPr>
        <w:pStyle w:val="29"/>
        <w:rPr>
          <w:rFonts w:hAnsi="宋体" w:cs="宋体"/>
          <w:b/>
          <w:sz w:val="28"/>
          <w:szCs w:val="28"/>
        </w:rPr>
      </w:pPr>
    </w:p>
    <w:p>
      <w:pPr>
        <w:pStyle w:val="29"/>
        <w:rPr>
          <w:rFonts w:hAnsi="宋体" w:cs="宋体"/>
          <w:b/>
          <w:sz w:val="28"/>
          <w:szCs w:val="28"/>
        </w:rPr>
      </w:pPr>
    </w:p>
    <w:p>
      <w:pPr>
        <w:pStyle w:val="29"/>
        <w:rPr>
          <w:rFonts w:hAnsi="宋体" w:cs="宋体"/>
          <w:b/>
          <w:sz w:val="28"/>
          <w:szCs w:val="28"/>
        </w:rPr>
      </w:pPr>
    </w:p>
    <w:p>
      <w:pPr>
        <w:pStyle w:val="18"/>
        <w:ind w:firstLine="1405" w:firstLineChars="500"/>
        <w:rPr>
          <w:rFonts w:hint="eastAsia" w:ascii="宋体" w:hAnsi="Courier New" w:eastAsia="宋体" w:cs="Courier New"/>
          <w:b/>
          <w:kern w:val="2"/>
          <w:sz w:val="28"/>
          <w:szCs w:val="21"/>
          <w:lang w:val="en-US" w:eastAsia="zh-CN" w:bidi="ar-SA"/>
        </w:rPr>
      </w:pPr>
      <w:r>
        <w:rPr>
          <w:rFonts w:hint="eastAsia" w:hAnsi="宋体" w:cs="宋体"/>
          <w:b/>
          <w:sz w:val="28"/>
          <w:szCs w:val="28"/>
        </w:rPr>
        <w:t>项目名称：</w:t>
      </w:r>
      <w:r>
        <w:rPr>
          <w:rFonts w:hint="eastAsia" w:ascii="宋体" w:hAnsi="Courier New" w:eastAsia="宋体" w:cs="Courier New"/>
          <w:b/>
          <w:kern w:val="2"/>
          <w:sz w:val="28"/>
          <w:szCs w:val="21"/>
          <w:lang w:val="en-US" w:eastAsia="zh-CN" w:bidi="ar-SA"/>
        </w:rPr>
        <w:t>教学设备公开招标采购</w:t>
      </w:r>
    </w:p>
    <w:p>
      <w:pPr>
        <w:pStyle w:val="29"/>
        <w:ind w:firstLine="1405" w:firstLineChars="500"/>
        <w:rPr>
          <w:rFonts w:hAnsi="宋体" w:cs="宋体"/>
          <w:b/>
          <w:sz w:val="28"/>
          <w:szCs w:val="28"/>
        </w:rPr>
      </w:pPr>
      <w:r>
        <w:rPr>
          <w:rFonts w:hint="eastAsia" w:hAnsi="宋体" w:cs="宋体"/>
          <w:b/>
          <w:sz w:val="28"/>
          <w:szCs w:val="28"/>
        </w:rPr>
        <w:t>招标编号：</w:t>
      </w:r>
      <w:r>
        <w:rPr>
          <w:rFonts w:hint="eastAsia" w:hAnsi="宋体" w:cs="宋体"/>
          <w:b/>
          <w:sz w:val="28"/>
          <w:szCs w:val="28"/>
          <w:lang w:eastAsia="zh-CN"/>
        </w:rPr>
        <w:t>BHZC2024-</w:t>
      </w:r>
      <w:r>
        <w:rPr>
          <w:rFonts w:hint="eastAsia" w:hAnsi="宋体" w:cs="宋体"/>
          <w:b/>
          <w:sz w:val="28"/>
          <w:szCs w:val="28"/>
          <w:lang w:val="en-US" w:eastAsia="zh-CN"/>
        </w:rPr>
        <w:t>G1</w:t>
      </w:r>
      <w:r>
        <w:rPr>
          <w:rFonts w:hint="eastAsia" w:hAnsi="宋体" w:cs="宋体"/>
          <w:b/>
          <w:sz w:val="28"/>
          <w:szCs w:val="28"/>
          <w:lang w:eastAsia="zh-CN"/>
        </w:rPr>
        <w:t>-0000</w:t>
      </w:r>
      <w:r>
        <w:rPr>
          <w:rFonts w:hint="eastAsia" w:hAnsi="宋体" w:cs="宋体"/>
          <w:b/>
          <w:sz w:val="28"/>
          <w:szCs w:val="28"/>
          <w:lang w:val="en-US" w:eastAsia="zh-CN"/>
        </w:rPr>
        <w:t>1</w:t>
      </w:r>
      <w:r>
        <w:rPr>
          <w:rFonts w:hint="eastAsia" w:hAnsi="宋体" w:cs="宋体"/>
          <w:b/>
          <w:sz w:val="28"/>
          <w:szCs w:val="28"/>
          <w:lang w:eastAsia="zh-CN"/>
        </w:rPr>
        <w:t>-</w:t>
      </w:r>
      <w:r>
        <w:rPr>
          <w:rFonts w:hint="eastAsia" w:hAnsi="宋体" w:cs="宋体"/>
          <w:b/>
          <w:sz w:val="28"/>
          <w:szCs w:val="28"/>
          <w:lang w:val="en-US" w:eastAsia="zh-CN"/>
        </w:rPr>
        <w:t>BTZC</w:t>
      </w:r>
      <w:r>
        <w:rPr>
          <w:rFonts w:hint="eastAsia"/>
          <w:b/>
          <w:sz w:val="28"/>
        </w:rPr>
        <w:t xml:space="preserve">  </w:t>
      </w:r>
    </w:p>
    <w:p>
      <w:pPr>
        <w:pStyle w:val="29"/>
        <w:ind w:left="420" w:leftChars="200" w:firstLine="1124" w:firstLineChars="400"/>
        <w:rPr>
          <w:rFonts w:hint="eastAsia" w:hAnsi="宋体" w:eastAsia="宋体" w:cs="宋体"/>
          <w:lang w:val="en-US" w:eastAsia="zh-CN"/>
        </w:rPr>
      </w:pPr>
      <w:r>
        <w:rPr>
          <w:rFonts w:hint="eastAsia" w:hAnsi="宋体" w:cs="宋体"/>
          <w:b/>
          <w:sz w:val="28"/>
          <w:szCs w:val="28"/>
        </w:rPr>
        <w:t>采购单位：</w:t>
      </w:r>
      <w:r>
        <w:rPr>
          <w:rFonts w:hint="eastAsia" w:hAnsi="宋体" w:cs="宋体"/>
          <w:b/>
          <w:sz w:val="28"/>
          <w:szCs w:val="28"/>
          <w:lang w:eastAsia="zh-CN"/>
        </w:rPr>
        <w:t>北海市铁山港区教育局</w:t>
      </w:r>
    </w:p>
    <w:p>
      <w:pPr>
        <w:pStyle w:val="29"/>
        <w:rPr>
          <w:rFonts w:hAnsi="宋体" w:cs="宋体"/>
          <w:u w:val="single"/>
        </w:rPr>
      </w:pPr>
    </w:p>
    <w:p>
      <w:pPr>
        <w:rPr>
          <w:rFonts w:ascii="宋体" w:hAnsi="宋体" w:cs="宋体"/>
        </w:rPr>
      </w:pPr>
      <w:r>
        <w:rPr>
          <w:sz w:val="15"/>
          <w:szCs w:val="15"/>
        </w:rPr>
        <mc:AlternateContent>
          <mc:Choice Requires="wps">
            <w:drawing>
              <wp:anchor distT="0" distB="0" distL="114300" distR="114300" simplePos="0" relativeHeight="251660288" behindDoc="0" locked="0" layoutInCell="1" allowOverlap="1">
                <wp:simplePos x="0" y="0"/>
                <wp:positionH relativeFrom="column">
                  <wp:posOffset>90170</wp:posOffset>
                </wp:positionH>
                <wp:positionV relativeFrom="paragraph">
                  <wp:posOffset>78740</wp:posOffset>
                </wp:positionV>
                <wp:extent cx="6360795" cy="10795"/>
                <wp:effectExtent l="13970" t="12065" r="16510" b="15240"/>
                <wp:wrapNone/>
                <wp:docPr id="1" name="直线 4"/>
                <wp:cNvGraphicFramePr/>
                <a:graphic xmlns:a="http://schemas.openxmlformats.org/drawingml/2006/main">
                  <a:graphicData uri="http://schemas.microsoft.com/office/word/2010/wordprocessingShape">
                    <wps:wsp>
                      <wps:cNvCnPr>
                        <a:cxnSpLocks noChangeShapeType="1"/>
                      </wps:cNvCnPr>
                      <wps:spPr bwMode="auto">
                        <a:xfrm flipV="1">
                          <a:off x="0" y="0"/>
                          <a:ext cx="6360795" cy="10795"/>
                        </a:xfrm>
                        <a:prstGeom prst="line">
                          <a:avLst/>
                        </a:prstGeom>
                        <a:noFill/>
                        <a:ln w="15875">
                          <a:solidFill>
                            <a:srgbClr val="000000"/>
                          </a:solidFill>
                          <a:round/>
                        </a:ln>
                      </wps:spPr>
                      <wps:bodyPr/>
                    </wps:wsp>
                  </a:graphicData>
                </a:graphic>
              </wp:anchor>
            </w:drawing>
          </mc:Choice>
          <mc:Fallback>
            <w:pict>
              <v:line id="直线 4" o:spid="_x0000_s1026" o:spt="20" style="position:absolute;left:0pt;flip:y;margin-left:7.1pt;margin-top:6.2pt;height:0.85pt;width:500.85pt;z-index:251660288;mso-width-relative:page;mso-height-relative:page;" filled="f" stroked="t" coordsize="21600,21600" o:gfxdata="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sikFn9UAAAAJAQAADwAAAAAA&#10;AAABACAAAAA4AAAAZHJzL2Rvd25yZXYueG1sUEsBAhQAFAAAAAgAh07iQBQGyFzHAQAAYgMAAA4A&#10;AAAAAAAAAQAgAAAAOgEAAGRycy9lMm9Eb2MueG1sUEsFBgAAAAAGAAYAWQEAAHMFAAAAAA==&#10;">
                <v:fill on="f" focussize="0,0"/>
                <v:stroke weight="1.25pt" color="#000000" joinstyle="round"/>
                <v:imagedata o:title=""/>
                <o:lock v:ext="edit" aspectratio="f"/>
              </v:line>
            </w:pict>
          </mc:Fallback>
        </mc:AlternateContent>
      </w:r>
    </w:p>
    <w:p>
      <w:pPr>
        <w:pStyle w:val="29"/>
        <w:rPr>
          <w:rFonts w:hAnsi="宋体" w:cs="宋体"/>
        </w:rPr>
      </w:pPr>
    </w:p>
    <w:p>
      <w:pPr>
        <w:spacing w:line="440" w:lineRule="exact"/>
        <w:jc w:val="center"/>
        <w:rPr>
          <w:rFonts w:ascii="宋体" w:hAnsi="宋体" w:cs="宋体"/>
          <w:b/>
          <w:kern w:val="0"/>
          <w:sz w:val="28"/>
          <w:szCs w:val="28"/>
        </w:rPr>
      </w:pPr>
      <w:r>
        <w:rPr>
          <w:rFonts w:hint="eastAsia" w:ascii="宋体" w:hAnsi="宋体" w:cs="宋体"/>
          <w:b/>
          <w:kern w:val="0"/>
          <w:sz w:val="28"/>
          <w:szCs w:val="28"/>
        </w:rPr>
        <w:t>北海市</w:t>
      </w:r>
      <w:r>
        <w:rPr>
          <w:rFonts w:hint="eastAsia" w:ascii="宋体" w:hAnsi="宋体" w:cs="宋体"/>
          <w:b/>
          <w:kern w:val="0"/>
          <w:sz w:val="28"/>
          <w:szCs w:val="28"/>
          <w:lang w:eastAsia="zh-CN"/>
        </w:rPr>
        <w:t>铁山港区</w:t>
      </w:r>
      <w:r>
        <w:rPr>
          <w:rFonts w:hint="eastAsia" w:ascii="宋体" w:hAnsi="宋体" w:cs="宋体"/>
          <w:b/>
          <w:kern w:val="0"/>
          <w:sz w:val="28"/>
          <w:szCs w:val="28"/>
        </w:rPr>
        <w:t>政府采购中心</w:t>
      </w:r>
    </w:p>
    <w:p>
      <w:pPr>
        <w:pStyle w:val="29"/>
        <w:jc w:val="center"/>
        <w:rPr>
          <w:rFonts w:hAnsi="宋体" w:cs="宋体"/>
          <w:sz w:val="28"/>
          <w:szCs w:val="28"/>
        </w:rPr>
      </w:pPr>
      <w:r>
        <w:rPr>
          <w:rFonts w:hint="eastAsia" w:hAnsi="宋体" w:cs="宋体"/>
          <w:b/>
          <w:kern w:val="2"/>
          <w:sz w:val="28"/>
          <w:szCs w:val="28"/>
        </w:rPr>
        <w:t>2024年</w:t>
      </w:r>
      <w:r>
        <w:rPr>
          <w:rFonts w:hint="eastAsia" w:hAnsi="宋体" w:cs="宋体"/>
          <w:b/>
          <w:kern w:val="2"/>
          <w:sz w:val="28"/>
          <w:szCs w:val="28"/>
          <w:lang w:val="en-US" w:eastAsia="zh-CN"/>
        </w:rPr>
        <w:t>8</w:t>
      </w:r>
      <w:r>
        <w:rPr>
          <w:rFonts w:hint="eastAsia" w:hAnsi="宋体" w:cs="宋体"/>
          <w:b/>
          <w:kern w:val="2"/>
          <w:sz w:val="28"/>
          <w:szCs w:val="28"/>
        </w:rPr>
        <w:t>月</w:t>
      </w:r>
      <w:r>
        <w:rPr>
          <w:rFonts w:hint="eastAsia" w:hAnsi="宋体" w:cs="宋体"/>
          <w:b/>
          <w:kern w:val="2"/>
          <w:sz w:val="28"/>
          <w:szCs w:val="28"/>
          <w:lang w:val="en-US" w:eastAsia="zh-CN"/>
        </w:rPr>
        <w:t>27</w:t>
      </w:r>
      <w:r>
        <w:rPr>
          <w:rFonts w:hint="eastAsia" w:hAnsi="宋体" w:cs="宋体"/>
          <w:b/>
          <w:kern w:val="2"/>
          <w:sz w:val="28"/>
          <w:szCs w:val="28"/>
        </w:rPr>
        <w:t>日</w:t>
      </w:r>
    </w:p>
    <w:p>
      <w:pPr>
        <w:pStyle w:val="29"/>
        <w:spacing w:line="600" w:lineRule="exact"/>
        <w:rPr>
          <w:rFonts w:hAnsi="宋体" w:cs="宋体"/>
          <w:sz w:val="40"/>
          <w:szCs w:val="40"/>
        </w:rPr>
      </w:pPr>
    </w:p>
    <w:p>
      <w:pPr>
        <w:pStyle w:val="29"/>
        <w:spacing w:line="600" w:lineRule="exact"/>
        <w:jc w:val="center"/>
        <w:rPr>
          <w:rFonts w:hAnsi="宋体" w:cs="宋体"/>
          <w:sz w:val="40"/>
          <w:szCs w:val="40"/>
        </w:rPr>
      </w:pPr>
    </w:p>
    <w:p>
      <w:pPr>
        <w:pStyle w:val="29"/>
        <w:spacing w:line="600" w:lineRule="exact"/>
        <w:jc w:val="center"/>
        <w:rPr>
          <w:rFonts w:hAnsi="宋体" w:cs="宋体"/>
          <w:sz w:val="40"/>
          <w:szCs w:val="40"/>
        </w:rPr>
      </w:pPr>
      <w:bookmarkStart w:id="2" w:name="_Toc9838476"/>
      <w:bookmarkStart w:id="3" w:name="_Toc67320237"/>
      <w:bookmarkStart w:id="4" w:name="_Toc19525382"/>
    </w:p>
    <w:p>
      <w:pPr>
        <w:pStyle w:val="29"/>
        <w:spacing w:line="600" w:lineRule="exact"/>
        <w:jc w:val="center"/>
        <w:outlineLvl w:val="0"/>
        <w:rPr>
          <w:rFonts w:hAnsi="宋体" w:cs="宋体"/>
          <w:sz w:val="40"/>
          <w:szCs w:val="40"/>
        </w:rPr>
      </w:pPr>
      <w:bookmarkStart w:id="5" w:name="_Toc118467336"/>
      <w:bookmarkStart w:id="6" w:name="_Toc17145"/>
      <w:bookmarkStart w:id="7" w:name="_Toc163469133"/>
      <w:r>
        <w:rPr>
          <w:rFonts w:hint="eastAsia" w:hAnsi="宋体" w:cs="宋体"/>
          <w:sz w:val="40"/>
          <w:szCs w:val="40"/>
        </w:rPr>
        <w:t>目 录</w:t>
      </w:r>
      <w:bookmarkEnd w:id="2"/>
      <w:bookmarkEnd w:id="3"/>
      <w:bookmarkEnd w:id="4"/>
      <w:bookmarkEnd w:id="5"/>
      <w:bookmarkEnd w:id="6"/>
      <w:bookmarkEnd w:id="7"/>
    </w:p>
    <w:p>
      <w:pPr>
        <w:pStyle w:val="29"/>
        <w:spacing w:line="600" w:lineRule="exact"/>
        <w:jc w:val="center"/>
        <w:rPr>
          <w:rFonts w:hAnsi="宋体" w:cs="宋体"/>
          <w:sz w:val="40"/>
          <w:szCs w:val="40"/>
        </w:rPr>
      </w:pPr>
    </w:p>
    <w:p>
      <w:pPr>
        <w:pStyle w:val="37"/>
        <w:rPr>
          <w:rFonts w:cs="宋体"/>
          <w:b w:val="0"/>
          <w:sz w:val="36"/>
          <w:szCs w:val="32"/>
        </w:rPr>
      </w:pPr>
    </w:p>
    <w:p>
      <w:pPr>
        <w:pStyle w:val="37"/>
        <w:rPr>
          <w:rFonts w:ascii="Calibri" w:hAnsi="Calibri"/>
          <w:b w:val="0"/>
          <w:sz w:val="28"/>
          <w:szCs w:val="28"/>
        </w:rPr>
      </w:pPr>
      <w:r>
        <w:rPr>
          <w:rFonts w:hint="eastAsia" w:cs="宋体"/>
          <w:b w:val="0"/>
          <w:sz w:val="24"/>
          <w:szCs w:val="24"/>
        </w:rPr>
        <w:fldChar w:fldCharType="begin"/>
      </w:r>
      <w:r>
        <w:rPr>
          <w:rFonts w:hint="eastAsia" w:cs="宋体"/>
          <w:b w:val="0"/>
          <w:sz w:val="24"/>
          <w:szCs w:val="24"/>
        </w:rPr>
        <w:instrText xml:space="preserve"> TOC \o "1-1" \h \z \u </w:instrText>
      </w:r>
      <w:r>
        <w:rPr>
          <w:rFonts w:hint="eastAsia" w:cs="宋体"/>
          <w:b w:val="0"/>
          <w:sz w:val="24"/>
          <w:szCs w:val="24"/>
        </w:rPr>
        <w:fldChar w:fldCharType="separate"/>
      </w:r>
      <w:r>
        <w:fldChar w:fldCharType="begin"/>
      </w:r>
      <w:r>
        <w:instrText xml:space="preserve"> HYPERLINK \l "_Toc163469134" </w:instrText>
      </w:r>
      <w:r>
        <w:fldChar w:fldCharType="separate"/>
      </w:r>
      <w:r>
        <w:rPr>
          <w:rStyle w:val="65"/>
          <w:rFonts w:hint="eastAsia" w:cs="宋体"/>
          <w:color w:val="auto"/>
          <w:sz w:val="28"/>
          <w:szCs w:val="28"/>
        </w:rPr>
        <w:t>第一章</w:t>
      </w:r>
      <w:r>
        <w:rPr>
          <w:rStyle w:val="65"/>
          <w:rFonts w:cs="宋体"/>
          <w:color w:val="auto"/>
          <w:sz w:val="28"/>
          <w:szCs w:val="28"/>
        </w:rPr>
        <w:t xml:space="preserve"> </w:t>
      </w:r>
      <w:r>
        <w:rPr>
          <w:rStyle w:val="65"/>
          <w:rFonts w:hint="eastAsia" w:cs="宋体"/>
          <w:color w:val="auto"/>
          <w:sz w:val="28"/>
          <w:szCs w:val="28"/>
        </w:rPr>
        <w:t>公开招标公告</w:t>
      </w:r>
      <w:r>
        <w:rPr>
          <w:sz w:val="28"/>
          <w:szCs w:val="28"/>
        </w:rPr>
        <w:tab/>
      </w:r>
      <w:r>
        <w:rPr>
          <w:sz w:val="28"/>
          <w:szCs w:val="28"/>
        </w:rPr>
        <w:fldChar w:fldCharType="begin"/>
      </w:r>
      <w:r>
        <w:rPr>
          <w:sz w:val="28"/>
          <w:szCs w:val="28"/>
        </w:rPr>
        <w:instrText xml:space="preserve"> PAGEREF _Toc163469134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37"/>
        <w:rPr>
          <w:rFonts w:ascii="Calibri" w:hAnsi="Calibri"/>
          <w:b w:val="0"/>
          <w:sz w:val="28"/>
          <w:szCs w:val="28"/>
        </w:rPr>
      </w:pPr>
      <w:r>
        <w:fldChar w:fldCharType="begin"/>
      </w:r>
      <w:r>
        <w:instrText xml:space="preserve"> HYPERLINK \l "_Toc163469135" </w:instrText>
      </w:r>
      <w:r>
        <w:fldChar w:fldCharType="separate"/>
      </w:r>
      <w:r>
        <w:rPr>
          <w:rStyle w:val="65"/>
          <w:rFonts w:hint="eastAsia" w:cs="宋体"/>
          <w:color w:val="auto"/>
          <w:sz w:val="28"/>
          <w:szCs w:val="28"/>
        </w:rPr>
        <w:t>第二章</w:t>
      </w:r>
      <w:r>
        <w:rPr>
          <w:rStyle w:val="65"/>
          <w:rFonts w:cs="宋体"/>
          <w:color w:val="auto"/>
          <w:sz w:val="28"/>
          <w:szCs w:val="28"/>
        </w:rPr>
        <w:t xml:space="preserve"> </w:t>
      </w:r>
      <w:r>
        <w:rPr>
          <w:rStyle w:val="65"/>
          <w:rFonts w:hint="eastAsia" w:cs="宋体"/>
          <w:color w:val="auto"/>
          <w:sz w:val="28"/>
          <w:szCs w:val="28"/>
        </w:rPr>
        <w:t>招标项目采购需求</w:t>
      </w:r>
      <w:r>
        <w:rPr>
          <w:sz w:val="28"/>
          <w:szCs w:val="28"/>
        </w:rPr>
        <w:tab/>
      </w:r>
      <w:r>
        <w:rPr>
          <w:sz w:val="28"/>
          <w:szCs w:val="28"/>
        </w:rPr>
        <w:fldChar w:fldCharType="begin"/>
      </w:r>
      <w:r>
        <w:rPr>
          <w:sz w:val="28"/>
          <w:szCs w:val="28"/>
        </w:rPr>
        <w:instrText xml:space="preserve"> PAGEREF _Toc163469135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37"/>
        <w:rPr>
          <w:rFonts w:ascii="Calibri" w:hAnsi="Calibri"/>
          <w:b w:val="0"/>
          <w:sz w:val="28"/>
          <w:szCs w:val="28"/>
        </w:rPr>
      </w:pPr>
      <w:r>
        <w:fldChar w:fldCharType="begin"/>
      </w:r>
      <w:r>
        <w:instrText xml:space="preserve"> HYPERLINK \l "_Toc163469136" </w:instrText>
      </w:r>
      <w:r>
        <w:fldChar w:fldCharType="separate"/>
      </w:r>
      <w:r>
        <w:rPr>
          <w:rStyle w:val="65"/>
          <w:rFonts w:hint="eastAsia" w:cs="宋体"/>
          <w:color w:val="auto"/>
          <w:sz w:val="28"/>
          <w:szCs w:val="28"/>
        </w:rPr>
        <w:t>第三章</w:t>
      </w:r>
      <w:r>
        <w:rPr>
          <w:rStyle w:val="65"/>
          <w:rFonts w:cs="宋体"/>
          <w:color w:val="auto"/>
          <w:sz w:val="28"/>
          <w:szCs w:val="28"/>
        </w:rPr>
        <w:t xml:space="preserve"> </w:t>
      </w:r>
      <w:r>
        <w:rPr>
          <w:rStyle w:val="65"/>
          <w:rFonts w:hint="eastAsia" w:cs="宋体"/>
          <w:color w:val="auto"/>
          <w:sz w:val="28"/>
          <w:szCs w:val="28"/>
        </w:rPr>
        <w:t>投标人须知</w:t>
      </w:r>
      <w:r>
        <w:rPr>
          <w:sz w:val="28"/>
          <w:szCs w:val="28"/>
        </w:rPr>
        <w:tab/>
      </w:r>
      <w:r>
        <w:rPr>
          <w:sz w:val="28"/>
          <w:szCs w:val="28"/>
        </w:rPr>
        <w:fldChar w:fldCharType="begin"/>
      </w:r>
      <w:r>
        <w:rPr>
          <w:sz w:val="28"/>
          <w:szCs w:val="28"/>
        </w:rPr>
        <w:instrText xml:space="preserve"> PAGEREF _Toc163469136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37"/>
        <w:rPr>
          <w:rFonts w:ascii="Calibri" w:hAnsi="Calibri"/>
          <w:b w:val="0"/>
          <w:sz w:val="28"/>
          <w:szCs w:val="28"/>
        </w:rPr>
      </w:pPr>
      <w:r>
        <w:fldChar w:fldCharType="begin"/>
      </w:r>
      <w:r>
        <w:instrText xml:space="preserve"> HYPERLINK \l "_Toc163469137" </w:instrText>
      </w:r>
      <w:r>
        <w:fldChar w:fldCharType="separate"/>
      </w:r>
      <w:r>
        <w:rPr>
          <w:rStyle w:val="65"/>
          <w:rFonts w:hint="eastAsia" w:cs="宋体"/>
          <w:color w:val="auto"/>
          <w:sz w:val="28"/>
          <w:szCs w:val="28"/>
        </w:rPr>
        <w:t>第四章</w:t>
      </w:r>
      <w:r>
        <w:rPr>
          <w:rStyle w:val="65"/>
          <w:rFonts w:cs="宋体"/>
          <w:color w:val="auto"/>
          <w:sz w:val="28"/>
          <w:szCs w:val="28"/>
        </w:rPr>
        <w:t xml:space="preserve"> </w:t>
      </w:r>
      <w:r>
        <w:rPr>
          <w:rStyle w:val="65"/>
          <w:rFonts w:hint="eastAsia" w:cs="宋体"/>
          <w:color w:val="auto"/>
          <w:sz w:val="28"/>
          <w:szCs w:val="28"/>
        </w:rPr>
        <w:t>评标办法及评分标准</w:t>
      </w:r>
      <w:r>
        <w:rPr>
          <w:sz w:val="28"/>
          <w:szCs w:val="28"/>
        </w:rPr>
        <w:tab/>
      </w:r>
      <w:r>
        <w:rPr>
          <w:sz w:val="28"/>
          <w:szCs w:val="28"/>
        </w:rPr>
        <w:fldChar w:fldCharType="begin"/>
      </w:r>
      <w:r>
        <w:rPr>
          <w:sz w:val="28"/>
          <w:szCs w:val="28"/>
        </w:rPr>
        <w:instrText xml:space="preserve"> PAGEREF _Toc163469137 \h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37"/>
        <w:rPr>
          <w:rFonts w:ascii="Calibri" w:hAnsi="Calibri"/>
          <w:b w:val="0"/>
          <w:sz w:val="28"/>
          <w:szCs w:val="28"/>
        </w:rPr>
      </w:pPr>
      <w:r>
        <w:fldChar w:fldCharType="begin"/>
      </w:r>
      <w:r>
        <w:instrText xml:space="preserve"> HYPERLINK \l "_Toc163469138" </w:instrText>
      </w:r>
      <w:r>
        <w:fldChar w:fldCharType="separate"/>
      </w:r>
      <w:r>
        <w:rPr>
          <w:rStyle w:val="65"/>
          <w:rFonts w:hint="eastAsia" w:cs="宋体"/>
          <w:color w:val="auto"/>
          <w:sz w:val="28"/>
          <w:szCs w:val="28"/>
        </w:rPr>
        <w:t>第五章</w:t>
      </w:r>
      <w:r>
        <w:rPr>
          <w:rStyle w:val="65"/>
          <w:rFonts w:cs="宋体"/>
          <w:color w:val="auto"/>
          <w:sz w:val="28"/>
          <w:szCs w:val="28"/>
        </w:rPr>
        <w:t xml:space="preserve"> </w:t>
      </w:r>
      <w:r>
        <w:rPr>
          <w:rStyle w:val="65"/>
          <w:rFonts w:hint="eastAsia" w:cs="宋体"/>
          <w:color w:val="auto"/>
          <w:sz w:val="28"/>
          <w:szCs w:val="28"/>
        </w:rPr>
        <w:t>合同文本（格式）</w:t>
      </w:r>
      <w:r>
        <w:rPr>
          <w:sz w:val="28"/>
          <w:szCs w:val="28"/>
        </w:rPr>
        <w:tab/>
      </w:r>
      <w:r>
        <w:rPr>
          <w:sz w:val="28"/>
          <w:szCs w:val="28"/>
        </w:rPr>
        <w:fldChar w:fldCharType="begin"/>
      </w:r>
      <w:r>
        <w:rPr>
          <w:sz w:val="28"/>
          <w:szCs w:val="28"/>
        </w:rPr>
        <w:instrText xml:space="preserve"> PAGEREF _Toc163469138 \h </w:instrText>
      </w:r>
      <w:r>
        <w:rPr>
          <w:sz w:val="28"/>
          <w:szCs w:val="28"/>
        </w:rPr>
        <w:fldChar w:fldCharType="separate"/>
      </w:r>
      <w:r>
        <w:rPr>
          <w:sz w:val="28"/>
          <w:szCs w:val="28"/>
        </w:rPr>
        <w:t>33</w:t>
      </w:r>
      <w:r>
        <w:rPr>
          <w:sz w:val="28"/>
          <w:szCs w:val="28"/>
        </w:rPr>
        <w:fldChar w:fldCharType="end"/>
      </w:r>
      <w:r>
        <w:rPr>
          <w:sz w:val="28"/>
          <w:szCs w:val="28"/>
        </w:rPr>
        <w:fldChar w:fldCharType="end"/>
      </w:r>
    </w:p>
    <w:p>
      <w:pPr>
        <w:pStyle w:val="37"/>
        <w:rPr>
          <w:rFonts w:ascii="Calibri" w:hAnsi="Calibri"/>
          <w:b w:val="0"/>
          <w:sz w:val="28"/>
          <w:szCs w:val="28"/>
        </w:rPr>
      </w:pPr>
      <w:r>
        <w:fldChar w:fldCharType="begin"/>
      </w:r>
      <w:r>
        <w:instrText xml:space="preserve"> HYPERLINK \l "_Toc163469139" </w:instrText>
      </w:r>
      <w:r>
        <w:fldChar w:fldCharType="separate"/>
      </w:r>
      <w:r>
        <w:rPr>
          <w:rStyle w:val="65"/>
          <w:rFonts w:hint="eastAsia" w:cs="宋体"/>
          <w:color w:val="auto"/>
          <w:sz w:val="28"/>
          <w:szCs w:val="28"/>
        </w:rPr>
        <w:t>第六章</w:t>
      </w:r>
      <w:r>
        <w:rPr>
          <w:rStyle w:val="65"/>
          <w:rFonts w:cs="宋体"/>
          <w:color w:val="auto"/>
          <w:sz w:val="28"/>
          <w:szCs w:val="28"/>
        </w:rPr>
        <w:t xml:space="preserve"> </w:t>
      </w:r>
      <w:r>
        <w:rPr>
          <w:rStyle w:val="65"/>
          <w:rFonts w:hint="eastAsia" w:cs="宋体"/>
          <w:color w:val="auto"/>
          <w:sz w:val="28"/>
          <w:szCs w:val="28"/>
        </w:rPr>
        <w:t>投标文件格式</w:t>
      </w:r>
      <w:r>
        <w:rPr>
          <w:sz w:val="28"/>
          <w:szCs w:val="28"/>
        </w:rPr>
        <w:tab/>
      </w:r>
      <w:r>
        <w:rPr>
          <w:sz w:val="28"/>
          <w:szCs w:val="28"/>
        </w:rPr>
        <w:fldChar w:fldCharType="begin"/>
      </w:r>
      <w:r>
        <w:rPr>
          <w:sz w:val="28"/>
          <w:szCs w:val="28"/>
        </w:rPr>
        <w:instrText xml:space="preserve"> PAGEREF _Toc163469139 \h </w:instrText>
      </w:r>
      <w:r>
        <w:rPr>
          <w:sz w:val="28"/>
          <w:szCs w:val="28"/>
        </w:rPr>
        <w:fldChar w:fldCharType="separate"/>
      </w:r>
      <w:r>
        <w:rPr>
          <w:sz w:val="28"/>
          <w:szCs w:val="28"/>
        </w:rPr>
        <w:t>48</w:t>
      </w:r>
      <w:r>
        <w:rPr>
          <w:sz w:val="28"/>
          <w:szCs w:val="28"/>
        </w:rPr>
        <w:fldChar w:fldCharType="end"/>
      </w:r>
      <w:r>
        <w:rPr>
          <w:sz w:val="28"/>
          <w:szCs w:val="28"/>
        </w:rPr>
        <w:fldChar w:fldCharType="end"/>
      </w:r>
    </w:p>
    <w:p>
      <w:pPr>
        <w:spacing w:line="600" w:lineRule="exact"/>
        <w:rPr>
          <w:rFonts w:ascii="宋体" w:hAnsi="宋体" w:cs="宋体"/>
          <w:b/>
          <w:sz w:val="24"/>
        </w:rPr>
      </w:pPr>
      <w:r>
        <w:rPr>
          <w:rFonts w:hint="eastAsia" w:ascii="宋体" w:hAnsi="宋体" w:cs="宋体"/>
          <w:sz w:val="24"/>
        </w:rPr>
        <w:fldChar w:fldCharType="end"/>
      </w:r>
    </w:p>
    <w:p>
      <w:pPr>
        <w:pStyle w:val="29"/>
        <w:spacing w:before="120" w:after="120" w:line="360" w:lineRule="auto"/>
        <w:rPr>
          <w:rFonts w:hAnsi="宋体" w:cs="宋体"/>
          <w:sz w:val="21"/>
        </w:rPr>
      </w:pPr>
    </w:p>
    <w:p>
      <w:pPr>
        <w:pStyle w:val="29"/>
        <w:spacing w:before="120" w:after="120" w:line="360" w:lineRule="auto"/>
        <w:rPr>
          <w:rFonts w:hAnsi="宋体" w:cs="宋体"/>
        </w:rPr>
      </w:pPr>
    </w:p>
    <w:p>
      <w:pPr>
        <w:pStyle w:val="29"/>
        <w:spacing w:before="120" w:after="120" w:line="360" w:lineRule="auto"/>
        <w:rPr>
          <w:rFonts w:hAnsi="宋体" w:cs="宋体"/>
        </w:rPr>
      </w:pPr>
    </w:p>
    <w:p>
      <w:pPr>
        <w:pStyle w:val="29"/>
        <w:spacing w:before="120" w:after="120" w:line="360" w:lineRule="auto"/>
        <w:rPr>
          <w:rFonts w:hAnsi="宋体" w:cs="宋体"/>
        </w:rPr>
      </w:pPr>
    </w:p>
    <w:p>
      <w:pPr>
        <w:pStyle w:val="29"/>
        <w:spacing w:before="120" w:after="120" w:line="360" w:lineRule="auto"/>
        <w:rPr>
          <w:rFonts w:hAnsi="宋体" w:cs="宋体"/>
        </w:rPr>
      </w:pPr>
    </w:p>
    <w:p>
      <w:pPr>
        <w:pStyle w:val="29"/>
        <w:spacing w:before="120" w:after="120" w:line="360" w:lineRule="auto"/>
        <w:rPr>
          <w:rFonts w:hAnsi="宋体" w:cs="宋体"/>
        </w:rPr>
      </w:pPr>
    </w:p>
    <w:p>
      <w:pPr>
        <w:pStyle w:val="29"/>
        <w:spacing w:before="120" w:after="120" w:line="360" w:lineRule="auto"/>
        <w:rPr>
          <w:rFonts w:hAnsi="宋体" w:cs="宋体"/>
        </w:rPr>
      </w:pPr>
    </w:p>
    <w:p>
      <w:pPr>
        <w:pStyle w:val="29"/>
        <w:spacing w:before="120" w:after="120" w:line="360" w:lineRule="auto"/>
        <w:rPr>
          <w:rFonts w:hAnsi="宋体" w:cs="宋体"/>
        </w:rPr>
        <w:sectPr>
          <w:headerReference r:id="rId4" w:type="first"/>
          <w:footerReference r:id="rId6" w:type="first"/>
          <w:headerReference r:id="rId3" w:type="default"/>
          <w:footerReference r:id="rId5" w:type="default"/>
          <w:pgSz w:w="11906" w:h="16838"/>
          <w:pgMar w:top="1440" w:right="1080" w:bottom="1440" w:left="1080" w:header="851" w:footer="992" w:gutter="0"/>
          <w:cols w:space="720" w:num="1"/>
          <w:titlePg/>
          <w:docGrid w:type="lines" w:linePitch="312" w:charSpace="0"/>
        </w:sectPr>
      </w:pPr>
    </w:p>
    <w:p>
      <w:pPr>
        <w:pStyle w:val="29"/>
        <w:spacing w:before="120" w:after="120" w:line="360" w:lineRule="auto"/>
        <w:rPr>
          <w:rFonts w:hAnsi="宋体" w:cs="宋体"/>
        </w:rPr>
      </w:pPr>
    </w:p>
    <w:p>
      <w:pPr>
        <w:pStyle w:val="29"/>
        <w:spacing w:before="120" w:after="120" w:line="360" w:lineRule="auto"/>
        <w:rPr>
          <w:rFonts w:hAnsi="宋体" w:cs="宋体"/>
        </w:rPr>
      </w:pPr>
    </w:p>
    <w:p>
      <w:pPr>
        <w:pStyle w:val="29"/>
        <w:spacing w:before="120" w:after="120" w:line="360" w:lineRule="auto"/>
        <w:rPr>
          <w:rFonts w:hAnsi="宋体" w:cs="宋体"/>
        </w:rPr>
      </w:pPr>
    </w:p>
    <w:p>
      <w:pPr>
        <w:pStyle w:val="29"/>
        <w:spacing w:before="120" w:after="120" w:line="360" w:lineRule="auto"/>
        <w:rPr>
          <w:rFonts w:hAnsi="宋体" w:cs="宋体"/>
        </w:rPr>
      </w:pPr>
    </w:p>
    <w:p>
      <w:pPr>
        <w:pStyle w:val="29"/>
        <w:spacing w:before="120" w:after="120" w:line="360" w:lineRule="auto"/>
        <w:rPr>
          <w:rFonts w:hAnsi="宋体" w:cs="宋体"/>
        </w:rPr>
      </w:pPr>
    </w:p>
    <w:p>
      <w:pPr>
        <w:pStyle w:val="29"/>
        <w:spacing w:before="120" w:after="120" w:line="360" w:lineRule="auto"/>
        <w:rPr>
          <w:rFonts w:hAnsi="宋体" w:cs="宋体"/>
        </w:rPr>
      </w:pPr>
    </w:p>
    <w:p>
      <w:pPr>
        <w:pStyle w:val="29"/>
        <w:spacing w:before="120" w:after="120" w:line="360" w:lineRule="auto"/>
        <w:rPr>
          <w:rFonts w:hAnsi="宋体" w:cs="宋体"/>
        </w:rPr>
      </w:pPr>
    </w:p>
    <w:p>
      <w:pPr>
        <w:pStyle w:val="29"/>
        <w:spacing w:line="600" w:lineRule="exact"/>
        <w:rPr>
          <w:rFonts w:hAnsi="宋体" w:cs="宋体"/>
          <w:sz w:val="36"/>
          <w:szCs w:val="36"/>
        </w:rPr>
      </w:pPr>
    </w:p>
    <w:p>
      <w:pPr>
        <w:jc w:val="center"/>
        <w:rPr>
          <w:rFonts w:ascii="宋体" w:hAnsi="宋体" w:cs="宋体"/>
        </w:rPr>
      </w:pPr>
    </w:p>
    <w:p>
      <w:pPr>
        <w:pStyle w:val="29"/>
        <w:spacing w:line="600" w:lineRule="exact"/>
        <w:rPr>
          <w:rFonts w:hAnsi="宋体" w:cs="宋体"/>
          <w:sz w:val="36"/>
          <w:szCs w:val="36"/>
        </w:rPr>
      </w:pPr>
    </w:p>
    <w:p>
      <w:pPr>
        <w:pStyle w:val="343"/>
        <w:widowControl w:val="0"/>
        <w:spacing w:afterLines="0" w:line="600" w:lineRule="exact"/>
        <w:ind w:firstLine="0" w:firstLineChars="0"/>
        <w:jc w:val="left"/>
        <w:rPr>
          <w:rFonts w:ascii="宋体" w:hAnsi="宋体" w:cs="宋体"/>
          <w:b/>
          <w:sz w:val="36"/>
          <w:szCs w:val="36"/>
        </w:rPr>
      </w:pPr>
      <w:bookmarkStart w:id="8" w:name="_Toc9838477"/>
    </w:p>
    <w:p>
      <w:pPr>
        <w:pStyle w:val="343"/>
        <w:widowControl w:val="0"/>
        <w:spacing w:afterLines="0" w:line="600" w:lineRule="exact"/>
        <w:ind w:firstLine="0" w:firstLineChars="0"/>
        <w:jc w:val="center"/>
        <w:outlineLvl w:val="0"/>
        <w:rPr>
          <w:rFonts w:ascii="宋体" w:hAnsi="宋体" w:cs="宋体"/>
          <w:b/>
          <w:sz w:val="36"/>
          <w:szCs w:val="36"/>
        </w:rPr>
      </w:pPr>
      <w:bookmarkStart w:id="9" w:name="_Toc163469134"/>
      <w:r>
        <w:rPr>
          <w:rFonts w:hint="eastAsia" w:ascii="宋体" w:hAnsi="宋体" w:cs="宋体"/>
          <w:b/>
          <w:sz w:val="36"/>
          <w:szCs w:val="36"/>
        </w:rPr>
        <w:t>第一章 公开招标公告</w:t>
      </w:r>
      <w:bookmarkEnd w:id="8"/>
      <w:bookmarkEnd w:id="9"/>
    </w:p>
    <w:p>
      <w:pPr>
        <w:pStyle w:val="29"/>
        <w:snapToGrid w:val="0"/>
        <w:spacing w:before="156" w:beforeLines="50" w:after="156" w:afterLines="50" w:line="600" w:lineRule="exact"/>
        <w:jc w:val="center"/>
        <w:rPr>
          <w:rFonts w:hAnsi="宋体" w:cs="宋体"/>
          <w:b/>
          <w:sz w:val="32"/>
          <w:szCs w:val="32"/>
        </w:rPr>
      </w:pPr>
    </w:p>
    <w:p>
      <w:pPr>
        <w:pStyle w:val="29"/>
        <w:snapToGrid w:val="0"/>
        <w:spacing w:before="156" w:beforeLines="50" w:after="156" w:afterLines="50" w:line="600" w:lineRule="exact"/>
        <w:jc w:val="center"/>
        <w:rPr>
          <w:rFonts w:hAnsi="宋体" w:cs="宋体"/>
          <w:b/>
          <w:sz w:val="32"/>
          <w:szCs w:val="32"/>
        </w:rPr>
      </w:pPr>
    </w:p>
    <w:p>
      <w:pPr>
        <w:pStyle w:val="29"/>
        <w:snapToGrid w:val="0"/>
        <w:spacing w:before="156" w:beforeLines="50" w:after="156" w:afterLines="50" w:line="600" w:lineRule="exact"/>
        <w:jc w:val="center"/>
        <w:rPr>
          <w:rFonts w:hAnsi="宋体" w:cs="宋体"/>
          <w:b/>
          <w:sz w:val="32"/>
          <w:szCs w:val="32"/>
        </w:rPr>
      </w:pPr>
    </w:p>
    <w:p>
      <w:pPr>
        <w:pStyle w:val="29"/>
        <w:snapToGrid w:val="0"/>
        <w:spacing w:before="156" w:beforeLines="50" w:after="156" w:afterLines="50" w:line="600" w:lineRule="exact"/>
        <w:jc w:val="center"/>
        <w:rPr>
          <w:rFonts w:hAnsi="宋体" w:cs="宋体"/>
          <w:b/>
          <w:sz w:val="32"/>
          <w:szCs w:val="32"/>
        </w:rPr>
      </w:pPr>
    </w:p>
    <w:p>
      <w:pPr>
        <w:pStyle w:val="29"/>
        <w:snapToGrid w:val="0"/>
        <w:spacing w:before="156" w:beforeLines="50" w:after="156" w:afterLines="50" w:line="600" w:lineRule="exact"/>
        <w:jc w:val="center"/>
        <w:rPr>
          <w:rFonts w:hAnsi="宋体" w:cs="宋体"/>
          <w:b/>
          <w:sz w:val="32"/>
          <w:szCs w:val="32"/>
        </w:rPr>
      </w:pPr>
    </w:p>
    <w:p>
      <w:pPr>
        <w:pStyle w:val="29"/>
        <w:snapToGrid w:val="0"/>
        <w:spacing w:before="156" w:beforeLines="50" w:after="156" w:afterLines="50" w:line="600" w:lineRule="exact"/>
        <w:jc w:val="center"/>
        <w:rPr>
          <w:rFonts w:hAnsi="宋体" w:cs="宋体"/>
          <w:b/>
          <w:sz w:val="32"/>
          <w:szCs w:val="32"/>
        </w:rPr>
      </w:pPr>
    </w:p>
    <w:p>
      <w:pPr>
        <w:pStyle w:val="29"/>
        <w:snapToGrid w:val="0"/>
        <w:spacing w:before="156" w:beforeLines="50" w:after="156" w:afterLines="50" w:line="600" w:lineRule="exact"/>
        <w:jc w:val="center"/>
        <w:rPr>
          <w:rFonts w:hAnsi="宋体" w:cs="宋体"/>
          <w:b/>
          <w:sz w:val="32"/>
          <w:szCs w:val="32"/>
        </w:rPr>
      </w:pPr>
    </w:p>
    <w:p>
      <w:pPr>
        <w:pStyle w:val="29"/>
        <w:snapToGrid w:val="0"/>
        <w:spacing w:before="156" w:beforeLines="50" w:after="156" w:afterLines="50" w:line="600" w:lineRule="exact"/>
        <w:jc w:val="center"/>
        <w:rPr>
          <w:rFonts w:hAnsi="宋体" w:cs="宋体"/>
          <w:b/>
          <w:sz w:val="32"/>
          <w:szCs w:val="32"/>
        </w:rPr>
      </w:pPr>
    </w:p>
    <w:p>
      <w:pPr>
        <w:pStyle w:val="29"/>
        <w:snapToGrid w:val="0"/>
        <w:spacing w:before="156" w:beforeLines="50" w:after="156" w:afterLines="50" w:line="600" w:lineRule="exact"/>
        <w:jc w:val="center"/>
        <w:rPr>
          <w:rFonts w:hAnsi="宋体" w:cs="宋体"/>
          <w:b/>
          <w:sz w:val="32"/>
          <w:szCs w:val="32"/>
        </w:rPr>
      </w:pPr>
    </w:p>
    <w:p>
      <w:pPr>
        <w:pStyle w:val="29"/>
        <w:spacing w:before="156" w:beforeLines="50" w:after="156" w:afterLines="50" w:line="320" w:lineRule="exact"/>
        <w:rPr>
          <w:rFonts w:hAnsi="宋体" w:cs="宋体"/>
          <w:b/>
          <w:bCs/>
          <w:kern w:val="44"/>
          <w:sz w:val="28"/>
          <w:szCs w:val="28"/>
        </w:rPr>
      </w:pPr>
    </w:p>
    <w:p>
      <w:pPr>
        <w:pStyle w:val="29"/>
        <w:spacing w:before="156" w:beforeLines="50" w:after="156" w:afterLines="50" w:line="320" w:lineRule="exact"/>
        <w:jc w:val="center"/>
        <w:rPr>
          <w:rFonts w:hAnsi="宋体" w:cs="宋体"/>
          <w:b/>
          <w:bCs/>
          <w:kern w:val="44"/>
          <w:sz w:val="28"/>
          <w:szCs w:val="28"/>
        </w:rPr>
      </w:pPr>
    </w:p>
    <w:p>
      <w:pPr>
        <w:spacing w:line="440" w:lineRule="exact"/>
        <w:ind w:right="-307" w:rightChars="-146"/>
        <w:jc w:val="center"/>
        <w:rPr>
          <w:rFonts w:hAnsi="宋体" w:cs="宋体"/>
          <w:b/>
          <w:bCs/>
          <w:kern w:val="44"/>
          <w:sz w:val="28"/>
          <w:szCs w:val="28"/>
        </w:rPr>
      </w:pPr>
      <w:r>
        <w:rPr>
          <w:rFonts w:hint="eastAsia"/>
          <w:b/>
          <w:sz w:val="28"/>
          <w:szCs w:val="32"/>
        </w:rPr>
        <w:t>北海市</w:t>
      </w:r>
      <w:r>
        <w:rPr>
          <w:rFonts w:hint="eastAsia" w:ascii="Times New Roman" w:hAnsi="Times New Roman" w:eastAsia="宋体" w:cs="Times New Roman"/>
          <w:b/>
          <w:sz w:val="28"/>
          <w:szCs w:val="32"/>
          <w:lang w:eastAsia="zh-CN"/>
        </w:rPr>
        <w:t>铁山港区</w:t>
      </w:r>
      <w:r>
        <w:rPr>
          <w:rFonts w:hint="eastAsia" w:ascii="Times New Roman" w:hAnsi="Times New Roman" w:eastAsia="宋体" w:cs="Times New Roman"/>
          <w:b/>
          <w:sz w:val="28"/>
          <w:szCs w:val="32"/>
        </w:rPr>
        <w:t>政府采购中心关于</w:t>
      </w:r>
      <w:r>
        <w:rPr>
          <w:rFonts w:hint="eastAsia" w:ascii="Times New Roman" w:hAnsi="Times New Roman" w:eastAsia="宋体" w:cs="Times New Roman"/>
          <w:b/>
          <w:kern w:val="2"/>
          <w:sz w:val="28"/>
          <w:szCs w:val="32"/>
          <w:lang w:val="en-US" w:eastAsia="zh-CN" w:bidi="ar-SA"/>
        </w:rPr>
        <w:t>教学设备公开招标</w:t>
      </w:r>
      <w:r>
        <w:rPr>
          <w:rFonts w:hint="eastAsia" w:ascii="Times New Roman" w:hAnsi="Times New Roman" w:eastAsia="宋体" w:cs="Times New Roman"/>
          <w:b/>
          <w:sz w:val="28"/>
          <w:szCs w:val="32"/>
          <w:lang w:eastAsia="zh-CN"/>
        </w:rPr>
        <w:t>BHZC202</w:t>
      </w:r>
      <w:r>
        <w:rPr>
          <w:rFonts w:hint="eastAsia" w:ascii="Times New Roman" w:hAnsi="Times New Roman" w:eastAsia="宋体" w:cs="Times New Roman"/>
          <w:b/>
          <w:sz w:val="28"/>
          <w:szCs w:val="32"/>
          <w:lang w:val="en-US" w:eastAsia="zh-CN"/>
        </w:rPr>
        <w:t>4</w:t>
      </w:r>
      <w:r>
        <w:rPr>
          <w:rFonts w:hint="eastAsia" w:ascii="Times New Roman" w:hAnsi="Times New Roman" w:eastAsia="宋体" w:cs="Times New Roman"/>
          <w:b/>
          <w:sz w:val="28"/>
          <w:szCs w:val="32"/>
          <w:lang w:eastAsia="zh-CN"/>
        </w:rPr>
        <w:t>-</w:t>
      </w:r>
      <w:r>
        <w:rPr>
          <w:rFonts w:hint="eastAsia" w:ascii="Times New Roman" w:hAnsi="Times New Roman" w:eastAsia="宋体" w:cs="Times New Roman"/>
          <w:b/>
          <w:sz w:val="28"/>
          <w:szCs w:val="32"/>
          <w:lang w:val="en-US" w:eastAsia="zh-CN"/>
        </w:rPr>
        <w:t>G1</w:t>
      </w:r>
      <w:r>
        <w:rPr>
          <w:rFonts w:hint="eastAsia" w:ascii="Times New Roman" w:hAnsi="Times New Roman" w:eastAsia="宋体" w:cs="Times New Roman"/>
          <w:b/>
          <w:sz w:val="28"/>
          <w:szCs w:val="32"/>
          <w:lang w:eastAsia="zh-CN"/>
        </w:rPr>
        <w:t>-0000</w:t>
      </w:r>
      <w:r>
        <w:rPr>
          <w:rFonts w:hint="eastAsia" w:ascii="Times New Roman" w:hAnsi="Times New Roman" w:eastAsia="宋体" w:cs="Times New Roman"/>
          <w:b/>
          <w:sz w:val="28"/>
          <w:szCs w:val="32"/>
          <w:lang w:val="en-US" w:eastAsia="zh-CN"/>
        </w:rPr>
        <w:t>1</w:t>
      </w:r>
      <w:r>
        <w:rPr>
          <w:rFonts w:hint="eastAsia" w:ascii="Times New Roman" w:hAnsi="Times New Roman" w:eastAsia="宋体" w:cs="Times New Roman"/>
          <w:b/>
          <w:sz w:val="28"/>
          <w:szCs w:val="32"/>
          <w:lang w:eastAsia="zh-CN"/>
        </w:rPr>
        <w:t>-</w:t>
      </w:r>
      <w:r>
        <w:rPr>
          <w:rFonts w:hint="eastAsia" w:ascii="Times New Roman" w:hAnsi="Times New Roman" w:eastAsia="宋体" w:cs="Times New Roman"/>
          <w:b/>
          <w:sz w:val="28"/>
          <w:szCs w:val="32"/>
          <w:lang w:val="en-US" w:eastAsia="zh-CN"/>
        </w:rPr>
        <w:t>BTZC</w:t>
      </w:r>
      <w:r>
        <w:rPr>
          <w:rFonts w:hint="eastAsia" w:ascii="Times New Roman" w:hAnsi="Times New Roman" w:eastAsia="宋体" w:cs="Times New Roman"/>
          <w:b/>
          <w:sz w:val="28"/>
          <w:szCs w:val="32"/>
        </w:rPr>
        <w:t>)</w:t>
      </w:r>
      <w:r>
        <w:rPr>
          <w:rFonts w:hint="eastAsia" w:ascii="Times New Roman" w:hAnsi="Times New Roman" w:eastAsia="宋体" w:cs="Times New Roman"/>
          <w:b/>
          <w:sz w:val="28"/>
          <w:szCs w:val="32"/>
          <w:lang w:eastAsia="zh-CN"/>
        </w:rPr>
        <w:t>采购</w:t>
      </w:r>
      <w:r>
        <w:rPr>
          <w:rFonts w:hint="eastAsia"/>
          <w:b/>
          <w:sz w:val="28"/>
          <w:szCs w:val="32"/>
        </w:rPr>
        <w:t>公告</w:t>
      </w:r>
      <w:r>
        <w:rPr>
          <w:rFonts w:hint="eastAsia"/>
          <w:b/>
          <w:sz w:val="28"/>
          <w:szCs w:val="32"/>
          <w:lang w:eastAsia="zh-CN"/>
        </w:rPr>
        <w:t>（跨省</w:t>
      </w:r>
      <w:r>
        <w:rPr>
          <w:rFonts w:hint="eastAsia" w:hAnsi="宋体" w:cs="宋体"/>
          <w:b/>
          <w:bCs/>
          <w:kern w:val="44"/>
          <w:sz w:val="28"/>
          <w:szCs w:val="28"/>
        </w:rPr>
        <w:t>远程异地评标项目）</w:t>
      </w:r>
    </w:p>
    <w:p>
      <w:pPr>
        <w:pStyle w:val="29"/>
        <w:spacing w:before="156" w:beforeLines="50" w:after="156" w:afterLines="50" w:line="320" w:lineRule="exact"/>
        <w:jc w:val="center"/>
        <w:rPr>
          <w:rFonts w:hAnsi="宋体" w:cs="宋体"/>
          <w:bCs/>
          <w:kern w:val="44"/>
          <w:sz w:val="28"/>
          <w:szCs w:val="28"/>
        </w:rPr>
      </w:pPr>
    </w:p>
    <w:p>
      <w:pPr>
        <w:pBdr>
          <w:top w:val="single" w:color="auto" w:sz="4" w:space="1"/>
          <w:left w:val="single" w:color="auto" w:sz="4" w:space="4"/>
          <w:bottom w:val="single" w:color="auto" w:sz="4" w:space="1"/>
          <w:right w:val="single" w:color="auto" w:sz="4" w:space="4"/>
        </w:pBdr>
        <w:spacing w:line="320" w:lineRule="exact"/>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20" w:lineRule="exact"/>
        <w:ind w:firstLine="420" w:firstLineChars="200"/>
        <w:rPr>
          <w:rFonts w:ascii="宋体" w:hAnsi="宋体" w:cs="宋体"/>
          <w:szCs w:val="21"/>
        </w:rPr>
      </w:pPr>
      <w:r>
        <w:rPr>
          <w:rFonts w:hint="eastAsia"/>
          <w:lang w:val="en-US" w:eastAsia="zh-CN"/>
        </w:rPr>
        <w:t>铁山港区教育局教育设备等招标</w:t>
      </w:r>
      <w:r>
        <w:rPr>
          <w:rFonts w:hint="eastAsia" w:ascii="宋体" w:hAnsi="宋体" w:cs="宋体"/>
          <w:szCs w:val="21"/>
        </w:rPr>
        <w:t>项目的潜在投标人应在广西政府采购云平台获取采购文件，并于2024年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日09:00（北京时间）前递交投标文件。</w:t>
      </w:r>
    </w:p>
    <w:p>
      <w:pPr>
        <w:spacing w:line="320" w:lineRule="exact"/>
        <w:jc w:val="left"/>
        <w:rPr>
          <w:rFonts w:ascii="宋体" w:hAnsi="宋体" w:cs="宋体"/>
          <w:b/>
          <w:szCs w:val="21"/>
        </w:rPr>
      </w:pPr>
      <w:r>
        <w:rPr>
          <w:rFonts w:hint="eastAsia" w:ascii="宋体" w:hAnsi="宋体" w:cs="宋体"/>
          <w:b/>
          <w:szCs w:val="21"/>
        </w:rPr>
        <w:t>一、项目基本情况</w:t>
      </w:r>
    </w:p>
    <w:p>
      <w:pPr>
        <w:spacing w:line="320" w:lineRule="exact"/>
        <w:ind w:firstLine="420" w:firstLineChars="200"/>
        <w:jc w:val="left"/>
        <w:rPr>
          <w:rFonts w:ascii="宋体" w:hAnsi="宋体" w:cs="宋体"/>
          <w:szCs w:val="21"/>
        </w:rPr>
      </w:pPr>
      <w:r>
        <w:rPr>
          <w:rFonts w:hint="eastAsia" w:ascii="宋体" w:hAnsi="宋体" w:cs="宋体"/>
          <w:szCs w:val="21"/>
        </w:rPr>
        <w:t>项目编号：</w:t>
      </w:r>
      <w:r>
        <w:rPr>
          <w:rFonts w:hint="eastAsia" w:ascii="宋体" w:hAnsi="宋体" w:cs="宋体"/>
          <w:szCs w:val="21"/>
          <w:lang w:eastAsia="zh-CN"/>
        </w:rPr>
        <w:t>BHZC202</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cs="宋体"/>
          <w:szCs w:val="21"/>
          <w:lang w:val="en-US" w:eastAsia="zh-CN"/>
        </w:rPr>
        <w:t>G1</w:t>
      </w:r>
      <w:r>
        <w:rPr>
          <w:rFonts w:hint="eastAsia" w:ascii="宋体" w:hAnsi="宋体" w:cs="宋体"/>
          <w:szCs w:val="21"/>
          <w:lang w:eastAsia="zh-CN"/>
        </w:rPr>
        <w:t>-0000</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lang w:val="en-US" w:eastAsia="zh-CN"/>
        </w:rPr>
        <w:t>BTZC</w:t>
      </w:r>
      <w:r>
        <w:rPr>
          <w:rFonts w:hint="eastAsia" w:ascii="宋体" w:hAnsi="宋体" w:cs="宋体"/>
          <w:szCs w:val="21"/>
        </w:rPr>
        <w:t>。</w:t>
      </w:r>
    </w:p>
    <w:p>
      <w:pPr>
        <w:spacing w:line="320" w:lineRule="exact"/>
        <w:ind w:firstLine="420" w:firstLineChars="200"/>
        <w:jc w:val="left"/>
        <w:rPr>
          <w:rFonts w:hint="eastAsia" w:ascii="宋体" w:hAnsi="宋体" w:eastAsia="宋体" w:cs="宋体"/>
          <w:szCs w:val="21"/>
          <w:lang w:val="en-US" w:eastAsia="zh-CN"/>
        </w:rPr>
      </w:pPr>
      <w:r>
        <w:rPr>
          <w:rFonts w:hint="eastAsia" w:ascii="宋体" w:hAnsi="宋体" w:cs="宋体"/>
          <w:szCs w:val="21"/>
        </w:rPr>
        <w:t>项目名称：</w:t>
      </w:r>
      <w:r>
        <w:rPr>
          <w:rFonts w:hint="eastAsia" w:ascii="宋体" w:hAnsi="宋体" w:cs="宋体"/>
          <w:szCs w:val="21"/>
          <w:lang w:eastAsia="zh-CN"/>
        </w:rPr>
        <w:t>教学设备公开招标采购</w:t>
      </w:r>
    </w:p>
    <w:p>
      <w:pPr>
        <w:spacing w:line="320" w:lineRule="exact"/>
        <w:ind w:firstLine="420" w:firstLineChars="200"/>
        <w:jc w:val="left"/>
        <w:rPr>
          <w:rFonts w:ascii="宋体" w:hAnsi="宋体" w:cs="宋体"/>
          <w:szCs w:val="21"/>
        </w:rPr>
      </w:pPr>
      <w:r>
        <w:rPr>
          <w:rFonts w:hint="eastAsia" w:ascii="宋体" w:hAnsi="宋体" w:cs="宋体"/>
          <w:szCs w:val="21"/>
        </w:rPr>
        <w:t>预算金额(人民币）：</w:t>
      </w:r>
      <w:r>
        <w:rPr>
          <w:rFonts w:hint="eastAsia" w:ascii="宋体" w:hAnsi="宋体" w:cs="宋体"/>
          <w:b/>
          <w:bCs/>
          <w:szCs w:val="21"/>
          <w:lang w:val="en-US" w:eastAsia="zh-CN"/>
        </w:rPr>
        <w:t>3339000</w:t>
      </w:r>
      <w:r>
        <w:rPr>
          <w:rFonts w:hint="eastAsia" w:ascii="宋体" w:hAnsi="宋体" w:cs="宋体"/>
          <w:szCs w:val="21"/>
        </w:rPr>
        <w:t>元</w:t>
      </w:r>
    </w:p>
    <w:p>
      <w:pPr>
        <w:spacing w:line="320" w:lineRule="exact"/>
        <w:ind w:firstLine="420" w:firstLineChars="200"/>
        <w:jc w:val="left"/>
        <w:rPr>
          <w:rFonts w:hint="eastAsia" w:ascii="宋体" w:hAnsi="宋体" w:eastAsia="宋体" w:cs="宋体"/>
          <w:szCs w:val="21"/>
          <w:lang w:eastAsia="zh-CN"/>
        </w:rPr>
      </w:pPr>
      <w:r>
        <w:rPr>
          <w:rFonts w:hint="eastAsia" w:ascii="宋体" w:hAnsi="宋体" w:cs="宋体"/>
          <w:szCs w:val="21"/>
        </w:rPr>
        <w:t>采购需求：</w:t>
      </w:r>
      <w:r>
        <w:rPr>
          <w:rFonts w:hint="eastAsia" w:ascii="宋体" w:hAnsi="宋体" w:cs="宋体"/>
          <w:szCs w:val="21"/>
          <w:lang w:eastAsia="zh-CN"/>
        </w:rPr>
        <w:t>详见招标文件</w:t>
      </w:r>
    </w:p>
    <w:p>
      <w:pPr>
        <w:spacing w:line="320" w:lineRule="exact"/>
        <w:ind w:firstLine="420" w:firstLineChars="200"/>
        <w:jc w:val="left"/>
        <w:rPr>
          <w:rFonts w:ascii="宋体" w:hAnsi="宋体" w:cs="宋体"/>
          <w:szCs w:val="21"/>
        </w:rPr>
      </w:pPr>
    </w:p>
    <w:p>
      <w:pPr>
        <w:shd w:val="clear" w:color="auto" w:fill="auto"/>
        <w:spacing w:line="32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标项一</w:t>
      </w:r>
    </w:p>
    <w:p>
      <w:pPr>
        <w:shd w:val="clear" w:color="auto" w:fill="auto"/>
        <w:spacing w:line="320" w:lineRule="exact"/>
        <w:ind w:firstLine="420" w:firstLineChars="200"/>
        <w:jc w:val="left"/>
        <w:rPr>
          <w:rFonts w:hint="eastAsia" w:ascii="Times New Roman" w:hAnsi="Times New Roman" w:eastAsia="宋体" w:cs="Times New Roman"/>
          <w:szCs w:val="21"/>
          <w:highlight w:val="none"/>
          <w:lang w:val="en-US" w:eastAsia="zh-CN"/>
        </w:rPr>
      </w:pPr>
      <w:r>
        <w:rPr>
          <w:rFonts w:hint="default" w:ascii="Times New Roman" w:hAnsi="Times New Roman" w:cs="Times New Roman"/>
          <w:szCs w:val="21"/>
          <w:highlight w:val="none"/>
        </w:rPr>
        <w:t>标项名称</w:t>
      </w:r>
      <w:r>
        <w:rPr>
          <w:rFonts w:hint="eastAsia" w:ascii="Times New Roman" w:hAnsi="Times New Roman" w:cs="Times New Roman"/>
          <w:szCs w:val="21"/>
          <w:highlight w:val="none"/>
          <w:lang w:eastAsia="zh-CN"/>
        </w:rPr>
        <w:t>：一体机等一批采购。详见谈判文件</w:t>
      </w:r>
    </w:p>
    <w:p>
      <w:pPr>
        <w:shd w:val="clear" w:color="auto" w:fill="auto"/>
        <w:spacing w:line="320" w:lineRule="exact"/>
        <w:ind w:firstLine="420" w:firstLineChars="200"/>
        <w:jc w:val="left"/>
        <w:rPr>
          <w:rFonts w:hint="eastAsia" w:ascii="宋体" w:hAnsi="宋体" w:cs="宋体"/>
          <w:bCs/>
          <w:sz w:val="22"/>
        </w:rPr>
      </w:pPr>
      <w:r>
        <w:rPr>
          <w:rFonts w:hint="default" w:ascii="Times New Roman" w:hAnsi="Times New Roman" w:cs="Times New Roman"/>
          <w:szCs w:val="21"/>
          <w:highlight w:val="none"/>
        </w:rPr>
        <w:t>预算金额（元）</w:t>
      </w:r>
      <w:r>
        <w:rPr>
          <w:rFonts w:hint="eastAsia" w:ascii="Times New Roman" w:hAnsi="Times New Roman" w:cs="Times New Roman"/>
          <w:szCs w:val="21"/>
          <w:highlight w:val="none"/>
          <w:lang w:eastAsia="zh-CN"/>
        </w:rPr>
        <w:t>：</w:t>
      </w:r>
      <w:r>
        <w:rPr>
          <w:rFonts w:hint="eastAsia" w:ascii="宋体" w:hAnsi="宋体" w:cs="宋体"/>
          <w:bCs/>
          <w:sz w:val="22"/>
        </w:rPr>
        <w:t>2218500</w:t>
      </w:r>
    </w:p>
    <w:p>
      <w:pPr>
        <w:shd w:val="clear" w:color="auto" w:fill="auto"/>
        <w:spacing w:line="32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简要规格描述或项目基本概况介绍、用途：</w:t>
      </w:r>
      <w:r>
        <w:rPr>
          <w:rFonts w:hint="eastAsia" w:ascii="Times New Roman" w:hAnsi="Times New Roman" w:cs="Times New Roman"/>
          <w:szCs w:val="21"/>
          <w:highlight w:val="none"/>
          <w:lang w:eastAsia="zh-CN"/>
        </w:rPr>
        <w:t>一体机等一批采购，详见招标文件</w:t>
      </w:r>
      <w:r>
        <w:rPr>
          <w:rFonts w:hint="default" w:ascii="Times New Roman" w:hAnsi="Times New Roman" w:cs="Times New Roman"/>
          <w:szCs w:val="21"/>
          <w:highlight w:val="none"/>
        </w:rPr>
        <w:t>。</w:t>
      </w:r>
    </w:p>
    <w:p>
      <w:pPr>
        <w:shd w:val="clear" w:color="auto" w:fill="auto"/>
        <w:spacing w:line="32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最高限价（如有）：</w:t>
      </w:r>
      <w:r>
        <w:rPr>
          <w:rFonts w:hint="eastAsia" w:ascii="宋体" w:hAnsi="宋体" w:cs="宋体"/>
          <w:bCs/>
          <w:sz w:val="22"/>
        </w:rPr>
        <w:t>2218500</w:t>
      </w:r>
    </w:p>
    <w:p>
      <w:pPr>
        <w:shd w:val="clear" w:color="auto" w:fill="auto"/>
        <w:spacing w:line="320" w:lineRule="exact"/>
        <w:ind w:firstLine="420" w:firstLineChars="200"/>
        <w:jc w:val="left"/>
        <w:rPr>
          <w:rFonts w:hint="eastAsia" w:ascii="Times New Roman" w:hAnsi="Times New Roman" w:eastAsia="宋体" w:cs="Times New Roman"/>
          <w:szCs w:val="21"/>
          <w:highlight w:val="none"/>
          <w:lang w:eastAsia="zh-CN"/>
        </w:rPr>
      </w:pPr>
      <w:r>
        <w:rPr>
          <w:rFonts w:hint="default" w:ascii="Times New Roman" w:hAnsi="Times New Roman" w:cs="Times New Roman"/>
          <w:szCs w:val="21"/>
          <w:highlight w:val="none"/>
        </w:rPr>
        <w:t>合同履约期限：</w:t>
      </w:r>
      <w:r>
        <w:rPr>
          <w:rFonts w:hint="eastAsia" w:ascii="宋体" w:hAnsi="宋体" w:cs="宋体"/>
          <w:kern w:val="0"/>
          <w:sz w:val="22"/>
        </w:rPr>
        <w:t>合同签订之日起45日历日内完成</w:t>
      </w:r>
      <w:r>
        <w:rPr>
          <w:rFonts w:hint="default" w:ascii="Times New Roman" w:hAnsi="Times New Roman" w:cs="Times New Roman"/>
          <w:szCs w:val="21"/>
          <w:highlight w:val="none"/>
        </w:rPr>
        <w:t>。</w:t>
      </w:r>
    </w:p>
    <w:p>
      <w:pPr>
        <w:shd w:val="clear" w:color="auto" w:fill="auto"/>
        <w:spacing w:line="32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本标项（否）接受联合体投标</w:t>
      </w:r>
    </w:p>
    <w:p>
      <w:pPr>
        <w:shd w:val="clear" w:color="auto" w:fill="auto"/>
        <w:spacing w:line="32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备注：</w:t>
      </w:r>
    </w:p>
    <w:p>
      <w:pPr>
        <w:shd w:val="clear" w:color="auto" w:fill="auto"/>
        <w:spacing w:line="320" w:lineRule="exact"/>
        <w:ind w:firstLine="420" w:firstLineChars="200"/>
        <w:jc w:val="left"/>
        <w:rPr>
          <w:rFonts w:hint="default" w:ascii="Times New Roman" w:hAnsi="Times New Roman" w:cs="Times New Roman"/>
          <w:szCs w:val="21"/>
          <w:highlight w:val="none"/>
        </w:rPr>
      </w:pPr>
    </w:p>
    <w:p>
      <w:pPr>
        <w:shd w:val="clear" w:color="auto" w:fill="auto"/>
        <w:spacing w:line="32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标项二</w:t>
      </w:r>
    </w:p>
    <w:p>
      <w:pPr>
        <w:shd w:val="clear" w:color="auto" w:fill="auto"/>
        <w:spacing w:line="320" w:lineRule="exact"/>
        <w:ind w:firstLine="420" w:firstLineChars="200"/>
        <w:jc w:val="left"/>
        <w:rPr>
          <w:rFonts w:hint="eastAsia" w:ascii="Times New Roman" w:hAnsi="Times New Roman" w:cs="Times New Roman"/>
          <w:szCs w:val="21"/>
          <w:highlight w:val="none"/>
          <w:lang w:eastAsia="zh-CN"/>
        </w:rPr>
      </w:pPr>
      <w:r>
        <w:rPr>
          <w:rFonts w:hint="default" w:ascii="Times New Roman" w:hAnsi="Times New Roman" w:cs="Times New Roman"/>
          <w:szCs w:val="21"/>
          <w:highlight w:val="none"/>
        </w:rPr>
        <w:t>标项名称</w:t>
      </w:r>
      <w:r>
        <w:rPr>
          <w:rFonts w:hint="eastAsia" w:ascii="Times New Roman" w:hAnsi="Times New Roman" w:cs="Times New Roman"/>
          <w:szCs w:val="21"/>
          <w:highlight w:val="none"/>
          <w:lang w:eastAsia="zh-CN"/>
        </w:rPr>
        <w:t>：计算机采购</w:t>
      </w:r>
    </w:p>
    <w:p>
      <w:pPr>
        <w:shd w:val="clear" w:color="auto" w:fill="auto"/>
        <w:spacing w:line="320" w:lineRule="exact"/>
        <w:ind w:firstLine="420" w:firstLineChars="200"/>
        <w:jc w:val="left"/>
        <w:rPr>
          <w:rFonts w:hint="default" w:ascii="Times New Roman" w:hAnsi="Times New Roman" w:cs="Times New Roman"/>
          <w:szCs w:val="21"/>
          <w:highlight w:val="none"/>
          <w:lang w:val="en-US"/>
        </w:rPr>
      </w:pPr>
      <w:r>
        <w:rPr>
          <w:rFonts w:hint="default" w:ascii="Times New Roman" w:hAnsi="Times New Roman" w:cs="Times New Roman"/>
          <w:szCs w:val="21"/>
          <w:highlight w:val="none"/>
        </w:rPr>
        <w:t>数量</w:t>
      </w:r>
      <w:r>
        <w:rPr>
          <w:rFonts w:hint="eastAsia" w:ascii="Times New Roman" w:hAnsi="Times New Roman" w:cs="Times New Roman"/>
          <w:szCs w:val="21"/>
          <w:highlight w:val="none"/>
          <w:lang w:eastAsia="zh-CN"/>
        </w:rPr>
        <w:t>：</w:t>
      </w:r>
      <w:r>
        <w:rPr>
          <w:rFonts w:hint="eastAsia" w:ascii="Times New Roman" w:hAnsi="Times New Roman" w:cs="Times New Roman"/>
          <w:szCs w:val="21"/>
          <w:highlight w:val="none"/>
          <w:lang w:val="en-US" w:eastAsia="zh-CN"/>
        </w:rPr>
        <w:t>249台</w:t>
      </w:r>
    </w:p>
    <w:p>
      <w:pPr>
        <w:shd w:val="clear" w:color="auto" w:fill="auto"/>
        <w:spacing w:line="320" w:lineRule="exact"/>
        <w:ind w:firstLine="420" w:firstLineChars="200"/>
        <w:jc w:val="left"/>
        <w:rPr>
          <w:rFonts w:hint="default" w:ascii="Times New Roman" w:hAnsi="Times New Roman" w:cs="Times New Roman"/>
          <w:szCs w:val="21"/>
          <w:highlight w:val="none"/>
          <w:lang w:val="en-US"/>
        </w:rPr>
      </w:pPr>
      <w:r>
        <w:rPr>
          <w:rFonts w:hint="default" w:ascii="Times New Roman" w:hAnsi="Times New Roman" w:cs="Times New Roman"/>
          <w:szCs w:val="21"/>
          <w:highlight w:val="none"/>
        </w:rPr>
        <w:t>预算金额（元）</w:t>
      </w:r>
      <w:r>
        <w:rPr>
          <w:rFonts w:hint="eastAsia" w:ascii="Times New Roman" w:hAnsi="Times New Roman" w:cs="Times New Roman"/>
          <w:szCs w:val="21"/>
          <w:highlight w:val="none"/>
          <w:lang w:eastAsia="zh-CN"/>
        </w:rPr>
        <w:t>：</w:t>
      </w:r>
      <w:r>
        <w:rPr>
          <w:rFonts w:hint="eastAsia" w:ascii="宋体" w:hAnsi="宋体" w:cs="宋体"/>
          <w:bCs/>
          <w:color w:val="auto"/>
          <w:sz w:val="22"/>
          <w:highlight w:val="none"/>
          <w:lang w:val="en-US" w:eastAsia="zh-CN"/>
        </w:rPr>
        <w:t>1120500</w:t>
      </w:r>
    </w:p>
    <w:p>
      <w:pPr>
        <w:shd w:val="clear" w:color="auto" w:fill="auto"/>
        <w:spacing w:line="32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简要规格描述或项目基本概况介绍、用途：</w:t>
      </w:r>
      <w:r>
        <w:rPr>
          <w:rFonts w:hint="eastAsia" w:ascii="Times New Roman" w:hAnsi="Times New Roman" w:cs="Times New Roman"/>
          <w:szCs w:val="21"/>
          <w:highlight w:val="none"/>
          <w:lang w:eastAsia="zh-CN"/>
        </w:rPr>
        <w:t>电脑采购</w:t>
      </w:r>
      <w:r>
        <w:rPr>
          <w:rFonts w:hint="eastAsia" w:ascii="Times New Roman" w:hAnsi="Times New Roman" w:cs="Times New Roman"/>
          <w:szCs w:val="21"/>
          <w:highlight w:val="none"/>
          <w:lang w:val="en-US" w:eastAsia="zh-CN"/>
        </w:rPr>
        <w:t>249台采购</w:t>
      </w:r>
      <w:r>
        <w:rPr>
          <w:rFonts w:hint="default" w:ascii="Times New Roman" w:hAnsi="Times New Roman" w:cs="Times New Roman"/>
          <w:szCs w:val="21"/>
          <w:highlight w:val="none"/>
        </w:rPr>
        <w:t>。</w:t>
      </w:r>
    </w:p>
    <w:p>
      <w:pPr>
        <w:shd w:val="clear" w:color="auto" w:fill="auto"/>
        <w:spacing w:line="32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最高限价（如有）：</w:t>
      </w:r>
    </w:p>
    <w:p>
      <w:pPr>
        <w:shd w:val="clear" w:color="auto" w:fill="auto"/>
        <w:spacing w:line="32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合同履约期限：</w:t>
      </w:r>
      <w:r>
        <w:rPr>
          <w:rFonts w:hint="eastAsia" w:ascii="宋体" w:hAnsi="宋体" w:cs="宋体"/>
          <w:kern w:val="0"/>
          <w:sz w:val="22"/>
          <w:highlight w:val="none"/>
        </w:rPr>
        <w:t>合同签订之日起</w:t>
      </w:r>
      <w:r>
        <w:rPr>
          <w:rFonts w:hint="eastAsia" w:ascii="宋体" w:hAnsi="宋体" w:cs="宋体"/>
          <w:kern w:val="0"/>
          <w:sz w:val="22"/>
          <w:highlight w:val="none"/>
          <w:lang w:val="en-US" w:eastAsia="zh-CN"/>
        </w:rPr>
        <w:t>30</w:t>
      </w:r>
      <w:r>
        <w:rPr>
          <w:rFonts w:hint="eastAsia" w:ascii="宋体" w:hAnsi="宋体" w:cs="宋体"/>
          <w:kern w:val="0"/>
          <w:sz w:val="22"/>
          <w:highlight w:val="none"/>
        </w:rPr>
        <w:t>日历日内完成</w:t>
      </w:r>
      <w:r>
        <w:rPr>
          <w:rFonts w:hint="default" w:ascii="Times New Roman" w:hAnsi="Times New Roman" w:cs="Times New Roman"/>
          <w:szCs w:val="21"/>
          <w:highlight w:val="none"/>
        </w:rPr>
        <w:t>。</w:t>
      </w:r>
    </w:p>
    <w:p>
      <w:pPr>
        <w:shd w:val="clear" w:color="auto" w:fill="auto"/>
        <w:spacing w:line="32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本标项（否）接受联合体投标</w:t>
      </w:r>
    </w:p>
    <w:p>
      <w:pPr>
        <w:shd w:val="clear" w:color="auto" w:fill="auto"/>
        <w:spacing w:line="320" w:lineRule="exact"/>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备注：</w:t>
      </w:r>
    </w:p>
    <w:p>
      <w:pPr>
        <w:spacing w:line="320" w:lineRule="exact"/>
        <w:ind w:firstLine="420" w:firstLineChars="200"/>
        <w:jc w:val="left"/>
        <w:rPr>
          <w:rFonts w:ascii="宋体" w:hAnsi="宋体" w:cs="宋体"/>
          <w:szCs w:val="21"/>
        </w:rPr>
      </w:pPr>
    </w:p>
    <w:p>
      <w:pPr>
        <w:spacing w:line="320" w:lineRule="exact"/>
        <w:jc w:val="left"/>
        <w:rPr>
          <w:rFonts w:ascii="宋体" w:hAnsi="宋体" w:cs="宋体"/>
          <w:b/>
          <w:szCs w:val="21"/>
        </w:rPr>
      </w:pPr>
      <w:r>
        <w:rPr>
          <w:rFonts w:hint="eastAsia" w:ascii="宋体" w:hAnsi="宋体" w:cs="宋体"/>
          <w:b/>
          <w:szCs w:val="21"/>
        </w:rPr>
        <w:t>二、申请人的资格要求</w:t>
      </w:r>
    </w:p>
    <w:p>
      <w:pPr>
        <w:spacing w:line="320" w:lineRule="exact"/>
        <w:ind w:firstLine="420" w:firstLineChars="200"/>
        <w:jc w:val="left"/>
        <w:rPr>
          <w:rFonts w:ascii="宋体" w:hAnsi="宋体" w:cs="宋体"/>
          <w:szCs w:val="21"/>
        </w:rPr>
      </w:pPr>
      <w:r>
        <w:rPr>
          <w:rFonts w:hint="eastAsia" w:ascii="宋体" w:hAnsi="宋体" w:cs="宋体"/>
          <w:szCs w:val="21"/>
        </w:rPr>
        <w:t>1.满足《中华人民共和国政府采购法》第二十二条规定；</w:t>
      </w:r>
    </w:p>
    <w:p>
      <w:pPr>
        <w:snapToGrid w:val="0"/>
        <w:spacing w:line="360" w:lineRule="exact"/>
        <w:ind w:firstLine="420" w:firstLineChars="200"/>
        <w:jc w:val="left"/>
        <w:rPr>
          <w:rFonts w:ascii="宋体" w:hAnsi="宋体" w:cs="宋体"/>
          <w:szCs w:val="21"/>
        </w:rPr>
      </w:pPr>
      <w:r>
        <w:rPr>
          <w:rFonts w:hint="eastAsia" w:ascii="宋体" w:hAnsi="宋体" w:cs="宋体"/>
          <w:szCs w:val="21"/>
        </w:rPr>
        <w:t>2.落实政府采购政策需满足的资格要求：</w:t>
      </w:r>
      <w:r>
        <w:rPr>
          <w:rFonts w:hint="default" w:ascii="Times New Roman" w:hAnsi="Times New Roman" w:cs="Times New Roman"/>
          <w:highlight w:val="none"/>
          <w:lang w:eastAsia="zh-CN"/>
        </w:rPr>
        <w:t>①分标一</w:t>
      </w:r>
      <w:r>
        <w:rPr>
          <w:rFonts w:hint="eastAsia" w:ascii="Times New Roman" w:hAnsi="Times New Roman" w:cs="Times New Roman"/>
          <w:highlight w:val="none"/>
          <w:lang w:eastAsia="zh-CN"/>
        </w:rPr>
        <w:t>：无；</w:t>
      </w:r>
      <w:r>
        <w:rPr>
          <w:rFonts w:hint="default" w:ascii="Times New Roman" w:hAnsi="Times New Roman" w:cs="Times New Roman"/>
          <w:highlight w:val="none"/>
          <w:lang w:eastAsia="zh-CN"/>
        </w:rPr>
        <w:t>②</w:t>
      </w:r>
      <w:r>
        <w:rPr>
          <w:rFonts w:hint="eastAsia" w:ascii="Times New Roman" w:hAnsi="Times New Roman" w:cs="Times New Roman"/>
          <w:highlight w:val="none"/>
          <w:lang w:eastAsia="zh-CN"/>
        </w:rPr>
        <w:t>分标</w:t>
      </w:r>
      <w:r>
        <w:rPr>
          <w:rFonts w:hint="default" w:ascii="Times New Roman" w:hAnsi="Times New Roman" w:cs="Times New Roman"/>
          <w:highlight w:val="none"/>
          <w:lang w:eastAsia="zh-CN"/>
        </w:rPr>
        <w:t>二</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本标项为专门面向中小企业采购</w:t>
      </w:r>
      <w:r>
        <w:rPr>
          <w:rFonts w:hint="eastAsia" w:ascii="宋体" w:hAnsi="宋体" w:cs="宋体"/>
          <w:szCs w:val="21"/>
        </w:rPr>
        <w:t>。</w:t>
      </w:r>
    </w:p>
    <w:p>
      <w:pPr>
        <w:spacing w:line="320" w:lineRule="exact"/>
        <w:ind w:firstLine="420" w:firstLineChars="200"/>
        <w:jc w:val="left"/>
        <w:rPr>
          <w:rFonts w:ascii="宋体" w:hAnsi="宋体" w:cs="宋体"/>
          <w:kern w:val="0"/>
          <w:szCs w:val="21"/>
        </w:rPr>
      </w:pPr>
      <w:r>
        <w:rPr>
          <w:rFonts w:hint="eastAsia" w:ascii="宋体" w:hAnsi="宋体" w:cs="宋体"/>
          <w:szCs w:val="21"/>
        </w:rPr>
        <w:t>3.本项目的特定资格要求：无</w:t>
      </w:r>
      <w:r>
        <w:rPr>
          <w:rFonts w:hint="eastAsia" w:ascii="宋体" w:hAnsi="宋体" w:cs="宋体"/>
          <w:b/>
          <w:szCs w:val="21"/>
        </w:rPr>
        <w:t>。</w:t>
      </w:r>
    </w:p>
    <w:p>
      <w:pPr>
        <w:spacing w:line="320" w:lineRule="exact"/>
        <w:jc w:val="left"/>
        <w:rPr>
          <w:rFonts w:ascii="宋体" w:hAnsi="宋体" w:cs="宋体"/>
          <w:b/>
          <w:szCs w:val="21"/>
        </w:rPr>
      </w:pPr>
      <w:r>
        <w:rPr>
          <w:rFonts w:hint="eastAsia" w:ascii="宋体" w:hAnsi="宋体" w:cs="宋体"/>
          <w:b/>
          <w:szCs w:val="21"/>
        </w:rPr>
        <w:t>三、获取招标文件</w:t>
      </w:r>
    </w:p>
    <w:p>
      <w:pPr>
        <w:spacing w:line="320" w:lineRule="exact"/>
        <w:ind w:firstLine="420" w:firstLineChars="200"/>
        <w:jc w:val="left"/>
        <w:rPr>
          <w:rFonts w:ascii="宋体" w:hAnsi="宋体" w:cs="宋体"/>
          <w:szCs w:val="21"/>
        </w:rPr>
      </w:pPr>
      <w:r>
        <w:rPr>
          <w:rFonts w:hint="eastAsia" w:ascii="宋体" w:hAnsi="宋体" w:cs="宋体"/>
          <w:szCs w:val="21"/>
        </w:rPr>
        <w:t>时间：2024年</w:t>
      </w:r>
      <w:r>
        <w:rPr>
          <w:rFonts w:hint="eastAsia" w:ascii="宋体" w:hAnsi="宋体" w:cs="宋体"/>
          <w:szCs w:val="21"/>
          <w:lang w:val="en-US" w:eastAsia="zh-CN"/>
        </w:rPr>
        <w:t>8月28</w:t>
      </w:r>
      <w:r>
        <w:rPr>
          <w:rFonts w:hint="eastAsia" w:ascii="宋体" w:hAnsi="宋体" w:cs="宋体"/>
          <w:szCs w:val="21"/>
        </w:rPr>
        <w:t>日</w:t>
      </w:r>
      <w:r>
        <w:rPr>
          <w:rFonts w:hint="eastAsia" w:ascii="宋体" w:hAnsi="宋体" w:cs="宋体"/>
          <w:szCs w:val="21"/>
          <w:lang w:val="en-US" w:eastAsia="zh-CN"/>
        </w:rPr>
        <w:t>2024</w:t>
      </w:r>
      <w:r>
        <w:rPr>
          <w:rFonts w:hint="eastAsia" w:ascii="宋体" w:hAnsi="宋体" w:cs="宋体"/>
          <w:szCs w:val="21"/>
        </w:rPr>
        <w:t>至</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日，每天上午00:00至12:00，下午12:00至23:59（北京时间，法定节假日除外）</w:t>
      </w:r>
    </w:p>
    <w:p>
      <w:pPr>
        <w:spacing w:line="320" w:lineRule="exact"/>
        <w:ind w:firstLine="420" w:firstLineChars="200"/>
        <w:jc w:val="left"/>
        <w:rPr>
          <w:rFonts w:ascii="宋体" w:hAnsi="宋体" w:cs="宋体"/>
          <w:szCs w:val="21"/>
        </w:rPr>
      </w:pPr>
      <w:r>
        <w:rPr>
          <w:rFonts w:hint="eastAsia" w:ascii="宋体" w:hAnsi="宋体" w:cs="宋体"/>
          <w:szCs w:val="21"/>
        </w:rPr>
        <w:t>地点（网址）：广西政府采购云平台（https://www.gcy.zfcg.gxzf.gov.cn/）</w:t>
      </w:r>
    </w:p>
    <w:p>
      <w:pPr>
        <w:spacing w:line="320" w:lineRule="exact"/>
        <w:ind w:firstLine="420" w:firstLineChars="200"/>
        <w:jc w:val="left"/>
        <w:rPr>
          <w:rFonts w:ascii="宋体" w:hAnsi="宋体" w:cs="宋体"/>
          <w:szCs w:val="21"/>
        </w:rPr>
      </w:pPr>
      <w:r>
        <w:rPr>
          <w:rFonts w:hint="eastAsia" w:ascii="宋体" w:hAnsi="宋体" w:cs="宋体"/>
          <w:szCs w:val="21"/>
        </w:rPr>
        <w:t>方式：供应商登录广西政府采购云平台（https://www.gcy.zfcg.gxzf.gov.cn/）在线申请获取采购文件（进入“项目采购”应用，在获取采购文件菜单中选择项目，申请获取采购文件）。</w:t>
      </w:r>
    </w:p>
    <w:p>
      <w:pPr>
        <w:spacing w:line="320" w:lineRule="exact"/>
        <w:ind w:firstLine="420" w:firstLineChars="200"/>
        <w:jc w:val="left"/>
        <w:rPr>
          <w:rFonts w:ascii="宋体" w:hAnsi="宋体" w:cs="宋体"/>
          <w:szCs w:val="21"/>
        </w:rPr>
      </w:pPr>
      <w:r>
        <w:rPr>
          <w:rFonts w:hint="eastAsia" w:ascii="宋体" w:hAnsi="宋体" w:cs="宋体"/>
          <w:szCs w:val="21"/>
        </w:rPr>
        <w:t>售价（元）：0</w:t>
      </w:r>
    </w:p>
    <w:p>
      <w:pPr>
        <w:spacing w:line="320" w:lineRule="exact"/>
        <w:jc w:val="left"/>
        <w:rPr>
          <w:rFonts w:ascii="宋体" w:hAnsi="宋体" w:cs="宋体"/>
          <w:b/>
          <w:szCs w:val="21"/>
        </w:rPr>
      </w:pPr>
      <w:r>
        <w:rPr>
          <w:rFonts w:hint="eastAsia" w:ascii="宋体" w:hAnsi="宋体" w:cs="宋体"/>
          <w:b/>
          <w:szCs w:val="21"/>
        </w:rPr>
        <w:t>四、提交投标文件截止时间、开标时间和地点</w:t>
      </w:r>
    </w:p>
    <w:p>
      <w:pPr>
        <w:spacing w:line="320" w:lineRule="exact"/>
        <w:ind w:firstLine="420" w:firstLineChars="200"/>
        <w:jc w:val="left"/>
        <w:rPr>
          <w:rFonts w:ascii="宋体" w:hAnsi="宋体" w:cs="宋体"/>
          <w:szCs w:val="21"/>
        </w:rPr>
      </w:pPr>
      <w:r>
        <w:rPr>
          <w:rFonts w:hint="eastAsia" w:ascii="宋体" w:hAnsi="宋体" w:cs="宋体"/>
          <w:szCs w:val="21"/>
        </w:rPr>
        <w:t>提交投标文件截止时间：2024年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日09:00（北京时间）</w:t>
      </w:r>
    </w:p>
    <w:p>
      <w:pPr>
        <w:spacing w:line="320" w:lineRule="exact"/>
        <w:ind w:firstLine="420" w:firstLineChars="200"/>
        <w:jc w:val="left"/>
        <w:rPr>
          <w:rFonts w:ascii="宋体" w:hAnsi="宋体" w:cs="宋体"/>
          <w:szCs w:val="21"/>
        </w:rPr>
      </w:pPr>
      <w:r>
        <w:rPr>
          <w:rFonts w:hint="eastAsia" w:ascii="宋体" w:hAnsi="宋体" w:cs="宋体"/>
          <w:szCs w:val="21"/>
        </w:rPr>
        <w:t>投标地点（网址）：通过广西政府采购云平台（https://www.gcy.zfcg.gxzf.gov.cn/）实行在线投标</w:t>
      </w:r>
    </w:p>
    <w:p>
      <w:pPr>
        <w:spacing w:line="320" w:lineRule="exact"/>
        <w:ind w:firstLine="420" w:firstLineChars="200"/>
        <w:jc w:val="left"/>
        <w:rPr>
          <w:rFonts w:ascii="宋体" w:hAnsi="宋体" w:cs="宋体"/>
          <w:szCs w:val="21"/>
        </w:rPr>
      </w:pPr>
      <w:r>
        <w:rPr>
          <w:rFonts w:hint="eastAsia" w:ascii="宋体" w:hAnsi="宋体" w:cs="宋体"/>
          <w:szCs w:val="21"/>
        </w:rPr>
        <w:t>开标时间：2024年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日09:00（北京时间）</w:t>
      </w:r>
    </w:p>
    <w:p>
      <w:pPr>
        <w:spacing w:line="320" w:lineRule="exact"/>
        <w:ind w:firstLine="420" w:firstLineChars="200"/>
        <w:jc w:val="left"/>
        <w:rPr>
          <w:rFonts w:ascii="宋体" w:hAnsi="宋体" w:cs="宋体"/>
          <w:szCs w:val="21"/>
        </w:rPr>
      </w:pPr>
      <w:r>
        <w:rPr>
          <w:rFonts w:hint="eastAsia" w:ascii="宋体" w:hAnsi="宋体" w:cs="宋体"/>
          <w:szCs w:val="21"/>
        </w:rPr>
        <w:t>开标地点：通过广西政府采购云平台（https://www.gcy.zfcg.gxzf.gov.cn/）实行在线开标  </w:t>
      </w:r>
    </w:p>
    <w:p>
      <w:pPr>
        <w:spacing w:line="320" w:lineRule="exact"/>
        <w:jc w:val="left"/>
        <w:rPr>
          <w:rFonts w:ascii="宋体" w:hAnsi="宋体" w:cs="宋体"/>
          <w:b/>
          <w:szCs w:val="21"/>
        </w:rPr>
      </w:pPr>
      <w:r>
        <w:rPr>
          <w:rFonts w:hint="eastAsia" w:ascii="宋体" w:hAnsi="宋体" w:cs="宋体"/>
          <w:b/>
          <w:szCs w:val="21"/>
        </w:rPr>
        <w:t>五、公告期限</w:t>
      </w:r>
    </w:p>
    <w:p>
      <w:pPr>
        <w:spacing w:line="320" w:lineRule="exact"/>
        <w:ind w:firstLine="420" w:firstLineChars="200"/>
        <w:jc w:val="left"/>
        <w:rPr>
          <w:rFonts w:ascii="宋体" w:hAnsi="宋体" w:cs="宋体"/>
          <w:szCs w:val="21"/>
        </w:rPr>
      </w:pPr>
      <w:r>
        <w:rPr>
          <w:rFonts w:hint="eastAsia" w:ascii="宋体" w:hAnsi="宋体" w:cs="宋体"/>
          <w:szCs w:val="21"/>
        </w:rPr>
        <w:t>自本公告发布之日起5个工作日。</w:t>
      </w:r>
    </w:p>
    <w:p>
      <w:pPr>
        <w:spacing w:line="320" w:lineRule="exact"/>
        <w:jc w:val="left"/>
        <w:rPr>
          <w:rFonts w:ascii="宋体" w:hAnsi="宋体" w:cs="宋体"/>
          <w:b/>
          <w:szCs w:val="21"/>
        </w:rPr>
      </w:pPr>
      <w:r>
        <w:rPr>
          <w:rFonts w:hint="eastAsia" w:ascii="宋体" w:hAnsi="宋体" w:cs="宋体"/>
          <w:b/>
          <w:szCs w:val="21"/>
        </w:rPr>
        <w:t>六、其他补充事宜</w:t>
      </w:r>
    </w:p>
    <w:p>
      <w:pPr>
        <w:spacing w:line="320" w:lineRule="exact"/>
        <w:ind w:firstLine="420" w:firstLineChars="200"/>
        <w:jc w:val="left"/>
        <w:rPr>
          <w:rFonts w:ascii="宋体" w:hAnsi="宋体" w:cs="宋体"/>
          <w:szCs w:val="21"/>
        </w:rPr>
      </w:pPr>
      <w:r>
        <w:rPr>
          <w:rFonts w:hint="eastAsia" w:ascii="宋体" w:hAnsi="宋体" w:cs="宋体"/>
          <w:szCs w:val="21"/>
        </w:rPr>
        <w:t>1.本项目不收取投标保证金。</w:t>
      </w:r>
    </w:p>
    <w:p>
      <w:pPr>
        <w:spacing w:line="320" w:lineRule="exact"/>
        <w:ind w:firstLine="420" w:firstLineChars="200"/>
        <w:jc w:val="left"/>
        <w:rPr>
          <w:rFonts w:ascii="宋体" w:hAnsi="宋体" w:cs="宋体"/>
          <w:szCs w:val="21"/>
        </w:rPr>
      </w:pPr>
      <w:r>
        <w:rPr>
          <w:rFonts w:hint="eastAsia" w:ascii="宋体" w:hAnsi="宋体" w:cs="宋体"/>
          <w:szCs w:val="21"/>
        </w:rPr>
        <w:t>2.本项目需要落实的政府采购政策：</w:t>
      </w:r>
    </w:p>
    <w:p>
      <w:pPr>
        <w:spacing w:line="320" w:lineRule="exact"/>
        <w:ind w:firstLine="420" w:firstLineChars="200"/>
        <w:jc w:val="left"/>
        <w:rPr>
          <w:rFonts w:ascii="宋体" w:hAnsi="宋体" w:cs="宋体"/>
          <w:szCs w:val="21"/>
        </w:rPr>
      </w:pPr>
      <w:r>
        <w:rPr>
          <w:rFonts w:hint="eastAsia" w:ascii="宋体" w:hAnsi="宋体" w:cs="宋体"/>
          <w:szCs w:val="21"/>
        </w:rPr>
        <w:t>（1）落实强制采购节能产品、鼓励节能政策：对国家公布的节能产品政府采购品目清单中属于强制采购的产品，予以强制采购。属于非强制采购的产品，在技术、服务等指标同等条件下，予以优先采购。</w:t>
      </w:r>
    </w:p>
    <w:p>
      <w:pPr>
        <w:spacing w:line="320" w:lineRule="exact"/>
        <w:ind w:firstLine="420" w:firstLineChars="200"/>
        <w:jc w:val="left"/>
        <w:rPr>
          <w:rFonts w:ascii="宋体" w:hAnsi="宋体" w:cs="宋体"/>
          <w:szCs w:val="21"/>
        </w:rPr>
      </w:pPr>
      <w:r>
        <w:rPr>
          <w:rFonts w:hint="eastAsia" w:ascii="宋体" w:hAnsi="宋体" w:cs="宋体"/>
          <w:szCs w:val="21"/>
        </w:rPr>
        <w:t>（2）鼓励环保政策：在性能、技术、服务等指标同等条件下，优先采购国家公布的属于环境标志产品政府采购品目清单中产品。</w:t>
      </w:r>
    </w:p>
    <w:p>
      <w:pPr>
        <w:spacing w:line="320" w:lineRule="exact"/>
        <w:ind w:firstLine="420" w:firstLineChars="200"/>
        <w:jc w:val="left"/>
        <w:rPr>
          <w:rFonts w:ascii="宋体" w:hAnsi="宋体" w:cs="宋体"/>
          <w:szCs w:val="21"/>
        </w:rPr>
      </w:pPr>
      <w:r>
        <w:rPr>
          <w:rFonts w:hint="eastAsia" w:ascii="宋体" w:hAnsi="宋体" w:cs="宋体"/>
          <w:szCs w:val="21"/>
        </w:rPr>
        <w:t>（3）扶持中小企业政策：</w:t>
      </w:r>
      <w:r>
        <w:rPr>
          <w:rFonts w:hint="eastAsia" w:ascii="宋体" w:hAnsi="宋体" w:cs="宋体"/>
          <w:szCs w:val="21"/>
          <w:lang w:eastAsia="zh-CN"/>
        </w:rPr>
        <w:t>标项二</w:t>
      </w:r>
      <w:r>
        <w:rPr>
          <w:rFonts w:hint="eastAsia" w:ascii="宋体" w:hAnsi="宋体" w:cs="宋体"/>
          <w:szCs w:val="21"/>
        </w:rPr>
        <w:t>采购包专门面向</w:t>
      </w:r>
      <w:r>
        <w:rPr>
          <w:rFonts w:hint="eastAsia" w:ascii="宋体" w:hAnsi="宋体" w:cs="宋体"/>
          <w:szCs w:val="21"/>
          <w:lang w:eastAsia="zh-CN"/>
        </w:rPr>
        <w:t>中小</w:t>
      </w:r>
      <w:r>
        <w:rPr>
          <w:rFonts w:hint="eastAsia" w:ascii="宋体" w:hAnsi="宋体" w:cs="宋体"/>
          <w:szCs w:val="21"/>
        </w:rPr>
        <w:t>企业采购</w:t>
      </w:r>
      <w:r>
        <w:rPr>
          <w:rFonts w:hint="eastAsia" w:ascii="宋体" w:hAnsi="宋体" w:cs="宋体"/>
          <w:szCs w:val="21"/>
          <w:lang w:eastAsia="zh-CN"/>
        </w:rPr>
        <w:t>，</w:t>
      </w:r>
      <w:r>
        <w:rPr>
          <w:rFonts w:hint="eastAsia" w:ascii="宋体" w:hAnsi="宋体" w:cs="宋体"/>
          <w:szCs w:val="21"/>
        </w:rPr>
        <w:t>监狱企业、残疾人福利性单位视同小型和微型企业；对非专门面向中小企业的采购包，评审时对小型和微型企业产品的价格给予20%的扣除。监狱企业、残疾人福利性单位视同小型和微型企业，其产品在评审时给予相同的价格扣除。</w:t>
      </w:r>
    </w:p>
    <w:p>
      <w:pPr>
        <w:spacing w:line="320" w:lineRule="exact"/>
        <w:ind w:firstLine="420" w:firstLineChars="200"/>
        <w:jc w:val="left"/>
        <w:rPr>
          <w:rFonts w:hAnsi="宋体" w:cs="宋体"/>
          <w:szCs w:val="21"/>
        </w:rPr>
      </w:pPr>
      <w:r>
        <w:rPr>
          <w:rFonts w:hint="eastAsia" w:ascii="宋体" w:hAnsi="宋体" w:cs="宋体"/>
          <w:szCs w:val="21"/>
        </w:rPr>
        <w:t>3.网上公告媒体查询：中国政府采购网、</w:t>
      </w:r>
      <w:r>
        <w:rPr>
          <w:rFonts w:hint="eastAsia" w:hAnsi="宋体" w:cs="宋体"/>
          <w:szCs w:val="21"/>
        </w:rPr>
        <w:t>广西政府采购网、</w:t>
      </w:r>
      <w:r>
        <w:rPr>
          <w:rFonts w:hAnsi="宋体" w:cs="宋体"/>
          <w:szCs w:val="21"/>
        </w:rPr>
        <w:t>全国公共资源交易平台（广西•北海）</w:t>
      </w:r>
      <w:r>
        <w:rPr>
          <w:rFonts w:hint="eastAsia"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4.</w:t>
      </w:r>
      <w:r>
        <w:rPr>
          <w:rFonts w:hint="eastAsia" w:hAnsi="宋体" w:cs="宋体"/>
          <w:szCs w:val="21"/>
        </w:rPr>
        <w:t>各供应商通过新平台（</w:t>
      </w:r>
      <w:r>
        <w:rPr>
          <w:rFonts w:hint="eastAsia" w:ascii="宋体" w:hAnsi="宋体" w:cs="宋体"/>
          <w:szCs w:val="21"/>
        </w:rPr>
        <w:t>广西政府采购云平台</w:t>
      </w:r>
      <w:r>
        <w:rPr>
          <w:rFonts w:hint="eastAsia" w:hAnsi="宋体" w:cs="宋体"/>
          <w:szCs w:val="21"/>
        </w:rPr>
        <w:t>）参与政府采购项目投标需下载使用新版客户端（</w:t>
      </w:r>
      <w:r>
        <w:rPr>
          <w:rFonts w:ascii="宋体" w:hAnsi="宋体" w:cs="宋体"/>
          <w:szCs w:val="21"/>
        </w:rPr>
        <w:t>广西政府采购云平台客户端</w:t>
      </w:r>
      <w:r>
        <w:rPr>
          <w:rFonts w:hint="eastAsia" w:hAnsi="宋体" w:cs="宋体"/>
          <w:szCs w:val="21"/>
        </w:rPr>
        <w:t>），新版客户端下载路径：广西政府采购网（访问地址http://zfcg.gxzf.gov.cn/）—办事服务—下载专区。原在政采云平台注册的临时供应商需在新平台启用后重新注册登记。</w:t>
      </w:r>
    </w:p>
    <w:p>
      <w:pPr>
        <w:spacing w:line="320" w:lineRule="exact"/>
        <w:ind w:firstLine="420" w:firstLineChars="200"/>
        <w:jc w:val="left"/>
        <w:rPr>
          <w:rFonts w:ascii="宋体" w:hAnsi="宋体" w:cs="宋体"/>
          <w:szCs w:val="21"/>
        </w:rPr>
      </w:pPr>
      <w:r>
        <w:rPr>
          <w:rFonts w:hint="eastAsia" w:ascii="宋体" w:hAnsi="宋体" w:cs="宋体"/>
          <w:szCs w:val="21"/>
        </w:rPr>
        <w:t>5.本项目通过广西政府采购云平台实行在线投标响应（电子投标），为确保网上操作合法、有效和安全，投标供应商应当在投标截止时间前完成在“广西政府采购云平台”的身份认证，确保在电子投标过程中能够对相关数据电文进行加密和使用电子签章。使用“</w:t>
      </w:r>
      <w:r>
        <w:rPr>
          <w:rFonts w:ascii="宋体" w:hAnsi="宋体" w:cs="宋体"/>
          <w:szCs w:val="21"/>
        </w:rPr>
        <w:t>广西政府采购云平台客户端</w:t>
      </w:r>
      <w:r>
        <w:rPr>
          <w:rFonts w:hint="eastAsia" w:ascii="宋体" w:hAnsi="宋体" w:cs="宋体"/>
          <w:szCs w:val="21"/>
        </w:rPr>
        <w:t>”需要提前申领CA数字证书，申领流程请自行前往“北海市人民政府网-北海市政府采购中心网站-相关下载- CA证书办理操作指南”进行查阅。具体操作流程详见招标文件。</w:t>
      </w:r>
    </w:p>
    <w:p>
      <w:pPr>
        <w:spacing w:line="320" w:lineRule="exact"/>
        <w:ind w:firstLine="420" w:firstLineChars="200"/>
        <w:jc w:val="left"/>
        <w:rPr>
          <w:rFonts w:ascii="宋体" w:hAnsi="宋体" w:cs="宋体"/>
          <w:szCs w:val="21"/>
        </w:rPr>
      </w:pPr>
      <w:r>
        <w:rPr>
          <w:rFonts w:hint="eastAsia" w:ascii="宋体" w:hAnsi="宋体" w:cs="宋体"/>
          <w:szCs w:val="21"/>
        </w:rPr>
        <w:t>6.本项目采用远程异地评标。</w:t>
      </w:r>
    </w:p>
    <w:p>
      <w:pPr>
        <w:spacing w:line="320" w:lineRule="exact"/>
        <w:jc w:val="left"/>
        <w:rPr>
          <w:rFonts w:ascii="宋体" w:hAnsi="宋体" w:cs="宋体"/>
          <w:b/>
          <w:szCs w:val="21"/>
        </w:rPr>
      </w:pPr>
      <w:r>
        <w:rPr>
          <w:rFonts w:hint="eastAsia" w:ascii="宋体" w:hAnsi="宋体" w:cs="宋体"/>
          <w:b/>
          <w:szCs w:val="21"/>
        </w:rPr>
        <w:t>七、对本次招标提出询问，请按以下方式联系</w:t>
      </w:r>
    </w:p>
    <w:p>
      <w:pPr>
        <w:spacing w:line="340" w:lineRule="exact"/>
        <w:ind w:firstLine="420" w:firstLineChars="200"/>
        <w:jc w:val="left"/>
        <w:rPr>
          <w:rFonts w:hint="eastAsia" w:ascii="微软雅黑" w:hAnsi="微软雅黑" w:eastAsia="微软雅黑" w:cs="微软雅黑"/>
          <w:szCs w:val="21"/>
        </w:rPr>
      </w:pPr>
      <w:bookmarkStart w:id="10" w:name="_Toc9838478"/>
      <w:r>
        <w:rPr>
          <w:rFonts w:hint="eastAsia" w:ascii="微软雅黑" w:hAnsi="微软雅黑" w:eastAsia="微软雅黑" w:cs="微软雅黑"/>
          <w:szCs w:val="21"/>
        </w:rPr>
        <w:t>名    称：北海市</w:t>
      </w:r>
      <w:r>
        <w:rPr>
          <w:rFonts w:hint="eastAsia" w:ascii="微软雅黑" w:hAnsi="微软雅黑" w:eastAsia="微软雅黑" w:cs="微软雅黑"/>
          <w:szCs w:val="21"/>
          <w:lang w:eastAsia="zh-CN"/>
        </w:rPr>
        <w:t>铁山港区</w:t>
      </w:r>
      <w:r>
        <w:rPr>
          <w:rFonts w:hint="eastAsia" w:ascii="微软雅黑" w:hAnsi="微软雅黑" w:eastAsia="微软雅黑" w:cs="微软雅黑"/>
          <w:szCs w:val="21"/>
        </w:rPr>
        <w:t>教育局。</w:t>
      </w:r>
    </w:p>
    <w:p>
      <w:pPr>
        <w:spacing w:line="340" w:lineRule="exact"/>
        <w:ind w:firstLine="420" w:firstLineChars="200"/>
        <w:jc w:val="left"/>
        <w:rPr>
          <w:rFonts w:hint="eastAsia" w:ascii="微软雅黑" w:hAnsi="微软雅黑" w:eastAsia="微软雅黑" w:cs="微软雅黑"/>
          <w:szCs w:val="21"/>
        </w:rPr>
      </w:pPr>
      <w:r>
        <w:rPr>
          <w:rFonts w:hint="eastAsia" w:ascii="微软雅黑" w:hAnsi="微软雅黑" w:eastAsia="微软雅黑" w:cs="微软雅黑"/>
          <w:szCs w:val="21"/>
        </w:rPr>
        <w:t>地    址：北海市</w:t>
      </w:r>
      <w:r>
        <w:rPr>
          <w:rFonts w:hint="eastAsia" w:ascii="微软雅黑" w:hAnsi="微软雅黑" w:eastAsia="微软雅黑" w:cs="微软雅黑"/>
          <w:szCs w:val="21"/>
          <w:lang w:eastAsia="zh-CN"/>
        </w:rPr>
        <w:t>铁山港区政府大院内</w:t>
      </w:r>
      <w:r>
        <w:rPr>
          <w:rFonts w:hint="eastAsia" w:ascii="微软雅黑" w:hAnsi="微软雅黑" w:eastAsia="微软雅黑" w:cs="微软雅黑"/>
          <w:szCs w:val="21"/>
        </w:rPr>
        <w:t>。</w:t>
      </w:r>
    </w:p>
    <w:p>
      <w:pPr>
        <w:spacing w:line="340" w:lineRule="exact"/>
        <w:ind w:firstLine="420" w:firstLineChars="200"/>
        <w:jc w:val="left"/>
        <w:rPr>
          <w:rFonts w:hint="eastAsia" w:ascii="微软雅黑" w:hAnsi="微软雅黑" w:eastAsia="微软雅黑" w:cs="微软雅黑"/>
          <w:szCs w:val="21"/>
        </w:rPr>
      </w:pPr>
      <w:r>
        <w:rPr>
          <w:rFonts w:hint="eastAsia" w:ascii="微软雅黑" w:hAnsi="微软雅黑" w:eastAsia="微软雅黑" w:cs="微软雅黑"/>
          <w:szCs w:val="21"/>
        </w:rPr>
        <w:t>项目联系人：</w:t>
      </w:r>
      <w:r>
        <w:rPr>
          <w:rFonts w:hint="eastAsia" w:ascii="微软雅黑" w:hAnsi="微软雅黑" w:eastAsia="微软雅黑" w:cs="微软雅黑"/>
          <w:szCs w:val="21"/>
          <w:lang w:eastAsia="zh-CN"/>
        </w:rPr>
        <w:t>马元京</w:t>
      </w:r>
      <w:r>
        <w:rPr>
          <w:rFonts w:hint="eastAsia" w:ascii="微软雅黑" w:hAnsi="微软雅黑" w:eastAsia="微软雅黑" w:cs="微软雅黑"/>
          <w:szCs w:val="21"/>
        </w:rPr>
        <w:t>。</w:t>
      </w:r>
    </w:p>
    <w:p>
      <w:pPr>
        <w:spacing w:line="360" w:lineRule="exact"/>
        <w:ind w:firstLine="420" w:firstLineChars="200"/>
        <w:jc w:val="left"/>
        <w:rPr>
          <w:rFonts w:hint="eastAsia" w:ascii="微软雅黑" w:hAnsi="微软雅黑" w:eastAsia="宋体" w:cs="微软雅黑"/>
          <w:color w:val="auto"/>
          <w:sz w:val="21"/>
          <w:szCs w:val="21"/>
          <w:highlight w:val="none"/>
          <w:lang w:eastAsia="zh-CN"/>
        </w:rPr>
      </w:pPr>
      <w:r>
        <w:rPr>
          <w:rFonts w:hint="eastAsia" w:ascii="微软雅黑" w:hAnsi="微软雅黑" w:eastAsia="微软雅黑" w:cs="微软雅黑"/>
          <w:szCs w:val="21"/>
        </w:rPr>
        <w:t>项目联系方式：</w:t>
      </w:r>
    </w:p>
    <w:p>
      <w:pPr>
        <w:spacing w:line="36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采购代理机构信息</w:t>
      </w:r>
    </w:p>
    <w:p>
      <w:pPr>
        <w:spacing w:line="36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名 称：</w:t>
      </w:r>
      <w:r>
        <w:rPr>
          <w:rFonts w:hint="eastAsia" w:ascii="微软雅黑" w:hAnsi="微软雅黑" w:eastAsia="微软雅黑" w:cs="微软雅黑"/>
          <w:color w:val="auto"/>
          <w:sz w:val="21"/>
          <w:szCs w:val="21"/>
          <w:highlight w:val="none"/>
          <w:lang w:eastAsia="zh-CN"/>
        </w:rPr>
        <w:t>北海市铁山港区政府采购中心</w:t>
      </w:r>
      <w:r>
        <w:rPr>
          <w:rFonts w:hint="eastAsia" w:ascii="微软雅黑" w:hAnsi="微软雅黑" w:eastAsia="微软雅黑" w:cs="微软雅黑"/>
          <w:color w:val="auto"/>
          <w:sz w:val="21"/>
          <w:szCs w:val="21"/>
          <w:highlight w:val="none"/>
        </w:rPr>
        <w:t>。</w:t>
      </w:r>
    </w:p>
    <w:p>
      <w:pPr>
        <w:spacing w:line="360" w:lineRule="exact"/>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项目联系人(询问)：</w:t>
      </w:r>
      <w:bookmarkStart w:id="11" w:name="_Toc28359010"/>
      <w:bookmarkStart w:id="12" w:name="_Toc28359087"/>
      <w:r>
        <w:rPr>
          <w:rFonts w:hint="eastAsia" w:ascii="微软雅黑" w:hAnsi="微软雅黑" w:eastAsia="微软雅黑" w:cs="微软雅黑"/>
          <w:color w:val="auto"/>
          <w:sz w:val="21"/>
          <w:szCs w:val="21"/>
          <w:highlight w:val="none"/>
          <w:lang w:eastAsia="zh-CN"/>
        </w:rPr>
        <w:t>刘小梅、许强</w:t>
      </w:r>
    </w:p>
    <w:p>
      <w:pPr>
        <w:spacing w:line="36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eastAsia="zh-CN"/>
        </w:rPr>
        <w:t>项目联系方式：0779-</w:t>
      </w:r>
      <w:r>
        <w:rPr>
          <w:rFonts w:hint="eastAsia" w:ascii="微软雅黑" w:hAnsi="微软雅黑" w:eastAsia="微软雅黑" w:cs="微软雅黑"/>
          <w:color w:val="auto"/>
          <w:sz w:val="21"/>
          <w:szCs w:val="21"/>
          <w:highlight w:val="none"/>
          <w:lang w:val="en-US" w:eastAsia="zh-CN"/>
        </w:rPr>
        <w:t>8610156</w:t>
      </w:r>
      <w:r>
        <w:rPr>
          <w:rFonts w:hint="eastAsia" w:ascii="微软雅黑" w:hAnsi="微软雅黑" w:eastAsia="微软雅黑" w:cs="微软雅黑"/>
          <w:color w:val="auto"/>
          <w:sz w:val="21"/>
          <w:szCs w:val="21"/>
          <w:highlight w:val="none"/>
        </w:rPr>
        <w:t>。</w:t>
      </w:r>
    </w:p>
    <w:bookmarkEnd w:id="11"/>
    <w:bookmarkEnd w:id="12"/>
    <w:p>
      <w:pPr>
        <w:numPr>
          <w:ilvl w:val="0"/>
          <w:numId w:val="2"/>
        </w:numPr>
        <w:adjustRightInd w:val="0"/>
        <w:snapToGrid w:val="0"/>
        <w:spacing w:line="360" w:lineRule="exact"/>
        <w:ind w:firstLine="424" w:firstLineChars="202"/>
        <w:rPr>
          <w:rFonts w:hint="eastAsia" w:ascii="微软雅黑" w:hAnsi="微软雅黑" w:eastAsia="微软雅黑" w:cs="微软雅黑"/>
          <w:szCs w:val="21"/>
        </w:rPr>
      </w:pPr>
      <w:r>
        <w:rPr>
          <w:rFonts w:hint="eastAsia" w:ascii="微软雅黑" w:hAnsi="微软雅黑" w:eastAsia="微软雅黑" w:cs="微软雅黑"/>
          <w:color w:val="auto"/>
          <w:szCs w:val="21"/>
          <w:highlight w:val="none"/>
        </w:rPr>
        <w:t xml:space="preserve"> </w:t>
      </w:r>
      <w:r>
        <w:rPr>
          <w:rFonts w:hint="eastAsia" w:ascii="微软雅黑" w:hAnsi="微软雅黑" w:eastAsia="微软雅黑" w:cs="微软雅黑"/>
          <w:szCs w:val="21"/>
        </w:rPr>
        <w:t>政府采购监督管理部门：</w:t>
      </w:r>
    </w:p>
    <w:p>
      <w:pPr>
        <w:adjustRightInd w:val="0"/>
        <w:snapToGrid w:val="0"/>
        <w:spacing w:line="360" w:lineRule="exact"/>
        <w:ind w:firstLine="420" w:firstLineChars="200"/>
        <w:rPr>
          <w:rFonts w:hint="eastAsia" w:ascii="微软雅黑" w:hAnsi="微软雅黑" w:eastAsia="微软雅黑" w:cs="微软雅黑"/>
          <w:szCs w:val="21"/>
          <w:lang w:eastAsia="zh-CN"/>
        </w:rPr>
      </w:pPr>
      <w:r>
        <w:rPr>
          <w:rFonts w:hint="eastAsia" w:ascii="微软雅黑" w:hAnsi="微软雅黑" w:eastAsia="微软雅黑" w:cs="微软雅黑"/>
          <w:szCs w:val="21"/>
        </w:rPr>
        <w:t>名    称：</w:t>
      </w:r>
      <w:r>
        <w:rPr>
          <w:rFonts w:hint="eastAsia" w:ascii="微软雅黑" w:hAnsi="微软雅黑" w:eastAsia="微软雅黑" w:cs="微软雅黑"/>
          <w:szCs w:val="21"/>
          <w:lang w:eastAsia="zh-CN"/>
        </w:rPr>
        <w:t>北海市铁山港区财政局</w:t>
      </w:r>
    </w:p>
    <w:p>
      <w:pPr>
        <w:adjustRightInd w:val="0"/>
        <w:snapToGrid w:val="0"/>
        <w:spacing w:line="360" w:lineRule="exact"/>
        <w:ind w:firstLine="420" w:firstLineChars="200"/>
        <w:rPr>
          <w:rFonts w:hint="eastAsia" w:ascii="微软雅黑" w:hAnsi="微软雅黑" w:eastAsia="微软雅黑" w:cs="微软雅黑"/>
          <w:szCs w:val="21"/>
          <w:lang w:eastAsia="zh-CN"/>
        </w:rPr>
      </w:pPr>
      <w:r>
        <w:rPr>
          <w:rFonts w:hint="eastAsia" w:ascii="微软雅黑" w:hAnsi="微软雅黑" w:eastAsia="微软雅黑" w:cs="微软雅黑"/>
          <w:szCs w:val="21"/>
        </w:rPr>
        <w:t>地    址：</w:t>
      </w:r>
      <w:r>
        <w:rPr>
          <w:rFonts w:hint="eastAsia" w:ascii="微软雅黑" w:hAnsi="微软雅黑" w:eastAsia="微软雅黑" w:cs="微软雅黑"/>
          <w:szCs w:val="21"/>
          <w:lang w:eastAsia="zh-CN"/>
        </w:rPr>
        <w:t>北海市铁山港区政府大院内</w:t>
      </w:r>
    </w:p>
    <w:p>
      <w:pPr>
        <w:adjustRightInd w:val="0"/>
        <w:snapToGrid w:val="0"/>
        <w:spacing w:line="360" w:lineRule="exact"/>
        <w:ind w:firstLine="1050" w:firstLineChars="500"/>
        <w:rPr>
          <w:rFonts w:ascii="宋体" w:hAnsi="宋体" w:cs="宋体"/>
          <w:b/>
          <w:sz w:val="36"/>
          <w:szCs w:val="36"/>
        </w:rPr>
      </w:pPr>
      <w:r>
        <w:rPr>
          <w:rFonts w:hint="eastAsia" w:ascii="微软雅黑" w:hAnsi="微软雅黑" w:eastAsia="微软雅黑" w:cs="微软雅黑"/>
          <w:szCs w:val="21"/>
        </w:rPr>
        <w:t>联系方式：0779</w:t>
      </w:r>
      <w:r>
        <w:rPr>
          <w:rFonts w:hint="eastAsia" w:ascii="微软雅黑" w:hAnsi="微软雅黑" w:eastAsia="微软雅黑" w:cs="微软雅黑"/>
          <w:szCs w:val="21"/>
          <w:lang w:val="en-US" w:eastAsia="zh-CN"/>
        </w:rPr>
        <w:t>-8610552</w:t>
      </w:r>
      <w:r>
        <w:rPr>
          <w:rFonts w:ascii="宋体"/>
          <w:b/>
          <w:sz w:val="44"/>
          <w:szCs w:val="44"/>
        </w:rPr>
        <w:br w:type="page"/>
      </w:r>
    </w:p>
    <w:p>
      <w:pPr>
        <w:snapToGrid w:val="0"/>
        <w:spacing w:line="540" w:lineRule="exact"/>
        <w:jc w:val="center"/>
        <w:rPr>
          <w:rFonts w:ascii="宋体" w:hAnsi="宋体" w:cs="宋体"/>
          <w:b/>
          <w:sz w:val="36"/>
          <w:szCs w:val="36"/>
        </w:rPr>
      </w:pPr>
    </w:p>
    <w:p>
      <w:pPr>
        <w:snapToGrid w:val="0"/>
        <w:spacing w:line="540" w:lineRule="exact"/>
        <w:jc w:val="center"/>
        <w:rPr>
          <w:rFonts w:ascii="宋体" w:hAnsi="宋体" w:cs="宋体"/>
          <w:b/>
          <w:sz w:val="36"/>
          <w:szCs w:val="36"/>
        </w:rPr>
      </w:pPr>
    </w:p>
    <w:p>
      <w:pPr>
        <w:snapToGrid w:val="0"/>
        <w:spacing w:line="540" w:lineRule="exact"/>
        <w:jc w:val="center"/>
        <w:rPr>
          <w:rFonts w:ascii="宋体" w:hAnsi="宋体" w:cs="宋体"/>
          <w:b/>
          <w:sz w:val="36"/>
          <w:szCs w:val="36"/>
        </w:rPr>
      </w:pPr>
    </w:p>
    <w:p>
      <w:pPr>
        <w:snapToGrid w:val="0"/>
        <w:spacing w:line="540" w:lineRule="exact"/>
        <w:jc w:val="center"/>
        <w:rPr>
          <w:rFonts w:ascii="宋体" w:hAnsi="宋体" w:cs="宋体"/>
          <w:b/>
          <w:sz w:val="36"/>
          <w:szCs w:val="36"/>
        </w:rPr>
      </w:pPr>
    </w:p>
    <w:p>
      <w:pPr>
        <w:snapToGrid w:val="0"/>
        <w:spacing w:line="540" w:lineRule="exact"/>
        <w:jc w:val="center"/>
        <w:rPr>
          <w:rFonts w:ascii="宋体" w:hAnsi="宋体" w:cs="宋体"/>
          <w:b/>
          <w:sz w:val="36"/>
          <w:szCs w:val="36"/>
        </w:rPr>
      </w:pPr>
    </w:p>
    <w:p>
      <w:pPr>
        <w:snapToGrid w:val="0"/>
        <w:spacing w:line="540" w:lineRule="exact"/>
        <w:jc w:val="center"/>
        <w:rPr>
          <w:rFonts w:ascii="宋体" w:hAnsi="宋体" w:cs="宋体"/>
          <w:b/>
          <w:sz w:val="36"/>
          <w:szCs w:val="36"/>
        </w:rPr>
      </w:pPr>
    </w:p>
    <w:p>
      <w:pPr>
        <w:snapToGrid w:val="0"/>
        <w:spacing w:line="540" w:lineRule="exact"/>
        <w:jc w:val="center"/>
        <w:rPr>
          <w:rFonts w:ascii="宋体" w:hAnsi="宋体" w:cs="宋体"/>
          <w:b/>
          <w:sz w:val="36"/>
          <w:szCs w:val="36"/>
        </w:rPr>
      </w:pPr>
    </w:p>
    <w:p>
      <w:pPr>
        <w:snapToGrid w:val="0"/>
        <w:spacing w:line="540" w:lineRule="exact"/>
        <w:jc w:val="center"/>
        <w:rPr>
          <w:rFonts w:ascii="宋体" w:hAnsi="宋体" w:cs="宋体"/>
          <w:b/>
          <w:sz w:val="36"/>
          <w:szCs w:val="36"/>
        </w:rPr>
      </w:pPr>
    </w:p>
    <w:p>
      <w:pPr>
        <w:pStyle w:val="36"/>
        <w:pBdr>
          <w:bottom w:val="none" w:color="auto" w:sz="0" w:space="0"/>
        </w:pBdr>
      </w:pPr>
    </w:p>
    <w:p>
      <w:pPr>
        <w:pStyle w:val="36"/>
        <w:pBdr>
          <w:bottom w:val="none" w:color="auto" w:sz="0" w:space="0"/>
        </w:pBdr>
      </w:pPr>
    </w:p>
    <w:p>
      <w:pPr>
        <w:snapToGrid w:val="0"/>
        <w:spacing w:line="540" w:lineRule="exact"/>
        <w:jc w:val="center"/>
        <w:rPr>
          <w:rFonts w:ascii="宋体" w:hAnsi="宋体" w:cs="宋体"/>
          <w:b/>
          <w:sz w:val="36"/>
          <w:szCs w:val="36"/>
        </w:rPr>
      </w:pPr>
    </w:p>
    <w:bookmarkEnd w:id="10"/>
    <w:p>
      <w:pPr>
        <w:snapToGrid w:val="0"/>
        <w:spacing w:line="540" w:lineRule="exact"/>
        <w:jc w:val="center"/>
        <w:outlineLvl w:val="0"/>
        <w:rPr>
          <w:rFonts w:ascii="宋体" w:hAnsi="宋体" w:cs="宋体"/>
          <w:b/>
          <w:sz w:val="36"/>
          <w:szCs w:val="36"/>
        </w:rPr>
      </w:pPr>
      <w:bookmarkStart w:id="13" w:name="_Toc163469135"/>
      <w:r>
        <w:rPr>
          <w:rFonts w:hint="eastAsia" w:ascii="宋体" w:hAnsi="宋体" w:cs="宋体"/>
          <w:b/>
          <w:sz w:val="36"/>
          <w:szCs w:val="36"/>
        </w:rPr>
        <w:t>第二章 招标项目采购需求</w:t>
      </w:r>
      <w:bookmarkEnd w:id="13"/>
    </w:p>
    <w:p>
      <w:pPr>
        <w:snapToGrid w:val="0"/>
        <w:spacing w:line="540" w:lineRule="exact"/>
        <w:jc w:val="center"/>
        <w:rPr>
          <w:rFonts w:ascii="宋体" w:hAnsi="宋体" w:cs="宋体"/>
          <w:sz w:val="36"/>
          <w:szCs w:val="36"/>
        </w:rPr>
      </w:pPr>
    </w:p>
    <w:p>
      <w:pPr>
        <w:snapToGrid w:val="0"/>
        <w:spacing w:line="540" w:lineRule="exact"/>
        <w:jc w:val="center"/>
        <w:rPr>
          <w:rFonts w:ascii="宋体" w:hAnsi="宋体" w:cs="宋体"/>
          <w:sz w:val="36"/>
          <w:szCs w:val="36"/>
        </w:rPr>
      </w:pPr>
    </w:p>
    <w:p>
      <w:pPr>
        <w:snapToGrid w:val="0"/>
        <w:spacing w:line="540" w:lineRule="exact"/>
        <w:jc w:val="center"/>
        <w:rPr>
          <w:rFonts w:ascii="宋体" w:hAnsi="宋体" w:cs="宋体"/>
          <w:sz w:val="36"/>
          <w:szCs w:val="36"/>
        </w:rPr>
      </w:pPr>
    </w:p>
    <w:p>
      <w:pPr>
        <w:snapToGrid w:val="0"/>
        <w:spacing w:line="540" w:lineRule="exact"/>
        <w:jc w:val="center"/>
        <w:rPr>
          <w:rFonts w:ascii="宋体" w:hAnsi="宋体" w:cs="宋体"/>
          <w:sz w:val="36"/>
          <w:szCs w:val="36"/>
        </w:rPr>
      </w:pPr>
    </w:p>
    <w:p>
      <w:pPr>
        <w:snapToGrid w:val="0"/>
        <w:spacing w:line="540" w:lineRule="exact"/>
        <w:jc w:val="center"/>
        <w:rPr>
          <w:rFonts w:ascii="宋体" w:hAnsi="宋体" w:cs="宋体"/>
          <w:sz w:val="36"/>
          <w:szCs w:val="36"/>
        </w:rPr>
      </w:pPr>
    </w:p>
    <w:p>
      <w:pPr>
        <w:snapToGrid w:val="0"/>
        <w:spacing w:line="540" w:lineRule="exact"/>
        <w:jc w:val="center"/>
        <w:rPr>
          <w:rFonts w:ascii="宋体" w:hAnsi="宋体" w:cs="宋体"/>
          <w:sz w:val="36"/>
          <w:szCs w:val="36"/>
        </w:rPr>
      </w:pPr>
    </w:p>
    <w:p>
      <w:pPr>
        <w:snapToGrid w:val="0"/>
        <w:spacing w:line="540" w:lineRule="exact"/>
        <w:jc w:val="center"/>
        <w:rPr>
          <w:rFonts w:ascii="宋体" w:hAnsi="宋体" w:cs="宋体"/>
          <w:sz w:val="36"/>
          <w:szCs w:val="36"/>
        </w:rPr>
      </w:pPr>
    </w:p>
    <w:p>
      <w:pPr>
        <w:snapToGrid w:val="0"/>
        <w:spacing w:line="540" w:lineRule="exact"/>
        <w:jc w:val="center"/>
        <w:rPr>
          <w:rFonts w:ascii="宋体" w:hAnsi="宋体" w:cs="宋体"/>
          <w:sz w:val="36"/>
          <w:szCs w:val="36"/>
        </w:rPr>
      </w:pPr>
    </w:p>
    <w:p>
      <w:pPr>
        <w:snapToGrid w:val="0"/>
        <w:spacing w:line="540" w:lineRule="exact"/>
        <w:jc w:val="center"/>
        <w:rPr>
          <w:rFonts w:ascii="宋体" w:hAnsi="宋体" w:cs="宋体"/>
          <w:sz w:val="36"/>
          <w:szCs w:val="36"/>
        </w:rPr>
      </w:pPr>
    </w:p>
    <w:p>
      <w:pPr>
        <w:snapToGrid w:val="0"/>
        <w:spacing w:line="540" w:lineRule="exact"/>
        <w:jc w:val="center"/>
        <w:rPr>
          <w:rFonts w:ascii="宋体" w:hAnsi="宋体" w:cs="宋体"/>
          <w:sz w:val="36"/>
          <w:szCs w:val="36"/>
        </w:rPr>
      </w:pPr>
    </w:p>
    <w:p>
      <w:pPr>
        <w:snapToGrid w:val="0"/>
        <w:spacing w:line="540" w:lineRule="exact"/>
        <w:jc w:val="center"/>
        <w:rPr>
          <w:rFonts w:ascii="宋体" w:hAnsi="宋体" w:cs="宋体"/>
          <w:sz w:val="36"/>
          <w:szCs w:val="36"/>
        </w:rPr>
      </w:pPr>
    </w:p>
    <w:p>
      <w:pPr>
        <w:snapToGrid w:val="0"/>
        <w:spacing w:line="540" w:lineRule="exact"/>
        <w:jc w:val="center"/>
        <w:rPr>
          <w:rFonts w:ascii="宋体" w:hAnsi="宋体" w:cs="宋体"/>
          <w:sz w:val="36"/>
          <w:szCs w:val="36"/>
        </w:rPr>
      </w:pPr>
    </w:p>
    <w:p>
      <w:pPr>
        <w:snapToGrid w:val="0"/>
        <w:spacing w:line="540" w:lineRule="exact"/>
        <w:jc w:val="center"/>
        <w:rPr>
          <w:rFonts w:ascii="宋体" w:hAnsi="宋体" w:cs="宋体"/>
          <w:sz w:val="36"/>
          <w:szCs w:val="36"/>
        </w:rPr>
      </w:pPr>
    </w:p>
    <w:p>
      <w:pPr>
        <w:snapToGrid w:val="0"/>
        <w:spacing w:line="540" w:lineRule="exact"/>
        <w:jc w:val="center"/>
        <w:rPr>
          <w:rFonts w:ascii="宋体" w:hAnsi="宋体" w:cs="宋体"/>
          <w:sz w:val="36"/>
          <w:szCs w:val="36"/>
        </w:rPr>
      </w:pPr>
    </w:p>
    <w:p>
      <w:pPr>
        <w:adjustRightInd w:val="0"/>
        <w:spacing w:line="360" w:lineRule="exact"/>
        <w:ind w:firstLine="3855" w:firstLineChars="1200"/>
        <w:rPr>
          <w:rFonts w:ascii="宋体" w:hAnsi="宋体" w:cs="宋体"/>
          <w:b/>
          <w:bCs/>
          <w:kern w:val="0"/>
          <w:sz w:val="32"/>
          <w:szCs w:val="32"/>
          <w:lang w:val="zh-CN"/>
        </w:rPr>
      </w:pPr>
      <w:r>
        <w:rPr>
          <w:rFonts w:hint="eastAsia" w:ascii="宋体" w:hAnsi="宋体" w:cs="宋体"/>
          <w:b/>
          <w:bCs/>
          <w:kern w:val="0"/>
          <w:sz w:val="32"/>
          <w:szCs w:val="32"/>
          <w:lang w:val="zh-CN"/>
        </w:rPr>
        <w:t>标项1项目采购需求</w:t>
      </w:r>
    </w:p>
    <w:p>
      <w:pPr>
        <w:adjustRightInd w:val="0"/>
        <w:spacing w:line="360" w:lineRule="exact"/>
        <w:rPr>
          <w:rFonts w:ascii="宋体" w:hAnsi="宋体" w:cs="宋体"/>
          <w:bCs/>
          <w:szCs w:val="21"/>
        </w:rPr>
      </w:pPr>
      <w:r>
        <w:rPr>
          <w:rFonts w:hint="eastAsia" w:ascii="宋体" w:hAnsi="宋体" w:cs="宋体"/>
          <w:bCs/>
          <w:szCs w:val="21"/>
        </w:rPr>
        <w:t>说明：</w:t>
      </w:r>
    </w:p>
    <w:p>
      <w:pPr>
        <w:adjustRightInd w:val="0"/>
        <w:spacing w:line="400" w:lineRule="exact"/>
        <w:ind w:firstLine="440" w:firstLineChars="200"/>
        <w:rPr>
          <w:rFonts w:ascii="宋体" w:hAnsi="宋体" w:cs="宋体"/>
          <w:bCs/>
          <w:sz w:val="22"/>
        </w:rPr>
      </w:pPr>
      <w:r>
        <w:rPr>
          <w:rFonts w:hint="eastAsia" w:ascii="宋体" w:hAnsi="宋体" w:cs="宋体"/>
          <w:bCs/>
          <w:sz w:val="22"/>
        </w:rPr>
        <w:t>1.下表中的技术参数仅起参考作用，投标人要实质上相当于或优于参考其技术参数性能（配置）要求。</w:t>
      </w:r>
    </w:p>
    <w:p>
      <w:pPr>
        <w:adjustRightInd w:val="0"/>
        <w:spacing w:line="400" w:lineRule="exact"/>
        <w:ind w:firstLine="440" w:firstLineChars="200"/>
        <w:rPr>
          <w:rFonts w:hint="eastAsia" w:ascii="宋体" w:hAnsi="宋体" w:cs="宋体"/>
          <w:bCs/>
          <w:color w:val="auto"/>
          <w:sz w:val="22"/>
          <w:highlight w:val="none"/>
        </w:rPr>
      </w:pPr>
      <w:r>
        <w:rPr>
          <w:rFonts w:hint="eastAsia" w:ascii="宋体" w:hAnsi="宋体" w:cs="宋体"/>
          <w:bCs/>
          <w:sz w:val="22"/>
        </w:rPr>
        <w:t>2.</w:t>
      </w:r>
      <w:r>
        <w:rPr>
          <w:rFonts w:hint="eastAsia" w:ascii="宋体" w:hAnsi="宋体" w:cs="宋体"/>
          <w:bCs/>
          <w:color w:val="auto"/>
          <w:sz w:val="22"/>
          <w:highlight w:val="none"/>
        </w:rPr>
        <w:t>本项目一览表中技术参数性能（配置）不明确或有误的，或投标人选用以详细、正确的技术参数性能配置填写投标报价表和技术规格偏离表。投标人须根据技术参数及性能配置要求提供对应的技术响应偏离表。</w:t>
      </w:r>
    </w:p>
    <w:p>
      <w:pPr>
        <w:adjustRightInd w:val="0"/>
        <w:spacing w:line="400" w:lineRule="exact"/>
        <w:ind w:firstLine="440" w:firstLineChars="200"/>
        <w:rPr>
          <w:rFonts w:ascii="宋体" w:hAnsi="宋体" w:cs="宋体"/>
          <w:bCs/>
          <w:sz w:val="22"/>
        </w:rPr>
      </w:pPr>
      <w:r>
        <w:rPr>
          <w:rFonts w:hint="eastAsia" w:ascii="宋体" w:hAnsi="宋体" w:cs="宋体"/>
          <w:bCs/>
          <w:sz w:val="22"/>
        </w:rPr>
        <w:t>3.按财政部发展改革委生态环境部市场监管总局《关于调整优化节能产品、环境标志产品政府采购执行机制的通知》财库〔2019〕9号文件要求，如发布有政府采购节能产品品目清单中规定为政府强制采购的节能产品，（品目清单请从中国政府采购网www.ccgp.gov.cn查询），投标产品必须满足文件的相关规定。投标时须提供国家确定的认证机构出具的、处于有效期之内的有效的节能产品认证证书复印件并加盖投标人公章，不提供视为无效投标处理。</w:t>
      </w:r>
    </w:p>
    <w:p>
      <w:pPr>
        <w:adjustRightInd w:val="0"/>
        <w:spacing w:line="400" w:lineRule="exact"/>
        <w:ind w:firstLine="440" w:firstLineChars="200"/>
        <w:rPr>
          <w:rFonts w:ascii="宋体" w:hAnsi="宋体" w:cs="宋体"/>
          <w:bCs/>
          <w:spacing w:val="-6"/>
          <w:sz w:val="22"/>
        </w:rPr>
      </w:pPr>
      <w:r>
        <w:rPr>
          <w:rFonts w:hint="eastAsia" w:ascii="宋体" w:hAnsi="宋体" w:cs="宋体"/>
          <w:bCs/>
          <w:sz w:val="22"/>
        </w:rPr>
        <w:t>4.采购需求一览表中标注“</w:t>
      </w:r>
      <w:r>
        <w:rPr>
          <w:rFonts w:hint="eastAsia" w:ascii="宋体" w:hAnsi="宋体" w:cs="宋体"/>
          <w:szCs w:val="21"/>
        </w:rPr>
        <w:t>▲</w:t>
      </w:r>
      <w:r>
        <w:rPr>
          <w:rFonts w:hint="eastAsia" w:ascii="宋体" w:hAnsi="宋体" w:cs="宋体"/>
          <w:bCs/>
          <w:sz w:val="22"/>
        </w:rPr>
        <w:t>”的详细技术参数及配备要求、商务要求必须响应满足或优于，否则</w:t>
      </w:r>
      <w:r>
        <w:rPr>
          <w:rFonts w:hint="eastAsia" w:ascii="宋体" w:hAnsi="宋体" w:cs="宋体"/>
          <w:b/>
          <w:bCs/>
          <w:sz w:val="22"/>
        </w:rPr>
        <w:t>投标无效</w:t>
      </w:r>
      <w:r>
        <w:rPr>
          <w:rFonts w:hint="eastAsia" w:ascii="宋体" w:hAnsi="宋体" w:cs="宋体"/>
          <w:bCs/>
          <w:sz w:val="22"/>
        </w:rPr>
        <w:t>。</w:t>
      </w:r>
      <w:r>
        <w:rPr>
          <w:rFonts w:hint="eastAsia" w:ascii="宋体" w:hAnsi="宋体" w:cs="宋体"/>
          <w:bCs/>
          <w:spacing w:val="-6"/>
          <w:sz w:val="22"/>
        </w:rPr>
        <w:t>重要技术参数是指采购需求中带“☆”的条款，重要技术参数将作为评审打分的重要依据。</w:t>
      </w:r>
    </w:p>
    <w:p>
      <w:pPr>
        <w:adjustRightInd w:val="0"/>
        <w:spacing w:line="400" w:lineRule="exact"/>
        <w:ind w:firstLine="440" w:firstLineChars="200"/>
        <w:rPr>
          <w:rFonts w:ascii="宋体" w:hAnsi="宋体" w:cs="宋体"/>
          <w:bCs/>
          <w:sz w:val="22"/>
        </w:rPr>
      </w:pPr>
      <w:r>
        <w:rPr>
          <w:rFonts w:hint="eastAsia" w:ascii="宋体" w:hAnsi="宋体" w:cs="宋体"/>
          <w:bCs/>
          <w:sz w:val="22"/>
        </w:rPr>
        <w:t>5.本项目的政府采购预算控制价为（人民币）：2218500元，最高限价为2218500元，投标报价超过最高限价的投标无效。</w:t>
      </w:r>
    </w:p>
    <w:p>
      <w:pPr>
        <w:adjustRightInd w:val="0"/>
        <w:spacing w:line="400" w:lineRule="exact"/>
        <w:ind w:firstLine="440" w:firstLineChars="200"/>
        <w:rPr>
          <w:rFonts w:ascii="宋体" w:hAnsi="宋体" w:cs="宋体"/>
          <w:bCs/>
          <w:sz w:val="22"/>
        </w:rPr>
      </w:pPr>
      <w:r>
        <w:rPr>
          <w:rFonts w:hint="eastAsia" w:ascii="宋体" w:hAnsi="宋体" w:cs="宋体"/>
          <w:bCs/>
          <w:sz w:val="22"/>
        </w:rPr>
        <w:t>6.本项目核心产品是：</w:t>
      </w:r>
      <w:r>
        <w:rPr>
          <w:rFonts w:hint="eastAsia"/>
          <w:color w:val="000000"/>
          <w:kern w:val="0"/>
          <w:sz w:val="22"/>
        </w:rPr>
        <w:t>智慧一体机</w:t>
      </w:r>
      <w:r>
        <w:rPr>
          <w:rFonts w:hint="eastAsia" w:ascii="宋体" w:hAnsi="宋体" w:cs="宋体"/>
          <w:bCs/>
          <w:sz w:val="22"/>
        </w:rPr>
        <w:t>。</w:t>
      </w:r>
    </w:p>
    <w:p>
      <w:pPr>
        <w:adjustRightInd w:val="0"/>
        <w:spacing w:line="400" w:lineRule="exact"/>
        <w:ind w:firstLine="440" w:firstLineChars="200"/>
        <w:rPr>
          <w:rFonts w:ascii="宋体" w:hAnsi="宋体" w:cs="宋体"/>
          <w:bCs/>
          <w:sz w:val="22"/>
        </w:rPr>
      </w:pPr>
      <w:r>
        <w:rPr>
          <w:rFonts w:hint="eastAsia" w:ascii="宋体" w:hAnsi="宋体" w:cs="宋体"/>
          <w:bCs/>
          <w:sz w:val="22"/>
        </w:rPr>
        <w:t xml:space="preserve">7.根据《关于印发中小企业划型标准规定的通知》（工信部联企业〔2011〕300号）规定的划分标准，本项目采购所有标的对应的中小企业划分标准所属行业为：工业。 </w:t>
      </w:r>
    </w:p>
    <w:p>
      <w:pPr>
        <w:pStyle w:val="304"/>
        <w:rPr>
          <w:color w:val="auto"/>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84"/>
        <w:gridCol w:w="558"/>
        <w:gridCol w:w="567"/>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071" w:type="dxa"/>
            <w:gridSpan w:val="5"/>
            <w:noWrap/>
            <w:vAlign w:val="center"/>
          </w:tcPr>
          <w:p>
            <w:pPr>
              <w:widowControl/>
              <w:jc w:val="center"/>
              <w:textAlignment w:val="baseline"/>
              <w:rPr>
                <w:rFonts w:ascii="宋体" w:hAnsi="宋体" w:cs="宋体"/>
                <w:color w:val="auto"/>
                <w:kern w:val="0"/>
                <w:szCs w:val="21"/>
              </w:rPr>
            </w:pPr>
            <w:r>
              <w:rPr>
                <w:rFonts w:hint="eastAsia" w:ascii="宋体" w:hAnsi="宋体" w:cs="宋体"/>
                <w:b/>
                <w:color w:val="auto"/>
                <w:kern w:val="0"/>
                <w:sz w:val="24"/>
                <w:lang w:bidi="ar"/>
              </w:rPr>
              <w:t>一：技术参数要求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序号</w:t>
            </w:r>
          </w:p>
        </w:tc>
        <w:tc>
          <w:tcPr>
            <w:tcW w:w="1184" w:type="dxa"/>
            <w:noWrap/>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采购项目名称</w:t>
            </w:r>
          </w:p>
        </w:tc>
        <w:tc>
          <w:tcPr>
            <w:tcW w:w="558" w:type="dxa"/>
            <w:noWrap/>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数量</w:t>
            </w:r>
          </w:p>
        </w:tc>
        <w:tc>
          <w:tcPr>
            <w:tcW w:w="567" w:type="dxa"/>
            <w:noWrap/>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单位</w:t>
            </w:r>
          </w:p>
        </w:tc>
        <w:tc>
          <w:tcPr>
            <w:tcW w:w="7087" w:type="dxa"/>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详细技术参数及配备要求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071" w:type="dxa"/>
            <w:gridSpan w:val="5"/>
            <w:noWrap/>
            <w:vAlign w:val="center"/>
          </w:tcPr>
          <w:p>
            <w:pPr>
              <w:widowControl/>
              <w:jc w:val="left"/>
              <w:textAlignment w:val="baseline"/>
              <w:rPr>
                <w:rFonts w:ascii="宋体" w:hAnsi="宋体" w:cs="宋体"/>
                <w:color w:val="auto"/>
                <w:kern w:val="0"/>
                <w:szCs w:val="21"/>
              </w:rPr>
            </w:pPr>
            <w:r>
              <w:rPr>
                <w:rFonts w:hint="eastAsia" w:ascii="宋体" w:hAnsi="宋体" w:cs="宋体"/>
                <w:b/>
                <w:bCs/>
                <w:color w:val="auto"/>
                <w:kern w:val="0"/>
                <w:sz w:val="22"/>
                <w:lang w:bidi="ar"/>
              </w:rPr>
              <w:t>一、智慧一体机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75" w:type="dxa"/>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1</w:t>
            </w:r>
          </w:p>
        </w:tc>
        <w:tc>
          <w:tcPr>
            <w:tcW w:w="1184" w:type="dxa"/>
            <w:vAlign w:val="center"/>
          </w:tcPr>
          <w:p>
            <w:pPr>
              <w:widowControl/>
              <w:jc w:val="center"/>
              <w:rPr>
                <w:color w:val="auto"/>
                <w:kern w:val="0"/>
                <w:sz w:val="22"/>
              </w:rPr>
            </w:pPr>
            <w:r>
              <w:rPr>
                <w:rFonts w:hint="eastAsia"/>
                <w:color w:val="auto"/>
                <w:kern w:val="0"/>
                <w:sz w:val="22"/>
              </w:rPr>
              <w:t>智慧一体机</w:t>
            </w:r>
          </w:p>
        </w:tc>
        <w:tc>
          <w:tcPr>
            <w:tcW w:w="558" w:type="dxa"/>
            <w:vAlign w:val="center"/>
          </w:tcPr>
          <w:p>
            <w:pPr>
              <w:widowControl/>
              <w:jc w:val="center"/>
              <w:rPr>
                <w:color w:val="auto"/>
                <w:kern w:val="0"/>
                <w:sz w:val="22"/>
              </w:rPr>
            </w:pPr>
            <w:r>
              <w:rPr>
                <w:color w:val="auto"/>
                <w:kern w:val="0"/>
                <w:sz w:val="22"/>
              </w:rPr>
              <w:t>35</w:t>
            </w:r>
          </w:p>
        </w:tc>
        <w:tc>
          <w:tcPr>
            <w:tcW w:w="567" w:type="dxa"/>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7087" w:type="dxa"/>
            <w:vAlign w:val="center"/>
          </w:tcPr>
          <w:p>
            <w:pPr>
              <w:widowControl/>
              <w:jc w:val="left"/>
              <w:textAlignment w:val="center"/>
              <w:rPr>
                <w:rFonts w:ascii="宋体" w:hAnsi="宋体" w:cs="宋体"/>
                <w:b/>
                <w:bCs/>
                <w:color w:val="auto"/>
                <w:kern w:val="0"/>
                <w:sz w:val="22"/>
                <w:lang w:bidi="ar"/>
              </w:rPr>
            </w:pPr>
            <w:r>
              <w:rPr>
                <w:rFonts w:hint="eastAsia"/>
                <w:b/>
                <w:bCs/>
                <w:color w:val="auto"/>
                <w:kern w:val="0"/>
                <w:sz w:val="22"/>
              </w:rPr>
              <w:t>一、智慧一体机大屏：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一）整体设计</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1、整机采用一体设计，外部无任何可见内部功能模块连接线。</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2、整机采用全金属外壳设计，边角采用弧形设计，表面无尖锐边缘或凸起；整机屏幕边缘采用金属圆角包边防护，整机背板采用金属材质。</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3、整机屏幕采用不小于86英寸液晶显示器。</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4、整机采用LED液晶A规屏，显示比例16:9。</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5、屏幕亮度≥500cd/m²，对比度≥6000：1。</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二）整机设计</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1、整机为双系统设计，嵌入式安卓操作系统版本不低于Android11；同时嵌入式Android操作系统下可实现windows系统中常用的教学应用功能，如白板书写、WPS软件使用和网页浏览，安卓系统ram≥2G；rom≥8G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2、前置USB接口支持Android系统、Windows系统读取外接移动存储设备</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3、整机内置扬声器采用针孔发声技术，喇叭采用槽式开口设计。</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4、为保证音视频信号传输方便高效，整机前置 1 路非转接 HDMI 高清输入接口。</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5、前置接口具备翻转盖板，翻转角度≥180°；在有U盘插入时盖板能对U盘进行保护，防止推拉黑板误关对U盘造成损伤；</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6、通过一根线（无需重复连接触摸信号）连接到整机的电脑或手机在投屏的同时即可直接读写整机前置USB接口的移动存储设备数据，连接整机前置USB接口的翻页笔和无线鼠标外接设备可直接使用于外接电脑。</w:t>
            </w:r>
          </w:p>
          <w:p>
            <w:pPr>
              <w:widowControl/>
              <w:jc w:val="left"/>
              <w:textAlignment w:val="center"/>
              <w:rPr>
                <w:rFonts w:ascii="宋体" w:hAnsi="宋体" w:cs="宋体"/>
                <w:color w:val="auto"/>
                <w:kern w:val="0"/>
                <w:sz w:val="22"/>
                <w:lang w:bidi="ar"/>
              </w:rPr>
            </w:pPr>
            <w:r>
              <w:rPr>
                <w:rFonts w:hint="eastAsia" w:ascii="宋体" w:hAnsi="宋体" w:cs="宋体"/>
                <w:color w:val="auto"/>
                <w:szCs w:val="21"/>
              </w:rPr>
              <w:t>▲</w:t>
            </w:r>
            <w:r>
              <w:rPr>
                <w:rFonts w:hint="eastAsia" w:ascii="宋体" w:hAnsi="宋体" w:cs="宋体"/>
                <w:color w:val="auto"/>
                <w:kern w:val="0"/>
                <w:sz w:val="22"/>
                <w:lang w:bidi="ar"/>
              </w:rPr>
              <w:t>7、为提升课堂视听体验并确保声场均匀，整机内置的扬声器应具备中高音的音响单元，各音响单元额定功率数值应为一致，扬声器单元≥4个，每个扬声器的额定功率≥15w，总功率≥60w。（提供封面具有CNAS标志的权威检测机构的检测报告复印件加盖单位红色公章）</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8、整机扬声器在100%音量下，可做到1米处声压级≥90db，10米处声压级≥78dB，能够有效保障教室后排学生听觉感受。</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9、触摸最小识别物≤3mm</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10、整机前置按键具备三合一电源按键，同一物理按键完成双系统开机、熄屏、关机操作；</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11、内置无线传屏接收端，无需外接接收部件，无线传屏发射器与整机匹配后即可实现传屏功能，将外部电脑的屏幕画面通过无线方式传输到整机上显示。</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12、整机无需外接无线网卡，在Windows系统下可实现Wi-Fi无线上网连接、AP无线热点发射和BT蓝牙连接功能。在windows系统下接入无线网络，切换到嵌入式Andriod系统下可直接实现无线上网功能，不需手动重复设置。</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13、整机采用硬件低蓝光背光技术，在源头减少有害蓝光波段能量，蓝光占比（有害蓝光415～455nm能量综合）/（整体蓝光400～500能量综合）＜50%，低蓝光保护显示不偏色、不泛黄</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14、整机色域覆盖率（NTSC）≥72%</w:t>
            </w:r>
          </w:p>
          <w:p>
            <w:pPr>
              <w:widowControl/>
              <w:jc w:val="left"/>
              <w:textAlignment w:val="center"/>
              <w:rPr>
                <w:rFonts w:ascii="宋体" w:hAnsi="宋体" w:cs="宋体"/>
                <w:color w:val="auto"/>
                <w:kern w:val="0"/>
                <w:sz w:val="22"/>
                <w:lang w:bidi="ar"/>
              </w:rPr>
            </w:pPr>
            <w:r>
              <w:rPr>
                <w:rFonts w:hint="eastAsia" w:ascii="宋体" w:hAnsi="宋体" w:cs="宋体"/>
                <w:color w:val="auto"/>
                <w:szCs w:val="21"/>
              </w:rPr>
              <w:t>▲</w:t>
            </w:r>
            <w:r>
              <w:rPr>
                <w:rFonts w:hint="eastAsia" w:ascii="宋体" w:hAnsi="宋体" w:cs="宋体"/>
                <w:color w:val="auto"/>
                <w:kern w:val="0"/>
                <w:sz w:val="22"/>
                <w:lang w:bidi="ar"/>
              </w:rPr>
              <w:t>15、一体机支持Windows+安卓双系统下40点触控。（提供封面具有CNAS标志的权威检测机构的检测报告复印件加盖单位红色公章）</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16、为适应未来无线网络发展，无需更换设备，整机支持Wi-Fi 6版本，Wi-Fi制式支持802.11 a/b/g/n/ac/ax，整机内置无线网络模块，PC模块无任何外接或转接天线、网卡可同时实现Wi-Fi无线上网连接和AP无线热点发射。Wi-Fi和AP热点均支持双频2.4G &amp; 5G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三）主要功能</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1、开关机设置：整机本地支持自定义设置开机时间和关机时间，组数不少于5组，无需网络环境即可实现。</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2、在HDMI、Android以及Windows信号源模式下，整机屏幕支持手势下移实现半屏显示，半屏模式不少于4种，半屏显示时可通过点击上方屏幕返回全屏。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3、当整机处于黑暗环境中并无人操作，1分钟后整机将可以自动进入熄屏模式。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4、整机具备智能手势识别功能，在任意信号源通道下均可识别五指上、下、左、右方向手势，支持将各手势滑动方向自定义设置为无操作、熄屏、批注、桌面、半屏模式。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5、整机全通道侧边栏快捷菜单包含的小工具有：批注、截屏、计时、降半屏、放大镜、日历。在Android通道和全部外接通道（HDMI、Type-C），还具备倒数日、节拍器小工具。</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6、支持通道记忆功能，开机默认回到最近一次关机时的显示通道。</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7、当整机处于黑暗环境中并无人操作，一分钟后整机将可以自动进入熄屏模式。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8、嵌入式Android操作系统下，白板支持对已经书写的笔迹和形状的颜色进行更换。</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9、为方便教学，双系统具有智能手势开关黑板背光功能、双系统一键切换、双系统共享USB接口、HDMI输出共享、双系统网络共享。</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10、嵌入式Android操作系统下，互动白板支持不同背景颜色，同时提供学科背景，如：五线谱、信纸、田字格、英文格、篮球和足球场地平面图。</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11、无PC状态下，嵌入式系统内置互动白板支持十笔书写及手掌擦除（手掌擦除面积根据手掌与屏幕的接触面大小自动调整），白板书写内容可以PDF、IWB和SVG格式导出。支持10种以上平面图形工具。支持8种以上立体图形工具。</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12、整机全通道侧边栏支持在任意通道、页面使用批注小工具进行批注讲解，可切换书写笔颜色、截屏保存批注内容、快速清屏，可根据手与屏幕的接触面积自动调整板擦工具的大小。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13、整机全通道侧边栏支持自行选择所需截取屏幕范围，点击截屏即可成功截取屏幕，并自动保存。</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14、整机全通道侧边栏提供秒表正计时，点击开始计时便自动开始，并实时显示时间；支持倒计时，输入某特定时间值，可精确到秒，点击开始即进入倒计时。</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15、整机全通道侧边栏支持快速将设备屏幕降低为半屏幕状态，点击上半屏幕可以快速返回全屏状态。</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16、整机全通道侧边栏支持放大任意区域内容；并可支持对未选中区域关灯处理，实现聚光灯效果。</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17、整机全通道侧边栏快捷菜单中应用软件可进行实时切换并打开，无需退出当前全屏模式的应用软件再选择更换。</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18、整机安卓和全部外接通道（HDMI、type-c）下侧边栏支持设置任意倒数日。</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19、整机处于非内置PC通道下，支持调用屏幕快捷键一键回到PC通道。</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20、独立扩声系统，可实现单独听功能，在关闭显示部分的待机情况下仍可将接入的多媒体信号混音后通过设备内置音箱播出实现扩声功能，轻触显示部分可点亮屏幕</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21、在任意通道下支持五指熄屏，并且可根据需要关闭或打开，窗口下移支持多种下移方式，涵盖左下角、右下角，底部居中等多种下移模式。下移同时可做到整屏缩小，画面完整、无任何画面裁剪且触控正常</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22、Android系统下，互动白板支持对已经书写的笔迹和形状的颜色进行更换。</w:t>
            </w:r>
          </w:p>
          <w:p>
            <w:pPr>
              <w:widowControl/>
              <w:jc w:val="left"/>
              <w:textAlignment w:val="center"/>
              <w:rPr>
                <w:b/>
                <w:bCs/>
                <w:color w:val="auto"/>
                <w:sz w:val="22"/>
              </w:rPr>
            </w:pPr>
            <w:r>
              <w:rPr>
                <w:rFonts w:hint="eastAsia"/>
                <w:b/>
                <w:bCs/>
                <w:color w:val="auto"/>
                <w:sz w:val="22"/>
              </w:rPr>
              <w:t>二、OPS电脑：</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一）功能要求</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1、支持批量或逐个对选定的整机设备进行整体远程关机/重启、设置定时开关机任务，也支持单独对内置电脑进行远程开机/关机/重启操作</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2、支持批量或逐个对选定的整机设备进行声音模式进行调整，声音模式包含标准、会议、教室、电影院模式，支持远程调整设备音量；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3、支持批量或逐个对选定的整机设备进行显示模式进行调整，显示模式包含标准、明亮、鲜艳、柔和；</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4、平台需支持对多厂家的教学平板内置电脑设备进行集中管控，并提供对Windows设备的相关控制功能，包括：Windows设备关机/重启、文件下发、软件下发、信息发布、实时画面抓图、远程开启关闭冰点还原等；</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5、支持远程对整机Android集控软件、内置电脑的Windows集控软件进行升级操作，支持服务端远程自动完成对集控软件进行升级；</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6、支持自由切换到账号密码登录、微信扫码登录，支持软件客户端统一登录，在一个产品上登录，其他产品均完成登录。</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 xml:space="preserve">7、支持查看Windows和安卓的CPU使用率、内存使用率，设备的连续使用时长、温度，管理平台实时显示教育平板设备异常的告警提示；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 xml:space="preserve">8、为学校提供专属学校代码，可支持教学平板设备在公网环境下，输入学校代码、集控密码激活冰点还原软件，可在软件上开启或关闭指定教学平板设备的磁盘分区进行数据还原保护；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9、支持在平台远程下发考试计划，支持平台设置考试计划及考试详细安排，含各科目的考场教室、考试日期和时间、监考老师等信息，支持选择指定教学平板设备进行计划下发，到达考试时间，教学平板设备显示出考试信息；</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 xml:space="preserve">☆10、支持在Android、ios移动设备上进行设备管控，支持查看设备统计、活跃设备数、在线设备数、异常设备数，支持按设备场地和设备分组两种维度筛选设备，可按设备在线状态筛选设备，可查看设备的详细信息，如设备状态、所在位置、CPU使用率、内存使用率、持续运行时长、设备温度，支持对单个或批量设备进行远程开关机、重启，解屏/锁屏，亮屏/息屏操作，可接受查看设备异常告警信息，查看异常设备及告警原因，含使用时长过长、设备温度过高、CPU占用过高等问题；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 xml:space="preserve">11、支持设置定时锁屏/解锁功能，可设置锁屏/解锁时间规则，需支持设置执行日期范围，在执行时间范围内设置重复策略，支持按照每天重复、单独针对工作日和周末进行设置或自定义重复任务，通过在时间轴上点击选择执行锁屏或解锁的时间的，支持对时间点进行修改，下发设备后到达时间点自动解锁屏；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二）硬件要求：</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1、处理器：≥Intel i5十一代 性能相当或以上；内存：≥8G；硬盘：256G 或以上SSD固态硬盘；内置网卡：10M/100M/1000M。</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2、采用模块化电脑方案，抽拉内置式，实现无单独接线的插拔，低噪音热管传导散热设计。</w:t>
            </w:r>
          </w:p>
          <w:p>
            <w:pPr>
              <w:widowControl/>
              <w:jc w:val="left"/>
              <w:textAlignment w:val="center"/>
              <w:rPr>
                <w:b/>
                <w:bCs/>
                <w:color w:val="auto"/>
                <w:sz w:val="22"/>
              </w:rPr>
            </w:pPr>
            <w:r>
              <w:rPr>
                <w:rFonts w:hint="eastAsia" w:ascii="宋体" w:hAnsi="宋体" w:cs="宋体"/>
                <w:color w:val="auto"/>
                <w:kern w:val="0"/>
                <w:sz w:val="22"/>
                <w:lang w:bidi="ar"/>
              </w:rPr>
              <w:t>3、具有独立非外扩展的电脑USB接口：电脑上至少具备4个USB3.0 接口。具有独立非外扩展的视频输出接口：≥1路HDMI，≥1路DP接口，支持≥1路音频输入输出。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5" w:type="dxa"/>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2</w:t>
            </w:r>
          </w:p>
        </w:tc>
        <w:tc>
          <w:tcPr>
            <w:tcW w:w="1184" w:type="dxa"/>
            <w:vAlign w:val="center"/>
          </w:tcPr>
          <w:p>
            <w:pPr>
              <w:widowControl/>
              <w:jc w:val="center"/>
              <w:rPr>
                <w:color w:val="auto"/>
                <w:kern w:val="0"/>
                <w:sz w:val="22"/>
              </w:rPr>
            </w:pPr>
            <w:r>
              <w:rPr>
                <w:rFonts w:hint="eastAsia"/>
                <w:color w:val="auto"/>
                <w:kern w:val="0"/>
                <w:sz w:val="22"/>
              </w:rPr>
              <w:t>教学软件</w:t>
            </w:r>
          </w:p>
        </w:tc>
        <w:tc>
          <w:tcPr>
            <w:tcW w:w="558" w:type="dxa"/>
            <w:vAlign w:val="center"/>
          </w:tcPr>
          <w:p>
            <w:pPr>
              <w:widowControl/>
              <w:jc w:val="center"/>
              <w:rPr>
                <w:color w:val="auto"/>
                <w:kern w:val="0"/>
                <w:sz w:val="22"/>
              </w:rPr>
            </w:pPr>
            <w:r>
              <w:rPr>
                <w:rFonts w:hint="eastAsia"/>
                <w:color w:val="auto"/>
                <w:kern w:val="0"/>
                <w:sz w:val="22"/>
              </w:rPr>
              <w:t>35</w:t>
            </w:r>
          </w:p>
        </w:tc>
        <w:tc>
          <w:tcPr>
            <w:tcW w:w="567" w:type="dxa"/>
            <w:vAlign w:val="center"/>
          </w:tcPr>
          <w:p>
            <w:pPr>
              <w:jc w:val="center"/>
              <w:rPr>
                <w:color w:val="auto"/>
                <w:sz w:val="22"/>
              </w:rPr>
            </w:pPr>
            <w:r>
              <w:rPr>
                <w:rFonts w:hint="eastAsia"/>
                <w:color w:val="auto"/>
                <w:sz w:val="22"/>
              </w:rPr>
              <w:t>套</w:t>
            </w:r>
          </w:p>
        </w:tc>
        <w:tc>
          <w:tcPr>
            <w:tcW w:w="7087" w:type="dxa"/>
            <w:vAlign w:val="center"/>
          </w:tcPr>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1、教学软件为备授课一体客户端，同时具备备课模式和授课模式，在软件安装完成后可自有切换备课和授课模式，方便在不同场景下使用。</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2、教学软件可支持教师自主注册账号，可使用账号密码登录或使用微信扫码绑定账号完成登录，支持解绑账号与微信号关系进行重新绑定。</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☆3、支持提供PPT 、WPS插件，同时支持原生 Office、WPS 环境下备课，教师可将课件内容一键上传更新至教师云空间，在授课时直接下载使用云端资源。</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4、教学软件需为教师提供免费的20G云存储空间，无需完成额外任务即可获取，教师容量达到使用上限时可支持最大扩展到200G，教师可在个人网盘中上传存储教学资源，资源格式包含：ppt、word、pdf、图片、音视频、zip；支持拖动本地课件素材至网盘区域实现资源上传，支持移动调整文件及文件夹的层级，支持对文件进行重命名、删除操作。</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5、支持提供按学段学科、教材版本、册别、章节提供优质课件资源，可支持在线预览课件资源，支持将优质课件一键下载插入到PPT课件中，并进行修改。</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6、支持提供按学段学科、教材版本、册别、章节或学段学科、知识点提供优质试题资源，可将试题资源一键插入PPT课件中，支持在授课过程中将题干和答案解析进行分步展示，可支持放大、缩小试题内容。</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7、支持提供汉字教学资源，将汉字一键插入到PPT课件中，可预览播放汉字教学内容，支持在PPT课件中查看拼音并对拼音进行点播，支持分步或连续步骤查看汉字笔顺，支持查看汉字的释义、组词内容、笔画数、偏旁等内容。</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8、支持提供古诗词教学资源，按教材册别、作者朝代筛选查找古诗词内容，支持将古诗词一键插入到PPT课件中，并在授课过程中打开PPT查看古诗词原文、背景、作者、释义、赏析等内容，提供古诗词原文朗读音频。</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9、同时提供方便数学教学使用的绘图工具：数学画板、动态课件，提供丰富的资源内容，方便教师一键调用，支持将线下已有的动态课件资源一键导入到PPT中，打开PPT即可动态展示数学画板相应资源方便进行课堂调用。</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10、支持教师快速制作化学方程式，并将化学方程式一键插入到当前正在制作的PPT中，软件预设初高中常用化学方程式，支持模糊匹配，方便快速选择匹配的化学方程式并一键插入到PPT中，插入PPT中可支持再次编辑。</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11、提供物理化学教学所用的实验器材素材，支持选择多张素材一键插入到PPT中；</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12、提供英语26个英文字母卡片素材，素材包含26个英文字在四线三格中的大小写、笔顺、含有该字母的样例单词及示意图，支持多选素材一键插入到PPT中。</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13、支持第三方网页资源导入，提供19个学科常用网站推荐，支持教师快捷进入常用教学网站，支持教师检索到的相关教学内容一键插入PPT，在授课过程中网页资源可直接播放使用，支持网页中音视频内容直接播放。支持教师自定义收藏网页，并支持对网页的名称进行编辑，可通过收藏网页栏点击跳转至相应网站。</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14、支持不少于6种形式的互动游戏，每种互动游戏支持多种模板供教师选择，支持教师自定义背景，直接选择并输入相应内容即可生成互动游戏，支持一键插入课件 PPT，并在PPT中进行动画互动；互动游戏可独立保存至教师个人网盘，教师随时调用已制作好的游戏。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15、支持基于PPT的思维导图，至少支持2种及以上的主题模板，并支持修改背景颜色、字体格式、字体大小及字号，并支持在思维导图中插入多媒体资源，支持一键插入PPT课件，并可在授课过程中打开PPT进行逐级或逐个的展示播放，支持在播放中移动思维导图，支持展开收起思维导图节点，支持放大缩小思维导图。</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16、教学软件支持本地打开或在线下载个人网盘资源进行教学课件播放，实现PPT的原生态播放；支持PPT文档手势识别（多指放大、滑动翻页、缩略图），播放过程中可实现自由批注与笔迹内容同步保存。</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17、支持将校本教材教辅资源按学科、年级、册别、出版社条件进行归类，支持教师打开电子教材教辅进行授课，支持切换单页和双页模式，支持点击目录快速跳转到相应页码，授课过程中支持对教材教辅内容进行批注，批注跟随资源内容。</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18、支持白板教学，提供个性化主题模板（拼音田字格、田字格、米字格、四线格、五线谱、黑板、白板、灰板）；支持在白板任意位置进行原笔迹书写、自由批注、擦除、拖动功能，支持手势按压擦除笔迹。</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19、支持不少于 10 点同时书写，满足多人同时书写；提供不少于3种笔型，自带笔锋，支持自由选择笔颜色和粗细；支持手势擦除；支持任意教学环境下（白板讲解、PPT讲解、视频播放等）全屏原笔迹书写、标注功能，笔迹需跟随页面切换，提供至少3种画笔类型，每种画笔支持四种粗细及自定义颜色，笔迹流畅并自带笔锋。</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20、支持移动终端一键扫码连接大屏，实现投屏授课功能，支持教师利用手机移动设备在教室任意位置对智能交互一体机上的 PPT 课件进行翻页控制，支持拍照上传，支持将移动端照片实时同步至大屏。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21、提供几何图形教学工具，预设线段、虚线、角、三角形、矩形、平行四边形、题型、圆等多种样式几何图形，可快速在白板上进行几何图形绘制，可针对几何图形进行点标记，可快速调整几何图形，包括等比放大缩小、调整顶点、展示角度、更改图形边的颜色和粗细，针对封闭面进行颜色填空，可框选多个或一个几何图形快捷复制图形。</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22、提供尺规工具，包含直尺、三角尺、圆规，可模拟现实场景在白板上快捷绘制线段、图形，显示出绘制长度刻度、角度等参数，支持对尺规工具放大缩小及旋转。</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23、支持立体图形功能，支持针对立方体进行360°旋转，支持对立方体面进行填充，支持选择多种不同展开样式针对立方体进行展开效果，展开后可快速复原。</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☆24、支持插入音频、视频，并支持在PPT中对音频、视频进行打点，对打点内容进行重命名，支持在PPT播放状态下快速点击标记点，自动跳转至标记点。</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25、支持英文单词、短语手写识别，展示出打印体识别内容，支持播放单词读音、查看单词音标、释义等内容，可通过跳转至三方平台查看完整的单词例句等信息，支持将单词卡片一键插入到白板中并对单词卡片进行样式上无损放大缩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26、支持进行课堂实录的功能，教师可在使用电子课本、PPT课件、电子白板、图片、音视频、第三方教学应用时进行课堂录制，录制过程中可随时暂停、结束，可以收起录制按钮不影响授课画面，也可以根据教师的需要选择视频画质和音频来源；录制结束后生成MP4格式视频文件，一键保存到本地和网盘。</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27、支持聚焦功能，聚焦框可选择需要重点查看的区域，对框选区域进行放大、关灯、全屏；框选区域可直接插入白板、对比讲解、可实现不少于4张图片的同屏讲解，支持选择本地图片加入对比讲解，支持针对单张图片进行全屏、取消全屏。支持在对比讲解过程中对图片进行批注，批注内容跟随图片放大缩小，支持擦除批注，支持对图片进行旋转、删除操作。</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28、支持任何界面一键返回桌面，支持自由切换课件、桌面、白板及电子教材内容。</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29、支持通过微信拍照。使用微信扫码可拍照上传。支持现场拍照和从图库调取图片讲解，一次上传50张照片，上传至教学软件相册，支持一次性从教学软件相册中选择10张图片显示在白板上，实现显示在白板软件上的图片互不叠加；支持对图片进行放大、缩小、旋转、全屏放大操作，支持对展现内容原笔迹手写批注。支持对图片进行全屏展示，并在全屏状态下对图片进行批注，关闭全屏后保留批注笔迹，再次全屏后支持再次对批注进行调整，支持在全屏模式下切换到下一张图片。</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30、需支持保存板书功能，支持将板书上画笔内容、几何图形、立体图形等元素内容保存至云白板，只要教师在其他设备上登录账号即可快速加载打开板书内容，该板书内容非图片格式，需支持在板书基础上对任一元素进行二次编辑调整，彻底还原板书，板书内容支持重命名，需支持按照日期顺序进行排布。</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☆31、需支持批量选择白板板书生成图片保存至本地，至多可批量保存20张板书图片，需支持通过微信扫码方式快速获取保存板书图片用以分享传播</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32、提供仿真实验不少于122个，静态三维的实验器材介绍不少于135个，教学课件资源不少于102个，仿真实验资源需具备教学、练习、考试三种模式，实验需提供教学课程内容，显示关键操作步骤和引导，实验资源需符合教学考试大纲要求，仿真实验具备可操作性，可根据用户实际操作显示正确或错误提示，支持实验过程中三维旋转切换视角，可快速恢复默认视图，支持锁定视图，实验过程中可在软件中填写实验数据用以完善实验报告。</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33、支持高拍仪功能，无需单独安装高拍仪软件，即可打开高拍仪画面，支持对高拍仪画面进行手势旋转、放大、缩小功能，支持修改高拍仪画面分辨率，支持在有多个摄像头画面设备上切换不同的摄像头画面，支持拍照并切换不同照片进行讲解，支持对照片进行左右90°旋转、放大缩小，支持快捷返回高拍仪实时画面。</w:t>
            </w:r>
          </w:p>
          <w:p>
            <w:pPr>
              <w:widowControl/>
              <w:jc w:val="left"/>
              <w:textAlignment w:val="center"/>
              <w:rPr>
                <w:rFonts w:ascii="宋体" w:hAnsi="宋体" w:cs="宋体"/>
                <w:color w:val="auto"/>
                <w:sz w:val="22"/>
              </w:rPr>
            </w:pPr>
            <w:r>
              <w:rPr>
                <w:rFonts w:hint="eastAsia" w:ascii="宋体" w:hAnsi="宋体" w:cs="宋体"/>
                <w:color w:val="auto"/>
                <w:kern w:val="0"/>
                <w:sz w:val="22"/>
                <w:lang w:bidi="ar"/>
              </w:rPr>
              <w:t>34、为打造良好的软件运行环境，支持对当前设备的office版本及状态、网络进行检测，返回检测结果。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5" w:type="dxa"/>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3</w:t>
            </w:r>
          </w:p>
        </w:tc>
        <w:tc>
          <w:tcPr>
            <w:tcW w:w="1184" w:type="dxa"/>
            <w:vAlign w:val="center"/>
          </w:tcPr>
          <w:p>
            <w:pPr>
              <w:jc w:val="center"/>
              <w:rPr>
                <w:color w:val="auto"/>
                <w:sz w:val="22"/>
              </w:rPr>
            </w:pPr>
            <w:r>
              <w:rPr>
                <w:rFonts w:hint="eastAsia"/>
                <w:color w:val="auto"/>
                <w:sz w:val="22"/>
              </w:rPr>
              <w:t>视频展台</w:t>
            </w:r>
          </w:p>
        </w:tc>
        <w:tc>
          <w:tcPr>
            <w:tcW w:w="558" w:type="dxa"/>
            <w:vAlign w:val="center"/>
          </w:tcPr>
          <w:p>
            <w:pPr>
              <w:jc w:val="center"/>
              <w:rPr>
                <w:color w:val="auto"/>
                <w:sz w:val="22"/>
              </w:rPr>
            </w:pPr>
            <w:r>
              <w:rPr>
                <w:rFonts w:hint="eastAsia"/>
                <w:color w:val="auto"/>
                <w:sz w:val="22"/>
              </w:rPr>
              <w:t>35</w:t>
            </w:r>
          </w:p>
        </w:tc>
        <w:tc>
          <w:tcPr>
            <w:tcW w:w="567" w:type="dxa"/>
            <w:vAlign w:val="center"/>
          </w:tcPr>
          <w:p>
            <w:pPr>
              <w:jc w:val="center"/>
              <w:rPr>
                <w:color w:val="auto"/>
                <w:sz w:val="22"/>
              </w:rPr>
            </w:pPr>
            <w:r>
              <w:rPr>
                <w:rFonts w:hint="eastAsia"/>
                <w:color w:val="auto"/>
                <w:sz w:val="22"/>
              </w:rPr>
              <w:t>台</w:t>
            </w:r>
          </w:p>
        </w:tc>
        <w:tc>
          <w:tcPr>
            <w:tcW w:w="7087" w:type="dxa"/>
            <w:vAlign w:val="center"/>
          </w:tcPr>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1.设备应采用壁挂式安装方式，壁挂箱体采用铝合金外壳，美观耐用，四周无锐角无利边设计。</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2.设备具有折叠开合式托板，托板展开后可调节为A3或A4面积。</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3.采用 USB 高速接口，单根 USB 线实现供电、高清数据传输；</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4.USB线缆支持左、右、底部出现，适应不同位置安装需求；</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5.设备应配有不少于10颗补光灯，支持三档调节触摸开关，补光灯色温不小于5000K。</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6.具备全向MIC，可录制10米以内的声音。</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7.具备不少于2个USB-Type C接口，支持即插即用。</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8.支持不少于6个功能按键，分别为补光灯调节、A3/A4切换、放大、缩小、拍照、逆时针旋转90°。</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9.具备设备工作指示灯，当音视频取流时指示灯常亮，音视频不取流时指示灯灭。</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10.支持抬杆自动出图，在抬起摇臂时自动显示视频画面。</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☆11.支持A3/A4自动切换：在开盖状态下，根据展台的拓展板是否打开，自动切换匹配A3/A4大小的视频画面分辨率。</w:t>
            </w:r>
          </w:p>
          <w:p>
            <w:pPr>
              <w:widowControl/>
              <w:jc w:val="left"/>
              <w:textAlignment w:val="center"/>
              <w:rPr>
                <w:rFonts w:ascii="宋体" w:hAnsi="宋体" w:cs="宋体"/>
                <w:color w:val="auto"/>
                <w:sz w:val="22"/>
              </w:rPr>
            </w:pPr>
            <w:r>
              <w:rPr>
                <w:rFonts w:hint="eastAsia" w:ascii="宋体" w:hAnsi="宋体" w:cs="宋体"/>
                <w:color w:val="auto"/>
                <w:kern w:val="0"/>
                <w:sz w:val="22"/>
                <w:lang w:bidi="ar"/>
              </w:rPr>
              <w:t>12、整机采用高清摄像头设计，不小于800万像素定焦镜头。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75" w:type="dxa"/>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4</w:t>
            </w:r>
          </w:p>
        </w:tc>
        <w:tc>
          <w:tcPr>
            <w:tcW w:w="1184" w:type="dxa"/>
            <w:vAlign w:val="center"/>
          </w:tcPr>
          <w:p>
            <w:pPr>
              <w:jc w:val="center"/>
              <w:rPr>
                <w:color w:val="auto"/>
                <w:sz w:val="22"/>
              </w:rPr>
            </w:pPr>
            <w:r>
              <w:rPr>
                <w:rFonts w:hint="eastAsia"/>
                <w:color w:val="auto"/>
                <w:sz w:val="22"/>
              </w:rPr>
              <w:t>2.4G话筒</w:t>
            </w:r>
          </w:p>
        </w:tc>
        <w:tc>
          <w:tcPr>
            <w:tcW w:w="558" w:type="dxa"/>
            <w:vAlign w:val="center"/>
          </w:tcPr>
          <w:p>
            <w:pPr>
              <w:jc w:val="center"/>
              <w:rPr>
                <w:color w:val="auto"/>
                <w:sz w:val="22"/>
              </w:rPr>
            </w:pPr>
            <w:r>
              <w:rPr>
                <w:rFonts w:hint="eastAsia"/>
                <w:color w:val="auto"/>
                <w:sz w:val="22"/>
              </w:rPr>
              <w:t>35</w:t>
            </w:r>
          </w:p>
        </w:tc>
        <w:tc>
          <w:tcPr>
            <w:tcW w:w="567" w:type="dxa"/>
            <w:vAlign w:val="center"/>
          </w:tcPr>
          <w:p>
            <w:pPr>
              <w:jc w:val="center"/>
              <w:rPr>
                <w:color w:val="auto"/>
                <w:sz w:val="22"/>
              </w:rPr>
            </w:pPr>
            <w:r>
              <w:rPr>
                <w:rFonts w:hint="eastAsia"/>
                <w:color w:val="auto"/>
                <w:sz w:val="22"/>
              </w:rPr>
              <w:t>台</w:t>
            </w:r>
          </w:p>
        </w:tc>
        <w:tc>
          <w:tcPr>
            <w:tcW w:w="7087" w:type="dxa"/>
            <w:vAlign w:val="center"/>
          </w:tcPr>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1.麦克风发射功率：&gt;10dBm，使用距离≥20米；</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2.具有彩色液晶屏显示，可全面显示各种工作信息，包括：信号强度，电量，音量，工作频道，对频方式，PPT连接状态</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3.采用近距离对码，远距离使用的方式，对码距离≥6米，支持≥7档可调节对频距离；</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4.具有多种对频模式：2.4G对频，2.4G锁频，PPT对频，满足不同的应用场景；</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5.具有记忆功能；支持一键静音功能；</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6.内置≥500mA锂电池，持续续航时间≥8h，支持Type C接口充电；</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7.采用低能耗设计，无信号输入时60分种内自动关机；</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8.内置高性能咪头，带有通用3.5外接话筒接口；</w:t>
            </w:r>
          </w:p>
          <w:p>
            <w:pPr>
              <w:widowControl/>
              <w:jc w:val="left"/>
              <w:textAlignment w:val="center"/>
              <w:rPr>
                <w:rFonts w:ascii="宋体" w:hAnsi="宋体" w:cs="宋体"/>
                <w:color w:val="auto"/>
                <w:sz w:val="22"/>
              </w:rPr>
            </w:pPr>
            <w:r>
              <w:rPr>
                <w:rFonts w:hint="eastAsia" w:ascii="宋体" w:hAnsi="宋体" w:cs="宋体"/>
                <w:color w:val="auto"/>
                <w:kern w:val="0"/>
                <w:sz w:val="22"/>
                <w:lang w:bidi="ar"/>
              </w:rPr>
              <w:t>9.内置电子教鞭功能；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75" w:type="dxa"/>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5</w:t>
            </w:r>
          </w:p>
        </w:tc>
        <w:tc>
          <w:tcPr>
            <w:tcW w:w="1184" w:type="dxa"/>
            <w:vAlign w:val="center"/>
          </w:tcPr>
          <w:p>
            <w:pPr>
              <w:jc w:val="center"/>
              <w:rPr>
                <w:color w:val="auto"/>
                <w:sz w:val="22"/>
              </w:rPr>
            </w:pPr>
            <w:r>
              <w:rPr>
                <w:rFonts w:hint="eastAsia"/>
                <w:color w:val="auto"/>
                <w:sz w:val="22"/>
              </w:rPr>
              <w:t>有源音箱</w:t>
            </w:r>
          </w:p>
        </w:tc>
        <w:tc>
          <w:tcPr>
            <w:tcW w:w="558" w:type="dxa"/>
            <w:vAlign w:val="center"/>
          </w:tcPr>
          <w:p>
            <w:pPr>
              <w:jc w:val="center"/>
              <w:rPr>
                <w:color w:val="auto"/>
                <w:sz w:val="22"/>
              </w:rPr>
            </w:pPr>
            <w:r>
              <w:rPr>
                <w:rFonts w:hint="eastAsia"/>
                <w:color w:val="auto"/>
                <w:sz w:val="22"/>
              </w:rPr>
              <w:t>35</w:t>
            </w:r>
          </w:p>
        </w:tc>
        <w:tc>
          <w:tcPr>
            <w:tcW w:w="567" w:type="dxa"/>
            <w:vAlign w:val="center"/>
          </w:tcPr>
          <w:p>
            <w:pPr>
              <w:jc w:val="center"/>
              <w:rPr>
                <w:color w:val="auto"/>
                <w:sz w:val="22"/>
              </w:rPr>
            </w:pPr>
            <w:r>
              <w:rPr>
                <w:rFonts w:hint="eastAsia"/>
                <w:color w:val="auto"/>
                <w:sz w:val="22"/>
              </w:rPr>
              <w:t>台</w:t>
            </w:r>
          </w:p>
        </w:tc>
        <w:tc>
          <w:tcPr>
            <w:tcW w:w="7087" w:type="dxa"/>
            <w:vAlign w:val="center"/>
          </w:tcPr>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1.多功能有源音箱，可实现本地扩声和多音频播放；</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2.内置2.4G无线麦克风接收模块，标配2.4G无线手持麦克风；</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3.不少于一路立体声输入、一路话筒输入、一路定压广播输入；</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4.支持对话筒、音乐和线路音量、音乐高低音进行调节；</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5.额定功率≥2×25W；</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6.额定阻抗：8Ω；</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7.接收频率：Sub 1GHz；</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8.接收灵敏度≥82dB；</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9.频率响应：116Hz-17kHz；</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10.驱动器≥4.5"全频×1+2.5"×1高音；</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11.灵敏度≥96dB/1W/1M；</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12.信噪比≥89dB；</w:t>
            </w:r>
          </w:p>
          <w:p>
            <w:pPr>
              <w:widowControl/>
              <w:jc w:val="left"/>
              <w:textAlignment w:val="center"/>
              <w:rPr>
                <w:rFonts w:ascii="宋体" w:hAnsi="宋体" w:cs="宋体"/>
                <w:color w:val="auto"/>
                <w:sz w:val="22"/>
              </w:rPr>
            </w:pPr>
            <w:r>
              <w:rPr>
                <w:rFonts w:hint="eastAsia" w:ascii="宋体" w:hAnsi="宋体" w:cs="宋体"/>
                <w:color w:val="auto"/>
                <w:kern w:val="0"/>
                <w:sz w:val="22"/>
                <w:lang w:bidi="ar"/>
              </w:rPr>
              <w:t>13.最大声压≥115dB；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675" w:type="dxa"/>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6</w:t>
            </w:r>
          </w:p>
        </w:tc>
        <w:tc>
          <w:tcPr>
            <w:tcW w:w="1184" w:type="dxa"/>
            <w:vAlign w:val="center"/>
          </w:tcPr>
          <w:p>
            <w:pPr>
              <w:jc w:val="center"/>
              <w:rPr>
                <w:color w:val="auto"/>
                <w:sz w:val="22"/>
              </w:rPr>
            </w:pPr>
            <w:r>
              <w:rPr>
                <w:rFonts w:hint="eastAsia"/>
                <w:color w:val="auto"/>
                <w:sz w:val="22"/>
              </w:rPr>
              <w:t>教师录播机</w:t>
            </w:r>
          </w:p>
        </w:tc>
        <w:tc>
          <w:tcPr>
            <w:tcW w:w="558" w:type="dxa"/>
            <w:vAlign w:val="center"/>
          </w:tcPr>
          <w:p>
            <w:pPr>
              <w:jc w:val="center"/>
              <w:rPr>
                <w:color w:val="auto"/>
                <w:sz w:val="22"/>
              </w:rPr>
            </w:pPr>
            <w:r>
              <w:rPr>
                <w:rFonts w:hint="eastAsia"/>
                <w:color w:val="auto"/>
                <w:sz w:val="22"/>
              </w:rPr>
              <w:t>35</w:t>
            </w:r>
          </w:p>
        </w:tc>
        <w:tc>
          <w:tcPr>
            <w:tcW w:w="567" w:type="dxa"/>
            <w:vAlign w:val="center"/>
          </w:tcPr>
          <w:p>
            <w:pPr>
              <w:jc w:val="center"/>
              <w:rPr>
                <w:color w:val="auto"/>
                <w:sz w:val="22"/>
              </w:rPr>
            </w:pPr>
            <w:r>
              <w:rPr>
                <w:rFonts w:hint="eastAsia"/>
                <w:color w:val="auto"/>
                <w:sz w:val="22"/>
              </w:rPr>
              <w:t>台</w:t>
            </w:r>
          </w:p>
        </w:tc>
        <w:tc>
          <w:tcPr>
            <w:tcW w:w="7087" w:type="dxa"/>
            <w:vAlign w:val="center"/>
          </w:tcPr>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镜头水平视场角≥40°</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一体化集成设计，支持4K超高清，最大可提供4K图像编码输出，同时向下兼容1080p，720p等分辨率。</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内置图像识别跟踪算法，无需物理转动，即可实现平滑自然的跟踪效果，避免干扰课堂教学。</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全景画面支持畸变矫正功能。</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全景画面与特写画面必须采用相同图像传感器和图像处理器，确保两者图像输出亮度、颜色、风格等保持一致。</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整机接口≥1路RJ45。</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支持POE有线网络供电，只需要1路网线，即可实现供电及信号传输，支持同时输出特写和全景等多路画面。</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传感器尺寸≥CMOS 1/1.8英寸。</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传感器有效像素≥800万。</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最低照度：0.005 Lux 。</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电子快门：1/30s ~ 1/10000s。</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支持自动白平衡。</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信噪比≥55dB。</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支持H.264、H.265视频编码格式。</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相机支持音频接入，音频编码格式支持G.711a、AAC、PCM等编码格式</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主码流分辨率：3840x2160,  2560x1440,1920x1080, 1280x720</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17、辅码流分辨率：1920x1080, 1280x720, 1024x576, 960x540, 640x480, 640x360, 320x240, 320x180</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 xml:space="preserve">视频码率：32Kbps ~ 16Mbps。 </w:t>
            </w:r>
          </w:p>
          <w:p>
            <w:pPr>
              <w:widowControl/>
              <w:numPr>
                <w:ilvl w:val="0"/>
                <w:numId w:val="3"/>
              </w:numPr>
              <w:jc w:val="left"/>
              <w:textAlignment w:val="center"/>
              <w:rPr>
                <w:rFonts w:ascii="宋体" w:hAnsi="宋体" w:cs="宋体"/>
                <w:color w:val="auto"/>
                <w:kern w:val="0"/>
                <w:sz w:val="22"/>
                <w:lang w:bidi="ar"/>
              </w:rPr>
            </w:pPr>
            <w:r>
              <w:rPr>
                <w:rFonts w:hint="eastAsia" w:ascii="宋体" w:hAnsi="宋体" w:cs="宋体"/>
                <w:color w:val="auto"/>
                <w:kern w:val="0"/>
                <w:sz w:val="22"/>
                <w:lang w:bidi="ar"/>
              </w:rPr>
              <w:t xml:space="preserve">帧率≥30帧。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☆20、支持对SD卡损坏、无空间功能进行检测，并支持显示存储卡可使用时长，可对存储卡寿命不足发出报警</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21、输入电压：DC12V/PoE（IEEE802.3af）。</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22、为保证相机被其他设备取流的兼容性，设备需支持不低于5路码流的输出</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23、4K教师摄像机内嵌智能跟踪算法，无需单独安装定位跟踪主机及其他任何辅助拍摄设备，即可实现跟踪定位控制功能。</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24、当教师在讲台区域站立授课时，自动切换为教师特写，当教师在讲台区域进行走动时，自动切换到教师全景；</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25、具备抗丢包（≥10%）处理能力</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26、当教师切换多媒体授课时，自动切换为多媒体特写画面；</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27、支持设置摄像机亮度、饱和度、对比度、锐度</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28、图像支持左右镜像、上下翻转、中心模式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29、网络流传输协议： TCP/IP、IPv6、HTTP、 HTTPS、FTP、DDNS、RTSP、PPPoE。</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30、支持导入、导出配置参数</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31、支持RTMP推流，RTSP拉流，地址可设置</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32、支持至少1个矩形导播跟踪区划定</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33、支持不少于2种跟踪模式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34、支持跟踪灵敏度设置，可适配不同的灵敏度要求场景</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35、支持开启/关闭跟踪功能</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36、为保证兼容性，须配置相同品牌64G SD存储卡。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7</w:t>
            </w:r>
          </w:p>
        </w:tc>
        <w:tc>
          <w:tcPr>
            <w:tcW w:w="1184" w:type="dxa"/>
            <w:vAlign w:val="center"/>
          </w:tcPr>
          <w:p>
            <w:pPr>
              <w:jc w:val="center"/>
              <w:rPr>
                <w:color w:val="auto"/>
                <w:sz w:val="22"/>
              </w:rPr>
            </w:pPr>
            <w:r>
              <w:rPr>
                <w:rFonts w:hint="eastAsia"/>
                <w:color w:val="auto"/>
                <w:sz w:val="22"/>
              </w:rPr>
              <w:t>学生录播机</w:t>
            </w:r>
          </w:p>
        </w:tc>
        <w:tc>
          <w:tcPr>
            <w:tcW w:w="558" w:type="dxa"/>
            <w:vAlign w:val="center"/>
          </w:tcPr>
          <w:p>
            <w:pPr>
              <w:jc w:val="center"/>
              <w:rPr>
                <w:color w:val="auto"/>
                <w:sz w:val="22"/>
              </w:rPr>
            </w:pPr>
            <w:r>
              <w:rPr>
                <w:rFonts w:hint="eastAsia"/>
                <w:color w:val="auto"/>
                <w:sz w:val="22"/>
              </w:rPr>
              <w:t>35</w:t>
            </w:r>
          </w:p>
        </w:tc>
        <w:tc>
          <w:tcPr>
            <w:tcW w:w="567" w:type="dxa"/>
            <w:vAlign w:val="center"/>
          </w:tcPr>
          <w:p>
            <w:pPr>
              <w:jc w:val="center"/>
              <w:rPr>
                <w:color w:val="auto"/>
                <w:sz w:val="22"/>
              </w:rPr>
            </w:pPr>
            <w:r>
              <w:rPr>
                <w:rFonts w:hint="eastAsia"/>
                <w:color w:val="auto"/>
                <w:sz w:val="22"/>
              </w:rPr>
              <w:t>台</w:t>
            </w:r>
          </w:p>
        </w:tc>
        <w:tc>
          <w:tcPr>
            <w:tcW w:w="7087" w:type="dxa"/>
            <w:vAlign w:val="center"/>
          </w:tcPr>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1、镜头水平视场角≥110°</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2、一体化集成设计，支持4K超高清，最大可提供4K图像编码输出，同时向下兼容1080p，720p等分辨率。</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3、内置图像识别跟踪算法，无需物理转动，即可实现平滑自然的跟踪效果，避免干扰课堂教学。</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4、全景画面支持畸变矫正功能。</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5、全景画面与特写画面必须采用相同图像传感器和图像处理器，确保两者图像输出亮度、颜色、风格等保持一致。</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6、整机接口≥1路RJ45。</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7、支持POE有线网络供电，只需要1路网线，即可实现供电及信号传输，支持同时输出特写和全景等多路画面。</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8、传感器尺寸≥CMOS 1/1.8英寸。</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9、传感器有效像素≥800万。</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10、最低照度：0.005 Lux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11、电子快门：1/30s ~ 1/10000s。</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12、支持自动白平衡。</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13、信噪比≥55dB。</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14、支持H.264、H.265视频编码格式。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15、相机支持音频接入，音频编码格式支持G.711a、AAC、PCM等编码格式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16、主码流分辨率：3840x2160,  2560x1440,1920x1080, 1280x720</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17、辅码流分辨率：1920x1080, 1280x720, 1024x576, 960x540, 640x480, 640x360, 320x240, 320x180</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 xml:space="preserve">18、视频码率：32Kbps ~ 16Mbps。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 xml:space="preserve">19、帧率≥30帧。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20、支持对SD卡损坏、无空间功能进行检测，并支持显示存储卡可使用时长，可对存储卡寿命不足发出报警</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21、输入电压：DC12V/PoE（IEEE802.3af）。</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22、为保证相机被其他设备取流的兼容性，设备需支持不低于5路码流的输出</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23、4K教师摄像机内嵌智能跟踪算法，无需单独安装定位跟踪主机及其他任何辅助拍摄设备，即可实现跟踪定位控制功能。</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24、当学生起立发言时，切换为发言学生的特写画面</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25、具备抗丢包（≥10%）处理能力</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☆26、支持识别当前学生抬头率检测</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27、支持设置摄像机亮度、饱和度、对比度、锐度</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28、图像支持左右镜像、上下翻转、中心模式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29、网络流传输协议： TCP/IP、IPv6、HTTP、 HTTPS、FTP、DDNS、RTSP、PPPoE。</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30、支持导入、导出配置参数</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31、支持至少1个矩形导播跟踪区划定</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32、支持跟踪灵敏度设置，可适配不同的灵敏度要求场景</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33、支持开启/关闭跟踪功能</w:t>
            </w:r>
          </w:p>
          <w:p>
            <w:pPr>
              <w:widowControl/>
              <w:jc w:val="left"/>
              <w:textAlignment w:val="center"/>
              <w:rPr>
                <w:rFonts w:ascii="宋体" w:hAnsi="宋体" w:cs="宋体"/>
                <w:color w:val="auto"/>
                <w:sz w:val="22"/>
              </w:rPr>
            </w:pPr>
            <w:r>
              <w:rPr>
                <w:rFonts w:hint="eastAsia" w:ascii="宋体" w:hAnsi="宋体" w:cs="宋体"/>
                <w:color w:val="auto"/>
                <w:kern w:val="0"/>
                <w:sz w:val="22"/>
                <w:lang w:bidi="ar"/>
              </w:rPr>
              <w:t>34、为保证兼容性，须配置相同品牌64G SD存储卡。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5" w:type="dxa"/>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8</w:t>
            </w:r>
          </w:p>
        </w:tc>
        <w:tc>
          <w:tcPr>
            <w:tcW w:w="1184" w:type="dxa"/>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阵列拾音器</w:t>
            </w:r>
          </w:p>
        </w:tc>
        <w:tc>
          <w:tcPr>
            <w:tcW w:w="558" w:type="dxa"/>
            <w:vAlign w:val="center"/>
          </w:tcPr>
          <w:p>
            <w:pPr>
              <w:widowControl/>
              <w:jc w:val="center"/>
              <w:rPr>
                <w:color w:val="auto"/>
                <w:kern w:val="0"/>
                <w:sz w:val="22"/>
              </w:rPr>
            </w:pPr>
            <w:r>
              <w:rPr>
                <w:rFonts w:hint="eastAsia"/>
                <w:color w:val="auto"/>
                <w:kern w:val="0"/>
                <w:sz w:val="22"/>
              </w:rPr>
              <w:t>35</w:t>
            </w:r>
          </w:p>
        </w:tc>
        <w:tc>
          <w:tcPr>
            <w:tcW w:w="567" w:type="dxa"/>
            <w:vAlign w:val="center"/>
          </w:tcPr>
          <w:p>
            <w:pPr>
              <w:jc w:val="center"/>
              <w:rPr>
                <w:color w:val="auto"/>
                <w:sz w:val="22"/>
              </w:rPr>
            </w:pPr>
            <w:r>
              <w:rPr>
                <w:rFonts w:hint="eastAsia"/>
                <w:color w:val="auto"/>
                <w:sz w:val="22"/>
              </w:rPr>
              <w:t>台</w:t>
            </w:r>
          </w:p>
        </w:tc>
        <w:tc>
          <w:tcPr>
            <w:tcW w:w="7087" w:type="dxa"/>
            <w:vAlign w:val="center"/>
          </w:tcPr>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 xml:space="preserve">1、拾音器外形尺寸应符合使用说明书要求。非金属外壳表面应无裂纹、褪色及永久性污渍，无明显变形和划痕。金属外壳表面涂覆层不应露出底层金属，并无起泡、腐蚀、划痕、涂层脱落、砂眼和毛刺等。标志应清晰、不易被擦除。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 xml:space="preserve">2、单只拾音器自由场频率响应与典型频率响应的允差应为±3dB，典型频率响应曲线（同一型号拾音器的平均自由场频率响应曲线）应由制造商规定，且满足A 类拾音器典型频率响应曲线应至少覆盖 250Hz～4000Hz 频率范围，频率范围内典型频率响应相对于1kHz 典型频率响应的偏离应不大于10dB。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3、单只拾音器自由场灵敏度级与额定自由场灵敏度级的允差应为±3dB。</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4、对于灵敏度可调的拾音器，单只拾音器自由场灵敏度级调节范围应不小于 10dB。</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 xml:space="preserve">5、单只拾音器输出阻抗与额定阻抗的允差应为±30％。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 xml:space="preserve">6、拾音器额定阻抗宜不大于 100Ω。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7、拾音器等效噪声级（固有噪声引起的等效声压级）应不大于 40dB(A)。</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8、当拾音器参考点承受声压级为84dB、频率分别为 250Hz 及 1kHz 的正弦信号时，其输出电压的总谐波失真应不大于 3％。</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 xml:space="preserve">9、单个拾音器在制造商规定的背景噪声类型及 SNR 条件下的信噪比提高量(SNRI)宜不小于 3dB。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10、除特殊指定外，拾音器额定电压应采用 DC12V、DC24V 或 AC24V、POE 供电。</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 xml:space="preserve">11、使用直流电源供电的拾音器，电源电压在额定值的 75％～125％范围变化时，拾音器应能正常工作，且自由场灵敏度级变化应在±3dB 范围内。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12、使用直流电源供电的拾音器应能承受 1min 的耐极性反接试验，试验后拾音器应能正常工作。</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13、拾音器阻燃应符合 GB 16796-2009 中5.6.3 的规定。</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14、拾音器外壳防护等级应至少符合 GB/T 4208-2017 中 IP20 的要求。</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15、拾音器正常工作时功耗应≤5W。</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16、拾音器应具有状态指示灯，工作正常时白灯亮，工作异常时红灯亮。</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17、拾音器应具有 1 个电源输入接口、1 路音频输出接口、1 路网络接口、1 个 USB 接口和 1 个 RS232 接口。</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☆18、拾音器应采用麦克风阵列结构设计，内置 16 个麦克风单元。</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19、拾音器应具有混响消除功能。</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☆20、应能通过网络对拾音器输出音量、降噪等级、去混响等级、自动增益等级和自动增益速率等音频参数进行设置。</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☆21、应能通过网络对拾音器进行程序升级更新。</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22、应具有恢复出厂设置和重新启动功能， 设备掉电或重新启动后，应能保存掉电前或重启前的配置信息。</w:t>
            </w:r>
          </w:p>
          <w:p>
            <w:pPr>
              <w:widowControl/>
              <w:jc w:val="left"/>
              <w:textAlignment w:val="center"/>
              <w:rPr>
                <w:rFonts w:ascii="宋体" w:hAnsi="宋体" w:cs="宋体"/>
                <w:color w:val="auto"/>
                <w:sz w:val="22"/>
              </w:rPr>
            </w:pPr>
            <w:r>
              <w:rPr>
                <w:rFonts w:hint="eastAsia" w:ascii="宋体" w:hAnsi="宋体" w:cs="宋体"/>
                <w:color w:val="auto"/>
                <w:kern w:val="0"/>
                <w:sz w:val="22"/>
                <w:lang w:bidi="ar"/>
              </w:rPr>
              <w:t>23、应可通过客户端软件搜索摄像机的 IP 地址、MAC 地址等信息，并可设置设备的 IP 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75" w:type="dxa"/>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9</w:t>
            </w:r>
          </w:p>
        </w:tc>
        <w:tc>
          <w:tcPr>
            <w:tcW w:w="1184" w:type="dxa"/>
            <w:vAlign w:val="center"/>
          </w:tcPr>
          <w:p>
            <w:pPr>
              <w:jc w:val="center"/>
              <w:rPr>
                <w:color w:val="auto"/>
                <w:sz w:val="22"/>
              </w:rPr>
            </w:pPr>
            <w:r>
              <w:rPr>
                <w:rFonts w:hint="eastAsia"/>
                <w:color w:val="auto"/>
                <w:sz w:val="22"/>
              </w:rPr>
              <w:t>交换机</w:t>
            </w:r>
          </w:p>
        </w:tc>
        <w:tc>
          <w:tcPr>
            <w:tcW w:w="558" w:type="dxa"/>
            <w:vAlign w:val="center"/>
          </w:tcPr>
          <w:p>
            <w:pPr>
              <w:jc w:val="center"/>
              <w:rPr>
                <w:color w:val="auto"/>
                <w:sz w:val="22"/>
              </w:rPr>
            </w:pPr>
            <w:r>
              <w:rPr>
                <w:rFonts w:hint="eastAsia"/>
                <w:color w:val="auto"/>
                <w:sz w:val="22"/>
              </w:rPr>
              <w:t>35</w:t>
            </w:r>
          </w:p>
        </w:tc>
        <w:tc>
          <w:tcPr>
            <w:tcW w:w="567" w:type="dxa"/>
            <w:vAlign w:val="center"/>
          </w:tcPr>
          <w:p>
            <w:pPr>
              <w:jc w:val="center"/>
              <w:rPr>
                <w:color w:val="auto"/>
                <w:sz w:val="22"/>
              </w:rPr>
            </w:pPr>
            <w:r>
              <w:rPr>
                <w:rFonts w:hint="eastAsia"/>
                <w:color w:val="auto"/>
                <w:sz w:val="22"/>
              </w:rPr>
              <w:t>台</w:t>
            </w:r>
          </w:p>
        </w:tc>
        <w:tc>
          <w:tcPr>
            <w:tcW w:w="7087" w:type="dxa"/>
            <w:vAlign w:val="center"/>
          </w:tcPr>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1、提供 4 个百兆 PoE 电口，1 个百兆网络电口</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2交换容量：1 Gbps</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3包转发率：0.744 Mpps</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4支持IEEE 802.3at/af</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5端口最大供电功率：30 W</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6整机最大供电功率：35 W</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7支持红口保障，端口 1~2</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8支持最远250 m传输，端口 1~4</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9支持6 KV防浪涌（PoE口）</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10支持PoE输出功率管理</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11、坚固式高强度金属外壳</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12、无风扇设计，高可靠性</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13、工作温度：0℃～40℃</w:t>
            </w:r>
          </w:p>
          <w:p>
            <w:pPr>
              <w:widowControl/>
              <w:jc w:val="left"/>
              <w:textAlignment w:val="center"/>
              <w:rPr>
                <w:rFonts w:ascii="宋体" w:hAnsi="宋体" w:cs="宋体"/>
                <w:color w:val="auto"/>
                <w:sz w:val="22"/>
              </w:rPr>
            </w:pPr>
            <w:r>
              <w:rPr>
                <w:rFonts w:hint="eastAsia" w:ascii="宋体" w:hAnsi="宋体" w:cs="宋体"/>
                <w:color w:val="auto"/>
                <w:kern w:val="0"/>
                <w:sz w:val="22"/>
                <w:lang w:bidi="ar"/>
              </w:rPr>
              <w:t>14、安装方式：桌面式可壁挂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5" w:type="dxa"/>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10</w:t>
            </w:r>
          </w:p>
        </w:tc>
        <w:tc>
          <w:tcPr>
            <w:tcW w:w="1184" w:type="dxa"/>
            <w:vAlign w:val="center"/>
          </w:tcPr>
          <w:p>
            <w:pPr>
              <w:jc w:val="center"/>
              <w:rPr>
                <w:color w:val="auto"/>
                <w:sz w:val="22"/>
              </w:rPr>
            </w:pPr>
            <w:r>
              <w:rPr>
                <w:rFonts w:hint="eastAsia"/>
                <w:color w:val="auto"/>
              </w:rPr>
              <w:t>云录播软件</w:t>
            </w:r>
          </w:p>
        </w:tc>
        <w:tc>
          <w:tcPr>
            <w:tcW w:w="558" w:type="dxa"/>
            <w:vAlign w:val="center"/>
          </w:tcPr>
          <w:p>
            <w:pPr>
              <w:jc w:val="center"/>
              <w:rPr>
                <w:color w:val="auto"/>
                <w:sz w:val="22"/>
              </w:rPr>
            </w:pPr>
            <w:r>
              <w:rPr>
                <w:rFonts w:hint="eastAsia"/>
                <w:color w:val="auto"/>
                <w:sz w:val="22"/>
              </w:rPr>
              <w:t>35</w:t>
            </w:r>
          </w:p>
        </w:tc>
        <w:tc>
          <w:tcPr>
            <w:tcW w:w="567" w:type="dxa"/>
            <w:vAlign w:val="center"/>
          </w:tcPr>
          <w:p>
            <w:pPr>
              <w:jc w:val="center"/>
              <w:rPr>
                <w:color w:val="auto"/>
                <w:sz w:val="22"/>
              </w:rPr>
            </w:pPr>
            <w:r>
              <w:rPr>
                <w:rFonts w:hint="eastAsia"/>
                <w:color w:val="auto"/>
                <w:sz w:val="22"/>
              </w:rPr>
              <w:t>路</w:t>
            </w:r>
          </w:p>
        </w:tc>
        <w:tc>
          <w:tcPr>
            <w:tcW w:w="7087" w:type="dxa"/>
            <w:vAlign w:val="center"/>
          </w:tcPr>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一、单校录播</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1、系统采用模块化的架构设计B/S架构，用户可通过浏览器实现直播管理、督导巡课、校园录播课、录播视频管理功能。</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支持管理员根据不同教师的工作需求创建角色，自定义该角色的名称和可使用的功能权限，支持对添加的教职工登录该学校的权限进行启用或禁用控制；</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支持对学校教职工按组织架构进行管理，支持单个录入或批量导入的方式添加教职工，支持同时通过在网页端、APP端分享邀请二维码、邀请链接的方式邀请教职工加入组织，为准确的将教职工邀请进入对应的组织部门，需支持邀请二维码、链接自带部门属性，无需教职工录入信息时选择；</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3、支持用户修改昵称、密码及头像设置等，并可重新绑定用户手机号，同时关联绑定/解绑个人微信号。</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4、支持对平台学制学段进行配置，适用五年制小学及六年制小学，可根据学校实际诉求进行年级名称字段更改；</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5、支持对批量或单个新建班级，支持根据学校的实际需求选择批量生成班级名称的规则，可支持对班级名称进行自定义修改；</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6、支持在对应的班级内添加学生，可支持单个添加或批量导入的方式，可分享对应班级的邀请加入链接或二维码的方式邀请学生加入班级，在创建学生的同时支持配置学生家长信息，方便学生家长注册时自动绑定学生；支持学校管理员一键对学校内班级、学生进行升年级操作；</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7、需支持查看当前平台的存储使用容量及剩余可用容量；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8、支持查看用户登入、登出、修改密码、租户管理等平台操作日志，上述操作可快速定位到具体操作人、操作时间；</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学校管理员和老师可自由发起公网直播活动，举办公开课、校园培训活动。</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9、支持查看进行中、已结束的直播，按照直播名称、教室、时间进行筛选，可通过二维码、直播链接地址形式分享直播，二维码支持选择6种海报模板，可删除直播；支持查看直播数据，包含累计观看人次、人气峰值、直播时长、点赞数、评论数等；支持查看直播汇总数据，包含直播开展次数、累计直播时长、观看人次、评论数、点赞数等；</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10、支持将直播分享至家长小程序，可支持按照年级、班级设定观看权限，指定班级学生可登录家长小程序即可查看在线直播课；</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11、支持用户新建直播活动，活动支持设置是否允许留言评价，需支持设置是否支持直播回放以及设置直播密码；</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12、平台支持用户在线对课堂视频进行评论，支持管理员对用户评论进行信息管理，可选择性删除评论内容，管控评论秩序。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用户可一键生成链接并进行分享，也可通过生成海报形式复制图片，其他用户通过打开链接或者扫码的方式，无需登录即可观看直播视频。支持在直播观看页面生成海报进行分享直播课程和回放，用户可点击链接或者扫码二维码在移动端打开观看。</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13、支持开启直播回放功能，开启后用户可在原有直播的分享链接中查看已结束的直播内容，回顾直播精彩环节。</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支持教师删除过期或无效的直播，删除后原有的直播分享链接将自动失效。</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14、用户可查看校内正在直播授课的教室实时画面；支持至少5个教室画面同屏预览，快速掌握各教室基本情况；用户进入教室详情，可获取该教室当前授课信息、实时的音频、视频；</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支持教师在巡课过程对课堂进行文字、图片点评，并按教师与课程统计巡课评课的历史记录；支持教师使用评价表进行评价，选择学段科学、上课教师、评价表模板后进入评价表详情，支持教师边看视频画面，边进行评价表打分评价，需展示评价结果列表，按照起止日期、学段学科进行评价记录筛选；</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15、管理员可以查看全校所有的录播视频，老师可以查看自己上传或者录播助手上传的视频，需显示视频名称、录播教室、视频时长、视频大小、上传状态、发布状态、上传老师、上传时间，支持将视频发布到校园录播课，也可以下载、删除录播视频；</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16、支持将录播视频资源分享至家长小程序，支持按照年级、班级设定查看权限，指定班级学生可登录家长小程序即可查看录播资源，方便在线学习；</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二、平台基础</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1、系统采用模块化的架构设计B/S架构，用户可通过浏览器实现直播管理、督导巡课、校园录播课、录播视频管理功能。</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支持管理员根据不同教师的工作需求创建角色，自定义该角色的名称和可使用的功能权限，支持对添加的教职工登录该学校的权限进行启用或禁用控制；</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支持对学校教职工按组织架构进行管理，支持单个录入或批量导入的方式添加教职工，支持同时通过在网页端、APP端分享邀请二维码、邀请链接的方式邀请教职工加入组织，为准确的将教职工邀请进入对应的组织部门，需支持邀请二维码、链接自带部门属性，无需教职工录入信息时选择；</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3、支持用户修改昵称、密码及头像设置等，并可重新绑定用户手机号，同时关联绑定/解绑个人微信号。</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4、支持对平台学制学段进行配置，适用五年制小学及六年制小学，可根据学校实际诉求进行年级名称字段更改；</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5、支持对批量或单个新建班级，支持根据学校的实际需求选择批量生成班级名称的规则，可支持对班级名称进行自定义修改；</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6、支持在对应的班级内添加学生，可支持单个添加或批量导入的方式，可分享对应班级的邀请加入链接或二维码的方式邀请学生加入班级，在创建学生的同时支持配置学生家长信息，方便学生家长注册时自动绑定学生；支持学校管理员一键对学校内班级、学生进行升年级操作；</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7、需支持查看当前平台的存储使用容量及剩余可用容量；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8、支持查看用户登入、登出、修改密码、租户管理等平台操作日志，上述操作可快速定位到具体操作人、操作时间；</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9、学校管理员和老师可自由发起公网直播活动，举办公开课、校园培训活动。</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10、支持查看进行中、已结束的直播，按照直播名称、教室、时间进行筛选，可通过二维码、直播链接地址形式分享直播，二维码支持选择6种海报模板，可删除直播；支持查看直播数据，包含累计观看人次、人气峰值、直播时长、点赞数、评论数等；支持查看直播汇总数据，包含直播开展次数、累计直播时长、观看人次、评论数、点赞数等；</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11、支持将直播分享至家长小程序，可支持按照年级、班级设定观看权限，指定班级学生可登录家长小程序即可查看在线直播课；</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12、支持用户新建直播活动，活动支持设置是否允许留言评价，需支持设置是否支持直播回放以及设置直播密码</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13、平台支持用户在线对课堂视频进行评论，支持管理员对用户评论进行信息管理，可选择性删除评论内容，管控评论秩序。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用户可一键生成链接并进行分享，也可通过生成海报形式复制图片，其他用户通过打开链接或者扫码的方式，无需登录即可观看直播视频。支持在直播观看页面生成海报进行分享直播课程和回放，用户可点击链接或者扫码二维码在移动端打开观看。</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14、支持开启直播回放功能，开启后用户可在原有直播的分享链接中查看已结束的直播内容，回顾直播精彩环节。</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15、支持教师删除过期或无效的直播，删除后原有的直播分享链接将自动失效。</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16、用户可查看校内正在直播授课的教室实时画面；支持至少5个教室画面同屏预览，快速掌握各教室基本情况；用户进入教室详情，可获取该教室当前授课信息、实时的音频、视频；</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支持教师在巡课过程对课堂进行文字、图片点评，并按教师与课程统计巡课评课的历史记录；支持教师使用评价表进行评价，选择学段科学、上课教师、评价表模板后进入评价表详情，支持教师边看视频画面，边进行评价表打分评价，需展示评价结果列表，按照起止日期、学段学科进行评价记录筛选；</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17、管理员可以查看全校所有的录播视频，老师可以查看自己上传或者录播助手上传的视频，需显示视频名称、录播教室、视频时长、视频大小、上传状态、发布状态、上传老师、上传时间，支持将视频发布到校园录播课，也可以下载、删除录播视频</w:t>
            </w:r>
          </w:p>
          <w:p>
            <w:pPr>
              <w:widowControl/>
              <w:jc w:val="left"/>
              <w:textAlignment w:val="center"/>
              <w:rPr>
                <w:rFonts w:ascii="宋体" w:hAnsi="宋体" w:cs="宋体"/>
                <w:color w:val="auto"/>
                <w:sz w:val="22"/>
              </w:rPr>
            </w:pPr>
            <w:r>
              <w:rPr>
                <w:rFonts w:hint="eastAsia" w:ascii="宋体" w:hAnsi="宋体" w:cs="宋体"/>
                <w:color w:val="auto"/>
                <w:kern w:val="0"/>
                <w:sz w:val="22"/>
                <w:lang w:bidi="ar"/>
              </w:rPr>
              <w:t>18、支持将录播视频资源分享至家长小程序，支持按照年级、班级设定查看权限，指定班级学生可登录家长小程序即可查看录播资源，方便在线学习；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75" w:type="dxa"/>
            <w:vAlign w:val="center"/>
          </w:tcPr>
          <w:p>
            <w:pPr>
              <w:widowControl/>
              <w:textAlignment w:val="baseline"/>
              <w:rPr>
                <w:rFonts w:ascii="宋体" w:hAnsi="宋体" w:cs="宋体"/>
                <w:color w:val="auto"/>
                <w:kern w:val="0"/>
                <w:szCs w:val="21"/>
              </w:rPr>
            </w:pPr>
            <w:r>
              <w:rPr>
                <w:rFonts w:hint="eastAsia" w:ascii="宋体" w:hAnsi="宋体" w:cs="宋体"/>
                <w:color w:val="auto"/>
                <w:kern w:val="0"/>
                <w:szCs w:val="21"/>
              </w:rPr>
              <w:t>11</w:t>
            </w:r>
          </w:p>
        </w:tc>
        <w:tc>
          <w:tcPr>
            <w:tcW w:w="1184" w:type="dxa"/>
            <w:vAlign w:val="center"/>
          </w:tcPr>
          <w:p>
            <w:pPr>
              <w:widowControl/>
              <w:jc w:val="center"/>
              <w:rPr>
                <w:color w:val="auto"/>
                <w:kern w:val="0"/>
                <w:sz w:val="22"/>
              </w:rPr>
            </w:pPr>
            <w:r>
              <w:rPr>
                <w:rFonts w:hint="eastAsia"/>
                <w:color w:val="auto"/>
                <w:kern w:val="0"/>
                <w:sz w:val="22"/>
              </w:rPr>
              <w:t>智慧一体机系统集成服务</w:t>
            </w:r>
          </w:p>
        </w:tc>
        <w:tc>
          <w:tcPr>
            <w:tcW w:w="558" w:type="dxa"/>
            <w:vAlign w:val="center"/>
          </w:tcPr>
          <w:p>
            <w:pPr>
              <w:widowControl/>
              <w:jc w:val="center"/>
              <w:rPr>
                <w:color w:val="auto"/>
                <w:kern w:val="0"/>
                <w:sz w:val="22"/>
              </w:rPr>
            </w:pPr>
            <w:r>
              <w:rPr>
                <w:rFonts w:hint="eastAsia"/>
                <w:color w:val="auto"/>
                <w:kern w:val="0"/>
                <w:sz w:val="22"/>
              </w:rPr>
              <w:t>35</w:t>
            </w:r>
          </w:p>
        </w:tc>
        <w:tc>
          <w:tcPr>
            <w:tcW w:w="567" w:type="dxa"/>
            <w:vAlign w:val="center"/>
          </w:tcPr>
          <w:p>
            <w:pPr>
              <w:jc w:val="center"/>
              <w:rPr>
                <w:color w:val="auto"/>
                <w:sz w:val="22"/>
              </w:rPr>
            </w:pPr>
            <w:r>
              <w:rPr>
                <w:rFonts w:hint="eastAsia"/>
                <w:color w:val="auto"/>
                <w:sz w:val="22"/>
              </w:rPr>
              <w:t>项</w:t>
            </w:r>
          </w:p>
        </w:tc>
        <w:tc>
          <w:tcPr>
            <w:tcW w:w="7087" w:type="dxa"/>
            <w:vAlign w:val="center"/>
          </w:tcPr>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1、包含各教室所需电源线路铺设、传输线路铺设、音频线路铺设等，含线路铺设所需的材料、辅材、网线、吊装支架等。</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2、包含对所有设备安装，解决设备安装过程中的各种技术疑难问题。</w:t>
            </w:r>
          </w:p>
          <w:p>
            <w:pPr>
              <w:widowControl/>
              <w:jc w:val="left"/>
              <w:textAlignment w:val="center"/>
              <w:rPr>
                <w:rFonts w:ascii="宋体" w:hAnsi="宋体" w:cs="宋体"/>
                <w:color w:val="auto"/>
                <w:sz w:val="22"/>
              </w:rPr>
            </w:pPr>
            <w:r>
              <w:rPr>
                <w:rFonts w:hint="eastAsia" w:ascii="宋体" w:hAnsi="宋体" w:cs="宋体"/>
                <w:color w:val="auto"/>
                <w:kern w:val="0"/>
                <w:sz w:val="22"/>
                <w:lang w:bidi="ar"/>
              </w:rPr>
              <w:t>3、对所有设备进行集成调试，处理调试过程中发生的各种异常现象。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071" w:type="dxa"/>
            <w:gridSpan w:val="5"/>
            <w:vAlign w:val="center"/>
          </w:tcPr>
          <w:p>
            <w:pPr>
              <w:widowControl/>
              <w:jc w:val="left"/>
              <w:textAlignment w:val="center"/>
              <w:rPr>
                <w:rFonts w:ascii="宋体" w:hAnsi="宋体" w:cs="宋体"/>
                <w:color w:val="auto"/>
                <w:kern w:val="0"/>
                <w:sz w:val="22"/>
                <w:lang w:bidi="ar"/>
              </w:rPr>
            </w:pPr>
            <w:r>
              <w:rPr>
                <w:rFonts w:hint="eastAsia" w:ascii="宋体" w:hAnsi="宋体" w:cs="宋体"/>
                <w:b/>
                <w:bCs/>
                <w:color w:val="auto"/>
                <w:kern w:val="0"/>
                <w:sz w:val="22"/>
                <w:lang w:bidi="ar"/>
              </w:rPr>
              <w:t>二、推拉黑板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5" w:type="dxa"/>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12</w:t>
            </w:r>
          </w:p>
        </w:tc>
        <w:tc>
          <w:tcPr>
            <w:tcW w:w="1184" w:type="dxa"/>
            <w:vAlign w:val="center"/>
          </w:tcPr>
          <w:p>
            <w:pPr>
              <w:widowControl/>
              <w:jc w:val="center"/>
              <w:rPr>
                <w:color w:val="auto"/>
                <w:kern w:val="0"/>
                <w:sz w:val="22"/>
              </w:rPr>
            </w:pPr>
            <w:r>
              <w:rPr>
                <w:rFonts w:hint="eastAsia"/>
                <w:color w:val="auto"/>
                <w:kern w:val="0"/>
                <w:sz w:val="22"/>
              </w:rPr>
              <w:t>推拉黑板</w:t>
            </w:r>
          </w:p>
        </w:tc>
        <w:tc>
          <w:tcPr>
            <w:tcW w:w="558" w:type="dxa"/>
            <w:vAlign w:val="center"/>
          </w:tcPr>
          <w:p>
            <w:pPr>
              <w:widowControl/>
              <w:jc w:val="center"/>
              <w:rPr>
                <w:color w:val="auto"/>
                <w:kern w:val="0"/>
                <w:sz w:val="22"/>
              </w:rPr>
            </w:pPr>
            <w:r>
              <w:rPr>
                <w:rFonts w:hint="eastAsia"/>
                <w:color w:val="auto"/>
                <w:kern w:val="0"/>
                <w:sz w:val="22"/>
              </w:rPr>
              <w:t>35</w:t>
            </w:r>
          </w:p>
        </w:tc>
        <w:tc>
          <w:tcPr>
            <w:tcW w:w="567" w:type="dxa"/>
            <w:vAlign w:val="center"/>
          </w:tcPr>
          <w:p>
            <w:pPr>
              <w:jc w:val="center"/>
              <w:rPr>
                <w:color w:val="auto"/>
                <w:sz w:val="22"/>
              </w:rPr>
            </w:pPr>
            <w:r>
              <w:rPr>
                <w:rFonts w:hint="eastAsia"/>
                <w:color w:val="auto"/>
                <w:sz w:val="22"/>
              </w:rPr>
              <w:t>套</w:t>
            </w:r>
          </w:p>
        </w:tc>
        <w:tc>
          <w:tcPr>
            <w:tcW w:w="7087" w:type="dxa"/>
            <w:vAlign w:val="center"/>
          </w:tcPr>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结构：推拉板由四块书写板及铝合金边框组装而成，书写板分内外双层结构，内层为两块固定书写板与液晶一体机正面平齐，外层为两块滑动书写板，滑动板配装刻有黑板品牌LOGO标识的挂锁，开闭自如确保液晶一体机的安全管理。</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2.基本尺寸：≥4000mm×1305mm，可根据所配电子产品适当调整，确保与电子产品的有效配套。</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3.书写板面：采用优质烤漆板面，墨绿色、亚光，厚度≥0.3mm，粗糙度为Ra1.6-3.2 um，没有因黑板本身原因产生的眩光，书写流畅字迹清晰、板面表面附有一层透明保护膜，符合GB/T 28231-2011《书写板安全卫生要求》。</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4.内芯材料：高强度、吸音、聚苯乙烯泡沫板，采用国际适用工艺，书写无吱咔声，改善书写手感。</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5.背板：采用优质防锈热镀锌钢板，厚度≥0.25mm，流水线一次成型，间隔80mm压有20mm凹槽加强筋,确保均布承压不低于635N，凹槽造型美观、增加强度，更加耐用。</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6.覆板：采用环保型双组份聚氨酯胶水，自动化流水线覆板作业，牵引、滴胶、刷胶、压固、切割下料一次完成，确保粘接牢固板面平整，甲醛释放量≤0.3mg/L，符合GB/T 28231-2011《书写板安全卫生要求》。</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7.边框：采用工业用高强度铝合金型材，电泳香槟色，模具挤压一次成型，上框规格57mm×78mm，左右框规格29mm×100mm。轨道上置隐藏式平滑轮滑道，结构性解决滑轮受粉尘影响的情况，配有宽度≥30mm的粉尘槽，粉尘槽与滑动系统分离，与边框一次模具成形，防止粉尘垂直落地。</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8.包角材料：采用抗老化高强度ABS工程塑料注塑成型。规格：100mm×29mm×29mm，采用双壁成腔流线型设计，≥R25mm的圆角，正面带黑板品牌LOGO标识，无尖角毛刺，符合JY0001-2003《教学仪器设备产品一般质量要求》。</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10.限位档：黑板边框内部两侧安装滑动板限位档，防止活动黑板开启时撞击立框。</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11.易维护性：一体机上下配同色同质书写板，上下可根据一体机尺寸进行微调，两侧用H型边框与固定板配合，可自由拆装。使一体机不用拆整个黑板即可直接拆装维护，减少麻烦，延长使用寿命。</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12.安全性：一把锁实现对滑动黑板的锁定，钥匙通用，方便实用。</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13.安装：配装自制钢制电镀安装件，规格95*50*60mm，隐形安装、没有外露的挂接件，符合GB 21027-2007《学生用品的安全通用要求》。</w:t>
            </w:r>
          </w:p>
          <w:p>
            <w:pPr>
              <w:widowControl/>
              <w:jc w:val="left"/>
              <w:textAlignment w:val="center"/>
              <w:rPr>
                <w:rFonts w:ascii="宋体" w:hAnsi="宋体" w:cs="宋体"/>
                <w:color w:val="auto"/>
                <w:sz w:val="22"/>
              </w:rPr>
            </w:pPr>
            <w:r>
              <w:rPr>
                <w:rFonts w:hint="eastAsia" w:ascii="宋体" w:hAnsi="宋体" w:cs="宋体"/>
                <w:color w:val="auto"/>
                <w:kern w:val="0"/>
                <w:sz w:val="22"/>
                <w:lang w:bidi="ar"/>
              </w:rPr>
              <w:t>14.包装：采用环保型材料，符合国家产品包装要求，单套或双套纸箱独立包装，箱体印有制造商名称、LOGO标识、地址、服务热线等信息。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71" w:type="dxa"/>
            <w:gridSpan w:val="5"/>
            <w:vAlign w:val="center"/>
          </w:tcPr>
          <w:p>
            <w:pPr>
              <w:widowControl/>
              <w:jc w:val="left"/>
              <w:textAlignment w:val="center"/>
              <w:rPr>
                <w:rFonts w:ascii="宋体" w:hAnsi="宋体" w:cs="宋体"/>
                <w:color w:val="auto"/>
                <w:kern w:val="0"/>
                <w:sz w:val="22"/>
                <w:lang w:bidi="ar"/>
              </w:rPr>
            </w:pPr>
            <w:r>
              <w:rPr>
                <w:rFonts w:hint="eastAsia" w:ascii="宋体" w:hAnsi="宋体" w:cs="宋体"/>
                <w:b/>
                <w:bCs/>
                <w:color w:val="auto"/>
                <w:kern w:val="0"/>
                <w:sz w:val="22"/>
                <w:lang w:bidi="ar"/>
              </w:rPr>
              <w:t>三、教学终端设备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13</w:t>
            </w:r>
          </w:p>
        </w:tc>
        <w:tc>
          <w:tcPr>
            <w:tcW w:w="1184" w:type="dxa"/>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课堂管理系统</w:t>
            </w:r>
          </w:p>
        </w:tc>
        <w:tc>
          <w:tcPr>
            <w:tcW w:w="558" w:type="dxa"/>
            <w:vAlign w:val="center"/>
          </w:tcPr>
          <w:p>
            <w:pPr>
              <w:widowControl/>
              <w:jc w:val="center"/>
              <w:rPr>
                <w:color w:val="auto"/>
                <w:kern w:val="0"/>
                <w:sz w:val="22"/>
              </w:rPr>
            </w:pPr>
            <w:r>
              <w:rPr>
                <w:rFonts w:hint="eastAsia"/>
                <w:color w:val="auto"/>
                <w:kern w:val="0"/>
                <w:sz w:val="22"/>
              </w:rPr>
              <w:t>2</w:t>
            </w:r>
          </w:p>
        </w:tc>
        <w:tc>
          <w:tcPr>
            <w:tcW w:w="567" w:type="dxa"/>
            <w:vAlign w:val="center"/>
          </w:tcPr>
          <w:p>
            <w:pPr>
              <w:jc w:val="center"/>
              <w:rPr>
                <w:color w:val="auto"/>
                <w:sz w:val="22"/>
              </w:rPr>
            </w:pPr>
            <w:r>
              <w:rPr>
                <w:rFonts w:hint="eastAsia"/>
                <w:color w:val="auto"/>
                <w:sz w:val="22"/>
              </w:rPr>
              <w:t>套</w:t>
            </w:r>
          </w:p>
        </w:tc>
        <w:tc>
          <w:tcPr>
            <w:tcW w:w="7087" w:type="dxa"/>
            <w:vAlign w:val="center"/>
          </w:tcPr>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一.技术要求</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纯软件产品，安装部署快捷，升级简易方便，采用核心的截屏及实时压缩技术，在网络条件较差时亦能体现良好的性能；可根据网络条件调节网络补偿强度，根据广播内容调节广播及录制效率，使广播达到最佳效果。采用流媒体技术，流畅无延时，文件清晰度几乎无损耗，支持几乎所有常见的媒体音视频格式， Windows Media文件，VCD文件，DVD文件，Real文件，AVI文件，MP3等主流文件格式，支持720p、1080p的高清视频。</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2．全面支持Windows系列操作系统，包括Windows 8、Windows 10、Windows 11操作系统。</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二.课堂教学</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1．屏幕广播：将教师机屏幕和教师讲话实时广播给单一、部分或全体学生，可选择全屏或窗口方式。窗口模式下或教师机与学生机分辨率不同情况下，学生机可以以不同的窗口方式接收广播。</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2．扩展屏广播模式：教师机连接两个显示器，可在广播时选择将任意一个显示器的内容广播到学生机。</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3．屏幕广播速度增强：屏幕广播时支持多种画面质量的调节，根据网络的不同选择最好的效果进行教学。</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4．学生演示：教师可选定一台学生机作为示范，由此学生代替教师进行示范教学。</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5．屏幕录制：教师机可以将本地的操作和讲解过程录制为mp4录像文件，可以用 Windows 自带的 Media Player 直接播放。</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6．文件分发：允许教师将教师机不同盘符中的目录或文件一起发送至生机的某目录下。目录不存在自动新建此目录；盘符不存在或路径非法不允许分发；文件已存在选择自动覆盖或保留原始文件。</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7．文件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8．屏幕监视：教师机可以监视单一、部分、全体学生机的屏幕，教师机每屏可监视多个学生屏幕（最多36个）。可以控制教师机监控的同屏幕各窗口间、屏幕与屏幕间的切换速度。可手动或自动循环监视。</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9．多频道教学：支持多达32个频道的划分，一个教师可对单个班级或多个班级同时上课；多个教师可同时对多个班级进行不同内容的教学。</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三.课堂管理</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1．签到：提供学生名单管理工具，为软件提供实名验证。提供点名功能，支持保留学生多次登录记录、考勤统计、签到信息的导出与对比。</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2．班级模型：有单独的管理界面，实现对班级模型的统一管理，并能够导入、导出，调用不同网络教室中的班级模型。</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3．学生端属性查看：教师可以获取学生端计算机的名称、登录名和其它常用信息，并可以列出学生端的应用程序、进程和进程 ID，教师还可以远程终止学生端的进程。</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4．黑屏肃静：教师可以对单一、部分、全体学生执行黑屏肃静来禁止其进行任何操作，达到专心听课目的，教师可自定义黑屏的内容与图片。</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5．远程命令：可以进行远程开机、关机、重启等操作，支持远程打开网页、远程启动程序和远程关闭所有学生正在执行的应用程序。</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6．自动锁屏：独有的断线保护自动锁屏技术，通过网卡的是否激活来锁定屏幕，避免学生拔掉网线违反纪律。</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 xml:space="preserve">7．防杀进程：为安全起见，学生端程序运行后，防止学生通过任务管理器结束学生端程序进程来逃脱教师控制。 </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远程设置：远程设置学生桌面主题、桌面背景、屏幕保护方案、学生的频道号和音量、学生的卸载密码，是否启用进程保护，断线锁屏，热键退出等。</w:t>
            </w:r>
          </w:p>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四、授权</w:t>
            </w:r>
          </w:p>
          <w:p>
            <w:pPr>
              <w:widowControl/>
              <w:jc w:val="left"/>
              <w:textAlignment w:val="center"/>
              <w:rPr>
                <w:rFonts w:ascii="宋体" w:hAnsi="宋体" w:cs="宋体"/>
                <w:color w:val="auto"/>
                <w:sz w:val="22"/>
              </w:rPr>
            </w:pPr>
            <w:r>
              <w:rPr>
                <w:rFonts w:hint="eastAsia" w:ascii="宋体" w:hAnsi="宋体" w:cs="宋体"/>
                <w:color w:val="auto"/>
                <w:kern w:val="0"/>
                <w:sz w:val="22"/>
                <w:lang w:bidi="ar"/>
              </w:rPr>
              <w:t>1.含60个授权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5" w:type="dxa"/>
            <w:vAlign w:val="center"/>
          </w:tcPr>
          <w:p>
            <w:pPr>
              <w:widowControl/>
              <w:jc w:val="center"/>
              <w:textAlignment w:val="baseline"/>
              <w:rPr>
                <w:rFonts w:ascii="宋体" w:hAnsi="宋体" w:cs="宋体"/>
                <w:color w:val="auto"/>
                <w:kern w:val="0"/>
                <w:szCs w:val="21"/>
              </w:rPr>
            </w:pPr>
            <w:r>
              <w:rPr>
                <w:rFonts w:hint="eastAsia" w:ascii="宋体" w:hAnsi="宋体" w:cs="宋体"/>
                <w:color w:val="auto"/>
                <w:kern w:val="0"/>
                <w:szCs w:val="21"/>
              </w:rPr>
              <w:t>14</w:t>
            </w:r>
          </w:p>
        </w:tc>
        <w:tc>
          <w:tcPr>
            <w:tcW w:w="1184" w:type="dxa"/>
            <w:vAlign w:val="center"/>
          </w:tcPr>
          <w:p>
            <w:pPr>
              <w:widowControl/>
              <w:jc w:val="center"/>
              <w:textAlignment w:val="center"/>
              <w:rPr>
                <w:rFonts w:ascii="宋体" w:hAnsi="宋体" w:cs="宋体"/>
                <w:color w:val="auto"/>
                <w:sz w:val="20"/>
                <w:szCs w:val="20"/>
              </w:rPr>
            </w:pPr>
            <w:r>
              <w:rPr>
                <w:rFonts w:hint="eastAsia" w:ascii="宋体" w:hAnsi="宋体" w:cs="宋体"/>
                <w:color w:val="auto"/>
                <w:sz w:val="20"/>
                <w:szCs w:val="20"/>
              </w:rPr>
              <w:t>上网行为管理系统</w:t>
            </w:r>
          </w:p>
        </w:tc>
        <w:tc>
          <w:tcPr>
            <w:tcW w:w="558" w:type="dxa"/>
            <w:vAlign w:val="center"/>
          </w:tcPr>
          <w:p>
            <w:pPr>
              <w:widowControl/>
              <w:jc w:val="center"/>
              <w:rPr>
                <w:color w:val="auto"/>
                <w:kern w:val="0"/>
                <w:sz w:val="22"/>
              </w:rPr>
            </w:pPr>
            <w:r>
              <w:rPr>
                <w:rFonts w:hint="eastAsia"/>
                <w:color w:val="auto"/>
                <w:kern w:val="0"/>
                <w:sz w:val="22"/>
              </w:rPr>
              <w:t>2</w:t>
            </w:r>
          </w:p>
        </w:tc>
        <w:tc>
          <w:tcPr>
            <w:tcW w:w="567" w:type="dxa"/>
            <w:vAlign w:val="center"/>
          </w:tcPr>
          <w:p>
            <w:pPr>
              <w:jc w:val="center"/>
              <w:rPr>
                <w:color w:val="auto"/>
                <w:sz w:val="22"/>
              </w:rPr>
            </w:pPr>
            <w:r>
              <w:rPr>
                <w:rFonts w:hint="eastAsia"/>
                <w:color w:val="auto"/>
                <w:sz w:val="22"/>
              </w:rPr>
              <w:t>台</w:t>
            </w:r>
          </w:p>
        </w:tc>
        <w:tc>
          <w:tcPr>
            <w:tcW w:w="7087" w:type="dxa"/>
            <w:vAlign w:val="center"/>
          </w:tcPr>
          <w:p>
            <w:pPr>
              <w:widowControl/>
              <w:jc w:val="left"/>
              <w:textAlignment w:val="center"/>
              <w:rPr>
                <w:rFonts w:ascii="宋体" w:hAnsi="宋体" w:cs="宋体"/>
                <w:color w:val="auto"/>
                <w:sz w:val="22"/>
              </w:rPr>
            </w:pPr>
            <w:r>
              <w:rPr>
                <w:rFonts w:ascii="宋体" w:hAnsi="宋体" w:cs="宋体"/>
                <w:color w:val="auto"/>
                <w:sz w:val="22"/>
              </w:rPr>
              <w:t>1.桌面型,1个console口， USB接口≥2个， 千兆电口≥4个，适配带宽≥45M，同时使用用户数≥60人，设备内存≥4G，存储≥1TB；默认含应用识别功能，含一年的系统版本，URL库及应用特征库升级许可；</w:t>
            </w:r>
          </w:p>
          <w:p>
            <w:pPr>
              <w:widowControl/>
              <w:jc w:val="left"/>
              <w:textAlignment w:val="center"/>
              <w:rPr>
                <w:rFonts w:ascii="宋体" w:hAnsi="宋体" w:cs="宋体"/>
                <w:color w:val="auto"/>
                <w:sz w:val="22"/>
              </w:rPr>
            </w:pPr>
            <w:r>
              <w:rPr>
                <w:rFonts w:ascii="宋体" w:hAnsi="宋体" w:cs="宋体"/>
                <w:color w:val="auto"/>
                <w:sz w:val="22"/>
              </w:rPr>
              <w:t>2.支持即插即用功能，不管电脑的IP如何配置，只要插上网线，即可上网；</w:t>
            </w:r>
          </w:p>
          <w:p>
            <w:pPr>
              <w:widowControl/>
              <w:jc w:val="left"/>
              <w:textAlignment w:val="center"/>
              <w:rPr>
                <w:rFonts w:ascii="宋体" w:hAnsi="宋体" w:cs="宋体"/>
                <w:color w:val="auto"/>
                <w:sz w:val="22"/>
              </w:rPr>
            </w:pPr>
            <w:r>
              <w:rPr>
                <w:rFonts w:ascii="宋体" w:hAnsi="宋体" w:cs="宋体"/>
                <w:color w:val="auto"/>
                <w:sz w:val="22"/>
              </w:rPr>
              <w:t>3.支持http代理、https透明代理、全透明代理、二级代理、DNS代理、dns缓存；</w:t>
            </w:r>
          </w:p>
          <w:p>
            <w:pPr>
              <w:widowControl/>
              <w:jc w:val="left"/>
              <w:textAlignment w:val="center"/>
              <w:rPr>
                <w:rFonts w:ascii="宋体" w:hAnsi="宋体" w:cs="宋体"/>
                <w:color w:val="auto"/>
                <w:sz w:val="22"/>
              </w:rPr>
            </w:pPr>
            <w:r>
              <w:rPr>
                <w:rFonts w:ascii="宋体" w:hAnsi="宋体" w:cs="宋体"/>
                <w:color w:val="auto"/>
                <w:sz w:val="22"/>
              </w:rPr>
              <w:t>4.支持将多个以太网物理端口捆绑成一条逻辑端口，支持基于轮循、主备、哈希、广播、802.3ad、发送自适应、双向自适应等多种负载方式；</w:t>
            </w:r>
          </w:p>
          <w:p>
            <w:pPr>
              <w:widowControl/>
              <w:jc w:val="left"/>
              <w:textAlignment w:val="center"/>
              <w:rPr>
                <w:rFonts w:ascii="宋体" w:hAnsi="宋体" w:cs="宋体"/>
                <w:color w:val="auto"/>
                <w:sz w:val="22"/>
              </w:rPr>
            </w:pPr>
            <w:r>
              <w:rPr>
                <w:rFonts w:ascii="宋体" w:hAnsi="宋体" w:cs="宋体"/>
                <w:color w:val="auto"/>
                <w:sz w:val="22"/>
              </w:rPr>
              <w:t>5.支持DNS链路健康检查算法；支持ICMP链路健康检查算法；支持TCP链路健康检查算法；支持自定义的链路健康检查算法；</w:t>
            </w:r>
          </w:p>
          <w:p>
            <w:pPr>
              <w:widowControl/>
              <w:jc w:val="left"/>
              <w:textAlignment w:val="center"/>
              <w:rPr>
                <w:rFonts w:ascii="宋体" w:hAnsi="宋体" w:cs="宋体"/>
                <w:color w:val="auto"/>
                <w:sz w:val="22"/>
              </w:rPr>
            </w:pPr>
            <w:r>
              <w:rPr>
                <w:rFonts w:ascii="宋体" w:hAnsi="宋体" w:cs="宋体"/>
                <w:color w:val="auto"/>
                <w:sz w:val="22"/>
              </w:rPr>
              <w:t>6.支持基于ip的网管策略，防止恶意ip探测攻击设备，增加网关的安全性；</w:t>
            </w:r>
          </w:p>
          <w:p>
            <w:pPr>
              <w:widowControl/>
              <w:jc w:val="left"/>
              <w:textAlignment w:val="center"/>
              <w:rPr>
                <w:rFonts w:ascii="宋体" w:hAnsi="宋体" w:cs="宋体"/>
                <w:color w:val="auto"/>
                <w:sz w:val="22"/>
              </w:rPr>
            </w:pPr>
            <w:r>
              <w:rPr>
                <w:rFonts w:ascii="宋体" w:hAnsi="宋体" w:cs="宋体"/>
                <w:color w:val="auto"/>
                <w:sz w:val="22"/>
              </w:rPr>
              <w:t>7.支持一键下载设备健康信息，当设备发生故障时如丢包、宕机、异常重启等问题时可以通过设备健康信息获取有效数据，能够快速定位问题；</w:t>
            </w:r>
          </w:p>
          <w:p>
            <w:pPr>
              <w:widowControl/>
              <w:jc w:val="left"/>
              <w:textAlignment w:val="center"/>
              <w:rPr>
                <w:rFonts w:ascii="宋体" w:hAnsi="宋体" w:cs="宋体"/>
                <w:color w:val="auto"/>
                <w:sz w:val="22"/>
              </w:rPr>
            </w:pPr>
            <w:r>
              <w:rPr>
                <w:rFonts w:ascii="宋体" w:hAnsi="宋体" w:cs="宋体"/>
                <w:color w:val="auto"/>
                <w:sz w:val="22"/>
              </w:rPr>
              <w:t>8.支持基于策略方向、源地址、目的地址、服务、生效时间的安全策略；</w:t>
            </w:r>
          </w:p>
          <w:p>
            <w:pPr>
              <w:widowControl/>
              <w:jc w:val="left"/>
              <w:textAlignment w:val="center"/>
              <w:rPr>
                <w:rFonts w:ascii="宋体" w:hAnsi="宋体" w:cs="宋体"/>
                <w:color w:val="auto"/>
                <w:sz w:val="22"/>
              </w:rPr>
            </w:pPr>
            <w:r>
              <w:rPr>
                <w:rFonts w:ascii="宋体" w:hAnsi="宋体" w:cs="宋体"/>
                <w:color w:val="auto"/>
                <w:sz w:val="22"/>
              </w:rPr>
              <w:t>9.支持移动终端接入类型管控，接入的移动终端区分出IOS终端、安卓终端、三星终端，并可以根据所区分出的终端类型设置告警和拒绝动作；</w:t>
            </w:r>
          </w:p>
          <w:p>
            <w:pPr>
              <w:widowControl/>
              <w:jc w:val="left"/>
              <w:textAlignment w:val="center"/>
              <w:rPr>
                <w:rFonts w:ascii="宋体" w:hAnsi="宋体" w:cs="宋体"/>
                <w:color w:val="auto"/>
                <w:sz w:val="22"/>
              </w:rPr>
            </w:pPr>
            <w:r>
              <w:rPr>
                <w:rFonts w:ascii="宋体" w:hAnsi="宋体" w:cs="宋体"/>
                <w:color w:val="auto"/>
                <w:sz w:val="22"/>
              </w:rPr>
              <w:t>10.支持对TCP、UDP、ICMP、TCP SYN超时时间，无回应UDP超时时间设置，并能支持按照新建会话与总会话比例设置老化开始或者结束；</w:t>
            </w:r>
          </w:p>
          <w:p>
            <w:pPr>
              <w:widowControl/>
              <w:jc w:val="left"/>
              <w:textAlignment w:val="center"/>
              <w:rPr>
                <w:rFonts w:ascii="宋体" w:hAnsi="宋体" w:cs="宋体"/>
                <w:color w:val="auto"/>
                <w:sz w:val="22"/>
              </w:rPr>
            </w:pPr>
            <w:r>
              <w:rPr>
                <w:rFonts w:ascii="宋体" w:hAnsi="宋体" w:cs="宋体"/>
                <w:color w:val="auto"/>
                <w:sz w:val="22"/>
              </w:rPr>
              <w:t>11.支持自动删除离线时间超过指定时间的用户，可根据分钟、小时、天来设置指定时间的单位与范围；</w:t>
            </w:r>
          </w:p>
          <w:p>
            <w:pPr>
              <w:widowControl/>
              <w:jc w:val="left"/>
              <w:textAlignment w:val="center"/>
              <w:rPr>
                <w:rFonts w:ascii="宋体" w:hAnsi="宋体" w:cs="宋体"/>
                <w:color w:val="auto"/>
                <w:sz w:val="22"/>
              </w:rPr>
            </w:pPr>
            <w:r>
              <w:rPr>
                <w:rFonts w:ascii="宋体" w:hAnsi="宋体" w:cs="宋体"/>
                <w:color w:val="auto"/>
                <w:sz w:val="22"/>
              </w:rPr>
              <w:t>12.支持认证用户首次登陆修改密码，支持自定义密码复杂度（包括长度、英文字母、数字、特殊字符的多种组合方式），另外支持密码有效期；</w:t>
            </w:r>
          </w:p>
          <w:p>
            <w:pPr>
              <w:widowControl/>
              <w:jc w:val="left"/>
              <w:textAlignment w:val="center"/>
              <w:rPr>
                <w:rFonts w:ascii="宋体" w:hAnsi="宋体" w:cs="宋体"/>
                <w:color w:val="auto"/>
                <w:sz w:val="22"/>
              </w:rPr>
            </w:pPr>
            <w:r>
              <w:rPr>
                <w:rFonts w:hint="eastAsia" w:ascii="宋体" w:hAnsi="宋体" w:cs="宋体"/>
                <w:color w:val="auto"/>
                <w:sz w:val="22"/>
              </w:rPr>
              <w:t>☆</w:t>
            </w:r>
            <w:r>
              <w:rPr>
                <w:rFonts w:ascii="宋体" w:hAnsi="宋体" w:cs="宋体"/>
                <w:color w:val="auto"/>
                <w:sz w:val="22"/>
              </w:rPr>
              <w:t>13.可通过 NetbIOS 协议扫描内网的主机信息，扫描结果将列出每个主机的 IP 地址、MAC地址和主机名等，然后可以将其加入某个用户组中，逐步完善组织结构的管理；</w:t>
            </w:r>
          </w:p>
          <w:p>
            <w:pPr>
              <w:widowControl/>
              <w:jc w:val="left"/>
              <w:textAlignment w:val="center"/>
              <w:rPr>
                <w:rFonts w:ascii="宋体" w:hAnsi="宋体" w:cs="宋体"/>
                <w:color w:val="auto"/>
                <w:sz w:val="22"/>
              </w:rPr>
            </w:pPr>
            <w:r>
              <w:rPr>
                <w:rFonts w:ascii="宋体" w:hAnsi="宋体" w:cs="宋体"/>
                <w:color w:val="auto"/>
                <w:sz w:val="22"/>
              </w:rPr>
              <w:t>14.支持通过资产扫描，对网络中的所有资产进行识别和分类。设备类型包括计算机、移动终端、网络设备、安全设备、办公设备、视频设备、物联网设备、存储设备等；</w:t>
            </w:r>
          </w:p>
          <w:p>
            <w:pPr>
              <w:widowControl/>
              <w:jc w:val="left"/>
              <w:textAlignment w:val="center"/>
              <w:rPr>
                <w:rFonts w:ascii="宋体" w:hAnsi="宋体" w:cs="宋体"/>
                <w:color w:val="auto"/>
                <w:sz w:val="22"/>
              </w:rPr>
            </w:pPr>
            <w:r>
              <w:rPr>
                <w:rFonts w:ascii="宋体" w:hAnsi="宋体" w:cs="宋体"/>
                <w:color w:val="auto"/>
                <w:sz w:val="22"/>
              </w:rPr>
              <w:t>15.支持隐藏设备源地址，替换成可自定义的伪装地址；</w:t>
            </w:r>
          </w:p>
          <w:p>
            <w:pPr>
              <w:widowControl/>
              <w:jc w:val="left"/>
              <w:textAlignment w:val="center"/>
              <w:rPr>
                <w:rFonts w:ascii="宋体" w:hAnsi="宋体" w:cs="宋体"/>
                <w:color w:val="auto"/>
                <w:sz w:val="22"/>
              </w:rPr>
            </w:pPr>
            <w:r>
              <w:rPr>
                <w:rFonts w:ascii="宋体" w:hAnsi="宋体" w:cs="宋体"/>
                <w:color w:val="auto"/>
                <w:sz w:val="22"/>
              </w:rPr>
              <w:t>16.支持通过微信官方提供的小程序认证方式获取微信提供的用户身份标识完成上网认证；</w:t>
            </w:r>
          </w:p>
          <w:p>
            <w:pPr>
              <w:widowControl/>
              <w:jc w:val="left"/>
              <w:textAlignment w:val="center"/>
              <w:rPr>
                <w:rFonts w:ascii="宋体" w:hAnsi="宋体" w:cs="宋体"/>
                <w:color w:val="auto"/>
                <w:sz w:val="22"/>
              </w:rPr>
            </w:pPr>
            <w:r>
              <w:rPr>
                <w:rFonts w:ascii="宋体" w:hAnsi="宋体" w:cs="宋体"/>
                <w:color w:val="auto"/>
                <w:sz w:val="22"/>
              </w:rPr>
              <w:t>17.支持url白名单，添加到白名单的url不受策略控制和审计；</w:t>
            </w:r>
          </w:p>
          <w:p>
            <w:pPr>
              <w:widowControl/>
              <w:jc w:val="left"/>
              <w:textAlignment w:val="center"/>
              <w:rPr>
                <w:rFonts w:ascii="宋体" w:hAnsi="宋体" w:cs="宋体"/>
                <w:color w:val="auto"/>
                <w:sz w:val="22"/>
              </w:rPr>
            </w:pPr>
            <w:r>
              <w:rPr>
                <w:rFonts w:hint="eastAsia" w:ascii="宋体" w:hAnsi="宋体" w:cs="宋体"/>
                <w:color w:val="auto"/>
                <w:sz w:val="22"/>
              </w:rPr>
              <w:t>☆</w:t>
            </w:r>
            <w:r>
              <w:rPr>
                <w:rFonts w:ascii="宋体" w:hAnsi="宋体" w:cs="宋体"/>
                <w:color w:val="auto"/>
                <w:sz w:val="22"/>
              </w:rPr>
              <w:t>18.支持阻拦终端用户的广告弹窗，至少支持WinRAR、快压、360安全卫士、360画报、金山毒霸、热点资讯、今日热点等广告弹窗；</w:t>
            </w:r>
          </w:p>
          <w:p>
            <w:pPr>
              <w:widowControl/>
              <w:jc w:val="left"/>
              <w:textAlignment w:val="center"/>
              <w:rPr>
                <w:rFonts w:ascii="宋体" w:hAnsi="宋体" w:cs="宋体"/>
                <w:color w:val="auto"/>
                <w:sz w:val="22"/>
              </w:rPr>
            </w:pPr>
            <w:r>
              <w:rPr>
                <w:rFonts w:ascii="宋体" w:hAnsi="宋体" w:cs="宋体"/>
                <w:color w:val="auto"/>
                <w:sz w:val="22"/>
              </w:rPr>
              <w:t>可根据预设总带宽，实时智能识别策略匹配上线用户，并依照预设总带宽将流量对匹配用户进行智能平均分配。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15</w:t>
            </w:r>
          </w:p>
        </w:tc>
        <w:tc>
          <w:tcPr>
            <w:tcW w:w="1184" w:type="dxa"/>
            <w:vAlign w:val="center"/>
          </w:tcPr>
          <w:p>
            <w:pPr>
              <w:widowControl/>
              <w:jc w:val="center"/>
              <w:rPr>
                <w:color w:val="000000"/>
                <w:kern w:val="0"/>
                <w:sz w:val="22"/>
              </w:rPr>
            </w:pPr>
            <w:r>
              <w:rPr>
                <w:rFonts w:hint="eastAsia"/>
                <w:color w:val="000000"/>
                <w:kern w:val="0"/>
                <w:sz w:val="22"/>
              </w:rPr>
              <w:t>48口千兆交换机</w:t>
            </w:r>
          </w:p>
        </w:tc>
        <w:tc>
          <w:tcPr>
            <w:tcW w:w="558" w:type="dxa"/>
            <w:vAlign w:val="center"/>
          </w:tcPr>
          <w:p>
            <w:pPr>
              <w:widowControl/>
              <w:jc w:val="center"/>
              <w:rPr>
                <w:color w:val="000000"/>
                <w:kern w:val="0"/>
                <w:sz w:val="22"/>
              </w:rPr>
            </w:pPr>
            <w:r>
              <w:rPr>
                <w:rFonts w:hint="eastAsia"/>
                <w:color w:val="000000"/>
                <w:kern w:val="0"/>
                <w:sz w:val="22"/>
              </w:rPr>
              <w:t>2</w:t>
            </w:r>
          </w:p>
        </w:tc>
        <w:tc>
          <w:tcPr>
            <w:tcW w:w="567" w:type="dxa"/>
            <w:vAlign w:val="center"/>
          </w:tcPr>
          <w:p>
            <w:pPr>
              <w:jc w:val="center"/>
              <w:rPr>
                <w:color w:val="000000"/>
                <w:sz w:val="22"/>
              </w:rPr>
            </w:pPr>
            <w:r>
              <w:rPr>
                <w:rFonts w:hint="eastAsia"/>
                <w:color w:val="000000"/>
                <w:sz w:val="22"/>
              </w:rPr>
              <w:t>台</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1.要求设备固化48个千兆电接口，4个SFP千兆光口，固化双电源。USB配置接口≥1，Reset键≥1。</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2.交换容量≥598Gbps/5.98Tbps，包转发率≥160Mpps/1600Mpps；</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3.支持4K个802.1Q VLAN，Super vlan，支持基于端口、MAC、IP子网、协议的VLAN；支持端口的负载均衡、支持LACP，每个链路聚合组支持8个端口</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4.支持DHCP SERVER,支持静态路由、动态路由(RIP、OSPF)；支持IGMP、IGMP Snooping；支持PIM-SM等三层组播协议。；支持IGMP、IGMP Snooping；支持PIM-SM等三层组播协议。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5" w:type="dxa"/>
            <w:vAlign w:val="center"/>
          </w:tcPr>
          <w:p>
            <w:pPr>
              <w:widowControl/>
              <w:jc w:val="center"/>
              <w:textAlignment w:val="baseline"/>
              <w:rPr>
                <w:rFonts w:ascii="宋体" w:hAnsi="宋体" w:cs="宋体"/>
                <w:kern w:val="0"/>
                <w:szCs w:val="21"/>
              </w:rPr>
            </w:pPr>
            <w:r>
              <w:rPr>
                <w:rFonts w:ascii="宋体" w:hAnsi="宋体" w:cs="宋体"/>
                <w:kern w:val="0"/>
                <w:szCs w:val="21"/>
              </w:rPr>
              <w:t>1</w:t>
            </w:r>
            <w:r>
              <w:rPr>
                <w:rFonts w:hint="eastAsia" w:ascii="宋体" w:hAnsi="宋体" w:cs="宋体"/>
                <w:kern w:val="0"/>
                <w:szCs w:val="21"/>
              </w:rPr>
              <w:t>6</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24口千兆交换机</w:t>
            </w:r>
          </w:p>
        </w:tc>
        <w:tc>
          <w:tcPr>
            <w:tcW w:w="558" w:type="dxa"/>
            <w:vAlign w:val="center"/>
          </w:tcPr>
          <w:p>
            <w:pPr>
              <w:widowControl/>
              <w:jc w:val="center"/>
              <w:rPr>
                <w:color w:val="000000"/>
                <w:kern w:val="0"/>
                <w:sz w:val="22"/>
              </w:rPr>
            </w:pPr>
            <w:r>
              <w:rPr>
                <w:rFonts w:hint="eastAsia"/>
                <w:color w:val="000000"/>
                <w:kern w:val="0"/>
                <w:sz w:val="22"/>
              </w:rPr>
              <w:t>2</w:t>
            </w:r>
          </w:p>
        </w:tc>
        <w:tc>
          <w:tcPr>
            <w:tcW w:w="567" w:type="dxa"/>
            <w:vAlign w:val="center"/>
          </w:tcPr>
          <w:p>
            <w:pPr>
              <w:jc w:val="center"/>
              <w:rPr>
                <w:color w:val="000000"/>
                <w:sz w:val="22"/>
              </w:rPr>
            </w:pPr>
            <w:r>
              <w:rPr>
                <w:rFonts w:hint="eastAsia"/>
                <w:color w:val="000000"/>
                <w:sz w:val="22"/>
              </w:rPr>
              <w:t>台</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 要求设备固化24个千兆电口，4个千兆光口，标准1U设备</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2.内存128M，交换容量336Gbps，包转发率84Mpps；</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3.支持 MAC地址容量≥16K；支持ACL条目≥1K，防雷能力≥7KV</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4.支持VLAN划分，最大支持4094个VLAN</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5.支持STP/RSTP/MSTP等生成树协议，可以避免网络出现环路</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6.支持标准、扩展ACL；支持端口安全隔离；支持dynamic arp 检测，支持dhcp snooping，支持ip source guard.</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7、支持云平台管理和WEB本地管理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17</w:t>
            </w:r>
          </w:p>
        </w:tc>
        <w:tc>
          <w:tcPr>
            <w:tcW w:w="1184" w:type="dxa"/>
            <w:vAlign w:val="center"/>
          </w:tcPr>
          <w:p>
            <w:pPr>
              <w:widowControl/>
              <w:jc w:val="center"/>
              <w:rPr>
                <w:color w:val="000000"/>
                <w:kern w:val="0"/>
                <w:sz w:val="22"/>
              </w:rPr>
            </w:pPr>
            <w:r>
              <w:rPr>
                <w:rFonts w:hint="eastAsia"/>
                <w:color w:val="000000"/>
                <w:kern w:val="0"/>
                <w:sz w:val="22"/>
              </w:rPr>
              <w:t>网线</w:t>
            </w:r>
          </w:p>
        </w:tc>
        <w:tc>
          <w:tcPr>
            <w:tcW w:w="558" w:type="dxa"/>
            <w:vAlign w:val="center"/>
          </w:tcPr>
          <w:p>
            <w:pPr>
              <w:widowControl/>
              <w:jc w:val="center"/>
              <w:rPr>
                <w:color w:val="000000"/>
                <w:kern w:val="0"/>
                <w:sz w:val="22"/>
              </w:rPr>
            </w:pPr>
            <w:r>
              <w:rPr>
                <w:rFonts w:hint="eastAsia"/>
                <w:color w:val="000000"/>
                <w:kern w:val="0"/>
                <w:sz w:val="22"/>
              </w:rPr>
              <w:t>5</w:t>
            </w:r>
          </w:p>
        </w:tc>
        <w:tc>
          <w:tcPr>
            <w:tcW w:w="567" w:type="dxa"/>
            <w:vAlign w:val="center"/>
          </w:tcPr>
          <w:p>
            <w:pPr>
              <w:jc w:val="center"/>
              <w:rPr>
                <w:color w:val="000000"/>
                <w:sz w:val="22"/>
              </w:rPr>
            </w:pPr>
            <w:r>
              <w:rPr>
                <w:rFonts w:hint="eastAsia"/>
                <w:color w:val="000000"/>
                <w:sz w:val="22"/>
              </w:rPr>
              <w:t>箱</w:t>
            </w:r>
          </w:p>
        </w:tc>
        <w:tc>
          <w:tcPr>
            <w:tcW w:w="7087" w:type="dxa"/>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超五类非屏蔽双绞线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18</w:t>
            </w:r>
          </w:p>
        </w:tc>
        <w:tc>
          <w:tcPr>
            <w:tcW w:w="1184" w:type="dxa"/>
            <w:vAlign w:val="center"/>
          </w:tcPr>
          <w:p>
            <w:pPr>
              <w:widowControl/>
              <w:jc w:val="center"/>
              <w:rPr>
                <w:color w:val="000000"/>
                <w:kern w:val="0"/>
                <w:sz w:val="22"/>
              </w:rPr>
            </w:pPr>
            <w:r>
              <w:rPr>
                <w:rFonts w:hint="eastAsia"/>
                <w:color w:val="000000"/>
                <w:kern w:val="0"/>
                <w:sz w:val="22"/>
              </w:rPr>
              <w:t>网络机柜</w:t>
            </w:r>
          </w:p>
        </w:tc>
        <w:tc>
          <w:tcPr>
            <w:tcW w:w="558" w:type="dxa"/>
            <w:vAlign w:val="center"/>
          </w:tcPr>
          <w:p>
            <w:pPr>
              <w:widowControl/>
              <w:jc w:val="center"/>
              <w:rPr>
                <w:color w:val="000000"/>
                <w:kern w:val="0"/>
                <w:sz w:val="22"/>
              </w:rPr>
            </w:pPr>
            <w:r>
              <w:rPr>
                <w:rFonts w:hint="eastAsia"/>
                <w:color w:val="000000"/>
                <w:kern w:val="0"/>
                <w:sz w:val="22"/>
              </w:rPr>
              <w:t>2</w:t>
            </w:r>
          </w:p>
        </w:tc>
        <w:tc>
          <w:tcPr>
            <w:tcW w:w="567" w:type="dxa"/>
            <w:vAlign w:val="center"/>
          </w:tcPr>
          <w:p>
            <w:pPr>
              <w:jc w:val="center"/>
              <w:rPr>
                <w:color w:val="000000"/>
                <w:sz w:val="22"/>
              </w:rPr>
            </w:pPr>
            <w:r>
              <w:rPr>
                <w:rFonts w:hint="eastAsia"/>
                <w:color w:val="000000"/>
                <w:sz w:val="22"/>
              </w:rPr>
              <w:t>个</w:t>
            </w:r>
          </w:p>
        </w:tc>
        <w:tc>
          <w:tcPr>
            <w:tcW w:w="7087" w:type="dxa"/>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24U网络机柜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19</w:t>
            </w:r>
          </w:p>
        </w:tc>
        <w:tc>
          <w:tcPr>
            <w:tcW w:w="1184" w:type="dxa"/>
            <w:vAlign w:val="center"/>
          </w:tcPr>
          <w:p>
            <w:pPr>
              <w:widowControl/>
              <w:jc w:val="center"/>
              <w:rPr>
                <w:color w:val="000000"/>
                <w:kern w:val="0"/>
                <w:sz w:val="22"/>
              </w:rPr>
            </w:pPr>
            <w:r>
              <w:rPr>
                <w:rFonts w:hint="eastAsia"/>
                <w:color w:val="000000"/>
                <w:kern w:val="0"/>
                <w:sz w:val="22"/>
              </w:rPr>
              <w:t>电源稳压器</w:t>
            </w:r>
          </w:p>
        </w:tc>
        <w:tc>
          <w:tcPr>
            <w:tcW w:w="558" w:type="dxa"/>
            <w:vAlign w:val="center"/>
          </w:tcPr>
          <w:p>
            <w:pPr>
              <w:widowControl/>
              <w:jc w:val="center"/>
              <w:rPr>
                <w:color w:val="000000"/>
                <w:kern w:val="0"/>
                <w:sz w:val="22"/>
              </w:rPr>
            </w:pPr>
            <w:r>
              <w:rPr>
                <w:rFonts w:hint="eastAsia"/>
                <w:color w:val="000000"/>
                <w:kern w:val="0"/>
                <w:sz w:val="22"/>
              </w:rPr>
              <w:t>1</w:t>
            </w:r>
          </w:p>
        </w:tc>
        <w:tc>
          <w:tcPr>
            <w:tcW w:w="567" w:type="dxa"/>
            <w:vAlign w:val="center"/>
          </w:tcPr>
          <w:p>
            <w:pPr>
              <w:jc w:val="center"/>
              <w:rPr>
                <w:color w:val="000000"/>
                <w:sz w:val="22"/>
              </w:rPr>
            </w:pPr>
            <w:r>
              <w:rPr>
                <w:rFonts w:hint="eastAsia"/>
                <w:color w:val="000000"/>
                <w:sz w:val="22"/>
              </w:rPr>
              <w:t>台</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1、20KVA电源稳压器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2、输入电压:176V-264V</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3、输出电压:220V±3%</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4、过压保护:&lt;245V±5V</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5、延时:长5±2分钟,短3秒左右</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6、效率:&gt;95%</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7、电流:80A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20</w:t>
            </w:r>
          </w:p>
        </w:tc>
        <w:tc>
          <w:tcPr>
            <w:tcW w:w="1184" w:type="dxa"/>
            <w:vAlign w:val="center"/>
          </w:tcPr>
          <w:p>
            <w:pPr>
              <w:widowControl/>
              <w:jc w:val="center"/>
              <w:rPr>
                <w:color w:val="000000"/>
                <w:kern w:val="0"/>
                <w:sz w:val="22"/>
              </w:rPr>
            </w:pPr>
            <w:r>
              <w:rPr>
                <w:rFonts w:hint="eastAsia"/>
                <w:color w:val="000000"/>
                <w:kern w:val="0"/>
                <w:sz w:val="22"/>
              </w:rPr>
              <w:t>双人电脑桌</w:t>
            </w:r>
          </w:p>
        </w:tc>
        <w:tc>
          <w:tcPr>
            <w:tcW w:w="558" w:type="dxa"/>
            <w:vAlign w:val="center"/>
          </w:tcPr>
          <w:p>
            <w:pPr>
              <w:widowControl/>
              <w:jc w:val="center"/>
              <w:rPr>
                <w:color w:val="000000"/>
                <w:kern w:val="0"/>
                <w:sz w:val="22"/>
              </w:rPr>
            </w:pPr>
            <w:r>
              <w:rPr>
                <w:rFonts w:hint="eastAsia"/>
                <w:color w:val="000000"/>
                <w:kern w:val="0"/>
                <w:sz w:val="22"/>
              </w:rPr>
              <w:t>24</w:t>
            </w:r>
          </w:p>
        </w:tc>
        <w:tc>
          <w:tcPr>
            <w:tcW w:w="567" w:type="dxa"/>
            <w:vAlign w:val="center"/>
          </w:tcPr>
          <w:p>
            <w:pPr>
              <w:jc w:val="center"/>
              <w:rPr>
                <w:color w:val="000000"/>
                <w:sz w:val="22"/>
              </w:rPr>
            </w:pPr>
            <w:r>
              <w:rPr>
                <w:rFonts w:hint="eastAsia"/>
                <w:color w:val="000000"/>
                <w:sz w:val="22"/>
              </w:rPr>
              <w:t>张</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1、规格：1400×600×730mm（±20mm偏差）</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材质：台面采用1.6mm厚环保型颗粒三聚氰胺板，桌面四周贴直边，其它为1.6mm厚三聚氰胺双贴面环保颗粒板，桌子整体结构采用连接板固定，桌子后方为方便布线，预留有走线槽，桌面前方有键盘托，键盘托必须为固定板。与桌面高低为10m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3、要求桌子大方、得体。</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3、有主机架。</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4、封边：不小于1mm厚pvc全自动机器封边，要求经久耐用，不易脱落，要求坚固耐用。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21</w:t>
            </w:r>
          </w:p>
        </w:tc>
        <w:tc>
          <w:tcPr>
            <w:tcW w:w="1184" w:type="dxa"/>
            <w:vAlign w:val="center"/>
          </w:tcPr>
          <w:p>
            <w:pPr>
              <w:widowControl/>
              <w:jc w:val="center"/>
              <w:rPr>
                <w:color w:val="000000"/>
                <w:kern w:val="0"/>
                <w:sz w:val="22"/>
              </w:rPr>
            </w:pPr>
            <w:r>
              <w:rPr>
                <w:rFonts w:hint="eastAsia"/>
                <w:color w:val="000000"/>
                <w:kern w:val="0"/>
                <w:sz w:val="22"/>
              </w:rPr>
              <w:t>单人电脑桌</w:t>
            </w:r>
          </w:p>
        </w:tc>
        <w:tc>
          <w:tcPr>
            <w:tcW w:w="558" w:type="dxa"/>
            <w:vAlign w:val="center"/>
          </w:tcPr>
          <w:p>
            <w:pPr>
              <w:widowControl/>
              <w:jc w:val="center"/>
              <w:rPr>
                <w:color w:val="000000"/>
                <w:kern w:val="0"/>
                <w:sz w:val="22"/>
              </w:rPr>
            </w:pPr>
            <w:r>
              <w:rPr>
                <w:rFonts w:hint="eastAsia"/>
                <w:color w:val="000000"/>
                <w:kern w:val="0"/>
                <w:sz w:val="22"/>
              </w:rPr>
              <w:t>2</w:t>
            </w:r>
          </w:p>
        </w:tc>
        <w:tc>
          <w:tcPr>
            <w:tcW w:w="567" w:type="dxa"/>
            <w:vAlign w:val="center"/>
          </w:tcPr>
          <w:p>
            <w:pPr>
              <w:jc w:val="center"/>
              <w:rPr>
                <w:color w:val="000000"/>
                <w:sz w:val="22"/>
              </w:rPr>
            </w:pPr>
            <w:r>
              <w:rPr>
                <w:rFonts w:hint="eastAsia"/>
                <w:color w:val="000000"/>
                <w:sz w:val="22"/>
              </w:rPr>
              <w:t>张</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1、规格：700×600×730mm（±20mm偏差）</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材质：台面采用1.6mm厚环保型颗粒三聚氰胺板，桌面四周贴直边，其它为1.6mm厚三聚氰胺双贴面环保颗粒板，桌子整体结构采用连接板固定，桌子后方为方便布线，预留有走线槽，桌面前方有键盘托，键盘托必须为固定板。与桌面高低为10m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3、要求桌子大方、得体。</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3、有主机架。</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4、封边：不小于1mm厚pvc全自动机器封边，要求经久耐用，不易脱落，要求坚固耐用。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22</w:t>
            </w:r>
          </w:p>
        </w:tc>
        <w:tc>
          <w:tcPr>
            <w:tcW w:w="1184" w:type="dxa"/>
            <w:vAlign w:val="center"/>
          </w:tcPr>
          <w:p>
            <w:pPr>
              <w:widowControl/>
              <w:jc w:val="center"/>
              <w:rPr>
                <w:color w:val="000000"/>
                <w:kern w:val="0"/>
                <w:sz w:val="22"/>
              </w:rPr>
            </w:pPr>
            <w:r>
              <w:rPr>
                <w:rFonts w:hint="eastAsia"/>
                <w:color w:val="000000"/>
                <w:kern w:val="0"/>
                <w:sz w:val="22"/>
              </w:rPr>
              <w:t>教师讲台</w:t>
            </w:r>
          </w:p>
        </w:tc>
        <w:tc>
          <w:tcPr>
            <w:tcW w:w="558" w:type="dxa"/>
            <w:vAlign w:val="center"/>
          </w:tcPr>
          <w:p>
            <w:pPr>
              <w:widowControl/>
              <w:jc w:val="center"/>
              <w:rPr>
                <w:color w:val="000000"/>
                <w:kern w:val="0"/>
                <w:sz w:val="22"/>
              </w:rPr>
            </w:pPr>
            <w:r>
              <w:rPr>
                <w:rFonts w:hint="eastAsia"/>
                <w:color w:val="000000"/>
                <w:kern w:val="0"/>
                <w:sz w:val="22"/>
              </w:rPr>
              <w:t>2</w:t>
            </w:r>
          </w:p>
        </w:tc>
        <w:tc>
          <w:tcPr>
            <w:tcW w:w="567" w:type="dxa"/>
            <w:vAlign w:val="center"/>
          </w:tcPr>
          <w:p>
            <w:pPr>
              <w:jc w:val="center"/>
              <w:rPr>
                <w:color w:val="000000"/>
                <w:sz w:val="22"/>
              </w:rPr>
            </w:pPr>
            <w:r>
              <w:rPr>
                <w:rFonts w:hint="eastAsia"/>
                <w:color w:val="000000"/>
                <w:sz w:val="22"/>
              </w:rPr>
              <w:t>张</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1、规格：1200×600×730mm（±20mm偏差）</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材质：台面采用1.6mm厚环保型颗粒三聚氰胺板，桌面四周贴直边，其它为1.6mm厚三聚氰胺双贴面环保颗粒板，桌子整体结构采用连接板固定，桌子后方为方便布线，预留有走线槽，桌面前方有键盘托，键盘托必须为固定板。与桌面高低为10m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3、要求桌子大方、得体。</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3、有主机架。</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4、封边：不小于1mm厚pvc全自动机器封边，要求经久耐用，不易脱落，要求坚固耐用。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23</w:t>
            </w:r>
          </w:p>
        </w:tc>
        <w:tc>
          <w:tcPr>
            <w:tcW w:w="1184" w:type="dxa"/>
            <w:vAlign w:val="center"/>
          </w:tcPr>
          <w:p>
            <w:pPr>
              <w:widowControl/>
              <w:jc w:val="center"/>
              <w:rPr>
                <w:color w:val="000000"/>
                <w:kern w:val="0"/>
                <w:sz w:val="22"/>
              </w:rPr>
            </w:pPr>
            <w:r>
              <w:rPr>
                <w:rFonts w:hint="eastAsia"/>
                <w:color w:val="000000"/>
                <w:kern w:val="0"/>
                <w:sz w:val="22"/>
              </w:rPr>
              <w:t>櫈子</w:t>
            </w:r>
          </w:p>
        </w:tc>
        <w:tc>
          <w:tcPr>
            <w:tcW w:w="558" w:type="dxa"/>
            <w:vAlign w:val="center"/>
          </w:tcPr>
          <w:p>
            <w:pPr>
              <w:widowControl/>
              <w:jc w:val="center"/>
              <w:rPr>
                <w:color w:val="000000"/>
                <w:kern w:val="0"/>
                <w:sz w:val="22"/>
              </w:rPr>
            </w:pPr>
            <w:r>
              <w:rPr>
                <w:rFonts w:hint="eastAsia"/>
                <w:color w:val="000000"/>
                <w:kern w:val="0"/>
                <w:sz w:val="22"/>
              </w:rPr>
              <w:t>102</w:t>
            </w:r>
          </w:p>
        </w:tc>
        <w:tc>
          <w:tcPr>
            <w:tcW w:w="567" w:type="dxa"/>
            <w:vAlign w:val="center"/>
          </w:tcPr>
          <w:p>
            <w:pPr>
              <w:jc w:val="center"/>
              <w:rPr>
                <w:color w:val="000000"/>
                <w:sz w:val="22"/>
              </w:rPr>
            </w:pPr>
            <w:r>
              <w:rPr>
                <w:rFonts w:hint="eastAsia"/>
                <w:color w:val="000000"/>
                <w:sz w:val="22"/>
              </w:rPr>
              <w:t>张</w:t>
            </w:r>
          </w:p>
        </w:tc>
        <w:tc>
          <w:tcPr>
            <w:tcW w:w="7087" w:type="dxa"/>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钢木方凳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24</w:t>
            </w:r>
          </w:p>
        </w:tc>
        <w:tc>
          <w:tcPr>
            <w:tcW w:w="1184" w:type="dxa"/>
            <w:vAlign w:val="center"/>
          </w:tcPr>
          <w:p>
            <w:pPr>
              <w:widowControl/>
              <w:jc w:val="center"/>
              <w:rPr>
                <w:color w:val="000000"/>
                <w:kern w:val="0"/>
                <w:sz w:val="22"/>
              </w:rPr>
            </w:pPr>
            <w:r>
              <w:rPr>
                <w:rFonts w:hint="eastAsia"/>
                <w:color w:val="000000"/>
                <w:kern w:val="0"/>
                <w:sz w:val="22"/>
              </w:rPr>
              <w:t>施工辅材</w:t>
            </w:r>
          </w:p>
        </w:tc>
        <w:tc>
          <w:tcPr>
            <w:tcW w:w="558" w:type="dxa"/>
            <w:vAlign w:val="center"/>
          </w:tcPr>
          <w:p>
            <w:pPr>
              <w:widowControl/>
              <w:jc w:val="center"/>
              <w:rPr>
                <w:color w:val="000000"/>
                <w:kern w:val="0"/>
                <w:sz w:val="22"/>
              </w:rPr>
            </w:pPr>
            <w:r>
              <w:rPr>
                <w:rFonts w:hint="eastAsia"/>
                <w:color w:val="000000"/>
                <w:kern w:val="0"/>
                <w:sz w:val="22"/>
              </w:rPr>
              <w:t>1</w:t>
            </w:r>
          </w:p>
        </w:tc>
        <w:tc>
          <w:tcPr>
            <w:tcW w:w="567" w:type="dxa"/>
            <w:vAlign w:val="center"/>
          </w:tcPr>
          <w:p>
            <w:pPr>
              <w:jc w:val="center"/>
              <w:rPr>
                <w:color w:val="000000"/>
                <w:sz w:val="22"/>
              </w:rPr>
            </w:pPr>
            <w:r>
              <w:rPr>
                <w:rFonts w:hint="eastAsia"/>
                <w:color w:val="000000"/>
                <w:sz w:val="22"/>
              </w:rPr>
              <w:t>批</w:t>
            </w:r>
          </w:p>
        </w:tc>
        <w:tc>
          <w:tcPr>
            <w:tcW w:w="7087" w:type="dxa"/>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PVC线槽、电源插座、电源线、地槽、空气开关、六类水晶头、螺丝、胶粒、电工胶布等五金材料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25</w:t>
            </w:r>
          </w:p>
        </w:tc>
        <w:tc>
          <w:tcPr>
            <w:tcW w:w="1184" w:type="dxa"/>
            <w:vAlign w:val="center"/>
          </w:tcPr>
          <w:p>
            <w:pPr>
              <w:widowControl/>
              <w:jc w:val="center"/>
              <w:rPr>
                <w:color w:val="000000"/>
                <w:kern w:val="0"/>
                <w:sz w:val="22"/>
              </w:rPr>
            </w:pPr>
            <w:r>
              <w:rPr>
                <w:rFonts w:hint="eastAsia"/>
                <w:color w:val="000000"/>
                <w:kern w:val="0"/>
                <w:sz w:val="22"/>
              </w:rPr>
              <w:t>系统集成服务</w:t>
            </w:r>
          </w:p>
        </w:tc>
        <w:tc>
          <w:tcPr>
            <w:tcW w:w="558" w:type="dxa"/>
            <w:vAlign w:val="center"/>
          </w:tcPr>
          <w:p>
            <w:pPr>
              <w:widowControl/>
              <w:jc w:val="center"/>
              <w:rPr>
                <w:color w:val="000000"/>
                <w:kern w:val="0"/>
                <w:sz w:val="22"/>
              </w:rPr>
            </w:pPr>
            <w:r>
              <w:rPr>
                <w:rFonts w:hint="eastAsia"/>
                <w:color w:val="000000"/>
                <w:kern w:val="0"/>
                <w:sz w:val="22"/>
              </w:rPr>
              <w:t>1</w:t>
            </w:r>
          </w:p>
        </w:tc>
        <w:tc>
          <w:tcPr>
            <w:tcW w:w="567" w:type="dxa"/>
            <w:vAlign w:val="center"/>
          </w:tcPr>
          <w:p>
            <w:pPr>
              <w:jc w:val="center"/>
              <w:rPr>
                <w:color w:val="000000"/>
                <w:sz w:val="22"/>
              </w:rPr>
            </w:pPr>
            <w:r>
              <w:rPr>
                <w:rFonts w:hint="eastAsia"/>
                <w:color w:val="000000"/>
                <w:sz w:val="22"/>
              </w:rPr>
              <w:t>项</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1、包含各教室所需电源线路铺设、网络线路铺设。</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2、包含对所有设备安装，解决设备安装过程中的各种技术疑难问题。</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3、对所有设备进行集成调试，处理调试过程中发生的各种异常现象。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0071" w:type="dxa"/>
            <w:gridSpan w:val="5"/>
            <w:vAlign w:val="center"/>
          </w:tcPr>
          <w:p>
            <w:pPr>
              <w:widowControl/>
              <w:jc w:val="left"/>
              <w:textAlignment w:val="center"/>
              <w:rPr>
                <w:rFonts w:ascii="宋体" w:hAnsi="宋体" w:cs="宋体"/>
                <w:color w:val="000000"/>
                <w:kern w:val="0"/>
                <w:sz w:val="22"/>
                <w:lang w:bidi="ar"/>
              </w:rPr>
            </w:pPr>
            <w:r>
              <w:rPr>
                <w:rFonts w:hint="eastAsia" w:ascii="宋体" w:hAnsi="宋体" w:cs="宋体"/>
                <w:b/>
                <w:bCs/>
                <w:color w:val="000000"/>
                <w:kern w:val="0"/>
                <w:sz w:val="22"/>
                <w:lang w:bidi="ar"/>
              </w:rPr>
              <w:t>四、课桌凳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26</w:t>
            </w:r>
          </w:p>
        </w:tc>
        <w:tc>
          <w:tcPr>
            <w:tcW w:w="1184" w:type="dxa"/>
            <w:vAlign w:val="center"/>
          </w:tcPr>
          <w:p>
            <w:pPr>
              <w:widowControl/>
              <w:jc w:val="center"/>
              <w:rPr>
                <w:color w:val="000000"/>
                <w:kern w:val="0"/>
                <w:sz w:val="22"/>
              </w:rPr>
            </w:pPr>
            <w:r>
              <w:rPr>
                <w:rFonts w:hint="eastAsia"/>
                <w:color w:val="000000"/>
                <w:kern w:val="0"/>
                <w:sz w:val="22"/>
              </w:rPr>
              <w:t>517-1</w:t>
            </w:r>
          </w:p>
          <w:p>
            <w:pPr>
              <w:widowControl/>
              <w:jc w:val="center"/>
              <w:rPr>
                <w:color w:val="000000"/>
                <w:kern w:val="0"/>
                <w:sz w:val="22"/>
              </w:rPr>
            </w:pPr>
            <w:r>
              <w:rPr>
                <w:rFonts w:hint="eastAsia"/>
                <w:color w:val="000000"/>
                <w:kern w:val="0"/>
                <w:sz w:val="22"/>
              </w:rPr>
              <w:t>型塑钢双层面升降课桌凳</w:t>
            </w:r>
          </w:p>
        </w:tc>
        <w:tc>
          <w:tcPr>
            <w:tcW w:w="558" w:type="dxa"/>
            <w:vAlign w:val="center"/>
          </w:tcPr>
          <w:p>
            <w:pPr>
              <w:widowControl/>
              <w:jc w:val="center"/>
              <w:rPr>
                <w:color w:val="000000"/>
                <w:kern w:val="0"/>
                <w:sz w:val="22"/>
              </w:rPr>
            </w:pPr>
            <w:r>
              <w:rPr>
                <w:rFonts w:hint="eastAsia"/>
                <w:color w:val="000000"/>
                <w:kern w:val="0"/>
                <w:sz w:val="22"/>
              </w:rPr>
              <w:t>3130</w:t>
            </w:r>
          </w:p>
        </w:tc>
        <w:tc>
          <w:tcPr>
            <w:tcW w:w="567" w:type="dxa"/>
            <w:vAlign w:val="center"/>
          </w:tcPr>
          <w:p>
            <w:pPr>
              <w:jc w:val="center"/>
              <w:rPr>
                <w:color w:val="000000"/>
                <w:sz w:val="22"/>
              </w:rPr>
            </w:pPr>
            <w:r>
              <w:rPr>
                <w:rFonts w:hint="eastAsia" w:ascii="宋体" w:hAnsi="宋体" w:cs="宋体"/>
                <w:color w:val="000000"/>
                <w:sz w:val="22"/>
              </w:rPr>
              <w:t>套</w:t>
            </w:r>
          </w:p>
        </w:tc>
        <w:tc>
          <w:tcPr>
            <w:tcW w:w="7087" w:type="dxa"/>
            <w:vAlign w:val="center"/>
          </w:tcPr>
          <w:p>
            <w:pPr>
              <w:widowControl/>
              <w:jc w:val="left"/>
              <w:textAlignment w:val="baseline"/>
              <w:rPr>
                <w:rFonts w:ascii="宋体" w:hAnsi="宋体" w:cs="宋体"/>
                <w:kern w:val="0"/>
                <w:sz w:val="22"/>
              </w:rPr>
            </w:pPr>
            <w:r>
              <w:rPr>
                <w:rFonts w:hint="eastAsia" w:ascii="宋体" w:hAnsi="宋体" w:cs="宋体"/>
                <w:kern w:val="0"/>
                <w:sz w:val="22"/>
              </w:rPr>
              <w:t>桌面规格尺寸（mm）：长620×宽420×厚29</w:t>
            </w:r>
          </w:p>
          <w:p>
            <w:pPr>
              <w:widowControl/>
              <w:jc w:val="left"/>
              <w:textAlignment w:val="baseline"/>
              <w:rPr>
                <w:rFonts w:ascii="宋体" w:hAnsi="宋体" w:cs="宋体"/>
                <w:kern w:val="0"/>
                <w:sz w:val="22"/>
              </w:rPr>
            </w:pPr>
            <w:r>
              <w:rPr>
                <w:rFonts w:hint="eastAsia" w:ascii="宋体" w:hAnsi="宋体" w:cs="宋体"/>
                <w:kern w:val="0"/>
                <w:sz w:val="22"/>
              </w:rPr>
              <w:t>采用中石化PE吹塑一体成型桌面，无需封边。桌面带有笔槽和杯槽，自带书立使用和收纳槽。</w:t>
            </w:r>
          </w:p>
          <w:p>
            <w:pPr>
              <w:widowControl/>
              <w:jc w:val="left"/>
              <w:textAlignment w:val="baseline"/>
              <w:rPr>
                <w:rFonts w:ascii="宋体" w:hAnsi="宋体" w:cs="宋体"/>
                <w:kern w:val="0"/>
                <w:sz w:val="22"/>
              </w:rPr>
            </w:pPr>
            <w:r>
              <w:rPr>
                <w:rFonts w:hint="eastAsia" w:ascii="宋体" w:hAnsi="宋体" w:cs="宋体"/>
                <w:kern w:val="0"/>
                <w:sz w:val="22"/>
              </w:rPr>
              <w:t>具体要求：</w:t>
            </w:r>
          </w:p>
          <w:p>
            <w:pPr>
              <w:widowControl/>
              <w:jc w:val="left"/>
              <w:textAlignment w:val="baseline"/>
              <w:rPr>
                <w:rFonts w:ascii="宋体" w:hAnsi="宋体" w:cs="宋体"/>
                <w:kern w:val="0"/>
                <w:sz w:val="22"/>
              </w:rPr>
            </w:pPr>
            <w:r>
              <w:rPr>
                <w:rFonts w:hint="eastAsia" w:ascii="宋体" w:hAnsi="宋体" w:cs="宋体"/>
                <w:kern w:val="0"/>
                <w:sz w:val="22"/>
              </w:rPr>
              <w:t>1.桌面为双层全封闭面。正面，侧面无封边结构。</w:t>
            </w:r>
          </w:p>
          <w:p>
            <w:pPr>
              <w:widowControl/>
              <w:jc w:val="left"/>
              <w:textAlignment w:val="baseline"/>
              <w:rPr>
                <w:rFonts w:ascii="宋体" w:hAnsi="宋体" w:cs="宋体"/>
                <w:kern w:val="0"/>
                <w:sz w:val="22"/>
              </w:rPr>
            </w:pPr>
            <w:r>
              <w:rPr>
                <w:rFonts w:hint="eastAsia" w:ascii="宋体" w:hAnsi="宋体" w:cs="宋体"/>
                <w:kern w:val="0"/>
                <w:sz w:val="22"/>
              </w:rPr>
              <w:t>桌面上设有一个直径75mm杯槽和一个长280mm宽25mm笔槽。可放置杯子及文具。</w:t>
            </w:r>
          </w:p>
          <w:p>
            <w:pPr>
              <w:widowControl/>
              <w:jc w:val="left"/>
              <w:textAlignment w:val="baseline"/>
              <w:rPr>
                <w:rFonts w:ascii="宋体" w:hAnsi="宋体" w:cs="宋体"/>
                <w:kern w:val="0"/>
                <w:sz w:val="22"/>
              </w:rPr>
            </w:pPr>
            <w:r>
              <w:rPr>
                <w:rFonts w:hint="eastAsia" w:ascii="宋体" w:hAnsi="宋体" w:cs="宋体"/>
                <w:kern w:val="0"/>
                <w:sz w:val="22"/>
              </w:rPr>
              <w:t>2、桌面前部有一条防笔条，沿笔槽杯槽设置，两侧长150mm，中间长600mm，防止书本或者文具笔类掉落</w:t>
            </w:r>
          </w:p>
          <w:p>
            <w:pPr>
              <w:widowControl/>
              <w:jc w:val="left"/>
              <w:textAlignment w:val="baseline"/>
              <w:rPr>
                <w:rFonts w:ascii="宋体" w:hAnsi="宋体" w:cs="宋体"/>
                <w:kern w:val="0"/>
                <w:sz w:val="22"/>
              </w:rPr>
            </w:pPr>
            <w:r>
              <w:rPr>
                <w:rFonts w:hint="eastAsia" w:ascii="宋体" w:hAnsi="宋体" w:cs="宋体"/>
                <w:kern w:val="0"/>
                <w:sz w:val="22"/>
              </w:rPr>
              <w:t>3、桌面正面靠人一侧有弧形造型。</w:t>
            </w:r>
          </w:p>
          <w:p>
            <w:pPr>
              <w:widowControl/>
              <w:jc w:val="left"/>
              <w:textAlignment w:val="baseline"/>
              <w:rPr>
                <w:rFonts w:ascii="宋体" w:hAnsi="宋体" w:cs="宋体"/>
                <w:kern w:val="0"/>
                <w:sz w:val="22"/>
              </w:rPr>
            </w:pPr>
            <w:r>
              <w:rPr>
                <w:rFonts w:hint="eastAsia" w:ascii="宋体" w:hAnsi="宋体" w:cs="宋体"/>
                <w:kern w:val="0"/>
                <w:sz w:val="22"/>
              </w:rPr>
              <w:t>4、桌面四周上下及底部都采用圆滑造型，没有毛刺。</w:t>
            </w:r>
          </w:p>
          <w:p>
            <w:pPr>
              <w:widowControl/>
              <w:jc w:val="left"/>
              <w:textAlignment w:val="baseline"/>
              <w:rPr>
                <w:rFonts w:ascii="宋体" w:hAnsi="宋体" w:cs="宋体"/>
                <w:kern w:val="0"/>
                <w:sz w:val="22"/>
              </w:rPr>
            </w:pPr>
            <w:r>
              <w:rPr>
                <w:rFonts w:hint="eastAsia" w:ascii="宋体" w:hAnsi="宋体" w:cs="宋体"/>
                <w:kern w:val="0"/>
                <w:sz w:val="22"/>
              </w:rPr>
              <w:t>5、桌面采用磨砂设计，防滑耐脏。</w:t>
            </w:r>
          </w:p>
          <w:p>
            <w:pPr>
              <w:widowControl/>
              <w:jc w:val="left"/>
              <w:textAlignment w:val="baseline"/>
              <w:rPr>
                <w:rFonts w:ascii="宋体" w:hAnsi="宋体" w:cs="宋体"/>
                <w:kern w:val="0"/>
                <w:sz w:val="22"/>
              </w:rPr>
            </w:pPr>
            <w:r>
              <w:rPr>
                <w:rFonts w:hint="eastAsia" w:ascii="宋体" w:hAnsi="宋体" w:cs="宋体"/>
                <w:kern w:val="0"/>
                <w:sz w:val="22"/>
              </w:rPr>
              <w:t>书斗规格尺寸（mm）：宽500×深305×高175</w:t>
            </w:r>
          </w:p>
          <w:p>
            <w:pPr>
              <w:widowControl/>
              <w:jc w:val="left"/>
              <w:textAlignment w:val="baseline"/>
              <w:rPr>
                <w:rFonts w:ascii="宋体" w:hAnsi="宋体" w:cs="宋体"/>
                <w:kern w:val="0"/>
                <w:sz w:val="22"/>
              </w:rPr>
            </w:pPr>
            <w:r>
              <w:rPr>
                <w:rFonts w:hint="eastAsia" w:ascii="宋体" w:hAnsi="宋体" w:cs="宋体"/>
                <w:kern w:val="0"/>
                <w:sz w:val="22"/>
              </w:rPr>
              <w:t>采用PP聚丙烯注塑形成。</w:t>
            </w:r>
          </w:p>
          <w:p>
            <w:pPr>
              <w:rPr>
                <w:rFonts w:ascii="宋体" w:hAnsi="宋体" w:cs="宋体"/>
                <w:kern w:val="0"/>
                <w:sz w:val="22"/>
              </w:rPr>
            </w:pPr>
            <w:r>
              <w:rPr>
                <w:rFonts w:hint="eastAsia" w:ascii="宋体" w:hAnsi="宋体" w:cs="宋体"/>
                <w:kern w:val="0"/>
                <w:sz w:val="22"/>
              </w:rPr>
              <w:t>具体要求：书斗采用PP的材质，内高175mm，整体宽 500mm ，深度 305mm.</w:t>
            </w:r>
          </w:p>
          <w:p>
            <w:pPr>
              <w:widowControl/>
              <w:jc w:val="left"/>
              <w:textAlignment w:val="baseline"/>
              <w:rPr>
                <w:rFonts w:ascii="宋体" w:hAnsi="宋体" w:cs="宋体"/>
                <w:kern w:val="0"/>
                <w:sz w:val="22"/>
              </w:rPr>
            </w:pPr>
            <w:r>
              <w:rPr>
                <w:rFonts w:hint="eastAsia" w:ascii="宋体" w:hAnsi="宋体" w:cs="宋体"/>
                <w:kern w:val="0"/>
                <w:sz w:val="22"/>
              </w:rPr>
              <w:t>书斗插管口规格尺寸：深750mm</w:t>
            </w:r>
          </w:p>
          <w:p>
            <w:pPr>
              <w:rPr>
                <w:rFonts w:ascii="宋体" w:hAnsi="宋体" w:cs="宋体"/>
                <w:kern w:val="0"/>
                <w:sz w:val="22"/>
              </w:rPr>
            </w:pPr>
            <w:r>
              <w:rPr>
                <w:rFonts w:hint="eastAsia" w:ascii="宋体" w:hAnsi="宋体" w:cs="宋体"/>
                <w:kern w:val="0"/>
                <w:sz w:val="22"/>
              </w:rPr>
              <w:t>采用PP聚丙烯注塑形成。</w:t>
            </w:r>
          </w:p>
          <w:p>
            <w:pPr>
              <w:widowControl/>
              <w:jc w:val="left"/>
              <w:textAlignment w:val="baseline"/>
              <w:rPr>
                <w:rFonts w:ascii="宋体" w:hAnsi="宋体" w:cs="宋体"/>
                <w:kern w:val="0"/>
                <w:sz w:val="22"/>
              </w:rPr>
            </w:pPr>
            <w:r>
              <w:rPr>
                <w:rFonts w:hint="eastAsia" w:ascii="宋体" w:hAnsi="宋体" w:cs="宋体"/>
                <w:kern w:val="0"/>
                <w:sz w:val="22"/>
              </w:rPr>
              <w:t>具体要求：</w:t>
            </w:r>
          </w:p>
          <w:p>
            <w:pPr>
              <w:rPr>
                <w:rFonts w:ascii="宋体" w:hAnsi="宋体" w:cs="宋体"/>
                <w:kern w:val="0"/>
                <w:sz w:val="22"/>
              </w:rPr>
            </w:pPr>
            <w:r>
              <w:rPr>
                <w:rFonts w:hint="eastAsia" w:ascii="宋体" w:hAnsi="宋体" w:cs="宋体"/>
                <w:kern w:val="0"/>
                <w:sz w:val="22"/>
              </w:rPr>
              <w:t>1、书斗插管口尺寸≥深750mm，主要用于提高书斗的稳定性、有利于延长课桌的使用寿命;</w:t>
            </w:r>
          </w:p>
          <w:p>
            <w:pPr>
              <w:rPr>
                <w:rFonts w:ascii="宋体" w:hAnsi="宋体" w:cs="宋体"/>
                <w:kern w:val="0"/>
                <w:sz w:val="22"/>
              </w:rPr>
            </w:pPr>
            <w:r>
              <w:rPr>
                <w:rFonts w:hint="eastAsia" w:ascii="宋体" w:hAnsi="宋体" w:cs="宋体"/>
                <w:kern w:val="0"/>
                <w:sz w:val="22"/>
              </w:rPr>
              <w:t>2、书斗插管口不得贯通，防止书斗与直管连接后有缝隙，影响课桌的使用寿命。</w:t>
            </w:r>
          </w:p>
          <w:p>
            <w:pPr>
              <w:widowControl/>
              <w:jc w:val="left"/>
              <w:textAlignment w:val="baseline"/>
              <w:rPr>
                <w:rFonts w:ascii="宋体" w:hAnsi="宋体" w:cs="宋体"/>
                <w:kern w:val="0"/>
                <w:sz w:val="22"/>
              </w:rPr>
            </w:pPr>
            <w:r>
              <w:rPr>
                <w:rFonts w:hint="eastAsia" w:ascii="宋体" w:hAnsi="宋体" w:cs="宋体"/>
                <w:kern w:val="0"/>
                <w:sz w:val="22"/>
              </w:rPr>
              <w:t>书斗底部加强筋规格尺寸：主体厚度5mm</w:t>
            </w:r>
          </w:p>
          <w:p>
            <w:pPr>
              <w:rPr>
                <w:rFonts w:ascii="宋体" w:hAnsi="宋体" w:cs="宋体"/>
                <w:kern w:val="0"/>
                <w:sz w:val="22"/>
              </w:rPr>
            </w:pPr>
            <w:r>
              <w:rPr>
                <w:rFonts w:hint="eastAsia" w:ascii="宋体" w:hAnsi="宋体" w:cs="宋体"/>
                <w:kern w:val="0"/>
                <w:sz w:val="22"/>
              </w:rPr>
              <w:t>采用PP聚丙烯注塑形成，桌斗采用多网格搭配弧形拉筋结构。</w:t>
            </w:r>
          </w:p>
          <w:p>
            <w:pPr>
              <w:widowControl/>
              <w:jc w:val="left"/>
              <w:textAlignment w:val="baseline"/>
              <w:rPr>
                <w:rFonts w:ascii="宋体" w:hAnsi="宋体" w:cs="宋体"/>
                <w:kern w:val="0"/>
                <w:sz w:val="22"/>
              </w:rPr>
            </w:pPr>
            <w:r>
              <w:rPr>
                <w:rFonts w:hint="eastAsia" w:ascii="宋体" w:hAnsi="宋体" w:cs="宋体"/>
                <w:kern w:val="0"/>
                <w:sz w:val="22"/>
              </w:rPr>
              <w:t>具体要求：</w:t>
            </w:r>
          </w:p>
          <w:p>
            <w:pPr>
              <w:rPr>
                <w:rFonts w:ascii="宋体" w:hAnsi="宋体" w:cs="宋体"/>
                <w:kern w:val="0"/>
                <w:sz w:val="22"/>
              </w:rPr>
            </w:pPr>
            <w:r>
              <w:rPr>
                <w:rFonts w:hint="eastAsia" w:ascii="宋体" w:hAnsi="宋体" w:cs="宋体"/>
                <w:kern w:val="0"/>
                <w:sz w:val="22"/>
              </w:rPr>
              <w:t>1、底部筋条横10竖7结构使强度极大增强。</w:t>
            </w:r>
          </w:p>
          <w:p>
            <w:pPr>
              <w:rPr>
                <w:rFonts w:ascii="宋体" w:hAnsi="宋体" w:cs="宋体"/>
                <w:kern w:val="0"/>
                <w:sz w:val="22"/>
              </w:rPr>
            </w:pPr>
            <w:r>
              <w:rPr>
                <w:rFonts w:hint="eastAsia" w:ascii="宋体" w:hAnsi="宋体" w:cs="宋体"/>
                <w:kern w:val="0"/>
                <w:sz w:val="22"/>
              </w:rPr>
              <w:t>2、桌斗开口处加强筋需达到10mm厚度，防止下榻。桌斗内部有54个镂空格，增加美观度并增加强度。</w:t>
            </w:r>
          </w:p>
          <w:p>
            <w:pPr>
              <w:rPr>
                <w:rFonts w:ascii="宋体" w:hAnsi="宋体" w:cs="宋体"/>
                <w:kern w:val="0"/>
                <w:sz w:val="22"/>
              </w:rPr>
            </w:pPr>
            <w:r>
              <w:rPr>
                <w:rFonts w:hint="eastAsia" w:ascii="宋体" w:hAnsi="宋体" w:cs="宋体"/>
                <w:kern w:val="0"/>
                <w:sz w:val="22"/>
              </w:rPr>
              <w:t>3、桌斗开口处设置有一个笔槽，方便存放和取用笔类文具。</w:t>
            </w:r>
          </w:p>
          <w:p>
            <w:pPr>
              <w:rPr>
                <w:rFonts w:ascii="宋体" w:hAnsi="宋体" w:cs="宋体"/>
                <w:kern w:val="0"/>
                <w:sz w:val="22"/>
              </w:rPr>
            </w:pPr>
            <w:r>
              <w:rPr>
                <w:rFonts w:hint="eastAsia" w:ascii="宋体" w:hAnsi="宋体" w:cs="宋体"/>
                <w:kern w:val="0"/>
                <w:sz w:val="22"/>
              </w:rPr>
              <w:t>4、桌斗两侧有65mm高的置物格，可以收纳文具及杂物。</w:t>
            </w:r>
          </w:p>
          <w:p>
            <w:pPr>
              <w:widowControl/>
              <w:jc w:val="left"/>
              <w:textAlignment w:val="baseline"/>
              <w:rPr>
                <w:rFonts w:ascii="宋体" w:hAnsi="宋体" w:cs="宋体"/>
                <w:kern w:val="0"/>
                <w:sz w:val="22"/>
              </w:rPr>
            </w:pPr>
            <w:r>
              <w:rPr>
                <w:rFonts w:hint="eastAsia" w:ascii="宋体" w:hAnsi="宋体" w:cs="宋体"/>
                <w:kern w:val="0"/>
                <w:sz w:val="22"/>
              </w:rPr>
              <w:t>桌子管件规格尺寸：</w:t>
            </w:r>
          </w:p>
          <w:p>
            <w:pPr>
              <w:rPr>
                <w:rFonts w:ascii="宋体" w:hAnsi="宋体" w:cs="宋体"/>
                <w:kern w:val="0"/>
                <w:sz w:val="22"/>
              </w:rPr>
            </w:pPr>
            <w:r>
              <w:rPr>
                <w:rFonts w:hint="eastAsia" w:ascii="宋体" w:hAnsi="宋体" w:cs="宋体"/>
                <w:kern w:val="0"/>
                <w:sz w:val="22"/>
              </w:rPr>
              <w:t>直管：宽60mm×厚24mm</w:t>
            </w:r>
          </w:p>
          <w:p>
            <w:pPr>
              <w:rPr>
                <w:rFonts w:ascii="宋体" w:hAnsi="宋体" w:cs="宋体"/>
                <w:kern w:val="0"/>
                <w:sz w:val="22"/>
              </w:rPr>
            </w:pPr>
            <w:r>
              <w:rPr>
                <w:rFonts w:hint="eastAsia" w:ascii="宋体" w:hAnsi="宋体" w:cs="宋体"/>
                <w:kern w:val="0"/>
                <w:sz w:val="22"/>
              </w:rPr>
              <w:t>桌腿：宽度 60mm  厚度23 mm  内层边厚度 3mm</w:t>
            </w:r>
          </w:p>
          <w:p>
            <w:pPr>
              <w:rPr>
                <w:rFonts w:ascii="宋体" w:hAnsi="宋体" w:cs="宋体"/>
                <w:kern w:val="0"/>
                <w:sz w:val="22"/>
              </w:rPr>
            </w:pPr>
            <w:r>
              <w:rPr>
                <w:rFonts w:hint="eastAsia" w:ascii="宋体" w:hAnsi="宋体" w:cs="宋体"/>
                <w:kern w:val="0"/>
                <w:sz w:val="22"/>
              </w:rPr>
              <w:t>桌子横档：宽50mm高23mm壁厚3mm</w:t>
            </w:r>
          </w:p>
          <w:p>
            <w:pPr>
              <w:spacing w:line="276" w:lineRule="auto"/>
              <w:rPr>
                <w:rFonts w:ascii="宋体" w:hAnsi="宋体" w:cs="宋体"/>
                <w:kern w:val="0"/>
                <w:sz w:val="22"/>
              </w:rPr>
            </w:pPr>
            <w:r>
              <w:rPr>
                <w:rFonts w:hint="eastAsia" w:ascii="宋体" w:hAnsi="宋体" w:cs="宋体"/>
                <w:kern w:val="0"/>
                <w:sz w:val="22"/>
              </w:rPr>
              <w:t>具体要求：桌腿及横档采用注塑工艺，PP高强度工程塑料材质。</w:t>
            </w:r>
          </w:p>
          <w:p>
            <w:pPr>
              <w:widowControl/>
              <w:jc w:val="left"/>
              <w:textAlignment w:val="baseline"/>
              <w:rPr>
                <w:rFonts w:ascii="宋体" w:hAnsi="宋体" w:cs="宋体"/>
                <w:kern w:val="0"/>
                <w:sz w:val="22"/>
              </w:rPr>
            </w:pPr>
            <w:r>
              <w:rPr>
                <w:rFonts w:hint="eastAsia" w:ascii="宋体" w:hAnsi="宋体" w:cs="宋体"/>
                <w:kern w:val="0"/>
                <w:sz w:val="22"/>
              </w:rPr>
              <w:t>桌脚规格尺寸（mm）：长360×宽33×高235</w:t>
            </w:r>
          </w:p>
          <w:p>
            <w:pPr>
              <w:spacing w:line="276" w:lineRule="auto"/>
              <w:rPr>
                <w:rFonts w:ascii="宋体" w:hAnsi="宋体" w:cs="宋体"/>
                <w:kern w:val="0"/>
                <w:sz w:val="22"/>
              </w:rPr>
            </w:pPr>
            <w:r>
              <w:rPr>
                <w:rFonts w:hint="eastAsia" w:ascii="宋体" w:hAnsi="宋体" w:cs="宋体"/>
                <w:kern w:val="0"/>
                <w:sz w:val="22"/>
              </w:rPr>
              <w:t>桌脚采用环保PP材料一次注塑成型；</w:t>
            </w:r>
          </w:p>
          <w:p>
            <w:pPr>
              <w:widowControl/>
              <w:jc w:val="left"/>
              <w:textAlignment w:val="baseline"/>
              <w:rPr>
                <w:rFonts w:ascii="宋体" w:hAnsi="宋体" w:cs="宋体"/>
                <w:kern w:val="0"/>
                <w:sz w:val="22"/>
              </w:rPr>
            </w:pPr>
            <w:r>
              <w:rPr>
                <w:rFonts w:hint="eastAsia" w:ascii="宋体" w:hAnsi="宋体" w:cs="宋体"/>
                <w:kern w:val="0"/>
                <w:sz w:val="22"/>
              </w:rPr>
              <w:t>具体要求：</w:t>
            </w:r>
          </w:p>
          <w:p>
            <w:pPr>
              <w:spacing w:line="276" w:lineRule="auto"/>
              <w:rPr>
                <w:rFonts w:ascii="宋体" w:hAnsi="宋体" w:cs="宋体"/>
                <w:kern w:val="0"/>
                <w:sz w:val="22"/>
              </w:rPr>
            </w:pPr>
            <w:r>
              <w:rPr>
                <w:rFonts w:hint="eastAsia" w:ascii="宋体" w:hAnsi="宋体" w:cs="宋体"/>
                <w:kern w:val="0"/>
                <w:sz w:val="22"/>
              </w:rPr>
              <w:t>1、桌脚和横梁不得采用螺丝连接，桌脚之间有横梁连接加固，两侧插口处有10mm加长结构，增加桌子稳定性。</w:t>
            </w:r>
          </w:p>
          <w:p>
            <w:pPr>
              <w:spacing w:line="276" w:lineRule="auto"/>
              <w:rPr>
                <w:rFonts w:ascii="宋体" w:hAnsi="宋体" w:cs="宋体"/>
                <w:kern w:val="0"/>
                <w:sz w:val="22"/>
              </w:rPr>
            </w:pPr>
            <w:r>
              <w:rPr>
                <w:rFonts w:hint="eastAsia" w:ascii="宋体" w:hAnsi="宋体" w:cs="宋体"/>
                <w:kern w:val="0"/>
                <w:sz w:val="22"/>
              </w:rPr>
              <w:t>2、横档可做学生脚踏，同时又增强两根脚立柱的稳固性和平稳性；</w:t>
            </w:r>
          </w:p>
          <w:p>
            <w:pPr>
              <w:spacing w:line="276" w:lineRule="auto"/>
              <w:rPr>
                <w:rFonts w:ascii="宋体" w:hAnsi="宋体" w:cs="宋体"/>
                <w:kern w:val="0"/>
                <w:sz w:val="22"/>
              </w:rPr>
            </w:pPr>
            <w:r>
              <w:rPr>
                <w:rFonts w:hint="eastAsia" w:ascii="宋体" w:hAnsi="宋体" w:cs="宋体"/>
                <w:kern w:val="0"/>
                <w:sz w:val="22"/>
              </w:rPr>
              <w:t>3、四个脚底安装防滑专用胶垫，稳固安全。</w:t>
            </w:r>
          </w:p>
          <w:p>
            <w:pPr>
              <w:spacing w:line="276" w:lineRule="auto"/>
              <w:rPr>
                <w:rFonts w:ascii="宋体" w:hAnsi="宋体" w:cs="宋体"/>
                <w:kern w:val="0"/>
                <w:sz w:val="22"/>
              </w:rPr>
            </w:pPr>
            <w:r>
              <w:rPr>
                <w:rFonts w:hint="eastAsia" w:ascii="宋体" w:hAnsi="宋体" w:cs="宋体"/>
                <w:kern w:val="0"/>
                <w:sz w:val="22"/>
              </w:rPr>
              <w:t>4、桌脚的四个桌腿插口各有 3格升降孔，可以根据需要调节高度。</w:t>
            </w:r>
          </w:p>
          <w:p>
            <w:pPr>
              <w:widowControl/>
              <w:jc w:val="left"/>
              <w:textAlignment w:val="baseline"/>
              <w:rPr>
                <w:rFonts w:ascii="宋体" w:hAnsi="宋体" w:cs="宋体"/>
                <w:kern w:val="0"/>
                <w:sz w:val="22"/>
              </w:rPr>
            </w:pPr>
            <w:r>
              <w:rPr>
                <w:rFonts w:hint="eastAsia" w:ascii="宋体" w:hAnsi="宋体" w:cs="宋体"/>
                <w:kern w:val="0"/>
                <w:sz w:val="22"/>
              </w:rPr>
              <w:t>学生课凳椅面规格尺寸（mm）：长350×宽350×壁厚8</w:t>
            </w:r>
          </w:p>
          <w:p>
            <w:pPr>
              <w:spacing w:line="276" w:lineRule="auto"/>
              <w:rPr>
                <w:rFonts w:ascii="宋体" w:hAnsi="宋体" w:cs="宋体"/>
                <w:kern w:val="0"/>
                <w:sz w:val="22"/>
              </w:rPr>
            </w:pPr>
            <w:r>
              <w:rPr>
                <w:rFonts w:hint="eastAsia" w:ascii="宋体" w:hAnsi="宋体" w:cs="宋体"/>
                <w:kern w:val="0"/>
                <w:sz w:val="22"/>
              </w:rPr>
              <w:t>采用PP聚丙烯注塑形成。</w:t>
            </w:r>
          </w:p>
          <w:p>
            <w:pPr>
              <w:widowControl/>
              <w:jc w:val="left"/>
              <w:textAlignment w:val="baseline"/>
              <w:rPr>
                <w:rFonts w:ascii="宋体" w:hAnsi="宋体" w:cs="宋体"/>
                <w:kern w:val="0"/>
                <w:sz w:val="22"/>
              </w:rPr>
            </w:pPr>
            <w:r>
              <w:rPr>
                <w:rFonts w:hint="eastAsia" w:ascii="宋体" w:hAnsi="宋体" w:cs="宋体"/>
                <w:kern w:val="0"/>
                <w:sz w:val="22"/>
              </w:rPr>
              <w:t>具体要求：</w:t>
            </w:r>
          </w:p>
          <w:p>
            <w:pPr>
              <w:spacing w:line="276" w:lineRule="auto"/>
              <w:rPr>
                <w:rFonts w:ascii="宋体" w:hAnsi="宋体" w:cs="宋体"/>
                <w:kern w:val="0"/>
                <w:sz w:val="22"/>
              </w:rPr>
            </w:pPr>
            <w:r>
              <w:rPr>
                <w:rFonts w:hint="eastAsia" w:ascii="宋体" w:hAnsi="宋体" w:cs="宋体"/>
                <w:kern w:val="0"/>
                <w:sz w:val="22"/>
              </w:rPr>
              <w:t>1、椅面采用人体工程力学设计，贴近背部采用弧度结构，久坐不累。</w:t>
            </w:r>
          </w:p>
          <w:p>
            <w:pPr>
              <w:spacing w:line="276" w:lineRule="auto"/>
              <w:rPr>
                <w:rFonts w:ascii="宋体" w:hAnsi="宋体" w:cs="宋体"/>
                <w:sz w:val="22"/>
              </w:rPr>
            </w:pPr>
            <w:r>
              <w:rPr>
                <w:rFonts w:hint="eastAsia" w:ascii="宋体" w:hAnsi="宋体" w:cs="宋体"/>
                <w:kern w:val="0"/>
                <w:sz w:val="22"/>
              </w:rPr>
              <w:t>2、椅面底部采用加强筋布局，增强强度保证课椅质量。</w:t>
            </w:r>
          </w:p>
          <w:p>
            <w:pPr>
              <w:widowControl/>
              <w:jc w:val="left"/>
              <w:textAlignment w:val="baseline"/>
              <w:rPr>
                <w:rFonts w:ascii="宋体" w:hAnsi="宋体" w:cs="宋体"/>
                <w:kern w:val="0"/>
                <w:sz w:val="22"/>
              </w:rPr>
            </w:pPr>
            <w:r>
              <w:rPr>
                <w:rFonts w:hint="eastAsia" w:ascii="宋体" w:hAnsi="宋体" w:cs="宋体"/>
                <w:kern w:val="0"/>
                <w:sz w:val="22"/>
              </w:rPr>
              <w:t>学生课凳椅脚规格尺寸（mm）：长385×宽55×高280</w:t>
            </w:r>
          </w:p>
          <w:p>
            <w:pPr>
              <w:spacing w:line="276" w:lineRule="auto"/>
              <w:rPr>
                <w:rFonts w:ascii="宋体" w:hAnsi="宋体" w:cs="宋体"/>
                <w:kern w:val="0"/>
                <w:sz w:val="22"/>
              </w:rPr>
            </w:pPr>
            <w:r>
              <w:rPr>
                <w:rFonts w:hint="eastAsia" w:ascii="宋体" w:hAnsi="宋体" w:cs="宋体"/>
                <w:kern w:val="0"/>
                <w:sz w:val="22"/>
              </w:rPr>
              <w:t>采用PP聚丙烯注塑形成。</w:t>
            </w:r>
          </w:p>
          <w:p>
            <w:pPr>
              <w:widowControl/>
              <w:jc w:val="left"/>
              <w:textAlignment w:val="baseline"/>
              <w:rPr>
                <w:rFonts w:ascii="宋体" w:hAnsi="宋体" w:cs="宋体"/>
                <w:kern w:val="0"/>
                <w:sz w:val="22"/>
              </w:rPr>
            </w:pPr>
            <w:r>
              <w:rPr>
                <w:rFonts w:hint="eastAsia" w:ascii="宋体" w:hAnsi="宋体" w:cs="宋体"/>
                <w:kern w:val="0"/>
                <w:sz w:val="22"/>
              </w:rPr>
              <w:t>具体要求:</w:t>
            </w:r>
          </w:p>
          <w:p>
            <w:pPr>
              <w:spacing w:line="276" w:lineRule="auto"/>
              <w:rPr>
                <w:rFonts w:ascii="宋体" w:hAnsi="宋体" w:cs="宋体"/>
                <w:kern w:val="0"/>
                <w:sz w:val="22"/>
              </w:rPr>
            </w:pPr>
            <w:r>
              <w:rPr>
                <w:rFonts w:hint="eastAsia" w:ascii="宋体" w:hAnsi="宋体" w:cs="宋体"/>
                <w:kern w:val="0"/>
                <w:sz w:val="22"/>
              </w:rPr>
              <w:t>1、凳脚采用类U型造型，底部八字形结构，加大加厚。</w:t>
            </w:r>
          </w:p>
          <w:p>
            <w:pPr>
              <w:spacing w:line="276" w:lineRule="auto"/>
              <w:rPr>
                <w:rFonts w:ascii="宋体" w:hAnsi="宋体" w:cs="宋体"/>
                <w:kern w:val="0"/>
                <w:sz w:val="22"/>
              </w:rPr>
            </w:pPr>
            <w:r>
              <w:rPr>
                <w:rFonts w:hint="eastAsia" w:ascii="宋体" w:hAnsi="宋体" w:cs="宋体"/>
                <w:kern w:val="0"/>
                <w:sz w:val="22"/>
              </w:rPr>
              <w:t>2、凳脚中间采用网兜结构代替横档，并增加储物空间。网兜表面有48个镂空。</w:t>
            </w:r>
          </w:p>
          <w:p>
            <w:pPr>
              <w:spacing w:line="276" w:lineRule="auto"/>
              <w:rPr>
                <w:rFonts w:ascii="宋体" w:hAnsi="宋体" w:cs="宋体"/>
                <w:kern w:val="0"/>
                <w:sz w:val="22"/>
              </w:rPr>
            </w:pPr>
            <w:r>
              <w:rPr>
                <w:rFonts w:hint="eastAsia" w:ascii="宋体" w:hAnsi="宋体" w:cs="宋体"/>
                <w:kern w:val="0"/>
                <w:sz w:val="22"/>
              </w:rPr>
              <w:t>3、网兜底部采用横9竖5的加强筋结构增加强度。</w:t>
            </w:r>
          </w:p>
          <w:p>
            <w:pPr>
              <w:spacing w:line="276" w:lineRule="auto"/>
              <w:rPr>
                <w:rFonts w:ascii="宋体" w:hAnsi="宋体" w:cs="宋体"/>
                <w:kern w:val="0"/>
                <w:sz w:val="22"/>
              </w:rPr>
            </w:pPr>
            <w:r>
              <w:rPr>
                <w:rFonts w:hint="eastAsia" w:ascii="宋体" w:hAnsi="宋体" w:cs="宋体"/>
                <w:kern w:val="0"/>
                <w:sz w:val="22"/>
              </w:rPr>
              <w:t>4、凳脚有四个凳腿插口，每个插口配有2个升降孔，可以根据要求调节高度。</w:t>
            </w:r>
          </w:p>
          <w:p>
            <w:pPr>
              <w:widowControl/>
              <w:jc w:val="left"/>
              <w:textAlignment w:val="baseline"/>
              <w:rPr>
                <w:rFonts w:ascii="宋体" w:hAnsi="宋体" w:cs="宋体"/>
                <w:kern w:val="0"/>
                <w:sz w:val="22"/>
              </w:rPr>
            </w:pPr>
            <w:r>
              <w:rPr>
                <w:rFonts w:hint="eastAsia" w:ascii="宋体" w:hAnsi="宋体" w:cs="宋体"/>
                <w:kern w:val="0"/>
                <w:sz w:val="22"/>
              </w:rPr>
              <w:t>学生课凳椅子管件规格尺寸（mm）：60×厚24</w:t>
            </w:r>
          </w:p>
          <w:p>
            <w:pPr>
              <w:widowControl/>
              <w:jc w:val="left"/>
              <w:textAlignment w:val="baseline"/>
              <w:rPr>
                <w:rFonts w:ascii="宋体" w:hAnsi="宋体" w:cs="宋体"/>
                <w:kern w:val="0"/>
                <w:sz w:val="22"/>
              </w:rPr>
            </w:pPr>
            <w:r>
              <w:rPr>
                <w:rFonts w:hint="eastAsia" w:ascii="宋体" w:hAnsi="宋体" w:cs="宋体"/>
                <w:kern w:val="0"/>
                <w:sz w:val="22"/>
              </w:rPr>
              <w:t>材质壁厚3mm</w:t>
            </w:r>
          </w:p>
          <w:p>
            <w:pPr>
              <w:spacing w:line="276" w:lineRule="auto"/>
              <w:rPr>
                <w:rFonts w:ascii="宋体" w:hAnsi="宋体" w:cs="宋体"/>
                <w:kern w:val="0"/>
                <w:sz w:val="22"/>
              </w:rPr>
            </w:pPr>
            <w:r>
              <w:rPr>
                <w:rFonts w:hint="eastAsia" w:ascii="宋体" w:hAnsi="宋体" w:cs="宋体"/>
                <w:kern w:val="0"/>
                <w:sz w:val="22"/>
              </w:rPr>
              <w:t>具体要求：采用PP高强度工程塑料材质注塑成型。</w:t>
            </w:r>
          </w:p>
          <w:p>
            <w:pPr>
              <w:spacing w:line="276" w:lineRule="auto"/>
              <w:rPr>
                <w:rFonts w:ascii="宋体" w:hAnsi="宋体" w:cs="宋体"/>
                <w:kern w:val="0"/>
                <w:sz w:val="22"/>
              </w:rPr>
            </w:pPr>
            <w:r>
              <w:rPr>
                <w:rFonts w:hint="eastAsia" w:ascii="宋体" w:hAnsi="宋体" w:cs="宋体"/>
                <w:kern w:val="0"/>
                <w:sz w:val="22"/>
              </w:rPr>
              <w:t>凳腿上设置有有5个升降孔</w:t>
            </w:r>
          </w:p>
          <w:p>
            <w:pPr>
              <w:widowControl/>
              <w:jc w:val="left"/>
              <w:textAlignment w:val="baseline"/>
              <w:rPr>
                <w:rFonts w:ascii="宋体" w:hAnsi="宋体" w:cs="宋体"/>
                <w:kern w:val="0"/>
                <w:sz w:val="22"/>
              </w:rPr>
            </w:pPr>
            <w:r>
              <w:rPr>
                <w:rFonts w:hint="eastAsia" w:ascii="宋体" w:hAnsi="宋体" w:cs="宋体"/>
                <w:kern w:val="0"/>
                <w:sz w:val="22"/>
              </w:rPr>
              <w:t>升降要求：整套课桌需能升降</w:t>
            </w:r>
          </w:p>
          <w:p>
            <w:pPr>
              <w:spacing w:line="276" w:lineRule="auto"/>
              <w:rPr>
                <w:rFonts w:ascii="宋体" w:hAnsi="宋体" w:cs="宋体"/>
                <w:kern w:val="0"/>
                <w:sz w:val="22"/>
              </w:rPr>
            </w:pPr>
            <w:r>
              <w:rPr>
                <w:rFonts w:hint="eastAsia" w:ascii="宋体" w:hAnsi="宋体" w:cs="宋体"/>
                <w:kern w:val="0"/>
                <w:sz w:val="22"/>
              </w:rPr>
              <w:t>桌子升降范围680、700、720、740、760、780mm，2厘米一档，共6档调节。</w:t>
            </w:r>
          </w:p>
          <w:p>
            <w:pPr>
              <w:spacing w:line="276" w:lineRule="auto"/>
              <w:rPr>
                <w:rFonts w:ascii="宋体" w:hAnsi="宋体" w:cs="宋体"/>
                <w:kern w:val="0"/>
                <w:sz w:val="22"/>
              </w:rPr>
            </w:pPr>
            <w:r>
              <w:rPr>
                <w:rFonts w:hint="eastAsia" w:ascii="宋体" w:hAnsi="宋体" w:cs="宋体"/>
                <w:kern w:val="0"/>
                <w:sz w:val="22"/>
              </w:rPr>
              <w:t>凳子升降范围360、380、400、420、440mm，2厘米一档，共5档调节。</w:t>
            </w:r>
          </w:p>
          <w:p>
            <w:pPr>
              <w:spacing w:line="276" w:lineRule="auto"/>
              <w:rPr>
                <w:rFonts w:ascii="宋体" w:hAnsi="宋体" w:cs="宋体"/>
                <w:kern w:val="0"/>
                <w:sz w:val="22"/>
              </w:rPr>
            </w:pPr>
            <w:r>
              <w:rPr>
                <w:rFonts w:hint="eastAsia" w:ascii="宋体" w:hAnsi="宋体" w:cs="宋体"/>
                <w:sz w:val="22"/>
              </w:rPr>
              <w:t>制造要求</w:t>
            </w:r>
            <w:r>
              <w:rPr>
                <w:rFonts w:hint="eastAsia" w:ascii="宋体" w:hAnsi="宋体" w:cs="宋体"/>
                <w:kern w:val="0"/>
                <w:sz w:val="22"/>
              </w:rPr>
              <w:t>：采用全新塑料颗粒，吹塑、注塑成型、模具控制、尺寸统一、无锐角、平整光滑。课桌凳的外表与周边全部配置R圆角，不留锐角，安全实用健康美观。</w:t>
            </w:r>
          </w:p>
          <w:p>
            <w:pPr>
              <w:spacing w:line="276" w:lineRule="auto"/>
              <w:rPr>
                <w:rFonts w:ascii="宋体" w:hAnsi="宋体" w:cs="宋体"/>
                <w:color w:val="000000"/>
                <w:kern w:val="0"/>
                <w:sz w:val="22"/>
                <w:lang w:bidi="ar"/>
              </w:rPr>
            </w:pPr>
            <w:r>
              <w:rPr>
                <w:rFonts w:hint="eastAsia" w:ascii="宋体" w:hAnsi="宋体" w:cs="宋体"/>
                <w:sz w:val="22"/>
              </w:rPr>
              <w:t>技术配置：</w:t>
            </w:r>
            <w:r>
              <w:rPr>
                <w:rFonts w:hint="eastAsia" w:ascii="宋体" w:hAnsi="宋体" w:cs="宋体"/>
                <w:kern w:val="0"/>
                <w:sz w:val="22"/>
              </w:rPr>
              <w:t>产品表内外颜色一致，耐磨、外观色泽持久，产品外观造型美观，色彩协调，规整光洁。装配连接尺寸标准、统一，利用插槽管件固定锁紧，卡槽便于装拆、维修，桌椅凳脚底部，配有网垫，产品移动碰撞声音轻、无共鸣音，耐磨、防滑、减噪音等配置。平稳性好，着地平稳，抗摔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0071" w:type="dxa"/>
            <w:gridSpan w:val="5"/>
            <w:vAlign w:val="center"/>
          </w:tcPr>
          <w:p>
            <w:pPr>
              <w:widowControl/>
              <w:jc w:val="left"/>
              <w:textAlignment w:val="center"/>
              <w:rPr>
                <w:rFonts w:ascii="宋体" w:hAnsi="宋体" w:cs="宋体"/>
                <w:color w:val="000000"/>
                <w:kern w:val="0"/>
                <w:sz w:val="22"/>
                <w:lang w:bidi="ar"/>
              </w:rPr>
            </w:pPr>
            <w:r>
              <w:rPr>
                <w:rFonts w:hint="eastAsia" w:ascii="宋体" w:hAnsi="宋体" w:cs="宋体"/>
                <w:b/>
                <w:bCs/>
                <w:color w:val="000000"/>
                <w:kern w:val="0"/>
                <w:sz w:val="22"/>
                <w:lang w:bidi="ar"/>
              </w:rPr>
              <w:t>五、音乐教室设备设施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27</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五线谱电教板</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块</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1.键盘：88键带力度感应电钢琴实体键盘；具有高、中、低、关4种力度模式，默认中级力度模式；</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2.尺寸：2000mm*1200mm*68mm；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 xml:space="preserve">3.五线谱表：一组可书写和教鞭演示的大谱表，音域范围：C-e3共计52音； </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音色：262种GM音色，（20种钢琴音色+12种色彩打击乐器音色+24种风琴音色+25种吉他音色+27种贝司音色+8种弦乐音色+12种合奏合唱音色+18种铜管乐音色+16种簧管乐音色+8种笛子音色+12种合成主音音色+9种合成柔音音色+8种合成特效音色+9种民族乐器音色+13种打击乐器音色+43种声音特效音色）；带16组音色快速检索模块，方便快速调用音色库；</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5.节奏：内置节奏≥105种，可根据用户定制需求增减节奏；</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6.示范曲：内置曲目≥660首，可根据用户定制需求增减曲目；</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7.调式：12种调式；</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8.无线教鞭：2.4G无线教鞭，摆脱线缆束缚，操作更加方便；带低电量提示功能，标配2支无线教鞭，可根据用户需求选配到4支无线教鞭；无线教鞭上具有升调“#”、降调“b”转换功能键；</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9.和弦：可演示任意和弦；</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10.伴奏：带自动伴奏功能；</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11.人声录音：内置高灵敏度驻极体话筒，可录制老师或同学现场演唱的声音，按顺序自动保存多个录音文件，断电数据不丢失，可随时调取播放或删除，音频文件可导出到外设USB存储器；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12.MIDI录音：可录制无线教鞭及键盘演奏的曲目，按顺序自动保存多个录音文件，断电数据不丢失，录制的MIDI文件可导出到外设USB存储器；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13.节拍速度：可在40－280/每分钟范围可调；</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14.控制：控制面板采用7英寸彩色液晶触控屏，主机所有控制全部采用触摸控制；</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15.外置接口：MIDI输入、输出接口；线路输入、线路接口；USB接口；</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16.音量控制：触摸滑动电子音量控制，具有主音量、曲目音量、伴奏音量、键盘音量4组独立音量控制；音量设置具有记忆功能，下次开机记忆上次关机时的音量数值；</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17.USB拓展功能：兼容USB2、0及以下设备，支持用户插读U盘，可读取U盘中的MP3文件和MIDI乐曲文件，也可用作下载内存中保存的音频文件及MIDI文件；</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18.蓝牙扩展功能：可连接手机等蓝牙设备，方便老师教学播放教学音频课件，触控面板可以开启和关闭蓝牙功能，蓝牙设备名称与主设备名称一致；</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 xml:space="preserve">19.颤音：具有颤音功能，增加音色音效，在操作界面上可选择开启或关闭； </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20.混响：具有混响音效，增加音色音效，在操作界面中可选择开启或关闭；</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21.延音：具有延音音效，增加音色效果，在操作界面中可选择开启或关闭；</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22.电教板以力度键盘为核心，结合乐理，达到方便乐理知识的教学，将键盘、谱表、调名、调号巧妙的联系到一起，乐理演示简捷直观，乐理解析清晰易懂；</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23.具有键位与五线谱对应的全音域88键（A2-c5）LED指示灯，可对照键盘与五线谱相应的位置；</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24.简谱显示：液晶屏具有7段7寸简谱、高低音、音名、唱名及升降显示功能，在键盘演奏过程中可全音域显示相对应的简谱、升降及高低音、音名及唱名；键盘及无线教鞭演示显示的简谱内容可以暂停保留在界面上，在软件界面中可选择关闭或开启简谱显示功能；</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25.计时功能：开机自动记录上课时间，方便老师掌控授课进度；</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26.安全功能：用户可设置系统进入密码，防止无关人员随意使用设备，保护财产安全，此功能可由用户选择是否启用；</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27.配置可移动专用支架，支架移动轮子带刹车锁死功能。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28</w:t>
            </w:r>
          </w:p>
        </w:tc>
        <w:tc>
          <w:tcPr>
            <w:tcW w:w="1184"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数字音乐教学系统</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MIDI教学软件</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系统技术要求：</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支持多种乐谱教学：满足教学基本所需的五线谱、简谱、鼓谱、非洲鼓谱、陶笛谱、吉他谱（尤克里里、贝斯四线谱制作）、民乐谱、管弦乐谱等；支持乐谱总谱教学编辑功能，且支持五线谱、简谱的编辑和旋律的播放功能；吉他谱和鼓谱都支持多旋律；无论从专业还是非专业的角度讲，都可极大程度的方便任何教师和学者教学和学习，且不仅满足乐理教学、弹奏教学、打击乐教学、还可满足吹奏教学，如陶笛等；</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内置音乐教学资源库：软件界面包含简谱和五线谱所需所有音乐元素符号，至少有210种符号供选用，且部分符号可以跨类别替换使用；可调用WINDOWS系统内所有字符，支持任意节拍；内置不少于128种内置音色，10种民族乐。支持在线下载不少于5000首经典艺术欣赏曲库，多种器乐音色等，可重复使用，可小节或声部选择试听，可调整速度和节拍；</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支持平板、触控一体机、台式电脑、笔记本等WINDOWS全系统操作，IE7.0以上；支持脱离传统鼠标键盘的操作，可直接通过触屏进行所有软件功能的操作；推荐可支持硬件配置2.0CHZ以上CPU，4G以上内存，支持CD-ROM驱动器或UBD接口；</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支持简线互换：支持简谱和五线谱混排互换引擎；满足简谱转五线谱，五线谱转简谱。可单独编辑、支持工尺谱、锣鼓经、琵琶谱、midi、制谱、自动配器以及MIDI音乐制作并能加载VSTI音源生成MP3或wav、民乐曲谱制作。也可单独体现，可输入歌词及简谱、音符等符号；在输入无线谱的同时，简谱自动对照出现，输入简谱的同时，无线谱亦可自动对照出现；无需在输入无线谱时寻找对应的音符，可直接点击简谱（1.2.3.4.5.6.7）在五线谱上亦可出现相对应的五线谱音符，且不会出现错误，间距位置自动对齐，无需手动调节；可任意拖动，复制粘贴；</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5.支持输出和打印：支持编辑或修改后的曲谱可直接导出或打印，可输出高轻度矢量图PDF或eps格式，亦可支持图片输出。</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6.智能五线谱及简谱、歌词编辑和多功能页面调整：可编辑标题、副标题、作词作曲、版权等信息；可编辑高音低音等大谱表及总谱，可调节页面大小及小节数量；音符、符点、升降音、休止符、多重三连音、倚音等录入后，可任意范围播放。支持五线谱的混合编辑，并且在任意类型谱表或混合谱表上添加歌词，智能歌词编辑器，一次输入多个歌词通过键盘便捷键即可自动对齐音符，可复制粘贴和整体删除；歌词及五线谱、简谱的字体大小支持任意设置。可任意插入、删除、修改、复制声部和小节，可将已选择小节随意设置移动到上一行或下一行，且可对小节任意加减拍，可以将小节及全曲音符升降（仅五线谱支持），可以重新整理小节或整个曲谱的版面，按照音符疏密分配或全曲小节宽度，间距自动匹配，重新排版；跨行小节保持框架与原声部一致，不会影响整个谱表的编辑和排版；</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7.智能变调：支持首调和固定调智能变调，支持简谱和五线谱的调性选择、转换和文本描述的调性，可任意选择更改国际通用的14种常见调式，且转换调性时会有选择提示“音符变而音高不变”，“音符不变音高变”的提示。</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8.悬浮窗提示：进入页面后，在鼠标停留或点击的位置，页面会有悬浮窗温馨提示，介绍功能及便捷方式等使用特点；</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9.支持任意MIDI音频文件导入，并支持多音轨编辑，可随意设置各音轨音色，修改或增加音符达到再次创作的功能，可在多音轨谱表中选择任意音轨单独播放，可重复播放。</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10.导入的曲谱文件若有错误，可选择性任意编辑更改。</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 xml:space="preserve">11.MIDI作曲页面支持乐谱卷帘编辑器功能，辅助弹奏教学，以条形的方式显示所有音符的时值与音高，且与虚拟键盘交互显示；点击或触摸五线谱音阶位置或简谱唱名位置，虚拟键盘会显示相应位置且通过扬声器发声。 </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12.支持领唱与合唱打谱及乐谱总谱教学编辑功能，满足如交响乐G、电声乐H、民乐L、打击乐、流行音乐总谱等；支持midi导入和外接音源（例如vsti格式）加载使用。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13.可编辑鼓谱、吉他谱、四线谱并播放，可插入吉他和弦标指法识图，或更改四线谱记谱相关乐器音色，如电吉他电贝司等乐器。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14.吉他谱制作：支持吉他简谱弹唱、吉他线谱弹唱、吉他简线弹唱谱；支持吉他和弦图、贝斯和弦图、尤克里里和弦图，且可以任意编辑、修改、保存、调入库和弦；</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15.自动保存文件：若电脑等载体因断电或死机，所编辑的曲谱页面会自动保留，直至下次重新启动，启动后页面会显示载体瘫痪前的状态，可进行继续编辑；</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课件要求：</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课件：支持在课件页面转换简谱.线谱.图文（聆听歌声的同时了解图文的含义），图线、图简曲线谱、视频等形式一键互换播放，同时能达到课件听赏.鉴赏双效果，在课件播放的同时可同步显示虚拟键盘、节拍器、音频升降调、音叉、记号笔等功能；</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测试：支持最初级的节奏听辨，歌曲节奏听辨，随着学龄增加记忆大比拼、认识唱名、选择拍号、三拍子听辨、听辨舞曲与进行曲、音乐的结构、熟悉音色、乐器听辨、听音切分节奏、听辨认识分类、实物图展示熟悉管乐、民族乐器分类及音色、速度听辨、西洋管弦乐队的主要乐器的认识与音色视听、旋律进行方向听辨等测试功能；</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3.编创与活动：比较聆听乐器的结构与音色；</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4.游戏宫：内容听辨乐器、听辨演奏形式、听辨民族或地区的歌声辨别、背唱歌曲、听辨歌（乐）曲名及拍号、选择合适自己的演唱情绪、听辨乐器、拍子听辨、背唱歌曲等；</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5.拥有随心唱响、欢乐谷、音乐厅、电影厅、展览厅、阅览室、戏剧、歌剧、合唱、合奏等。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29</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音响系统</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套</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1.功放。四路音源、二路话筒输入；并且线路和话筒音量、高低音音调单独可调；</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具有A组与A+B并组定阻功率输出切换。线路输入灵敏度：-10dB    话筒输入灵敏度：-34dB；频率响应：20Hz~20KHz  （+2  -2dB）；输出功率：2×60W（8Ω负载）；信噪比：≥70dB，失真度：≤0.8％。</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2.音箱。配音箱一对及安装支架。额定功率：60W   额定阻抗：8Ω频响：80Hz—18KHz灵敏度：88dB</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3.有线座式话筒。多种供电方式；全金属鹅颈管，无附加噪音；可采用幻象电源，底座采用ABS工程塑料材质，整体呈半圆弧形，全金属管体，指示工作状态。</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换能方式：电容式 ；指向性：单指向；拾音距离：10-20cm；灵 敏 度：-38dB±3dB；频率响应：60Hz-16KHz； 输出阻抗：2KΩ±15%；供电方式：2AAA或6.5V供电。</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4.DVD蓝光视频播放器；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播放媒介: BD 视频, BD-ROM, BD-R/RE 2.0, DVD, DVD-Video, DVD+R/+RW, DVD-R/-RW, Video CD/SVCD, DivX, CD, CD-R/CD-RW, USB 闪存盘；</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声音系统: DTS-HD Master Audio, Dolby True HD, 杜比数字 Plus, DTS；</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信噪比不小于: 100分贝；</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接口: HDMI 输出, 数字同轴输出, 复合视频 (CVBS) 输出, 模拟音频 L/R 输出,  USB 2.0；</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屏幕显示语言: 英语, 简体中文。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30</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音乐节拍器</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1.材质：注塑外壳纯金属机芯。</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2.规格：≥20*9*10cm。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3.结构：金属机芯+环保外壳，传统示拍模式，速度为40~208拍/分，节拍为0、2、3、4、6，速度误差&lt;1%。</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4.无需使用电池，根据钟摆原理而制，内置发条驱动，摆杆上游码可上下调动，以调整速度，并和面板上的刻度相对照，可知每分钟来回摆动的次数，具备精准、稳定、音亮、操作简便等基本性能。</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6.具有合格证，三包卡，独立纸盒包装或包装袋。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31</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音叉</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1.材质：不锈钢。</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 xml:space="preserve">2.规格：总长≧11.3cm，把手长度≧4cm，叉长≧7.2cm，叉厚：≧0.3cm，音叉直径：≧1.7cm。                                                                         </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 xml:space="preserve">3.结构：呈“Y”形的钢质音叉，手柄上印有A-440钢印，标准音乐音叉，整块钢材经过车床，铣床，磨床等机械加工而成。                                                                  </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4.具有合格证、三包卡，独立包装袋或包装盒。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32</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音乐教育教学相关图书及杂志</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250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本</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1.音乐基本理论、音乐教育学、心理学、音乐教学设计以及各种音乐专业杂志等。</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2.正规音像出版社出版。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33</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音乐教学挂图</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套</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1.符合中小学音乐教学标准。</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2.符合中小学音乐教科书的有关要求，符合中小学音乐课程标准的指导思想。</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3.挂图采用彩色胶印，画面整洁，色泽自然鲜明，图像清晰，表面平整，无缺角和褶痕。</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4.挂图内容正确、重点突出。</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 xml:space="preserve">5.全套71幅对开，牢固耐用。 </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6.民族乐器部分：4副对开挂图。</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7.西洋乐器部分：6副对开挂图。</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8.简谱乐理部分：10副对开挂图。</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 xml:space="preserve">9.五线谱乐理部分：11副对开挂图。                                                                  </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10.其它部分：3副对开挂图。</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11.中国音乐家：9副对开挂图。</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12.外国音乐家：27副对开挂图、中华人民共和国挂图。</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13.正规音像出版社出版。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34</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中华人民共和国国歌挂图</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套</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1.符合中小学音乐教学标准；</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2.符合中小学音乐教科书的有关要求，符合中小学音乐课程标准的指导思想；</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3.挂图采用彩色胶印，画面整洁，色泽自然鲜明，图像清晰，表面平整，无缺角和褶痕；</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4.全套71幅对开，正规音像出版社出版。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35</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小学音乐教学软件</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套</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1.全册：1-6年级，分为上下册，共12张。</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2.正规音像出版社出版。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36</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电子琴</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电钢琴。</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1.键盘为88键三传感器渐进式击弦机结构键盘；                                                                                                                                 2.3级力度感应；                                                                                                                                                                                                                                     3.不少于两个踏板:延音踏板、弱音踏板；                                                                                                                                              4.最大复音数不小于128种，内置不少于16种音色：                                                                              5.内置乐曲不少于60首（乐曲库），架式；</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6.乐曲库含广西小学音乐教材用曲；                                                                                    7.有实时录制/回放功能；                                                                                                                                                8.终端接口：USB ，可使用USB电缆连接计算机；                                                                                                          9.放大器输出功率不小于8W＋8W,耳机（3.5mm立体声MINI插头）×2,                                                                                          10.外部电源（12V DC）；</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 xml:space="preserve">11.附件：踏板、乐谱、谱架、电源适配器、说明书；                                                                                                           12.其余应符合QB/T 1477-2003《电子钢琴》立式高级品的有关规定。 </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13.配琴凳。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37</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小学音乐欣赏教学影像库</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套</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1.春季下册共22张一二年级各3张，三四五六年级各4张。</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2.秋季上册共22张一二年级各3张，三四五六年级各4张。</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3.正规音像出版社出版。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38</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小学音乐欣赏教学曲库</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套</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1.高清，CD，大容量700MB，2碟。</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2.按照国家新课标2023年教材配备标准，包括教材全部内容。</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3.国家正式出版物。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39</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音筒</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组</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1.材质：环保塑料。</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2.规格：直径约42mm，长度：C=303±2mm、B=313±2mm、A=348±2mm 、D553=±2mm、E=482±2mm、 F=454±2mm、G=383±2mm、C=615±2mm。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3.结构：由八种颜色音筒组成，色泽均匀、光滑，没有劈裂，与人体接触部位没有锐利边角及毛刺，无变形。</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4.不同音筒敲打固定的墙面或地面，可打出不同的音高。</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40</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钟琴</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套</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1.材质：皮革箱体，绒布内衬，环保树脂支撑架，橡胶提手，针织背带，琴锤木制和橡胶，黑色铁质支架。</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结构：钟琴为16个整音，音域范围为从小字组a到小字二组a，外观为黑色皮革材质，可通过拉链展开和收纳，整体呈梯形，箱体配有手提带有并有吊环2个背带一根，方便外出携带。配有2个拉链头双向开合方便收纳，内部为绒布内衬和树脂支架，琴片表面无孔无钉，琴片为悬挂式琴键，通过琴弦连接，琴键全域可敲击，确保敲击每一个角落都可以正常发音。（表面有钉款不可达到此参数）；配有敲槌2副（4根)其中演奏槌1副(2根），实木材质，表面光滑无毛刺。静音练习槌1副（2根）橡胶材质，无割手感，槌头表面包裹静音软性材质，手柄处有产品名称浮雕，静音槌在阳光下有闪光效果。产品内配有启蒙辅导书1本，内置10首歌曲曲谱，17节课程讲解；配钟琴专用支架，支架形状和产品相同，并配有可折叠乐谱放置板，支架高度可调节，可拆开收纳。配有钟琴专用教学软件，产品上注明软件使用方法，软件内配有32节真人教学培训课程。</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规格：收纳后长度340mm，最宽端220mm，最窄端130mm，厚度为80mm.展开后底部宽490mm，顶部宽30mm，厚度41mm.琴片厚度为≥4mm，宽度为23mm；长度分别为82mm、91mm、102mm、112mm、126mm、138mm、150mm、167mm、80mm、89mm、97mm、106mm、119mm、130mm、145mm、159mm。演奏槌长≥208mm，槌头直径19mm，手柄直径8mm。静音槌长≥208mm，槌头直径21mm，手柄直径7mm。 支架高度可调范围为750mm-150mm，支架底部宽520mm，支架顶部宽250mm，面板高度为350mm，可折叠乐谱放置架宽度为200mm，高度为200mm。</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4.演奏时将钟琴放在组装好的支架上，手心相对轻捏槌，三分之一轻轻敲，放松手腕敲中间，快快离键弹起来。演奏槌敲击声音清脆，明亮；静音槌敲击声音平稳无噪音。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41</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音条</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块</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1.材质：铝制，实木。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2.规格：铝制，17音最长：19~22 cm、最短：11~14cm。高度4cm  每个依次递减0．8cm。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3.结构：由实木制木条和铝片构成，带有便携带木盒。</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4.敲棒敲击不同音条，可发出不同音高。</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42</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沙锤</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对</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1.材质：桦木。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2.规格：锤球直径≥70mm，锤头长≥130mm，手柄长度≥130mm，手柄直径≥23mm。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3.结构：由2个椭圆带把彩色刻画沙锤组成，内装铁沙粒，两个为一副</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4.演奏时，双手各握一个，上下摇晃，发出沙沙的响声。</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43</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沙锤</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对</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1.材质：纯天然椰壳。</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2.规格：长度≧26.5cm，锤球直径≧9cm。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3.结构：由锤球和手柄组成，锤球用椰壳制成，呈空心椭球形，内装铁砂，木制手柄内装沙粒，两个为一副。</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4.演奏时，双手各握一个，上下摇晃，发出沙沙的响声。</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44</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沙筒</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对</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1.材质：木制。</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2.规格：全长≥6cm；直径≥3.4cm。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3.结构：外观由清漆原木构造看似像个圆柱状，内装有沙粒。</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4.演奏时，手持沙筒上下摇晃。</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45</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沙蛋</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对</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1.材质：原木，环保安全漆。</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2.规格：沙蛋长度5.6cm，直径4cm。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3.结构：由2个椭圆原木沙蛋组成，内装沙粒，两个为一副。</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4.演奏时，左右手各握一个，双手交替上下摇动。</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46</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摇铃（串铃）</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对</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1.材质：木制、牛皮、金属。</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 xml:space="preserve">2.规格：手柄长≧10.5cm，直径≧1.6cm；铃圈厚≧0.2cm，皮宽≧1.6cm，皮长约≧20cm；铃铛规格≧23*22mm。 </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3.结构：手摇铃由木制手柄、牛皮铃圈和10颗金属铃铛构成；2个为一副。</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4.使用时双手各持一个摇铃，摇晃使其发声。</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47</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棒铃</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1.材质：实木、金属铃铛。</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2.结构：上半部分红色，漆面光滑，配有4颗银色金属铃铛，铃铛边缘光滑不割手；手柄部位为原木色清漆，手柄处平整无毛刺，底部平整可平稳立放在桌面。</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3.规格：全长≥145mm；红色部分直径≥35mm；手柄处最细段直径≥10mm、最粗端直径≥43mm；铃铛直径≥24mm；铃铛孔直径≤4mm保证铃铛内部铁珠不会掉落；两颗铃铛相邻距离≤10mm。</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4.使用方法：手持棒铃，左右或上下摇晃，使其铃铛同时发声，清脆响亮，使用后可立方在桌面收纳。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48</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卡巴萨</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1.材质：松木盖板，电镀串珠。</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2.直径：≥13.5cm。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3.结构：松木盖板，电镀串珠。</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4.演奏时，手握手柄，上下摇晃或者转圈摇晃。</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49</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双响筒</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副</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1.材质：榉木。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2.规格：筒全长≧17.5cm，直径≧40cm，握把长≧17cm，握把插孔深≧15mm；敲棒长≧17.5cm，锤头直径≧15cm； 高音筒长≧48cm，低音筒长≧44cm。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3.结构：榉木，由筒体、手柄构成，双响筒两端有粗细均匀的的螺纹状更加能体现音型，40-208拍/分；加沟凹槽都是经过紧密处理，使得发声标准清晰； 配敲棒一根；音色：发音清脆，无杂音。</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4.用敲棒，敲击双响筒上面部分，会发出清脆的咚咚声。</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50</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响板</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1.材质：木质。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2.规格：响板全长≧20cm，板头最大半径≧5cm，板头长≧8cm，主板厚≧1.2cm，盖板厚≧0.9cm；手柄长≧1.3cm，最大直径≧1.6cm。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3.结构：由两块盖板及主木板构成，板头用细绳串联在一起，主板串联着手柄构成； 两个为一套。</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4.使用时手持响板，上下或左右摇晃，盖板与主板碰撞使其发出清脆声响，用于奥尔夫打击乐教学或舞蹈伴奏使用；本产品无味无公害。</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51</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响棒</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副</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1.材质：椿木。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2.规格：长≧200mm，直径≧2cm。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3.结构：由两根圆柱体实木棍构成，外观打磨光滑，边缘无毛刺，长短一致，粗细均匀，两根为一副。</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4.使用时双手各持一根，互相敲打，使其发音。</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52</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刮棒</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副</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1.材质：实木。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2.规格：全长≧21cm，刮棱部长≧14cm，直径≧2.5cm，手柄长≧0.8cm，直径≧1.7cm，棒长≧14.5cm，直径≧0.6cm。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3.结构：由一根粗细一致的实木棒，用机械旋转掏空成均匀大小的螺纹制成，底端圆滑凸起部分为手柄，外观原木清漆，配敲棒一支。</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4.使用时左右手分别手持刮棒，用其中的小棒去刮另一个棒子的表面而发声。</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53</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蛙鸣筒</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副</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1.材质：木质。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2.规格：全长≧20cm，头部长≧7cm；加沟处长≧7cm，直径≧5.5cm；尾长≧6.3cm，尾直径≧3.4cm；敲棒长≧15cm，直径≧1.2cm。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3.结构：蛙鸣筒，形状似鱼型，腰部均匀加沟，原木清漆，头部和尾部彩漆，附敲棒一根。</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4.使用时一手持蛙鸣筒，一手持敲棒敲击或刮擦发出声响，似青蛙叫，音色响亮清脆。</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54</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北梆子</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副</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1.材质：枣木。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2.规格：长≧18cm，宽≧4.5cm，高≧3.3cm；另一根尺寸≧18cm*2.5cm。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3.结构：梆子：由两根长短不等、粗细不同的实心硬木棒组成，形状为圆柱形；表面打磨光滑，适用于戏曲伴奏，配件：布袋包装。</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4.使用时双手各持一棒，交叉敲击即可发声</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55</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南梆子</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副</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1.材质：木质。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2.规格：长≧19cm，宽≧3.8cm，高≧6.1cm；敲棒长≧18.5cm。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3.结构：由木制中空长方体梆子和敲棒构成；材制为梨木或硬木，中间为一长方形音孔，内腔渐大，音孔镂空高≧0.8cm，配一支敲棒。</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4.使用时一手持敲棒，梆子可用手拿着，也可放桌子上敲击。</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56</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木鱼</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套</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1.材质：椿木。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每个尺寸分别为（长±5mm×高±5mm）：95mm×70mm、90mm×70mm、85mm×70mm、80mm×60mm、75mm×60mm、70mm×60mm、60mm×50mm、60mm×50mm。正面方形，侧面三角形。颜色：红色.金色。手工制作，设有发音孔。附敲击槌1个，槌头1个；槌头直径为25mm，圆球形；把为圆柱形，直径为5mm，全长为190m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3.结构：环保红漆、金漆，音质：发音清脆，音高清晰可辨，没有杂音。八个为一组（8音）。</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4.演奏时，使用敲击锤击打木鱼。</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57</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铃鼓</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1.材质：4层木制板材，金属铃片，厚羊皮，织带，金属泡钉。</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结构：羊皮鼓面，鼓面有彩色地图图案，并有地域风格的色彩，鼓皮表面边缘有红色织带包裹；鼓圈周围镶嵌6对金属铃片，并配有5个毛球，毛球上有彩色丝带；鼓身周围有24颗泡钉固定鼓皮，鼓皮内部印有字母。</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3.规格：鼓面直径≥200mm；高度≥4.6mm；鼓圈厚度≥6mm；长孔长度≥4.7mm；圆孔直径≥20mm；长孔之间间距不小于35mm；圆孔和长孔间距不小于50mm；毛球直径≥15mm毛球上丝带长度≥80mm；泡钉直径≥5mm。</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4.使用方法：手持铃鼓，左右或上下摇晃，使其铃片发声，同时用手拍打鼓面使其鼓皮发声，声音清脆响亮，延音效果好，使用过程中周边装饰毛球和丝带可更好提高教学视觉影响力。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58</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三角铁</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套</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1.材质：锰钢。</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2.规格：6个三角铁的尺寸分别为：≧25.2cm ；≧19.7cm ；≧17.2cm；≧14.2cm ；≧12.2cm；≧10cm，金属敲棒的长度≧13.5cm ；三角铁的直径≧0.8cm ，金属击棒的直径≧0.5cm。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3.结构：由1根敲棒和6个等边三角形的三角铁组成，6个为一套，材质厚实，音质明亮，发音清脆，穿透力强，金属敲击棒的顶端带有软橡胶保护垫，每个三角铁都带有带有软橡胶制作的勾手，方便使用。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4.使用时用一根金属棒敲击三角铁即可。</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59</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碰铃</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副</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1.材质：响铜。</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2.规格：碰钟外直径≧4.7cm，碰钟内直径≧4.4cm，高度≧3.6cm，壁厚≧0.2cm。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3.结构：由1根绳带连接2个碰钟组成，二个为一副，材质厚实，音质明亮。</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4.手持碰撞发声。</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60</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棒钟</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副</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1.材质：木制+金属。</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2.规格：直径3.7cm，长度13cm，带把。</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3.结构：木制手柄和响筒碰铃组成。</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4.演奏时，左右手各握一把碰撞发声。</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61</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堂鼓</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1.材质：胶木框，牛皮鼓面。</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2.规格：鼓面直径250mm、高165mm，击槌直径14mm，击槌长度300mm。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3.结构：鼓腔木制红色，鼓面双面牛皮蒙面，光滑无毛刺，鼓棒2根。</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4.具有合格证，三包卡，独立纸盒包装或包装袋。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62</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大锣</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1.材质：响铜。</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2.规格：锣直径≧29.7cm，壁厚≧0.18cm，敲槌长度≧24cm。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3.结构：大锣身为一圆型弧面，响铜制，中心部稍凸起，大锣的内部中心位置印有商标，锣边缘开有两个小孔穿绳，方便使用。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4.演奏时用左手拿着穿有绳子的锣，右手持一敲槌敲击发声。</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63</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小锣</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1.材质：响铜。</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2.规格：锣直径为≧21.5cm，壁厚≧0.16cm，木片长度≧26cm。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3.结构：小锣身为一圆型弧面，响铜制，中心部稍凸起，锣的内部中心位置印有商标，锣边缘开有两个小孔穿绳，方便使用。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4.演奏时用左手拿着穿有绳子的锣，右手持一敲槌敲击发声。</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64</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大钹</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副</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1.材质：响铜。</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2.规格：直径≧26.8cm。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3.结构：钹体为一圆形金属板，用“响铜”制成，中部隆起的半球形部分称“帽”，顶部钻有小孔，用粗绳栓系，两个为一副。</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 xml:space="preserve">4.演奏时，两手各执一面，互击发音，音色高亢脆亮。 </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65</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小钹</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副</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1.材质：响铜。</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2.规格：小钹直径≧14.8cm，壁厚≧0.1cm，中心脐直径≧6.7cm；重量0.4kg。</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3.结构：钹体为一圆形金属板，用“响铜”制成，中部隆起的半球形部分称“帽”，顶部钻有小孔，用粗绳栓系，两个为一副。</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 xml:space="preserve">4.演奏时，两手各执一面，互击发音，音色高亢脆亮。 </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66</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口风琴</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255</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1.材质：食品级ABS无毒工程树脂。</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2.规格：全长≧45cm，宽度≧10cm，厚≧3cm。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3.结构：由软布包、37键口风琴组成。</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4.具有合格证，三包卡，独立包装袋及帆布软包。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67</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竖笛</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支</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1.材质：木制；六孔。</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2.结构：由安全无毒环保木质制成的六孔竖笛一支，内附：一根清洁棒、竖笛挂绳。</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3.调性：C调。</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4.具有竖笛说明书（含指法表），合格证，独立PVC包装袋。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68</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竖笛</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支</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1.材质：木制；八孔。</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2.结构：由安全无毒环保木质制成的八孔竖笛一支，内附：一根清洁棒、竖笛挂绳。</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3.调性：C调。</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4.具有竖笛说明书（含指法表），合格证，独立PVC包装袋。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69</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陶笛</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1.12孔中音C调（AC）。</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2.工艺：熏烧/手绘等。</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3.音域：13度（低音La到高音Fa）。</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4.尺寸：约4*9*17cm，配挂绳，纸盒包装。</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70</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葫芦丝</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支</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 xml:space="preserve">1.材质：天然葫芦。                                                                    </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2.规格：全长≧38cm。</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 xml:space="preserve">3.结构：由1个天然葫芦、仿花牛角吹口、2根附管、1根主音管、1个小DIY中国结组成。                                                                            </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4.调性：C调。</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5.具有合格证，三包卡，独立纸盒包装或包装袋。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71</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尤克里里</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把</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1.尺寸：23寸，4弦。</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2.面板：沙比利木。</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3.底侧板：沙比利。</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4.品线：18品白铜。</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5.具有合格证，三包卡，独立纸盒包装。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72</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谱台</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250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1.材质：铁。</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2.规格：支架谱台面直径≧46CM，高度≧24CM，最大可升降到1.1-1.2米的高度，金属钢管支架中心钢管直径≧1CM。</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3.结构：由支架谱台面和金属钢管支架组成。金属钢管支架底部有3个支撑杆可收合，脚底为防滑塑胶材质，所有旋钮为均ABS材质结实耐用。4.具有使用说明书，合格证，三包卡，产品应具有独立纸盒包装或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73</w:t>
            </w:r>
          </w:p>
        </w:tc>
        <w:tc>
          <w:tcPr>
            <w:tcW w:w="118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软包音乐凳</w:t>
            </w:r>
          </w:p>
        </w:tc>
        <w:tc>
          <w:tcPr>
            <w:tcW w:w="558"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250</w:t>
            </w:r>
          </w:p>
        </w:tc>
        <w:tc>
          <w:tcPr>
            <w:tcW w:w="567"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7087"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 xml:space="preserve">1.材质：实木+软包材质。                                                             </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2.规格：300*350*410mm，含护角部分。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071" w:type="dxa"/>
            <w:gridSpan w:val="5"/>
            <w:vAlign w:val="center"/>
          </w:tcPr>
          <w:p>
            <w:pPr>
              <w:widowControl/>
              <w:jc w:val="center"/>
              <w:textAlignment w:val="center"/>
              <w:rPr>
                <w:rFonts w:ascii="宋体" w:hAnsi="宋体" w:cs="宋体"/>
                <w:color w:val="000000"/>
                <w:kern w:val="0"/>
                <w:sz w:val="22"/>
                <w:lang w:bidi="ar"/>
              </w:rPr>
            </w:pPr>
            <w:r>
              <w:rPr>
                <w:rFonts w:hint="eastAsia" w:ascii="宋体" w:hAnsi="宋体" w:cs="宋体"/>
                <w:b/>
                <w:kern w:val="0"/>
                <w:sz w:val="24"/>
                <w:lang w:bidi="ar"/>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1</w:t>
            </w:r>
          </w:p>
        </w:tc>
        <w:tc>
          <w:tcPr>
            <w:tcW w:w="1742" w:type="dxa"/>
            <w:gridSpan w:val="2"/>
            <w:vAlign w:val="center"/>
          </w:tcPr>
          <w:p>
            <w:pPr>
              <w:widowControl/>
              <w:jc w:val="center"/>
              <w:rPr>
                <w:color w:val="000000"/>
                <w:kern w:val="0"/>
                <w:sz w:val="22"/>
              </w:rPr>
            </w:pPr>
            <w:r>
              <w:rPr>
                <w:rFonts w:hint="eastAsia" w:ascii="宋体" w:hAnsi="宋体" w:cs="宋体"/>
                <w:b/>
                <w:sz w:val="22"/>
              </w:rPr>
              <w:t>合同签订期</w:t>
            </w:r>
          </w:p>
        </w:tc>
        <w:tc>
          <w:tcPr>
            <w:tcW w:w="7654" w:type="dxa"/>
            <w:gridSpan w:val="2"/>
            <w:vAlign w:val="center"/>
          </w:tcPr>
          <w:p>
            <w:pPr>
              <w:widowControl/>
              <w:jc w:val="left"/>
              <w:textAlignment w:val="baseline"/>
              <w:rPr>
                <w:rFonts w:ascii="宋体" w:hAnsi="宋体" w:cs="宋体"/>
                <w:kern w:val="0"/>
                <w:sz w:val="22"/>
              </w:rPr>
            </w:pPr>
            <w:r>
              <w:rPr>
                <w:rFonts w:hint="eastAsia" w:ascii="宋体" w:hAnsi="宋体" w:cs="宋体"/>
                <w:kern w:val="0"/>
                <w:sz w:val="22"/>
              </w:rPr>
              <w:t>自中标通知书发出之日起7日内。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2</w:t>
            </w:r>
          </w:p>
        </w:tc>
        <w:tc>
          <w:tcPr>
            <w:tcW w:w="1742" w:type="dxa"/>
            <w:gridSpan w:val="2"/>
            <w:vAlign w:val="center"/>
          </w:tcPr>
          <w:p>
            <w:pPr>
              <w:widowControl/>
              <w:jc w:val="center"/>
              <w:rPr>
                <w:color w:val="000000"/>
                <w:kern w:val="0"/>
                <w:sz w:val="22"/>
              </w:rPr>
            </w:pPr>
            <w:r>
              <w:rPr>
                <w:rFonts w:hint="eastAsia" w:ascii="宋体" w:hAnsi="宋体" w:cs="宋体"/>
                <w:b/>
                <w:sz w:val="22"/>
              </w:rPr>
              <w:t>服务期限</w:t>
            </w:r>
          </w:p>
        </w:tc>
        <w:tc>
          <w:tcPr>
            <w:tcW w:w="7654" w:type="dxa"/>
            <w:gridSpan w:val="2"/>
            <w:vAlign w:val="center"/>
          </w:tcPr>
          <w:p>
            <w:pPr>
              <w:widowControl/>
              <w:jc w:val="left"/>
              <w:textAlignment w:val="baseline"/>
              <w:rPr>
                <w:rFonts w:ascii="宋体" w:hAnsi="宋体" w:cs="宋体"/>
                <w:kern w:val="0"/>
                <w:sz w:val="22"/>
              </w:rPr>
            </w:pPr>
            <w:r>
              <w:rPr>
                <w:rFonts w:hint="eastAsia" w:ascii="宋体" w:hAnsi="宋体" w:cs="宋体"/>
                <w:kern w:val="0"/>
                <w:sz w:val="22"/>
              </w:rPr>
              <w:t>服务期限：合同签订之日起45日历日内完成安装调试及验收工作，运营维护期1年。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3</w:t>
            </w:r>
          </w:p>
        </w:tc>
        <w:tc>
          <w:tcPr>
            <w:tcW w:w="1742" w:type="dxa"/>
            <w:gridSpan w:val="2"/>
            <w:vAlign w:val="center"/>
          </w:tcPr>
          <w:p>
            <w:pPr>
              <w:widowControl/>
              <w:jc w:val="center"/>
              <w:rPr>
                <w:color w:val="000000"/>
                <w:kern w:val="0"/>
                <w:sz w:val="22"/>
              </w:rPr>
            </w:pPr>
            <w:r>
              <w:rPr>
                <w:rFonts w:hint="eastAsia" w:ascii="宋体" w:hAnsi="宋体" w:cs="宋体"/>
                <w:b/>
                <w:sz w:val="22"/>
              </w:rPr>
              <w:t>交付地点</w:t>
            </w:r>
          </w:p>
        </w:tc>
        <w:tc>
          <w:tcPr>
            <w:tcW w:w="7654" w:type="dxa"/>
            <w:gridSpan w:val="2"/>
            <w:vAlign w:val="center"/>
          </w:tcPr>
          <w:p>
            <w:pPr>
              <w:widowControl/>
              <w:jc w:val="left"/>
              <w:textAlignment w:val="baseline"/>
              <w:rPr>
                <w:rFonts w:ascii="宋体" w:hAnsi="宋体" w:cs="宋体"/>
                <w:kern w:val="0"/>
                <w:sz w:val="22"/>
              </w:rPr>
            </w:pPr>
            <w:r>
              <w:rPr>
                <w:rFonts w:hint="eastAsia" w:ascii="宋体" w:hAnsi="宋体" w:cs="宋体"/>
                <w:kern w:val="0"/>
                <w:sz w:val="22"/>
              </w:rPr>
              <w:t>交付地点：采购人指定地点。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4</w:t>
            </w:r>
          </w:p>
        </w:tc>
        <w:tc>
          <w:tcPr>
            <w:tcW w:w="1742" w:type="dxa"/>
            <w:gridSpan w:val="2"/>
            <w:vAlign w:val="center"/>
          </w:tcPr>
          <w:p>
            <w:pPr>
              <w:widowControl/>
              <w:jc w:val="center"/>
              <w:rPr>
                <w:color w:val="000000"/>
                <w:kern w:val="0"/>
                <w:sz w:val="22"/>
              </w:rPr>
            </w:pPr>
            <w:r>
              <w:rPr>
                <w:rFonts w:hint="eastAsia" w:ascii="宋体" w:hAnsi="宋体" w:cs="宋体"/>
                <w:b/>
                <w:sz w:val="22"/>
              </w:rPr>
              <w:t>质量要求</w:t>
            </w:r>
          </w:p>
        </w:tc>
        <w:tc>
          <w:tcPr>
            <w:tcW w:w="7654" w:type="dxa"/>
            <w:gridSpan w:val="2"/>
            <w:vAlign w:val="center"/>
          </w:tcPr>
          <w:p>
            <w:pPr>
              <w:widowControl/>
              <w:jc w:val="left"/>
              <w:textAlignment w:val="baseline"/>
              <w:rPr>
                <w:rFonts w:ascii="宋体" w:hAnsi="宋体" w:cs="宋体"/>
                <w:kern w:val="0"/>
                <w:sz w:val="22"/>
              </w:rPr>
            </w:pPr>
            <w:r>
              <w:rPr>
                <w:rFonts w:hint="eastAsia" w:ascii="宋体" w:hAnsi="宋体" w:cs="宋体"/>
                <w:kern w:val="0"/>
                <w:sz w:val="22"/>
              </w:rPr>
              <w:t>（1）货物必须是全新合格产品，产品质量符合国家相关标准及安全规范；</w:t>
            </w:r>
          </w:p>
          <w:p>
            <w:pPr>
              <w:widowControl/>
              <w:jc w:val="left"/>
              <w:textAlignment w:val="baseline"/>
              <w:rPr>
                <w:rFonts w:ascii="宋体" w:hAnsi="宋体" w:cs="宋体"/>
                <w:kern w:val="0"/>
                <w:sz w:val="22"/>
              </w:rPr>
            </w:pPr>
            <w:r>
              <w:rPr>
                <w:rFonts w:hint="eastAsia" w:ascii="宋体" w:hAnsi="宋体" w:cs="宋体"/>
                <w:kern w:val="0"/>
                <w:sz w:val="22"/>
              </w:rPr>
              <w:t>（2）供应商须按国家有关规定实行“三包”，免费送货上门。提供现场免费安装、调试设备，进行操作试验，直至运行正常；</w:t>
            </w:r>
          </w:p>
          <w:p>
            <w:pPr>
              <w:widowControl/>
              <w:jc w:val="left"/>
              <w:textAlignment w:val="baseline"/>
              <w:rPr>
                <w:rFonts w:ascii="宋体" w:hAnsi="宋体" w:cs="宋体"/>
                <w:kern w:val="0"/>
                <w:sz w:val="22"/>
              </w:rPr>
            </w:pPr>
            <w:r>
              <w:rPr>
                <w:rFonts w:hint="eastAsia" w:ascii="宋体" w:hAnsi="宋体" w:cs="宋体"/>
                <w:kern w:val="0"/>
                <w:sz w:val="22"/>
              </w:rPr>
              <w:t>（3）采购方对供应商所交货物依照采购文件上的技术规格要求和国家有关标准进行现场验收，性能达到技术要求的，给予签收。验收不合格的不予签收，后果由供货方负责。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5</w:t>
            </w:r>
          </w:p>
        </w:tc>
        <w:tc>
          <w:tcPr>
            <w:tcW w:w="1742" w:type="dxa"/>
            <w:gridSpan w:val="2"/>
            <w:vAlign w:val="center"/>
          </w:tcPr>
          <w:p>
            <w:pPr>
              <w:widowControl/>
              <w:jc w:val="center"/>
              <w:rPr>
                <w:color w:val="000000"/>
                <w:kern w:val="0"/>
                <w:sz w:val="22"/>
              </w:rPr>
            </w:pPr>
            <w:r>
              <w:rPr>
                <w:rFonts w:hint="eastAsia" w:ascii="宋体" w:hAnsi="宋体" w:cs="宋体"/>
                <w:b/>
                <w:sz w:val="22"/>
              </w:rPr>
              <w:t>报价要求</w:t>
            </w:r>
          </w:p>
        </w:tc>
        <w:tc>
          <w:tcPr>
            <w:tcW w:w="7654" w:type="dxa"/>
            <w:gridSpan w:val="2"/>
            <w:vAlign w:val="center"/>
          </w:tcPr>
          <w:p>
            <w:pPr>
              <w:widowControl/>
              <w:jc w:val="left"/>
              <w:textAlignment w:val="baseline"/>
              <w:rPr>
                <w:rFonts w:ascii="宋体" w:hAnsi="宋体" w:cs="宋体"/>
                <w:kern w:val="0"/>
                <w:sz w:val="22"/>
              </w:rPr>
            </w:pPr>
            <w:r>
              <w:rPr>
                <w:rFonts w:hint="eastAsia" w:ascii="宋体" w:hAnsi="宋体" w:cs="宋体"/>
                <w:kern w:val="0"/>
                <w:sz w:val="22"/>
              </w:rPr>
              <w:t>1、竞标费用包括本项目实施所需的外购软件费、设备费、人工费、服务费、运输费、安装调试费、税费及其他一切费用；</w:t>
            </w:r>
          </w:p>
          <w:p>
            <w:pPr>
              <w:widowControl/>
              <w:jc w:val="left"/>
              <w:textAlignment w:val="baseline"/>
              <w:rPr>
                <w:rFonts w:ascii="宋体" w:hAnsi="宋体" w:cs="宋体"/>
                <w:kern w:val="0"/>
                <w:sz w:val="22"/>
              </w:rPr>
            </w:pPr>
            <w:r>
              <w:rPr>
                <w:rFonts w:hint="eastAsia" w:ascii="宋体" w:hAnsi="宋体" w:cs="宋体"/>
                <w:kern w:val="0"/>
                <w:sz w:val="22"/>
              </w:rPr>
              <w:t xml:space="preserve">2、系统安装调试需要的线材、接插件、安装配件等，须满足本项目建设的需要，所需费用含在设备报价中，不单独计费； </w:t>
            </w:r>
          </w:p>
          <w:p>
            <w:pPr>
              <w:widowControl/>
              <w:jc w:val="left"/>
              <w:textAlignment w:val="baseline"/>
              <w:rPr>
                <w:rFonts w:ascii="宋体" w:hAnsi="宋体" w:cs="宋体"/>
                <w:kern w:val="0"/>
                <w:sz w:val="22"/>
              </w:rPr>
            </w:pPr>
            <w:r>
              <w:rPr>
                <w:rFonts w:hint="eastAsia" w:ascii="宋体" w:hAnsi="宋体" w:cs="宋体"/>
                <w:kern w:val="0"/>
                <w:sz w:val="22"/>
              </w:rPr>
              <w:t xml:space="preserve">3、竞标报价为采购人指定地点的现场交货价，包括： </w:t>
            </w:r>
          </w:p>
          <w:p>
            <w:pPr>
              <w:widowControl/>
              <w:jc w:val="left"/>
              <w:textAlignment w:val="baseline"/>
              <w:rPr>
                <w:rFonts w:ascii="宋体" w:hAnsi="宋体" w:cs="宋体"/>
                <w:kern w:val="0"/>
                <w:sz w:val="22"/>
              </w:rPr>
            </w:pPr>
            <w:r>
              <w:rPr>
                <w:rFonts w:hint="eastAsia" w:ascii="宋体" w:hAnsi="宋体" w:cs="宋体"/>
                <w:kern w:val="0"/>
                <w:sz w:val="22"/>
              </w:rPr>
              <w:t xml:space="preserve">（1）货物及标准附件、备品备件、专用工具的价格； </w:t>
            </w:r>
          </w:p>
          <w:p>
            <w:pPr>
              <w:widowControl/>
              <w:jc w:val="left"/>
              <w:textAlignment w:val="baseline"/>
              <w:rPr>
                <w:rFonts w:ascii="宋体" w:hAnsi="宋体" w:cs="宋体"/>
                <w:kern w:val="0"/>
                <w:sz w:val="22"/>
              </w:rPr>
            </w:pPr>
            <w:r>
              <w:rPr>
                <w:rFonts w:hint="eastAsia" w:ascii="宋体" w:hAnsi="宋体" w:cs="宋体"/>
                <w:kern w:val="0"/>
                <w:sz w:val="22"/>
              </w:rPr>
              <w:t>（2）运输、装卸、安装、调试、培训、技术支持、售后服务等费用；</w:t>
            </w:r>
          </w:p>
          <w:p>
            <w:pPr>
              <w:widowControl/>
              <w:jc w:val="left"/>
              <w:textAlignment w:val="baseline"/>
              <w:rPr>
                <w:rFonts w:ascii="宋体" w:hAnsi="宋体" w:cs="宋体"/>
                <w:kern w:val="0"/>
                <w:sz w:val="22"/>
              </w:rPr>
            </w:pPr>
            <w:r>
              <w:rPr>
                <w:rFonts w:hint="eastAsia" w:ascii="宋体" w:hAnsi="宋体" w:cs="宋体"/>
                <w:kern w:val="0"/>
                <w:sz w:val="22"/>
              </w:rPr>
              <w:t xml:space="preserve">（3）必要的保险费用和各项税费、招标代理服务费； </w:t>
            </w:r>
          </w:p>
          <w:p>
            <w:pPr>
              <w:widowControl/>
              <w:jc w:val="left"/>
              <w:textAlignment w:val="baseline"/>
              <w:rPr>
                <w:rFonts w:ascii="宋体" w:hAnsi="宋体" w:cs="宋体"/>
                <w:kern w:val="0"/>
                <w:sz w:val="22"/>
              </w:rPr>
            </w:pPr>
            <w:r>
              <w:rPr>
                <w:rFonts w:hint="eastAsia" w:ascii="宋体" w:hAnsi="宋体" w:cs="宋体"/>
                <w:kern w:val="0"/>
                <w:sz w:val="22"/>
              </w:rPr>
              <w:t xml:space="preserve">（4）包括施工调试费用； </w:t>
            </w:r>
          </w:p>
          <w:p>
            <w:pPr>
              <w:widowControl/>
              <w:jc w:val="left"/>
              <w:textAlignment w:val="baseline"/>
              <w:rPr>
                <w:rFonts w:ascii="宋体" w:hAnsi="宋体" w:cs="宋体"/>
                <w:kern w:val="0"/>
                <w:sz w:val="22"/>
              </w:rPr>
            </w:pPr>
            <w:r>
              <w:rPr>
                <w:rFonts w:hint="eastAsia" w:ascii="宋体" w:hAnsi="宋体" w:cs="宋体"/>
                <w:kern w:val="0"/>
                <w:sz w:val="22"/>
              </w:rPr>
              <w:t xml:space="preserve">（5）安装所需的附件及材料费用； </w:t>
            </w:r>
          </w:p>
          <w:p>
            <w:pPr>
              <w:widowControl/>
              <w:jc w:val="left"/>
              <w:textAlignment w:val="baseline"/>
              <w:rPr>
                <w:rFonts w:ascii="宋体" w:hAnsi="宋体" w:cs="宋体"/>
                <w:kern w:val="0"/>
                <w:sz w:val="22"/>
              </w:rPr>
            </w:pPr>
            <w:r>
              <w:rPr>
                <w:rFonts w:hint="eastAsia" w:ascii="宋体" w:hAnsi="宋体" w:cs="宋体"/>
                <w:kern w:val="0"/>
                <w:sz w:val="22"/>
              </w:rPr>
              <w:t>（6）验收费用。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6</w:t>
            </w:r>
          </w:p>
        </w:tc>
        <w:tc>
          <w:tcPr>
            <w:tcW w:w="1742" w:type="dxa"/>
            <w:gridSpan w:val="2"/>
            <w:vAlign w:val="center"/>
          </w:tcPr>
          <w:p>
            <w:pPr>
              <w:widowControl/>
              <w:jc w:val="center"/>
              <w:rPr>
                <w:color w:val="000000"/>
                <w:kern w:val="0"/>
                <w:sz w:val="22"/>
              </w:rPr>
            </w:pPr>
            <w:r>
              <w:rPr>
                <w:rFonts w:hint="eastAsia" w:ascii="宋体" w:hAnsi="宋体" w:cs="宋体"/>
                <w:b/>
                <w:sz w:val="22"/>
              </w:rPr>
              <w:t>售后服务要求</w:t>
            </w:r>
          </w:p>
        </w:tc>
        <w:tc>
          <w:tcPr>
            <w:tcW w:w="7654" w:type="dxa"/>
            <w:gridSpan w:val="2"/>
            <w:vAlign w:val="center"/>
          </w:tcPr>
          <w:p>
            <w:pPr>
              <w:widowControl/>
              <w:jc w:val="left"/>
              <w:textAlignment w:val="baseline"/>
              <w:rPr>
                <w:rFonts w:ascii="宋体" w:hAnsi="宋体" w:cs="宋体"/>
                <w:kern w:val="0"/>
                <w:sz w:val="22"/>
              </w:rPr>
            </w:pPr>
            <w:r>
              <w:rPr>
                <w:rFonts w:hint="eastAsia" w:ascii="宋体" w:hAnsi="宋体" w:cs="宋体"/>
                <w:kern w:val="0"/>
                <w:sz w:val="22"/>
              </w:rPr>
              <w:t>（1）免费送货上门、免费上门安装调试、免费培训、免费技术支持。成交供应商负责免费培训使用人员和维护人员，内容包括设备及软件系统操作、日常维护，确保熟练掌握全部功能为止。</w:t>
            </w:r>
          </w:p>
          <w:p>
            <w:pPr>
              <w:widowControl/>
              <w:jc w:val="left"/>
              <w:textAlignment w:val="baseline"/>
              <w:rPr>
                <w:rFonts w:ascii="宋体" w:hAnsi="宋体" w:cs="宋体"/>
                <w:kern w:val="0"/>
                <w:sz w:val="22"/>
              </w:rPr>
            </w:pPr>
            <w:r>
              <w:rPr>
                <w:rFonts w:hint="eastAsia" w:ascii="宋体" w:hAnsi="宋体" w:cs="宋体"/>
                <w:kern w:val="0"/>
                <w:sz w:val="22"/>
              </w:rPr>
              <w:t>（2）故障响应时间：接到故障通知后成交供应商应在20分钟内电话服务应答，8小时内到现场维护响应，并提供7*24小时免费电话维护服务；</w:t>
            </w:r>
          </w:p>
          <w:p>
            <w:pPr>
              <w:widowControl/>
              <w:jc w:val="left"/>
              <w:textAlignment w:val="baseline"/>
              <w:rPr>
                <w:rFonts w:ascii="宋体" w:hAnsi="宋体" w:cs="宋体"/>
                <w:kern w:val="0"/>
                <w:sz w:val="22"/>
              </w:rPr>
            </w:pPr>
            <w:r>
              <w:rPr>
                <w:rFonts w:hint="eastAsia" w:ascii="宋体" w:hAnsi="宋体" w:cs="宋体"/>
                <w:kern w:val="0"/>
                <w:sz w:val="22"/>
              </w:rPr>
              <w:t>（3）维修时限：在保修期内，接到故障通知后2天内完成维修或更换服务，超过保修期的，接到故障通知5天内完成维修或更换服务。</w:t>
            </w:r>
          </w:p>
          <w:p>
            <w:pPr>
              <w:widowControl/>
              <w:jc w:val="left"/>
              <w:textAlignment w:val="baseline"/>
              <w:rPr>
                <w:rFonts w:ascii="宋体" w:hAnsi="宋体" w:cs="宋体"/>
                <w:kern w:val="0"/>
                <w:sz w:val="22"/>
              </w:rPr>
            </w:pPr>
            <w:r>
              <w:rPr>
                <w:rFonts w:hint="eastAsia" w:ascii="宋体" w:hAnsi="宋体" w:cs="宋体"/>
                <w:kern w:val="0"/>
                <w:sz w:val="22"/>
              </w:rPr>
              <w:t>（4）</w:t>
            </w:r>
            <w:r>
              <w:rPr>
                <w:rFonts w:ascii="宋体" w:hAnsi="宋体"/>
                <w:szCs w:val="24"/>
              </w:rPr>
              <w:t>在质量保证期内货物非因人为及不可抗拒因素的原因而引起损坏或质量问题，中标供应商应免费予以技术服务、维修或货物更换，并承担相应费用和零部件的费用。中标供应商须负责设备的免费安装调试和免费的技术培训，解决货物的使用过程出现的各种问题及提供技术指导。</w:t>
            </w:r>
            <w:r>
              <w:rPr>
                <w:rFonts w:hint="eastAsia" w:ascii="宋体" w:hAnsi="宋体" w:cs="宋体"/>
                <w:kern w:val="0"/>
                <w:sz w:val="22"/>
              </w:rPr>
              <w:t>。</w:t>
            </w:r>
          </w:p>
          <w:p>
            <w:pPr>
              <w:widowControl/>
              <w:jc w:val="left"/>
              <w:textAlignment w:val="baseline"/>
              <w:rPr>
                <w:rFonts w:ascii="宋体" w:hAnsi="宋体" w:cs="宋体"/>
                <w:kern w:val="0"/>
                <w:sz w:val="22"/>
              </w:rPr>
            </w:pPr>
            <w:r>
              <w:rPr>
                <w:rFonts w:hint="eastAsia" w:ascii="宋体" w:hAnsi="宋体" w:cs="宋体"/>
                <w:kern w:val="0"/>
                <w:sz w:val="22"/>
              </w:rPr>
              <w:t xml:space="preserve">（5）成交供应商应定期进行回访。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7</w:t>
            </w:r>
          </w:p>
        </w:tc>
        <w:tc>
          <w:tcPr>
            <w:tcW w:w="1742" w:type="dxa"/>
            <w:gridSpan w:val="2"/>
            <w:vAlign w:val="center"/>
          </w:tcPr>
          <w:p>
            <w:pPr>
              <w:widowControl/>
              <w:jc w:val="center"/>
              <w:rPr>
                <w:color w:val="auto"/>
                <w:kern w:val="0"/>
                <w:sz w:val="22"/>
              </w:rPr>
            </w:pPr>
            <w:r>
              <w:rPr>
                <w:rFonts w:hint="eastAsia" w:ascii="宋体" w:hAnsi="宋体" w:cs="宋体"/>
                <w:b/>
                <w:color w:val="auto"/>
                <w:sz w:val="22"/>
              </w:rPr>
              <w:t>验收标准</w:t>
            </w:r>
          </w:p>
        </w:tc>
        <w:tc>
          <w:tcPr>
            <w:tcW w:w="7654" w:type="dxa"/>
            <w:gridSpan w:val="2"/>
            <w:vAlign w:val="center"/>
          </w:tcPr>
          <w:p>
            <w:pPr>
              <w:widowControl/>
              <w:jc w:val="left"/>
              <w:textAlignment w:val="baseline"/>
              <w:rPr>
                <w:rFonts w:ascii="宋体" w:hAnsi="宋体" w:cs="宋体"/>
                <w:color w:val="auto"/>
                <w:kern w:val="0"/>
                <w:sz w:val="22"/>
              </w:rPr>
            </w:pPr>
            <w:r>
              <w:rPr>
                <w:rFonts w:hint="eastAsia" w:ascii="宋体" w:hAnsi="宋体" w:cs="宋体"/>
                <w:color w:val="auto"/>
                <w:kern w:val="0"/>
                <w:sz w:val="22"/>
              </w:rPr>
              <w:t>验收时，采购人对中标人所交货物依照中标人的投标文件所承诺的技术规格要求和国家有关标准进行现场验收。性能达到技术要求的给予签收，若有一项指标不满足其投标承诺的不予签收，并按照政府采购相关法律法规和合同约定条款进行处罚，由此造成的项目延误等所有责任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8</w:t>
            </w:r>
          </w:p>
        </w:tc>
        <w:tc>
          <w:tcPr>
            <w:tcW w:w="1742" w:type="dxa"/>
            <w:gridSpan w:val="2"/>
            <w:vAlign w:val="center"/>
          </w:tcPr>
          <w:p>
            <w:pPr>
              <w:widowControl/>
              <w:jc w:val="center"/>
              <w:rPr>
                <w:color w:val="auto"/>
                <w:kern w:val="0"/>
                <w:sz w:val="22"/>
              </w:rPr>
            </w:pPr>
            <w:r>
              <w:rPr>
                <w:rFonts w:hint="eastAsia" w:ascii="宋体" w:hAnsi="宋体" w:cs="宋体"/>
                <w:b/>
                <w:color w:val="auto"/>
                <w:sz w:val="22"/>
              </w:rPr>
              <w:t>质保期</w:t>
            </w:r>
          </w:p>
        </w:tc>
        <w:tc>
          <w:tcPr>
            <w:tcW w:w="7654" w:type="dxa"/>
            <w:gridSpan w:val="2"/>
            <w:vAlign w:val="center"/>
          </w:tcPr>
          <w:p>
            <w:pPr>
              <w:widowControl/>
              <w:jc w:val="left"/>
              <w:textAlignment w:val="baseline"/>
              <w:rPr>
                <w:rFonts w:ascii="宋体" w:hAnsi="宋体" w:cs="宋体"/>
                <w:color w:val="auto"/>
                <w:kern w:val="0"/>
                <w:sz w:val="22"/>
              </w:rPr>
            </w:pPr>
            <w:r>
              <w:rPr>
                <w:rFonts w:hint="eastAsia" w:ascii="宋体" w:hAnsi="宋体" w:cs="宋体"/>
                <w:color w:val="auto"/>
                <w:kern w:val="0"/>
                <w:sz w:val="22"/>
              </w:rPr>
              <w:t>所供设备按厂家承诺实行“三包”，所有产品质量保证期为一年，自双方代表在设备验收单上签字之日起计算。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9</w:t>
            </w:r>
          </w:p>
        </w:tc>
        <w:tc>
          <w:tcPr>
            <w:tcW w:w="1742" w:type="dxa"/>
            <w:gridSpan w:val="2"/>
            <w:vAlign w:val="center"/>
          </w:tcPr>
          <w:p>
            <w:pPr>
              <w:widowControl/>
              <w:jc w:val="center"/>
              <w:rPr>
                <w:color w:val="auto"/>
                <w:kern w:val="0"/>
                <w:sz w:val="22"/>
              </w:rPr>
            </w:pPr>
            <w:r>
              <w:rPr>
                <w:rFonts w:hint="eastAsia" w:ascii="宋体" w:hAnsi="宋体" w:cs="宋体"/>
                <w:b/>
                <w:color w:val="auto"/>
                <w:sz w:val="22"/>
              </w:rPr>
              <w:t>付款方式</w:t>
            </w:r>
          </w:p>
        </w:tc>
        <w:tc>
          <w:tcPr>
            <w:tcW w:w="7654" w:type="dxa"/>
            <w:gridSpan w:val="2"/>
            <w:vAlign w:val="center"/>
          </w:tcPr>
          <w:p>
            <w:pPr>
              <w:widowControl/>
              <w:jc w:val="left"/>
              <w:textAlignment w:val="baseline"/>
              <w:rPr>
                <w:rFonts w:ascii="宋体" w:hAnsi="宋体" w:cs="宋体"/>
                <w:color w:val="auto"/>
                <w:kern w:val="0"/>
                <w:sz w:val="22"/>
              </w:rPr>
            </w:pPr>
            <w:r>
              <w:rPr>
                <w:rFonts w:hint="eastAsia" w:ascii="宋体" w:hAnsi="宋体" w:cs="宋体"/>
                <w:color w:val="auto"/>
                <w:kern w:val="0"/>
                <w:sz w:val="22"/>
              </w:rPr>
              <w:t>签订合同后10个工作日内，采购人向成交供应商支付合同总金额的50%；设备安装完成并通过验收后10个工作日内，采购人向成交供应商支付合同总金额的50%。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5" w:type="dxa"/>
            <w:vAlign w:val="center"/>
          </w:tcPr>
          <w:p>
            <w:pPr>
              <w:widowControl/>
              <w:jc w:val="center"/>
              <w:textAlignment w:val="baseline"/>
              <w:rPr>
                <w:rFonts w:ascii="宋体" w:hAnsi="宋体" w:cs="宋体"/>
                <w:kern w:val="0"/>
                <w:szCs w:val="21"/>
              </w:rPr>
            </w:pPr>
            <w:r>
              <w:rPr>
                <w:rFonts w:hint="eastAsia" w:ascii="宋体" w:hAnsi="宋体" w:cs="宋体"/>
                <w:kern w:val="0"/>
                <w:szCs w:val="21"/>
              </w:rPr>
              <w:t>10</w:t>
            </w:r>
          </w:p>
        </w:tc>
        <w:tc>
          <w:tcPr>
            <w:tcW w:w="1742" w:type="dxa"/>
            <w:gridSpan w:val="2"/>
            <w:vAlign w:val="center"/>
          </w:tcPr>
          <w:p>
            <w:pPr>
              <w:widowControl/>
              <w:jc w:val="center"/>
              <w:rPr>
                <w:rFonts w:ascii="宋体" w:hAnsi="宋体" w:cs="宋体"/>
                <w:b/>
                <w:color w:val="auto"/>
                <w:sz w:val="22"/>
              </w:rPr>
            </w:pPr>
            <w:r>
              <w:rPr>
                <w:rFonts w:hint="eastAsia" w:ascii="宋体" w:hAnsi="宋体" w:cs="宋体"/>
                <w:b/>
                <w:color w:val="auto"/>
                <w:sz w:val="22"/>
              </w:rPr>
              <w:t>其它</w:t>
            </w:r>
          </w:p>
        </w:tc>
        <w:tc>
          <w:tcPr>
            <w:tcW w:w="7654" w:type="dxa"/>
            <w:gridSpan w:val="2"/>
            <w:vAlign w:val="center"/>
          </w:tcPr>
          <w:p>
            <w:pPr>
              <w:widowControl/>
              <w:jc w:val="left"/>
              <w:textAlignment w:val="baseline"/>
              <w:rPr>
                <w:rFonts w:ascii="宋体" w:hAnsi="宋体" w:cs="宋体"/>
                <w:color w:val="auto"/>
                <w:kern w:val="0"/>
                <w:sz w:val="22"/>
              </w:rPr>
            </w:pPr>
            <w:r>
              <w:rPr>
                <w:rFonts w:hint="eastAsia" w:ascii="宋体" w:hAnsi="宋体" w:cs="宋体"/>
                <w:color w:val="auto"/>
                <w:kern w:val="0"/>
                <w:sz w:val="22"/>
              </w:rPr>
              <w:t>1、本项目货物不接受进口产品（即通过中国海关报关验放进入中国境内且产自关境外的产品）参与竞标，如有此类产品参与竞标的做无效标处理。</w:t>
            </w:r>
          </w:p>
          <w:p>
            <w:pPr>
              <w:widowControl/>
              <w:jc w:val="left"/>
              <w:textAlignment w:val="baseline"/>
              <w:rPr>
                <w:rFonts w:ascii="宋体" w:hAnsi="宋体" w:cs="宋体"/>
                <w:color w:val="auto"/>
                <w:kern w:val="0"/>
                <w:sz w:val="22"/>
              </w:rPr>
            </w:pPr>
            <w:r>
              <w:rPr>
                <w:rFonts w:hint="eastAsia" w:ascii="宋体" w:hAnsi="宋体" w:cs="宋体"/>
                <w:color w:val="auto"/>
                <w:kern w:val="0"/>
                <w:sz w:val="22"/>
              </w:rPr>
              <w:t>2、投标人必须承诺所提供的投标材料均为厂家官网下载或通过正规渠道获取，投标人未进行篡改，如有发现承诺文件的内容与设备实际功能不相符，追究投标人虚假应标的法律责任，否则投标无效。</w:t>
            </w:r>
          </w:p>
          <w:p>
            <w:pPr>
              <w:pStyle w:val="304"/>
              <w:rPr>
                <w:rFonts w:ascii="宋体" w:hAnsi="宋体" w:cs="宋体"/>
                <w:color w:val="auto"/>
                <w:sz w:val="22"/>
              </w:rPr>
            </w:pPr>
            <w:r>
              <w:rPr>
                <w:rFonts w:hint="eastAsia" w:ascii="宋体" w:hAnsi="宋体" w:cs="宋体"/>
                <w:color w:val="auto"/>
                <w:sz w:val="22"/>
              </w:rPr>
              <w:t>3、为保证中标供应商所投产品满足招标文件要求，采购人有权委托具备相关资质的第三方检测机构对投标产品进行参数真实性检测，并出具合格有效的检测结果证明文件加盖公章，检测过程中所产生的一切费用由中标供应商承担，若检测结果与中标人所响应的技术参数不符或不满足招标文件要求，采购人有权解除双方的供货合同，并追究中标供应商相关法律责任。</w:t>
            </w:r>
          </w:p>
          <w:p>
            <w:pPr>
              <w:pStyle w:val="304"/>
              <w:rPr>
                <w:rFonts w:ascii="宋体" w:hAnsi="宋体" w:cs="宋体"/>
                <w:color w:val="auto"/>
                <w:sz w:val="22"/>
              </w:rPr>
            </w:pPr>
            <w:r>
              <w:rPr>
                <w:rFonts w:hint="eastAsia" w:ascii="宋体" w:hAnsi="宋体" w:cs="宋体"/>
                <w:color w:val="auto"/>
                <w:sz w:val="22"/>
              </w:rPr>
              <w:t>4、项目实施至竣工验收，成交供应商应安排设备安装调试人员驻采购单位。驻采购单位现场进行项目的实施及设备安装调试，进行项目实施管理；设备安装与调试过程所需一切工具、仪表等设备或工具以及产生的费用均由成交供应商自行负责。</w:t>
            </w:r>
          </w:p>
        </w:tc>
      </w:tr>
    </w:tbl>
    <w:p>
      <w:pPr>
        <w:widowControl/>
        <w:spacing w:line="276" w:lineRule="auto"/>
        <w:textAlignment w:val="baseline"/>
        <w:rPr>
          <w:kern w:val="0"/>
          <w:sz w:val="24"/>
          <w:szCs w:val="24"/>
        </w:rPr>
      </w:pPr>
    </w:p>
    <w:p>
      <w:pPr>
        <w:rPr>
          <w:b/>
          <w:sz w:val="32"/>
        </w:rPr>
        <w:sectPr>
          <w:headerReference r:id="rId7" w:type="default"/>
          <w:pgSz w:w="11906" w:h="16838"/>
          <w:pgMar w:top="851" w:right="851" w:bottom="1418" w:left="851" w:header="851" w:footer="238" w:gutter="0"/>
          <w:cols w:space="720" w:num="1"/>
          <w:docGrid w:type="lines" w:linePitch="312" w:charSpace="0"/>
        </w:sectPr>
      </w:pPr>
    </w:p>
    <w:p>
      <w:pPr>
        <w:ind w:firstLine="4818" w:firstLineChars="1500"/>
        <w:rPr>
          <w:b/>
          <w:sz w:val="32"/>
        </w:rPr>
      </w:pPr>
    </w:p>
    <w:p>
      <w:pPr>
        <w:ind w:firstLine="3212" w:firstLineChars="1000"/>
        <w:jc w:val="both"/>
        <w:rPr>
          <w:rFonts w:hint="eastAsia" w:ascii="宋体" w:hAnsi="宋体" w:cs="宋体"/>
          <w:b/>
          <w:bCs/>
          <w:color w:val="auto"/>
          <w:kern w:val="0"/>
          <w:sz w:val="32"/>
          <w:szCs w:val="32"/>
          <w:highlight w:val="none"/>
          <w:lang w:val="zh-CN"/>
        </w:rPr>
      </w:pPr>
      <w:r>
        <w:rPr>
          <w:rFonts w:hint="eastAsia" w:ascii="宋体" w:hAnsi="宋体" w:cs="宋体"/>
          <w:b/>
          <w:bCs/>
          <w:color w:val="auto"/>
          <w:kern w:val="0"/>
          <w:sz w:val="32"/>
          <w:szCs w:val="32"/>
          <w:highlight w:val="none"/>
          <w:lang w:val="zh-CN"/>
        </w:rPr>
        <w:t>标项2项目采购需求</w:t>
      </w:r>
    </w:p>
    <w:p>
      <w:pPr>
        <w:adjustRightInd w:val="0"/>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说明：</w:t>
      </w:r>
    </w:p>
    <w:p>
      <w:pPr>
        <w:adjustRightInd w:val="0"/>
        <w:spacing w:line="40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1.下表中的技术参数仅起参考作用，投标人可选用要实质上相当于或优于参考其技术参数性能（配置）要求。</w:t>
      </w:r>
    </w:p>
    <w:p>
      <w:pPr>
        <w:adjustRightInd w:val="0"/>
        <w:spacing w:line="40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2.本项目一览表中技术参数性能（配置）不明确或有误的，或投标人选用以详细、正确的技术参数性能配置填写投标报价表和技术规格偏离表。投标人须根据技术参数及性能配置要求提供对应的技术响应偏离表。</w:t>
      </w:r>
    </w:p>
    <w:p>
      <w:pPr>
        <w:adjustRightInd w:val="0"/>
        <w:spacing w:line="40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3.按财政部发展改革委生态环境部市场监管总局《关于调整优化节能产品、环境标志产品政府采购执行机制的通知》财库〔2019〕9号文件要求，如发布有政府采购节能产品品目清单中规定为政府强制采购的节能产品，（品目清单请从中国政府采购网www.ccgp.gov.cn查询），投标产品必须满足文件的相关规定。投标时须提供国家确定的认证机构出具的、处于有效期之内的有效的节能产品认证证书复印件并加盖投标人公章，不提供视为无效投标处理。</w:t>
      </w:r>
    </w:p>
    <w:p>
      <w:pPr>
        <w:adjustRightInd w:val="0"/>
        <w:spacing w:line="400" w:lineRule="exact"/>
        <w:ind w:firstLine="440" w:firstLineChars="200"/>
        <w:rPr>
          <w:rFonts w:hint="eastAsia" w:ascii="宋体" w:hAnsi="宋体" w:cs="宋体"/>
          <w:bCs/>
          <w:color w:val="auto"/>
          <w:spacing w:val="-6"/>
          <w:sz w:val="22"/>
          <w:highlight w:val="none"/>
        </w:rPr>
      </w:pPr>
      <w:r>
        <w:rPr>
          <w:rFonts w:hint="eastAsia" w:ascii="宋体" w:hAnsi="宋体" w:cs="宋体"/>
          <w:bCs/>
          <w:color w:val="auto"/>
          <w:sz w:val="22"/>
          <w:highlight w:val="none"/>
        </w:rPr>
        <w:t>4.采购需求一览表中标注“</w:t>
      </w:r>
      <w:r>
        <w:rPr>
          <w:rFonts w:hint="eastAsia" w:ascii="宋体" w:hAnsi="宋体" w:cs="宋体"/>
          <w:color w:val="auto"/>
          <w:szCs w:val="21"/>
          <w:highlight w:val="none"/>
        </w:rPr>
        <w:t>▲</w:t>
      </w:r>
      <w:r>
        <w:rPr>
          <w:rFonts w:hint="eastAsia" w:ascii="宋体" w:hAnsi="宋体" w:cs="宋体"/>
          <w:bCs/>
          <w:color w:val="auto"/>
          <w:sz w:val="22"/>
          <w:highlight w:val="none"/>
        </w:rPr>
        <w:t>”的详细技术参数及配备要求、商务要求必须响应满足或优于，否则</w:t>
      </w:r>
      <w:r>
        <w:rPr>
          <w:rFonts w:hint="eastAsia" w:ascii="宋体" w:hAnsi="宋体" w:cs="宋体"/>
          <w:b/>
          <w:bCs/>
          <w:color w:val="auto"/>
          <w:sz w:val="22"/>
          <w:highlight w:val="none"/>
        </w:rPr>
        <w:t>投标无效</w:t>
      </w:r>
      <w:r>
        <w:rPr>
          <w:rFonts w:hint="eastAsia" w:ascii="宋体" w:hAnsi="宋体" w:cs="宋体"/>
          <w:bCs/>
          <w:color w:val="auto"/>
          <w:sz w:val="22"/>
          <w:highlight w:val="none"/>
        </w:rPr>
        <w:t>。</w:t>
      </w:r>
      <w:r>
        <w:rPr>
          <w:rFonts w:hint="eastAsia" w:ascii="宋体" w:hAnsi="宋体" w:cs="宋体"/>
          <w:bCs/>
          <w:color w:val="auto"/>
          <w:spacing w:val="-6"/>
          <w:sz w:val="22"/>
          <w:highlight w:val="none"/>
        </w:rPr>
        <w:t>重要技术参数是指采购需求中带“☆”的条款，重要技术参数将作为评审打分的重要依据。</w:t>
      </w:r>
    </w:p>
    <w:p>
      <w:pPr>
        <w:adjustRightInd w:val="0"/>
        <w:spacing w:line="40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5.本项目的政府采购预算控制价为（人民币）：</w:t>
      </w:r>
      <w:r>
        <w:rPr>
          <w:rFonts w:hint="eastAsia" w:ascii="宋体" w:hAnsi="宋体" w:cs="宋体"/>
          <w:bCs/>
          <w:color w:val="auto"/>
          <w:sz w:val="22"/>
          <w:highlight w:val="none"/>
          <w:lang w:val="en-US" w:eastAsia="zh-CN"/>
        </w:rPr>
        <w:t>1120500</w:t>
      </w:r>
      <w:r>
        <w:rPr>
          <w:rFonts w:hint="eastAsia" w:ascii="宋体" w:hAnsi="宋体" w:cs="宋体"/>
          <w:bCs/>
          <w:color w:val="auto"/>
          <w:sz w:val="22"/>
          <w:highlight w:val="none"/>
        </w:rPr>
        <w:t>元，最高限价为</w:t>
      </w:r>
      <w:r>
        <w:rPr>
          <w:rFonts w:hint="eastAsia" w:ascii="宋体" w:hAnsi="宋体" w:cs="宋体"/>
          <w:bCs/>
          <w:color w:val="auto"/>
          <w:sz w:val="22"/>
          <w:highlight w:val="none"/>
          <w:lang w:val="en-US" w:eastAsia="zh-CN"/>
        </w:rPr>
        <w:t>1120500</w:t>
      </w:r>
      <w:r>
        <w:rPr>
          <w:rFonts w:hint="eastAsia" w:ascii="宋体" w:hAnsi="宋体" w:cs="宋体"/>
          <w:bCs/>
          <w:color w:val="auto"/>
          <w:sz w:val="22"/>
          <w:highlight w:val="none"/>
        </w:rPr>
        <w:t>元，投标报价超过最高限价的投标无效。</w:t>
      </w:r>
    </w:p>
    <w:p>
      <w:pPr>
        <w:adjustRightInd w:val="0"/>
        <w:spacing w:line="40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6.本项目核心产品是：</w:t>
      </w:r>
      <w:r>
        <w:rPr>
          <w:rFonts w:hint="eastAsia"/>
          <w:color w:val="auto"/>
          <w:kern w:val="0"/>
          <w:sz w:val="22"/>
          <w:highlight w:val="none"/>
        </w:rPr>
        <w:t>台式电脑</w:t>
      </w:r>
      <w:r>
        <w:rPr>
          <w:rFonts w:hint="eastAsia" w:ascii="宋体" w:hAnsi="宋体" w:cs="宋体"/>
          <w:bCs/>
          <w:color w:val="auto"/>
          <w:sz w:val="22"/>
          <w:highlight w:val="none"/>
        </w:rPr>
        <w:t>。</w:t>
      </w:r>
    </w:p>
    <w:p>
      <w:pPr>
        <w:adjustRightInd w:val="0"/>
        <w:spacing w:line="40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7.根据《关于印发中小企业划型标准规定的通知》（工信部联企业〔2011〕300号）规定的划分标准，本项目采购所有标的对应的中小企业划分标准所属行业为：工业。</w:t>
      </w:r>
    </w:p>
    <w:p>
      <w:pPr>
        <w:adjustRightInd w:val="0"/>
        <w:spacing w:line="400" w:lineRule="exact"/>
        <w:ind w:firstLine="440" w:firstLineChars="200"/>
        <w:rPr>
          <w:rFonts w:hint="eastAsia" w:ascii="宋体" w:hAnsi="宋体" w:cs="宋体"/>
          <w:bCs/>
          <w:color w:val="auto"/>
          <w:sz w:val="22"/>
          <w:highlight w:val="none"/>
          <w:lang w:val="zh-CN"/>
        </w:rPr>
      </w:pPr>
    </w:p>
    <w:tbl>
      <w:tblPr>
        <w:tblStyle w:val="58"/>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
        <w:gridCol w:w="1153"/>
        <w:gridCol w:w="558"/>
        <w:gridCol w:w="493"/>
        <w:gridCol w:w="6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896" w:type="dxa"/>
            <w:gridSpan w:val="6"/>
            <w:noWrap/>
            <w:vAlign w:val="center"/>
          </w:tcPr>
          <w:p>
            <w:pPr>
              <w:widowControl/>
              <w:jc w:val="center"/>
              <w:textAlignment w:val="baseline"/>
              <w:rPr>
                <w:rFonts w:hint="eastAsia" w:ascii="宋体" w:hAnsi="宋体" w:cs="宋体"/>
                <w:color w:val="auto"/>
                <w:kern w:val="0"/>
                <w:szCs w:val="21"/>
                <w:highlight w:val="none"/>
              </w:rPr>
            </w:pPr>
            <w:r>
              <w:rPr>
                <w:rFonts w:hint="eastAsia" w:ascii="宋体" w:hAnsi="宋体" w:cs="宋体"/>
                <w:b/>
                <w:color w:val="auto"/>
                <w:kern w:val="0"/>
                <w:sz w:val="24"/>
                <w:highlight w:val="none"/>
                <w:lang w:bidi="ar"/>
              </w:rPr>
              <w:t>一：技术参数要求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ign w:val="center"/>
          </w:tcPr>
          <w:p>
            <w:pPr>
              <w:widowControl/>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1184" w:type="dxa"/>
            <w:gridSpan w:val="2"/>
            <w:noWrap/>
            <w:vAlign w:val="center"/>
          </w:tcPr>
          <w:p>
            <w:pPr>
              <w:widowControl/>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采购项目名称</w:t>
            </w:r>
          </w:p>
        </w:tc>
        <w:tc>
          <w:tcPr>
            <w:tcW w:w="558" w:type="dxa"/>
            <w:noWrap/>
            <w:vAlign w:val="center"/>
          </w:tcPr>
          <w:p>
            <w:pPr>
              <w:widowControl/>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493" w:type="dxa"/>
            <w:noWrap/>
            <w:vAlign w:val="center"/>
          </w:tcPr>
          <w:p>
            <w:pPr>
              <w:widowControl/>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单位</w:t>
            </w:r>
          </w:p>
        </w:tc>
        <w:tc>
          <w:tcPr>
            <w:tcW w:w="6986" w:type="dxa"/>
            <w:noWrap w:val="0"/>
            <w:vAlign w:val="center"/>
          </w:tcPr>
          <w:p>
            <w:pPr>
              <w:widowControl/>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详细技术参数及配备要求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ign w:val="center"/>
          </w:tcPr>
          <w:p>
            <w:pPr>
              <w:widowControl/>
              <w:jc w:val="center"/>
              <w:textAlignment w:val="baseline"/>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1184" w:type="dxa"/>
            <w:gridSpan w:val="2"/>
            <w:noWrap/>
            <w:vAlign w:val="center"/>
          </w:tcPr>
          <w:p>
            <w:pPr>
              <w:widowControl/>
              <w:jc w:val="center"/>
              <w:rPr>
                <w:rFonts w:hint="eastAsia"/>
                <w:color w:val="auto"/>
                <w:kern w:val="0"/>
                <w:sz w:val="22"/>
                <w:szCs w:val="22"/>
                <w:highlight w:val="none"/>
                <w:lang w:val="en-US" w:eastAsia="zh-CN" w:bidi="ar-SA"/>
              </w:rPr>
            </w:pPr>
            <w:r>
              <w:rPr>
                <w:rFonts w:hint="eastAsia"/>
                <w:color w:val="auto"/>
                <w:kern w:val="0"/>
                <w:sz w:val="22"/>
                <w:highlight w:val="none"/>
              </w:rPr>
              <w:t>台式电脑</w:t>
            </w:r>
          </w:p>
        </w:tc>
        <w:tc>
          <w:tcPr>
            <w:tcW w:w="558" w:type="dxa"/>
            <w:noWrap/>
            <w:vAlign w:val="center"/>
          </w:tcPr>
          <w:p>
            <w:pPr>
              <w:widowControl/>
              <w:jc w:val="center"/>
              <w:rPr>
                <w:rFonts w:hint="eastAsia" w:eastAsia="宋体"/>
                <w:color w:val="auto"/>
                <w:kern w:val="0"/>
                <w:sz w:val="22"/>
                <w:szCs w:val="22"/>
                <w:highlight w:val="none"/>
                <w:lang w:val="en-US" w:eastAsia="zh-CN" w:bidi="ar-SA"/>
              </w:rPr>
            </w:pPr>
            <w:r>
              <w:rPr>
                <w:rFonts w:hint="eastAsia" w:eastAsia="宋体"/>
                <w:color w:val="auto"/>
                <w:kern w:val="0"/>
                <w:sz w:val="22"/>
                <w:highlight w:val="none"/>
                <w:lang w:val="en-US" w:eastAsia="zh-CN"/>
              </w:rPr>
              <w:t>249</w:t>
            </w:r>
          </w:p>
        </w:tc>
        <w:tc>
          <w:tcPr>
            <w:tcW w:w="493" w:type="dxa"/>
            <w:noWrap/>
            <w:vAlign w:val="center"/>
          </w:tcPr>
          <w:p>
            <w:pPr>
              <w:jc w:val="center"/>
              <w:rPr>
                <w:rFonts w:hint="eastAsia"/>
                <w:color w:val="auto"/>
                <w:kern w:val="2"/>
                <w:sz w:val="22"/>
                <w:szCs w:val="22"/>
                <w:highlight w:val="none"/>
                <w:lang w:val="en-US" w:eastAsia="zh-CN" w:bidi="ar-SA"/>
              </w:rPr>
            </w:pPr>
            <w:r>
              <w:rPr>
                <w:rFonts w:hint="eastAsia"/>
                <w:color w:val="auto"/>
                <w:sz w:val="22"/>
                <w:highlight w:val="none"/>
              </w:rPr>
              <w:t>套</w:t>
            </w:r>
          </w:p>
        </w:tc>
        <w:tc>
          <w:tcPr>
            <w:tcW w:w="6986" w:type="dxa"/>
            <w:noWrap w:val="0"/>
            <w:vAlign w:val="center"/>
          </w:tcPr>
          <w:p>
            <w:pPr>
              <w:pStyle w:val="522"/>
              <w:keepNext w:val="0"/>
              <w:keepLines w:val="0"/>
              <w:pageBreakBefore w:val="0"/>
              <w:widowControl w:val="0"/>
              <w:kinsoku w:val="0"/>
              <w:wordWrap/>
              <w:overflowPunct w:val="0"/>
              <w:topLinePunct w:val="0"/>
              <w:autoSpaceDE w:val="0"/>
              <w:autoSpaceDN w:val="0"/>
              <w:bidi w:val="0"/>
              <w:adjustRightInd w:val="0"/>
              <w:snapToGrid/>
              <w:ind w:left="162"/>
              <w:textAlignment w:val="auto"/>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一、CPU规格</w:t>
            </w:r>
          </w:p>
          <w:p>
            <w:pPr>
              <w:pStyle w:val="522"/>
              <w:keepNext w:val="0"/>
              <w:keepLines w:val="0"/>
              <w:pageBreakBefore w:val="0"/>
              <w:widowControl w:val="0"/>
              <w:kinsoku w:val="0"/>
              <w:wordWrap/>
              <w:overflowPunct w:val="0"/>
              <w:topLinePunct w:val="0"/>
              <w:autoSpaceDE w:val="0"/>
              <w:autoSpaceDN w:val="0"/>
              <w:bidi w:val="0"/>
              <w:adjustRightInd w:val="0"/>
              <w:snapToGrid/>
              <w:ind w:firstLine="240" w:firstLineChars="100"/>
              <w:textAlignment w:val="auto"/>
              <w:rPr>
                <w:rFonts w:ascii="仿宋_GB2312" w:hAnsi="仿宋_GB2312" w:eastAsia="仿宋_GB2312" w:cs="仿宋_GB2312"/>
                <w:color w:val="auto"/>
              </w:rPr>
            </w:pPr>
            <w:r>
              <w:rPr>
                <w:rFonts w:hint="eastAsia" w:ascii="仿宋_GB2312" w:hAnsi="仿宋_GB2312" w:eastAsia="仿宋_GB2312" w:cs="仿宋_GB2312"/>
                <w:color w:val="auto"/>
              </w:rPr>
              <w:t>1.CPU≥8核8线程，主频≥2.7GHz，末级缓存≥8M，内存≥双通道DDR4-2666，设计功耗≥70W，位宽≥64位。</w:t>
            </w:r>
          </w:p>
          <w:p>
            <w:pPr>
              <w:pStyle w:val="522"/>
              <w:keepNext w:val="0"/>
              <w:keepLines w:val="0"/>
              <w:pageBreakBefore w:val="0"/>
              <w:widowControl w:val="0"/>
              <w:kinsoku w:val="0"/>
              <w:wordWrap/>
              <w:overflowPunct w:val="0"/>
              <w:topLinePunct w:val="0"/>
              <w:autoSpaceDE w:val="0"/>
              <w:autoSpaceDN w:val="0"/>
              <w:bidi w:val="0"/>
              <w:adjustRightInd w:val="0"/>
              <w:snapToGrid/>
              <w:ind w:left="162"/>
              <w:textAlignment w:val="auto"/>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二、内存规格</w:t>
            </w:r>
          </w:p>
          <w:p>
            <w:pPr>
              <w:pStyle w:val="522"/>
              <w:keepNext w:val="0"/>
              <w:keepLines w:val="0"/>
              <w:pageBreakBefore w:val="0"/>
              <w:widowControl w:val="0"/>
              <w:kinsoku w:val="0"/>
              <w:wordWrap/>
              <w:overflowPunct w:val="0"/>
              <w:topLinePunct w:val="0"/>
              <w:autoSpaceDE w:val="0"/>
              <w:autoSpaceDN w:val="0"/>
              <w:bidi w:val="0"/>
              <w:adjustRightInd w:val="0"/>
              <w:snapToGrid/>
              <w:ind w:left="162"/>
              <w:textAlignment w:val="auto"/>
              <w:rPr>
                <w:rFonts w:ascii="仿宋_GB2312" w:hAnsi="仿宋_GB2312" w:eastAsia="仿宋_GB2312" w:cs="仿宋_GB2312"/>
                <w:color w:val="auto"/>
              </w:rPr>
            </w:pPr>
            <w:r>
              <w:rPr>
                <w:rFonts w:hint="eastAsia" w:ascii="仿宋_GB2312" w:hAnsi="仿宋_GB2312" w:eastAsia="仿宋_GB2312" w:cs="仿宋_GB2312"/>
                <w:color w:val="auto"/>
              </w:rPr>
              <w:t>1.内存配置容量：≥</w:t>
            </w: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rPr>
              <w:t>GB；</w:t>
            </w:r>
          </w:p>
          <w:p>
            <w:pPr>
              <w:pStyle w:val="522"/>
              <w:keepNext w:val="0"/>
              <w:keepLines w:val="0"/>
              <w:pageBreakBefore w:val="0"/>
              <w:widowControl w:val="0"/>
              <w:kinsoku/>
              <w:wordWrap/>
              <w:overflowPunct/>
              <w:topLinePunct w:val="0"/>
              <w:autoSpaceDE w:val="0"/>
              <w:autoSpaceDN w:val="0"/>
              <w:bidi w:val="0"/>
              <w:adjustRightInd w:val="0"/>
              <w:snapToGrid/>
              <w:ind w:left="164"/>
              <w:textAlignment w:val="auto"/>
              <w:rPr>
                <w:rFonts w:ascii="仿宋_GB2312" w:hAnsi="仿宋_GB2312" w:eastAsia="仿宋_GB2312" w:cs="仿宋_GB2312"/>
                <w:color w:val="auto"/>
              </w:rPr>
            </w:pPr>
            <w:r>
              <w:rPr>
                <w:rFonts w:hint="eastAsia" w:ascii="仿宋_GB2312" w:hAnsi="仿宋_GB2312" w:eastAsia="仿宋_GB2312" w:cs="仿宋_GB2312"/>
                <w:color w:val="auto"/>
              </w:rPr>
              <w:t>2.内存类型：支持 DDR4/LPDDR4/LPDDR4X 及以上内存类型；</w:t>
            </w:r>
          </w:p>
          <w:p>
            <w:pPr>
              <w:pStyle w:val="522"/>
              <w:keepNext w:val="0"/>
              <w:keepLines w:val="0"/>
              <w:pageBreakBefore w:val="0"/>
              <w:widowControl w:val="0"/>
              <w:kinsoku w:val="0"/>
              <w:wordWrap/>
              <w:overflowPunct w:val="0"/>
              <w:topLinePunct w:val="0"/>
              <w:autoSpaceDE w:val="0"/>
              <w:autoSpaceDN w:val="0"/>
              <w:bidi w:val="0"/>
              <w:adjustRightInd w:val="0"/>
              <w:snapToGrid/>
              <w:ind w:left="162"/>
              <w:textAlignment w:val="auto"/>
              <w:rPr>
                <w:rFonts w:ascii="仿宋_GB2312" w:hAnsi="仿宋_GB2312" w:eastAsia="仿宋_GB2312" w:cs="仿宋_GB2312"/>
                <w:color w:val="auto"/>
              </w:rPr>
            </w:pPr>
            <w:r>
              <w:rPr>
                <w:rFonts w:hint="eastAsia" w:ascii="仿宋_GB2312" w:hAnsi="仿宋_GB2312" w:eastAsia="仿宋_GB2312" w:cs="仿宋_GB2312"/>
                <w:color w:val="auto"/>
              </w:rPr>
              <w:t>3.内存条配置数量（板载内存不涉及）：≥1。</w:t>
            </w:r>
          </w:p>
          <w:p>
            <w:pPr>
              <w:pStyle w:val="522"/>
              <w:keepNext w:val="0"/>
              <w:keepLines w:val="0"/>
              <w:pageBreakBefore w:val="0"/>
              <w:widowControl w:val="0"/>
              <w:kinsoku w:val="0"/>
              <w:wordWrap/>
              <w:overflowPunct w:val="0"/>
              <w:topLinePunct w:val="0"/>
              <w:autoSpaceDE w:val="0"/>
              <w:autoSpaceDN w:val="0"/>
              <w:bidi w:val="0"/>
              <w:adjustRightInd w:val="0"/>
              <w:snapToGrid/>
              <w:ind w:left="162"/>
              <w:textAlignment w:val="auto"/>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三、主板规格</w:t>
            </w:r>
          </w:p>
          <w:p>
            <w:pPr>
              <w:pStyle w:val="522"/>
              <w:keepNext w:val="0"/>
              <w:keepLines w:val="0"/>
              <w:pageBreakBefore w:val="0"/>
              <w:widowControl w:val="0"/>
              <w:kinsoku w:val="0"/>
              <w:wordWrap/>
              <w:overflowPunct w:val="0"/>
              <w:topLinePunct w:val="0"/>
              <w:autoSpaceDE w:val="0"/>
              <w:autoSpaceDN w:val="0"/>
              <w:bidi w:val="0"/>
              <w:adjustRightInd w:val="0"/>
              <w:snapToGrid/>
              <w:ind w:firstLine="240" w:firstLineChars="100"/>
              <w:textAlignment w:val="auto"/>
              <w:rPr>
                <w:rFonts w:ascii="仿宋_GB2312" w:hAnsi="仿宋_GB2312" w:eastAsia="仿宋_GB2312" w:cs="仿宋_GB2312"/>
                <w:color w:val="auto"/>
              </w:rPr>
            </w:pPr>
            <w:r>
              <w:rPr>
                <w:rFonts w:hint="eastAsia" w:ascii="仿宋_GB2312" w:hAnsi="仿宋_GB2312" w:eastAsia="仿宋_GB2312" w:cs="仿宋_GB2312"/>
                <w:color w:val="auto"/>
              </w:rPr>
              <w:t>1.主板集成模块：集成资源扩展模块、计算处理模块、音频扩展模块等，主板的互联拓扑可通过处理器或交换电路实现；</w:t>
            </w:r>
          </w:p>
          <w:p>
            <w:pPr>
              <w:pStyle w:val="522"/>
              <w:keepNext w:val="0"/>
              <w:keepLines w:val="0"/>
              <w:pageBreakBefore w:val="0"/>
              <w:widowControl w:val="0"/>
              <w:kinsoku w:val="0"/>
              <w:wordWrap/>
              <w:overflowPunct w:val="0"/>
              <w:topLinePunct w:val="0"/>
              <w:autoSpaceDE w:val="0"/>
              <w:autoSpaceDN w:val="0"/>
              <w:bidi w:val="0"/>
              <w:adjustRightInd w:val="0"/>
              <w:snapToGrid/>
              <w:ind w:firstLine="240" w:firstLineChars="100"/>
              <w:textAlignment w:val="auto"/>
              <w:rPr>
                <w:rFonts w:ascii="仿宋_GB2312" w:hAnsi="仿宋_GB2312" w:eastAsia="仿宋_GB2312" w:cs="仿宋_GB2312"/>
                <w:color w:val="auto"/>
              </w:rPr>
            </w:pPr>
            <w:r>
              <w:rPr>
                <w:rFonts w:hint="eastAsia" w:ascii="仿宋_GB2312" w:hAnsi="仿宋_GB2312" w:eastAsia="仿宋_GB2312" w:cs="仿宋_GB2312"/>
                <w:color w:val="auto"/>
              </w:rPr>
              <w:t>2.主板支持的 CPU 和内存情况：≥8核8线程，主频≥2.7GHz，末级缓存≥8M，内存≥双通道DDR4-2666，设计功耗≥70W，位宽≥64位；内存条数量≥1；</w:t>
            </w:r>
          </w:p>
          <w:p>
            <w:pPr>
              <w:pStyle w:val="522"/>
              <w:keepNext w:val="0"/>
              <w:keepLines w:val="0"/>
              <w:pageBreakBefore w:val="0"/>
              <w:widowControl w:val="0"/>
              <w:kinsoku w:val="0"/>
              <w:wordWrap/>
              <w:overflowPunct w:val="0"/>
              <w:topLinePunct w:val="0"/>
              <w:autoSpaceDE w:val="0"/>
              <w:autoSpaceDN w:val="0"/>
              <w:bidi w:val="0"/>
              <w:adjustRightInd w:val="0"/>
              <w:snapToGrid/>
              <w:ind w:firstLine="240" w:firstLineChars="100"/>
              <w:textAlignment w:val="auto"/>
              <w:rPr>
                <w:rFonts w:ascii="仿宋_GB2312" w:hAnsi="仿宋_GB2312" w:eastAsia="仿宋_GB2312" w:cs="仿宋_GB2312"/>
                <w:color w:val="auto"/>
              </w:rPr>
            </w:pPr>
            <w:r>
              <w:rPr>
                <w:rFonts w:hint="eastAsia" w:ascii="仿宋_GB2312" w:hAnsi="仿宋_GB2312" w:eastAsia="仿宋_GB2312" w:cs="仿宋_GB2312"/>
                <w:color w:val="auto"/>
              </w:rPr>
              <w:t>3.主板其他内置接口：≥SATA接口*2，≥M.2接口*2，≥USB接口*8，固态硬盘占用M.2接口*1</w:t>
            </w:r>
          </w:p>
          <w:p>
            <w:pPr>
              <w:pStyle w:val="522"/>
              <w:keepNext w:val="0"/>
              <w:keepLines w:val="0"/>
              <w:pageBreakBefore w:val="0"/>
              <w:widowControl w:val="0"/>
              <w:kinsoku/>
              <w:wordWrap/>
              <w:overflowPunct/>
              <w:topLinePunct w:val="0"/>
              <w:autoSpaceDE w:val="0"/>
              <w:autoSpaceDN w:val="0"/>
              <w:bidi w:val="0"/>
              <w:adjustRightInd w:val="0"/>
              <w:snapToGrid/>
              <w:spacing w:line="240" w:lineRule="auto"/>
              <w:ind w:left="164"/>
              <w:textAlignment w:val="auto"/>
              <w:rPr>
                <w:rFonts w:ascii="仿宋_GB2312" w:hAnsi="仿宋_GB2312" w:eastAsia="仿宋_GB2312" w:cs="仿宋_GB2312"/>
                <w:color w:val="auto"/>
              </w:rPr>
            </w:pPr>
            <w:r>
              <w:rPr>
                <w:rFonts w:hint="eastAsia" w:ascii="仿宋_GB2312" w:hAnsi="仿宋_GB2312" w:eastAsia="仿宋_GB2312" w:cs="仿宋_GB2312"/>
                <w:color w:val="auto"/>
              </w:rPr>
              <w:t>4.单内存插槽最大可支持容量（板载内存不涉及）：≥16GB；</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5.内存插槽满配时提供的最高内存总容量：≥32GB。</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四、存储设备规格</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 xml:space="preserve">1.固态盘数量：≥1 个； </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2.固态存储容量：≥256GB；</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3.机械硬盘数量：≥1 个；</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4.机械硬盘总容量：≥1000GB；</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5.机械硬盘转速：≥5400rpm</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6.机械硬盘形态：2.5 英寸或 3.5 英寸等</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7.固态存储形态：采用插卡或板载等形态，可选用符合M.2或2.5寸SATA或mSATA等标准的插卡形态；</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8.存储设备其他参数要求：a)固态盘应符合SJ/T 11654相关规定；b)机械硬盘准备时间应不大于30s；侧面固定螺丝孔数量可为 4 孔或 6 孔；工作状态环境温度应满足5℃-55℃；其它参数应符合GB/T 12628相关规定。</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五、显卡规格</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1.显卡类型：集成显卡。</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六、显示设备规格</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1.显示屏屏占比：≥80%；</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2.显示屏分辨率：≥1920*1080；</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3.显示屏尺寸：≥23.8英寸；</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4.显示屏屏幕比例：16:9；</w:t>
            </w:r>
            <w:r>
              <w:rPr>
                <w:rFonts w:hint="eastAsia" w:ascii="仿宋_GB2312" w:hAnsi="仿宋_GB2312" w:eastAsia="仿宋_GB2312" w:cs="仿宋_GB2312"/>
                <w:color w:val="auto"/>
              </w:rPr>
              <w:cr/>
            </w:r>
            <w:r>
              <w:rPr>
                <w:rFonts w:hint="eastAsia" w:ascii="仿宋_GB2312" w:hAnsi="仿宋_GB2312" w:eastAsia="仿宋_GB2312" w:cs="仿宋_GB2312"/>
                <w:color w:val="auto"/>
              </w:rPr>
              <w:t>5.显示器外观颜色：黑色；</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6.显示屏防蓝光：支持防蓝光模式，蓝光加权辐射亮度比应≤0.0012W/(·cd·sr)（瓦每坎特拉每球面度）；</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7.显示屏低频闪：显示屏应支持低频闪≤-35dB；</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8.显示屏防炫目：显示屏镜面反射率≤10%。</w:t>
            </w:r>
          </w:p>
          <w:p>
            <w:pPr>
              <w:pStyle w:val="522"/>
              <w:kinsoku w:val="0"/>
              <w:overflowPunct w:val="0"/>
              <w:spacing w:before="1"/>
              <w:ind w:left="162"/>
              <w:rPr>
                <w:rFonts w:ascii="仿宋_GB2312" w:hAnsi="仿宋_GB2312" w:eastAsia="仿宋_GB2312" w:cs="仿宋_GB2312"/>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七、外设规格</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1.鼠标数量：≥1个；</w:t>
            </w:r>
          </w:p>
          <w:p>
            <w:pPr>
              <w:pStyle w:val="522"/>
              <w:kinsoku w:val="0"/>
              <w:overflowPunct w:val="0"/>
              <w:spacing w:before="1"/>
              <w:ind w:left="162"/>
              <w:rPr>
                <w:rFonts w:ascii="仿宋_GB2312" w:hAnsi="仿宋_GB2312" w:cs="仿宋_GB2312"/>
                <w:color w:val="auto"/>
              </w:rPr>
            </w:pPr>
            <w:r>
              <w:rPr>
                <w:rFonts w:hint="eastAsia" w:ascii="仿宋_GB2312" w:hAnsi="仿宋_GB2312" w:eastAsia="仿宋_GB2312" w:cs="仿宋_GB2312"/>
                <w:color w:val="auto"/>
              </w:rPr>
              <w:t>2.键盘数量：≥1个；</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3.键盘按键数目：≥104键；</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4.键盘连接方式：有线；</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5.键盘键程：2.3mm-4.0mm；</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6.键盘按键压力：按键压力应在0.54N±0.14N；</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7.有线键盘连接线：≥1.8米；</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8.键盘颜色：黑色；</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9.鼠标连接方式：有线；</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10.有线鼠标连接线：≥1.8米；</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11.鼠标DPI分辨率：800-1600；</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12.鼠标颜色：黑色；</w:t>
            </w:r>
          </w:p>
          <w:p>
            <w:pPr>
              <w:pStyle w:val="522"/>
              <w:keepNext w:val="0"/>
              <w:keepLines w:val="0"/>
              <w:pageBreakBefore w:val="0"/>
              <w:widowControl w:val="0"/>
              <w:kinsoku/>
              <w:wordWrap/>
              <w:overflowPunct/>
              <w:topLinePunct w:val="0"/>
              <w:autoSpaceDE w:val="0"/>
              <w:autoSpaceDN w:val="0"/>
              <w:bidi w:val="0"/>
              <w:adjustRightInd w:val="0"/>
              <w:snapToGrid/>
              <w:spacing w:before="1"/>
              <w:ind w:firstLine="240" w:firstLineChars="100"/>
              <w:textAlignment w:val="auto"/>
              <w:rPr>
                <w:rFonts w:ascii="仿宋_GB2312" w:hAnsi="仿宋_GB2312" w:eastAsia="仿宋_GB2312" w:cs="仿宋_GB2312"/>
                <w:color w:val="auto"/>
              </w:rPr>
            </w:pPr>
            <w:r>
              <w:rPr>
                <w:rFonts w:hint="eastAsia" w:ascii="仿宋_GB2312" w:hAnsi="仿宋_GB2312" w:eastAsia="仿宋_GB2312" w:cs="仿宋_GB2312"/>
                <w:color w:val="auto"/>
              </w:rPr>
              <w:t>13.鼠标其他要求：其它参数应符合GB/T 26245的相关规定。</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八、网络设备规格</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1.有线网卡数量：≥1。</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九、外部接口规格</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1.USB 接口数量：机箱前面板应提供不少于4个USB 接口（含2 个USB3.0及以上接口）；</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2.视频接口数量：≥1；</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3.音频接口数量：≥1。</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十、整机基础规格</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1.整机外观：a) 产品表面不应有凹痕、划伤、裂缝、变形和污染等。表面涂层均匀，不应起泡、龟裂、脱落和磨损，金属零部件无锈蚀及其它机械损伤；b) 产品表面说明功能的文字、符号、标志，应清晰、端正、牢固；</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2.状态指示灯：在产品显著位置提供状态指示功能；</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3.整机结构：a) 机箱应符合 GB/T 4208、GB/T 26246的相关规定；b) 产品内部结构应符合通用部件的安装需求；c)所有输入输出接口应符合相关国家或行业标准；d)产品零部件应紧固无松动，可插拔部件应可靠连接，开关、按钮和其它控制部件应灵活可靠，布局应方便使用；e)所有I/O连接器及需插接线缆的部位应预留采购人操作空间，方便插拔解锁与插拔线缆；f)可插拔板卡插槽部位应预留安装、拆卸或更换板卡空间；g)拆装可能接触到的金属剪口或金属尖角部位应做防划伤处理，以保证安全；h) 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GB/T 9813.1的相关规定；</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4.机箱防护要求：机箱应符合GB/T 4208中IP20防护要求；</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5.整机噪音：产品工作在空闲状态下，产品的声功率级应不超过4.5Bel；</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6.整机散热：在环境温度25℃及处理器满载情况下，产品表面温度应符合如下要求：a)出风口在机箱后面板情况下，出风口温度不高于55℃；b)可触及面温度不高于45℃；c)显示器表面温度：显示屏不高于38℃，显示屏上下灯带位置温度（如涉及）不高于40℃，出风口温度不高于45℃；</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7.整机能效限定值：产品能效限定值应达到GB 28380-2012标准中能效等级2级及以上；</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8.机身材质：金属；</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9.机身颜色：黑色；</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10.机箱尺寸容量：机箱体积应不大于 18L。</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十一、</w:t>
            </w:r>
            <w:r>
              <w:rPr>
                <w:rFonts w:ascii="仿宋_GB2312" w:hAnsi="仿宋_GB2312" w:eastAsia="仿宋_GB2312" w:cs="仿宋_GB2312"/>
                <w:b/>
                <w:bCs/>
                <w:color w:val="auto"/>
              </w:rPr>
              <w:t>CPU性能</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1.CPU 物理核数：≥8；</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2.CPU 主频：≥2.7GHz；</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3.CPU 末级缓存容量：≥8MB；</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4.CPU 支持的内存最高速率：≥2666MT/s。</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十二、内存性能</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1.内存读写速率：≥2666MT/s。</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十三、显卡性能</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1.显示分辨率：≥1920*1080；</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2.显卡显示芯片核心频率：≥300MHz；</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3.显存等效频率：≥1000MT/s；</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4.显卡可支持多屏同时显示数量：显卡应支持2块屏幕同时显示，分辨率应不低于 1920*1080。</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十四、显示设备性能</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1.显示屏刷新率：≥75Hz；</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2.显示屏位深：≥8位；</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3.显示屏色域：≥99% sRGB；</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4.显示屏色准：△E≤4；</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5.</w:t>
            </w:r>
            <w:r>
              <w:rPr>
                <w:rFonts w:hint="eastAsia"/>
                <w:color w:val="auto"/>
              </w:rPr>
              <w:t xml:space="preserve"> </w:t>
            </w:r>
            <w:r>
              <w:rPr>
                <w:rFonts w:hint="eastAsia" w:ascii="仿宋_GB2312" w:hAnsi="仿宋_GB2312" w:eastAsia="仿宋_GB2312" w:cs="仿宋_GB2312"/>
                <w:color w:val="auto"/>
              </w:rPr>
              <w:t>◆显示屏响应时间：≤8ms；</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6.显示屏亮度：≥250尼特；</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7.显示屏亮度一致性：≥70%；</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8.</w:t>
            </w: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rPr>
              <w:t>显示屏对比度：≥500：1；</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9.显示屏其他参数：其它参数应符合SJ/T 11292的相关规定。</w:t>
            </w:r>
            <w:r>
              <w:rPr>
                <w:rFonts w:hint="eastAsia" w:ascii="仿宋_GB2312" w:hAnsi="仿宋_GB2312" w:eastAsia="仿宋_GB2312" w:cs="仿宋_GB2312"/>
                <w:color w:val="auto"/>
              </w:rPr>
              <w:cr/>
            </w:r>
            <w:r>
              <w:rPr>
                <w:rFonts w:hint="eastAsia" w:ascii="宋体" w:hAnsi="宋体"/>
                <w:color w:val="auto"/>
                <w:sz w:val="24"/>
                <w:szCs w:val="24"/>
                <w:highlight w:val="none"/>
              </w:rPr>
              <w:t>▲</w:t>
            </w:r>
            <w:r>
              <w:rPr>
                <w:rFonts w:hint="eastAsia" w:ascii="仿宋_GB2312" w:hAnsi="仿宋_GB2312" w:eastAsia="仿宋_GB2312" w:cs="仿宋_GB2312"/>
                <w:b/>
                <w:bCs/>
                <w:color w:val="auto"/>
              </w:rPr>
              <w:t>十五、网络设备性能</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1.有线网卡速率：最高速率应不低于1000Mbps，应支持10Mbps、100Mbps、1000Mbps 速率自适应。</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十六、主板功能</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1.内存扩展接口(板载内存不涉及)：≥2个；</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2.主板 USB瞬间过流保护：支持有瞬间过流保护功能；</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3.主板防静电保护：支持防静电保护功能；</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4.I/O 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十七、显卡功能</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1.显卡外接显示接口：显卡至少支持 VGA、HDMI、DVI、DP、Type-C中1种显示接口，并与显示器接口相匹配。</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十八、显示设备功能</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1.显示器接口：显示器应与显卡外接显示接口匹配；</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2.显示器支架：显示器应提供显示器支架，支持屏幕旋转、升降；</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3.显示器参数调节：a)提供 OSD 选单按钮用于调节色彩、模式等；b)支持色温、亮度、对比度调节。</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十九、存储功能</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1.存储功能：通过SATA固态存储/PCIe固态存储/UFS固态存储/SATA硬磁盘等存储部件提供存储功能。</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二十、网络设备功能</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1.网络功能：a)支持网络连接、网络开启/关闭功能；b)支持访问网络和数据交换功能；</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2.数据传输：支持数据传输能力，并提供数据流量和异常日志记录功能；</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3.有线网卡接口类型：支持 RJ45 接口；</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4.网络设备拆装：网络设备支持物理拆装，包括无线网卡和蓝牙模块等。</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二十一、外部接口功能</w:t>
            </w:r>
          </w:p>
          <w:p>
            <w:pPr>
              <w:pStyle w:val="522"/>
              <w:keepNext w:val="0"/>
              <w:keepLines w:val="0"/>
              <w:pageBreakBefore w:val="0"/>
              <w:widowControl w:val="0"/>
              <w:kinsoku/>
              <w:wordWrap/>
              <w:overflowPunct/>
              <w:topLinePunct w:val="0"/>
              <w:autoSpaceDE w:val="0"/>
              <w:autoSpaceDN w:val="0"/>
              <w:bidi w:val="0"/>
              <w:adjustRightInd w:val="0"/>
              <w:snapToGrid/>
              <w:spacing w:before="1"/>
              <w:ind w:firstLine="240" w:firstLineChars="100"/>
              <w:textAlignment w:val="auto"/>
              <w:rPr>
                <w:rFonts w:ascii="仿宋_GB2312" w:hAnsi="仿宋_GB2312" w:eastAsia="仿宋_GB2312" w:cs="仿宋_GB2312"/>
                <w:color w:val="auto"/>
              </w:rPr>
            </w:pPr>
            <w:r>
              <w:rPr>
                <w:rFonts w:hint="eastAsia" w:ascii="仿宋_GB2312" w:hAnsi="仿宋_GB2312" w:eastAsia="仿宋_GB2312" w:cs="仿宋_GB2312"/>
                <w:color w:val="auto"/>
              </w:rPr>
              <w:t>1.音频接口类型：支持 3.5mm 孔径 3 段式或 4 段式接口；</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2.视频接口类型：至少支持 VGA、HDMI、DVI、DP、Type-C中1 种显示接口；</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3.HDMI、DP、Type-C 显示接口要求：若提供 HDMI 或DP或 Type-C作为显示接口，应支持音频和视频同步输出。</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二十二、电源功能</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1.电源线适配能力：电源适配器电线组件应符合GB/T 15934的要求。</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二十三、操作系统及软件功能</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1.中文信息处理要求：符合GB 18030的相关规定；</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2.操作系统备份及还原功能：支持操作系统备份及还原功能；</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3.固件备份还原能力：支持备份及还原固件的功能；</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4.操作系统及驱动升级：支持通过网络、闪存盘等方式对操作系统、驱动进行升级；</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5.固件升级：支持通过网络、闪存盘等方式对固件进行升级；</w:t>
            </w:r>
          </w:p>
          <w:p>
            <w:pPr>
              <w:pStyle w:val="522"/>
              <w:keepNext w:val="0"/>
              <w:keepLines w:val="0"/>
              <w:pageBreakBefore w:val="0"/>
              <w:widowControl w:val="0"/>
              <w:kinsoku/>
              <w:wordWrap/>
              <w:overflowPunct/>
              <w:topLinePunct w:val="0"/>
              <w:autoSpaceDE w:val="0"/>
              <w:autoSpaceDN w:val="0"/>
              <w:bidi w:val="0"/>
              <w:adjustRightInd w:val="0"/>
              <w:snapToGrid/>
              <w:spacing w:before="1"/>
              <w:ind w:firstLine="240" w:firstLineChars="100"/>
              <w:textAlignment w:val="auto"/>
              <w:rPr>
                <w:rFonts w:ascii="仿宋_GB2312" w:hAnsi="仿宋_GB2312" w:eastAsia="仿宋_GB2312" w:cs="仿宋_GB2312"/>
                <w:color w:val="auto"/>
              </w:rPr>
            </w:pPr>
            <w:r>
              <w:rPr>
                <w:rFonts w:hint="eastAsia" w:ascii="仿宋_GB2312" w:hAnsi="仿宋_GB2312" w:eastAsia="仿宋_GB2312" w:cs="仿宋_GB2312"/>
                <w:color w:val="auto"/>
              </w:rPr>
              <w:t>6.BIOS支持关闭通讯接口：支持BIOS关闭以太网及USB接口；</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7.固件查看信息：支持查看固件版本、内存信息、主板信息、处理器信息和系统时间信息等功能；</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8.固件设置启动顺序：支持设置启动顺序功能，并按照设置的启动顺序启动；</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9.固件设置口令：支持设置口令、修改口令、验证口令功能；</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bidi="ar"/>
              </w:rPr>
            </w:pPr>
            <w:r>
              <w:rPr>
                <w:rFonts w:hint="eastAsia" w:ascii="仿宋_GB2312" w:hAnsi="仿宋_GB2312" w:eastAsia="仿宋_GB2312" w:cs="仿宋_GB2312"/>
                <w:color w:val="auto"/>
              </w:rPr>
              <w:t>10.固件设置网络引导：支持网络引导启动和关闭功能；</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rPr>
            </w:pPr>
            <w:r>
              <w:rPr>
                <w:rFonts w:ascii="仿宋_GB2312" w:hAnsi="仿宋_GB2312" w:eastAsia="仿宋_GB2312" w:cs="仿宋_GB2312"/>
                <w:color w:val="auto"/>
                <w:szCs w:val="24"/>
                <w:lang w:bidi="ar"/>
              </w:rPr>
              <w:t>13.windows应用迁移软件</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rPr>
            </w:pPr>
            <w:r>
              <w:rPr>
                <w:rFonts w:ascii="仿宋_GB2312" w:hAnsi="仿宋_GB2312" w:eastAsia="仿宋_GB2312" w:cs="仿宋_GB2312"/>
                <w:color w:val="auto"/>
                <w:szCs w:val="24"/>
                <w:lang w:bidi="ar"/>
              </w:rPr>
              <w:t>①用户首次使用软件时，软件会自动完成GA安装，保障Windows应用的体验效果。</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rPr>
            </w:pPr>
            <w:r>
              <w:rPr>
                <w:rFonts w:ascii="仿宋_GB2312" w:hAnsi="仿宋_GB2312" w:eastAsia="仿宋_GB2312" w:cs="仿宋_GB2312"/>
                <w:color w:val="auto"/>
                <w:szCs w:val="24"/>
                <w:lang w:bidi="ar"/>
              </w:rPr>
              <w:t>②产品支持Legacy+MBR和UEFI+GPT引导安装。</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rPr>
            </w:pPr>
            <w:r>
              <w:rPr>
                <w:rFonts w:ascii="仿宋_GB2312" w:hAnsi="仿宋_GB2312" w:eastAsia="仿宋_GB2312" w:cs="仿宋_GB2312"/>
                <w:color w:val="auto"/>
                <w:szCs w:val="24"/>
                <w:lang w:bidi="ar"/>
              </w:rPr>
              <w:t>③产品支持一键检测设备软硬件环境是否满足部署要求，输出满足项和不满足项。</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rPr>
            </w:pPr>
            <w:r>
              <w:rPr>
                <w:rFonts w:ascii="仿宋_GB2312" w:hAnsi="仿宋_GB2312" w:eastAsia="仿宋_GB2312" w:cs="仿宋_GB2312"/>
                <w:color w:val="auto"/>
                <w:szCs w:val="24"/>
                <w:lang w:bidi="ar"/>
              </w:rPr>
              <w:t>④产品提供双工作区和系统融合两种模式供用户选择</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rPr>
            </w:pPr>
            <w:r>
              <w:rPr>
                <w:rFonts w:ascii="仿宋_GB2312" w:hAnsi="仿宋_GB2312" w:eastAsia="仿宋_GB2312" w:cs="仿宋_GB2312"/>
                <w:color w:val="auto"/>
                <w:szCs w:val="24"/>
                <w:lang w:bidi="ar"/>
              </w:rPr>
              <w:t>⑤产品支持图形化引导，自助安装：全图形化引导安装，支持一键扫描安装环境，用户单双击即可完成安装。</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szCs w:val="24"/>
                <w:lang w:bidi="ar"/>
              </w:rPr>
            </w:pPr>
            <w:r>
              <w:rPr>
                <w:rFonts w:ascii="仿宋_GB2312" w:hAnsi="仿宋_GB2312" w:eastAsia="仿宋_GB2312" w:cs="仿宋_GB2312"/>
                <w:color w:val="auto"/>
                <w:szCs w:val="24"/>
                <w:lang w:bidi="ar"/>
              </w:rPr>
              <w:t>⑥</w:t>
            </w:r>
            <w:r>
              <w:rPr>
                <w:rFonts w:hint="eastAsia" w:ascii="仿宋_GB2312" w:hAnsi="仿宋_GB2312" w:eastAsia="仿宋_GB2312" w:cs="仿宋_GB2312"/>
                <w:color w:val="auto"/>
                <w:szCs w:val="24"/>
                <w:lang w:bidi="ar"/>
              </w:rPr>
              <w:t>计算机备授课系统：</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szCs w:val="24"/>
                <w:lang w:bidi="ar"/>
              </w:rPr>
            </w:pPr>
            <w:r>
              <w:rPr>
                <w:rFonts w:hint="eastAsia" w:ascii="仿宋_GB2312" w:hAnsi="仿宋_GB2312" w:eastAsia="仿宋_GB2312" w:cs="仿宋_GB2312"/>
                <w:color w:val="auto"/>
                <w:szCs w:val="24"/>
                <w:lang w:bidi="ar"/>
              </w:rPr>
              <w:t>1、资源平台：1.学科资源丰富，覆盖K12全学段</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szCs w:val="24"/>
                <w:lang w:bidi="ar"/>
              </w:rPr>
            </w:pPr>
            <w:r>
              <w:rPr>
                <w:rFonts w:hint="eastAsia" w:ascii="仿宋_GB2312" w:hAnsi="仿宋_GB2312" w:eastAsia="仿宋_GB2312" w:cs="仿宋_GB2312"/>
                <w:color w:val="auto"/>
                <w:szCs w:val="24"/>
                <w:lang w:bidi="ar"/>
              </w:rPr>
              <w:t>2.教师个人资源和课堂板书、录制的微课可一键上传到教师空间并支持公开到校本资源库；</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szCs w:val="24"/>
                <w:lang w:bidi="ar"/>
              </w:rPr>
            </w:pPr>
            <w:r>
              <w:rPr>
                <w:rFonts w:hint="eastAsia" w:ascii="宋体" w:hAnsi="宋体"/>
                <w:color w:val="auto"/>
                <w:sz w:val="24"/>
                <w:szCs w:val="24"/>
                <w:highlight w:val="none"/>
              </w:rPr>
              <w:t>☆</w:t>
            </w:r>
            <w:r>
              <w:rPr>
                <w:rFonts w:hint="eastAsia" w:ascii="仿宋_GB2312" w:hAnsi="仿宋_GB2312" w:eastAsia="仿宋_GB2312" w:cs="仿宋_GB2312"/>
                <w:color w:val="auto"/>
                <w:szCs w:val="24"/>
                <w:lang w:bidi="ar"/>
              </w:rPr>
              <w:t>3.错题本：自动汇总学生错题到学生空间同时汇总全班错题到教师空间；老师可按课本、章节、题型、错误率、正确率进行筛选。</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szCs w:val="24"/>
                <w:lang w:bidi="ar"/>
              </w:rPr>
            </w:pPr>
            <w:r>
              <w:rPr>
                <w:rFonts w:hint="eastAsia" w:ascii="宋体" w:hAnsi="宋体"/>
                <w:color w:val="auto"/>
                <w:sz w:val="24"/>
                <w:szCs w:val="24"/>
                <w:highlight w:val="none"/>
              </w:rPr>
              <w:t>☆</w:t>
            </w:r>
            <w:r>
              <w:rPr>
                <w:rFonts w:hint="eastAsia" w:ascii="仿宋_GB2312" w:hAnsi="仿宋_GB2312" w:eastAsia="仿宋_GB2312" w:cs="仿宋_GB2312"/>
                <w:color w:val="auto"/>
                <w:szCs w:val="24"/>
                <w:lang w:val="en-US" w:eastAsia="zh-CN" w:bidi="ar"/>
              </w:rPr>
              <w:t>4.</w:t>
            </w:r>
            <w:r>
              <w:rPr>
                <w:rFonts w:hint="eastAsia" w:ascii="仿宋_GB2312" w:hAnsi="仿宋_GB2312" w:eastAsia="仿宋_GB2312" w:cs="仿宋_GB2312"/>
                <w:color w:val="auto"/>
                <w:szCs w:val="24"/>
                <w:lang w:bidi="ar"/>
              </w:rPr>
              <w:t>教师云空间：教师可在云空间中进行备课、组卷、班级管理、素质评价等操作</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b/>
                <w:bCs/>
                <w:color w:val="auto"/>
                <w:szCs w:val="24"/>
                <w:lang w:bidi="ar"/>
              </w:rPr>
            </w:pPr>
            <w:r>
              <w:rPr>
                <w:rFonts w:hint="eastAsia" w:ascii="仿宋_GB2312" w:hAnsi="仿宋_GB2312" w:eastAsia="仿宋_GB2312" w:cs="仿宋_GB2312"/>
                <w:b/>
                <w:bCs/>
                <w:color w:val="auto"/>
                <w:szCs w:val="24"/>
                <w:lang w:bidi="ar"/>
              </w:rPr>
              <w:t>备课系统：</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szCs w:val="24"/>
                <w:lang w:bidi="ar"/>
              </w:rPr>
            </w:pPr>
            <w:r>
              <w:rPr>
                <w:rFonts w:hint="eastAsia" w:ascii="宋体" w:hAnsi="宋体"/>
                <w:color w:val="auto"/>
                <w:sz w:val="24"/>
                <w:szCs w:val="24"/>
                <w:highlight w:val="none"/>
              </w:rPr>
              <w:t>☆</w:t>
            </w:r>
            <w:r>
              <w:rPr>
                <w:rFonts w:hint="eastAsia" w:ascii="仿宋_GB2312" w:hAnsi="仿宋_GB2312" w:eastAsia="仿宋_GB2312" w:cs="仿宋_GB2312"/>
                <w:color w:val="auto"/>
                <w:szCs w:val="24"/>
                <w:lang w:bidi="ar"/>
              </w:rPr>
              <w:t>1.教师可在PPT中登录进入教师云空间，一键调取题库、错题集、微课、素材等云端资源；支持在线插入试题、视频、网站链接、思维导图、视频音频等，课件完成可同步至云端存储；2.支持从云端试题库、个人试题库和错题集选择试题，进行智能组卷。</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szCs w:val="24"/>
                <w:lang w:bidi="ar"/>
              </w:rPr>
            </w:pPr>
            <w:r>
              <w:rPr>
                <w:rFonts w:hint="eastAsia" w:ascii="仿宋_GB2312" w:hAnsi="仿宋_GB2312" w:eastAsia="仿宋_GB2312" w:cs="仿宋_GB2312"/>
                <w:color w:val="auto"/>
                <w:szCs w:val="24"/>
                <w:lang w:bidi="ar"/>
              </w:rPr>
              <w:t>3.支持本地备课和云端备课两种方式，</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b/>
                <w:bCs/>
                <w:color w:val="auto"/>
                <w:szCs w:val="24"/>
                <w:lang w:bidi="ar"/>
              </w:rPr>
            </w:pPr>
            <w:r>
              <w:rPr>
                <w:rFonts w:hint="eastAsia" w:ascii="仿宋_GB2312" w:hAnsi="仿宋_GB2312" w:eastAsia="仿宋_GB2312" w:cs="仿宋_GB2312"/>
                <w:b/>
                <w:bCs/>
                <w:color w:val="auto"/>
                <w:szCs w:val="24"/>
                <w:lang w:bidi="ar"/>
              </w:rPr>
              <w:t>授课系统</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szCs w:val="24"/>
                <w:lang w:bidi="ar"/>
              </w:rPr>
            </w:pPr>
            <w:r>
              <w:rPr>
                <w:rFonts w:hint="eastAsia" w:ascii="仿宋_GB2312" w:hAnsi="仿宋_GB2312" w:eastAsia="仿宋_GB2312" w:cs="仿宋_GB2312"/>
                <w:color w:val="auto"/>
                <w:szCs w:val="24"/>
                <w:lang w:bidi="ar"/>
              </w:rPr>
              <w:t>1.课堂调取云端资源进行授课，支持本地导入和云端调取两种授课方式</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szCs w:val="24"/>
                <w:lang w:bidi="ar"/>
              </w:rPr>
            </w:pPr>
            <w:r>
              <w:rPr>
                <w:rFonts w:hint="eastAsia" w:ascii="仿宋_GB2312" w:hAnsi="仿宋_GB2312" w:eastAsia="仿宋_GB2312" w:cs="仿宋_GB2312"/>
                <w:color w:val="auto"/>
                <w:szCs w:val="24"/>
                <w:lang w:bidi="ar"/>
              </w:rPr>
              <w:t>1.课堂互动：支持针对学生个人或小组课堂表现进行加分评价，按学期查看得分排行榜及详情；</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szCs w:val="24"/>
                <w:lang w:bidi="ar"/>
              </w:rPr>
            </w:pPr>
            <w:r>
              <w:rPr>
                <w:rFonts w:hint="eastAsia" w:ascii="宋体" w:hAnsi="宋体"/>
                <w:color w:val="auto"/>
                <w:sz w:val="24"/>
                <w:szCs w:val="24"/>
                <w:highlight w:val="none"/>
              </w:rPr>
              <w:t>☆</w:t>
            </w:r>
            <w:r>
              <w:rPr>
                <w:rFonts w:hint="eastAsia" w:ascii="仿宋_GB2312" w:hAnsi="仿宋_GB2312" w:eastAsia="仿宋_GB2312" w:cs="仿宋_GB2312"/>
                <w:color w:val="auto"/>
                <w:szCs w:val="24"/>
                <w:lang w:bidi="ar"/>
              </w:rPr>
              <w:t>2.微课录制：支持老师将课堂中的重点内容进行录制，可同步录制老师声音、板书和ppt展示等内容，课后支持一键上传云平台</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szCs w:val="24"/>
                <w:lang w:bidi="ar"/>
              </w:rPr>
            </w:pPr>
            <w:r>
              <w:rPr>
                <w:rFonts w:hint="eastAsia" w:ascii="宋体" w:hAnsi="宋体"/>
                <w:color w:val="auto"/>
                <w:sz w:val="24"/>
                <w:szCs w:val="24"/>
                <w:highlight w:val="none"/>
              </w:rPr>
              <w:t>☆</w:t>
            </w:r>
            <w:r>
              <w:rPr>
                <w:rFonts w:hint="eastAsia" w:ascii="仿宋_GB2312" w:hAnsi="仿宋_GB2312" w:eastAsia="仿宋_GB2312" w:cs="仿宋_GB2312"/>
                <w:color w:val="auto"/>
                <w:szCs w:val="24"/>
                <w:lang w:val="en-US" w:eastAsia="zh-CN" w:bidi="ar"/>
              </w:rPr>
              <w:t>计算机备课系统中星号</w:t>
            </w:r>
            <w:r>
              <w:rPr>
                <w:rFonts w:hint="eastAsia" w:ascii="仿宋_GB2312" w:hAnsi="仿宋_GB2312" w:eastAsia="仿宋_GB2312" w:cs="仿宋_GB2312"/>
                <w:color w:val="auto"/>
                <w:szCs w:val="24"/>
                <w:lang w:bidi="ar"/>
              </w:rPr>
              <w:t>部分功能需要提供功能截图保障实现。</w:t>
            </w:r>
          </w:p>
          <w:p>
            <w:pPr>
              <w:pStyle w:val="52"/>
              <w:widowControl w:val="0"/>
              <w:kinsoku w:val="0"/>
              <w:overflowPunct w:val="0"/>
              <w:autoSpaceDE w:val="0"/>
              <w:autoSpaceDN w:val="0"/>
              <w:adjustRightInd w:val="0"/>
              <w:spacing w:before="1" w:beforeAutospacing="0" w:after="0" w:afterAutospacing="0"/>
              <w:ind w:firstLine="240" w:firstLineChars="100"/>
              <w:rPr>
                <w:rFonts w:hint="eastAsia" w:ascii="仿宋_GB2312" w:hAnsi="仿宋_GB2312" w:eastAsia="仿宋_GB2312" w:cs="仿宋_GB2312"/>
                <w:color w:val="auto"/>
                <w:szCs w:val="24"/>
                <w:lang w:val="en-US" w:eastAsia="zh-CN" w:bidi="ar"/>
              </w:rPr>
            </w:pPr>
            <w:r>
              <w:rPr>
                <w:rFonts w:hint="eastAsia" w:ascii="仿宋_GB2312" w:hAnsi="仿宋_GB2312" w:eastAsia="仿宋_GB2312" w:cs="仿宋_GB2312"/>
                <w:color w:val="auto"/>
                <w:szCs w:val="24"/>
                <w:lang w:bidi="ar"/>
              </w:rPr>
              <w:t>⑦</w:t>
            </w:r>
            <w:r>
              <w:rPr>
                <w:rFonts w:hint="eastAsia" w:ascii="仿宋_GB2312" w:hAnsi="仿宋_GB2312" w:eastAsia="仿宋_GB2312" w:cs="仿宋_GB2312"/>
                <w:color w:val="auto"/>
                <w:szCs w:val="24"/>
                <w:lang w:val="en-US" w:eastAsia="zh-CN" w:bidi="ar"/>
              </w:rPr>
              <w:t>机房云管理平台</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val="en-US" w:eastAsia="zh-CN" w:bidi="ar"/>
              </w:rPr>
            </w:pPr>
            <w:r>
              <w:rPr>
                <w:rFonts w:hint="default" w:ascii="仿宋_GB2312" w:hAnsi="仿宋_GB2312" w:eastAsia="仿宋_GB2312" w:cs="仿宋_GB2312"/>
                <w:color w:val="auto"/>
                <w:szCs w:val="24"/>
                <w:lang w:val="en-US" w:eastAsia="zh-CN" w:bidi="ar"/>
              </w:rPr>
              <w:t>1.平台软件需要安装在物理服务器，授权激活后无限期使用，无需部署其他组件，运维的方便简单。</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val="en-US" w:eastAsia="zh-CN" w:bidi="ar"/>
              </w:rPr>
            </w:pPr>
            <w:r>
              <w:rPr>
                <w:rFonts w:hint="default" w:ascii="仿宋_GB2312" w:hAnsi="仿宋_GB2312" w:eastAsia="仿宋_GB2312" w:cs="仿宋_GB2312"/>
                <w:color w:val="auto"/>
                <w:szCs w:val="24"/>
                <w:lang w:val="en-US" w:eastAsia="zh-CN" w:bidi="ar"/>
              </w:rPr>
              <w:t>2.支持（BS架构）多重管理结构，使用浏览器远程访问管理主机和终端机，服务器终端机均有独立配置界面。</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val="en-US" w:eastAsia="zh-CN" w:bidi="ar"/>
              </w:rPr>
            </w:pPr>
            <w:r>
              <w:rPr>
                <w:rFonts w:hint="eastAsia" w:ascii="宋体" w:hAnsi="宋体"/>
                <w:color w:val="auto"/>
                <w:sz w:val="24"/>
                <w:szCs w:val="24"/>
                <w:highlight w:val="none"/>
              </w:rPr>
              <w:t>☆</w:t>
            </w:r>
            <w:r>
              <w:rPr>
                <w:rFonts w:hint="default" w:ascii="仿宋_GB2312" w:hAnsi="仿宋_GB2312" w:eastAsia="仿宋_GB2312" w:cs="仿宋_GB2312"/>
                <w:color w:val="auto"/>
                <w:szCs w:val="24"/>
                <w:lang w:val="en-US" w:eastAsia="zh-CN" w:bidi="ar"/>
              </w:rPr>
              <w:t>3.支持批量管理设置终端机计算机名、IP地址、分辨率等配置信息（提供此功能界面截图）。</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val="en-US" w:eastAsia="zh-CN" w:bidi="ar"/>
              </w:rPr>
            </w:pPr>
            <w:r>
              <w:rPr>
                <w:rFonts w:hint="default" w:ascii="仿宋_GB2312" w:hAnsi="仿宋_GB2312" w:eastAsia="仿宋_GB2312" w:cs="仿宋_GB2312"/>
                <w:color w:val="auto"/>
                <w:szCs w:val="24"/>
                <w:lang w:val="en-US" w:eastAsia="zh-CN" w:bidi="ar"/>
              </w:rPr>
              <w:t>4.可以支持多种不同硬件配置，不同代的CPU，使用标准镜像。</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val="en-US" w:eastAsia="zh-CN" w:bidi="ar"/>
              </w:rPr>
            </w:pPr>
            <w:r>
              <w:rPr>
                <w:rFonts w:hint="default" w:ascii="仿宋_GB2312" w:hAnsi="仿宋_GB2312" w:eastAsia="仿宋_GB2312" w:cs="仿宋_GB2312"/>
                <w:color w:val="auto"/>
                <w:szCs w:val="24"/>
                <w:lang w:val="en-US" w:eastAsia="zh-CN" w:bidi="ar"/>
              </w:rPr>
              <w:t>5.支持离线脱网运行，服务端断开影响正常授课。</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val="en-US" w:eastAsia="zh-CN" w:bidi="ar"/>
              </w:rPr>
            </w:pPr>
            <w:r>
              <w:rPr>
                <w:rFonts w:hint="default" w:ascii="仿宋_GB2312" w:hAnsi="仿宋_GB2312" w:eastAsia="仿宋_GB2312" w:cs="仿宋_GB2312"/>
                <w:color w:val="auto"/>
                <w:szCs w:val="24"/>
                <w:lang w:val="en-US" w:eastAsia="zh-CN" w:bidi="ar"/>
              </w:rPr>
              <w:t>6.支持使用U盘/移动硬盘在脱机的情况下（完全没有网络）脱机恢复桌面。</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val="en-US" w:eastAsia="zh-CN" w:bidi="ar"/>
              </w:rPr>
            </w:pPr>
            <w:r>
              <w:rPr>
                <w:rFonts w:hint="default" w:ascii="仿宋_GB2312" w:hAnsi="仿宋_GB2312" w:eastAsia="仿宋_GB2312" w:cs="仿宋_GB2312"/>
                <w:color w:val="auto"/>
                <w:szCs w:val="24"/>
                <w:lang w:val="en-US" w:eastAsia="zh-CN" w:bidi="ar"/>
              </w:rPr>
              <w:t>7.支持管理维护双硬盘，支持NVME，M.2新型高速固态硬盘，同时兼容新老机型部署。</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val="en-US" w:eastAsia="zh-CN" w:bidi="ar"/>
              </w:rPr>
            </w:pPr>
            <w:r>
              <w:rPr>
                <w:rFonts w:hint="default" w:ascii="仿宋_GB2312" w:hAnsi="仿宋_GB2312" w:eastAsia="仿宋_GB2312" w:cs="仿宋_GB2312"/>
                <w:color w:val="auto"/>
                <w:szCs w:val="24"/>
                <w:lang w:val="en-US" w:eastAsia="zh-CN" w:bidi="ar"/>
              </w:rPr>
              <w:t>8.支持边用边载的背景载入功能，可在正常使用的同时完成缓存载入，同一网络机器可互相分享数据，大幅减少网络传输中的重复数据，可以大幅提高传输效率。</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val="en-US" w:eastAsia="zh-CN" w:bidi="ar"/>
              </w:rPr>
            </w:pPr>
            <w:r>
              <w:rPr>
                <w:rFonts w:hint="default" w:ascii="仿宋_GB2312" w:hAnsi="仿宋_GB2312" w:eastAsia="仿宋_GB2312" w:cs="仿宋_GB2312"/>
                <w:color w:val="auto"/>
                <w:szCs w:val="24"/>
                <w:lang w:val="en-US" w:eastAsia="zh-CN" w:bidi="ar"/>
              </w:rPr>
              <w:t>9.支持自动更新，客户端上传更新完成后管理端可以自动分发给其他客户端，不影响正常使用。</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val="en-US" w:eastAsia="zh-CN" w:bidi="ar"/>
              </w:rPr>
            </w:pPr>
            <w:r>
              <w:rPr>
                <w:rFonts w:hint="eastAsia" w:ascii="宋体" w:hAnsi="宋体"/>
                <w:color w:val="auto"/>
                <w:sz w:val="24"/>
                <w:szCs w:val="24"/>
                <w:highlight w:val="none"/>
              </w:rPr>
              <w:t>☆</w:t>
            </w:r>
            <w:r>
              <w:rPr>
                <w:rFonts w:hint="default" w:ascii="仿宋_GB2312" w:hAnsi="仿宋_GB2312" w:eastAsia="仿宋_GB2312" w:cs="仿宋_GB2312"/>
                <w:color w:val="auto"/>
                <w:szCs w:val="24"/>
                <w:lang w:val="en-US" w:eastAsia="zh-CN" w:bidi="ar"/>
              </w:rPr>
              <w:t>10.支持多种系统的镜像切换，提供给不同桌面环境使用（提供此功能界面截图）。</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val="en-US" w:eastAsia="zh-CN" w:bidi="ar"/>
              </w:rPr>
            </w:pPr>
            <w:r>
              <w:rPr>
                <w:rFonts w:hint="eastAsia" w:ascii="宋体" w:hAnsi="宋体"/>
                <w:color w:val="auto"/>
                <w:sz w:val="24"/>
                <w:szCs w:val="24"/>
                <w:highlight w:val="none"/>
              </w:rPr>
              <w:t>☆</w:t>
            </w:r>
            <w:r>
              <w:rPr>
                <w:rFonts w:hint="default" w:ascii="仿宋_GB2312" w:hAnsi="仿宋_GB2312" w:eastAsia="仿宋_GB2312" w:cs="仿宋_GB2312"/>
                <w:color w:val="auto"/>
                <w:szCs w:val="24"/>
                <w:lang w:val="en-US" w:eastAsia="zh-CN" w:bidi="ar"/>
              </w:rPr>
              <w:t>11.支持收集终端硬件配置信息，硬件变更信息等（提供此功能界面截图）。</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val="en-US" w:eastAsia="zh-CN" w:bidi="ar"/>
              </w:rPr>
            </w:pPr>
            <w:r>
              <w:rPr>
                <w:rFonts w:hint="default" w:ascii="仿宋_GB2312" w:hAnsi="仿宋_GB2312" w:eastAsia="仿宋_GB2312" w:cs="仿宋_GB2312"/>
                <w:color w:val="auto"/>
                <w:szCs w:val="24"/>
                <w:lang w:val="en-US" w:eastAsia="zh-CN" w:bidi="ar"/>
              </w:rPr>
              <w:t>12.支持显示终端镜像模板软件列表，软件使用情况。</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val="en-US" w:eastAsia="zh-CN" w:bidi="ar"/>
              </w:rPr>
            </w:pPr>
            <w:r>
              <w:rPr>
                <w:rFonts w:hint="default" w:ascii="仿宋_GB2312" w:hAnsi="仿宋_GB2312" w:eastAsia="仿宋_GB2312" w:cs="仿宋_GB2312"/>
                <w:color w:val="auto"/>
                <w:szCs w:val="24"/>
                <w:lang w:val="en-US" w:eastAsia="zh-CN" w:bidi="ar"/>
              </w:rPr>
              <w:t>13.支持U盘、网络等多种部署方式，适应各种网络环境减少对网络环境的调整。</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val="en-US" w:eastAsia="zh-CN" w:bidi="ar"/>
              </w:rPr>
            </w:pPr>
            <w:r>
              <w:rPr>
                <w:rFonts w:hint="default" w:ascii="仿宋_GB2312" w:hAnsi="仿宋_GB2312" w:eastAsia="仿宋_GB2312" w:cs="仿宋_GB2312"/>
                <w:color w:val="auto"/>
                <w:szCs w:val="24"/>
                <w:lang w:val="en-US" w:eastAsia="zh-CN" w:bidi="ar"/>
              </w:rPr>
              <w:t>14.支持.vhd虚拟盘格式，保证系统兼容性。</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val="en-US" w:eastAsia="zh-CN" w:bidi="ar"/>
              </w:rPr>
            </w:pPr>
            <w:r>
              <w:rPr>
                <w:rFonts w:hint="eastAsia" w:ascii="宋体" w:hAnsi="宋体"/>
                <w:color w:val="auto"/>
                <w:sz w:val="24"/>
                <w:szCs w:val="24"/>
                <w:highlight w:val="none"/>
              </w:rPr>
              <w:t>☆</w:t>
            </w:r>
            <w:r>
              <w:rPr>
                <w:rFonts w:hint="default" w:ascii="仿宋_GB2312" w:hAnsi="仿宋_GB2312" w:eastAsia="仿宋_GB2312" w:cs="仿宋_GB2312"/>
                <w:color w:val="auto"/>
                <w:szCs w:val="24"/>
                <w:lang w:val="en-US" w:eastAsia="zh-CN" w:bidi="ar"/>
              </w:rPr>
              <w:t>15.支持打印机模板管理功能（提供此功能界面截图）。</w:t>
            </w:r>
          </w:p>
          <w:p>
            <w:pPr>
              <w:pStyle w:val="52"/>
              <w:widowControl w:val="0"/>
              <w:kinsoku w:val="0"/>
              <w:overflowPunct w:val="0"/>
              <w:autoSpaceDE w:val="0"/>
              <w:autoSpaceDN w:val="0"/>
              <w:adjustRightInd w:val="0"/>
              <w:spacing w:before="1" w:beforeAutospacing="0" w:after="0" w:afterAutospacing="0"/>
              <w:ind w:firstLine="240" w:firstLineChars="100"/>
              <w:rPr>
                <w:rFonts w:hint="default" w:ascii="仿宋_GB2312" w:hAnsi="仿宋_GB2312" w:eastAsia="仿宋_GB2312" w:cs="仿宋_GB2312"/>
                <w:color w:val="auto"/>
                <w:szCs w:val="24"/>
                <w:lang w:val="en-US" w:eastAsia="zh-CN" w:bidi="ar"/>
              </w:rPr>
            </w:pPr>
            <w:r>
              <w:rPr>
                <w:rFonts w:hint="eastAsia" w:ascii="宋体" w:hAnsi="宋体"/>
                <w:color w:val="auto"/>
                <w:sz w:val="24"/>
                <w:szCs w:val="24"/>
                <w:highlight w:val="none"/>
              </w:rPr>
              <w:t>☆</w:t>
            </w:r>
            <w:r>
              <w:rPr>
                <w:rFonts w:hint="default" w:ascii="仿宋_GB2312" w:hAnsi="仿宋_GB2312" w:eastAsia="仿宋_GB2312" w:cs="仿宋_GB2312"/>
                <w:color w:val="auto"/>
                <w:szCs w:val="24"/>
                <w:lang w:val="en-US" w:eastAsia="zh-CN" w:bidi="ar"/>
              </w:rPr>
              <w:t>16.提供云桌面管理平台数据展示看板，提供各种硬件、软件、管理等数据信息可视化界面（提供此功能界面截图）</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二十四、存储设备可靠性</w:t>
            </w:r>
          </w:p>
          <w:p>
            <w:pPr>
              <w:pStyle w:val="522"/>
              <w:kinsoku w:val="0"/>
              <w:overflowPunct w:val="0"/>
              <w:spacing w:before="1"/>
              <w:ind w:left="162"/>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1.固态存储寿命：TBW ≥ 80TB（条件：256GB硬盘容量）</w:t>
            </w:r>
            <w:r>
              <w:rPr>
                <w:rFonts w:hint="eastAsia" w:ascii="仿宋_GB2312" w:hAnsi="仿宋_GB2312" w:eastAsia="仿宋_GB2312" w:cs="仿宋_GB2312"/>
                <w:color w:val="auto"/>
                <w:lang w:eastAsia="zh-CN"/>
              </w:rPr>
              <w:t>；</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2.机械硬盘寿命：通电时间≥5万小时。</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二十五、显示设备可靠性</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1.显示屏屏幕失效点：符合GB/T 9813.2的要求。</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二十六、外设可靠性</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1.键盘按键寿命：≥1000 万次；</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2.鼠标按键寿命：≥500 万次；</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3.键盘鼠标线材寿命：键盘鼠标所用线材经±60°弯折不低于 3000 次，功能、外观完好；</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4.风扇寿命：≥4 万小时。</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二十七、整机可靠性要求</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1.电磁兼容性要求的抗扰度：符合GB/T 9254.2的规定；</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2.环境条件要求的气候环境适应性：符合GB/T 9813.1中规定；</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3.环境条件要求的振动适应性：符合GB/T 9813.1中规定；</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4.环境条件要求的冲击适应性：符合GB/T 9813.1中规定；</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5.环境条件要求的碰撞适应性：符合GB/T 9813.1中规定；</w:t>
            </w:r>
          </w:p>
          <w:p>
            <w:pPr>
              <w:pStyle w:val="522"/>
              <w:keepNext w:val="0"/>
              <w:keepLines w:val="0"/>
              <w:pageBreakBefore w:val="0"/>
              <w:widowControl w:val="0"/>
              <w:kinsoku w:val="0"/>
              <w:wordWrap/>
              <w:overflowPunct/>
              <w:topLinePunct w:val="0"/>
              <w:autoSpaceDE w:val="0"/>
              <w:autoSpaceDN w:val="0"/>
              <w:bidi w:val="0"/>
              <w:adjustRightInd w:val="0"/>
              <w:snapToGrid/>
              <w:spacing w:before="1"/>
              <w:ind w:left="0"/>
              <w:textAlignment w:val="auto"/>
              <w:rPr>
                <w:rFonts w:ascii="仿宋_GB2312" w:hAnsi="仿宋_GB2312" w:eastAsia="仿宋_GB2312" w:cs="仿宋_GB2312"/>
                <w:color w:val="auto"/>
              </w:rPr>
            </w:pPr>
            <w:r>
              <w:rPr>
                <w:rFonts w:hint="eastAsia" w:ascii="仿宋_GB2312" w:hAnsi="仿宋_GB2312" w:eastAsia="仿宋_GB2312" w:cs="仿宋_GB2312"/>
                <w:color w:val="auto"/>
              </w:rPr>
              <w:t>6.环境条件要求的运输包装件跌落适应性：符合GB/T 9813.1中规定；</w:t>
            </w:r>
          </w:p>
          <w:p>
            <w:pPr>
              <w:pStyle w:val="522"/>
              <w:kinsoku w:val="0"/>
              <w:overflowPunct w:val="0"/>
              <w:spacing w:before="1"/>
              <w:ind w:left="162"/>
              <w:rPr>
                <w:rFonts w:ascii="仿宋_GB2312" w:hAnsi="仿宋_GB2312" w:eastAsia="仿宋_GB2312" w:cs="仿宋_GB2312"/>
                <w:color w:val="auto"/>
              </w:rPr>
            </w:pPr>
            <w:r>
              <w:rPr>
                <w:rFonts w:hint="eastAsia" w:ascii="仿宋_GB2312" w:hAnsi="仿宋_GB2312" w:eastAsia="仿宋_GB2312" w:cs="仿宋_GB2312"/>
                <w:color w:val="auto"/>
              </w:rPr>
              <w:t>7.MTBF 测试：MTBF(m1)≥3万小时。</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二十八、兼容要求</w:t>
            </w:r>
          </w:p>
          <w:p>
            <w:pPr>
              <w:pStyle w:val="522"/>
              <w:keepNext w:val="0"/>
              <w:keepLines w:val="0"/>
              <w:pageBreakBefore w:val="0"/>
              <w:widowControl w:val="0"/>
              <w:kinsoku/>
              <w:wordWrap/>
              <w:overflowPunct/>
              <w:topLinePunct/>
              <w:autoSpaceDE w:val="0"/>
              <w:autoSpaceDN w:val="0"/>
              <w:bidi w:val="0"/>
              <w:adjustRightInd w:val="0"/>
              <w:snapToGrid/>
              <w:spacing w:before="1"/>
              <w:ind w:firstLine="240" w:firstLineChars="100"/>
              <w:textAlignment w:val="auto"/>
              <w:rPr>
                <w:rFonts w:ascii="仿宋_GB2312" w:hAnsi="仿宋_GB2312" w:eastAsia="仿宋_GB2312" w:cs="仿宋_GB2312"/>
                <w:color w:val="auto"/>
              </w:rPr>
            </w:pPr>
            <w:r>
              <w:rPr>
                <w:rFonts w:hint="eastAsia" w:ascii="仿宋_GB2312" w:hAnsi="仿宋_GB2312" w:eastAsia="仿宋_GB2312" w:cs="仿宋_GB2312"/>
                <w:color w:val="auto"/>
              </w:rPr>
              <w:t>1.常用软件兼容：支持流式软件、版式软件、浏览器、邮件采购人端、解压软件、多媒体、图形图像处理等常用软件；</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2.数据库兼容：兼容 3 个及以上厂商的数据库产品；</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3.中间件兼容：兼容 3 个及以上厂商中间件产品；</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4.平台软件兼容：兼容 3 个及以上厂商云计算及大数据平台。</w:t>
            </w:r>
            <w:r>
              <w:rPr>
                <w:rFonts w:hint="eastAsia" w:ascii="仿宋_GB2312" w:hAnsi="仿宋_GB2312" w:eastAsia="仿宋_GB2312" w:cs="仿宋_GB2312"/>
                <w:color w:val="auto"/>
              </w:rPr>
              <w:cr/>
            </w:r>
            <w:r>
              <w:rPr>
                <w:rFonts w:hint="eastAsia" w:ascii="仿宋_GB2312" w:hAnsi="仿宋_GB2312" w:eastAsia="仿宋_GB2312" w:cs="仿宋_GB2312"/>
                <w:color w:val="auto"/>
              </w:rPr>
              <w:t xml:space="preserve"> </w:t>
            </w:r>
            <w:r>
              <w:rPr>
                <w:rFonts w:hint="eastAsia" w:ascii="宋体" w:hAnsi="宋体"/>
                <w:color w:val="auto"/>
                <w:sz w:val="24"/>
                <w:szCs w:val="24"/>
                <w:highlight w:val="none"/>
              </w:rPr>
              <w:t>▲</w:t>
            </w:r>
            <w:r>
              <w:rPr>
                <w:rFonts w:hint="eastAsia" w:ascii="仿宋_GB2312" w:hAnsi="仿宋_GB2312" w:eastAsia="仿宋_GB2312" w:cs="仿宋_GB2312"/>
                <w:b/>
                <w:bCs/>
                <w:color w:val="auto"/>
              </w:rPr>
              <w:t>二十九、包装及运输要求</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1.标志、包装、运输和贮存：符合GB/T 9813.1和商品包装政府采购需求标准的相关规定。</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三十、服务要求</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1.配置检查工具：供应商提供自检测试工具；</w:t>
            </w:r>
          </w:p>
          <w:p>
            <w:pPr>
              <w:pStyle w:val="522"/>
              <w:kinsoku w:val="0"/>
              <w:overflowPunct w:val="0"/>
              <w:spacing w:before="1"/>
              <w:ind w:firstLine="240" w:firstLineChars="100"/>
              <w:rPr>
                <w:rFonts w:hint="eastAsia" w:ascii="仿宋_GB2312" w:hAnsi="仿宋_GB2312" w:eastAsia="仿宋_GB2312" w:cs="仿宋_GB2312"/>
                <w:color w:val="auto"/>
              </w:rPr>
            </w:pPr>
            <w:r>
              <w:rPr>
                <w:rFonts w:hint="eastAsia" w:ascii="仿宋_GB2312" w:hAnsi="仿宋_GB2312" w:eastAsia="仿宋_GB2312" w:cs="仿宋_GB2312"/>
                <w:color w:val="auto"/>
              </w:rPr>
              <w:t>2.服务响应：</w:t>
            </w:r>
          </w:p>
          <w:p>
            <w:pPr>
              <w:pStyle w:val="522"/>
              <w:kinsoku w:val="0"/>
              <w:overflowPunct w:val="0"/>
              <w:spacing w:before="1"/>
              <w:ind w:firstLine="240" w:firstLineChars="100"/>
              <w:rPr>
                <w:rFonts w:hint="eastAsia" w:ascii="仿宋_GB2312" w:hAnsi="仿宋_GB2312" w:eastAsia="仿宋_GB2312" w:cs="仿宋_GB2312"/>
                <w:color w:val="auto"/>
              </w:rPr>
            </w:pPr>
            <w:r>
              <w:rPr>
                <w:rFonts w:hint="eastAsia" w:ascii="仿宋_GB2312" w:hAnsi="仿宋_GB2312" w:eastAsia="仿宋_GB2312" w:cs="仿宋_GB2312"/>
                <w:color w:val="auto"/>
              </w:rPr>
              <w:t>a)供应商提供电话、电子邮件、远程连接等多种形式服务；</w:t>
            </w:r>
          </w:p>
          <w:p>
            <w:pPr>
              <w:pStyle w:val="522"/>
              <w:kinsoku w:val="0"/>
              <w:overflowPunct w:val="0"/>
              <w:spacing w:before="1"/>
              <w:ind w:firstLine="240" w:firstLineChars="100"/>
              <w:rPr>
                <w:rFonts w:hint="eastAsia" w:ascii="仿宋_GB2312" w:hAnsi="仿宋_GB2312" w:eastAsia="仿宋_GB2312" w:cs="仿宋_GB2312"/>
                <w:color w:val="auto"/>
              </w:rPr>
            </w:pPr>
            <w:r>
              <w:rPr>
                <w:rFonts w:hint="eastAsia" w:ascii="仿宋_GB2312" w:hAnsi="仿宋_GB2312" w:eastAsia="仿宋_GB2312" w:cs="仿宋_GB2312"/>
                <w:color w:val="auto"/>
              </w:rPr>
              <w:t>b)供应商提供同城 4h、异地 12h 技术响应服务，2 个工作日解决问题，对于未能解决的问题和故障应提供可行的升级方案，并提供周转设备或更换设备；</w:t>
            </w:r>
          </w:p>
          <w:p>
            <w:pPr>
              <w:pStyle w:val="522"/>
              <w:kinsoku w:val="0"/>
              <w:overflowPunct w:val="0"/>
              <w:spacing w:before="1"/>
              <w:ind w:firstLine="240" w:firstLineChars="100"/>
              <w:rPr>
                <w:rFonts w:hint="eastAsia" w:ascii="仿宋_GB2312" w:hAnsi="仿宋_GB2312" w:eastAsia="仿宋_GB2312" w:cs="仿宋_GB2312"/>
                <w:color w:val="auto"/>
              </w:rPr>
            </w:pPr>
            <w:r>
              <w:rPr>
                <w:rFonts w:hint="eastAsia" w:ascii="仿宋_GB2312" w:hAnsi="仿宋_GB2312" w:eastAsia="仿宋_GB2312" w:cs="仿宋_GB2312"/>
                <w:color w:val="auto"/>
              </w:rPr>
              <w:t>c)建立全国技术服务体系和服务团体，符合专业服务体系标准要求，提供原厂中文服务；</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d)服务周期内提供产品的维修、换件和升级服务；</w:t>
            </w:r>
          </w:p>
          <w:p>
            <w:pPr>
              <w:pStyle w:val="522"/>
              <w:kinsoku w:val="0"/>
              <w:overflowPunct w:val="0"/>
              <w:spacing w:before="1"/>
              <w:ind w:firstLine="240" w:firstLineChars="100"/>
              <w:rPr>
                <w:rFonts w:hint="eastAsia" w:ascii="仿宋_GB2312" w:hAnsi="仿宋_GB2312" w:eastAsia="仿宋_GB2312" w:cs="仿宋_GB2312"/>
                <w:color w:val="auto"/>
              </w:rPr>
            </w:pPr>
            <w:r>
              <w:rPr>
                <w:rFonts w:hint="eastAsia" w:ascii="仿宋_GB2312" w:hAnsi="仿宋_GB2312" w:eastAsia="仿宋_GB2312" w:cs="仿宋_GB2312"/>
                <w:color w:val="auto"/>
              </w:rPr>
              <w:t>3.服务周期：</w:t>
            </w:r>
          </w:p>
          <w:p>
            <w:pPr>
              <w:pStyle w:val="522"/>
              <w:kinsoku w:val="0"/>
              <w:overflowPunct w:val="0"/>
              <w:spacing w:before="1"/>
              <w:ind w:firstLine="240" w:firstLineChars="100"/>
              <w:rPr>
                <w:rFonts w:hint="eastAsia" w:ascii="仿宋_GB2312" w:hAnsi="仿宋_GB2312" w:eastAsia="仿宋_GB2312" w:cs="仿宋_GB2312"/>
                <w:color w:val="auto"/>
              </w:rPr>
            </w:pPr>
            <w:r>
              <w:rPr>
                <w:rFonts w:hint="eastAsia" w:ascii="仿宋_GB2312" w:hAnsi="仿宋_GB2312" w:eastAsia="仿宋_GB2312" w:cs="仿宋_GB2312"/>
                <w:color w:val="auto"/>
              </w:rPr>
              <w:t>a)设备停产后应继续提供质量保障服务（含备品备件），服务终止时间与最后一批设备交付时间间隔不低于6年；</w:t>
            </w:r>
          </w:p>
          <w:p>
            <w:pPr>
              <w:pStyle w:val="522"/>
              <w:kinsoku w:val="0"/>
              <w:overflowPunct w:val="0"/>
              <w:spacing w:before="1"/>
              <w:ind w:firstLine="240" w:firstLineChars="100"/>
              <w:rPr>
                <w:rFonts w:hint="eastAsia" w:ascii="仿宋_GB2312" w:hAnsi="仿宋_GB2312" w:eastAsia="仿宋_GB2312" w:cs="仿宋_GB2312"/>
                <w:color w:val="auto"/>
              </w:rPr>
            </w:pPr>
            <w:r>
              <w:rPr>
                <w:rFonts w:hint="eastAsia" w:ascii="仿宋_GB2312" w:hAnsi="仿宋_GB2312" w:eastAsia="仿宋_GB2312" w:cs="仿宋_GB2312"/>
                <w:color w:val="auto"/>
              </w:rPr>
              <w:t>b)产品停止服务时间应提前 1 年告知；</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c)应明确产品发布日期；</w:t>
            </w:r>
          </w:p>
          <w:p>
            <w:pPr>
              <w:pStyle w:val="522"/>
              <w:kinsoku w:val="0"/>
              <w:overflowPunct w:val="0"/>
              <w:spacing w:before="1"/>
              <w:ind w:firstLine="240" w:firstLineChars="100"/>
              <w:rPr>
                <w:rFonts w:ascii="仿宋_GB2312" w:hAnsi="仿宋_GB2312" w:eastAsia="仿宋_GB2312" w:cs="仿宋_GB2312"/>
                <w:color w:val="auto"/>
              </w:rPr>
            </w:pP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.培训服务：供应商提供培训材料、产品手册、培训视频等培训相关内容；</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.典型问题解决手册：供应商提供典型问题解决说明文档或视频；</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rPr>
              <w:t>.厂家升级软件与扩容服务：供应商提供上门升级部件/软件与扩容的增值服务；</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lang w:val="en-US" w:eastAsia="zh-CN"/>
              </w:rPr>
              <w:t>7</w:t>
            </w:r>
            <w:r>
              <w:rPr>
                <w:rFonts w:hint="eastAsia" w:ascii="仿宋_GB2312" w:hAnsi="仿宋_GB2312" w:eastAsia="仿宋_GB2312" w:cs="仿宋_GB2312"/>
                <w:color w:val="auto"/>
              </w:rPr>
              <w:t>.整机质量服务要求：免费服务周期（含换件和维修）应不小于3年；</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rPr>
              <w:t>.合格证书要求：供应商提供产品合格证；</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lang w:val="en-US" w:eastAsia="zh-CN"/>
              </w:rPr>
              <w:t>9</w:t>
            </w:r>
            <w:r>
              <w:rPr>
                <w:rFonts w:hint="eastAsia" w:ascii="仿宋_GB2312" w:hAnsi="仿宋_GB2312" w:eastAsia="仿宋_GB2312" w:cs="仿宋_GB2312"/>
                <w:color w:val="auto"/>
              </w:rPr>
              <w:t>.开箱组装/使用指导要求：供应商提供开箱组装/使用指导；</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rPr>
              <w:t>.驱动下载服务要求：供应商提供驱动光盘或下载方式；</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.兼容适配软件下载服务要求：供应商提供兼容适配软件下载渠道（光盘、网站）。</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三十一、供应链合规性</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 产品部件保障：供应商保障产品主要部件，提供6年的备件服务能力（自购买之日起），或提供可兼容原设备的升级换代产品。</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三十二、供应链质量</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1.抗干扰性：当产品部件出现供应风险时，供应商应通知采购人并提供风险应对方案确保产品的服务保障；</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2.供应能力证明：供应商承诺提供稳定的供应链，确保产品的部件在产品服务周期内稳定供货。</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三十三、关键部件安全要求</w:t>
            </w:r>
          </w:p>
          <w:p>
            <w:pPr>
              <w:pStyle w:val="522"/>
              <w:numPr>
                <w:ilvl w:val="0"/>
                <w:numId w:val="4"/>
              </w:numPr>
              <w:kinsoku w:val="0"/>
              <w:overflowPunct w:val="0"/>
              <w:spacing w:before="1"/>
              <w:ind w:firstLine="240" w:firstLineChars="100"/>
              <w:rPr>
                <w:rFonts w:hint="eastAsia" w:ascii="仿宋_GB2312" w:hAnsi="仿宋_GB2312" w:eastAsia="仿宋_GB2312" w:cs="仿宋_GB2312"/>
                <w:b/>
                <w:bCs/>
                <w:color w:val="auto"/>
              </w:rPr>
            </w:pPr>
            <w:r>
              <w:rPr>
                <w:rFonts w:hint="eastAsia" w:ascii="仿宋_GB2312" w:hAnsi="仿宋_GB2312" w:eastAsia="仿宋_GB2312" w:cs="仿宋_GB2312"/>
                <w:color w:val="auto"/>
              </w:rPr>
              <w:t>关键部件安全要求：CPU 和操作系统等关键部件应当符合安全可靠测评要求；</w:t>
            </w:r>
            <w:r>
              <w:rPr>
                <w:rFonts w:hint="eastAsia" w:ascii="仿宋_GB2312" w:hAnsi="仿宋_GB2312" w:eastAsia="仿宋_GB2312" w:cs="仿宋_GB2312"/>
                <w:b/>
                <w:bCs/>
                <w:color w:val="auto"/>
              </w:rPr>
              <w:t>（通过政府有关部门指定的中国信息安全测评中心和国家保密科技测评中心网站查看安全可靠测评结果）</w:t>
            </w:r>
          </w:p>
          <w:p>
            <w:pPr>
              <w:pStyle w:val="522"/>
              <w:numPr>
                <w:ilvl w:val="0"/>
                <w:numId w:val="0"/>
              </w:numPr>
              <w:kinsoku w:val="0"/>
              <w:overflowPunct w:val="0"/>
              <w:spacing w:before="1"/>
              <w:ind w:firstLine="481"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注：投标人在填写《技术响应表》时，在“投标文件响应技术参数”明确给出所投计算机“CPU型号”名称，否则视为投标无效。</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三十四、整机安全性要求</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1.密码算法实现：CPU 芯片应符合GM/T 0008的相关规定，或芯片密码模块应符合GB/T 37092或GM/T 0028的相关规定；（通过商用密码检测机构检测并经商用密码认证机构认证合格）</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2.信息安全基本要求：a)产品应符合 GB/T 39276的5.2的规定；b)生产厂商应建立漏洞跟踪表，保证产品版本涉及到的漏洞(如驱动程序等)可查看；c)产品不得包含已知的恶意代码或漏洞，不存在未声明的指令、功能、接口；</w:t>
            </w:r>
          </w:p>
          <w:p>
            <w:pPr>
              <w:pStyle w:val="522"/>
              <w:kinsoku w:val="0"/>
              <w:overflowPunct w:val="0"/>
              <w:spacing w:before="1"/>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3.固件安全启动：支持固件安全启动功能，固件启动过程中只有通过启动校验才能正常启动；</w:t>
            </w:r>
          </w:p>
          <w:p>
            <w:pPr>
              <w:widowControl/>
              <w:spacing w:line="260" w:lineRule="exact"/>
              <w:ind w:firstLine="240" w:firstLineChars="1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4.限用物质的限量要求：符合GB/T 26572中规定。</w:t>
            </w:r>
          </w:p>
          <w:p>
            <w:pPr>
              <w:pStyle w:val="522"/>
              <w:kinsoku w:val="0"/>
              <w:overflowPunct w:val="0"/>
              <w:spacing w:before="1"/>
              <w:ind w:left="162"/>
              <w:rPr>
                <w:rFonts w:ascii="仿宋_GB2312" w:hAnsi="仿宋_GB2312" w:eastAsia="仿宋_GB2312" w:cs="仿宋_GB2312"/>
                <w:b/>
                <w:bCs/>
                <w:color w:val="auto"/>
              </w:rPr>
            </w:pPr>
            <w:r>
              <w:rPr>
                <w:rFonts w:hint="eastAsia" w:ascii="宋体" w:hAnsi="宋体"/>
                <w:color w:val="auto"/>
                <w:sz w:val="24"/>
                <w:szCs w:val="24"/>
                <w:highlight w:val="none"/>
              </w:rPr>
              <w:t>▲</w:t>
            </w:r>
            <w:r>
              <w:rPr>
                <w:rFonts w:hint="eastAsia" w:ascii="仿宋_GB2312" w:hAnsi="仿宋_GB2312" w:eastAsia="仿宋_GB2312" w:cs="仿宋_GB2312"/>
                <w:b/>
                <w:bCs/>
                <w:color w:val="auto"/>
              </w:rPr>
              <w:t>三十五、其他要求</w:t>
            </w:r>
          </w:p>
          <w:p>
            <w:pPr>
              <w:widowControl/>
              <w:jc w:val="left"/>
              <w:textAlignment w:val="center"/>
              <w:rPr>
                <w:rFonts w:hint="eastAsia" w:ascii="宋体" w:hAnsi="宋体" w:cs="宋体"/>
                <w:color w:val="auto"/>
                <w:kern w:val="2"/>
                <w:sz w:val="22"/>
                <w:szCs w:val="22"/>
                <w:highlight w:val="none"/>
                <w:lang w:val="en-US" w:eastAsia="zh-CN" w:bidi="ar-SA"/>
              </w:rPr>
            </w:pPr>
            <w:r>
              <w:rPr>
                <w:rFonts w:hint="eastAsia" w:ascii="仿宋_GB2312" w:hAnsi="仿宋_GB2312" w:eastAsia="仿宋_GB2312" w:cs="仿宋_GB2312"/>
                <w:color w:val="auto"/>
              </w:rPr>
              <w:t>1.必须原机原厂配件，不接受二次改配或加装。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6" w:type="dxa"/>
            <w:gridSpan w:val="6"/>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b/>
                <w:kern w:val="0"/>
                <w:sz w:val="24"/>
                <w:highlight w:val="none"/>
                <w:lang w:bidi="ar"/>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6" w:type="dxa"/>
            <w:gridSpan w:val="2"/>
            <w:noWrap/>
            <w:vAlign w:val="center"/>
          </w:tcPr>
          <w:p>
            <w:pPr>
              <w:widowControl/>
              <w:jc w:val="center"/>
              <w:textAlignment w:val="baseline"/>
              <w:rPr>
                <w:rFonts w:hint="eastAsia" w:ascii="宋体" w:hAnsi="宋体" w:cs="宋体"/>
                <w:kern w:val="0"/>
                <w:sz w:val="21"/>
                <w:szCs w:val="21"/>
                <w:highlight w:val="none"/>
                <w:lang w:val="en-US" w:eastAsia="zh-CN" w:bidi="ar-SA"/>
              </w:rPr>
            </w:pPr>
            <w:r>
              <w:rPr>
                <w:rFonts w:hint="eastAsia" w:ascii="宋体" w:hAnsi="宋体" w:cs="宋体"/>
                <w:kern w:val="0"/>
                <w:szCs w:val="21"/>
                <w:highlight w:val="none"/>
              </w:rPr>
              <w:t>1</w:t>
            </w:r>
          </w:p>
        </w:tc>
        <w:tc>
          <w:tcPr>
            <w:tcW w:w="2204" w:type="dxa"/>
            <w:gridSpan w:val="3"/>
            <w:noWrap/>
            <w:vAlign w:val="center"/>
          </w:tcPr>
          <w:p>
            <w:pPr>
              <w:widowControl/>
              <w:jc w:val="center"/>
              <w:rPr>
                <w:rFonts w:hint="eastAsia"/>
                <w:color w:val="000000"/>
                <w:kern w:val="0"/>
                <w:sz w:val="22"/>
                <w:szCs w:val="22"/>
                <w:highlight w:val="none"/>
                <w:lang w:val="en-US" w:eastAsia="zh-CN" w:bidi="ar-SA"/>
              </w:rPr>
            </w:pPr>
            <w:r>
              <w:rPr>
                <w:rFonts w:hint="eastAsia" w:ascii="宋体" w:hAnsi="宋体" w:cs="宋体"/>
                <w:b/>
                <w:sz w:val="22"/>
                <w:highlight w:val="none"/>
              </w:rPr>
              <w:t>合同签订期</w:t>
            </w:r>
          </w:p>
        </w:tc>
        <w:tc>
          <w:tcPr>
            <w:tcW w:w="6986" w:type="dxa"/>
            <w:noWrap/>
            <w:vAlign w:val="center"/>
          </w:tcPr>
          <w:p>
            <w:pPr>
              <w:widowControl/>
              <w:jc w:val="left"/>
              <w:textAlignment w:val="baseline"/>
              <w:rPr>
                <w:rFonts w:hint="eastAsia" w:ascii="宋体" w:hAnsi="宋体" w:cs="宋体"/>
                <w:kern w:val="0"/>
                <w:sz w:val="22"/>
                <w:szCs w:val="22"/>
                <w:highlight w:val="none"/>
                <w:lang w:val="en-US" w:eastAsia="zh-CN" w:bidi="ar-SA"/>
              </w:rPr>
            </w:pPr>
            <w:r>
              <w:rPr>
                <w:rFonts w:hint="eastAsia" w:ascii="宋体" w:hAnsi="宋体" w:cs="宋体"/>
                <w:kern w:val="0"/>
                <w:sz w:val="22"/>
                <w:highlight w:val="none"/>
              </w:rPr>
              <w:t>自中标通知书发出之日起7日内。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gridSpan w:val="2"/>
            <w:noWrap/>
            <w:vAlign w:val="center"/>
          </w:tcPr>
          <w:p>
            <w:pPr>
              <w:widowControl/>
              <w:jc w:val="center"/>
              <w:textAlignment w:val="baseline"/>
              <w:rPr>
                <w:rFonts w:hint="eastAsia" w:ascii="宋体" w:hAnsi="宋体" w:cs="宋体"/>
                <w:kern w:val="0"/>
                <w:sz w:val="21"/>
                <w:szCs w:val="21"/>
                <w:highlight w:val="none"/>
                <w:lang w:val="en-US" w:eastAsia="zh-CN" w:bidi="ar-SA"/>
              </w:rPr>
            </w:pPr>
            <w:r>
              <w:rPr>
                <w:rFonts w:hint="eastAsia" w:ascii="宋体" w:hAnsi="宋体" w:cs="宋体"/>
                <w:kern w:val="0"/>
                <w:szCs w:val="21"/>
                <w:highlight w:val="none"/>
              </w:rPr>
              <w:t>2</w:t>
            </w:r>
          </w:p>
        </w:tc>
        <w:tc>
          <w:tcPr>
            <w:tcW w:w="2204" w:type="dxa"/>
            <w:gridSpan w:val="3"/>
            <w:noWrap/>
            <w:vAlign w:val="center"/>
          </w:tcPr>
          <w:p>
            <w:pPr>
              <w:widowControl/>
              <w:jc w:val="center"/>
              <w:rPr>
                <w:rFonts w:hint="eastAsia"/>
                <w:color w:val="000000"/>
                <w:kern w:val="0"/>
                <w:sz w:val="22"/>
                <w:szCs w:val="22"/>
                <w:highlight w:val="none"/>
                <w:lang w:val="en-US" w:eastAsia="zh-CN" w:bidi="ar-SA"/>
              </w:rPr>
            </w:pPr>
            <w:r>
              <w:rPr>
                <w:rFonts w:hint="eastAsia" w:ascii="宋体" w:hAnsi="宋体" w:cs="宋体"/>
                <w:b/>
                <w:sz w:val="22"/>
                <w:highlight w:val="none"/>
              </w:rPr>
              <w:t>服务期限</w:t>
            </w:r>
          </w:p>
        </w:tc>
        <w:tc>
          <w:tcPr>
            <w:tcW w:w="6986" w:type="dxa"/>
            <w:noWrap/>
            <w:vAlign w:val="center"/>
          </w:tcPr>
          <w:p>
            <w:pPr>
              <w:widowControl/>
              <w:jc w:val="left"/>
              <w:textAlignment w:val="baseline"/>
              <w:rPr>
                <w:rFonts w:hint="eastAsia" w:ascii="宋体" w:hAnsi="宋体" w:cs="宋体"/>
                <w:kern w:val="0"/>
                <w:sz w:val="22"/>
                <w:szCs w:val="22"/>
                <w:highlight w:val="none"/>
                <w:lang w:val="en-US" w:eastAsia="zh-CN" w:bidi="ar-SA"/>
              </w:rPr>
            </w:pPr>
            <w:r>
              <w:rPr>
                <w:rFonts w:hint="eastAsia" w:ascii="宋体" w:hAnsi="宋体" w:cs="宋体"/>
                <w:kern w:val="0"/>
                <w:sz w:val="22"/>
                <w:highlight w:val="none"/>
              </w:rPr>
              <w:t>服务期限：合同签订之日起</w:t>
            </w:r>
            <w:r>
              <w:rPr>
                <w:rFonts w:hint="eastAsia" w:ascii="宋体" w:hAnsi="宋体" w:cs="宋体"/>
                <w:kern w:val="0"/>
                <w:sz w:val="22"/>
                <w:highlight w:val="none"/>
                <w:lang w:val="en-US" w:eastAsia="zh-CN"/>
              </w:rPr>
              <w:t>30</w:t>
            </w:r>
            <w:r>
              <w:rPr>
                <w:rFonts w:hint="eastAsia" w:ascii="宋体" w:hAnsi="宋体" w:cs="宋体"/>
                <w:kern w:val="0"/>
                <w:sz w:val="22"/>
                <w:highlight w:val="none"/>
              </w:rPr>
              <w:t>日历日内完成安装调试及验收工作，运营维护期1年。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06" w:type="dxa"/>
            <w:gridSpan w:val="2"/>
            <w:noWrap/>
            <w:vAlign w:val="center"/>
          </w:tcPr>
          <w:p>
            <w:pPr>
              <w:widowControl/>
              <w:jc w:val="center"/>
              <w:textAlignment w:val="baseline"/>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3</w:t>
            </w:r>
          </w:p>
        </w:tc>
        <w:tc>
          <w:tcPr>
            <w:tcW w:w="2204" w:type="dxa"/>
            <w:gridSpan w:val="3"/>
            <w:noWrap/>
            <w:vAlign w:val="center"/>
          </w:tcPr>
          <w:p>
            <w:pPr>
              <w:widowControl/>
              <w:jc w:val="center"/>
              <w:rPr>
                <w:rFonts w:hint="eastAsia" w:ascii="Times New Roman" w:hAnsi="Times New Roman" w:eastAsia="宋体" w:cs="Times New Roman"/>
                <w:color w:val="000000"/>
                <w:kern w:val="0"/>
                <w:sz w:val="22"/>
                <w:szCs w:val="22"/>
                <w:lang w:val="en-US" w:eastAsia="zh-CN" w:bidi="ar-SA"/>
              </w:rPr>
            </w:pPr>
            <w:r>
              <w:rPr>
                <w:rFonts w:hint="eastAsia" w:ascii="宋体" w:hAnsi="宋体" w:cs="宋体"/>
                <w:b/>
                <w:sz w:val="22"/>
              </w:rPr>
              <w:t>交付地点</w:t>
            </w:r>
          </w:p>
        </w:tc>
        <w:tc>
          <w:tcPr>
            <w:tcW w:w="6986" w:type="dxa"/>
            <w:noWrap/>
            <w:vAlign w:val="center"/>
          </w:tcPr>
          <w:p>
            <w:pPr>
              <w:widowControl/>
              <w:jc w:val="left"/>
              <w:textAlignment w:val="baseline"/>
              <w:rPr>
                <w:rFonts w:hint="eastAsia" w:ascii="宋体" w:hAnsi="宋体" w:eastAsia="宋体" w:cs="宋体"/>
                <w:kern w:val="0"/>
                <w:sz w:val="22"/>
                <w:szCs w:val="22"/>
                <w:lang w:val="en-US" w:eastAsia="zh-CN" w:bidi="ar-SA"/>
              </w:rPr>
            </w:pPr>
            <w:r>
              <w:rPr>
                <w:rFonts w:hint="eastAsia" w:ascii="宋体" w:hAnsi="宋体" w:cs="宋体"/>
                <w:kern w:val="0"/>
                <w:sz w:val="22"/>
              </w:rPr>
              <w:t>交付地点：采购人指定地点。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gridSpan w:val="2"/>
            <w:noWrap/>
            <w:vAlign w:val="center"/>
          </w:tcPr>
          <w:p>
            <w:pPr>
              <w:widowControl/>
              <w:jc w:val="center"/>
              <w:textAlignment w:val="baseline"/>
              <w:rPr>
                <w:rFonts w:hint="eastAsia" w:ascii="宋体" w:hAnsi="宋体" w:cs="宋体"/>
                <w:kern w:val="0"/>
                <w:sz w:val="21"/>
                <w:szCs w:val="21"/>
                <w:highlight w:val="none"/>
                <w:lang w:val="en-US" w:eastAsia="zh-CN" w:bidi="ar-SA"/>
              </w:rPr>
            </w:pPr>
            <w:r>
              <w:rPr>
                <w:rFonts w:hint="eastAsia" w:ascii="宋体" w:hAnsi="宋体" w:cs="宋体"/>
                <w:kern w:val="0"/>
                <w:szCs w:val="21"/>
                <w:highlight w:val="none"/>
              </w:rPr>
              <w:t>4</w:t>
            </w:r>
          </w:p>
        </w:tc>
        <w:tc>
          <w:tcPr>
            <w:tcW w:w="2204" w:type="dxa"/>
            <w:gridSpan w:val="3"/>
            <w:noWrap/>
            <w:vAlign w:val="center"/>
          </w:tcPr>
          <w:p>
            <w:pPr>
              <w:widowControl/>
              <w:jc w:val="center"/>
              <w:rPr>
                <w:rFonts w:hint="eastAsia"/>
                <w:color w:val="000000"/>
                <w:kern w:val="0"/>
                <w:sz w:val="22"/>
                <w:szCs w:val="22"/>
                <w:highlight w:val="none"/>
                <w:lang w:val="en-US" w:eastAsia="zh-CN" w:bidi="ar-SA"/>
              </w:rPr>
            </w:pPr>
            <w:r>
              <w:rPr>
                <w:rFonts w:hint="eastAsia" w:ascii="宋体" w:hAnsi="宋体" w:cs="宋体"/>
                <w:b/>
                <w:sz w:val="22"/>
                <w:highlight w:val="none"/>
              </w:rPr>
              <w:t>质量要求</w:t>
            </w:r>
          </w:p>
        </w:tc>
        <w:tc>
          <w:tcPr>
            <w:tcW w:w="6986" w:type="dxa"/>
            <w:noWrap/>
            <w:vAlign w:val="center"/>
          </w:tcPr>
          <w:p>
            <w:pPr>
              <w:widowControl/>
              <w:jc w:val="left"/>
              <w:textAlignment w:val="baseline"/>
              <w:rPr>
                <w:rFonts w:hint="eastAsia" w:ascii="宋体" w:hAnsi="宋体" w:cs="宋体"/>
                <w:kern w:val="0"/>
                <w:sz w:val="22"/>
                <w:highlight w:val="none"/>
              </w:rPr>
            </w:pPr>
            <w:r>
              <w:rPr>
                <w:rFonts w:hint="eastAsia" w:ascii="宋体" w:hAnsi="宋体" w:cs="宋体"/>
                <w:kern w:val="0"/>
                <w:sz w:val="22"/>
                <w:highlight w:val="none"/>
              </w:rPr>
              <w:t>（1）货物必须是全新合格产品，产品质量符合国家相关标准及安全规范；</w:t>
            </w:r>
          </w:p>
          <w:p>
            <w:pPr>
              <w:widowControl/>
              <w:jc w:val="left"/>
              <w:textAlignment w:val="baseline"/>
              <w:rPr>
                <w:rFonts w:hint="eastAsia" w:ascii="宋体" w:hAnsi="宋体" w:cs="宋体"/>
                <w:kern w:val="0"/>
                <w:sz w:val="22"/>
                <w:highlight w:val="none"/>
              </w:rPr>
            </w:pPr>
            <w:r>
              <w:rPr>
                <w:rFonts w:hint="eastAsia" w:ascii="宋体" w:hAnsi="宋体" w:cs="宋体"/>
                <w:kern w:val="0"/>
                <w:sz w:val="22"/>
                <w:highlight w:val="none"/>
              </w:rPr>
              <w:t>（2）供应商须按国家有关规定实行“三包”，免费送货上门。提供现场免费安装、调试设备，进行操作试验，直至运行正常；</w:t>
            </w:r>
          </w:p>
          <w:p>
            <w:pPr>
              <w:widowControl/>
              <w:jc w:val="left"/>
              <w:textAlignment w:val="baseline"/>
              <w:rPr>
                <w:rFonts w:hint="eastAsia" w:ascii="宋体" w:hAnsi="宋体" w:cs="宋体"/>
                <w:kern w:val="0"/>
                <w:sz w:val="22"/>
                <w:szCs w:val="22"/>
                <w:highlight w:val="none"/>
                <w:lang w:val="en-US" w:eastAsia="zh-CN" w:bidi="ar-SA"/>
              </w:rPr>
            </w:pPr>
            <w:r>
              <w:rPr>
                <w:rFonts w:hint="eastAsia" w:ascii="宋体" w:hAnsi="宋体" w:cs="宋体"/>
                <w:kern w:val="0"/>
                <w:sz w:val="22"/>
                <w:highlight w:val="none"/>
              </w:rPr>
              <w:t>（3）采购方对供应商所交货物依照采购文件上的技术规格要求和国家有关标准进行现场验收，性能达到技术要求的，给予签收。验收不合格的不予签收，后果由供货方负责。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gridSpan w:val="2"/>
            <w:noWrap/>
            <w:vAlign w:val="center"/>
          </w:tcPr>
          <w:p>
            <w:pPr>
              <w:widowControl/>
              <w:jc w:val="center"/>
              <w:textAlignment w:val="baseline"/>
              <w:rPr>
                <w:rFonts w:hint="eastAsia" w:ascii="宋体" w:hAnsi="宋体" w:cs="宋体"/>
                <w:kern w:val="0"/>
                <w:sz w:val="21"/>
                <w:szCs w:val="21"/>
                <w:highlight w:val="none"/>
                <w:lang w:val="en-US" w:eastAsia="zh-CN" w:bidi="ar-SA"/>
              </w:rPr>
            </w:pPr>
            <w:r>
              <w:rPr>
                <w:rFonts w:hint="eastAsia" w:ascii="宋体" w:hAnsi="宋体" w:cs="宋体"/>
                <w:kern w:val="0"/>
                <w:szCs w:val="21"/>
                <w:highlight w:val="none"/>
              </w:rPr>
              <w:t>5</w:t>
            </w:r>
          </w:p>
        </w:tc>
        <w:tc>
          <w:tcPr>
            <w:tcW w:w="2204" w:type="dxa"/>
            <w:gridSpan w:val="3"/>
            <w:noWrap/>
            <w:vAlign w:val="center"/>
          </w:tcPr>
          <w:p>
            <w:pPr>
              <w:widowControl/>
              <w:jc w:val="center"/>
              <w:rPr>
                <w:rFonts w:hint="eastAsia"/>
                <w:color w:val="000000"/>
                <w:kern w:val="0"/>
                <w:sz w:val="22"/>
                <w:szCs w:val="22"/>
                <w:highlight w:val="none"/>
                <w:lang w:val="en-US" w:eastAsia="zh-CN" w:bidi="ar-SA"/>
              </w:rPr>
            </w:pPr>
            <w:r>
              <w:rPr>
                <w:rFonts w:hint="eastAsia" w:ascii="宋体" w:hAnsi="宋体" w:cs="宋体"/>
                <w:b/>
                <w:sz w:val="22"/>
                <w:highlight w:val="none"/>
              </w:rPr>
              <w:t>报价要求</w:t>
            </w:r>
          </w:p>
        </w:tc>
        <w:tc>
          <w:tcPr>
            <w:tcW w:w="6986" w:type="dxa"/>
            <w:noWrap/>
            <w:vAlign w:val="center"/>
          </w:tcPr>
          <w:p>
            <w:pPr>
              <w:widowControl/>
              <w:jc w:val="left"/>
              <w:textAlignment w:val="baseline"/>
              <w:rPr>
                <w:rFonts w:hint="eastAsia" w:ascii="宋体" w:hAnsi="宋体" w:cs="宋体"/>
                <w:kern w:val="0"/>
                <w:sz w:val="22"/>
                <w:highlight w:val="none"/>
              </w:rPr>
            </w:pPr>
            <w:r>
              <w:rPr>
                <w:rFonts w:hint="eastAsia" w:ascii="宋体" w:hAnsi="宋体" w:cs="宋体"/>
                <w:kern w:val="0"/>
                <w:sz w:val="22"/>
                <w:highlight w:val="none"/>
              </w:rPr>
              <w:t>1、竞标费用包括本项目实施所需的外购软件费、设备费、人工费、服务费、运输费、安装调试费、税费及其他一切费用；</w:t>
            </w:r>
          </w:p>
          <w:p>
            <w:pPr>
              <w:widowControl/>
              <w:jc w:val="left"/>
              <w:textAlignment w:val="baseline"/>
              <w:rPr>
                <w:rFonts w:hint="eastAsia" w:ascii="宋体" w:hAnsi="宋体" w:cs="宋体"/>
                <w:kern w:val="0"/>
                <w:sz w:val="22"/>
                <w:highlight w:val="none"/>
              </w:rPr>
            </w:pPr>
            <w:r>
              <w:rPr>
                <w:rFonts w:hint="eastAsia" w:ascii="宋体" w:hAnsi="宋体" w:cs="宋体"/>
                <w:kern w:val="0"/>
                <w:sz w:val="22"/>
                <w:highlight w:val="none"/>
              </w:rPr>
              <w:t xml:space="preserve">2、系统安装调试需要的线材、接插件、安装配件等，须满足本项目建设的需要，所需费用含在设备报价中，不单独计费； </w:t>
            </w:r>
          </w:p>
          <w:p>
            <w:pPr>
              <w:widowControl/>
              <w:jc w:val="left"/>
              <w:textAlignment w:val="baseline"/>
              <w:rPr>
                <w:rFonts w:hint="eastAsia" w:ascii="宋体" w:hAnsi="宋体" w:cs="宋体"/>
                <w:kern w:val="0"/>
                <w:sz w:val="22"/>
                <w:highlight w:val="none"/>
              </w:rPr>
            </w:pPr>
            <w:r>
              <w:rPr>
                <w:rFonts w:hint="eastAsia" w:ascii="宋体" w:hAnsi="宋体" w:cs="宋体"/>
                <w:kern w:val="0"/>
                <w:sz w:val="22"/>
                <w:highlight w:val="none"/>
              </w:rPr>
              <w:t xml:space="preserve">3、竞标报价为采购人指定地点的现场交货价，包括： </w:t>
            </w:r>
          </w:p>
          <w:p>
            <w:pPr>
              <w:widowControl/>
              <w:jc w:val="left"/>
              <w:textAlignment w:val="baseline"/>
              <w:rPr>
                <w:rFonts w:hint="eastAsia" w:ascii="宋体" w:hAnsi="宋体" w:cs="宋体"/>
                <w:kern w:val="0"/>
                <w:sz w:val="22"/>
                <w:highlight w:val="none"/>
              </w:rPr>
            </w:pPr>
            <w:r>
              <w:rPr>
                <w:rFonts w:hint="eastAsia" w:ascii="宋体" w:hAnsi="宋体" w:cs="宋体"/>
                <w:kern w:val="0"/>
                <w:sz w:val="22"/>
                <w:highlight w:val="none"/>
              </w:rPr>
              <w:t xml:space="preserve">（1）货物及标准附件、备品备件、专用工具的价格； </w:t>
            </w:r>
          </w:p>
          <w:p>
            <w:pPr>
              <w:widowControl/>
              <w:jc w:val="left"/>
              <w:textAlignment w:val="baseline"/>
              <w:rPr>
                <w:rFonts w:hint="eastAsia" w:ascii="宋体" w:hAnsi="宋体" w:cs="宋体"/>
                <w:kern w:val="0"/>
                <w:sz w:val="22"/>
                <w:highlight w:val="none"/>
              </w:rPr>
            </w:pPr>
            <w:r>
              <w:rPr>
                <w:rFonts w:hint="eastAsia" w:ascii="宋体" w:hAnsi="宋体" w:cs="宋体"/>
                <w:kern w:val="0"/>
                <w:sz w:val="22"/>
                <w:highlight w:val="none"/>
              </w:rPr>
              <w:t>（2）运输、装卸、安装、调试、培训、技术支持、售后服务等费用；</w:t>
            </w:r>
          </w:p>
          <w:p>
            <w:pPr>
              <w:widowControl/>
              <w:jc w:val="left"/>
              <w:textAlignment w:val="baseline"/>
              <w:rPr>
                <w:rFonts w:hint="eastAsia" w:ascii="宋体" w:hAnsi="宋体" w:cs="宋体"/>
                <w:kern w:val="0"/>
                <w:sz w:val="22"/>
                <w:highlight w:val="none"/>
              </w:rPr>
            </w:pPr>
            <w:r>
              <w:rPr>
                <w:rFonts w:hint="eastAsia" w:ascii="宋体" w:hAnsi="宋体" w:cs="宋体"/>
                <w:kern w:val="0"/>
                <w:sz w:val="22"/>
                <w:highlight w:val="none"/>
              </w:rPr>
              <w:t xml:space="preserve">（3）必要的保险费用和各项税费、招标代理服务费； </w:t>
            </w:r>
          </w:p>
          <w:p>
            <w:pPr>
              <w:widowControl/>
              <w:jc w:val="left"/>
              <w:textAlignment w:val="baseline"/>
              <w:rPr>
                <w:rFonts w:hint="eastAsia" w:ascii="宋体" w:hAnsi="宋体" w:cs="宋体"/>
                <w:kern w:val="0"/>
                <w:sz w:val="22"/>
                <w:highlight w:val="none"/>
              </w:rPr>
            </w:pPr>
            <w:r>
              <w:rPr>
                <w:rFonts w:hint="eastAsia" w:ascii="宋体" w:hAnsi="宋体" w:cs="宋体"/>
                <w:kern w:val="0"/>
                <w:sz w:val="22"/>
                <w:highlight w:val="none"/>
              </w:rPr>
              <w:t xml:space="preserve">（4）包括施工调试费用； </w:t>
            </w:r>
          </w:p>
          <w:p>
            <w:pPr>
              <w:widowControl/>
              <w:jc w:val="left"/>
              <w:textAlignment w:val="baseline"/>
              <w:rPr>
                <w:rFonts w:hint="eastAsia" w:ascii="宋体" w:hAnsi="宋体" w:cs="宋体"/>
                <w:kern w:val="0"/>
                <w:sz w:val="22"/>
                <w:highlight w:val="none"/>
              </w:rPr>
            </w:pPr>
            <w:r>
              <w:rPr>
                <w:rFonts w:hint="eastAsia" w:ascii="宋体" w:hAnsi="宋体" w:cs="宋体"/>
                <w:kern w:val="0"/>
                <w:sz w:val="22"/>
                <w:highlight w:val="none"/>
              </w:rPr>
              <w:t xml:space="preserve">（5）安装所需的附件及材料费用； </w:t>
            </w:r>
          </w:p>
          <w:p>
            <w:pPr>
              <w:widowControl/>
              <w:jc w:val="left"/>
              <w:textAlignment w:val="baseline"/>
              <w:rPr>
                <w:rFonts w:hint="eastAsia" w:ascii="宋体" w:hAnsi="宋体" w:cs="宋体"/>
                <w:kern w:val="0"/>
                <w:sz w:val="22"/>
                <w:szCs w:val="22"/>
                <w:highlight w:val="none"/>
                <w:lang w:val="en-US" w:eastAsia="zh-CN" w:bidi="ar-SA"/>
              </w:rPr>
            </w:pPr>
            <w:r>
              <w:rPr>
                <w:rFonts w:hint="eastAsia" w:ascii="宋体" w:hAnsi="宋体" w:cs="宋体"/>
                <w:kern w:val="0"/>
                <w:sz w:val="22"/>
                <w:highlight w:val="none"/>
              </w:rPr>
              <w:t>（6）验收费用。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gridSpan w:val="2"/>
            <w:noWrap/>
            <w:vAlign w:val="center"/>
          </w:tcPr>
          <w:p>
            <w:pPr>
              <w:widowControl/>
              <w:jc w:val="center"/>
              <w:textAlignment w:val="baseline"/>
              <w:rPr>
                <w:rFonts w:hint="eastAsia" w:ascii="宋体" w:hAnsi="宋体" w:cs="宋体"/>
                <w:kern w:val="0"/>
                <w:sz w:val="21"/>
                <w:szCs w:val="21"/>
                <w:highlight w:val="none"/>
                <w:lang w:val="en-US" w:eastAsia="zh-CN" w:bidi="ar-SA"/>
              </w:rPr>
            </w:pPr>
            <w:r>
              <w:rPr>
                <w:rFonts w:hint="eastAsia" w:ascii="宋体" w:hAnsi="宋体" w:cs="宋体"/>
                <w:kern w:val="0"/>
                <w:szCs w:val="21"/>
                <w:highlight w:val="none"/>
              </w:rPr>
              <w:t>6</w:t>
            </w:r>
          </w:p>
        </w:tc>
        <w:tc>
          <w:tcPr>
            <w:tcW w:w="2204" w:type="dxa"/>
            <w:gridSpan w:val="3"/>
            <w:noWrap/>
            <w:vAlign w:val="center"/>
          </w:tcPr>
          <w:p>
            <w:pPr>
              <w:widowControl/>
              <w:jc w:val="center"/>
              <w:rPr>
                <w:rFonts w:hint="eastAsia"/>
                <w:color w:val="000000"/>
                <w:kern w:val="0"/>
                <w:sz w:val="22"/>
                <w:szCs w:val="22"/>
                <w:highlight w:val="none"/>
                <w:lang w:val="en-US" w:eastAsia="zh-CN" w:bidi="ar-SA"/>
              </w:rPr>
            </w:pPr>
            <w:r>
              <w:rPr>
                <w:rFonts w:hint="eastAsia" w:ascii="宋体" w:hAnsi="宋体" w:cs="宋体"/>
                <w:b/>
                <w:sz w:val="22"/>
                <w:highlight w:val="none"/>
              </w:rPr>
              <w:t>售后服务要求</w:t>
            </w:r>
          </w:p>
        </w:tc>
        <w:tc>
          <w:tcPr>
            <w:tcW w:w="6986" w:type="dxa"/>
            <w:noWrap/>
            <w:vAlign w:val="center"/>
          </w:tcPr>
          <w:p>
            <w:pPr>
              <w:widowControl/>
              <w:jc w:val="left"/>
              <w:textAlignment w:val="baseline"/>
              <w:rPr>
                <w:rFonts w:ascii="宋体" w:hAnsi="宋体" w:cs="宋体"/>
                <w:kern w:val="0"/>
                <w:sz w:val="22"/>
                <w:highlight w:val="none"/>
              </w:rPr>
            </w:pPr>
            <w:r>
              <w:rPr>
                <w:rFonts w:hint="eastAsia" w:ascii="宋体" w:hAnsi="宋体" w:cs="宋体"/>
                <w:kern w:val="0"/>
                <w:sz w:val="22"/>
                <w:highlight w:val="none"/>
              </w:rPr>
              <w:t>（1）免费送货上门、免费上门安装调试、免费培训、免费技术支持。成交供应商负责免费培训使用人员和维护人员，内容包括设备及软件系统操作、日常维护，确保熟练掌握全部功能为止。</w:t>
            </w:r>
          </w:p>
          <w:p>
            <w:pPr>
              <w:widowControl/>
              <w:jc w:val="left"/>
              <w:textAlignment w:val="baseline"/>
              <w:rPr>
                <w:rFonts w:hint="eastAsia" w:ascii="宋体" w:hAnsi="宋体" w:cs="宋体"/>
                <w:kern w:val="0"/>
                <w:sz w:val="22"/>
                <w:highlight w:val="none"/>
              </w:rPr>
            </w:pPr>
            <w:r>
              <w:rPr>
                <w:rFonts w:hint="eastAsia" w:ascii="宋体" w:hAnsi="宋体" w:cs="宋体"/>
                <w:kern w:val="0"/>
                <w:sz w:val="22"/>
                <w:highlight w:val="none"/>
              </w:rPr>
              <w:t>（2）故障响应时间：接到故障通知后成交供应商应在20分钟内电话服务应答，8小时内到现场维护响应，并提供7*24小时免费电话维护服务；</w:t>
            </w:r>
          </w:p>
          <w:p>
            <w:pPr>
              <w:widowControl/>
              <w:jc w:val="left"/>
              <w:textAlignment w:val="baseline"/>
              <w:rPr>
                <w:rFonts w:hint="eastAsia" w:ascii="宋体" w:hAnsi="宋体" w:cs="宋体"/>
                <w:kern w:val="0"/>
                <w:sz w:val="22"/>
                <w:highlight w:val="none"/>
              </w:rPr>
            </w:pPr>
            <w:r>
              <w:rPr>
                <w:rFonts w:hint="eastAsia" w:ascii="宋体" w:hAnsi="宋体" w:cs="宋体"/>
                <w:kern w:val="0"/>
                <w:sz w:val="22"/>
                <w:highlight w:val="none"/>
              </w:rPr>
              <w:t>（3）维修时限：在保修期内，接到故障通知后2天内完成维修或更换服务，超过保修期的，接到故障通知5天内完成维修或更换服务。</w:t>
            </w:r>
          </w:p>
          <w:p>
            <w:pPr>
              <w:widowControl/>
              <w:jc w:val="left"/>
              <w:textAlignment w:val="baseline"/>
              <w:rPr>
                <w:rFonts w:hint="eastAsia" w:ascii="宋体" w:hAnsi="宋体" w:cs="宋体"/>
                <w:kern w:val="0"/>
                <w:sz w:val="22"/>
                <w:highlight w:val="none"/>
              </w:rPr>
            </w:pPr>
            <w:r>
              <w:rPr>
                <w:rFonts w:hint="eastAsia" w:ascii="宋体" w:hAnsi="宋体" w:cs="宋体"/>
                <w:kern w:val="0"/>
                <w:sz w:val="22"/>
                <w:highlight w:val="none"/>
              </w:rPr>
              <w:t>（4）</w:t>
            </w:r>
            <w:r>
              <w:rPr>
                <w:rFonts w:ascii="宋体" w:hAnsi="宋体"/>
                <w:szCs w:val="24"/>
                <w:highlight w:val="none"/>
              </w:rPr>
              <w:t>在质量保证期内货物非因人为及不可抗拒因素的原因而引起损坏或质量问题，中标供应商应免费予以技术服务、维修或货物更换，并承担相应费用和零部件的费用。中标供应商须负责设备的免费安装调试和免费的技术培训，解决货物的使用过程出现的各种问题及提供技术指导。</w:t>
            </w:r>
            <w:r>
              <w:rPr>
                <w:rFonts w:hint="eastAsia" w:ascii="宋体" w:hAnsi="宋体" w:cs="宋体"/>
                <w:kern w:val="0"/>
                <w:sz w:val="22"/>
                <w:highlight w:val="none"/>
              </w:rPr>
              <w:t>。</w:t>
            </w:r>
          </w:p>
          <w:p>
            <w:pPr>
              <w:widowControl/>
              <w:jc w:val="left"/>
              <w:textAlignment w:val="baseline"/>
              <w:rPr>
                <w:rFonts w:hint="eastAsia" w:ascii="宋体" w:hAnsi="宋体" w:cs="宋体"/>
                <w:kern w:val="0"/>
                <w:sz w:val="22"/>
                <w:szCs w:val="22"/>
                <w:highlight w:val="none"/>
                <w:lang w:val="en-US" w:eastAsia="zh-CN" w:bidi="ar-SA"/>
              </w:rPr>
            </w:pPr>
            <w:r>
              <w:rPr>
                <w:rFonts w:hint="eastAsia" w:ascii="宋体" w:hAnsi="宋体" w:cs="宋体"/>
                <w:kern w:val="0"/>
                <w:sz w:val="22"/>
                <w:highlight w:val="none"/>
              </w:rPr>
              <w:t xml:space="preserve">（5）成交供应商应定期进行回访。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gridSpan w:val="2"/>
            <w:noWrap/>
            <w:vAlign w:val="center"/>
          </w:tcPr>
          <w:p>
            <w:pPr>
              <w:widowControl/>
              <w:jc w:val="center"/>
              <w:textAlignment w:val="baseline"/>
              <w:rPr>
                <w:rFonts w:hint="eastAsia" w:ascii="宋体" w:hAnsi="宋体" w:cs="宋体"/>
                <w:kern w:val="0"/>
                <w:sz w:val="21"/>
                <w:szCs w:val="21"/>
                <w:highlight w:val="none"/>
                <w:lang w:val="en-US" w:eastAsia="zh-CN" w:bidi="ar-SA"/>
              </w:rPr>
            </w:pPr>
            <w:r>
              <w:rPr>
                <w:rFonts w:hint="eastAsia" w:ascii="宋体" w:hAnsi="宋体" w:cs="宋体"/>
                <w:kern w:val="0"/>
                <w:szCs w:val="21"/>
                <w:highlight w:val="none"/>
              </w:rPr>
              <w:t>7</w:t>
            </w:r>
          </w:p>
        </w:tc>
        <w:tc>
          <w:tcPr>
            <w:tcW w:w="2204" w:type="dxa"/>
            <w:gridSpan w:val="3"/>
            <w:noWrap/>
            <w:vAlign w:val="center"/>
          </w:tcPr>
          <w:p>
            <w:pPr>
              <w:widowControl/>
              <w:jc w:val="center"/>
              <w:rPr>
                <w:rFonts w:hint="eastAsia"/>
                <w:color w:val="000000"/>
                <w:kern w:val="0"/>
                <w:sz w:val="22"/>
                <w:szCs w:val="22"/>
                <w:highlight w:val="none"/>
                <w:lang w:val="en-US" w:eastAsia="zh-CN" w:bidi="ar-SA"/>
              </w:rPr>
            </w:pPr>
            <w:r>
              <w:rPr>
                <w:rFonts w:hint="eastAsia" w:ascii="宋体" w:hAnsi="宋体" w:cs="宋体"/>
                <w:b/>
                <w:sz w:val="22"/>
                <w:highlight w:val="none"/>
              </w:rPr>
              <w:t>验收标准</w:t>
            </w:r>
          </w:p>
        </w:tc>
        <w:tc>
          <w:tcPr>
            <w:tcW w:w="6986" w:type="dxa"/>
            <w:noWrap/>
            <w:vAlign w:val="center"/>
          </w:tcPr>
          <w:p>
            <w:pPr>
              <w:widowControl/>
              <w:jc w:val="left"/>
              <w:textAlignment w:val="baseline"/>
              <w:rPr>
                <w:rFonts w:hint="eastAsia" w:ascii="宋体" w:hAnsi="宋体" w:cs="宋体"/>
                <w:kern w:val="0"/>
                <w:sz w:val="22"/>
                <w:szCs w:val="22"/>
                <w:highlight w:val="none"/>
                <w:lang w:val="en-US" w:eastAsia="zh-CN" w:bidi="ar-SA"/>
              </w:rPr>
            </w:pPr>
            <w:r>
              <w:rPr>
                <w:rFonts w:hint="eastAsia" w:ascii="宋体" w:hAnsi="宋体" w:cs="宋体"/>
                <w:kern w:val="0"/>
                <w:sz w:val="22"/>
                <w:highlight w:val="none"/>
              </w:rPr>
              <w:t>验收时，采购人对中标人所交货物依照中标人的投标文件所承诺的技术规格要求和国家有关标准进行现场验收。性能达到技术要求的给予签收，若有一项指标不满足其投标承诺的不予签收，并按照政府采购相关法律法规和合同约定条款进行处罚，由此造成的项目延误等所有责任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gridSpan w:val="2"/>
            <w:noWrap/>
            <w:vAlign w:val="center"/>
          </w:tcPr>
          <w:p>
            <w:pPr>
              <w:widowControl/>
              <w:jc w:val="center"/>
              <w:textAlignment w:val="baseline"/>
              <w:rPr>
                <w:rFonts w:hint="eastAsia" w:ascii="宋体" w:hAnsi="宋体" w:cs="宋体"/>
                <w:kern w:val="0"/>
                <w:sz w:val="21"/>
                <w:szCs w:val="21"/>
                <w:highlight w:val="none"/>
                <w:lang w:val="en-US" w:eastAsia="zh-CN" w:bidi="ar-SA"/>
              </w:rPr>
            </w:pPr>
            <w:r>
              <w:rPr>
                <w:rFonts w:hint="eastAsia" w:ascii="宋体" w:hAnsi="宋体" w:cs="宋体"/>
                <w:kern w:val="0"/>
                <w:szCs w:val="21"/>
                <w:highlight w:val="none"/>
              </w:rPr>
              <w:t>8</w:t>
            </w:r>
          </w:p>
        </w:tc>
        <w:tc>
          <w:tcPr>
            <w:tcW w:w="2204" w:type="dxa"/>
            <w:gridSpan w:val="3"/>
            <w:noWrap/>
            <w:vAlign w:val="center"/>
          </w:tcPr>
          <w:p>
            <w:pPr>
              <w:widowControl/>
              <w:jc w:val="center"/>
              <w:rPr>
                <w:rFonts w:hint="eastAsia"/>
                <w:color w:val="000000"/>
                <w:kern w:val="0"/>
                <w:sz w:val="22"/>
                <w:szCs w:val="22"/>
                <w:highlight w:val="none"/>
                <w:lang w:val="en-US" w:eastAsia="zh-CN" w:bidi="ar-SA"/>
              </w:rPr>
            </w:pPr>
            <w:r>
              <w:rPr>
                <w:rFonts w:hint="eastAsia" w:ascii="宋体" w:hAnsi="宋体" w:cs="宋体"/>
                <w:b/>
                <w:sz w:val="22"/>
                <w:highlight w:val="none"/>
              </w:rPr>
              <w:t>质保期</w:t>
            </w:r>
          </w:p>
        </w:tc>
        <w:tc>
          <w:tcPr>
            <w:tcW w:w="6986" w:type="dxa"/>
            <w:noWrap/>
            <w:vAlign w:val="center"/>
          </w:tcPr>
          <w:p>
            <w:pPr>
              <w:widowControl/>
              <w:jc w:val="left"/>
              <w:textAlignment w:val="baseline"/>
              <w:rPr>
                <w:rFonts w:hint="eastAsia" w:ascii="宋体" w:hAnsi="宋体" w:cs="宋体"/>
                <w:kern w:val="0"/>
                <w:sz w:val="22"/>
                <w:szCs w:val="22"/>
                <w:highlight w:val="none"/>
                <w:lang w:val="en-US" w:eastAsia="zh-CN" w:bidi="ar-SA"/>
              </w:rPr>
            </w:pPr>
            <w:r>
              <w:rPr>
                <w:rFonts w:hint="eastAsia" w:ascii="宋体" w:hAnsi="宋体" w:cs="宋体"/>
                <w:kern w:val="0"/>
                <w:sz w:val="22"/>
                <w:highlight w:val="none"/>
              </w:rPr>
              <w:t>所供设备按厂家承诺实行“三包”，所有产品质量保证期为一年，自双方代表在设备验收单上签字之日起计算。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gridSpan w:val="2"/>
            <w:noWrap/>
            <w:vAlign w:val="center"/>
          </w:tcPr>
          <w:p>
            <w:pPr>
              <w:widowControl/>
              <w:jc w:val="center"/>
              <w:textAlignment w:val="baseline"/>
              <w:rPr>
                <w:rFonts w:hint="eastAsia" w:ascii="宋体" w:hAnsi="宋体" w:cs="宋体"/>
                <w:kern w:val="0"/>
                <w:sz w:val="21"/>
                <w:szCs w:val="21"/>
                <w:highlight w:val="none"/>
                <w:lang w:val="en-US" w:eastAsia="zh-CN" w:bidi="ar-SA"/>
              </w:rPr>
            </w:pPr>
            <w:r>
              <w:rPr>
                <w:rFonts w:hint="eastAsia" w:ascii="宋体" w:hAnsi="宋体" w:cs="宋体"/>
                <w:kern w:val="0"/>
                <w:szCs w:val="21"/>
                <w:highlight w:val="none"/>
              </w:rPr>
              <w:t>9</w:t>
            </w:r>
          </w:p>
        </w:tc>
        <w:tc>
          <w:tcPr>
            <w:tcW w:w="2204" w:type="dxa"/>
            <w:gridSpan w:val="3"/>
            <w:noWrap/>
            <w:vAlign w:val="center"/>
          </w:tcPr>
          <w:p>
            <w:pPr>
              <w:widowControl/>
              <w:jc w:val="center"/>
              <w:rPr>
                <w:rFonts w:hint="eastAsia"/>
                <w:color w:val="000000"/>
                <w:kern w:val="0"/>
                <w:sz w:val="22"/>
                <w:szCs w:val="22"/>
                <w:highlight w:val="none"/>
                <w:lang w:val="en-US" w:eastAsia="zh-CN" w:bidi="ar-SA"/>
              </w:rPr>
            </w:pPr>
            <w:r>
              <w:rPr>
                <w:rFonts w:hint="eastAsia" w:ascii="宋体" w:hAnsi="宋体" w:cs="宋体"/>
                <w:b/>
                <w:sz w:val="22"/>
                <w:highlight w:val="none"/>
              </w:rPr>
              <w:t>付款方式</w:t>
            </w:r>
          </w:p>
        </w:tc>
        <w:tc>
          <w:tcPr>
            <w:tcW w:w="6986" w:type="dxa"/>
            <w:noWrap/>
            <w:vAlign w:val="center"/>
          </w:tcPr>
          <w:p>
            <w:pPr>
              <w:widowControl/>
              <w:jc w:val="left"/>
              <w:textAlignment w:val="baseline"/>
              <w:rPr>
                <w:rFonts w:hint="eastAsia" w:ascii="宋体" w:hAnsi="宋体" w:cs="宋体"/>
                <w:color w:val="FF0000"/>
                <w:kern w:val="0"/>
                <w:sz w:val="22"/>
                <w:szCs w:val="22"/>
                <w:highlight w:val="none"/>
                <w:lang w:val="en-US" w:eastAsia="zh-CN" w:bidi="ar-SA"/>
              </w:rPr>
            </w:pPr>
            <w:r>
              <w:rPr>
                <w:rFonts w:hint="eastAsia" w:ascii="宋体" w:hAnsi="宋体" w:cs="宋体"/>
                <w:color w:val="auto"/>
                <w:kern w:val="0"/>
                <w:sz w:val="22"/>
                <w:highlight w:val="none"/>
              </w:rPr>
              <w:t>签订合同后10个工作日内，采购人向成交供应商支付合同总金额的50%；设备安装完成并通过验收后10个工作日内，采购人向成交供应商支付合同总金额的50%。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gridSpan w:val="2"/>
            <w:noWrap/>
            <w:vAlign w:val="center"/>
          </w:tcPr>
          <w:p>
            <w:pPr>
              <w:widowControl/>
              <w:jc w:val="center"/>
              <w:textAlignment w:val="baseline"/>
              <w:rPr>
                <w:rFonts w:hint="eastAsia" w:ascii="宋体" w:hAnsi="宋体" w:cs="宋体"/>
                <w:kern w:val="0"/>
                <w:sz w:val="21"/>
                <w:szCs w:val="21"/>
                <w:highlight w:val="none"/>
                <w:lang w:val="en-US" w:eastAsia="zh-CN" w:bidi="ar-SA"/>
              </w:rPr>
            </w:pPr>
            <w:r>
              <w:rPr>
                <w:rFonts w:hint="eastAsia" w:ascii="宋体" w:hAnsi="宋体" w:cs="宋体"/>
                <w:kern w:val="0"/>
                <w:szCs w:val="21"/>
                <w:highlight w:val="none"/>
              </w:rPr>
              <w:t>10</w:t>
            </w:r>
          </w:p>
        </w:tc>
        <w:tc>
          <w:tcPr>
            <w:tcW w:w="2204" w:type="dxa"/>
            <w:gridSpan w:val="3"/>
            <w:noWrap/>
            <w:vAlign w:val="center"/>
          </w:tcPr>
          <w:p>
            <w:pPr>
              <w:widowControl/>
              <w:jc w:val="center"/>
              <w:rPr>
                <w:rFonts w:hint="eastAsia" w:ascii="宋体" w:hAnsi="宋体" w:cs="宋体"/>
                <w:b/>
                <w:kern w:val="2"/>
                <w:sz w:val="22"/>
                <w:szCs w:val="22"/>
                <w:highlight w:val="none"/>
                <w:lang w:val="en-US" w:eastAsia="zh-CN" w:bidi="ar-SA"/>
              </w:rPr>
            </w:pPr>
            <w:r>
              <w:rPr>
                <w:rFonts w:hint="eastAsia" w:ascii="宋体" w:hAnsi="宋体" w:cs="宋体"/>
                <w:b/>
                <w:sz w:val="22"/>
                <w:highlight w:val="none"/>
              </w:rPr>
              <w:t>其它</w:t>
            </w:r>
          </w:p>
        </w:tc>
        <w:tc>
          <w:tcPr>
            <w:tcW w:w="6986" w:type="dxa"/>
            <w:noWrap/>
            <w:vAlign w:val="center"/>
          </w:tcPr>
          <w:p>
            <w:pPr>
              <w:widowControl/>
              <w:jc w:val="left"/>
              <w:textAlignment w:val="baseline"/>
              <w:rPr>
                <w:rFonts w:hint="eastAsia" w:ascii="宋体" w:hAnsi="宋体" w:cs="宋体"/>
                <w:kern w:val="0"/>
                <w:sz w:val="22"/>
                <w:highlight w:val="none"/>
              </w:rPr>
            </w:pPr>
            <w:r>
              <w:rPr>
                <w:rFonts w:hint="eastAsia" w:ascii="宋体" w:hAnsi="宋体" w:cs="宋体"/>
                <w:kern w:val="0"/>
                <w:sz w:val="22"/>
                <w:highlight w:val="none"/>
              </w:rPr>
              <w:t>1、本项目货物不接受进口产品（即通过中国海关报关验放进入中国境内且产自关境外的产品）参与竞标，如有此类产品参与竞标的做无效标处理。</w:t>
            </w:r>
          </w:p>
          <w:p>
            <w:pPr>
              <w:widowControl/>
              <w:jc w:val="left"/>
              <w:textAlignment w:val="baseline"/>
              <w:rPr>
                <w:rFonts w:hint="eastAsia" w:ascii="宋体" w:hAnsi="宋体" w:cs="宋体"/>
                <w:kern w:val="0"/>
                <w:sz w:val="22"/>
                <w:highlight w:val="none"/>
              </w:rPr>
            </w:pPr>
            <w:r>
              <w:rPr>
                <w:rFonts w:hint="eastAsia" w:ascii="宋体" w:hAnsi="宋体" w:cs="宋体"/>
                <w:kern w:val="0"/>
                <w:sz w:val="22"/>
                <w:highlight w:val="none"/>
              </w:rPr>
              <w:t>2、投标人必须承诺所提供的投标材料均为厂家官网下载或通过正规渠道获取，投标人未进行篡改，如有发现承诺文件的内容与设备实际功能不相符，追究投标人虚假应标的法律责任，否则投标无效。</w:t>
            </w:r>
          </w:p>
          <w:p>
            <w:pPr>
              <w:pStyle w:val="304"/>
              <w:rPr>
                <w:rFonts w:hint="eastAsia" w:ascii="宋体" w:hAnsi="宋体" w:cs="宋体"/>
                <w:sz w:val="22"/>
                <w:highlight w:val="none"/>
              </w:rPr>
            </w:pPr>
            <w:r>
              <w:rPr>
                <w:rFonts w:hint="eastAsia" w:ascii="宋体" w:hAnsi="宋体" w:cs="宋体"/>
                <w:sz w:val="22"/>
                <w:highlight w:val="none"/>
              </w:rPr>
              <w:t>3、为保证中标供应商所投产品满足招标文件要求，采购人有权委托具备相关资质的第三方检测机构对投标产品进行参数真实性检测，并出具合格有效的检测结果证明文件加盖公章，检测过程中所产生的一切费用由中标供应商承担，若检测结果与中标人所响应的技术参数不符或不满足招标文件要求，采购人有权解除双方的供货合同，并追究中标供应商相关法律责任。</w:t>
            </w:r>
          </w:p>
          <w:p>
            <w:pPr>
              <w:pStyle w:val="304"/>
              <w:rPr>
                <w:rFonts w:hint="eastAsia" w:ascii="宋体" w:hAnsi="宋体" w:cs="宋体"/>
                <w:bCs/>
                <w:spacing w:val="10"/>
                <w:kern w:val="0"/>
                <w:sz w:val="22"/>
                <w:szCs w:val="22"/>
                <w:highlight w:val="none"/>
                <w:lang w:val="en-US" w:eastAsia="zh-CN" w:bidi="ar-SA"/>
              </w:rPr>
            </w:pPr>
            <w:r>
              <w:rPr>
                <w:rFonts w:hint="eastAsia" w:ascii="宋体" w:hAnsi="宋体" w:cs="宋体"/>
                <w:sz w:val="22"/>
                <w:highlight w:val="none"/>
              </w:rPr>
              <w:t>4、项目实施至竣工验收，成交供应商应安排设备安装调试人员驻采购单位。人员驻采购单位现场进行项目的实施及设备安装调试，进行项目实施管理；设备安装与调试过程所需一切工具、仪表等设备或工具以及产生的费用均由成交供应商自行负责。</w:t>
            </w:r>
          </w:p>
        </w:tc>
      </w:tr>
    </w:tbl>
    <w:p/>
    <w:p/>
    <w:p/>
    <w:p/>
    <w:p/>
    <w:p/>
    <w:p/>
    <w:p/>
    <w:p/>
    <w:p/>
    <w:p/>
    <w:p/>
    <w:p/>
    <w:p/>
    <w:p/>
    <w:p/>
    <w:p/>
    <w:p/>
    <w:p/>
    <w:p/>
    <w:p/>
    <w:p/>
    <w:p/>
    <w:p/>
    <w:p/>
    <w:p/>
    <w:p/>
    <w:p/>
    <w:p/>
    <w:p/>
    <w:p/>
    <w:p/>
    <w:p/>
    <w:p/>
    <w:p/>
    <w:p/>
    <w:p/>
    <w:p/>
    <w:p/>
    <w:p/>
    <w:p/>
    <w:p/>
    <w:p>
      <w:pPr>
        <w:jc w:val="both"/>
        <w:rPr>
          <w:rFonts w:ascii="宋体" w:hAnsi="宋体" w:cs="宋体"/>
          <w:b/>
          <w:sz w:val="36"/>
          <w:szCs w:val="36"/>
        </w:rPr>
      </w:pPr>
    </w:p>
    <w:p>
      <w:pPr>
        <w:snapToGrid w:val="0"/>
        <w:spacing w:before="156" w:beforeLines="50" w:after="156" w:afterLines="50" w:line="600" w:lineRule="exact"/>
        <w:ind w:left="238"/>
        <w:jc w:val="center"/>
        <w:outlineLvl w:val="0"/>
        <w:rPr>
          <w:rFonts w:ascii="宋体" w:hAnsi="宋体" w:cs="宋体"/>
          <w:b/>
          <w:sz w:val="36"/>
          <w:szCs w:val="36"/>
        </w:rP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pStyle w:val="36"/>
        <w:pBdr>
          <w:bottom w:val="none" w:color="auto" w:sz="0" w:space="0"/>
        </w:pBdr>
      </w:pPr>
    </w:p>
    <w:p>
      <w:pPr>
        <w:snapToGrid w:val="0"/>
        <w:spacing w:before="156" w:beforeLines="50" w:after="156" w:afterLines="50" w:line="600" w:lineRule="exact"/>
        <w:ind w:left="238"/>
        <w:jc w:val="center"/>
        <w:outlineLvl w:val="0"/>
        <w:rPr>
          <w:rFonts w:ascii="宋体" w:hAnsi="宋体" w:cs="宋体"/>
          <w:b/>
          <w:sz w:val="36"/>
          <w:szCs w:val="36"/>
        </w:rPr>
      </w:pPr>
      <w:bookmarkStart w:id="14" w:name="_Toc163469136"/>
      <w:r>
        <w:rPr>
          <w:rFonts w:hint="eastAsia" w:ascii="宋体" w:hAnsi="宋体" w:cs="宋体"/>
          <w:b/>
          <w:sz w:val="36"/>
          <w:szCs w:val="36"/>
        </w:rPr>
        <w:t>第三章 投标人须知</w:t>
      </w:r>
      <w:bookmarkEnd w:id="14"/>
    </w:p>
    <w:p>
      <w:pPr>
        <w:widowControl/>
        <w:spacing w:line="320" w:lineRule="exact"/>
        <w:jc w:val="center"/>
        <w:rPr>
          <w:rFonts w:ascii="宋体" w:hAnsi="宋体" w:cs="宋体"/>
          <w:b/>
          <w:bCs/>
          <w:kern w:val="0"/>
          <w:sz w:val="32"/>
          <w:szCs w:val="32"/>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tabs>
          <w:tab w:val="center" w:pos="4153"/>
          <w:tab w:val="left" w:pos="6795"/>
        </w:tabs>
        <w:snapToGrid w:val="0"/>
        <w:spacing w:line="600" w:lineRule="exact"/>
        <w:rPr>
          <w:rFonts w:ascii="宋体" w:hAnsi="宋体" w:cs="宋体"/>
          <w:b/>
          <w:sz w:val="32"/>
          <w:szCs w:val="32"/>
        </w:rPr>
        <w:sectPr>
          <w:headerReference r:id="rId8" w:type="first"/>
          <w:pgSz w:w="11906" w:h="16838"/>
          <w:pgMar w:top="1247" w:right="849" w:bottom="1247" w:left="1418" w:header="851" w:footer="992" w:gutter="0"/>
          <w:cols w:space="720" w:num="1"/>
          <w:titlePg/>
          <w:docGrid w:type="lines" w:linePitch="312" w:charSpace="0"/>
        </w:sectPr>
      </w:pPr>
    </w:p>
    <w:p>
      <w:pPr>
        <w:tabs>
          <w:tab w:val="center" w:pos="4153"/>
          <w:tab w:val="left" w:pos="6795"/>
        </w:tabs>
        <w:snapToGrid w:val="0"/>
        <w:spacing w:line="600" w:lineRule="exact"/>
        <w:jc w:val="center"/>
        <w:rPr>
          <w:rFonts w:ascii="宋体" w:hAnsi="宋体" w:cs="宋体"/>
          <w:b/>
          <w:sz w:val="32"/>
          <w:szCs w:val="32"/>
        </w:rPr>
      </w:pPr>
      <w:r>
        <w:rPr>
          <w:rFonts w:hint="eastAsia" w:ascii="宋体" w:hAnsi="宋体" w:cs="宋体"/>
          <w:b/>
          <w:sz w:val="32"/>
          <w:szCs w:val="32"/>
        </w:rPr>
        <w:t>投标人须知及前附表</w:t>
      </w:r>
    </w:p>
    <w:tbl>
      <w:tblPr>
        <w:tblStyle w:val="58"/>
        <w:tblW w:w="0" w:type="auto"/>
        <w:tblInd w:w="-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90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b/>
                <w:szCs w:val="21"/>
              </w:rPr>
            </w:pPr>
            <w:r>
              <w:rPr>
                <w:rFonts w:hint="eastAsia" w:ascii="宋体" w:hAnsi="宋体" w:cs="宋体"/>
                <w:b/>
                <w:szCs w:val="21"/>
              </w:rPr>
              <w:t>序号</w:t>
            </w:r>
          </w:p>
        </w:tc>
        <w:tc>
          <w:tcPr>
            <w:tcW w:w="907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b/>
                <w:szCs w:val="21"/>
              </w:rPr>
            </w:pPr>
            <w:r>
              <w:rPr>
                <w:rFonts w:hint="eastAsia" w:ascii="宋体" w:hAnsi="宋体" w:cs="宋体"/>
                <w:b/>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1</w:t>
            </w:r>
          </w:p>
        </w:tc>
        <w:tc>
          <w:tcPr>
            <w:tcW w:w="907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420" w:firstLineChars="200"/>
              <w:rPr>
                <w:rFonts w:hint="eastAsia" w:ascii="宋体" w:hAnsi="宋体" w:eastAsia="宋体" w:cs="宋体"/>
                <w:bCs/>
                <w:szCs w:val="21"/>
                <w:lang w:eastAsia="zh-CN"/>
              </w:rPr>
            </w:pPr>
            <w:r>
              <w:rPr>
                <w:rFonts w:hint="eastAsia" w:ascii="宋体" w:hAnsi="宋体" w:cs="宋体"/>
                <w:szCs w:val="21"/>
              </w:rPr>
              <w:t>项目名称：</w:t>
            </w:r>
            <w:r>
              <w:rPr>
                <w:rFonts w:hint="eastAsia" w:ascii="宋体" w:hAnsi="宋体" w:cs="宋体"/>
                <w:szCs w:val="21"/>
                <w:lang w:eastAsia="zh-CN"/>
              </w:rPr>
              <w:t>教学设备公开招标采购</w:t>
            </w:r>
          </w:p>
          <w:p>
            <w:pPr>
              <w:snapToGrid w:val="0"/>
              <w:spacing w:line="240" w:lineRule="exact"/>
              <w:ind w:firstLine="420" w:firstLineChars="200"/>
              <w:rPr>
                <w:rFonts w:ascii="宋体" w:hAnsi="宋体" w:cs="宋体"/>
                <w:szCs w:val="21"/>
              </w:rPr>
            </w:pPr>
            <w:r>
              <w:rPr>
                <w:rFonts w:hint="eastAsia" w:ascii="宋体" w:hAnsi="宋体" w:cs="宋体"/>
                <w:bCs/>
                <w:szCs w:val="21"/>
              </w:rPr>
              <w:t>项目编号：</w:t>
            </w:r>
            <w:r>
              <w:rPr>
                <w:rFonts w:hint="eastAsia" w:ascii="宋体" w:hAnsi="宋体" w:cs="宋体"/>
                <w:bCs/>
                <w:szCs w:val="21"/>
                <w:lang w:eastAsia="zh-CN"/>
              </w:rPr>
              <w:t>BHZC2024-</w:t>
            </w:r>
            <w:r>
              <w:rPr>
                <w:rFonts w:hint="eastAsia" w:ascii="宋体" w:hAnsi="宋体" w:cs="宋体"/>
                <w:bCs/>
                <w:szCs w:val="21"/>
                <w:lang w:val="en-US" w:eastAsia="zh-CN"/>
              </w:rPr>
              <w:t>G1</w:t>
            </w:r>
            <w:r>
              <w:rPr>
                <w:rFonts w:hint="eastAsia" w:ascii="宋体" w:hAnsi="宋体" w:cs="宋体"/>
                <w:bCs/>
                <w:szCs w:val="21"/>
                <w:lang w:eastAsia="zh-CN"/>
              </w:rPr>
              <w:t>-0000</w:t>
            </w:r>
            <w:r>
              <w:rPr>
                <w:rFonts w:hint="eastAsia" w:ascii="宋体" w:hAnsi="宋体" w:cs="宋体"/>
                <w:bCs/>
                <w:szCs w:val="21"/>
                <w:lang w:val="en-US" w:eastAsia="zh-CN"/>
              </w:rPr>
              <w:t>1</w:t>
            </w:r>
            <w:r>
              <w:rPr>
                <w:rFonts w:hint="eastAsia" w:ascii="宋体" w:hAnsi="宋体" w:cs="宋体"/>
                <w:bCs/>
                <w:szCs w:val="21"/>
                <w:lang w:eastAsia="zh-CN"/>
              </w:rPr>
              <w:t>-</w:t>
            </w:r>
            <w:r>
              <w:rPr>
                <w:rFonts w:hint="eastAsia" w:ascii="宋体" w:hAnsi="宋体" w:cs="宋体"/>
                <w:bCs/>
                <w:szCs w:val="21"/>
                <w:lang w:val="en-US" w:eastAsia="zh-CN"/>
              </w:rPr>
              <w:t>BTZC</w:t>
            </w:r>
            <w:r>
              <w:rPr>
                <w:rFonts w:hint="eastAsia" w:ascii="宋体" w:hAnsi="宋体" w:cs="宋体"/>
                <w:bCs/>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2</w:t>
            </w:r>
          </w:p>
        </w:tc>
        <w:tc>
          <w:tcPr>
            <w:tcW w:w="9073"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ind w:firstLine="420" w:firstLineChars="200"/>
              <w:rPr>
                <w:rFonts w:ascii="宋体" w:hAnsi="宋体" w:cs="宋体"/>
                <w:szCs w:val="21"/>
              </w:rPr>
            </w:pPr>
            <w:r>
              <w:rPr>
                <w:rFonts w:hint="eastAsia" w:ascii="宋体" w:hAnsi="宋体" w:cs="宋体"/>
                <w:szCs w:val="21"/>
              </w:rPr>
              <w:t>投标人的法定代表人（负责人）为同一人或者存在直接控股、管理关系的不同供应商，不得参加同一合同项下的政府采购活动。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3</w:t>
            </w:r>
          </w:p>
        </w:tc>
        <w:tc>
          <w:tcPr>
            <w:tcW w:w="9073"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ind w:firstLine="421" w:firstLineChars="200"/>
              <w:rPr>
                <w:rFonts w:ascii="宋体" w:hAnsi="宋体" w:cs="宋体"/>
                <w:szCs w:val="21"/>
              </w:rPr>
            </w:pPr>
            <w:r>
              <w:rPr>
                <w:rFonts w:hint="eastAsia" w:ascii="宋体" w:hAnsi="宋体" w:cs="宋体"/>
                <w:b/>
                <w:szCs w:val="21"/>
              </w:rPr>
              <w:t>投标报价及费用：</w:t>
            </w:r>
            <w:r>
              <w:rPr>
                <w:rFonts w:hint="eastAsia" w:ascii="宋体" w:hAnsi="宋体" w:cs="宋体"/>
                <w:szCs w:val="21"/>
              </w:rPr>
              <w:t>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4</w:t>
            </w:r>
          </w:p>
        </w:tc>
        <w:tc>
          <w:tcPr>
            <w:tcW w:w="907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421" w:firstLineChars="200"/>
              <w:rPr>
                <w:rFonts w:ascii="宋体" w:hAnsi="宋体" w:cs="宋体"/>
                <w:szCs w:val="21"/>
              </w:rPr>
            </w:pPr>
            <w:r>
              <w:rPr>
                <w:rFonts w:hint="eastAsia" w:ascii="宋体" w:hAnsi="宋体" w:cs="宋体"/>
                <w:b/>
                <w:szCs w:val="21"/>
              </w:rPr>
              <w:t>投标保证金</w:t>
            </w:r>
            <w:r>
              <w:rPr>
                <w:rFonts w:hint="eastAsia" w:ascii="宋体" w:hAnsi="宋体" w:cs="宋体"/>
                <w:szCs w:val="21"/>
              </w:rPr>
              <w:t>：</w:t>
            </w:r>
          </w:p>
          <w:p>
            <w:pPr>
              <w:snapToGrid w:val="0"/>
              <w:spacing w:line="240" w:lineRule="exact"/>
              <w:ind w:firstLine="420" w:firstLineChars="200"/>
              <w:rPr>
                <w:rFonts w:ascii="宋体" w:hAnsi="宋体" w:cs="宋体"/>
                <w:szCs w:val="21"/>
              </w:rPr>
            </w:pPr>
            <w:r>
              <w:rPr>
                <w:rFonts w:hint="eastAsia" w:ascii="宋体" w:hAnsi="宋体" w:cs="宋体"/>
                <w:szCs w:val="21"/>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5</w:t>
            </w:r>
          </w:p>
        </w:tc>
        <w:tc>
          <w:tcPr>
            <w:tcW w:w="9073"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ind w:firstLine="421" w:firstLineChars="200"/>
              <w:rPr>
                <w:rFonts w:ascii="宋体" w:hAnsi="宋体" w:cs="宋体"/>
                <w:b/>
                <w:bCs/>
                <w:szCs w:val="21"/>
              </w:rPr>
            </w:pPr>
            <w:r>
              <w:rPr>
                <w:rFonts w:hint="eastAsia" w:ascii="宋体" w:hAnsi="宋体" w:cs="宋体"/>
                <w:b/>
                <w:bCs/>
                <w:szCs w:val="21"/>
              </w:rPr>
              <w:t>分包：</w:t>
            </w:r>
          </w:p>
          <w:p>
            <w:pPr>
              <w:snapToGrid w:val="0"/>
              <w:spacing w:line="260" w:lineRule="exact"/>
              <w:ind w:firstLine="420" w:firstLineChars="200"/>
              <w:rPr>
                <w:rFonts w:ascii="宋体" w:hAnsi="宋体" w:cs="宋体"/>
                <w:szCs w:val="21"/>
              </w:rPr>
            </w:pPr>
            <w:r>
              <w:rPr>
                <w:rFonts w:hint="eastAsia" w:ascii="宋体" w:hAnsi="宋体" w:cs="宋体"/>
                <w:szCs w:val="21"/>
              </w:rPr>
              <w:sym w:font="Wingdings" w:char="00A8"/>
            </w:r>
            <w:r>
              <w:rPr>
                <w:rFonts w:hint="eastAsia" w:ascii="宋体" w:hAnsi="宋体" w:cs="宋体"/>
                <w:szCs w:val="21"/>
              </w:rPr>
              <w:t>A同意将非主体、非关键性的工作分包。</w:t>
            </w:r>
          </w:p>
          <w:p>
            <w:pPr>
              <w:snapToGrid w:val="0"/>
              <w:spacing w:line="260" w:lineRule="exact"/>
              <w:ind w:firstLine="420" w:firstLineChars="200"/>
              <w:rPr>
                <w:rFonts w:ascii="宋体" w:hAnsi="宋体" w:cs="宋体"/>
                <w:sz w:val="24"/>
              </w:rPr>
            </w:pPr>
            <w:r>
              <w:rPr>
                <w:rFonts w:hint="eastAsia" w:ascii="宋体" w:hAnsi="宋体" w:cs="宋体"/>
                <w:szCs w:val="21"/>
              </w:rPr>
              <w:sym w:font="Wingdings" w:char="00FE"/>
            </w:r>
            <w:r>
              <w:rPr>
                <w:rFonts w:hint="eastAsia" w:ascii="宋体" w:hAnsi="宋体" w:cs="宋体"/>
                <w:szCs w:val="21"/>
              </w:rPr>
              <w:t>B不同意分包。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6"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6</w:t>
            </w:r>
          </w:p>
        </w:tc>
        <w:tc>
          <w:tcPr>
            <w:tcW w:w="90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firstLine="421" w:firstLineChars="200"/>
              <w:rPr>
                <w:rFonts w:ascii="宋体" w:hAnsi="宋体" w:cs="宋体"/>
                <w:szCs w:val="21"/>
              </w:rPr>
            </w:pPr>
            <w:r>
              <w:rPr>
                <w:rFonts w:hint="eastAsia" w:ascii="宋体" w:hAnsi="宋体" w:cs="宋体"/>
                <w:b/>
                <w:bCs/>
                <w:szCs w:val="21"/>
              </w:rPr>
              <w:t>答疑、澄清：</w:t>
            </w:r>
            <w:r>
              <w:rPr>
                <w:rFonts w:hint="eastAsia" w:ascii="宋体" w:hAnsi="宋体" w:cs="宋体"/>
              </w:rPr>
              <w:t>投标人要认真</w:t>
            </w:r>
            <w:r>
              <w:rPr>
                <w:rFonts w:hint="eastAsia" w:ascii="宋体" w:hAnsi="宋体" w:cs="宋体"/>
                <w:szCs w:val="21"/>
              </w:rPr>
              <w:t>阅读招标文件，仔细审核《项目需求和说明》中的要求，如发现有误或要求不合理的，投标人必须在收到招标文件之日起七个工作日书面向本中心要求答疑或澄清，在此后时间提出的答疑或澄清，视为无效。</w:t>
            </w:r>
          </w:p>
          <w:p>
            <w:pPr>
              <w:snapToGrid w:val="0"/>
              <w:spacing w:line="320" w:lineRule="exact"/>
              <w:ind w:firstLine="420" w:firstLineChars="200"/>
              <w:rPr>
                <w:rFonts w:ascii="宋体" w:hAnsi="宋体" w:cs="宋体"/>
                <w:szCs w:val="21"/>
              </w:rPr>
            </w:pPr>
            <w:r>
              <w:rPr>
                <w:rFonts w:hint="eastAsia" w:ascii="宋体" w:hAnsi="宋体" w:cs="宋体"/>
                <w:szCs w:val="21"/>
              </w:rPr>
              <w:t>是否组织开标前答疑会或现场考察：</w:t>
            </w:r>
          </w:p>
          <w:p>
            <w:pPr>
              <w:snapToGrid w:val="0"/>
              <w:spacing w:line="320" w:lineRule="exact"/>
              <w:ind w:firstLine="420" w:firstLineChars="200"/>
              <w:rPr>
                <w:rFonts w:ascii="宋体" w:hAnsi="宋体" w:cs="宋体"/>
                <w:szCs w:val="21"/>
              </w:rPr>
            </w:pPr>
            <w:r>
              <w:rPr>
                <w:rFonts w:hint="eastAsia" w:ascii="宋体" w:hAnsi="宋体" w:cs="宋体"/>
                <w:szCs w:val="21"/>
              </w:rPr>
              <w:sym w:font="Wingdings" w:char="00FE"/>
            </w:r>
            <w:r>
              <w:rPr>
                <w:rFonts w:hint="eastAsia" w:ascii="宋体" w:hAnsi="宋体" w:cs="宋体"/>
                <w:szCs w:val="21"/>
              </w:rPr>
              <w:t>不组织。</w:t>
            </w:r>
          </w:p>
          <w:p>
            <w:pPr>
              <w:snapToGrid w:val="0"/>
              <w:spacing w:line="320" w:lineRule="exact"/>
              <w:ind w:firstLine="420" w:firstLineChars="200"/>
              <w:rPr>
                <w:rFonts w:ascii="宋体" w:hAnsi="宋体" w:cs="宋体"/>
                <w:szCs w:val="21"/>
              </w:rPr>
            </w:pPr>
            <w:r>
              <w:rPr>
                <w:rFonts w:hint="eastAsia" w:ascii="宋体" w:hAnsi="宋体" w:cs="宋体"/>
                <w:szCs w:val="21"/>
              </w:rPr>
              <w:sym w:font="Wingdings" w:char="00A8"/>
            </w:r>
            <w:r>
              <w:rPr>
                <w:rFonts w:hint="eastAsia" w:ascii="宋体" w:hAnsi="宋体" w:cs="宋体"/>
                <w:szCs w:val="21"/>
              </w:rPr>
              <w:t>组织，时间：,地点：，联系人：，联系方式：。</w:t>
            </w:r>
          </w:p>
          <w:p>
            <w:pPr>
              <w:snapToGrid w:val="0"/>
              <w:spacing w:line="320" w:lineRule="exact"/>
              <w:ind w:firstLine="421" w:firstLineChars="200"/>
              <w:rPr>
                <w:rFonts w:ascii="宋体" w:hAnsi="宋体" w:cs="宋体"/>
                <w:szCs w:val="21"/>
              </w:rPr>
            </w:pPr>
            <w:r>
              <w:rPr>
                <w:rFonts w:hint="eastAsia" w:ascii="宋体" w:hAnsi="宋体" w:cs="宋体"/>
                <w:b/>
                <w:bCs/>
                <w:szCs w:val="21"/>
              </w:rPr>
              <w:t>询问、质疑</w:t>
            </w:r>
            <w:r>
              <w:rPr>
                <w:rFonts w:hint="eastAsia" w:ascii="宋体" w:hAnsi="宋体" w:cs="宋体"/>
                <w:szCs w:val="21"/>
              </w:rPr>
              <w:t>：投标人如认为招标文件存在歧视性、排他性或者其他违法内容的，按投标人须知“一、总则</w:t>
            </w:r>
            <w:r>
              <w:rPr>
                <w:rFonts w:hint="eastAsia" w:hAnsi="宋体" w:cs="宋体"/>
                <w:b/>
              </w:rPr>
              <w:t>（九）询问、质疑和投诉</w:t>
            </w:r>
            <w:r>
              <w:rPr>
                <w:rFonts w:hint="eastAsia" w:ascii="宋体" w:hAnsi="宋体" w:cs="宋体"/>
                <w:szCs w:val="21"/>
              </w:rPr>
              <w:t>”中的要求向本中心或采购人提出书面询问、质疑。</w:t>
            </w:r>
          </w:p>
          <w:p>
            <w:pPr>
              <w:snapToGrid w:val="0"/>
              <w:spacing w:line="320" w:lineRule="exact"/>
              <w:ind w:firstLine="421" w:firstLineChars="200"/>
              <w:rPr>
                <w:rFonts w:ascii="宋体" w:hAnsi="宋体" w:cs="宋体"/>
                <w:b/>
                <w:szCs w:val="21"/>
              </w:rPr>
            </w:pPr>
            <w:r>
              <w:rPr>
                <w:rFonts w:hint="eastAsia" w:ascii="宋体" w:hAnsi="宋体" w:cs="宋体"/>
                <w:b/>
                <w:szCs w:val="21"/>
              </w:rPr>
              <w:t>供应商可通过</w:t>
            </w:r>
            <w:r>
              <w:rPr>
                <w:rFonts w:ascii="宋体" w:hAnsi="宋体" w:cs="宋体"/>
                <w:b/>
                <w:szCs w:val="21"/>
              </w:rPr>
              <w:t>广西政府采购云平台</w:t>
            </w:r>
            <w:r>
              <w:rPr>
                <w:rFonts w:hint="eastAsia" w:ascii="宋体" w:hAnsi="宋体" w:cs="宋体"/>
                <w:b/>
                <w:szCs w:val="21"/>
              </w:rPr>
              <w:t>进入“项目采购-询问质疑投诉”栏目在线提起询问、质疑。</w:t>
            </w:r>
          </w:p>
          <w:p>
            <w:pPr>
              <w:snapToGrid w:val="0"/>
              <w:spacing w:line="320" w:lineRule="exact"/>
              <w:ind w:firstLine="420" w:firstLineChars="200"/>
              <w:rPr>
                <w:rFonts w:ascii="宋体" w:hAnsi="宋体" w:cs="宋体"/>
                <w:szCs w:val="21"/>
              </w:rPr>
            </w:pPr>
            <w:r>
              <w:rPr>
                <w:rFonts w:hint="eastAsia" w:ascii="宋体" w:hAnsi="宋体" w:cs="宋体"/>
                <w:szCs w:val="21"/>
              </w:rPr>
              <w:t>采购人或者采购代理机构可以对已发出的招标文件进行必要的澄清或者修改。澄清或者修改的内容可能影响投标文件编制的，采购人或者采购代理机构应当在投标截止时间至少十五日前，以书面形式通知所有获取招标文件的潜在投标人；不足十五日的，采购人或者采购代理机构应当顺延提交投标文件的截止时间。澄清或者修改的内容为招标文件的组成部分。本中心将变更内容书面通知所有招标文件收受人，并在财政部门指定的政府采购信息发布媒体上发布变更公告（详细见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2"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7</w:t>
            </w:r>
          </w:p>
        </w:tc>
        <w:tc>
          <w:tcPr>
            <w:tcW w:w="90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firstLine="421" w:firstLineChars="200"/>
              <w:rPr>
                <w:rFonts w:ascii="宋体" w:hAnsi="宋体" w:cs="宋体"/>
                <w:b/>
                <w:szCs w:val="21"/>
              </w:rPr>
            </w:pPr>
            <w:r>
              <w:rPr>
                <w:rFonts w:hint="eastAsia" w:ascii="宋体" w:hAnsi="宋体" w:cs="宋体"/>
                <w:b/>
                <w:szCs w:val="21"/>
              </w:rPr>
              <w:t>投标前准备：</w:t>
            </w:r>
          </w:p>
          <w:p>
            <w:pPr>
              <w:snapToGrid w:val="0"/>
              <w:spacing w:line="320" w:lineRule="exact"/>
              <w:ind w:firstLine="420" w:firstLineChars="200"/>
              <w:rPr>
                <w:rFonts w:ascii="宋体" w:hAnsi="宋体" w:cs="宋体"/>
                <w:szCs w:val="21"/>
              </w:rPr>
            </w:pPr>
            <w:r>
              <w:rPr>
                <w:rFonts w:hint="eastAsia" w:ascii="宋体" w:hAnsi="宋体" w:cs="宋体"/>
                <w:szCs w:val="21"/>
              </w:rPr>
              <w:t>1.本项目实行网上投标，采用电子投标文件。若供应商参与投标，自行承担投标一切费用。</w:t>
            </w:r>
          </w:p>
          <w:p>
            <w:pPr>
              <w:snapToGrid w:val="0"/>
              <w:spacing w:line="320" w:lineRule="exact"/>
              <w:ind w:firstLine="420" w:firstLineChars="200"/>
              <w:rPr>
                <w:rFonts w:ascii="宋体" w:hAnsi="宋体" w:cs="宋体"/>
                <w:szCs w:val="21"/>
              </w:rPr>
            </w:pPr>
            <w:r>
              <w:rPr>
                <w:rFonts w:hint="eastAsia" w:ascii="宋体" w:hAnsi="宋体" w:cs="宋体"/>
                <w:szCs w:val="21"/>
              </w:rPr>
              <w:t>2.各供应商应在截标前应确保成为</w:t>
            </w:r>
            <w:r>
              <w:rPr>
                <w:rFonts w:ascii="宋体" w:hAnsi="宋体" w:cs="宋体"/>
                <w:szCs w:val="21"/>
              </w:rPr>
              <w:t>广西政府采购云</w:t>
            </w:r>
            <w:r>
              <w:rPr>
                <w:rFonts w:hint="eastAsia" w:ascii="宋体" w:hAnsi="宋体" w:cs="宋体"/>
                <w:szCs w:val="21"/>
              </w:rPr>
              <w:t>平台正式注册供应商，并完成CA数字证书申领。因未注册入库、未办理CA数字证书等原因造成无法投标或投标失败等后果由供应商自行承担。</w:t>
            </w:r>
          </w:p>
          <w:p>
            <w:pPr>
              <w:spacing w:line="320" w:lineRule="exact"/>
              <w:ind w:firstLine="421" w:firstLineChars="200"/>
              <w:jc w:val="left"/>
              <w:rPr>
                <w:rFonts w:ascii="宋体" w:hAnsi="宋体" w:cs="宋体"/>
                <w:b/>
                <w:szCs w:val="21"/>
              </w:rPr>
            </w:pPr>
            <w:r>
              <w:rPr>
                <w:rFonts w:hint="eastAsia" w:ascii="宋体" w:hAnsi="宋体" w:cs="宋体"/>
                <w:b/>
                <w:szCs w:val="21"/>
              </w:rPr>
              <w:t>3.</w:t>
            </w:r>
            <w:r>
              <w:rPr>
                <w:rFonts w:hint="eastAsia" w:hAnsi="宋体" w:cs="宋体"/>
                <w:b/>
                <w:szCs w:val="21"/>
              </w:rPr>
              <w:t>各供应商通过新平台（</w:t>
            </w:r>
            <w:r>
              <w:rPr>
                <w:rFonts w:hint="eastAsia" w:ascii="宋体" w:hAnsi="宋体" w:cs="宋体"/>
                <w:b/>
                <w:szCs w:val="21"/>
              </w:rPr>
              <w:t>广西政府采购云平台</w:t>
            </w:r>
            <w:r>
              <w:rPr>
                <w:rFonts w:hint="eastAsia" w:hAnsi="宋体" w:cs="宋体"/>
                <w:b/>
                <w:szCs w:val="21"/>
              </w:rPr>
              <w:t>）参与政府采购项目投标需下载使用新版客户端（</w:t>
            </w:r>
            <w:r>
              <w:rPr>
                <w:rFonts w:ascii="宋体" w:hAnsi="宋体" w:cs="宋体"/>
                <w:b/>
                <w:szCs w:val="21"/>
              </w:rPr>
              <w:t>广西政府采购云平台客户端</w:t>
            </w:r>
            <w:r>
              <w:rPr>
                <w:rFonts w:hint="eastAsia" w:hAnsi="宋体" w:cs="宋体"/>
                <w:b/>
                <w:szCs w:val="21"/>
              </w:rPr>
              <w:t>），新版客户端下载路径：广西政府采购网（访问地址http://zfcg.gxzf.gov.cn/）—办事服务—下载专区。原在政采云平台注册的临时供应商需在新平台启用后重新注册登记。</w:t>
            </w:r>
          </w:p>
          <w:p>
            <w:pPr>
              <w:autoSpaceDE w:val="0"/>
              <w:autoSpaceDN w:val="0"/>
              <w:snapToGrid w:val="0"/>
              <w:spacing w:line="260" w:lineRule="exact"/>
              <w:ind w:firstLine="420" w:firstLineChars="200"/>
              <w:textAlignment w:val="bottom"/>
              <w:rPr>
                <w:rFonts w:ascii="宋体" w:hAnsi="宋体" w:cs="宋体"/>
                <w:szCs w:val="21"/>
              </w:rPr>
            </w:pPr>
            <w:r>
              <w:rPr>
                <w:rFonts w:hint="eastAsia" w:ascii="宋体" w:hAnsi="宋体" w:cs="宋体"/>
                <w:szCs w:val="21"/>
              </w:rPr>
              <w:t>4.供应商将</w:t>
            </w:r>
            <w:r>
              <w:rPr>
                <w:rFonts w:ascii="宋体" w:hAnsi="宋体" w:cs="宋体"/>
                <w:szCs w:val="21"/>
              </w:rPr>
              <w:t>广西政府采购云平台客户端</w:t>
            </w:r>
            <w:r>
              <w:rPr>
                <w:rFonts w:hint="eastAsia" w:ascii="宋体" w:hAnsi="宋体" w:cs="宋体"/>
                <w:szCs w:val="21"/>
              </w:rPr>
              <w:t>下载、安装完成后，可通过账号密码或CA登录客户端进行投标文件制作，如有问题可拨打</w:t>
            </w:r>
            <w:r>
              <w:rPr>
                <w:rFonts w:ascii="宋体" w:hAnsi="宋体" w:cs="宋体"/>
                <w:szCs w:val="21"/>
              </w:rPr>
              <w:t>广西政府采购云平台</w:t>
            </w:r>
            <w:r>
              <w:rPr>
                <w:rFonts w:hint="eastAsia" w:ascii="宋体" w:hAnsi="宋体" w:cs="宋体"/>
                <w:szCs w:val="21"/>
              </w:rPr>
              <w:t>客户服务热线95763进行咨询。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8</w:t>
            </w:r>
          </w:p>
        </w:tc>
        <w:tc>
          <w:tcPr>
            <w:tcW w:w="907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60" w:lineRule="exact"/>
              <w:ind w:firstLine="421" w:firstLineChars="200"/>
              <w:textAlignment w:val="bottom"/>
              <w:rPr>
                <w:rFonts w:ascii="宋体" w:hAnsi="宋体" w:cs="宋体"/>
                <w:b/>
                <w:bCs/>
                <w:szCs w:val="21"/>
              </w:rPr>
            </w:pPr>
            <w:r>
              <w:rPr>
                <w:rFonts w:hint="eastAsia" w:ascii="宋体" w:hAnsi="宋体" w:cs="宋体"/>
                <w:b/>
                <w:bCs/>
                <w:szCs w:val="21"/>
              </w:rPr>
              <w:t>样品提供：</w:t>
            </w:r>
          </w:p>
          <w:p>
            <w:pPr>
              <w:autoSpaceDE w:val="0"/>
              <w:autoSpaceDN w:val="0"/>
              <w:snapToGrid w:val="0"/>
              <w:spacing w:line="260" w:lineRule="exact"/>
              <w:ind w:firstLine="420" w:firstLineChars="200"/>
              <w:textAlignment w:val="bottom"/>
              <w:rPr>
                <w:rFonts w:ascii="宋体" w:hAnsi="宋体" w:cs="宋体"/>
                <w:szCs w:val="21"/>
              </w:rPr>
            </w:pPr>
            <w:r>
              <w:rPr>
                <w:rFonts w:hint="eastAsia" w:ascii="宋体" w:hAnsi="宋体" w:cs="宋体"/>
                <w:szCs w:val="21"/>
              </w:rPr>
              <w:sym w:font="Wingdings" w:char="F0FE"/>
            </w:r>
            <w:r>
              <w:rPr>
                <w:rFonts w:hint="eastAsia" w:ascii="宋体" w:hAnsi="宋体" w:cs="宋体"/>
                <w:szCs w:val="21"/>
              </w:rPr>
              <w:t>不要求提供。</w:t>
            </w:r>
          </w:p>
          <w:p>
            <w:pPr>
              <w:autoSpaceDE w:val="0"/>
              <w:autoSpaceDN w:val="0"/>
              <w:snapToGrid w:val="0"/>
              <w:spacing w:line="260" w:lineRule="exact"/>
              <w:ind w:firstLine="420" w:firstLineChars="200"/>
              <w:textAlignment w:val="bottom"/>
              <w:rPr>
                <w:rFonts w:ascii="宋体" w:hAnsi="宋体" w:cs="宋体"/>
                <w:szCs w:val="21"/>
              </w:rPr>
            </w:pPr>
            <w:r>
              <w:rPr>
                <w:rFonts w:hint="eastAsia" w:ascii="宋体" w:hAnsi="宋体" w:cs="宋体"/>
                <w:szCs w:val="21"/>
              </w:rPr>
              <w:sym w:font="Wingdings" w:char="00A8"/>
            </w:r>
            <w:r>
              <w:rPr>
                <w:rFonts w:hint="eastAsia" w:ascii="宋体" w:hAnsi="宋体" w:cs="宋体"/>
                <w:szCs w:val="21"/>
              </w:rPr>
              <w:t>要求提供，</w:t>
            </w:r>
          </w:p>
          <w:p>
            <w:pPr>
              <w:autoSpaceDE w:val="0"/>
              <w:autoSpaceDN w:val="0"/>
              <w:snapToGrid w:val="0"/>
              <w:spacing w:line="260" w:lineRule="exact"/>
              <w:ind w:firstLine="420" w:firstLineChars="200"/>
              <w:textAlignment w:val="bottom"/>
              <w:rPr>
                <w:rFonts w:ascii="宋体" w:hAnsi="宋体" w:cs="宋体"/>
                <w:szCs w:val="21"/>
              </w:rPr>
            </w:pPr>
            <w:r>
              <w:rPr>
                <w:rFonts w:hint="eastAsia" w:ascii="宋体" w:hAnsi="宋体" w:cs="宋体"/>
                <w:szCs w:val="21"/>
              </w:rPr>
              <w:t>（1）样品：；</w:t>
            </w:r>
          </w:p>
          <w:p>
            <w:pPr>
              <w:autoSpaceDE w:val="0"/>
              <w:autoSpaceDN w:val="0"/>
              <w:snapToGrid w:val="0"/>
              <w:spacing w:line="260" w:lineRule="exact"/>
              <w:ind w:firstLine="420" w:firstLineChars="200"/>
              <w:textAlignment w:val="bottom"/>
              <w:rPr>
                <w:rFonts w:ascii="宋体" w:hAnsi="宋体" w:cs="宋体"/>
                <w:szCs w:val="21"/>
              </w:rPr>
            </w:pPr>
            <w:r>
              <w:rPr>
                <w:rFonts w:hint="eastAsia" w:ascii="宋体" w:hAnsi="宋体" w:cs="宋体"/>
                <w:szCs w:val="21"/>
              </w:rPr>
              <w:t>（2）样品制作的标准和要求：；</w:t>
            </w:r>
          </w:p>
          <w:p>
            <w:pPr>
              <w:autoSpaceDE w:val="0"/>
              <w:autoSpaceDN w:val="0"/>
              <w:snapToGrid w:val="0"/>
              <w:spacing w:line="260" w:lineRule="exact"/>
              <w:ind w:firstLine="420" w:firstLineChars="200"/>
              <w:textAlignment w:val="bottom"/>
              <w:rPr>
                <w:rFonts w:ascii="宋体" w:hAnsi="宋体" w:cs="宋体"/>
                <w:szCs w:val="21"/>
              </w:rPr>
            </w:pPr>
            <w:r>
              <w:rPr>
                <w:rFonts w:hint="eastAsia" w:ascii="宋体" w:hAnsi="宋体" w:cs="宋体"/>
                <w:szCs w:val="21"/>
              </w:rPr>
              <w:t>（3）样品的评审方法以及评审标准：详见评标办法；</w:t>
            </w:r>
          </w:p>
          <w:p>
            <w:pPr>
              <w:autoSpaceDE w:val="0"/>
              <w:autoSpaceDN w:val="0"/>
              <w:snapToGrid w:val="0"/>
              <w:spacing w:line="260" w:lineRule="exact"/>
              <w:ind w:firstLine="420" w:firstLineChars="200"/>
              <w:textAlignment w:val="bottom"/>
              <w:rPr>
                <w:rFonts w:ascii="宋体" w:hAnsi="宋体" w:cs="宋体"/>
                <w:szCs w:val="21"/>
              </w:rPr>
            </w:pPr>
            <w:r>
              <w:rPr>
                <w:rFonts w:hint="eastAsia" w:ascii="宋体" w:hAnsi="宋体" w:cs="宋体"/>
                <w:szCs w:val="21"/>
              </w:rPr>
              <w:t>（4）是否需要随样品提交检测报告：</w:t>
            </w:r>
            <w:r>
              <w:rPr>
                <w:rFonts w:hint="eastAsia" w:ascii="宋体" w:hAnsi="宋体" w:cs="宋体"/>
                <w:szCs w:val="21"/>
              </w:rPr>
              <w:sym w:font="Wingdings" w:char="F0FE"/>
            </w:r>
            <w:r>
              <w:rPr>
                <w:rFonts w:hint="eastAsia" w:ascii="宋体" w:hAnsi="宋体" w:cs="宋体"/>
                <w:szCs w:val="21"/>
              </w:rPr>
              <w:t>否；☐是，检测机构的要求：；检测内容：。</w:t>
            </w:r>
          </w:p>
          <w:p>
            <w:pPr>
              <w:autoSpaceDE w:val="0"/>
              <w:autoSpaceDN w:val="0"/>
              <w:snapToGrid w:val="0"/>
              <w:spacing w:line="260" w:lineRule="exact"/>
              <w:ind w:firstLine="420" w:firstLineChars="200"/>
              <w:textAlignment w:val="bottom"/>
              <w:rPr>
                <w:rFonts w:ascii="宋体" w:hAnsi="宋体" w:cs="宋体"/>
                <w:szCs w:val="21"/>
              </w:rPr>
            </w:pPr>
            <w:r>
              <w:rPr>
                <w:rFonts w:hint="eastAsia" w:ascii="宋体" w:hAnsi="宋体" w:cs="宋体"/>
                <w:szCs w:val="21"/>
              </w:rPr>
              <w:t>（5）提供样品的时间：；地点：；联系人：，联系电话：。请投标人在上述时间内提供样品并按规定位置安装完毕。超过截止时间的，采购人或采购代理机构将不予接收，并将清场并封闭样品现场。</w:t>
            </w:r>
          </w:p>
          <w:p>
            <w:pPr>
              <w:autoSpaceDE w:val="0"/>
              <w:autoSpaceDN w:val="0"/>
              <w:snapToGrid w:val="0"/>
              <w:spacing w:line="260" w:lineRule="exact"/>
              <w:ind w:firstLine="420" w:firstLineChars="200"/>
              <w:textAlignment w:val="bottom"/>
              <w:rPr>
                <w:rFonts w:ascii="宋体" w:hAnsi="宋体" w:cs="宋体"/>
                <w:szCs w:val="21"/>
              </w:rPr>
            </w:pPr>
            <w:r>
              <w:rPr>
                <w:rFonts w:hint="eastAsia" w:ascii="宋体" w:hAnsi="宋体" w:cs="宋体"/>
                <w:szCs w:val="21"/>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autoSpaceDE w:val="0"/>
              <w:autoSpaceDN w:val="0"/>
              <w:snapToGrid w:val="0"/>
              <w:spacing w:line="260" w:lineRule="exact"/>
              <w:ind w:firstLine="420" w:firstLineChars="200"/>
              <w:textAlignment w:val="bottom"/>
              <w:rPr>
                <w:rFonts w:ascii="宋体" w:hAnsi="宋体" w:cs="宋体"/>
                <w:szCs w:val="21"/>
              </w:rPr>
            </w:pPr>
            <w:r>
              <w:rPr>
                <w:rFonts w:hint="eastAsia" w:ascii="宋体" w:hAnsi="宋体" w:cs="宋体"/>
                <w:szCs w:val="21"/>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9</w:t>
            </w:r>
          </w:p>
        </w:tc>
        <w:tc>
          <w:tcPr>
            <w:tcW w:w="907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60" w:lineRule="exact"/>
              <w:ind w:firstLine="421" w:firstLineChars="200"/>
              <w:textAlignment w:val="bottom"/>
              <w:rPr>
                <w:rFonts w:ascii="宋体" w:hAnsi="宋体" w:cs="宋体"/>
                <w:szCs w:val="21"/>
              </w:rPr>
            </w:pPr>
            <w:r>
              <w:rPr>
                <w:rFonts w:hint="eastAsia" w:ascii="宋体" w:hAnsi="宋体" w:cs="宋体"/>
                <w:b/>
                <w:szCs w:val="21"/>
              </w:rPr>
              <w:t>供应商应准备电子投标文件：</w:t>
            </w:r>
            <w:r>
              <w:rPr>
                <w:rFonts w:hint="eastAsia" w:ascii="宋体" w:hAnsi="宋体" w:cs="宋体"/>
                <w:bCs/>
                <w:szCs w:val="21"/>
              </w:rPr>
              <w:t>电子投标文件按</w:t>
            </w:r>
            <w:r>
              <w:rPr>
                <w:rFonts w:hint="eastAsia" w:ascii="宋体" w:hAnsi="宋体" w:cs="宋体"/>
                <w:szCs w:val="21"/>
              </w:rPr>
              <w:t>广西政府采购云平台</w:t>
            </w:r>
            <w:r>
              <w:rPr>
                <w:rFonts w:hint="eastAsia" w:ascii="宋体" w:hAnsi="宋体" w:cs="宋体"/>
                <w:bCs/>
                <w:szCs w:val="21"/>
              </w:rPr>
              <w:t>要求及本招标文件要求制作、加密并递交。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5"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10</w:t>
            </w:r>
          </w:p>
        </w:tc>
        <w:tc>
          <w:tcPr>
            <w:tcW w:w="907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421" w:firstLineChars="200"/>
              <w:rPr>
                <w:rFonts w:ascii="宋体" w:hAnsi="宋体" w:cs="宋体"/>
                <w:b/>
                <w:bCs/>
                <w:szCs w:val="21"/>
              </w:rPr>
            </w:pPr>
            <w:r>
              <w:rPr>
                <w:rFonts w:hint="eastAsia" w:ascii="宋体" w:hAnsi="宋体" w:cs="宋体"/>
                <w:b/>
                <w:bCs/>
                <w:szCs w:val="21"/>
              </w:rPr>
              <w:t>方案讲解演示：</w:t>
            </w:r>
          </w:p>
          <w:p>
            <w:pPr>
              <w:snapToGrid w:val="0"/>
              <w:spacing w:line="240" w:lineRule="exact"/>
              <w:ind w:firstLine="420" w:firstLineChars="200"/>
              <w:rPr>
                <w:rFonts w:ascii="宋体" w:hAnsi="宋体" w:cs="宋体"/>
                <w:szCs w:val="21"/>
              </w:rPr>
            </w:pPr>
            <w:r>
              <w:rPr>
                <w:rFonts w:hint="eastAsia" w:ascii="宋体" w:hAnsi="宋体" w:cs="宋体"/>
                <w:szCs w:val="21"/>
              </w:rPr>
              <w:sym w:font="Wingdings" w:char="F0FE"/>
            </w:r>
            <w:r>
              <w:rPr>
                <w:rFonts w:hint="eastAsia" w:ascii="宋体" w:hAnsi="宋体" w:cs="宋体"/>
                <w:szCs w:val="21"/>
              </w:rPr>
              <w:t>不组织。</w:t>
            </w:r>
          </w:p>
          <w:p>
            <w:pPr>
              <w:snapToGrid w:val="0"/>
              <w:spacing w:line="240" w:lineRule="exact"/>
              <w:ind w:firstLine="420" w:firstLineChars="200"/>
              <w:rPr>
                <w:rFonts w:ascii="宋体" w:hAnsi="宋体" w:cs="宋体"/>
                <w:szCs w:val="21"/>
              </w:rPr>
            </w:pPr>
            <w:r>
              <w:rPr>
                <w:rFonts w:hint="eastAsia" w:ascii="宋体" w:hAnsi="宋体" w:cs="宋体"/>
                <w:szCs w:val="21"/>
              </w:rPr>
              <w:sym w:font="Wingdings" w:char="00A8"/>
            </w:r>
            <w:r>
              <w:rPr>
                <w:rFonts w:hint="eastAsia" w:ascii="宋体" w:hAnsi="宋体" w:cs="宋体"/>
                <w:szCs w:val="21"/>
              </w:rPr>
              <w:t>组织。</w:t>
            </w:r>
          </w:p>
          <w:p>
            <w:pPr>
              <w:snapToGrid w:val="0"/>
              <w:spacing w:line="240" w:lineRule="exact"/>
              <w:ind w:firstLine="420" w:firstLineChars="200"/>
              <w:rPr>
                <w:rFonts w:ascii="宋体" w:hAnsi="宋体" w:cs="宋体"/>
                <w:szCs w:val="21"/>
              </w:rPr>
            </w:pPr>
            <w:r>
              <w:rPr>
                <w:rFonts w:hint="eastAsia" w:ascii="宋体" w:hAnsi="宋体" w:cs="宋体"/>
                <w:szCs w:val="21"/>
              </w:rPr>
              <w:t>（1）在评标时安排每个投标人进行方案讲解演示。每个投标人时间不超过  分钟，讲解次序以投标文件解密时间先后次序为准，讲解演示人员不超过  人。讲解演示结束后按要求解答评标委员会提问。（可根据</w:t>
            </w:r>
            <w:r>
              <w:rPr>
                <w:rFonts w:ascii="宋体" w:hAnsi="宋体" w:cs="宋体"/>
                <w:szCs w:val="21"/>
              </w:rPr>
              <w:t>项目特点进行调整</w:t>
            </w:r>
            <w:r>
              <w:rPr>
                <w:rFonts w:hint="eastAsia" w:ascii="宋体" w:hAnsi="宋体" w:cs="宋体"/>
                <w:szCs w:val="21"/>
              </w:rPr>
              <w:t>）</w:t>
            </w:r>
          </w:p>
          <w:p>
            <w:pPr>
              <w:snapToGrid w:val="0"/>
              <w:spacing w:line="240" w:lineRule="exact"/>
              <w:ind w:firstLine="420" w:firstLineChars="200"/>
              <w:rPr>
                <w:rFonts w:ascii="宋体" w:hAnsi="宋体" w:cs="宋体"/>
                <w:szCs w:val="21"/>
              </w:rPr>
            </w:pPr>
            <w:r>
              <w:rPr>
                <w:rFonts w:hint="eastAsia" w:ascii="宋体" w:hAnsi="宋体" w:cs="宋体"/>
                <w:szCs w:val="21"/>
              </w:rPr>
              <w:t>（2）方案讲解演示可选择以下其中一种方式：</w:t>
            </w:r>
          </w:p>
          <w:p>
            <w:pPr>
              <w:snapToGrid w:val="0"/>
              <w:spacing w:line="240" w:lineRule="exact"/>
              <w:ind w:firstLine="420" w:firstLineChars="200"/>
              <w:rPr>
                <w:rFonts w:ascii="宋体" w:hAnsi="宋体" w:cs="宋体"/>
                <w:szCs w:val="21"/>
              </w:rPr>
            </w:pPr>
            <w:r>
              <w:rPr>
                <w:rFonts w:hint="eastAsia" w:ascii="宋体" w:hAnsi="宋体" w:cs="宋体"/>
                <w:szCs w:val="21"/>
              </w:rPr>
              <w:sym w:font="Wingdings" w:char="00A8"/>
            </w:r>
            <w:r>
              <w:rPr>
                <w:rFonts w:hint="eastAsia" w:ascii="宋体" w:hAnsi="宋体" w:cs="宋体"/>
                <w:szCs w:val="21"/>
              </w:rPr>
              <w:t>方式一：广西政府采购云平台在线讲解演示。广西政府采购云平台在线讲解需投标人根据广西政府采购云平台操作要求做好准备工作，提前完善软硬件配置环境。</w:t>
            </w:r>
          </w:p>
          <w:p>
            <w:pPr>
              <w:snapToGrid w:val="0"/>
              <w:spacing w:line="240" w:lineRule="exact"/>
              <w:ind w:firstLine="420" w:firstLineChars="200"/>
              <w:rPr>
                <w:rFonts w:ascii="宋体" w:hAnsi="宋体" w:cs="宋体"/>
                <w:szCs w:val="21"/>
              </w:rPr>
            </w:pPr>
            <w:r>
              <w:rPr>
                <w:rFonts w:hint="eastAsia" w:ascii="宋体" w:hAnsi="宋体" w:cs="宋体"/>
                <w:szCs w:val="21"/>
              </w:rPr>
              <w:sym w:font="Wingdings" w:char="00A8"/>
            </w:r>
            <w:r>
              <w:rPr>
                <w:rFonts w:hint="eastAsia" w:ascii="宋体" w:hAnsi="宋体" w:cs="宋体"/>
                <w:szCs w:val="21"/>
              </w:rPr>
              <w:t>方式二：评标现场讲解演示。现场讲解地点为，讲解演示所用u盘等设备由投标人自备。现场讲解演示人员进场时提供讲解人员名单（加盖公章）及身份证明，否则不得讲解演示。</w:t>
            </w:r>
          </w:p>
          <w:p>
            <w:pPr>
              <w:snapToGrid w:val="0"/>
              <w:spacing w:line="240" w:lineRule="exact"/>
              <w:ind w:firstLine="420" w:firstLineChars="200"/>
              <w:rPr>
                <w:rFonts w:ascii="宋体" w:hAnsi="宋体" w:cs="宋体"/>
              </w:rPr>
            </w:pPr>
            <w:r>
              <w:rPr>
                <w:rFonts w:hint="eastAsia" w:ascii="宋体" w:hAnsi="宋体" w:cs="宋体"/>
                <w:szCs w:val="21"/>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11</w:t>
            </w:r>
          </w:p>
        </w:tc>
        <w:tc>
          <w:tcPr>
            <w:tcW w:w="907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60" w:lineRule="exact"/>
              <w:ind w:firstLine="421" w:firstLineChars="200"/>
              <w:textAlignment w:val="bottom"/>
              <w:rPr>
                <w:rFonts w:ascii="宋体" w:hAnsi="宋体" w:cs="宋体"/>
                <w:b/>
                <w:szCs w:val="21"/>
              </w:rPr>
            </w:pPr>
            <w:r>
              <w:rPr>
                <w:rFonts w:hint="eastAsia" w:ascii="宋体" w:hAnsi="宋体" w:cs="宋体"/>
                <w:b/>
                <w:szCs w:val="21"/>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12</w:t>
            </w:r>
          </w:p>
        </w:tc>
        <w:tc>
          <w:tcPr>
            <w:tcW w:w="907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421" w:firstLineChars="200"/>
              <w:rPr>
                <w:rFonts w:ascii="宋体" w:hAnsi="宋体" w:cs="宋体"/>
                <w:szCs w:val="21"/>
              </w:rPr>
            </w:pPr>
            <w:r>
              <w:rPr>
                <w:rFonts w:hint="eastAsia" w:ascii="宋体" w:hAnsi="宋体" w:cs="宋体"/>
                <w:b/>
                <w:bCs/>
                <w:szCs w:val="21"/>
              </w:rPr>
              <w:t>投标截止</w:t>
            </w:r>
            <w:r>
              <w:rPr>
                <w:rFonts w:hint="eastAsia" w:ascii="宋体" w:hAnsi="宋体" w:cs="宋体"/>
                <w:szCs w:val="21"/>
              </w:rPr>
              <w:t>时间及地点：2024年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日09:00</w:t>
            </w:r>
            <w:r>
              <w:rPr>
                <w:rFonts w:hint="eastAsia" w:ascii="宋体" w:hAnsi="宋体" w:cs="宋体"/>
              </w:rPr>
              <w:t>（北京时间）整</w:t>
            </w:r>
            <w:r>
              <w:rPr>
                <w:rFonts w:hint="eastAsia" w:ascii="宋体" w:hAnsi="宋体" w:cs="宋体"/>
                <w:b/>
              </w:rPr>
              <w:t>，</w:t>
            </w:r>
            <w:r>
              <w:rPr>
                <w:rFonts w:hint="eastAsia" w:ascii="宋体" w:hAnsi="宋体" w:cs="宋体"/>
                <w:szCs w:val="21"/>
              </w:rPr>
              <w:t>通过广西政府采购云平台实行在线截标。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13</w:t>
            </w:r>
          </w:p>
        </w:tc>
        <w:tc>
          <w:tcPr>
            <w:tcW w:w="907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421" w:firstLineChars="200"/>
              <w:rPr>
                <w:rFonts w:ascii="宋体" w:hAnsi="宋体" w:cs="宋体"/>
                <w:szCs w:val="21"/>
              </w:rPr>
            </w:pPr>
            <w:r>
              <w:rPr>
                <w:rFonts w:hint="eastAsia" w:ascii="宋体" w:hAnsi="宋体" w:cs="宋体"/>
                <w:b/>
                <w:bCs/>
                <w:szCs w:val="21"/>
              </w:rPr>
              <w:t>开标时间</w:t>
            </w:r>
            <w:r>
              <w:rPr>
                <w:rFonts w:hint="eastAsia" w:ascii="宋体" w:hAnsi="宋体" w:cs="宋体"/>
                <w:szCs w:val="21"/>
              </w:rPr>
              <w:t>及地点：2024年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日09:00</w:t>
            </w:r>
            <w:r>
              <w:rPr>
                <w:rFonts w:hint="eastAsia" w:ascii="宋体" w:hAnsi="宋体" w:cs="宋体"/>
              </w:rPr>
              <w:t>（北京时间）整</w:t>
            </w:r>
            <w:r>
              <w:rPr>
                <w:rFonts w:hint="eastAsia" w:ascii="宋体" w:hAnsi="宋体" w:cs="宋体"/>
                <w:szCs w:val="21"/>
              </w:rPr>
              <w:t>，通过广西政府采购云平台实行在线开标。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14</w:t>
            </w:r>
          </w:p>
        </w:tc>
        <w:tc>
          <w:tcPr>
            <w:tcW w:w="907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60" w:lineRule="exact"/>
              <w:ind w:firstLine="421" w:firstLineChars="200"/>
              <w:textAlignment w:val="bottom"/>
              <w:rPr>
                <w:rFonts w:ascii="宋体" w:hAnsi="宋体" w:cs="宋体"/>
                <w:szCs w:val="21"/>
              </w:rPr>
            </w:pPr>
            <w:r>
              <w:rPr>
                <w:rFonts w:hint="eastAsia" w:ascii="宋体" w:hAnsi="宋体" w:cs="宋体"/>
                <w:b/>
                <w:szCs w:val="21"/>
              </w:rPr>
              <w:t>电子投标文件解密时间</w:t>
            </w:r>
            <w:r>
              <w:rPr>
                <w:rFonts w:hint="eastAsia" w:ascii="宋体" w:hAnsi="宋体" w:cs="宋体"/>
                <w:szCs w:val="21"/>
              </w:rPr>
              <w:t>：截标时间后30分钟内，投标供应商必须在此时间段内登录广西政府采购云平台，用“项目采购-开标评标”功能完成电子投标文件的解密。若投标供应商在规定时间内未按时解密的，视为投标文件无效。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15</w:t>
            </w:r>
          </w:p>
        </w:tc>
        <w:tc>
          <w:tcPr>
            <w:tcW w:w="907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60" w:lineRule="exact"/>
              <w:ind w:firstLine="421" w:firstLineChars="200"/>
              <w:textAlignment w:val="bottom"/>
              <w:rPr>
                <w:rFonts w:ascii="宋体" w:hAnsi="宋体" w:cs="宋体"/>
                <w:szCs w:val="21"/>
              </w:rPr>
            </w:pPr>
            <w:r>
              <w:rPr>
                <w:rFonts w:hint="eastAsia" w:ascii="宋体" w:hAnsi="宋体" w:cs="宋体"/>
                <w:b/>
                <w:bCs/>
                <w:szCs w:val="21"/>
              </w:rPr>
              <w:t>评标方法及评分标准：</w:t>
            </w:r>
            <w:r>
              <w:rPr>
                <w:rFonts w:hint="eastAsia" w:ascii="宋体" w:hAnsi="宋体" w:cs="宋体"/>
                <w:szCs w:val="21"/>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8" w:hRule="atLeas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16</w:t>
            </w:r>
          </w:p>
        </w:tc>
        <w:tc>
          <w:tcPr>
            <w:tcW w:w="907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421" w:firstLineChars="200"/>
              <w:textAlignment w:val="bottom"/>
              <w:rPr>
                <w:rFonts w:ascii="宋体" w:hAnsi="宋体" w:cs="宋体"/>
              </w:rPr>
            </w:pPr>
            <w:r>
              <w:rPr>
                <w:rFonts w:hint="eastAsia" w:ascii="宋体" w:hAnsi="宋体" w:cs="宋体"/>
                <w:b/>
                <w:bCs/>
              </w:rPr>
              <w:t>中标通知书及中标公告：</w:t>
            </w:r>
            <w:r>
              <w:rPr>
                <w:rFonts w:hint="eastAsia" w:ascii="宋体" w:hAnsi="宋体" w:cs="宋体"/>
              </w:rPr>
              <w:t>采购代理机构在采购人依法确定中标人之日起2个工作日内通过</w:t>
            </w:r>
            <w:r>
              <w:rPr>
                <w:rFonts w:hint="eastAsia" w:ascii="宋体" w:hAnsi="宋体" w:cs="宋体"/>
                <w:szCs w:val="21"/>
              </w:rPr>
              <w:t>广西政府采购云平台</w:t>
            </w:r>
            <w:r>
              <w:rPr>
                <w:rFonts w:hint="eastAsia" w:ascii="宋体" w:hAnsi="宋体" w:cs="宋体"/>
              </w:rPr>
              <w:t>发出电子版中标通知书，并在</w:t>
            </w:r>
            <w:r>
              <w:rPr>
                <w:rFonts w:hint="eastAsia" w:ascii="宋体" w:hAnsi="宋体" w:cs="宋体"/>
                <w:szCs w:val="21"/>
              </w:rPr>
              <w:t>中国政府采购网、</w:t>
            </w:r>
            <w:r>
              <w:rPr>
                <w:rFonts w:hint="eastAsia" w:hAnsi="宋体" w:cs="宋体"/>
                <w:szCs w:val="21"/>
              </w:rPr>
              <w:t>广西政府采购网、</w:t>
            </w:r>
            <w:r>
              <w:rPr>
                <w:rFonts w:hAnsi="宋体" w:cs="宋体"/>
                <w:szCs w:val="21"/>
              </w:rPr>
              <w:t>全国公共资源交易平台（广西•北海）</w:t>
            </w:r>
            <w:r>
              <w:rPr>
                <w:rFonts w:hint="eastAsia" w:hAnsi="宋体" w:cs="宋体"/>
                <w:szCs w:val="21"/>
              </w:rPr>
              <w:t>、北海市政府采购监管网、北海市人民政府网-北海市政府采购中心网站</w:t>
            </w:r>
            <w:r>
              <w:rPr>
                <w:rFonts w:hint="eastAsia" w:ascii="宋体" w:hAnsi="宋体" w:cs="宋体"/>
              </w:rPr>
              <w:t>发布中标公告。</w:t>
            </w:r>
          </w:p>
          <w:p>
            <w:pPr>
              <w:autoSpaceDE w:val="0"/>
              <w:autoSpaceDN w:val="0"/>
              <w:snapToGrid w:val="0"/>
              <w:ind w:firstLine="421" w:firstLineChars="200"/>
              <w:textAlignment w:val="bottom"/>
              <w:rPr>
                <w:rFonts w:ascii="宋体" w:hAnsi="宋体" w:cs="宋体"/>
              </w:rPr>
            </w:pPr>
            <w:r>
              <w:rPr>
                <w:rFonts w:hint="eastAsia" w:ascii="宋体" w:hAnsi="宋体" w:cs="宋体"/>
                <w:b/>
                <w:bCs/>
              </w:rPr>
              <w:t>中小企业信用融资：</w:t>
            </w:r>
            <w:r>
              <w:rPr>
                <w:rFonts w:hint="eastAsia" w:ascii="宋体" w:hAnsi="宋体" w:cs="宋体"/>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人民政府网-北海市政府采购中心网站自助查询。</w:t>
            </w:r>
          </w:p>
          <w:p>
            <w:pPr>
              <w:autoSpaceDE w:val="0"/>
              <w:autoSpaceDN w:val="0"/>
              <w:snapToGrid w:val="0"/>
              <w:ind w:firstLine="420" w:firstLineChars="200"/>
              <w:textAlignment w:val="bottom"/>
              <w:rPr>
                <w:rFonts w:ascii="宋体" w:hAnsi="宋体" w:cs="宋体"/>
              </w:rPr>
            </w:pPr>
            <w:r>
              <w:rPr>
                <w:rFonts w:hint="eastAsia" w:ascii="宋体" w:hAnsi="宋体" w:cs="宋体"/>
              </w:rPr>
              <w:t>供应商中标后也可在</w:t>
            </w:r>
            <w:r>
              <w:rPr>
                <w:rFonts w:hint="eastAsia" w:ascii="宋体" w:hAnsi="宋体" w:cs="宋体"/>
                <w:szCs w:val="21"/>
              </w:rPr>
              <w:t>广西政府采购云平台</w:t>
            </w:r>
            <w:r>
              <w:rPr>
                <w:rFonts w:hint="eastAsia" w:ascii="宋体" w:hAnsi="宋体" w:cs="宋体"/>
              </w:rPr>
              <w:t>申请政采贷：操作路径：登录</w:t>
            </w:r>
            <w:r>
              <w:rPr>
                <w:rFonts w:hint="eastAsia" w:ascii="宋体" w:hAnsi="宋体" w:cs="宋体"/>
                <w:szCs w:val="21"/>
              </w:rPr>
              <w:t>广西政府采购云平台</w:t>
            </w:r>
            <w:r>
              <w:rPr>
                <w:rFonts w:hint="eastAsia" w:ascii="宋体" w:hAnsi="宋体" w:cs="宋体"/>
              </w:rPr>
              <w:t>-金融服务中心-【融资服务】，可在热门申请中选择产品直接申请。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exac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17</w:t>
            </w:r>
          </w:p>
        </w:tc>
        <w:tc>
          <w:tcPr>
            <w:tcW w:w="907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421" w:firstLineChars="200"/>
              <w:textAlignment w:val="bottom"/>
              <w:rPr>
                <w:rFonts w:ascii="宋体" w:hAnsi="宋体" w:cs="宋体"/>
              </w:rPr>
            </w:pPr>
            <w:r>
              <w:rPr>
                <w:rFonts w:hint="eastAsia" w:ascii="宋体" w:hAnsi="宋体" w:cs="宋体"/>
                <w:b/>
                <w:bCs/>
              </w:rPr>
              <w:t>签订合同时间：</w:t>
            </w:r>
            <w:r>
              <w:rPr>
                <w:rFonts w:hint="eastAsia" w:ascii="宋体" w:hAnsi="宋体" w:cs="宋体"/>
              </w:rPr>
              <w:t>自中标通知书发出之日起，原则上要求</w:t>
            </w:r>
            <w:r>
              <w:rPr>
                <w:rFonts w:ascii="宋体" w:hAnsi="宋体" w:cs="宋体"/>
              </w:rPr>
              <w:t>25</w:t>
            </w:r>
            <w:r>
              <w:rPr>
                <w:rFonts w:hint="eastAsia" w:ascii="宋体" w:hAnsi="宋体" w:cs="宋体"/>
              </w:rPr>
              <w:t>日内签订（项目实施过程中出现质疑或投诉的情形除外）。</w:t>
            </w:r>
          </w:p>
          <w:p>
            <w:pPr>
              <w:pStyle w:val="3"/>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exac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18</w:t>
            </w:r>
          </w:p>
        </w:tc>
        <w:tc>
          <w:tcPr>
            <w:tcW w:w="907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60" w:lineRule="exact"/>
              <w:ind w:firstLine="421" w:firstLineChars="200"/>
              <w:textAlignment w:val="bottom"/>
              <w:rPr>
                <w:rFonts w:ascii="宋体" w:hAnsi="宋体" w:cs="宋体"/>
                <w:szCs w:val="21"/>
              </w:rPr>
            </w:pPr>
            <w:r>
              <w:rPr>
                <w:rFonts w:hint="eastAsia" w:ascii="宋体" w:hAnsi="宋体" w:cs="宋体"/>
                <w:b/>
                <w:bCs/>
                <w:szCs w:val="21"/>
              </w:rPr>
              <w:t>采购资金来源：</w:t>
            </w:r>
            <w:r>
              <w:rPr>
                <w:rFonts w:hint="eastAsia" w:ascii="宋体" w:hAnsi="宋体" w:cs="宋体"/>
                <w:szCs w:val="21"/>
              </w:rPr>
              <w:t>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19</w:t>
            </w:r>
          </w:p>
        </w:tc>
        <w:tc>
          <w:tcPr>
            <w:tcW w:w="907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421" w:firstLineChars="200"/>
              <w:rPr>
                <w:rFonts w:ascii="宋体" w:hAnsi="宋体" w:cs="宋体"/>
                <w:szCs w:val="21"/>
              </w:rPr>
            </w:pPr>
            <w:r>
              <w:rPr>
                <w:rFonts w:hint="eastAsia" w:ascii="宋体" w:hAnsi="宋体" w:cs="宋体"/>
                <w:b/>
                <w:bCs/>
                <w:szCs w:val="21"/>
              </w:rPr>
              <w:t>付款方式：</w:t>
            </w:r>
            <w:r>
              <w:rPr>
                <w:rFonts w:hint="eastAsia" w:ascii="宋体" w:hAnsi="宋体" w:cs="宋体"/>
                <w:szCs w:val="21"/>
              </w:rPr>
              <w:t>招标文件第二章 招标项目采购需求有详细描述。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20</w:t>
            </w:r>
          </w:p>
        </w:tc>
        <w:tc>
          <w:tcPr>
            <w:tcW w:w="907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421" w:firstLineChars="200"/>
              <w:rPr>
                <w:rFonts w:ascii="宋体" w:hAnsi="宋体" w:cs="宋体"/>
                <w:szCs w:val="21"/>
              </w:rPr>
            </w:pPr>
            <w:r>
              <w:rPr>
                <w:rFonts w:hint="eastAsia" w:ascii="宋体" w:hAnsi="宋体" w:cs="宋体"/>
                <w:b/>
                <w:bCs/>
                <w:szCs w:val="21"/>
              </w:rPr>
              <w:t>投标文件有效期：</w:t>
            </w:r>
            <w:r>
              <w:rPr>
                <w:rFonts w:hint="eastAsia" w:ascii="宋体" w:hAnsi="宋体" w:cs="宋体"/>
                <w:szCs w:val="21"/>
              </w:rPr>
              <w:t>六十日。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exact"/>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21</w:t>
            </w:r>
          </w:p>
        </w:tc>
        <w:tc>
          <w:tcPr>
            <w:tcW w:w="907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420" w:firstLineChars="200"/>
              <w:rPr>
                <w:rFonts w:ascii="宋体" w:hAnsi="宋体" w:cs="宋体"/>
                <w:szCs w:val="21"/>
              </w:rPr>
            </w:pPr>
            <w:r>
              <w:rPr>
                <w:rFonts w:hint="eastAsia" w:ascii="宋体" w:hAnsi="宋体" w:cs="宋体"/>
                <w:szCs w:val="21"/>
              </w:rPr>
              <w:t>本招标文件的解释权属于</w:t>
            </w:r>
            <w:r>
              <w:rPr>
                <w:rFonts w:hint="eastAsia" w:ascii="宋体" w:hAnsi="宋体" w:cs="宋体"/>
                <w:szCs w:val="21"/>
                <w:lang w:eastAsia="zh-CN"/>
              </w:rPr>
              <w:t>北海市铁山港区教育局</w:t>
            </w:r>
            <w:r>
              <w:rPr>
                <w:rFonts w:hint="eastAsia" w:ascii="宋体" w:hAnsi="宋体" w:cs="宋体"/>
                <w:szCs w:val="21"/>
              </w:rPr>
              <w:t>及北海市</w:t>
            </w:r>
            <w:r>
              <w:rPr>
                <w:rFonts w:hint="eastAsia" w:ascii="宋体" w:hAnsi="宋体" w:cs="宋体"/>
                <w:szCs w:val="21"/>
                <w:lang w:eastAsia="zh-CN"/>
              </w:rPr>
              <w:t>铁山港区</w:t>
            </w:r>
            <w:r>
              <w:rPr>
                <w:rFonts w:hint="eastAsia" w:ascii="宋体" w:hAnsi="宋体" w:cs="宋体"/>
                <w:szCs w:val="21"/>
              </w:rPr>
              <w:t>政府采购中心。</w:t>
            </w:r>
          </w:p>
        </w:tc>
      </w:tr>
    </w:tbl>
    <w:p>
      <w:pPr>
        <w:pStyle w:val="29"/>
        <w:snapToGrid w:val="0"/>
        <w:spacing w:line="600" w:lineRule="exact"/>
        <w:jc w:val="center"/>
        <w:rPr>
          <w:rFonts w:hAnsi="宋体" w:cs="宋体"/>
          <w:b/>
          <w:sz w:val="32"/>
          <w:szCs w:val="32"/>
        </w:rPr>
        <w:sectPr>
          <w:pgSz w:w="11906" w:h="16838"/>
          <w:pgMar w:top="1247" w:right="849" w:bottom="1247" w:left="1418" w:header="851" w:footer="992" w:gutter="0"/>
          <w:cols w:space="720" w:num="1"/>
          <w:titlePg/>
          <w:docGrid w:type="lines" w:linePitch="312" w:charSpace="0"/>
        </w:sectPr>
      </w:pPr>
    </w:p>
    <w:p>
      <w:pPr>
        <w:pStyle w:val="29"/>
        <w:snapToGrid w:val="0"/>
        <w:spacing w:line="600" w:lineRule="exact"/>
        <w:jc w:val="center"/>
        <w:rPr>
          <w:rFonts w:hAnsi="宋体" w:cs="宋体"/>
          <w:b/>
          <w:sz w:val="32"/>
          <w:szCs w:val="32"/>
        </w:rPr>
      </w:pPr>
      <w:r>
        <w:rPr>
          <w:rFonts w:hint="eastAsia" w:hAnsi="宋体" w:cs="宋体"/>
          <w:b/>
          <w:sz w:val="32"/>
          <w:szCs w:val="32"/>
        </w:rPr>
        <w:t>投标人须知</w:t>
      </w:r>
    </w:p>
    <w:p>
      <w:pPr>
        <w:pStyle w:val="29"/>
        <w:adjustRightInd w:val="0"/>
        <w:snapToGrid w:val="0"/>
        <w:spacing w:line="360" w:lineRule="exact"/>
        <w:ind w:firstLine="562" w:firstLineChars="200"/>
        <w:rPr>
          <w:rFonts w:hAnsi="宋体" w:cs="宋体"/>
          <w:b/>
        </w:rPr>
      </w:pPr>
      <w:r>
        <w:rPr>
          <w:rFonts w:hint="eastAsia" w:hAnsi="宋体" w:cs="宋体"/>
          <w:b/>
          <w:sz w:val="28"/>
          <w:szCs w:val="28"/>
        </w:rPr>
        <w:t>一、总则</w:t>
      </w:r>
    </w:p>
    <w:p>
      <w:pPr>
        <w:snapToGrid w:val="0"/>
        <w:spacing w:before="156" w:beforeLines="50" w:line="360" w:lineRule="exact"/>
        <w:ind w:firstLine="413" w:firstLineChars="196"/>
        <w:jc w:val="left"/>
        <w:rPr>
          <w:rFonts w:ascii="宋体" w:hAnsi="宋体" w:cs="宋体"/>
          <w:b/>
          <w:szCs w:val="21"/>
        </w:rPr>
      </w:pPr>
      <w:bookmarkStart w:id="15" w:name="_Toc254970527"/>
      <w:bookmarkStart w:id="16" w:name="_Toc254970668"/>
      <w:r>
        <w:rPr>
          <w:rFonts w:hint="eastAsia" w:ascii="宋体" w:hAnsi="宋体" w:cs="宋体"/>
          <w:b/>
          <w:szCs w:val="21"/>
        </w:rPr>
        <w:t>（一）适用范围</w:t>
      </w:r>
      <w:bookmarkEnd w:id="15"/>
      <w:bookmarkEnd w:id="16"/>
    </w:p>
    <w:p>
      <w:pPr>
        <w:snapToGrid w:val="0"/>
        <w:spacing w:line="360" w:lineRule="exact"/>
        <w:ind w:firstLine="420" w:firstLineChars="200"/>
        <w:jc w:val="left"/>
        <w:rPr>
          <w:rFonts w:ascii="宋体" w:hAnsi="宋体" w:cs="宋体"/>
          <w:szCs w:val="21"/>
        </w:rPr>
      </w:pPr>
      <w:r>
        <w:rPr>
          <w:rFonts w:hint="eastAsia" w:ascii="宋体" w:hAnsi="宋体" w:cs="宋体"/>
          <w:szCs w:val="21"/>
        </w:rPr>
        <w:t>本招标文件适用于本项目的招标、投标、评标、定标、验收、合同履约、付款等行为（法律、法规另有规定的，从其规定）。</w:t>
      </w:r>
    </w:p>
    <w:p>
      <w:pPr>
        <w:snapToGrid w:val="0"/>
        <w:spacing w:before="156" w:beforeLines="50" w:line="360" w:lineRule="exact"/>
        <w:ind w:firstLine="413" w:firstLineChars="196"/>
        <w:jc w:val="left"/>
        <w:rPr>
          <w:rFonts w:ascii="宋体" w:hAnsi="宋体" w:cs="宋体"/>
          <w:b/>
          <w:szCs w:val="21"/>
        </w:rPr>
      </w:pPr>
      <w:bookmarkStart w:id="17" w:name="_Toc254970669"/>
      <w:bookmarkStart w:id="18" w:name="_Toc254970528"/>
      <w:r>
        <w:rPr>
          <w:rFonts w:hint="eastAsia" w:ascii="宋体" w:hAnsi="宋体" w:cs="宋体"/>
          <w:b/>
          <w:szCs w:val="21"/>
        </w:rPr>
        <w:t>（二）定义</w:t>
      </w:r>
      <w:bookmarkEnd w:id="17"/>
      <w:bookmarkEnd w:id="18"/>
    </w:p>
    <w:p>
      <w:pPr>
        <w:snapToGrid w:val="0"/>
        <w:spacing w:line="360" w:lineRule="exact"/>
        <w:ind w:firstLine="420" w:firstLineChars="200"/>
        <w:jc w:val="left"/>
        <w:rPr>
          <w:rFonts w:ascii="宋体" w:hAnsi="宋体" w:cs="宋体"/>
        </w:rPr>
      </w:pPr>
      <w:r>
        <w:rPr>
          <w:rFonts w:hint="eastAsia" w:ascii="宋体" w:hAnsi="宋体" w:cs="宋体"/>
          <w:szCs w:val="21"/>
        </w:rPr>
        <w:t>1.</w:t>
      </w:r>
      <w:r>
        <w:rPr>
          <w:rFonts w:hint="eastAsia" w:ascii="宋体" w:hAnsi="宋体" w:cs="宋体"/>
        </w:rPr>
        <w:t>“采购人”系指组织本次招标的采购单位。</w:t>
      </w:r>
    </w:p>
    <w:p>
      <w:pPr>
        <w:snapToGrid w:val="0"/>
        <w:spacing w:line="36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rPr>
        <w:t>“采购代理机构”系指组织本次招标的北海市</w:t>
      </w:r>
      <w:r>
        <w:rPr>
          <w:rFonts w:hint="eastAsia" w:ascii="宋体" w:hAnsi="宋体" w:cs="宋体"/>
          <w:lang w:eastAsia="zh-CN"/>
        </w:rPr>
        <w:t>铁山港区</w:t>
      </w:r>
      <w:r>
        <w:rPr>
          <w:rFonts w:hint="eastAsia" w:ascii="宋体" w:hAnsi="宋体" w:cs="宋体"/>
        </w:rPr>
        <w:t>政府采购中心（以下简称“本中心”）。</w:t>
      </w:r>
    </w:p>
    <w:p>
      <w:pPr>
        <w:snapToGrid w:val="0"/>
        <w:spacing w:line="360" w:lineRule="exact"/>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rPr>
        <w:t>“投标人”系指响应招标、参加投标竞争的法人、其他组织或者自然人。</w:t>
      </w:r>
    </w:p>
    <w:p>
      <w:pPr>
        <w:snapToGrid w:val="0"/>
        <w:spacing w:line="360" w:lineRule="exact"/>
        <w:ind w:firstLine="420" w:firstLineChars="200"/>
        <w:jc w:val="left"/>
        <w:rPr>
          <w:rFonts w:ascii="宋体" w:hAnsi="宋体" w:cs="宋体"/>
          <w:szCs w:val="21"/>
        </w:rPr>
      </w:pPr>
      <w:r>
        <w:rPr>
          <w:rFonts w:hint="eastAsia" w:ascii="宋体" w:hAnsi="宋体" w:cs="宋体"/>
          <w:szCs w:val="21"/>
        </w:rPr>
        <w:t>4.“产品”系指供方按招标文件规定，须向采购人提供的一切设备、保险、税金、备品备件、工具、手册及其它有关技术资料和材料。</w:t>
      </w:r>
    </w:p>
    <w:p>
      <w:pPr>
        <w:snapToGrid w:val="0"/>
        <w:spacing w:line="360" w:lineRule="exact"/>
        <w:ind w:firstLine="420" w:firstLineChars="200"/>
        <w:jc w:val="left"/>
        <w:rPr>
          <w:rFonts w:ascii="宋体" w:hAnsi="宋体" w:cs="宋体"/>
          <w:szCs w:val="21"/>
        </w:rPr>
      </w:pPr>
      <w:r>
        <w:rPr>
          <w:rFonts w:hint="eastAsia" w:ascii="宋体" w:hAnsi="宋体" w:cs="宋体"/>
          <w:szCs w:val="21"/>
        </w:rPr>
        <w:t>5.“服务”系指招标文件规定投标人须承担的安装、调试、技术协助、校准、培训、技术指导以及其他类似的义务。</w:t>
      </w:r>
    </w:p>
    <w:p>
      <w:pPr>
        <w:snapToGrid w:val="0"/>
        <w:spacing w:line="360" w:lineRule="exact"/>
        <w:ind w:firstLine="420" w:firstLineChars="200"/>
        <w:jc w:val="left"/>
        <w:rPr>
          <w:rFonts w:ascii="宋体" w:hAnsi="宋体" w:cs="宋体"/>
          <w:szCs w:val="21"/>
        </w:rPr>
      </w:pPr>
      <w:r>
        <w:rPr>
          <w:rFonts w:hint="eastAsia" w:ascii="宋体" w:hAnsi="宋体" w:cs="宋体"/>
          <w:szCs w:val="21"/>
        </w:rPr>
        <w:t>6.“项目”系指投标人按招标文件规定向采购人提供的产品和服务。</w:t>
      </w:r>
    </w:p>
    <w:p>
      <w:pPr>
        <w:snapToGrid w:val="0"/>
        <w:spacing w:line="360" w:lineRule="exact"/>
        <w:ind w:firstLine="420" w:firstLineChars="200"/>
        <w:jc w:val="left"/>
        <w:rPr>
          <w:rFonts w:ascii="宋体" w:hAnsi="宋体" w:cs="宋体"/>
          <w:szCs w:val="21"/>
        </w:rPr>
      </w:pPr>
      <w:r>
        <w:rPr>
          <w:rFonts w:hint="eastAsia" w:ascii="宋体" w:hAnsi="宋体" w:cs="宋体"/>
          <w:szCs w:val="21"/>
        </w:rPr>
        <w:t>7.“书面形式”包括信函、传真、电报等。</w:t>
      </w:r>
    </w:p>
    <w:p>
      <w:pPr>
        <w:snapToGrid w:val="0"/>
        <w:spacing w:line="360" w:lineRule="exact"/>
        <w:ind w:firstLine="420" w:firstLineChars="200"/>
        <w:jc w:val="left"/>
        <w:rPr>
          <w:rFonts w:ascii="宋体" w:hAnsi="宋体" w:cs="宋体"/>
          <w:szCs w:val="21"/>
        </w:rPr>
      </w:pPr>
      <w:r>
        <w:rPr>
          <w:rFonts w:hint="eastAsia" w:ascii="宋体" w:hAnsi="宋体" w:cs="宋体"/>
          <w:szCs w:val="21"/>
        </w:rPr>
        <w:t>8.“▲”系指实质性要求条款。</w:t>
      </w:r>
    </w:p>
    <w:p>
      <w:pPr>
        <w:snapToGrid w:val="0"/>
        <w:spacing w:before="156" w:beforeLines="50" w:line="360" w:lineRule="exact"/>
        <w:ind w:firstLine="413" w:firstLineChars="196"/>
        <w:jc w:val="left"/>
        <w:rPr>
          <w:rFonts w:ascii="宋体" w:hAnsi="宋体" w:cs="宋体"/>
          <w:b/>
          <w:szCs w:val="21"/>
        </w:rPr>
      </w:pPr>
      <w:bookmarkStart w:id="19" w:name="_Toc254970529"/>
      <w:bookmarkStart w:id="20" w:name="_Toc254970670"/>
      <w:r>
        <w:rPr>
          <w:rFonts w:hint="eastAsia" w:ascii="宋体" w:hAnsi="宋体" w:cs="宋体"/>
          <w:b/>
          <w:szCs w:val="21"/>
        </w:rPr>
        <w:t>（三）招标方式</w:t>
      </w:r>
      <w:bookmarkEnd w:id="19"/>
      <w:bookmarkEnd w:id="20"/>
    </w:p>
    <w:p>
      <w:pPr>
        <w:snapToGrid w:val="0"/>
        <w:spacing w:line="360" w:lineRule="exact"/>
        <w:ind w:firstLine="420" w:firstLineChars="200"/>
        <w:jc w:val="left"/>
        <w:rPr>
          <w:rFonts w:ascii="宋体" w:hAnsi="宋体" w:cs="宋体"/>
          <w:szCs w:val="21"/>
        </w:rPr>
      </w:pPr>
      <w:r>
        <w:rPr>
          <w:rFonts w:hint="eastAsia" w:ascii="宋体" w:hAnsi="宋体" w:cs="宋体"/>
          <w:szCs w:val="21"/>
        </w:rPr>
        <w:t>公开招标方式。</w:t>
      </w:r>
    </w:p>
    <w:p>
      <w:pPr>
        <w:snapToGrid w:val="0"/>
        <w:spacing w:before="156" w:beforeLines="50" w:line="360" w:lineRule="exact"/>
        <w:ind w:firstLine="413" w:firstLineChars="196"/>
        <w:jc w:val="left"/>
        <w:rPr>
          <w:rFonts w:ascii="宋体" w:hAnsi="宋体" w:cs="宋体"/>
          <w:b/>
          <w:szCs w:val="21"/>
        </w:rPr>
      </w:pPr>
      <w:bookmarkStart w:id="21" w:name="_Toc254970530"/>
      <w:bookmarkStart w:id="22" w:name="_Toc254970671"/>
      <w:r>
        <w:rPr>
          <w:rFonts w:hint="eastAsia" w:ascii="宋体" w:hAnsi="宋体" w:cs="宋体"/>
          <w:b/>
          <w:szCs w:val="21"/>
        </w:rPr>
        <w:t>（四）投标委托</w:t>
      </w:r>
      <w:bookmarkEnd w:id="21"/>
      <w:bookmarkEnd w:id="22"/>
    </w:p>
    <w:p>
      <w:pPr>
        <w:pStyle w:val="22"/>
        <w:snapToGrid w:val="0"/>
        <w:spacing w:line="36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投标人代表须携带有效身份证件。如投标人代表不是法定代表人（负责人），须有法定代表人（负责人）出具的授权委托书（格式见第六章《投标文件格式》）。</w:t>
      </w:r>
    </w:p>
    <w:p>
      <w:pPr>
        <w:snapToGrid w:val="0"/>
        <w:spacing w:before="156" w:beforeLines="50" w:line="360" w:lineRule="exact"/>
        <w:ind w:firstLine="413" w:firstLineChars="196"/>
        <w:jc w:val="left"/>
        <w:rPr>
          <w:rFonts w:ascii="宋体" w:hAnsi="宋体" w:cs="宋体"/>
          <w:b/>
          <w:szCs w:val="21"/>
        </w:rPr>
      </w:pPr>
      <w:bookmarkStart w:id="23" w:name="_Toc254970531"/>
      <w:bookmarkStart w:id="24" w:name="_Toc254970672"/>
      <w:r>
        <w:rPr>
          <w:rFonts w:hint="eastAsia" w:ascii="宋体" w:hAnsi="宋体" w:cs="宋体"/>
          <w:b/>
          <w:szCs w:val="21"/>
        </w:rPr>
        <w:t>（五）投标费用</w:t>
      </w:r>
      <w:bookmarkEnd w:id="23"/>
      <w:bookmarkEnd w:id="24"/>
    </w:p>
    <w:p>
      <w:pPr>
        <w:snapToGrid w:val="0"/>
        <w:spacing w:line="360" w:lineRule="exact"/>
        <w:ind w:firstLine="420" w:firstLineChars="200"/>
        <w:jc w:val="left"/>
        <w:rPr>
          <w:rFonts w:ascii="宋体" w:hAnsi="宋体" w:cs="宋体"/>
          <w:szCs w:val="21"/>
        </w:rPr>
      </w:pPr>
      <w:r>
        <w:rPr>
          <w:rFonts w:hint="eastAsia" w:ascii="宋体" w:hAnsi="宋体" w:cs="宋体"/>
          <w:szCs w:val="21"/>
        </w:rPr>
        <w:t>投标人均应自行承担所有与投标有关的全部费用（招标文件有相关的规定除外）。</w:t>
      </w:r>
    </w:p>
    <w:p>
      <w:pPr>
        <w:tabs>
          <w:tab w:val="left" w:pos="3960"/>
        </w:tabs>
        <w:adjustRightInd w:val="0"/>
        <w:snapToGrid w:val="0"/>
        <w:spacing w:line="360" w:lineRule="exact"/>
        <w:ind w:firstLine="421" w:firstLineChars="200"/>
        <w:rPr>
          <w:rFonts w:ascii="宋体" w:hAnsi="宋体" w:cs="宋体"/>
          <w:b/>
          <w:szCs w:val="21"/>
        </w:rPr>
      </w:pPr>
      <w:r>
        <w:rPr>
          <w:rFonts w:hint="eastAsia" w:ascii="宋体" w:hAnsi="宋体" w:cs="宋体"/>
          <w:b/>
          <w:szCs w:val="21"/>
        </w:rPr>
        <w:t>（六）联合体投标</w:t>
      </w:r>
    </w:p>
    <w:p>
      <w:pPr>
        <w:spacing w:line="320" w:lineRule="exact"/>
        <w:ind w:firstLine="420" w:firstLineChars="200"/>
        <w:jc w:val="left"/>
        <w:rPr>
          <w:rFonts w:ascii="宋体" w:hAnsi="宋体" w:cs="宋体"/>
          <w:szCs w:val="21"/>
        </w:rPr>
      </w:pPr>
      <w:r>
        <w:rPr>
          <w:rFonts w:hint="eastAsia" w:ascii="宋体" w:hAnsi="宋体" w:cs="宋体"/>
          <w:szCs w:val="21"/>
        </w:rPr>
        <w:t>本项目不接受联合体投标</w:t>
      </w:r>
    </w:p>
    <w:p>
      <w:pPr>
        <w:widowControl/>
        <w:adjustRightInd w:val="0"/>
        <w:snapToGrid w:val="0"/>
        <w:spacing w:line="360" w:lineRule="exact"/>
        <w:ind w:firstLine="421" w:firstLineChars="200"/>
        <w:jc w:val="left"/>
        <w:rPr>
          <w:rFonts w:ascii="宋体" w:hAnsi="宋体" w:cs="宋体"/>
          <w:b/>
          <w:kern w:val="0"/>
          <w:szCs w:val="21"/>
        </w:rPr>
      </w:pPr>
      <w:r>
        <w:rPr>
          <w:rFonts w:hint="eastAsia" w:ascii="宋体" w:hAnsi="宋体" w:cs="宋体"/>
          <w:b/>
          <w:szCs w:val="21"/>
        </w:rPr>
        <w:t>（七）</w:t>
      </w:r>
      <w:r>
        <w:rPr>
          <w:rFonts w:hint="eastAsia" w:ascii="宋体" w:hAnsi="宋体" w:cs="宋体"/>
          <w:b/>
          <w:kern w:val="0"/>
          <w:szCs w:val="21"/>
        </w:rPr>
        <w:t>转包与分包</w:t>
      </w:r>
    </w:p>
    <w:p>
      <w:pPr>
        <w:ind w:firstLine="525" w:firstLineChars="250"/>
        <w:rPr>
          <w:rFonts w:ascii="宋体" w:hAnsi="宋体" w:cs="宋体"/>
          <w:szCs w:val="21"/>
        </w:rPr>
      </w:pPr>
      <w:bookmarkStart w:id="25" w:name="_Toc254970673"/>
      <w:bookmarkStart w:id="26" w:name="_Toc254970532"/>
      <w:r>
        <w:rPr>
          <w:rFonts w:hint="eastAsia" w:ascii="宋体" w:hAnsi="宋体" w:cs="宋体"/>
          <w:kern w:val="0"/>
          <w:szCs w:val="21"/>
        </w:rPr>
        <w:t>▲</w:t>
      </w:r>
      <w:r>
        <w:rPr>
          <w:rFonts w:hint="eastAsia" w:ascii="宋体" w:hAnsi="宋体" w:cs="宋体"/>
          <w:szCs w:val="21"/>
        </w:rPr>
        <w:t>1.合同转包：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中标人转包的，视同拒绝履行政府采购合同义务，将依法追究法律责任。</w:t>
      </w:r>
    </w:p>
    <w:p>
      <w:pPr>
        <w:ind w:firstLine="525" w:firstLineChars="250"/>
        <w:rPr>
          <w:rFonts w:ascii="宋体" w:hAnsi="宋体" w:cs="宋体"/>
          <w:szCs w:val="21"/>
        </w:rPr>
      </w:pPr>
      <w:r>
        <w:rPr>
          <w:rFonts w:hint="eastAsia" w:ascii="宋体" w:hAnsi="宋体" w:cs="宋体"/>
          <w:kern w:val="0"/>
          <w:szCs w:val="21"/>
        </w:rPr>
        <w:t>▲</w:t>
      </w:r>
      <w:r>
        <w:rPr>
          <w:rFonts w:hint="eastAsia" w:ascii="宋体" w:hAnsi="宋体" w:cs="宋体"/>
          <w:szCs w:val="21"/>
        </w:rPr>
        <w:t>2.合同分包：</w:t>
      </w:r>
    </w:p>
    <w:p>
      <w:pPr>
        <w:ind w:firstLine="525" w:firstLineChars="250"/>
        <w:rPr>
          <w:rFonts w:ascii="宋体" w:hAnsi="宋体" w:cs="宋体"/>
          <w:szCs w:val="21"/>
        </w:rPr>
      </w:pPr>
      <w:r>
        <w:rPr>
          <w:rFonts w:hint="eastAsia" w:ascii="宋体" w:hAnsi="宋体" w:cs="宋体"/>
          <w:kern w:val="0"/>
          <w:szCs w:val="21"/>
        </w:rPr>
        <w:t>▲</w:t>
      </w:r>
      <w:r>
        <w:rPr>
          <w:rFonts w:hint="eastAsia" w:ascii="宋体" w:hAnsi="宋体" w:cs="宋体"/>
          <w:szCs w:val="21"/>
        </w:rPr>
        <w:t>2.1采购人允许投标人将项目非主体、非关键性工作交由他人完成投标人拟在中标后将中标项目的非主体、非关键性工作分包的，应当在投标文件中载明分包承担主体，分包承担主体应当具备相应资质条件且不得再次分包。并且分包供应商履行的分包项目的品牌、规格型号及技术要求等，必须与中标的一致。分包履行合同的部分应当为采购项目的非主体、非关键性工作，不属于中标人的主要合同义务。</w:t>
      </w:r>
    </w:p>
    <w:p>
      <w:pPr>
        <w:ind w:firstLine="525" w:firstLineChars="250"/>
        <w:rPr>
          <w:rFonts w:ascii="宋体" w:hAnsi="宋体" w:cs="宋体"/>
          <w:szCs w:val="21"/>
        </w:rPr>
      </w:pPr>
      <w:r>
        <w:rPr>
          <w:rFonts w:hint="eastAsia" w:ascii="宋体" w:hAnsi="宋体" w:cs="宋体"/>
          <w:kern w:val="0"/>
          <w:szCs w:val="21"/>
        </w:rPr>
        <w:t>▲</w:t>
      </w:r>
      <w:r>
        <w:rPr>
          <w:rFonts w:hint="eastAsia" w:ascii="宋体" w:hAnsi="宋体" w:cs="宋体"/>
          <w:szCs w:val="21"/>
        </w:rPr>
        <w:t>2.2采购合同实行分包履行的，中标人就采购项目和分包项目向采购人负责，分包供应商就分包项目承担责任。</w:t>
      </w:r>
    </w:p>
    <w:p>
      <w:pPr>
        <w:ind w:firstLine="525" w:firstLineChars="250"/>
        <w:rPr>
          <w:rFonts w:ascii="宋体" w:hAnsi="宋体" w:cs="宋体"/>
          <w:szCs w:val="21"/>
        </w:rPr>
      </w:pPr>
      <w:r>
        <w:rPr>
          <w:rFonts w:hint="eastAsia" w:ascii="宋体" w:hAnsi="宋体" w:cs="宋体"/>
          <w:kern w:val="0"/>
          <w:szCs w:val="21"/>
        </w:rPr>
        <w:t>▲</w:t>
      </w:r>
      <w:r>
        <w:rPr>
          <w:rFonts w:hint="eastAsia" w:ascii="宋体" w:hAnsi="宋体" w:cs="宋体"/>
          <w:szCs w:val="21"/>
        </w:rPr>
        <w:t>2.3中小企业依据《政府采购促进中小企业发展管理办法》（财库〔2020〕46号）规定的政策获取政府采购合同后，小型、微型企业不得分包或转包给大型、中型企业，中型企业不得分包或转包给大型企业。</w:t>
      </w:r>
    </w:p>
    <w:p>
      <w:pPr>
        <w:snapToGrid w:val="0"/>
        <w:spacing w:before="156" w:beforeLines="50" w:line="360" w:lineRule="exact"/>
        <w:ind w:firstLine="413" w:firstLineChars="196"/>
        <w:jc w:val="left"/>
        <w:rPr>
          <w:rFonts w:ascii="宋体" w:hAnsi="宋体" w:cs="宋体"/>
          <w:b/>
          <w:szCs w:val="21"/>
        </w:rPr>
      </w:pPr>
      <w:r>
        <w:rPr>
          <w:rFonts w:hint="eastAsia" w:ascii="宋体" w:hAnsi="宋体" w:cs="宋体"/>
          <w:b/>
          <w:bCs/>
        </w:rPr>
        <w:t>（八）</w:t>
      </w:r>
      <w:r>
        <w:rPr>
          <w:rFonts w:hint="eastAsia" w:ascii="宋体" w:hAnsi="宋体" w:cs="宋体"/>
          <w:b/>
          <w:szCs w:val="21"/>
        </w:rPr>
        <w:t>特别说明：</w:t>
      </w:r>
      <w:bookmarkEnd w:id="25"/>
      <w:bookmarkEnd w:id="26"/>
    </w:p>
    <w:p>
      <w:pPr>
        <w:snapToGrid w:val="0"/>
        <w:spacing w:line="360" w:lineRule="exact"/>
        <w:ind w:firstLine="420" w:firstLineChars="200"/>
        <w:rPr>
          <w:rFonts w:ascii="宋体" w:hAnsi="宋体" w:cs="宋体"/>
          <w:kern w:val="0"/>
          <w:szCs w:val="21"/>
        </w:rPr>
      </w:pPr>
      <w:r>
        <w:rPr>
          <w:rFonts w:hint="eastAsia" w:ascii="宋体" w:hAnsi="宋体" w:cs="宋体"/>
          <w:kern w:val="0"/>
          <w:szCs w:val="21"/>
        </w:rPr>
        <w:t>▲1.单位负责人为同一人或者存在直接控股、管理关系的不同供应商，不得参加同一合同项下的政府采购活动。</w:t>
      </w:r>
    </w:p>
    <w:p>
      <w:pPr>
        <w:snapToGrid w:val="0"/>
        <w:spacing w:line="360" w:lineRule="exact"/>
        <w:ind w:firstLine="420" w:firstLineChars="200"/>
        <w:rPr>
          <w:rFonts w:ascii="宋体" w:hAnsi="宋体" w:cs="宋体"/>
          <w:kern w:val="0"/>
          <w:szCs w:val="21"/>
        </w:rPr>
      </w:pPr>
      <w:r>
        <w:rPr>
          <w:rFonts w:hint="eastAsia" w:ascii="宋体" w:hAnsi="宋体" w:cs="宋体"/>
          <w:kern w:val="0"/>
          <w:szCs w:val="21"/>
        </w:rPr>
        <w:t>▲2.</w:t>
      </w:r>
      <w:r>
        <w:rPr>
          <w:rFonts w:hint="eastAsia" w:ascii="宋体" w:hAnsi="宋体" w:cs="宋体"/>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20" w:firstLineChars="200"/>
        <w:rPr>
          <w:rFonts w:ascii="宋体" w:hAnsi="宋体" w:cs="宋体"/>
          <w:kern w:val="0"/>
          <w:szCs w:val="21"/>
        </w:rPr>
      </w:pPr>
      <w:r>
        <w:rPr>
          <w:rFonts w:hint="eastAsia" w:ascii="宋体" w:hAnsi="宋体" w:cs="宋体"/>
          <w:kern w:val="0"/>
          <w:szCs w:val="21"/>
        </w:rPr>
        <w:t>非单一产品采购项目中，多家投标人提供的招标文件中载明的核心产品品牌相同的，视为提供相同品牌产品。</w:t>
      </w:r>
    </w:p>
    <w:p>
      <w:pPr>
        <w:snapToGrid w:val="0"/>
        <w:spacing w:line="360" w:lineRule="exact"/>
        <w:ind w:firstLine="420" w:firstLineChars="200"/>
        <w:rPr>
          <w:rFonts w:ascii="宋体" w:hAnsi="宋体" w:cs="宋体"/>
          <w:kern w:val="0"/>
          <w:szCs w:val="21"/>
        </w:rPr>
      </w:pPr>
      <w:r>
        <w:rPr>
          <w:rFonts w:hint="eastAsia" w:ascii="宋体" w:hAnsi="宋体" w:cs="宋体"/>
          <w:kern w:val="0"/>
          <w:szCs w:val="21"/>
        </w:rPr>
        <w:t>▲3.生产厂商授权给供应商后自己不得参加同一合同项下的政府采购活动；生产厂商对同一品牌的货物，仅能委托一个代理商参加投标。</w:t>
      </w:r>
    </w:p>
    <w:p>
      <w:pPr>
        <w:snapToGrid w:val="0"/>
        <w:spacing w:line="360" w:lineRule="exact"/>
        <w:ind w:firstLine="420" w:firstLineChars="200"/>
        <w:rPr>
          <w:rFonts w:ascii="宋体" w:hAnsi="宋体" w:cs="宋体"/>
          <w:kern w:val="0"/>
          <w:szCs w:val="21"/>
        </w:rPr>
      </w:pPr>
      <w:r>
        <w:rPr>
          <w:rFonts w:hint="eastAsia" w:ascii="宋体" w:hAnsi="宋体" w:cs="宋体"/>
          <w:kern w:val="0"/>
          <w:szCs w:val="21"/>
        </w:rPr>
        <w:t>▲4.对在“信用中国”网站、“中国政府采购网”等被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360" w:lineRule="exact"/>
        <w:ind w:firstLine="420" w:firstLineChars="200"/>
        <w:rPr>
          <w:rFonts w:ascii="宋体" w:hAnsi="宋体" w:cs="宋体"/>
          <w:kern w:val="0"/>
          <w:szCs w:val="21"/>
        </w:rPr>
      </w:pPr>
      <w:r>
        <w:rPr>
          <w:rFonts w:hint="eastAsia" w:ascii="宋体" w:hAnsi="宋体" w:cs="宋体"/>
          <w:kern w:val="0"/>
          <w:szCs w:val="21"/>
        </w:rPr>
        <w:t>▲5.投标人应仔细阅读招标文件的所有内容，按照招标文件的要求提交投标文件，并对所提供的全部资料的真实性承担法律责任。</w:t>
      </w:r>
    </w:p>
    <w:p>
      <w:pPr>
        <w:snapToGrid w:val="0"/>
        <w:spacing w:line="360" w:lineRule="exact"/>
        <w:ind w:firstLine="420" w:firstLineChars="200"/>
        <w:rPr>
          <w:rFonts w:ascii="宋体" w:hAnsi="宋体" w:cs="宋体"/>
          <w:kern w:val="0"/>
          <w:szCs w:val="21"/>
        </w:rPr>
      </w:pPr>
      <w:r>
        <w:rPr>
          <w:rFonts w:hint="eastAsia" w:ascii="宋体" w:hAnsi="宋体" w:cs="宋体"/>
          <w:kern w:val="0"/>
          <w:szCs w:val="21"/>
        </w:rPr>
        <w:t>▲6.投标人在投标活动中提供任何虚假材料、互相串通投标，其投标无效，并报监管部门查处。</w:t>
      </w:r>
    </w:p>
    <w:p>
      <w:pPr>
        <w:snapToGrid w:val="0"/>
        <w:spacing w:line="360" w:lineRule="exact"/>
        <w:ind w:firstLine="420" w:firstLineChars="200"/>
        <w:rPr>
          <w:rFonts w:ascii="宋体" w:hAnsi="宋体" w:cs="宋体"/>
          <w:kern w:val="0"/>
        </w:rPr>
      </w:pPr>
      <w:bookmarkStart w:id="27" w:name="_Toc254970533"/>
      <w:bookmarkStart w:id="28" w:name="_Toc254970674"/>
      <w:r>
        <w:rPr>
          <w:rFonts w:hint="eastAsia" w:ascii="宋体" w:hAnsi="宋体" w:cs="宋体"/>
          <w:kern w:val="0"/>
          <w:szCs w:val="21"/>
        </w:rPr>
        <w:t>▲7.招标文件提供期限届满后，获取招标文件的潜在投标人不足3家的，本中心将顺延提供期限，</w:t>
      </w:r>
      <w:r>
        <w:rPr>
          <w:rFonts w:hint="eastAsia" w:hAnsi="宋体" w:cs="宋体"/>
          <w:kern w:val="0"/>
        </w:rPr>
        <w:t>并在省级以上财政部门指定的政府采购信息发布媒体及本中心网站上发布变更公告</w:t>
      </w:r>
      <w:r>
        <w:rPr>
          <w:rFonts w:hint="eastAsia" w:ascii="宋体" w:hAnsi="宋体" w:cs="宋体"/>
          <w:kern w:val="0"/>
        </w:rPr>
        <w:t>。</w:t>
      </w:r>
    </w:p>
    <w:p>
      <w:pPr>
        <w:spacing w:line="400" w:lineRule="exact"/>
        <w:ind w:firstLine="420" w:firstLineChars="200"/>
        <w:rPr>
          <w:rFonts w:ascii="宋体" w:hAnsi="宋体" w:cs="宋体"/>
          <w:kern w:val="0"/>
          <w:szCs w:val="21"/>
        </w:rPr>
      </w:pPr>
      <w:r>
        <w:rPr>
          <w:rFonts w:hint="eastAsia" w:ascii="宋体" w:hAnsi="宋体" w:cs="宋体"/>
          <w:kern w:val="0"/>
          <w:szCs w:val="21"/>
        </w:rPr>
        <w:t>▲8.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spacing w:line="400" w:lineRule="exact"/>
        <w:ind w:firstLine="420" w:firstLineChars="200"/>
        <w:rPr>
          <w:rFonts w:ascii="宋体" w:hAnsi="宋体" w:cs="宋体"/>
          <w:kern w:val="0"/>
          <w:szCs w:val="21"/>
        </w:rPr>
      </w:pPr>
      <w:r>
        <w:rPr>
          <w:rFonts w:hint="eastAsia" w:ascii="宋体" w:hAnsi="宋体" w:cs="宋体"/>
          <w:kern w:val="0"/>
          <w:szCs w:val="21"/>
        </w:rPr>
        <w:t>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电子签章），否则按无效投标处理。如本项目包含的货物属于品目清单内非标注“★”的产品时，应优先采购，具体详见“评标方法及评标标准”。</w:t>
      </w:r>
    </w:p>
    <w:p>
      <w:pPr>
        <w:spacing w:line="400" w:lineRule="exact"/>
        <w:ind w:firstLine="420" w:firstLineChars="200"/>
        <w:rPr>
          <w:rFonts w:ascii="宋体" w:hAnsi="宋体" w:cs="宋体"/>
          <w:kern w:val="0"/>
          <w:szCs w:val="21"/>
        </w:rPr>
      </w:pPr>
      <w:r>
        <w:rPr>
          <w:rFonts w:hint="eastAsia" w:ascii="宋体" w:hAnsi="宋体" w:cs="宋体"/>
          <w:kern w:val="0"/>
          <w:szCs w:val="21"/>
        </w:rPr>
        <w:t>修缮、装修类项目采购建材的，采购人应将绿色建筑和绿色建材性能、指标等作为实质性条件纳入招标文件和合同。</w:t>
      </w:r>
    </w:p>
    <w:p>
      <w:pPr>
        <w:spacing w:line="400" w:lineRule="exact"/>
        <w:ind w:firstLine="420" w:firstLineChars="200"/>
        <w:rPr>
          <w:rFonts w:ascii="宋体" w:hAnsi="宋体" w:cs="宋体"/>
          <w:kern w:val="0"/>
          <w:szCs w:val="21"/>
        </w:rPr>
      </w:pPr>
      <w:r>
        <w:rPr>
          <w:rFonts w:hint="eastAsia" w:ascii="宋体" w:hAnsi="宋体" w:cs="宋体"/>
          <w:kern w:val="0"/>
          <w:szCs w:val="21"/>
        </w:rPr>
        <w:t>为助力打好污染防治攻坚战，推广使用绿色包装，政府采购货物项目中涉及商品包装和快递包装的，供应商提供产品及相关快递服务的具体包装要求要参考《商品包装政府采购需求标准（试行）》、《快递包装政府采购需求标准（试行）》。</w:t>
      </w:r>
    </w:p>
    <w:bookmarkEnd w:id="27"/>
    <w:bookmarkEnd w:id="28"/>
    <w:p>
      <w:pPr>
        <w:pStyle w:val="29"/>
        <w:snapToGrid w:val="0"/>
        <w:spacing w:line="360" w:lineRule="exact"/>
        <w:ind w:firstLine="413" w:firstLineChars="196"/>
        <w:rPr>
          <w:rFonts w:hAnsi="宋体" w:cs="宋体"/>
          <w:b/>
          <w:bCs/>
          <w:sz w:val="21"/>
        </w:rPr>
      </w:pPr>
      <w:r>
        <w:rPr>
          <w:rFonts w:hint="eastAsia" w:hAnsi="宋体" w:cs="宋体"/>
          <w:b/>
          <w:sz w:val="21"/>
        </w:rPr>
        <w:t>（九）询问、质疑和投诉</w:t>
      </w:r>
    </w:p>
    <w:p>
      <w:pPr>
        <w:snapToGrid w:val="0"/>
        <w:spacing w:line="360" w:lineRule="exact"/>
        <w:ind w:firstLine="420" w:firstLineChars="200"/>
        <w:rPr>
          <w:rFonts w:ascii="宋体" w:hAnsi="宋体" w:cs="宋体"/>
          <w:kern w:val="0"/>
          <w:szCs w:val="21"/>
        </w:rPr>
      </w:pPr>
      <w:r>
        <w:rPr>
          <w:rFonts w:hint="eastAsia" w:ascii="宋体" w:hAnsi="宋体" w:cs="宋体"/>
          <w:kern w:val="0"/>
          <w:szCs w:val="21"/>
        </w:rPr>
        <w:t>1.投标人对政府采购活动事项有疑问的，可以向采购人、北海市</w:t>
      </w:r>
      <w:r>
        <w:rPr>
          <w:rFonts w:hint="eastAsia" w:ascii="宋体" w:hAnsi="宋体" w:cs="宋体"/>
          <w:kern w:val="0"/>
          <w:szCs w:val="21"/>
          <w:lang w:eastAsia="zh-CN"/>
        </w:rPr>
        <w:t>铁山港区</w:t>
      </w:r>
      <w:r>
        <w:rPr>
          <w:rFonts w:hint="eastAsia" w:ascii="宋体" w:hAnsi="宋体" w:cs="宋体"/>
          <w:kern w:val="0"/>
          <w:szCs w:val="21"/>
        </w:rPr>
        <w:t>政府采购中心提出询问。</w:t>
      </w:r>
    </w:p>
    <w:p>
      <w:pPr>
        <w:snapToGrid w:val="0"/>
        <w:spacing w:line="360" w:lineRule="exact"/>
        <w:ind w:firstLine="420" w:firstLineChars="200"/>
        <w:rPr>
          <w:rFonts w:ascii="宋体" w:hAnsi="宋体" w:cs="宋体"/>
          <w:kern w:val="0"/>
          <w:szCs w:val="21"/>
        </w:rPr>
      </w:pPr>
      <w:r>
        <w:rPr>
          <w:rFonts w:hint="eastAsia" w:ascii="宋体" w:hAnsi="宋体" w:cs="宋体"/>
          <w:kern w:val="0"/>
          <w:szCs w:val="21"/>
        </w:rPr>
        <w:t>2.投标人认为招标文件、招标过程或中标结果使自己的合法权益受到损害的，应当在知道或者应知其权益受到损害之日起七个工作日内，以书面形式向采购人、北海市</w:t>
      </w:r>
      <w:r>
        <w:rPr>
          <w:rFonts w:hint="eastAsia" w:ascii="宋体" w:hAnsi="宋体" w:cs="宋体"/>
          <w:kern w:val="0"/>
          <w:szCs w:val="21"/>
          <w:lang w:eastAsia="zh-CN"/>
        </w:rPr>
        <w:t>铁山港区</w:t>
      </w:r>
      <w:r>
        <w:rPr>
          <w:rFonts w:hint="eastAsia" w:ascii="宋体" w:hAnsi="宋体" w:cs="宋体"/>
          <w:kern w:val="0"/>
          <w:szCs w:val="21"/>
        </w:rPr>
        <w:t>政府采购中心提出质疑。具体计算时间如下：</w:t>
      </w:r>
    </w:p>
    <w:p>
      <w:pPr>
        <w:snapToGrid w:val="0"/>
        <w:spacing w:line="360" w:lineRule="exact"/>
        <w:ind w:firstLine="315" w:firstLineChars="150"/>
        <w:rPr>
          <w:rFonts w:ascii="宋体" w:hAnsi="宋体" w:cs="宋体"/>
          <w:kern w:val="0"/>
          <w:szCs w:val="21"/>
        </w:rPr>
      </w:pPr>
      <w:r>
        <w:rPr>
          <w:rFonts w:hint="eastAsia" w:ascii="宋体" w:hAnsi="宋体" w:cs="宋体"/>
          <w:kern w:val="0"/>
          <w:szCs w:val="21"/>
        </w:rPr>
        <w:t>（1）对可以质疑的招标采购文件提出质疑的，为收到采购文件之日；</w:t>
      </w:r>
    </w:p>
    <w:p>
      <w:pPr>
        <w:snapToGrid w:val="0"/>
        <w:spacing w:line="360" w:lineRule="exact"/>
        <w:ind w:firstLine="315" w:firstLineChars="150"/>
        <w:rPr>
          <w:rFonts w:ascii="宋体" w:hAnsi="宋体" w:cs="宋体"/>
          <w:kern w:val="0"/>
          <w:szCs w:val="21"/>
        </w:rPr>
      </w:pPr>
      <w:r>
        <w:rPr>
          <w:rFonts w:hint="eastAsia" w:ascii="宋体" w:hAnsi="宋体" w:cs="宋体"/>
          <w:kern w:val="0"/>
          <w:szCs w:val="21"/>
        </w:rPr>
        <w:t>（2）对招标采购过程提出质疑的，为各采购程序环节结束之日；</w:t>
      </w:r>
    </w:p>
    <w:p>
      <w:pPr>
        <w:snapToGrid w:val="0"/>
        <w:spacing w:line="360" w:lineRule="exact"/>
        <w:ind w:firstLine="315" w:firstLineChars="150"/>
        <w:rPr>
          <w:rFonts w:ascii="宋体" w:hAnsi="宋体" w:cs="宋体"/>
          <w:kern w:val="0"/>
          <w:szCs w:val="21"/>
        </w:rPr>
      </w:pPr>
      <w:r>
        <w:rPr>
          <w:rFonts w:hint="eastAsia" w:ascii="宋体" w:hAnsi="宋体" w:cs="宋体"/>
          <w:kern w:val="0"/>
          <w:szCs w:val="21"/>
        </w:rPr>
        <w:t>（3）对中标结果提出质疑的，为中标结果公告期限届满之日。投标人对招标采购单位的质疑答复不满意或者招标采购单位未在规定时间内作出答复的，可以在答复期满后十五个工作日内向同级采购监管部门投诉。</w:t>
      </w:r>
    </w:p>
    <w:p>
      <w:pPr>
        <w:pStyle w:val="29"/>
        <w:snapToGrid w:val="0"/>
        <w:spacing w:line="360" w:lineRule="exact"/>
        <w:ind w:firstLine="420" w:firstLineChars="200"/>
        <w:rPr>
          <w:rFonts w:hAnsi="宋体" w:cs="宋体"/>
          <w:sz w:val="21"/>
        </w:rPr>
      </w:pPr>
      <w:r>
        <w:rPr>
          <w:rFonts w:hint="eastAsia" w:hAnsi="宋体" w:cs="宋体"/>
          <w:sz w:val="21"/>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pPr>
        <w:pStyle w:val="29"/>
        <w:adjustRightInd w:val="0"/>
        <w:snapToGrid w:val="0"/>
        <w:spacing w:line="360" w:lineRule="exact"/>
        <w:ind w:firstLine="420" w:firstLineChars="200"/>
        <w:rPr>
          <w:rFonts w:hAnsi="宋体" w:cs="宋体"/>
          <w:sz w:val="21"/>
        </w:rPr>
      </w:pPr>
      <w:bookmarkStart w:id="29" w:name="_Toc254970534"/>
      <w:bookmarkStart w:id="30" w:name="_Toc254970675"/>
      <w:r>
        <w:rPr>
          <w:rFonts w:hint="eastAsia" w:hAnsi="宋体" w:cs="宋体"/>
          <w:sz w:val="21"/>
        </w:rPr>
        <w:t>（1）质疑联系部门及电话为：北海市</w:t>
      </w:r>
      <w:r>
        <w:rPr>
          <w:rFonts w:hint="eastAsia" w:hAnsi="宋体" w:cs="宋体"/>
          <w:sz w:val="21"/>
          <w:lang w:eastAsia="zh-CN"/>
        </w:rPr>
        <w:t>铁山港区</w:t>
      </w:r>
      <w:r>
        <w:rPr>
          <w:rFonts w:hint="eastAsia" w:hAnsi="宋体" w:cs="宋体"/>
          <w:sz w:val="21"/>
        </w:rPr>
        <w:t>政府采购中心        0779-</w:t>
      </w:r>
      <w:r>
        <w:rPr>
          <w:rFonts w:hint="eastAsia" w:hAnsi="宋体" w:cs="宋体"/>
          <w:sz w:val="21"/>
          <w:lang w:val="en-US" w:eastAsia="zh-CN"/>
        </w:rPr>
        <w:t>8610156</w:t>
      </w:r>
      <w:r>
        <w:rPr>
          <w:rFonts w:hint="eastAsia" w:hAnsi="宋体" w:cs="宋体"/>
          <w:sz w:val="21"/>
        </w:rPr>
        <w:t>。</w:t>
      </w:r>
    </w:p>
    <w:p>
      <w:pPr>
        <w:pStyle w:val="29"/>
        <w:adjustRightInd w:val="0"/>
        <w:snapToGrid w:val="0"/>
        <w:spacing w:line="360" w:lineRule="exact"/>
        <w:ind w:firstLine="420" w:firstLineChars="200"/>
        <w:rPr>
          <w:rFonts w:hAnsi="宋体" w:cs="宋体"/>
          <w:sz w:val="21"/>
        </w:rPr>
      </w:pPr>
      <w:r>
        <w:rPr>
          <w:rFonts w:hint="eastAsia" w:hAnsi="宋体" w:cs="宋体"/>
          <w:sz w:val="21"/>
        </w:rPr>
        <w:t>（2）投诉联系部门及电话为：北海市</w:t>
      </w:r>
      <w:r>
        <w:rPr>
          <w:rFonts w:hint="eastAsia" w:hAnsi="宋体" w:cs="宋体"/>
          <w:sz w:val="21"/>
          <w:lang w:eastAsia="zh-CN"/>
        </w:rPr>
        <w:t>铁山港区</w:t>
      </w:r>
      <w:r>
        <w:rPr>
          <w:rFonts w:hint="eastAsia" w:hAnsi="宋体" w:cs="宋体"/>
          <w:sz w:val="21"/>
        </w:rPr>
        <w:t xml:space="preserve">财政局                     </w:t>
      </w:r>
      <w:r>
        <w:rPr>
          <w:rFonts w:hAnsi="宋体" w:cs="宋体"/>
          <w:sz w:val="21"/>
        </w:rPr>
        <w:t>0779-</w:t>
      </w:r>
      <w:r>
        <w:rPr>
          <w:rFonts w:hint="eastAsia" w:hAnsi="宋体" w:cs="宋体"/>
          <w:sz w:val="21"/>
          <w:lang w:val="en-US" w:eastAsia="zh-CN"/>
        </w:rPr>
        <w:t>8610552</w:t>
      </w:r>
      <w:r>
        <w:rPr>
          <w:rFonts w:hint="eastAsia" w:hAnsi="宋体" w:cs="宋体"/>
          <w:sz w:val="21"/>
        </w:rPr>
        <w:t>。</w:t>
      </w:r>
    </w:p>
    <w:p>
      <w:pPr>
        <w:pStyle w:val="29"/>
        <w:adjustRightInd w:val="0"/>
        <w:snapToGrid w:val="0"/>
        <w:spacing w:line="360" w:lineRule="exact"/>
        <w:ind w:firstLine="421" w:firstLineChars="200"/>
        <w:rPr>
          <w:rFonts w:hAnsi="宋体" w:cs="宋体"/>
          <w:b/>
          <w:bCs/>
          <w:kern w:val="2"/>
          <w:sz w:val="21"/>
        </w:rPr>
      </w:pPr>
      <w:r>
        <w:rPr>
          <w:rFonts w:hint="eastAsia" w:hAnsi="宋体" w:cs="宋体"/>
          <w:b/>
          <w:bCs/>
          <w:kern w:val="2"/>
          <w:sz w:val="21"/>
        </w:rPr>
        <w:t>注：供应商可通过广西政府采购云平台进入“项目采购-询问质疑投诉”栏目在线提起询问、质疑，对质疑答复不满意或者未收到答复的可以向监督部门在线提起投诉。</w:t>
      </w:r>
    </w:p>
    <w:p>
      <w:pPr>
        <w:pStyle w:val="29"/>
        <w:adjustRightInd w:val="0"/>
        <w:snapToGrid w:val="0"/>
        <w:spacing w:line="360" w:lineRule="exact"/>
        <w:ind w:firstLine="562" w:firstLineChars="200"/>
        <w:rPr>
          <w:rFonts w:hAnsi="宋体" w:cs="宋体"/>
          <w:b/>
          <w:sz w:val="28"/>
          <w:szCs w:val="28"/>
        </w:rPr>
      </w:pPr>
      <w:r>
        <w:rPr>
          <w:rFonts w:hint="eastAsia" w:hAnsi="宋体" w:cs="宋体"/>
          <w:b/>
          <w:sz w:val="28"/>
          <w:szCs w:val="28"/>
        </w:rPr>
        <w:t>二、招标文件</w:t>
      </w:r>
      <w:bookmarkEnd w:id="29"/>
      <w:bookmarkEnd w:id="30"/>
    </w:p>
    <w:p>
      <w:pPr>
        <w:snapToGrid w:val="0"/>
        <w:spacing w:line="360" w:lineRule="exact"/>
        <w:ind w:firstLine="413" w:firstLineChars="196"/>
        <w:jc w:val="left"/>
        <w:rPr>
          <w:rFonts w:ascii="宋体" w:hAnsi="宋体" w:cs="宋体"/>
          <w:b/>
          <w:szCs w:val="21"/>
        </w:rPr>
      </w:pPr>
      <w:r>
        <w:rPr>
          <w:rFonts w:hint="eastAsia" w:ascii="宋体" w:hAnsi="宋体" w:cs="宋体"/>
          <w:b/>
          <w:szCs w:val="21"/>
        </w:rPr>
        <w:t>（一）招标文件的构成。</w:t>
      </w:r>
    </w:p>
    <w:p>
      <w:pPr>
        <w:snapToGrid w:val="0"/>
        <w:spacing w:line="360" w:lineRule="exact"/>
        <w:ind w:firstLine="420" w:firstLineChars="200"/>
        <w:jc w:val="left"/>
        <w:rPr>
          <w:rFonts w:ascii="宋体" w:hAnsi="宋体" w:cs="宋体"/>
          <w:szCs w:val="21"/>
        </w:rPr>
      </w:pPr>
      <w:r>
        <w:rPr>
          <w:rFonts w:hint="eastAsia" w:ascii="宋体" w:hAnsi="宋体" w:cs="宋体"/>
          <w:szCs w:val="21"/>
        </w:rPr>
        <w:t>1.公开招标公告；</w:t>
      </w:r>
    </w:p>
    <w:p>
      <w:pPr>
        <w:snapToGrid w:val="0"/>
        <w:spacing w:line="360" w:lineRule="exact"/>
        <w:ind w:firstLine="420" w:firstLineChars="200"/>
        <w:jc w:val="left"/>
        <w:rPr>
          <w:rFonts w:ascii="宋体" w:hAnsi="宋体" w:cs="宋体"/>
          <w:szCs w:val="21"/>
        </w:rPr>
      </w:pPr>
      <w:r>
        <w:rPr>
          <w:rFonts w:hint="eastAsia" w:ascii="宋体" w:hAnsi="宋体" w:cs="宋体"/>
          <w:szCs w:val="21"/>
        </w:rPr>
        <w:t>2.招标项目采购需求</w:t>
      </w:r>
    </w:p>
    <w:p>
      <w:pPr>
        <w:snapToGrid w:val="0"/>
        <w:spacing w:line="360" w:lineRule="exact"/>
        <w:ind w:firstLine="420" w:firstLineChars="200"/>
        <w:jc w:val="left"/>
        <w:rPr>
          <w:rFonts w:ascii="宋体" w:hAnsi="宋体" w:cs="宋体"/>
          <w:szCs w:val="21"/>
        </w:rPr>
      </w:pPr>
      <w:r>
        <w:rPr>
          <w:rFonts w:hint="eastAsia" w:ascii="宋体" w:hAnsi="宋体" w:cs="宋体"/>
          <w:szCs w:val="21"/>
        </w:rPr>
        <w:t>3.投标人须知；</w:t>
      </w:r>
    </w:p>
    <w:p>
      <w:pPr>
        <w:snapToGrid w:val="0"/>
        <w:spacing w:line="360" w:lineRule="exact"/>
        <w:ind w:firstLine="420" w:firstLineChars="200"/>
        <w:jc w:val="left"/>
        <w:rPr>
          <w:rFonts w:ascii="宋体" w:hAnsi="宋体" w:cs="宋体"/>
          <w:szCs w:val="21"/>
        </w:rPr>
      </w:pPr>
      <w:r>
        <w:rPr>
          <w:rFonts w:hint="eastAsia" w:ascii="宋体" w:hAnsi="宋体" w:cs="宋体"/>
          <w:szCs w:val="21"/>
        </w:rPr>
        <w:t>4.评标方法及评定标准；</w:t>
      </w:r>
    </w:p>
    <w:p>
      <w:pPr>
        <w:snapToGrid w:val="0"/>
        <w:spacing w:line="360" w:lineRule="exact"/>
        <w:ind w:firstLine="420" w:firstLineChars="200"/>
        <w:jc w:val="left"/>
        <w:rPr>
          <w:rFonts w:ascii="宋体" w:hAnsi="宋体" w:cs="宋体"/>
          <w:szCs w:val="21"/>
        </w:rPr>
      </w:pPr>
      <w:r>
        <w:rPr>
          <w:rFonts w:hint="eastAsia" w:ascii="宋体" w:hAnsi="宋体" w:cs="宋体"/>
          <w:szCs w:val="21"/>
        </w:rPr>
        <w:t>5.政府采购合同主要条款；</w:t>
      </w:r>
    </w:p>
    <w:p>
      <w:pPr>
        <w:snapToGrid w:val="0"/>
        <w:spacing w:line="360" w:lineRule="exact"/>
        <w:ind w:firstLine="420" w:firstLineChars="200"/>
        <w:jc w:val="left"/>
        <w:rPr>
          <w:rFonts w:ascii="宋体" w:hAnsi="宋体" w:cs="宋体"/>
          <w:szCs w:val="21"/>
        </w:rPr>
      </w:pPr>
      <w:r>
        <w:rPr>
          <w:rFonts w:hint="eastAsia" w:ascii="宋体" w:hAnsi="宋体" w:cs="宋体"/>
          <w:szCs w:val="21"/>
        </w:rPr>
        <w:t>6.投标文件格式。</w:t>
      </w:r>
    </w:p>
    <w:p>
      <w:pPr>
        <w:snapToGrid w:val="0"/>
        <w:spacing w:before="156" w:beforeLines="50" w:line="360" w:lineRule="exact"/>
        <w:ind w:firstLine="413" w:firstLineChars="196"/>
        <w:jc w:val="left"/>
        <w:rPr>
          <w:rFonts w:ascii="宋体" w:hAnsi="宋体" w:cs="宋体"/>
          <w:b/>
          <w:szCs w:val="21"/>
        </w:rPr>
      </w:pPr>
      <w:r>
        <w:rPr>
          <w:rFonts w:hint="eastAsia" w:ascii="宋体" w:hAnsi="宋体" w:cs="宋体"/>
          <w:b/>
          <w:szCs w:val="21"/>
        </w:rPr>
        <w:t>（二）投标人的风险</w:t>
      </w:r>
    </w:p>
    <w:p>
      <w:pPr>
        <w:tabs>
          <w:tab w:val="left" w:pos="180"/>
          <w:tab w:val="left" w:pos="1620"/>
        </w:tabs>
        <w:spacing w:line="400" w:lineRule="exact"/>
        <w:ind w:firstLine="420" w:firstLineChars="200"/>
        <w:rPr>
          <w:rFonts w:ascii="宋体" w:hAnsi="宋体" w:cs="宋体"/>
          <w:szCs w:val="21"/>
        </w:rPr>
      </w:pPr>
      <w:r>
        <w:rPr>
          <w:rFonts w:hint="eastAsia" w:ascii="宋体" w:hAnsi="宋体" w:cs="宋体"/>
          <w:szCs w:val="21"/>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r>
        <w:rPr>
          <w:rFonts w:hint="eastAsia" w:ascii="宋体" w:hAnsi="宋体" w:cs="宋体"/>
          <w:szCs w:val="21"/>
        </w:rPr>
        <w:cr/>
      </w:r>
      <w:r>
        <w:rPr>
          <w:rFonts w:hint="eastAsia" w:ascii="宋体" w:hAnsi="宋体" w:cs="宋体"/>
          <w:szCs w:val="21"/>
        </w:rPr>
        <w:t xml:space="preserve">    2.对招标文件提出的实质性要求和条件作出明确响应是指投标人必须对招标文件中涉及招标项目的价格、采购货物的主要技术参数和性能配置、数量、交货（或竣工）时间、售后服务及其它要求、合同主要条款等内容作出明确响应。</w:t>
      </w:r>
    </w:p>
    <w:p>
      <w:pPr>
        <w:pStyle w:val="14"/>
        <w:widowControl w:val="0"/>
        <w:tabs>
          <w:tab w:val="clear" w:pos="454"/>
        </w:tabs>
        <w:snapToGrid w:val="0"/>
        <w:spacing w:before="156" w:beforeLines="50" w:afterLines="0" w:line="360" w:lineRule="exact"/>
        <w:ind w:left="0" w:firstLine="413" w:firstLineChars="196"/>
        <w:rPr>
          <w:rFonts w:ascii="宋体" w:hAnsi="宋体" w:cs="宋体"/>
          <w:b/>
          <w:sz w:val="21"/>
          <w:szCs w:val="21"/>
        </w:rPr>
      </w:pPr>
      <w:r>
        <w:rPr>
          <w:rFonts w:hint="eastAsia" w:ascii="宋体" w:hAnsi="宋体" w:cs="宋体"/>
          <w:b/>
          <w:sz w:val="21"/>
          <w:szCs w:val="21"/>
        </w:rPr>
        <w:t>（三）招标文件的澄清与修改</w:t>
      </w:r>
    </w:p>
    <w:p>
      <w:pPr>
        <w:pStyle w:val="29"/>
        <w:snapToGrid w:val="0"/>
        <w:spacing w:line="360" w:lineRule="exact"/>
        <w:ind w:firstLine="420" w:firstLineChars="200"/>
        <w:rPr>
          <w:rFonts w:hAnsi="宋体" w:cs="宋体"/>
          <w:kern w:val="2"/>
          <w:sz w:val="21"/>
        </w:rPr>
      </w:pPr>
      <w:r>
        <w:rPr>
          <w:rFonts w:hint="eastAsia" w:hAnsi="宋体" w:cs="宋体"/>
          <w:kern w:val="2"/>
          <w:sz w:val="21"/>
        </w:rPr>
        <w:t>1.采购人或者本中心可以对已发出的招标文件进行必要的澄清或者修改。澄清或者修改的内容可能影响投标文件编制的，采购人或者本中心应当在投标截止时间至少15日前，</w:t>
      </w:r>
      <w:r>
        <w:rPr>
          <w:rFonts w:hint="eastAsia" w:hAnsi="宋体" w:cs="Courier New"/>
          <w:kern w:val="2"/>
          <w:sz w:val="21"/>
        </w:rPr>
        <w:t>应当在招标文件要求提交投标文件截止时间15日前，在省级以上财政部门指定的政府采购信息发布媒体及本中心网站上发布更正公告，</w:t>
      </w:r>
      <w:r>
        <w:rPr>
          <w:rFonts w:hint="eastAsia" w:hAnsi="宋体" w:cs="宋体"/>
          <w:kern w:val="2"/>
          <w:sz w:val="21"/>
        </w:rPr>
        <w:t>并以书面形式通知所有获取招标文件的潜在投标人；不足15日的，顺延至15日。澄清或者修改的内容为招标文件的组成部分。</w:t>
      </w:r>
    </w:p>
    <w:p>
      <w:pPr>
        <w:pStyle w:val="29"/>
        <w:snapToGrid w:val="0"/>
        <w:spacing w:line="360" w:lineRule="exact"/>
        <w:ind w:firstLine="420" w:firstLineChars="200"/>
        <w:rPr>
          <w:rFonts w:hAnsi="宋体" w:cs="宋体"/>
          <w:kern w:val="2"/>
          <w:sz w:val="21"/>
        </w:rPr>
      </w:pPr>
      <w:r>
        <w:rPr>
          <w:rFonts w:hint="eastAsia" w:hAnsi="宋体" w:cs="宋体"/>
          <w:kern w:val="2"/>
          <w:sz w:val="21"/>
        </w:rPr>
        <w:t>2.本中心必须以书面形式答复投标人要求澄清的问题，并将不包含问题来源的答复书面通知所有报名登记的投标人；除书面答复以外的其他澄清方式及澄清内容均无效。</w:t>
      </w:r>
    </w:p>
    <w:p>
      <w:pPr>
        <w:pStyle w:val="29"/>
        <w:snapToGrid w:val="0"/>
        <w:spacing w:line="360" w:lineRule="exact"/>
        <w:ind w:firstLine="420" w:firstLineChars="200"/>
        <w:rPr>
          <w:rFonts w:hAnsi="宋体" w:cs="宋体"/>
          <w:kern w:val="2"/>
          <w:sz w:val="21"/>
        </w:rPr>
      </w:pPr>
      <w:r>
        <w:rPr>
          <w:rFonts w:hint="eastAsia" w:hAnsi="宋体" w:cs="宋体"/>
          <w:kern w:val="2"/>
          <w:sz w:val="21"/>
        </w:rPr>
        <w:t>3.招标文件的答疑、澄清、修改、补充的内容为招标文件的组成部分。当招标文件与招标文件的答疑、澄清、修改、补充通知就同一内容的表述不一致时，以最后发出的书面文件为准。</w:t>
      </w:r>
    </w:p>
    <w:p>
      <w:pPr>
        <w:pStyle w:val="29"/>
        <w:snapToGrid w:val="0"/>
        <w:spacing w:line="360" w:lineRule="exact"/>
        <w:ind w:firstLine="420" w:firstLineChars="200"/>
        <w:rPr>
          <w:rFonts w:hAnsi="宋体" w:cs="宋体"/>
          <w:kern w:val="2"/>
          <w:sz w:val="21"/>
        </w:rPr>
      </w:pPr>
      <w:r>
        <w:rPr>
          <w:rFonts w:hint="eastAsia" w:hAnsi="宋体" w:cs="宋体"/>
          <w:kern w:val="2"/>
          <w:sz w:val="21"/>
        </w:rPr>
        <w:t>4.招标文件的答疑、澄清、修改、补充都应该通过本中心以法定形式发布，采购人非通过本中心，不得擅自答疑、澄清、修改、补充招标文件。</w:t>
      </w:r>
    </w:p>
    <w:p>
      <w:pPr>
        <w:pStyle w:val="29"/>
        <w:snapToGrid w:val="0"/>
        <w:spacing w:line="360" w:lineRule="exact"/>
        <w:ind w:firstLine="420" w:firstLineChars="200"/>
        <w:rPr>
          <w:rFonts w:hAnsi="宋体" w:cs="宋体"/>
          <w:kern w:val="2"/>
          <w:sz w:val="21"/>
        </w:rPr>
      </w:pPr>
      <w:r>
        <w:rPr>
          <w:rFonts w:hint="eastAsia" w:hAnsi="宋体" w:cs="宋体"/>
          <w:kern w:val="2"/>
          <w:sz w:val="21"/>
        </w:rPr>
        <w:t>5.本中心可以视采购具体情况，延长招标文件或者资格预审文件提供期限，</w:t>
      </w:r>
      <w:r>
        <w:rPr>
          <w:rFonts w:hint="eastAsia" w:hAnsi="宋体" w:cs="Courier New"/>
          <w:kern w:val="2"/>
          <w:sz w:val="21"/>
        </w:rPr>
        <w:t>并在省级以上财政部门指定的政府采购信息发布媒体及本中心网站上发布公告</w:t>
      </w:r>
      <w:r>
        <w:rPr>
          <w:rFonts w:hint="eastAsia" w:hAnsi="宋体" w:cs="宋体"/>
          <w:kern w:val="2"/>
          <w:sz w:val="21"/>
        </w:rPr>
        <w:t>。</w:t>
      </w:r>
    </w:p>
    <w:p>
      <w:pPr>
        <w:pStyle w:val="22"/>
        <w:adjustRightInd w:val="0"/>
        <w:snapToGrid w:val="0"/>
        <w:spacing w:line="360" w:lineRule="exact"/>
        <w:ind w:firstLine="562" w:firstLineChars="200"/>
        <w:outlineLvl w:val="1"/>
        <w:rPr>
          <w:rFonts w:ascii="宋体" w:hAnsi="宋体" w:eastAsia="宋体" w:cs="宋体"/>
          <w:b/>
          <w:bCs/>
          <w:kern w:val="2"/>
          <w:sz w:val="28"/>
          <w:szCs w:val="28"/>
        </w:rPr>
      </w:pPr>
      <w:bookmarkStart w:id="31" w:name="_Toc254970676"/>
      <w:bookmarkStart w:id="32" w:name="_Toc254970535"/>
      <w:r>
        <w:rPr>
          <w:rFonts w:hint="eastAsia" w:ascii="宋体" w:hAnsi="宋体" w:eastAsia="宋体" w:cs="宋体"/>
          <w:b/>
          <w:bCs/>
          <w:kern w:val="2"/>
          <w:sz w:val="28"/>
          <w:szCs w:val="28"/>
        </w:rPr>
        <w:t>三、投标文件的编制</w:t>
      </w:r>
      <w:bookmarkEnd w:id="31"/>
      <w:bookmarkEnd w:id="32"/>
    </w:p>
    <w:p>
      <w:pPr>
        <w:snapToGrid w:val="0"/>
        <w:spacing w:line="360" w:lineRule="exact"/>
        <w:ind w:firstLine="413" w:firstLineChars="196"/>
        <w:jc w:val="left"/>
        <w:rPr>
          <w:rFonts w:ascii="宋体" w:hAnsi="宋体" w:cs="宋体"/>
          <w:b/>
          <w:szCs w:val="21"/>
        </w:rPr>
      </w:pPr>
      <w:bookmarkStart w:id="33" w:name="_Toc254970677"/>
      <w:bookmarkStart w:id="34" w:name="_Toc254970536"/>
      <w:r>
        <w:rPr>
          <w:rFonts w:hint="eastAsia" w:ascii="宋体" w:hAnsi="宋体" w:cs="宋体"/>
          <w:b/>
          <w:szCs w:val="21"/>
        </w:rPr>
        <w:t>（一）投标文件的组成</w:t>
      </w:r>
      <w:bookmarkEnd w:id="33"/>
      <w:bookmarkEnd w:id="34"/>
    </w:p>
    <w:p>
      <w:pPr>
        <w:snapToGrid w:val="0"/>
        <w:spacing w:line="360" w:lineRule="exact"/>
        <w:ind w:firstLine="420" w:firstLineChars="200"/>
        <w:jc w:val="left"/>
        <w:outlineLvl w:val="1"/>
        <w:rPr>
          <w:rFonts w:ascii="宋体" w:hAnsi="宋体" w:cs="宋体"/>
          <w:szCs w:val="21"/>
        </w:rPr>
      </w:pPr>
      <w:r>
        <w:rPr>
          <w:rFonts w:hint="eastAsia" w:ascii="宋体" w:hAnsi="宋体" w:cs="宋体"/>
          <w:szCs w:val="21"/>
        </w:rPr>
        <w:t>1.投标文件编制基本要求</w:t>
      </w:r>
    </w:p>
    <w:p>
      <w:pPr>
        <w:snapToGrid w:val="0"/>
        <w:spacing w:line="360" w:lineRule="exact"/>
        <w:ind w:firstLine="420" w:firstLineChars="200"/>
        <w:jc w:val="left"/>
        <w:rPr>
          <w:rFonts w:ascii="宋体" w:hAnsi="宋体" w:cs="宋体"/>
          <w:szCs w:val="21"/>
        </w:rPr>
      </w:pPr>
      <w:r>
        <w:rPr>
          <w:rFonts w:hint="eastAsia" w:ascii="宋体" w:hAnsi="宋体" w:cs="宋体"/>
          <w:szCs w:val="21"/>
        </w:rPr>
        <w:t>1.1本项目实行电子投标，供应商应准备</w:t>
      </w:r>
      <w:r>
        <w:rPr>
          <w:rFonts w:hint="eastAsia" w:ascii="宋体" w:hAnsi="宋体" w:cs="宋体"/>
          <w:b/>
          <w:szCs w:val="21"/>
        </w:rPr>
        <w:t>电子投标文件</w:t>
      </w:r>
      <w:r>
        <w:rPr>
          <w:rFonts w:hint="eastAsia" w:ascii="宋体" w:hAnsi="宋体" w:cs="宋体"/>
          <w:szCs w:val="21"/>
        </w:rPr>
        <w:t>：</w:t>
      </w:r>
    </w:p>
    <w:p>
      <w:pPr>
        <w:snapToGrid w:val="0"/>
        <w:spacing w:line="360" w:lineRule="exact"/>
        <w:ind w:firstLine="420" w:firstLineChars="200"/>
        <w:jc w:val="left"/>
        <w:rPr>
          <w:rFonts w:ascii="宋体" w:hAnsi="宋体" w:cs="宋体"/>
          <w:szCs w:val="21"/>
        </w:rPr>
      </w:pPr>
      <w:r>
        <w:rPr>
          <w:rFonts w:hint="eastAsia" w:ascii="宋体" w:hAnsi="宋体" w:cs="宋体"/>
          <w:szCs w:val="21"/>
        </w:rPr>
        <w:t>电子投标文件按广西政府采购云平台要求及本招标文件要求制作、加密并递交。具体操作流程可参考《政府采购项目电子交易管理操作指南-供应商》，指南可在“北海市人民政府网-</w:t>
      </w:r>
      <w:bookmarkStart w:id="69" w:name="_GoBack"/>
      <w:r>
        <w:rPr>
          <w:rFonts w:hint="eastAsia" w:ascii="宋体" w:hAnsi="宋体" w:cs="宋体"/>
          <w:szCs w:val="21"/>
        </w:rPr>
        <w:t>北海市政府采购中心</w:t>
      </w:r>
      <w:bookmarkEnd w:id="69"/>
      <w:r>
        <w:rPr>
          <w:rFonts w:hint="eastAsia" w:ascii="宋体" w:hAnsi="宋体" w:cs="宋体"/>
          <w:szCs w:val="21"/>
        </w:rPr>
        <w:t>网站-办事指南-政府采购项目电子交易管理操作指南”下载。</w:t>
      </w:r>
    </w:p>
    <w:p>
      <w:pPr>
        <w:snapToGrid w:val="0"/>
        <w:spacing w:line="360" w:lineRule="exact"/>
        <w:ind w:firstLine="420" w:firstLineChars="200"/>
        <w:jc w:val="left"/>
        <w:rPr>
          <w:rFonts w:ascii="宋体" w:hAnsi="宋体" w:cs="宋体"/>
          <w:szCs w:val="21"/>
        </w:rPr>
      </w:pPr>
      <w:r>
        <w:rPr>
          <w:rFonts w:hint="eastAsia" w:ascii="宋体" w:hAnsi="宋体" w:cs="宋体"/>
          <w:szCs w:val="21"/>
        </w:rPr>
        <w:t>1.2供应商提交的投标文件以及供应商与本中心和采购人就有关投标的所有来往函电均应使用中文。供应商提交的支持文件和印刷的文献可以使用别的语言，但其相应内容必须附有中文翻译文本，在解释投标文件时以翻译文本为主。</w:t>
      </w:r>
    </w:p>
    <w:p>
      <w:pPr>
        <w:snapToGrid w:val="0"/>
        <w:spacing w:line="360" w:lineRule="exact"/>
        <w:ind w:firstLine="420" w:firstLineChars="200"/>
        <w:jc w:val="left"/>
        <w:rPr>
          <w:rFonts w:ascii="宋体" w:hAnsi="宋体" w:cs="宋体"/>
          <w:szCs w:val="21"/>
        </w:rPr>
      </w:pPr>
      <w:r>
        <w:rPr>
          <w:rFonts w:hint="eastAsia" w:ascii="宋体" w:hAnsi="宋体" w:cs="宋体"/>
          <w:szCs w:val="21"/>
        </w:rPr>
        <w:t>1.3供应商应认真阅读、并充分理解本文件的全部内容（包括所有的澄清、更改、补充、答疑等内容），承诺并履行本文件中各项条款规定及要求。</w:t>
      </w:r>
    </w:p>
    <w:p>
      <w:pPr>
        <w:snapToGrid w:val="0"/>
        <w:spacing w:line="360" w:lineRule="exact"/>
        <w:ind w:firstLine="420" w:firstLineChars="200"/>
        <w:jc w:val="left"/>
        <w:rPr>
          <w:rFonts w:ascii="宋体" w:hAnsi="宋体" w:cs="宋体"/>
          <w:szCs w:val="21"/>
        </w:rPr>
      </w:pPr>
      <w:r>
        <w:rPr>
          <w:rFonts w:hint="eastAsia" w:ascii="宋体" w:hAnsi="宋体" w:cs="宋体"/>
          <w:szCs w:val="21"/>
        </w:rPr>
        <w:t>1.4投标文件必须按本文件的全部内容，包括所有的澄清、更改、补充、答疑等内容及附件进行编制。</w:t>
      </w:r>
    </w:p>
    <w:p>
      <w:pPr>
        <w:snapToGrid w:val="0"/>
        <w:spacing w:line="360" w:lineRule="exact"/>
        <w:ind w:firstLine="420" w:firstLineChars="200"/>
        <w:jc w:val="left"/>
        <w:rPr>
          <w:rFonts w:ascii="宋体" w:hAnsi="宋体" w:cs="宋体"/>
          <w:szCs w:val="21"/>
        </w:rPr>
      </w:pPr>
      <w:r>
        <w:rPr>
          <w:rFonts w:hint="eastAsia" w:ascii="宋体" w:hAnsi="宋体" w:cs="宋体"/>
          <w:szCs w:val="21"/>
        </w:rPr>
        <w:t>1.5如因供应商只填写和提供了本文件要求的部分内容和附件，而给评标委员会评审造成困难，其可能导致的结果和责任由供应商自行承担。</w:t>
      </w:r>
    </w:p>
    <w:p>
      <w:pPr>
        <w:snapToGrid w:val="0"/>
        <w:spacing w:line="360" w:lineRule="exact"/>
        <w:ind w:firstLine="420" w:firstLineChars="200"/>
        <w:jc w:val="left"/>
        <w:rPr>
          <w:rFonts w:ascii="宋体" w:hAnsi="宋体" w:cs="宋体"/>
          <w:szCs w:val="21"/>
        </w:rPr>
      </w:pPr>
      <w:r>
        <w:rPr>
          <w:rFonts w:hint="eastAsia" w:ascii="宋体" w:hAnsi="宋体" w:cs="宋体"/>
          <w:szCs w:val="21"/>
        </w:rPr>
        <w:t>1.6投标文件的组成：投标文件应分为资格文件、资信及商务文件商务、技术文件、报价文件四个部分组成。供应商应仔细阅读采购文件的所有内容，按招标文件的要求，详细编制投标文件。</w:t>
      </w:r>
    </w:p>
    <w:p>
      <w:pPr>
        <w:snapToGrid w:val="0"/>
        <w:spacing w:line="360" w:lineRule="exact"/>
        <w:ind w:firstLine="420" w:firstLineChars="200"/>
        <w:jc w:val="left"/>
        <w:rPr>
          <w:rFonts w:ascii="宋体" w:hAnsi="宋体" w:cs="宋体"/>
          <w:szCs w:val="21"/>
        </w:rPr>
      </w:pPr>
      <w:r>
        <w:rPr>
          <w:rFonts w:hint="eastAsia" w:ascii="宋体" w:hAnsi="宋体" w:cs="宋体"/>
          <w:szCs w:val="21"/>
        </w:rPr>
        <w:t>1.7全面实行全流程电子化采购后进一步精简评标事项和环节，梳理采购流程，取消原件审查、核对等环节。资格条件证明材料、业绩证明、授权书等材料均以电子采购文件为评审依据，供应商须对所提供材料的真实性和一致性负责。</w:t>
      </w:r>
    </w:p>
    <w:p>
      <w:pPr>
        <w:snapToGrid w:val="0"/>
        <w:spacing w:line="360" w:lineRule="exact"/>
        <w:ind w:firstLine="421" w:firstLineChars="200"/>
        <w:jc w:val="left"/>
        <w:outlineLvl w:val="1"/>
        <w:rPr>
          <w:rFonts w:ascii="宋体" w:hAnsi="宋体" w:cs="宋体"/>
          <w:szCs w:val="21"/>
        </w:rPr>
      </w:pPr>
      <w:r>
        <w:rPr>
          <w:rFonts w:hint="eastAsia" w:ascii="宋体" w:hAnsi="宋体" w:cs="宋体"/>
          <w:b/>
          <w:szCs w:val="21"/>
        </w:rPr>
        <w:t>2.资格文件：</w:t>
      </w:r>
    </w:p>
    <w:p>
      <w:pPr>
        <w:snapToGrid w:val="0"/>
        <w:spacing w:line="360" w:lineRule="exact"/>
        <w:ind w:firstLine="210" w:firstLineChars="100"/>
        <w:jc w:val="left"/>
        <w:rPr>
          <w:rFonts w:ascii="宋体" w:hAnsi="宋体" w:cs="宋体"/>
          <w:b/>
          <w:szCs w:val="21"/>
        </w:rPr>
      </w:pPr>
      <w:r>
        <w:rPr>
          <w:rFonts w:hint="eastAsia" w:ascii="宋体" w:hAnsi="宋体" w:cs="宋体"/>
          <w:szCs w:val="21"/>
        </w:rPr>
        <w:t>▲</w:t>
      </w:r>
      <w:r>
        <w:rPr>
          <w:rFonts w:hint="eastAsia" w:ascii="宋体" w:hAnsi="宋体" w:cs="宋体"/>
          <w:b/>
          <w:szCs w:val="21"/>
        </w:rPr>
        <w:t>（1）</w:t>
      </w:r>
      <w:r>
        <w:rPr>
          <w:rFonts w:hint="eastAsia" w:ascii="宋体" w:hAnsi="宋体" w:cs="宋体"/>
          <w:szCs w:val="21"/>
        </w:rPr>
        <w:t>北海市政府采购供应商信用承诺函</w:t>
      </w:r>
      <w:r>
        <w:rPr>
          <w:rFonts w:hint="eastAsia" w:ascii="宋体" w:hAnsi="宋体" w:cs="宋体"/>
          <w:b/>
          <w:szCs w:val="21"/>
        </w:rPr>
        <w:t>（格式见</w:t>
      </w:r>
      <w:r>
        <w:rPr>
          <w:rFonts w:hint="eastAsia" w:ascii="宋体" w:hAnsi="宋体" w:cs="宋体"/>
          <w:b/>
          <w:bCs/>
          <w:szCs w:val="21"/>
        </w:rPr>
        <w:t>第六章</w:t>
      </w:r>
      <w:r>
        <w:rPr>
          <w:rFonts w:hint="eastAsia" w:ascii="宋体" w:hAnsi="宋体" w:cs="宋体"/>
          <w:b/>
          <w:szCs w:val="21"/>
        </w:rPr>
        <w:t>，必须提供）。</w:t>
      </w:r>
    </w:p>
    <w:p>
      <w:pPr>
        <w:snapToGrid w:val="0"/>
        <w:spacing w:line="360" w:lineRule="exact"/>
        <w:ind w:firstLine="210" w:firstLineChars="100"/>
        <w:jc w:val="left"/>
        <w:rPr>
          <w:rFonts w:hint="eastAsia" w:ascii="宋体" w:hAnsi="宋体" w:cs="宋体"/>
          <w:b/>
          <w:szCs w:val="21"/>
          <w:lang w:eastAsia="zh-CN"/>
        </w:rPr>
      </w:pPr>
      <w:r>
        <w:rPr>
          <w:rFonts w:hint="eastAsia" w:ascii="宋体" w:hAnsi="宋体" w:cs="宋体"/>
          <w:szCs w:val="21"/>
        </w:rPr>
        <w:t>▲</w:t>
      </w:r>
      <w:r>
        <w:rPr>
          <w:rFonts w:hint="eastAsia" w:ascii="宋体" w:hAnsi="宋体" w:cs="宋体"/>
          <w:b/>
          <w:szCs w:val="21"/>
        </w:rPr>
        <w:t>（2）</w:t>
      </w:r>
      <w:r>
        <w:rPr>
          <w:rFonts w:hint="eastAsia" w:ascii="宋体" w:hAnsi="宋体" w:cs="宋体"/>
          <w:b/>
          <w:szCs w:val="21"/>
          <w:lang w:eastAsia="zh-CN"/>
        </w:rPr>
        <w:t>标项二：</w:t>
      </w:r>
      <w:r>
        <w:rPr>
          <w:rFonts w:hint="eastAsia" w:ascii="宋体" w:hAnsi="宋体" w:cs="宋体"/>
          <w:szCs w:val="21"/>
        </w:rPr>
        <w:t>货物全部由符合政策要求的</w:t>
      </w:r>
      <w:r>
        <w:rPr>
          <w:rFonts w:hint="eastAsia" w:ascii="宋体" w:hAnsi="宋体" w:cs="宋体"/>
          <w:szCs w:val="21"/>
          <w:lang w:eastAsia="zh-CN"/>
        </w:rPr>
        <w:t>中</w:t>
      </w:r>
      <w:r>
        <w:rPr>
          <w:rFonts w:hint="eastAsia" w:ascii="宋体" w:hAnsi="宋体" w:cs="宋体"/>
          <w:szCs w:val="21"/>
        </w:rPr>
        <w:t>小微企业制造，提供中小企业声明函</w:t>
      </w:r>
      <w:r>
        <w:rPr>
          <w:rFonts w:hint="eastAsia" w:ascii="宋体" w:hAnsi="宋体" w:cs="宋体"/>
          <w:b/>
          <w:szCs w:val="21"/>
        </w:rPr>
        <w:t>（格式见</w:t>
      </w:r>
      <w:r>
        <w:rPr>
          <w:rFonts w:hint="eastAsia" w:ascii="宋体" w:hAnsi="宋体" w:cs="宋体"/>
          <w:b/>
          <w:bCs/>
          <w:szCs w:val="21"/>
        </w:rPr>
        <w:t>第六章</w:t>
      </w:r>
      <w:r>
        <w:rPr>
          <w:rFonts w:hint="eastAsia" w:ascii="宋体" w:hAnsi="宋体" w:cs="宋体"/>
          <w:b/>
          <w:szCs w:val="21"/>
        </w:rPr>
        <w:t>）</w:t>
      </w:r>
      <w:r>
        <w:rPr>
          <w:rFonts w:hint="eastAsia" w:ascii="宋体" w:hAnsi="宋体" w:cs="宋体"/>
          <w:szCs w:val="21"/>
        </w:rPr>
        <w:t>,声明制造商为</w:t>
      </w:r>
      <w:r>
        <w:rPr>
          <w:rFonts w:hint="eastAsia" w:ascii="宋体" w:hAnsi="宋体" w:cs="宋体"/>
          <w:szCs w:val="21"/>
          <w:lang w:eastAsia="zh-CN"/>
        </w:rPr>
        <w:t>中、</w:t>
      </w:r>
      <w:r>
        <w:rPr>
          <w:rFonts w:hint="eastAsia" w:ascii="宋体" w:hAnsi="宋体" w:cs="宋体"/>
          <w:szCs w:val="21"/>
        </w:rPr>
        <w:t>小型或微型企业；符合条件的残疾人福利性单位在参加政府采购活动时，提供《残疾人福利性单位声明函》</w:t>
      </w:r>
      <w:r>
        <w:rPr>
          <w:rFonts w:hint="eastAsia" w:ascii="宋体" w:hAnsi="宋体" w:cs="宋体"/>
          <w:b/>
          <w:szCs w:val="21"/>
        </w:rPr>
        <w:t>（格式见</w:t>
      </w:r>
      <w:r>
        <w:rPr>
          <w:rFonts w:hint="eastAsia" w:ascii="宋体" w:hAnsi="宋体" w:cs="宋体"/>
          <w:b/>
          <w:bCs/>
          <w:szCs w:val="21"/>
        </w:rPr>
        <w:t>第六章</w:t>
      </w:r>
      <w:r>
        <w:rPr>
          <w:rFonts w:hint="eastAsia" w:ascii="宋体" w:hAnsi="宋体" w:cs="宋体"/>
          <w:b/>
          <w:szCs w:val="21"/>
        </w:rPr>
        <w:t>）</w:t>
      </w:r>
      <w:r>
        <w:rPr>
          <w:rFonts w:hint="eastAsia" w:ascii="宋体" w:hAnsi="宋体" w:cs="宋体"/>
          <w:szCs w:val="21"/>
        </w:rPr>
        <w:t>；监狱企业参加政府采购活动时，提供由省级以上监狱管理局、戒毒管理局（含新疆生产建设兵团）出具的属于监狱企业的证明文件。</w:t>
      </w:r>
      <w:r>
        <w:rPr>
          <w:rFonts w:hint="eastAsia" w:ascii="宋体" w:hAnsi="宋体" w:cs="宋体"/>
          <w:b/>
          <w:szCs w:val="21"/>
        </w:rPr>
        <w:t>（必须提供前述材料至少一项）</w:t>
      </w:r>
      <w:r>
        <w:rPr>
          <w:rFonts w:hint="eastAsia" w:ascii="宋体" w:hAnsi="宋体" w:cs="宋体"/>
          <w:b/>
          <w:szCs w:val="21"/>
          <w:lang w:eastAsia="zh-CN"/>
        </w:rPr>
        <w:t>。</w:t>
      </w:r>
    </w:p>
    <w:p>
      <w:pPr>
        <w:snapToGrid w:val="0"/>
        <w:spacing w:line="360" w:lineRule="exact"/>
        <w:ind w:firstLine="843" w:firstLineChars="400"/>
        <w:jc w:val="left"/>
        <w:rPr>
          <w:rFonts w:hint="eastAsia" w:ascii="宋体" w:hAnsi="宋体" w:eastAsia="宋体" w:cs="宋体"/>
          <w:b/>
          <w:szCs w:val="21"/>
          <w:lang w:eastAsia="zh-CN"/>
        </w:rPr>
      </w:pPr>
      <w:r>
        <w:rPr>
          <w:rFonts w:hint="eastAsia" w:ascii="宋体" w:hAnsi="宋体" w:cs="宋体"/>
          <w:b/>
          <w:szCs w:val="21"/>
          <w:lang w:eastAsia="zh-CN"/>
        </w:rPr>
        <w:t>标项一：</w:t>
      </w:r>
      <w:r>
        <w:rPr>
          <w:rFonts w:hint="eastAsia" w:ascii="Times New Roman" w:hAnsi="Times New Roman" w:cs="Times New Roman"/>
          <w:highlight w:val="none"/>
          <w:lang w:eastAsia="zh-CN"/>
        </w:rPr>
        <w:t>中小企业声明函（</w:t>
      </w:r>
      <w:r>
        <w:rPr>
          <w:rFonts w:hint="eastAsia" w:ascii="Times New Roman" w:hAnsi="Times New Roman" w:cs="Times New Roman"/>
          <w:b/>
          <w:bCs/>
          <w:highlight w:val="none"/>
          <w:lang w:eastAsia="zh-CN"/>
        </w:rPr>
        <w:t>格式见第六章</w:t>
      </w:r>
      <w:r>
        <w:rPr>
          <w:rFonts w:hint="eastAsia" w:ascii="Times New Roman" w:hAnsi="Times New Roman" w:cs="Times New Roman"/>
          <w:highlight w:val="none"/>
          <w:lang w:eastAsia="zh-CN"/>
        </w:rPr>
        <w:t>，</w:t>
      </w:r>
      <w:r>
        <w:rPr>
          <w:rFonts w:hint="eastAsia" w:ascii="Times New Roman" w:hAnsi="Times New Roman" w:cs="Times New Roman"/>
          <w:b/>
          <w:bCs/>
          <w:highlight w:val="none"/>
          <w:lang w:eastAsia="zh-CN"/>
        </w:rPr>
        <w:t>若</w:t>
      </w:r>
      <w:r>
        <w:rPr>
          <w:rFonts w:hint="eastAsia" w:ascii="Times New Roman" w:hAnsi="Times New Roman" w:cs="Times New Roman"/>
          <w:highlight w:val="none"/>
          <w:lang w:eastAsia="zh-CN"/>
        </w:rPr>
        <w:t>生产企业为中型</w:t>
      </w:r>
      <w:r>
        <w:rPr>
          <w:rFonts w:hint="eastAsia" w:ascii="Times New Roman" w:hAnsi="Times New Roman" w:cs="Times New Roman"/>
          <w:highlight w:val="none"/>
          <w:lang w:val="en-US" w:eastAsia="zh-CN"/>
        </w:rPr>
        <w:t>/</w:t>
      </w:r>
      <w:r>
        <w:rPr>
          <w:rFonts w:hint="eastAsia" w:ascii="Times New Roman" w:hAnsi="Times New Roman" w:cs="Times New Roman"/>
          <w:highlight w:val="none"/>
          <w:lang w:eastAsia="zh-CN"/>
        </w:rPr>
        <w:t>小型</w:t>
      </w:r>
      <w:r>
        <w:rPr>
          <w:rFonts w:hint="eastAsia" w:ascii="Times New Roman" w:hAnsi="Times New Roman" w:cs="Times New Roman"/>
          <w:highlight w:val="none"/>
          <w:lang w:val="en-US" w:eastAsia="zh-CN"/>
        </w:rPr>
        <w:t>/微型企业，</w:t>
      </w:r>
      <w:r>
        <w:rPr>
          <w:rFonts w:hint="eastAsia" w:ascii="Times New Roman" w:hAnsi="Times New Roman" w:cs="Times New Roman"/>
          <w:b/>
          <w:bCs/>
          <w:highlight w:val="none"/>
          <w:lang w:val="en-US" w:eastAsia="zh-CN"/>
        </w:rPr>
        <w:t>则</w:t>
      </w:r>
      <w:r>
        <w:rPr>
          <w:rFonts w:hint="eastAsia" w:ascii="Times New Roman" w:hAnsi="Times New Roman" w:cs="Times New Roman"/>
          <w:highlight w:val="none"/>
          <w:lang w:val="en-US" w:eastAsia="zh-CN"/>
        </w:rPr>
        <w:t>必须提供，作为评审优惠</w:t>
      </w:r>
      <w:r>
        <w:rPr>
          <w:rFonts w:hint="eastAsia" w:ascii="Times New Roman" w:hAnsi="Times New Roman" w:cs="Times New Roman"/>
          <w:highlight w:val="none"/>
          <w:lang w:eastAsia="zh-CN"/>
        </w:rPr>
        <w:t>）</w:t>
      </w:r>
    </w:p>
    <w:p>
      <w:pPr>
        <w:snapToGrid w:val="0"/>
        <w:spacing w:line="360" w:lineRule="exact"/>
        <w:ind w:firstLine="420" w:firstLineChars="200"/>
        <w:jc w:val="left"/>
        <w:rPr>
          <w:rFonts w:ascii="宋体" w:hAnsi="宋体" w:cs="宋体"/>
          <w:szCs w:val="21"/>
        </w:rPr>
      </w:pPr>
      <w:r>
        <w:rPr>
          <w:rFonts w:hint="eastAsia" w:ascii="宋体" w:hAnsi="宋体" w:cs="宋体"/>
          <w:szCs w:val="21"/>
        </w:rPr>
        <w:t>（3）具备法律、行政法规规定的其他条件的证明材料(如有规定,则必须提供)。</w:t>
      </w:r>
    </w:p>
    <w:p>
      <w:pPr>
        <w:snapToGrid w:val="0"/>
        <w:spacing w:before="156" w:beforeLines="50" w:line="360" w:lineRule="exact"/>
        <w:ind w:firstLine="413" w:firstLineChars="196"/>
        <w:jc w:val="left"/>
        <w:outlineLvl w:val="1"/>
        <w:rPr>
          <w:rFonts w:ascii="宋体" w:hAnsi="宋体" w:cs="宋体"/>
          <w:b/>
          <w:szCs w:val="21"/>
        </w:rPr>
      </w:pPr>
      <w:r>
        <w:rPr>
          <w:rFonts w:hint="eastAsia" w:ascii="宋体" w:hAnsi="宋体" w:cs="宋体"/>
          <w:b/>
          <w:szCs w:val="21"/>
        </w:rPr>
        <w:t>3.资信及商务文件：</w:t>
      </w:r>
    </w:p>
    <w:p>
      <w:pPr>
        <w:snapToGrid w:val="0"/>
        <w:spacing w:line="360" w:lineRule="exact"/>
        <w:ind w:firstLine="210" w:firstLineChars="100"/>
        <w:jc w:val="left"/>
        <w:rPr>
          <w:rFonts w:ascii="宋体" w:hAnsi="宋体" w:cs="宋体"/>
          <w:b/>
          <w:szCs w:val="21"/>
        </w:rPr>
      </w:pPr>
      <w:r>
        <w:rPr>
          <w:rFonts w:hint="eastAsia" w:ascii="宋体" w:hAnsi="宋体" w:cs="宋体"/>
          <w:szCs w:val="21"/>
        </w:rPr>
        <w:t>▲</w:t>
      </w:r>
      <w:r>
        <w:rPr>
          <w:rFonts w:hint="eastAsia" w:ascii="宋体" w:hAnsi="宋体" w:cs="宋体"/>
          <w:b/>
          <w:szCs w:val="21"/>
        </w:rPr>
        <w:t>（1）</w:t>
      </w:r>
      <w:r>
        <w:rPr>
          <w:rFonts w:hint="eastAsia" w:ascii="宋体" w:hAnsi="宋体" w:cs="宋体"/>
          <w:szCs w:val="21"/>
        </w:rPr>
        <w:t>承诺函(格式见第六章)；</w:t>
      </w:r>
      <w:r>
        <w:rPr>
          <w:rFonts w:hint="eastAsia" w:ascii="宋体" w:hAnsi="宋体" w:cs="宋体"/>
          <w:b/>
          <w:szCs w:val="21"/>
        </w:rPr>
        <w:t>（必须提供）</w:t>
      </w:r>
    </w:p>
    <w:p>
      <w:pPr>
        <w:snapToGrid w:val="0"/>
        <w:spacing w:line="360" w:lineRule="exact"/>
        <w:ind w:firstLine="210" w:firstLineChars="100"/>
        <w:jc w:val="left"/>
        <w:rPr>
          <w:rFonts w:ascii="宋体" w:hAnsi="宋体" w:cs="宋体"/>
          <w:szCs w:val="21"/>
        </w:rPr>
      </w:pPr>
      <w:r>
        <w:rPr>
          <w:rFonts w:hint="eastAsia" w:ascii="宋体" w:hAnsi="宋体" w:cs="宋体"/>
          <w:b/>
          <w:szCs w:val="21"/>
        </w:rPr>
        <w:t>▲（2）</w:t>
      </w:r>
      <w:r>
        <w:rPr>
          <w:rFonts w:hint="eastAsia" w:ascii="宋体" w:hAnsi="宋体" w:cs="宋体"/>
          <w:szCs w:val="21"/>
        </w:rPr>
        <w:t>法定代表人（负责人）授权委托书和委托代理人身份证复印件</w:t>
      </w:r>
      <w:r>
        <w:rPr>
          <w:rFonts w:hint="eastAsia" w:ascii="宋体" w:hAnsi="宋体" w:cs="宋体"/>
          <w:b/>
          <w:szCs w:val="21"/>
        </w:rPr>
        <w:t>（委托代理时必须提供，格式见第六章）</w:t>
      </w:r>
      <w:r>
        <w:rPr>
          <w:rFonts w:hint="eastAsia" w:ascii="宋体" w:hAnsi="宋体" w:cs="宋体"/>
          <w:szCs w:val="21"/>
        </w:rPr>
        <w:t>；法定代表人（负责人）参加投标时，提供法定代表人（负责人）身份证明书和身份证复印件</w:t>
      </w:r>
      <w:r>
        <w:rPr>
          <w:rFonts w:hint="eastAsia" w:ascii="宋体" w:hAnsi="宋体" w:cs="宋体"/>
          <w:b/>
          <w:szCs w:val="21"/>
        </w:rPr>
        <w:t>（必须提供，格式见第六章）</w:t>
      </w:r>
    </w:p>
    <w:p>
      <w:pPr>
        <w:snapToGrid w:val="0"/>
        <w:spacing w:line="360" w:lineRule="exact"/>
        <w:ind w:firstLine="411" w:firstLineChars="196"/>
        <w:jc w:val="left"/>
        <w:rPr>
          <w:rFonts w:ascii="宋体" w:hAnsi="宋体" w:cs="宋体"/>
          <w:szCs w:val="21"/>
        </w:rPr>
      </w:pPr>
      <w:r>
        <w:rPr>
          <w:rFonts w:hint="eastAsia" w:ascii="宋体" w:hAnsi="宋体" w:cs="宋体"/>
          <w:szCs w:val="21"/>
        </w:rPr>
        <w:t>（3）产品销售许可证；</w:t>
      </w:r>
    </w:p>
    <w:p>
      <w:pPr>
        <w:snapToGrid w:val="0"/>
        <w:spacing w:line="360" w:lineRule="exact"/>
        <w:ind w:firstLine="411" w:firstLineChars="196"/>
        <w:jc w:val="left"/>
        <w:rPr>
          <w:rFonts w:ascii="宋体" w:hAnsi="宋体" w:cs="宋体"/>
          <w:szCs w:val="21"/>
        </w:rPr>
      </w:pPr>
      <w:r>
        <w:rPr>
          <w:rFonts w:hint="eastAsia" w:ascii="宋体" w:hAnsi="宋体" w:cs="宋体"/>
          <w:szCs w:val="21"/>
        </w:rPr>
        <w:t>（4）安全生产许可证复印件、产品代理资格证明文件复印件；</w:t>
      </w:r>
    </w:p>
    <w:p>
      <w:pPr>
        <w:snapToGrid w:val="0"/>
        <w:spacing w:line="360" w:lineRule="exact"/>
        <w:ind w:firstLine="210" w:firstLineChars="100"/>
        <w:jc w:val="left"/>
        <w:rPr>
          <w:rFonts w:ascii="宋体" w:hAnsi="宋体" w:cs="宋体"/>
          <w:b/>
          <w:szCs w:val="21"/>
        </w:rPr>
      </w:pPr>
      <w:r>
        <w:rPr>
          <w:rFonts w:hint="eastAsia" w:ascii="宋体" w:hAnsi="宋体" w:cs="宋体"/>
          <w:szCs w:val="21"/>
        </w:rPr>
        <w:t>▲</w:t>
      </w:r>
      <w:r>
        <w:rPr>
          <w:rFonts w:hint="eastAsia" w:ascii="宋体" w:hAnsi="宋体" w:cs="宋体"/>
          <w:b/>
          <w:szCs w:val="21"/>
        </w:rPr>
        <w:t>（5）</w:t>
      </w:r>
      <w:r>
        <w:rPr>
          <w:rFonts w:hint="eastAsia" w:ascii="宋体" w:hAnsi="宋体" w:cs="宋体"/>
          <w:szCs w:val="21"/>
        </w:rPr>
        <w:t>商务响应表（格式见第六章）；</w:t>
      </w:r>
      <w:r>
        <w:rPr>
          <w:rFonts w:hint="eastAsia" w:ascii="宋体" w:hAnsi="宋体" w:cs="宋体"/>
          <w:b/>
          <w:szCs w:val="21"/>
        </w:rPr>
        <w:t>（必须提供）；</w:t>
      </w:r>
    </w:p>
    <w:p>
      <w:pPr>
        <w:snapToGrid w:val="0"/>
        <w:spacing w:line="360" w:lineRule="exact"/>
        <w:ind w:firstLine="420" w:firstLineChars="200"/>
        <w:jc w:val="left"/>
        <w:rPr>
          <w:rFonts w:ascii="宋体" w:hAnsi="宋体" w:cs="宋体"/>
          <w:szCs w:val="21"/>
        </w:rPr>
      </w:pPr>
      <w:r>
        <w:rPr>
          <w:rFonts w:hint="eastAsia" w:ascii="宋体" w:hAnsi="宋体" w:cs="宋体"/>
          <w:szCs w:val="21"/>
        </w:rPr>
        <w:t>（6）招标项目采购需求中要求必须提供的材料等；</w:t>
      </w:r>
      <w:r>
        <w:rPr>
          <w:rFonts w:hint="eastAsia" w:ascii="宋体" w:hAnsi="宋体" w:cs="宋体"/>
          <w:b/>
          <w:szCs w:val="21"/>
        </w:rPr>
        <w:t>（如有要求，则必须提供）</w:t>
      </w:r>
    </w:p>
    <w:p>
      <w:pPr>
        <w:snapToGrid w:val="0"/>
        <w:spacing w:line="360" w:lineRule="exact"/>
        <w:ind w:firstLine="411" w:firstLineChars="196"/>
        <w:jc w:val="left"/>
        <w:rPr>
          <w:rFonts w:ascii="宋体" w:hAnsi="宋体" w:cs="宋体"/>
          <w:szCs w:val="21"/>
        </w:rPr>
      </w:pPr>
      <w:r>
        <w:rPr>
          <w:rFonts w:hint="eastAsia" w:ascii="宋体" w:hAnsi="宋体" w:cs="宋体"/>
          <w:szCs w:val="21"/>
        </w:rPr>
        <w:t>（7）具备法律、行政法规规定的其他条件的证明材料(如有规定,则必须提供)。</w:t>
      </w:r>
    </w:p>
    <w:p>
      <w:pPr>
        <w:snapToGrid w:val="0"/>
        <w:spacing w:line="360" w:lineRule="exact"/>
        <w:ind w:firstLine="413" w:firstLineChars="196"/>
        <w:jc w:val="left"/>
        <w:rPr>
          <w:rFonts w:ascii="宋体" w:hAnsi="宋体" w:cs="宋体"/>
          <w:b/>
          <w:szCs w:val="21"/>
        </w:rPr>
      </w:pPr>
      <w:r>
        <w:rPr>
          <w:rFonts w:hint="eastAsia" w:ascii="宋体" w:hAnsi="宋体" w:cs="宋体"/>
          <w:b/>
          <w:bCs/>
          <w:szCs w:val="21"/>
        </w:rPr>
        <w:t>可作为投标人资信评分的资质证明材料（可选）</w:t>
      </w:r>
    </w:p>
    <w:p>
      <w:pPr>
        <w:snapToGrid w:val="0"/>
        <w:spacing w:line="360" w:lineRule="exact"/>
        <w:ind w:firstLine="424" w:firstLineChars="202"/>
        <w:jc w:val="left"/>
        <w:rPr>
          <w:rFonts w:ascii="宋体" w:hAnsi="宋体" w:cs="宋体"/>
          <w:szCs w:val="21"/>
        </w:rPr>
      </w:pPr>
      <w:r>
        <w:rPr>
          <w:rFonts w:hint="eastAsia" w:ascii="宋体" w:hAnsi="宋体" w:cs="宋体"/>
          <w:szCs w:val="21"/>
        </w:rPr>
        <w:t>（8）投标品牌2020年以来具有同类项目销售业绩（以中标通知或合同为准）复印件；</w:t>
      </w:r>
    </w:p>
    <w:p>
      <w:pPr>
        <w:snapToGrid w:val="0"/>
        <w:spacing w:line="360" w:lineRule="exact"/>
        <w:ind w:firstLine="420" w:firstLineChars="200"/>
        <w:jc w:val="left"/>
        <w:rPr>
          <w:rFonts w:ascii="宋体" w:hAnsi="宋体" w:cs="宋体"/>
          <w:szCs w:val="21"/>
        </w:rPr>
      </w:pPr>
      <w:r>
        <w:rPr>
          <w:rFonts w:hint="eastAsia" w:ascii="宋体" w:hAnsi="宋体" w:cs="宋体"/>
          <w:szCs w:val="21"/>
        </w:rPr>
        <w:t>（9）其他特殊资质证书（如本地化服务能力等）；</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（10）投标人或投标产品制造商有效的ISO9001质量保证体系、ISO14001环境管理体系认证证书、职业健康安全管理体系认证证书及其他相关的认证证书复印件；</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（11）投标人或投标产品制造商2020年以来获得与企业生产经营相关的奖项；</w:t>
      </w:r>
    </w:p>
    <w:p>
      <w:pPr>
        <w:snapToGrid w:val="0"/>
        <w:spacing w:line="360" w:lineRule="exact"/>
        <w:ind w:firstLine="424" w:firstLineChars="202"/>
        <w:jc w:val="left"/>
        <w:rPr>
          <w:rFonts w:ascii="宋体" w:hAnsi="宋体" w:cs="宋体"/>
          <w:szCs w:val="21"/>
        </w:rPr>
      </w:pPr>
      <w:r>
        <w:rPr>
          <w:rFonts w:hint="eastAsia" w:ascii="宋体" w:hAnsi="宋体" w:cs="宋体"/>
          <w:szCs w:val="21"/>
        </w:rPr>
        <w:t>（12）投标人残疾人福利性单位声明函；</w:t>
      </w:r>
    </w:p>
    <w:p>
      <w:pPr>
        <w:snapToGrid w:val="0"/>
        <w:spacing w:line="360" w:lineRule="exact"/>
        <w:ind w:firstLine="424" w:firstLineChars="202"/>
        <w:jc w:val="left"/>
        <w:rPr>
          <w:rFonts w:ascii="宋体" w:hAnsi="宋体" w:cs="宋体"/>
          <w:szCs w:val="21"/>
        </w:rPr>
      </w:pPr>
      <w:r>
        <w:rPr>
          <w:rFonts w:hint="eastAsia" w:ascii="宋体" w:hAnsi="宋体" w:cs="宋体"/>
          <w:szCs w:val="21"/>
        </w:rPr>
        <w:t>（13）节能环保产品或政府强制采购节能产品认证证书；</w:t>
      </w:r>
    </w:p>
    <w:p>
      <w:pPr>
        <w:snapToGrid w:val="0"/>
        <w:spacing w:line="360" w:lineRule="exact"/>
        <w:ind w:firstLine="424" w:firstLineChars="202"/>
        <w:jc w:val="left"/>
        <w:rPr>
          <w:rFonts w:ascii="宋体" w:hAnsi="宋体" w:cs="宋体"/>
          <w:szCs w:val="21"/>
        </w:rPr>
      </w:pPr>
      <w:r>
        <w:rPr>
          <w:rFonts w:hint="eastAsia" w:ascii="宋体" w:hAnsi="宋体" w:cs="宋体"/>
          <w:szCs w:val="21"/>
        </w:rPr>
        <w:t>（14）投标人质量管理和质量保证体系等方面的认证证书；</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（15）投标人认为可以证明其能力或业绩的其他材料；</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（16）投标人关于产品生产时间、升级或者更新淘汰计划、配件供应以及本单位债务纠纷、违法违规记录等方面的情况（内容见承诺函）；</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（17）投标人情况介绍。</w:t>
      </w:r>
    </w:p>
    <w:p>
      <w:pPr>
        <w:snapToGrid w:val="0"/>
        <w:spacing w:before="156" w:beforeLines="50" w:line="360" w:lineRule="exact"/>
        <w:ind w:firstLine="413" w:firstLineChars="196"/>
        <w:jc w:val="left"/>
        <w:outlineLvl w:val="1"/>
        <w:rPr>
          <w:rFonts w:ascii="宋体" w:hAnsi="宋体" w:cs="宋体"/>
          <w:b/>
          <w:szCs w:val="21"/>
        </w:rPr>
      </w:pPr>
      <w:r>
        <w:rPr>
          <w:rFonts w:hint="eastAsia" w:ascii="宋体" w:hAnsi="宋体" w:cs="宋体"/>
          <w:b/>
          <w:szCs w:val="21"/>
        </w:rPr>
        <w:t>4.技术文件：</w:t>
      </w:r>
    </w:p>
    <w:p>
      <w:pPr>
        <w:snapToGrid w:val="0"/>
        <w:spacing w:line="360" w:lineRule="exact"/>
        <w:ind w:firstLine="420" w:firstLineChars="200"/>
        <w:jc w:val="left"/>
        <w:rPr>
          <w:rFonts w:ascii="宋体" w:hAnsi="宋体" w:cs="宋体"/>
          <w:szCs w:val="21"/>
        </w:rPr>
      </w:pPr>
      <w:r>
        <w:rPr>
          <w:rFonts w:hint="eastAsia" w:ascii="宋体" w:hAnsi="宋体" w:cs="宋体"/>
          <w:szCs w:val="21"/>
        </w:rPr>
        <w:t>（1）对本项目系统总体要求的理解；</w:t>
      </w:r>
    </w:p>
    <w:p>
      <w:pPr>
        <w:snapToGrid w:val="0"/>
        <w:spacing w:line="360" w:lineRule="exact"/>
        <w:ind w:firstLine="210" w:firstLineChars="100"/>
        <w:jc w:val="left"/>
        <w:rPr>
          <w:rFonts w:ascii="宋体" w:hAnsi="宋体" w:cs="宋体"/>
          <w:szCs w:val="21"/>
        </w:rPr>
      </w:pPr>
      <w:r>
        <w:rPr>
          <w:rFonts w:hint="eastAsia" w:ascii="宋体" w:hAnsi="宋体" w:cs="宋体"/>
          <w:szCs w:val="21"/>
        </w:rPr>
        <w:t>▲</w:t>
      </w:r>
      <w:r>
        <w:rPr>
          <w:rFonts w:hint="eastAsia" w:ascii="宋体" w:hAnsi="宋体" w:cs="宋体"/>
          <w:b/>
          <w:szCs w:val="21"/>
        </w:rPr>
        <w:t>（2）</w:t>
      </w:r>
      <w:r>
        <w:rPr>
          <w:rFonts w:hint="eastAsia" w:ascii="宋体" w:hAnsi="宋体" w:cs="宋体"/>
          <w:szCs w:val="21"/>
        </w:rPr>
        <w:t>技术响应表；</w:t>
      </w:r>
      <w:r>
        <w:rPr>
          <w:rFonts w:hint="eastAsia" w:ascii="宋体" w:hAnsi="宋体" w:cs="宋体"/>
          <w:b/>
          <w:szCs w:val="21"/>
        </w:rPr>
        <w:t>（必须提供）</w:t>
      </w:r>
    </w:p>
    <w:p>
      <w:pPr>
        <w:snapToGrid w:val="0"/>
        <w:spacing w:line="360" w:lineRule="exact"/>
        <w:ind w:firstLine="420" w:firstLineChars="200"/>
        <w:jc w:val="left"/>
        <w:rPr>
          <w:rFonts w:ascii="宋体" w:hAnsi="宋体" w:cs="宋体"/>
          <w:szCs w:val="21"/>
        </w:rPr>
      </w:pPr>
      <w:r>
        <w:rPr>
          <w:rFonts w:hint="eastAsia" w:ascii="宋体" w:hAnsi="宋体" w:cs="宋体"/>
          <w:szCs w:val="21"/>
        </w:rPr>
        <w:t>（3）设备配置清单（均不含报价）；</w:t>
      </w:r>
    </w:p>
    <w:p>
      <w:pPr>
        <w:snapToGrid w:val="0"/>
        <w:spacing w:line="360" w:lineRule="exact"/>
        <w:ind w:firstLine="210" w:firstLineChars="100"/>
        <w:jc w:val="left"/>
        <w:rPr>
          <w:rFonts w:ascii="宋体" w:hAnsi="宋体" w:cs="宋体"/>
          <w:szCs w:val="21"/>
        </w:rPr>
      </w:pPr>
      <w:r>
        <w:rPr>
          <w:rFonts w:hint="eastAsia" w:ascii="宋体" w:hAnsi="宋体" w:cs="宋体"/>
          <w:szCs w:val="21"/>
        </w:rPr>
        <w:t>▲</w:t>
      </w:r>
      <w:r>
        <w:rPr>
          <w:rFonts w:hint="eastAsia" w:ascii="宋体" w:hAnsi="宋体" w:cs="宋体"/>
          <w:b/>
          <w:szCs w:val="21"/>
        </w:rPr>
        <w:t>（4）</w:t>
      </w:r>
      <w:r>
        <w:rPr>
          <w:rFonts w:hint="eastAsia" w:ascii="宋体" w:hAnsi="宋体" w:cs="宋体"/>
        </w:rPr>
        <w:t>售后服务承诺书（应据项目实际要求描述如：</w:t>
      </w:r>
      <w:r>
        <w:rPr>
          <w:rFonts w:hint="eastAsia" w:ascii="宋体" w:hAnsi="宋体" w:cs="宋体"/>
          <w:szCs w:val="21"/>
        </w:rPr>
        <w:t>投标人建议的安装、调试、验收方法或方案；技术服务、技术培训、售后服务的内容和措施等）</w:t>
      </w:r>
      <w:r>
        <w:rPr>
          <w:rFonts w:hint="eastAsia" w:ascii="宋体" w:hAnsi="宋体" w:cs="宋体"/>
          <w:b/>
          <w:szCs w:val="21"/>
        </w:rPr>
        <w:t>(格式自拟,必须提供)</w:t>
      </w:r>
      <w:r>
        <w:rPr>
          <w:rFonts w:hint="eastAsia" w:ascii="宋体" w:hAnsi="宋体" w:cs="宋体"/>
          <w:szCs w:val="21"/>
        </w:rPr>
        <w:t>；</w:t>
      </w:r>
    </w:p>
    <w:p>
      <w:pPr>
        <w:snapToGrid w:val="0"/>
        <w:spacing w:line="360" w:lineRule="exact"/>
        <w:ind w:firstLine="420" w:firstLineChars="200"/>
        <w:jc w:val="left"/>
        <w:rPr>
          <w:rFonts w:ascii="宋体" w:hAnsi="宋体" w:cs="宋体"/>
          <w:szCs w:val="21"/>
        </w:rPr>
      </w:pPr>
      <w:r>
        <w:rPr>
          <w:rFonts w:hint="eastAsia" w:ascii="宋体" w:hAnsi="宋体" w:cs="宋体"/>
          <w:szCs w:val="21"/>
        </w:rPr>
        <w:t>（5）投标人拥有主要装备和检测设施的情况和现状（格式自拟）及项目实施人员一览表；</w:t>
      </w:r>
    </w:p>
    <w:p>
      <w:pPr>
        <w:snapToGrid w:val="0"/>
        <w:spacing w:line="360" w:lineRule="exact"/>
        <w:ind w:firstLine="420" w:firstLineChars="200"/>
        <w:jc w:val="left"/>
        <w:rPr>
          <w:rFonts w:ascii="宋体" w:hAnsi="宋体" w:cs="宋体"/>
          <w:szCs w:val="21"/>
        </w:rPr>
      </w:pPr>
      <w:r>
        <w:rPr>
          <w:rFonts w:hint="eastAsia" w:ascii="宋体" w:hAnsi="宋体" w:cs="宋体"/>
          <w:szCs w:val="21"/>
        </w:rPr>
        <w:t>（6）优惠条件：投标人承诺给予招标人的各种优惠条件，包括备品备件、专用耗材、售后服务等方面的优惠；</w:t>
      </w:r>
    </w:p>
    <w:p>
      <w:pPr>
        <w:snapToGrid w:val="0"/>
        <w:spacing w:line="360" w:lineRule="exact"/>
        <w:ind w:firstLine="420" w:firstLineChars="200"/>
        <w:jc w:val="left"/>
        <w:rPr>
          <w:rFonts w:ascii="宋体" w:hAnsi="宋体" w:cs="宋体"/>
          <w:szCs w:val="21"/>
        </w:rPr>
      </w:pPr>
      <w:r>
        <w:rPr>
          <w:rFonts w:hint="eastAsia" w:ascii="宋体" w:hAnsi="宋体" w:cs="宋体"/>
          <w:szCs w:val="21"/>
        </w:rPr>
        <w:t>（7）投标人对本项目的合理化建议和改进措施；</w:t>
      </w:r>
    </w:p>
    <w:p>
      <w:pPr>
        <w:snapToGrid w:val="0"/>
        <w:spacing w:line="360" w:lineRule="exact"/>
        <w:ind w:firstLine="420" w:firstLineChars="200"/>
        <w:jc w:val="left"/>
        <w:rPr>
          <w:rFonts w:ascii="宋体" w:hAnsi="宋体" w:cs="宋体"/>
          <w:szCs w:val="21"/>
        </w:rPr>
      </w:pPr>
      <w:r>
        <w:rPr>
          <w:rFonts w:hint="eastAsia" w:ascii="宋体" w:hAnsi="宋体" w:cs="宋体"/>
          <w:szCs w:val="21"/>
        </w:rPr>
        <w:t>（8）投标人需要说明的其他文件和说明（格式自拟）；</w:t>
      </w:r>
    </w:p>
    <w:p>
      <w:pPr>
        <w:snapToGrid w:val="0"/>
        <w:spacing w:line="360" w:lineRule="exact"/>
        <w:ind w:firstLine="420" w:firstLineChars="200"/>
        <w:jc w:val="left"/>
        <w:rPr>
          <w:rFonts w:ascii="宋体" w:hAnsi="宋体" w:cs="宋体"/>
          <w:szCs w:val="21"/>
        </w:rPr>
      </w:pPr>
      <w:r>
        <w:rPr>
          <w:rFonts w:hint="eastAsia" w:ascii="宋体" w:hAnsi="宋体" w:cs="宋体"/>
          <w:szCs w:val="21"/>
        </w:rPr>
        <w:t>（9）招标项目采购需求中要求必须提供的材料。</w:t>
      </w:r>
      <w:r>
        <w:rPr>
          <w:rFonts w:hint="eastAsia" w:ascii="宋体" w:hAnsi="宋体" w:cs="宋体"/>
          <w:b/>
          <w:szCs w:val="21"/>
        </w:rPr>
        <w:t>（如有要求，则必须提供）</w:t>
      </w:r>
    </w:p>
    <w:p>
      <w:pPr>
        <w:snapToGrid w:val="0"/>
        <w:spacing w:before="156" w:beforeLines="50" w:line="360" w:lineRule="exact"/>
        <w:ind w:firstLine="413" w:firstLineChars="196"/>
        <w:jc w:val="left"/>
        <w:outlineLvl w:val="1"/>
        <w:rPr>
          <w:rFonts w:ascii="宋体" w:hAnsi="宋体" w:cs="宋体"/>
          <w:b/>
          <w:szCs w:val="21"/>
        </w:rPr>
      </w:pPr>
      <w:r>
        <w:rPr>
          <w:rFonts w:hint="eastAsia" w:ascii="宋体" w:hAnsi="宋体" w:cs="宋体"/>
          <w:b/>
          <w:szCs w:val="21"/>
        </w:rPr>
        <w:t>5.报价文件：</w:t>
      </w:r>
    </w:p>
    <w:p>
      <w:pPr>
        <w:tabs>
          <w:tab w:val="left" w:pos="3870"/>
          <w:tab w:val="left" w:pos="4085"/>
        </w:tabs>
        <w:snapToGrid w:val="0"/>
        <w:spacing w:line="360" w:lineRule="exact"/>
        <w:jc w:val="left"/>
        <w:rPr>
          <w:rFonts w:ascii="宋体" w:hAnsi="宋体" w:cs="宋体"/>
          <w:szCs w:val="21"/>
        </w:rPr>
      </w:pPr>
      <w:r>
        <w:rPr>
          <w:rFonts w:hint="eastAsia" w:ascii="宋体" w:hAnsi="宋体" w:cs="宋体"/>
          <w:szCs w:val="21"/>
        </w:rPr>
        <w:t>▲</w:t>
      </w:r>
      <w:r>
        <w:rPr>
          <w:rFonts w:hint="eastAsia" w:ascii="宋体" w:hAnsi="宋体" w:cs="宋体"/>
          <w:b/>
          <w:szCs w:val="21"/>
        </w:rPr>
        <w:t>（1）</w:t>
      </w:r>
      <w:r>
        <w:rPr>
          <w:rFonts w:hint="eastAsia" w:ascii="宋体" w:hAnsi="宋体" w:cs="宋体"/>
          <w:szCs w:val="21"/>
        </w:rPr>
        <w:t>投标函（格式见第六章）；</w:t>
      </w:r>
      <w:r>
        <w:rPr>
          <w:rFonts w:hint="eastAsia" w:ascii="宋体" w:hAnsi="宋体" w:cs="宋体"/>
          <w:b/>
          <w:szCs w:val="21"/>
        </w:rPr>
        <w:t>（必须提供）</w:t>
      </w:r>
    </w:p>
    <w:p>
      <w:pPr>
        <w:tabs>
          <w:tab w:val="left" w:pos="3870"/>
          <w:tab w:val="left" w:pos="4085"/>
        </w:tabs>
        <w:snapToGrid w:val="0"/>
        <w:spacing w:line="360" w:lineRule="exact"/>
        <w:jc w:val="left"/>
        <w:rPr>
          <w:rFonts w:ascii="宋体" w:hAnsi="宋体" w:cs="宋体"/>
          <w:szCs w:val="21"/>
        </w:rPr>
      </w:pPr>
      <w:r>
        <w:rPr>
          <w:rFonts w:hint="eastAsia" w:ascii="宋体" w:hAnsi="宋体" w:cs="宋体"/>
          <w:szCs w:val="21"/>
        </w:rPr>
        <w:t>▲</w:t>
      </w:r>
      <w:r>
        <w:rPr>
          <w:rFonts w:hint="eastAsia" w:ascii="宋体" w:hAnsi="宋体" w:cs="宋体"/>
          <w:b/>
          <w:szCs w:val="21"/>
        </w:rPr>
        <w:t>（2）</w:t>
      </w:r>
      <w:r>
        <w:rPr>
          <w:rFonts w:hint="eastAsia" w:ascii="宋体" w:hAnsi="宋体" w:cs="宋体"/>
          <w:szCs w:val="21"/>
        </w:rPr>
        <w:t>投标报价明细表（格式见第六章）；</w:t>
      </w:r>
      <w:r>
        <w:rPr>
          <w:rFonts w:hint="eastAsia" w:ascii="宋体" w:hAnsi="宋体" w:cs="宋体"/>
          <w:b/>
          <w:szCs w:val="21"/>
        </w:rPr>
        <w:t>（必须提供）</w:t>
      </w:r>
    </w:p>
    <w:p>
      <w:pPr>
        <w:tabs>
          <w:tab w:val="left" w:pos="3870"/>
          <w:tab w:val="left" w:pos="4085"/>
        </w:tabs>
        <w:snapToGrid w:val="0"/>
        <w:spacing w:line="360" w:lineRule="exact"/>
        <w:ind w:firstLine="210" w:firstLineChars="100"/>
        <w:jc w:val="left"/>
        <w:rPr>
          <w:rFonts w:ascii="宋体" w:hAnsi="宋体" w:cs="宋体"/>
          <w:szCs w:val="21"/>
        </w:rPr>
      </w:pPr>
      <w:r>
        <w:rPr>
          <w:rFonts w:hint="eastAsia" w:ascii="宋体" w:hAnsi="宋体" w:cs="宋体"/>
          <w:szCs w:val="21"/>
        </w:rPr>
        <w:t>（3）投标人针对报价需要说明的其他文件和说明；（格式自拟）</w:t>
      </w:r>
    </w:p>
    <w:p>
      <w:pPr>
        <w:tabs>
          <w:tab w:val="left" w:pos="3870"/>
          <w:tab w:val="left" w:pos="4085"/>
        </w:tabs>
        <w:snapToGrid w:val="0"/>
        <w:spacing w:line="360" w:lineRule="exact"/>
        <w:jc w:val="left"/>
        <w:rPr>
          <w:rFonts w:ascii="宋体" w:hAnsi="宋体" w:cs="宋体"/>
          <w:szCs w:val="21"/>
        </w:rPr>
      </w:pPr>
      <w:r>
        <w:rPr>
          <w:rFonts w:hint="eastAsia" w:ascii="宋体" w:hAnsi="宋体" w:cs="宋体"/>
          <w:szCs w:val="21"/>
        </w:rPr>
        <w:t>▲</w:t>
      </w:r>
      <w:r>
        <w:rPr>
          <w:rFonts w:hint="eastAsia" w:ascii="宋体" w:hAnsi="宋体" w:cs="宋体"/>
          <w:b/>
          <w:szCs w:val="21"/>
        </w:rPr>
        <w:t>（4）</w:t>
      </w:r>
      <w:r>
        <w:rPr>
          <w:rFonts w:hint="eastAsia" w:ascii="宋体" w:hAnsi="宋体" w:cs="宋体"/>
          <w:szCs w:val="21"/>
        </w:rPr>
        <w:t>开标一览表（格式见第六章）</w:t>
      </w:r>
      <w:r>
        <w:rPr>
          <w:rFonts w:hint="eastAsia" w:ascii="宋体" w:hAnsi="宋体" w:cs="宋体"/>
          <w:b/>
          <w:szCs w:val="21"/>
        </w:rPr>
        <w:t>（必须提供）</w:t>
      </w:r>
      <w:r>
        <w:rPr>
          <w:rFonts w:hint="eastAsia" w:ascii="宋体" w:hAnsi="宋体" w:cs="宋体"/>
          <w:szCs w:val="21"/>
        </w:rPr>
        <w:t>。</w:t>
      </w:r>
    </w:p>
    <w:p>
      <w:pPr>
        <w:pStyle w:val="48"/>
        <w:spacing w:line="360" w:lineRule="exact"/>
        <w:ind w:firstLine="421" w:firstLineChars="200"/>
        <w:rPr>
          <w:rFonts w:ascii="宋体" w:hAnsi="宋体" w:cs="宋体"/>
          <w:b/>
          <w:bCs/>
          <w:sz w:val="21"/>
          <w:szCs w:val="21"/>
        </w:rPr>
      </w:pPr>
      <w:bookmarkStart w:id="35" w:name="_Toc254970678"/>
      <w:bookmarkStart w:id="36" w:name="_Toc254970537"/>
      <w:r>
        <w:rPr>
          <w:rFonts w:hint="eastAsia" w:ascii="宋体" w:hAnsi="宋体" w:cs="宋体"/>
          <w:b/>
          <w:bCs/>
          <w:sz w:val="21"/>
          <w:szCs w:val="21"/>
        </w:rPr>
        <w:t>特别说明：</w:t>
      </w:r>
    </w:p>
    <w:p>
      <w:pPr>
        <w:pStyle w:val="48"/>
        <w:spacing w:line="360" w:lineRule="exact"/>
        <w:ind w:firstLine="421" w:firstLineChars="200"/>
        <w:rPr>
          <w:rFonts w:ascii="宋体" w:hAnsi="宋体" w:cs="宋体"/>
          <w:b/>
          <w:bCs/>
          <w:sz w:val="21"/>
          <w:szCs w:val="21"/>
        </w:rPr>
      </w:pPr>
      <w:r>
        <w:rPr>
          <w:rFonts w:hint="eastAsia" w:ascii="宋体" w:hAnsi="宋体" w:cs="宋体"/>
          <w:b/>
          <w:bCs/>
          <w:sz w:val="21"/>
          <w:szCs w:val="21"/>
        </w:rPr>
        <w:t>（1）法定代表人（负责人）授权委托书必须由法定代表人（负责人）和委托代理人签名并加盖单位公章；承诺函、投标函、开标一览表必须由法定代表人（负责人）或委托代理人签名并加盖单位公章。电子投标文件须加盖公章部分均采用CA签章。</w:t>
      </w:r>
    </w:p>
    <w:p>
      <w:pPr>
        <w:pStyle w:val="48"/>
        <w:spacing w:line="360" w:lineRule="exact"/>
        <w:ind w:firstLine="421" w:firstLineChars="200"/>
        <w:rPr>
          <w:rFonts w:ascii="宋体" w:hAnsi="宋体" w:cs="宋体"/>
          <w:b/>
          <w:sz w:val="21"/>
          <w:szCs w:val="21"/>
        </w:rPr>
      </w:pPr>
      <w:r>
        <w:rPr>
          <w:rFonts w:hint="eastAsia" w:ascii="宋体" w:hAnsi="宋体" w:cs="宋体"/>
          <w:b/>
          <w:sz w:val="21"/>
          <w:szCs w:val="21"/>
        </w:rPr>
        <w:t>（2）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p>
      <w:pPr>
        <w:snapToGrid w:val="0"/>
        <w:spacing w:line="360" w:lineRule="exact"/>
        <w:ind w:firstLine="413" w:firstLineChars="196"/>
        <w:jc w:val="left"/>
        <w:rPr>
          <w:rFonts w:ascii="宋体" w:hAnsi="宋体" w:cs="宋体"/>
          <w:b/>
          <w:szCs w:val="21"/>
        </w:rPr>
      </w:pPr>
      <w:r>
        <w:rPr>
          <w:rFonts w:hint="eastAsia" w:ascii="宋体" w:hAnsi="宋体" w:cs="宋体"/>
          <w:b/>
          <w:szCs w:val="21"/>
        </w:rPr>
        <w:t>（二）投标文件的语言及计量</w:t>
      </w:r>
      <w:bookmarkEnd w:id="35"/>
      <w:bookmarkEnd w:id="36"/>
    </w:p>
    <w:p>
      <w:pPr>
        <w:snapToGrid w:val="0"/>
        <w:spacing w:line="360" w:lineRule="exact"/>
        <w:ind w:firstLine="420" w:firstLineChars="200"/>
        <w:jc w:val="left"/>
        <w:rPr>
          <w:rFonts w:ascii="宋体" w:hAnsi="宋体" w:cs="宋体"/>
          <w:szCs w:val="21"/>
        </w:rPr>
      </w:pPr>
      <w:r>
        <w:rPr>
          <w:rFonts w:hint="eastAsia" w:ascii="宋体" w:hAnsi="宋体" w:cs="宋体"/>
          <w:szCs w:val="21"/>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20" w:firstLineChars="200"/>
        <w:jc w:val="left"/>
        <w:rPr>
          <w:rFonts w:ascii="宋体" w:hAnsi="宋体" w:cs="宋体"/>
          <w:szCs w:val="21"/>
        </w:rPr>
      </w:pPr>
      <w:r>
        <w:rPr>
          <w:rFonts w:hint="eastAsia" w:ascii="宋体" w:hAnsi="宋体" w:cs="宋体"/>
          <w:szCs w:val="21"/>
        </w:rPr>
        <w:t>▲2投标计量单位，招标文件已有明确规定的，使用招标文件规定的计量单位；招标文件没有规定的，应采用中华人民共和国法定计量单位（货币单位：人民币元），否则视同未响应。</w:t>
      </w:r>
    </w:p>
    <w:p>
      <w:pPr>
        <w:snapToGrid w:val="0"/>
        <w:spacing w:before="156" w:beforeLines="50" w:line="360" w:lineRule="exact"/>
        <w:ind w:firstLine="413" w:firstLineChars="196"/>
        <w:jc w:val="left"/>
        <w:rPr>
          <w:rFonts w:ascii="宋体" w:hAnsi="宋体" w:cs="宋体"/>
          <w:b/>
          <w:szCs w:val="21"/>
        </w:rPr>
      </w:pPr>
      <w:bookmarkStart w:id="37" w:name="_Toc254970679"/>
      <w:bookmarkStart w:id="38" w:name="_Toc254970538"/>
      <w:r>
        <w:rPr>
          <w:rFonts w:hint="eastAsia" w:ascii="宋体" w:hAnsi="宋体" w:cs="宋体"/>
          <w:b/>
          <w:szCs w:val="21"/>
        </w:rPr>
        <w:t>（三）投标报价</w:t>
      </w:r>
      <w:bookmarkEnd w:id="37"/>
      <w:bookmarkEnd w:id="38"/>
    </w:p>
    <w:p>
      <w:pPr>
        <w:pStyle w:val="29"/>
        <w:snapToGrid w:val="0"/>
        <w:spacing w:line="360" w:lineRule="exact"/>
        <w:ind w:firstLine="420" w:firstLineChars="200"/>
        <w:jc w:val="left"/>
        <w:rPr>
          <w:rFonts w:hAnsi="宋体" w:cs="宋体"/>
          <w:sz w:val="21"/>
        </w:rPr>
      </w:pPr>
      <w:r>
        <w:rPr>
          <w:rFonts w:hint="eastAsia" w:hAnsi="宋体" w:cs="宋体"/>
          <w:sz w:val="21"/>
        </w:rPr>
        <w:t>1.投标报价应按招标文件中相关附表格式填写。投标人可就《项目采购需求》中所有分标的货物和服务内容按分标分别作完整唯一报价，也可对某个分标或几个分标的货物和服务内容按分标分别作完整唯一报价。</w:t>
      </w:r>
    </w:p>
    <w:p>
      <w:pPr>
        <w:pStyle w:val="29"/>
        <w:snapToGrid w:val="0"/>
        <w:spacing w:line="360" w:lineRule="exact"/>
        <w:ind w:firstLine="420" w:firstLineChars="200"/>
        <w:jc w:val="left"/>
        <w:rPr>
          <w:rFonts w:hAnsi="宋体" w:cs="宋体"/>
          <w:sz w:val="21"/>
        </w:rPr>
      </w:pPr>
      <w:r>
        <w:rPr>
          <w:rFonts w:hint="eastAsia" w:hAnsi="宋体" w:cs="宋体"/>
          <w:sz w:val="21"/>
        </w:rPr>
        <w:t>2.投标报价是履行合同的最终价格，应包括货款、标准附件、备品备件、专用工具、包装、运输、装卸、保险、税金、货到就位以及安装、调试、培训、保修等一切税金和费用。</w:t>
      </w:r>
    </w:p>
    <w:p>
      <w:pPr>
        <w:tabs>
          <w:tab w:val="left" w:pos="525"/>
        </w:tabs>
        <w:snapToGrid w:val="0"/>
        <w:spacing w:line="360" w:lineRule="exact"/>
        <w:ind w:firstLine="420" w:firstLineChars="200"/>
        <w:jc w:val="left"/>
        <w:rPr>
          <w:rFonts w:ascii="宋体" w:hAnsi="宋体" w:cs="宋体"/>
          <w:szCs w:val="21"/>
        </w:rPr>
      </w:pPr>
      <w:r>
        <w:rPr>
          <w:rFonts w:hint="eastAsia" w:ascii="宋体" w:hAnsi="宋体" w:cs="宋体"/>
          <w:szCs w:val="21"/>
        </w:rPr>
        <w:t>▲3.投标文件只允许有一个报价，有选择的或有条件的报价将不予接受。</w:t>
      </w:r>
    </w:p>
    <w:p>
      <w:pPr>
        <w:pStyle w:val="14"/>
        <w:widowControl w:val="0"/>
        <w:tabs>
          <w:tab w:val="clear" w:pos="454"/>
        </w:tabs>
        <w:snapToGrid w:val="0"/>
        <w:spacing w:before="156" w:beforeLines="50" w:after="120" w:afterLines="0" w:line="360" w:lineRule="exact"/>
        <w:ind w:left="0" w:firstLine="413" w:firstLineChars="196"/>
        <w:rPr>
          <w:rFonts w:ascii="宋体" w:hAnsi="宋体" w:cs="宋体"/>
          <w:b/>
          <w:sz w:val="21"/>
          <w:szCs w:val="21"/>
        </w:rPr>
      </w:pPr>
      <w:r>
        <w:rPr>
          <w:rFonts w:hint="eastAsia" w:ascii="宋体" w:hAnsi="宋体" w:cs="宋体"/>
          <w:b/>
          <w:sz w:val="21"/>
          <w:szCs w:val="21"/>
        </w:rPr>
        <w:t>（四）投标文件的有效期</w:t>
      </w:r>
    </w:p>
    <w:p>
      <w:pPr>
        <w:snapToGrid w:val="0"/>
        <w:spacing w:line="360" w:lineRule="exact"/>
        <w:ind w:firstLine="420" w:firstLineChars="200"/>
        <w:jc w:val="left"/>
        <w:rPr>
          <w:rFonts w:ascii="宋体" w:hAnsi="宋体" w:cs="宋体"/>
          <w:szCs w:val="21"/>
        </w:rPr>
      </w:pPr>
      <w:r>
        <w:rPr>
          <w:rFonts w:hint="eastAsia" w:ascii="宋体" w:hAnsi="宋体" w:cs="宋体"/>
          <w:szCs w:val="21"/>
        </w:rPr>
        <w:t>1.自投标截止日起60天投标文件应保持有效。有效期不足的投标文件将被拒绝。</w:t>
      </w:r>
    </w:p>
    <w:p>
      <w:pPr>
        <w:snapToGrid w:val="0"/>
        <w:spacing w:line="360" w:lineRule="exact"/>
        <w:ind w:firstLine="420" w:firstLineChars="200"/>
        <w:jc w:val="left"/>
        <w:rPr>
          <w:rFonts w:ascii="宋体" w:hAnsi="宋体" w:cs="宋体"/>
          <w:szCs w:val="21"/>
        </w:rPr>
      </w:pPr>
      <w:r>
        <w:rPr>
          <w:rFonts w:hint="eastAsia" w:ascii="宋体" w:hAnsi="宋体" w:cs="宋体"/>
          <w:szCs w:val="21"/>
        </w:rPr>
        <w:t>2.在特殊情况下，招标人可与投标人协商延长投标书的有效期，这种要求和答复均以书面形式进行。</w:t>
      </w:r>
    </w:p>
    <w:p>
      <w:pPr>
        <w:snapToGrid w:val="0"/>
        <w:spacing w:line="360" w:lineRule="exact"/>
        <w:ind w:firstLine="420" w:firstLineChars="200"/>
        <w:jc w:val="left"/>
        <w:rPr>
          <w:rFonts w:ascii="宋体" w:hAnsi="宋体" w:cs="宋体"/>
          <w:szCs w:val="21"/>
        </w:rPr>
      </w:pPr>
      <w:bookmarkStart w:id="39" w:name="_Toc254970539"/>
      <w:bookmarkStart w:id="40" w:name="_Toc254970680"/>
      <w:r>
        <w:rPr>
          <w:rFonts w:hint="eastAsia" w:ascii="宋体" w:hAnsi="宋体" w:cs="宋体"/>
          <w:szCs w:val="21"/>
        </w:rPr>
        <w:t>3.投标人可拒绝接受延期要求。同意延长有效期的投标人不能修改投标文件。</w:t>
      </w:r>
      <w:bookmarkEnd w:id="39"/>
      <w:bookmarkEnd w:id="40"/>
    </w:p>
    <w:p>
      <w:pPr>
        <w:snapToGrid w:val="0"/>
        <w:spacing w:line="360" w:lineRule="exact"/>
        <w:ind w:firstLine="420" w:firstLineChars="200"/>
        <w:jc w:val="left"/>
        <w:rPr>
          <w:rFonts w:ascii="宋体" w:hAnsi="宋体" w:cs="宋体"/>
          <w:szCs w:val="21"/>
        </w:rPr>
      </w:pPr>
      <w:bookmarkStart w:id="41" w:name="_Toc254970681"/>
      <w:bookmarkStart w:id="42" w:name="_Toc254970540"/>
      <w:r>
        <w:rPr>
          <w:rFonts w:hint="eastAsia" w:ascii="宋体" w:hAnsi="宋体" w:cs="宋体"/>
          <w:szCs w:val="21"/>
        </w:rPr>
        <w:t>4.中标人的投标文件自开标之日起至合同履行完毕止均应保持有效。</w:t>
      </w:r>
      <w:bookmarkEnd w:id="41"/>
      <w:bookmarkEnd w:id="42"/>
    </w:p>
    <w:p>
      <w:pPr>
        <w:snapToGrid w:val="0"/>
        <w:spacing w:line="360" w:lineRule="exact"/>
        <w:ind w:firstLine="421" w:firstLineChars="200"/>
        <w:jc w:val="left"/>
        <w:rPr>
          <w:rFonts w:ascii="宋体" w:hAnsi="宋体" w:cs="宋体"/>
          <w:b/>
          <w:kern w:val="0"/>
          <w:szCs w:val="21"/>
        </w:rPr>
      </w:pPr>
      <w:bookmarkStart w:id="43" w:name="_Toc254970541"/>
      <w:bookmarkStart w:id="44" w:name="_Toc254970682"/>
      <w:r>
        <w:rPr>
          <w:rFonts w:hint="eastAsia" w:ascii="宋体" w:hAnsi="宋体" w:cs="宋体"/>
          <w:b/>
          <w:kern w:val="0"/>
          <w:szCs w:val="21"/>
        </w:rPr>
        <w:t>（五）</w:t>
      </w:r>
      <w:bookmarkEnd w:id="43"/>
      <w:bookmarkEnd w:id="44"/>
      <w:r>
        <w:rPr>
          <w:rFonts w:hint="eastAsia" w:ascii="宋体" w:hAnsi="宋体" w:cs="宋体"/>
          <w:b/>
          <w:kern w:val="0"/>
          <w:szCs w:val="21"/>
        </w:rPr>
        <w:t>投标保证金</w:t>
      </w:r>
    </w:p>
    <w:p>
      <w:pPr>
        <w:snapToGrid w:val="0"/>
        <w:spacing w:line="360" w:lineRule="exact"/>
        <w:ind w:firstLine="421" w:firstLineChars="200"/>
        <w:jc w:val="left"/>
        <w:rPr>
          <w:rFonts w:ascii="宋体" w:hAnsi="宋体" w:cs="宋体"/>
          <w:szCs w:val="21"/>
        </w:rPr>
      </w:pPr>
      <w:r>
        <w:rPr>
          <w:rFonts w:hint="eastAsia" w:ascii="宋体" w:hAnsi="宋体" w:cs="宋体"/>
          <w:b/>
          <w:kern w:val="0"/>
          <w:szCs w:val="21"/>
        </w:rPr>
        <w:t>本项目不收取投标保证金。</w:t>
      </w:r>
      <w:r>
        <w:rPr>
          <w:rFonts w:hint="eastAsia" w:ascii="宋体" w:hAnsi="宋体" w:cs="宋体"/>
          <w:szCs w:val="21"/>
        </w:rPr>
        <w:t>供应商在采购活动中违反相关法律法规规章规定的，本中心将报告政府采购监督管理部门，由政府采购监督管理部门依照相关规定作出处理。</w:t>
      </w:r>
    </w:p>
    <w:p>
      <w:pPr>
        <w:pStyle w:val="14"/>
        <w:widowControl w:val="0"/>
        <w:tabs>
          <w:tab w:val="clear" w:pos="454"/>
        </w:tabs>
        <w:snapToGrid w:val="0"/>
        <w:spacing w:before="156" w:beforeLines="50" w:after="120" w:afterLines="0" w:line="360" w:lineRule="exact"/>
        <w:ind w:left="0" w:firstLine="413" w:firstLineChars="196"/>
        <w:rPr>
          <w:rFonts w:ascii="宋体" w:hAnsi="宋体" w:cs="宋体"/>
          <w:b/>
          <w:sz w:val="21"/>
          <w:szCs w:val="21"/>
        </w:rPr>
      </w:pPr>
      <w:bookmarkStart w:id="45" w:name="_Toc254970542"/>
      <w:bookmarkStart w:id="46" w:name="_Toc254970683"/>
      <w:r>
        <w:rPr>
          <w:rFonts w:hint="eastAsia" w:ascii="宋体" w:hAnsi="宋体" w:cs="宋体"/>
          <w:b/>
          <w:sz w:val="21"/>
          <w:szCs w:val="21"/>
        </w:rPr>
        <w:t>（六）投标文件的签署</w:t>
      </w:r>
      <w:bookmarkEnd w:id="45"/>
      <w:bookmarkEnd w:id="46"/>
    </w:p>
    <w:p>
      <w:pPr>
        <w:snapToGrid w:val="0"/>
        <w:spacing w:line="360" w:lineRule="exact"/>
        <w:ind w:firstLine="420" w:firstLineChars="200"/>
        <w:jc w:val="left"/>
        <w:rPr>
          <w:rFonts w:ascii="宋体" w:hAnsi="宋体" w:cs="宋体"/>
          <w:szCs w:val="21"/>
        </w:rPr>
      </w:pPr>
      <w:r>
        <w:rPr>
          <w:rFonts w:hint="eastAsia" w:ascii="宋体" w:hAnsi="宋体" w:cs="宋体"/>
          <w:szCs w:val="21"/>
        </w:rPr>
        <w:t>1.投标人应按照招标文件的要求编制完整的投标文件，投标文件须对招标文件中的内容做出实质性和完整的响应，混乱的编排导致投标文件被误读、漏读或查找不到相关内容的，投标文件留有空项的地方，其投标将会被拒绝。</w:t>
      </w:r>
    </w:p>
    <w:p>
      <w:pPr>
        <w:snapToGrid w:val="0"/>
        <w:spacing w:line="360" w:lineRule="exact"/>
        <w:ind w:firstLine="421" w:firstLineChars="200"/>
        <w:jc w:val="left"/>
        <w:rPr>
          <w:rFonts w:ascii="宋体" w:hAnsi="宋体" w:cs="宋体"/>
          <w:b/>
          <w:szCs w:val="21"/>
        </w:rPr>
      </w:pPr>
      <w:r>
        <w:rPr>
          <w:rFonts w:hint="eastAsia" w:ascii="宋体" w:hAnsi="宋体" w:cs="宋体"/>
          <w:b/>
          <w:szCs w:val="21"/>
        </w:rPr>
        <w:t>2.电子投标文件中须加盖供应商公章部分均采用CA签章，并根据“政府采购项目电子交易管理操作指南-供应商”及本招标文件规定的格式和顺序编制电子投标文件并进行关联定位，以便评标委员会在评审时，点击评分项可直接定位到该评分项内容。如对招标文件的某项要求，供应商的电子投标文件未能关联定位提供相应的内容与其对应，则评标委员会在评审时如做出对供应商不利的评审由供应商自行承担。电子投标文件如内容不完整、编排混乱导致投标文件被误读、漏读，或者在按采购文件规定的部位查找不到相关内容的，由供应商自行承担。</w:t>
      </w:r>
    </w:p>
    <w:p>
      <w:pPr>
        <w:snapToGrid w:val="0"/>
        <w:spacing w:line="360" w:lineRule="exact"/>
        <w:ind w:firstLine="421" w:firstLineChars="200"/>
        <w:jc w:val="left"/>
        <w:rPr>
          <w:rFonts w:ascii="宋体" w:hAnsi="宋体" w:cs="宋体"/>
          <w:szCs w:val="21"/>
        </w:rPr>
      </w:pPr>
      <w:r>
        <w:rPr>
          <w:rFonts w:hint="eastAsia" w:ascii="宋体" w:hAnsi="宋体" w:cs="宋体"/>
          <w:b/>
          <w:szCs w:val="21"/>
        </w:rPr>
        <w:t>3.投标文件中涉及到签名或盖章的位置未按要求签名或盖章的，提供的材料视为无效。</w:t>
      </w:r>
    </w:p>
    <w:p>
      <w:pPr>
        <w:snapToGrid w:val="0"/>
        <w:spacing w:line="360" w:lineRule="exact"/>
        <w:ind w:firstLine="420" w:firstLineChars="200"/>
        <w:jc w:val="left"/>
        <w:rPr>
          <w:rFonts w:ascii="宋体" w:hAnsi="宋体" w:cs="宋体"/>
          <w:szCs w:val="21"/>
        </w:rPr>
      </w:pPr>
      <w:r>
        <w:rPr>
          <w:rFonts w:hint="eastAsia" w:ascii="宋体" w:hAnsi="宋体" w:cs="宋体"/>
          <w:szCs w:val="21"/>
        </w:rPr>
        <w:t>4.投标文件不得涂改，若有修改错漏处，须加盖单位公章或者法定代表人（负责人）或授权委托人签字或盖章。投标文件因字迹潦草或表达不清所引起的后果由供应商负责。</w:t>
      </w:r>
    </w:p>
    <w:p>
      <w:pPr>
        <w:snapToGrid w:val="0"/>
        <w:spacing w:before="156" w:beforeLines="50" w:line="360" w:lineRule="exact"/>
        <w:ind w:firstLine="309" w:firstLineChars="147"/>
        <w:jc w:val="left"/>
        <w:rPr>
          <w:rFonts w:ascii="宋体" w:hAnsi="宋体" w:cs="宋体"/>
          <w:b/>
          <w:szCs w:val="21"/>
        </w:rPr>
      </w:pPr>
      <w:r>
        <w:rPr>
          <w:rFonts w:hint="eastAsia" w:ascii="宋体" w:hAnsi="宋体" w:cs="宋体"/>
          <w:b/>
          <w:szCs w:val="21"/>
        </w:rPr>
        <w:t>（七）投标文件的递交、修改和撤回</w:t>
      </w:r>
    </w:p>
    <w:p>
      <w:pPr>
        <w:snapToGrid w:val="0"/>
        <w:spacing w:line="360" w:lineRule="exact"/>
        <w:ind w:firstLine="420"/>
        <w:jc w:val="left"/>
        <w:rPr>
          <w:rFonts w:ascii="宋体" w:hAnsi="宋体" w:cs="宋体"/>
          <w:szCs w:val="21"/>
        </w:rPr>
      </w:pPr>
      <w:r>
        <w:rPr>
          <w:rFonts w:hint="eastAsia" w:ascii="宋体" w:hAnsi="宋体" w:cs="宋体"/>
          <w:szCs w:val="21"/>
        </w:rPr>
        <w:t>1.投标人在投标截止时间之前，可以对已提交的电子投标文件进行修改或撤回，并书面通知采购人；投标截止时间后，投标人不得撤回、修改电子投标文件。</w:t>
      </w:r>
    </w:p>
    <w:p>
      <w:pPr>
        <w:snapToGrid w:val="0"/>
        <w:spacing w:line="360" w:lineRule="exact"/>
        <w:ind w:firstLine="420"/>
        <w:jc w:val="left"/>
        <w:rPr>
          <w:rFonts w:ascii="宋体" w:hAnsi="宋体" w:cs="宋体"/>
          <w:spacing w:val="-4"/>
          <w:szCs w:val="21"/>
        </w:rPr>
      </w:pPr>
      <w:bookmarkStart w:id="47" w:name="_Toc254970684"/>
      <w:bookmarkStart w:id="48" w:name="_Toc254970543"/>
      <w:r>
        <w:rPr>
          <w:rFonts w:hint="eastAsia" w:ascii="宋体" w:hAnsi="宋体" w:cs="宋体"/>
          <w:spacing w:val="-4"/>
          <w:szCs w:val="21"/>
        </w:rPr>
        <w:t>2.投标人已经被推荐为第一中标候选供应商后撤回投标或放弃中标的，给采购人造成损失的，应当赔偿损失，并作为不良行为记录在案。</w:t>
      </w:r>
    </w:p>
    <w:p>
      <w:pPr>
        <w:snapToGrid w:val="0"/>
        <w:spacing w:line="360" w:lineRule="exact"/>
        <w:ind w:firstLine="420"/>
        <w:jc w:val="left"/>
        <w:rPr>
          <w:rFonts w:ascii="宋体" w:hAnsi="宋体" w:cs="宋体"/>
          <w:b/>
          <w:spacing w:val="-4"/>
          <w:szCs w:val="21"/>
        </w:rPr>
      </w:pPr>
      <w:r>
        <w:rPr>
          <w:rFonts w:hint="eastAsia" w:ascii="宋体" w:hAnsi="宋体" w:cs="宋体"/>
          <w:b/>
          <w:spacing w:val="-4"/>
          <w:szCs w:val="21"/>
        </w:rPr>
        <w:t>3.</w:t>
      </w:r>
      <w:r>
        <w:rPr>
          <w:rFonts w:hint="eastAsia" w:ascii="宋体" w:hAnsi="宋体" w:cs="宋体"/>
          <w:b/>
          <w:szCs w:val="21"/>
        </w:rPr>
        <w:t>投标文件的</w:t>
      </w:r>
      <w:r>
        <w:rPr>
          <w:rFonts w:hint="eastAsia" w:ascii="宋体" w:hAnsi="宋体" w:cs="宋体"/>
          <w:b/>
          <w:spacing w:val="-4"/>
          <w:szCs w:val="21"/>
        </w:rPr>
        <w:t>递交</w:t>
      </w:r>
    </w:p>
    <w:p>
      <w:pPr>
        <w:snapToGrid w:val="0"/>
        <w:spacing w:line="360" w:lineRule="exact"/>
        <w:ind w:firstLine="420"/>
        <w:jc w:val="left"/>
        <w:rPr>
          <w:rFonts w:ascii="宋体" w:hAnsi="宋体" w:cs="宋体"/>
          <w:b/>
          <w:spacing w:val="-4"/>
          <w:szCs w:val="21"/>
        </w:rPr>
      </w:pPr>
      <w:r>
        <w:rPr>
          <w:rFonts w:hint="eastAsia" w:ascii="宋体" w:hAnsi="宋体" w:cs="宋体"/>
          <w:b/>
          <w:spacing w:val="-4"/>
          <w:szCs w:val="21"/>
        </w:rPr>
        <w:t>3.1所有投标文件应于招标文件中规定的时间上传递交至广西政府采购云平台。</w:t>
      </w:r>
    </w:p>
    <w:p>
      <w:pPr>
        <w:snapToGrid w:val="0"/>
        <w:spacing w:line="360" w:lineRule="exact"/>
        <w:ind w:firstLine="420"/>
        <w:jc w:val="left"/>
        <w:rPr>
          <w:rFonts w:ascii="宋体" w:hAnsi="宋体" w:cs="宋体"/>
          <w:b/>
          <w:spacing w:val="-4"/>
          <w:szCs w:val="21"/>
        </w:rPr>
      </w:pPr>
      <w:r>
        <w:rPr>
          <w:rFonts w:hint="eastAsia" w:ascii="宋体" w:hAnsi="宋体" w:cs="宋体"/>
          <w:b/>
          <w:spacing w:val="-4"/>
          <w:szCs w:val="21"/>
        </w:rPr>
        <w:t>3.2电子投标文件的相关说明</w:t>
      </w:r>
    </w:p>
    <w:p>
      <w:pPr>
        <w:snapToGrid w:val="0"/>
        <w:spacing w:line="360" w:lineRule="exact"/>
        <w:ind w:firstLine="420"/>
        <w:jc w:val="left"/>
        <w:rPr>
          <w:rFonts w:ascii="宋体" w:hAnsi="宋体" w:cs="宋体"/>
          <w:b/>
          <w:spacing w:val="-4"/>
          <w:szCs w:val="21"/>
        </w:rPr>
      </w:pPr>
      <w:r>
        <w:rPr>
          <w:rFonts w:hint="eastAsia" w:ascii="宋体" w:hAnsi="宋体" w:cs="宋体"/>
          <w:b/>
          <w:spacing w:val="-4"/>
          <w:szCs w:val="21"/>
        </w:rPr>
        <w:t>（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napToGrid w:val="0"/>
        <w:spacing w:line="360" w:lineRule="exact"/>
        <w:ind w:firstLine="420"/>
        <w:jc w:val="left"/>
        <w:rPr>
          <w:rFonts w:ascii="宋体" w:hAnsi="宋体" w:cs="宋体"/>
          <w:b/>
          <w:spacing w:val="-4"/>
          <w:szCs w:val="21"/>
        </w:rPr>
      </w:pPr>
      <w:r>
        <w:rPr>
          <w:rFonts w:hint="eastAsia" w:ascii="宋体" w:hAnsi="宋体" w:cs="宋体"/>
          <w:b/>
          <w:spacing w:val="-4"/>
          <w:szCs w:val="21"/>
        </w:rPr>
        <w:t>（2）如有特殊情况，本中心延长截止时间和开标时间，本中心和供应商的权利和义务将受到新的截止时间和开标时间的约束。</w:t>
      </w:r>
    </w:p>
    <w:bookmarkEnd w:id="47"/>
    <w:bookmarkEnd w:id="48"/>
    <w:p>
      <w:pPr>
        <w:snapToGrid w:val="0"/>
        <w:spacing w:line="360" w:lineRule="exact"/>
        <w:ind w:firstLine="420"/>
        <w:jc w:val="left"/>
        <w:rPr>
          <w:rFonts w:ascii="宋体" w:hAnsi="宋体" w:cs="宋体"/>
          <w:b/>
          <w:szCs w:val="21"/>
        </w:rPr>
      </w:pPr>
      <w:r>
        <w:rPr>
          <w:rFonts w:hint="eastAsia" w:ascii="宋体" w:hAnsi="宋体" w:cs="宋体"/>
          <w:b/>
          <w:szCs w:val="21"/>
        </w:rPr>
        <w:t>（八）投标无效的情形</w:t>
      </w:r>
    </w:p>
    <w:p>
      <w:pPr>
        <w:pStyle w:val="22"/>
        <w:snapToGrid w:val="0"/>
        <w:spacing w:line="360" w:lineRule="exact"/>
        <w:ind w:firstLine="395" w:firstLineChars="196"/>
        <w:rPr>
          <w:rFonts w:ascii="宋体" w:hAnsi="宋体" w:eastAsia="宋体" w:cs="宋体"/>
          <w:spacing w:val="-4"/>
          <w:sz w:val="21"/>
          <w:szCs w:val="21"/>
        </w:rPr>
      </w:pPr>
      <w:r>
        <w:rPr>
          <w:rFonts w:hint="eastAsia" w:ascii="宋体" w:hAnsi="宋体" w:eastAsia="宋体" w:cs="宋体"/>
          <w:spacing w:val="-4"/>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pStyle w:val="22"/>
        <w:snapToGrid w:val="0"/>
        <w:spacing w:line="360" w:lineRule="exact"/>
        <w:ind w:firstLine="397" w:firstLineChars="196"/>
        <w:rPr>
          <w:rFonts w:ascii="宋体" w:hAnsi="宋体" w:eastAsia="宋体" w:cs="宋体"/>
          <w:spacing w:val="-4"/>
          <w:sz w:val="21"/>
          <w:szCs w:val="21"/>
        </w:rPr>
      </w:pPr>
      <w:r>
        <w:rPr>
          <w:rFonts w:hint="eastAsia" w:ascii="宋体" w:hAnsi="宋体" w:eastAsia="宋体" w:cs="宋体"/>
          <w:b/>
          <w:spacing w:val="-4"/>
          <w:sz w:val="21"/>
          <w:szCs w:val="21"/>
        </w:rPr>
        <w:t>1.</w:t>
      </w:r>
      <w:r>
        <w:rPr>
          <w:rFonts w:hint="eastAsia" w:ascii="宋体" w:hAnsi="宋体" w:eastAsia="宋体" w:cs="宋体"/>
          <w:spacing w:val="-4"/>
          <w:sz w:val="21"/>
          <w:szCs w:val="21"/>
        </w:rPr>
        <w:t>在符合性审查和资格性审查时，如发现下列情形之一的，投标文件将被视为无效：</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（1）超越了按照法律法规规定必须获得行政许可或者行政审批的经营范围的；</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（2）资格证明文件不全的，或者不符合招标文件标明的资格要求的；</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（3）投标文件无法定代表人（负责人）或其授权委托代理人签字，或未提供法定代表人（负责人）授权委托书、承诺函或者填写项目不齐全的；</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（4）投标代表人未能出具身份证明或与法定代表人（负责人）授权委托人身份不符的；</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（5）项目不齐全或者内容虚假的；</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（6）投标文件的实质性内容未使用中文表述、意思表述不明确、前后矛盾或者使用计量单位不符合投标文件要求的（经评标委员会认定并允许其当场更正的笔误除外）；</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（7）投标有效期、交付使用时间、质保期等商务条款不能满足招标文件要求的；</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（8）未实质性响应招标文件要求或者投标文件有招标方不能接受的附加条件的；</w:t>
      </w:r>
    </w:p>
    <w:p>
      <w:pPr>
        <w:pStyle w:val="22"/>
        <w:snapToGrid w:val="0"/>
        <w:spacing w:line="360" w:lineRule="exact"/>
        <w:ind w:firstLine="397" w:firstLineChars="196"/>
        <w:rPr>
          <w:rFonts w:ascii="宋体" w:hAnsi="宋体" w:eastAsia="宋体" w:cs="宋体"/>
          <w:spacing w:val="-4"/>
          <w:sz w:val="21"/>
          <w:szCs w:val="21"/>
        </w:rPr>
      </w:pPr>
      <w:r>
        <w:rPr>
          <w:rFonts w:hint="eastAsia" w:ascii="宋体" w:hAnsi="宋体" w:eastAsia="宋体" w:cs="宋体"/>
          <w:b/>
          <w:spacing w:val="-4"/>
          <w:sz w:val="21"/>
          <w:szCs w:val="21"/>
        </w:rPr>
        <w:t>2.</w:t>
      </w:r>
      <w:r>
        <w:rPr>
          <w:rFonts w:hint="eastAsia" w:ascii="宋体" w:hAnsi="宋体" w:eastAsia="宋体" w:cs="宋体"/>
          <w:spacing w:val="-4"/>
          <w:sz w:val="21"/>
          <w:szCs w:val="21"/>
        </w:rPr>
        <w:t>在技术评审时，如发现下列情形之一的，投标文件将被视为无效：</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（1）未提供或未如实提供投标货物的技术参数，或者投标文件标明的响应或偏离与事实不符或虚假投标的；</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（2）明显不符合招标文件要求的规格型号、质量标准，或者与招标文件中的技术指标、主要功能项目发生实质性偏离的；</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（3）标明符号“</w:t>
      </w:r>
      <w:r>
        <w:rPr>
          <w:rFonts w:hint="eastAsia" w:ascii="宋体" w:hAnsi="宋体" w:cs="宋体"/>
          <w:sz w:val="20"/>
        </w:rPr>
        <w:t xml:space="preserve"> ★</w:t>
      </w:r>
      <w:r>
        <w:rPr>
          <w:rFonts w:hint="eastAsia" w:ascii="宋体" w:hAnsi="宋体" w:eastAsia="宋体" w:cs="宋体"/>
          <w:spacing w:val="-4"/>
          <w:sz w:val="21"/>
          <w:szCs w:val="21"/>
        </w:rPr>
        <w:t>”的技术、性能指标发生负偏离达1项（含）以上的；</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（4）投标技术方案不明确，存在一个或一个以上备选（替换）投标方案的；</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（5）与其他参加本次投标供应商的投标文件（技术文件）的文字表述内容差错相同二处以上的。</w:t>
      </w:r>
    </w:p>
    <w:p>
      <w:pPr>
        <w:pStyle w:val="22"/>
        <w:snapToGrid w:val="0"/>
        <w:spacing w:line="360" w:lineRule="exact"/>
        <w:ind w:firstLine="397" w:firstLineChars="196"/>
        <w:rPr>
          <w:rFonts w:ascii="宋体" w:hAnsi="宋体" w:eastAsia="宋体" w:cs="宋体"/>
          <w:spacing w:val="-4"/>
          <w:sz w:val="21"/>
          <w:szCs w:val="21"/>
        </w:rPr>
      </w:pPr>
      <w:r>
        <w:rPr>
          <w:rFonts w:hint="eastAsia" w:ascii="宋体" w:hAnsi="宋体" w:eastAsia="宋体" w:cs="宋体"/>
          <w:b/>
          <w:spacing w:val="-4"/>
          <w:sz w:val="21"/>
          <w:szCs w:val="21"/>
        </w:rPr>
        <w:t>3.</w:t>
      </w:r>
      <w:r>
        <w:rPr>
          <w:rFonts w:hint="eastAsia" w:ascii="宋体" w:hAnsi="宋体" w:eastAsia="宋体" w:cs="宋体"/>
          <w:spacing w:val="-4"/>
          <w:sz w:val="21"/>
          <w:szCs w:val="21"/>
        </w:rPr>
        <w:t>在报价评审时，如发现下列情形之一的，投标文件将被视为无效：</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（1）未采用人民币报价或者未按照招标文件标明的币种报价的；</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（2）报价超出最高限价，或者超出采购预算金额，采购人不能支付的；</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（3）投标报价具有选择性，或者开标价格与投标文件承诺的优惠（折扣）价格不一致的。</w:t>
      </w:r>
    </w:p>
    <w:p>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pStyle w:val="22"/>
        <w:snapToGrid w:val="0"/>
        <w:spacing w:line="360" w:lineRule="exact"/>
        <w:ind w:firstLine="397" w:firstLineChars="196"/>
        <w:rPr>
          <w:rFonts w:ascii="宋体" w:hAnsi="宋体" w:eastAsia="宋体" w:cs="宋体"/>
          <w:spacing w:val="-4"/>
          <w:sz w:val="21"/>
          <w:szCs w:val="21"/>
        </w:rPr>
      </w:pPr>
      <w:r>
        <w:rPr>
          <w:rFonts w:hint="eastAsia" w:ascii="宋体" w:hAnsi="宋体" w:eastAsia="宋体" w:cs="宋体"/>
          <w:b/>
          <w:spacing w:val="-4"/>
          <w:sz w:val="21"/>
          <w:szCs w:val="21"/>
        </w:rPr>
        <w:t>4.</w:t>
      </w:r>
      <w:r>
        <w:rPr>
          <w:rFonts w:hint="eastAsia" w:ascii="宋体" w:hAnsi="宋体" w:eastAsia="宋体" w:cs="宋体"/>
          <w:spacing w:val="-4"/>
          <w:sz w:val="21"/>
          <w:szCs w:val="21"/>
        </w:rPr>
        <w:t>有下列情形之一的视为投标人相互串通投标，投标文件将被视为无效:</w:t>
      </w:r>
    </w:p>
    <w:p>
      <w:pPr>
        <w:pStyle w:val="22"/>
        <w:snapToGrid w:val="0"/>
        <w:spacing w:line="360" w:lineRule="exact"/>
        <w:ind w:firstLine="395" w:firstLineChars="196"/>
        <w:rPr>
          <w:rFonts w:ascii="宋体" w:hAnsi="宋体" w:eastAsia="宋体" w:cs="宋体"/>
          <w:spacing w:val="-4"/>
          <w:sz w:val="21"/>
          <w:szCs w:val="21"/>
        </w:rPr>
      </w:pPr>
      <w:r>
        <w:rPr>
          <w:rFonts w:hint="eastAsia" w:ascii="宋体" w:hAnsi="宋体" w:eastAsia="宋体" w:cs="宋体"/>
          <w:spacing w:val="-4"/>
          <w:sz w:val="21"/>
          <w:szCs w:val="21"/>
        </w:rPr>
        <w:t>（1）不同投标人的投标文件由同一单位或者个人编制；或不同投标人报名的IP地址一致的；</w:t>
      </w:r>
    </w:p>
    <w:p>
      <w:pPr>
        <w:pStyle w:val="22"/>
        <w:snapToGrid w:val="0"/>
        <w:spacing w:line="360" w:lineRule="exact"/>
        <w:ind w:firstLine="395" w:firstLineChars="196"/>
        <w:rPr>
          <w:rFonts w:ascii="宋体" w:hAnsi="宋体" w:eastAsia="宋体" w:cs="宋体"/>
          <w:spacing w:val="-4"/>
          <w:sz w:val="21"/>
          <w:szCs w:val="21"/>
        </w:rPr>
      </w:pPr>
      <w:r>
        <w:rPr>
          <w:rFonts w:hint="eastAsia" w:ascii="宋体" w:hAnsi="宋体" w:eastAsia="宋体" w:cs="宋体"/>
          <w:spacing w:val="-4"/>
          <w:sz w:val="21"/>
          <w:szCs w:val="21"/>
        </w:rPr>
        <w:t>（2）不同投标人委托同一单位或者个人办理投标事宜；</w:t>
      </w:r>
    </w:p>
    <w:p>
      <w:pPr>
        <w:pStyle w:val="22"/>
        <w:snapToGrid w:val="0"/>
        <w:spacing w:line="360" w:lineRule="exact"/>
        <w:ind w:firstLine="395" w:firstLineChars="196"/>
        <w:rPr>
          <w:rFonts w:ascii="宋体" w:hAnsi="宋体" w:eastAsia="宋体" w:cs="宋体"/>
          <w:spacing w:val="-4"/>
          <w:sz w:val="21"/>
          <w:szCs w:val="21"/>
        </w:rPr>
      </w:pPr>
      <w:r>
        <w:rPr>
          <w:rFonts w:hint="eastAsia" w:ascii="宋体" w:hAnsi="宋体" w:eastAsia="宋体" w:cs="宋体"/>
          <w:spacing w:val="-4"/>
          <w:sz w:val="21"/>
          <w:szCs w:val="21"/>
        </w:rPr>
        <w:t>（3）不同投标人的投标文件载明的项目管理成员或者联系人员为同一人；</w:t>
      </w:r>
    </w:p>
    <w:p>
      <w:pPr>
        <w:pStyle w:val="22"/>
        <w:snapToGrid w:val="0"/>
        <w:spacing w:line="360" w:lineRule="exact"/>
        <w:ind w:firstLine="395" w:firstLineChars="196"/>
        <w:rPr>
          <w:rFonts w:ascii="宋体" w:hAnsi="宋体" w:eastAsia="宋体" w:cs="宋体"/>
          <w:spacing w:val="-4"/>
          <w:sz w:val="21"/>
          <w:szCs w:val="21"/>
        </w:rPr>
      </w:pPr>
      <w:r>
        <w:rPr>
          <w:rFonts w:hint="eastAsia" w:ascii="宋体" w:hAnsi="宋体" w:eastAsia="宋体" w:cs="宋体"/>
          <w:spacing w:val="-4"/>
          <w:sz w:val="21"/>
          <w:szCs w:val="21"/>
        </w:rPr>
        <w:t>（4）不同投标人的投标文件异常一致或投标报价呈规律性差异；</w:t>
      </w:r>
    </w:p>
    <w:p>
      <w:pPr>
        <w:pStyle w:val="22"/>
        <w:snapToGrid w:val="0"/>
        <w:spacing w:line="360" w:lineRule="exact"/>
        <w:ind w:firstLine="395" w:firstLineChars="196"/>
        <w:rPr>
          <w:rFonts w:ascii="宋体" w:hAnsi="宋体" w:eastAsia="宋体" w:cs="宋体"/>
          <w:spacing w:val="-4"/>
          <w:sz w:val="21"/>
          <w:szCs w:val="21"/>
        </w:rPr>
      </w:pPr>
      <w:r>
        <w:rPr>
          <w:rFonts w:hint="eastAsia" w:ascii="宋体" w:hAnsi="宋体" w:eastAsia="宋体" w:cs="宋体"/>
          <w:spacing w:val="-4"/>
          <w:sz w:val="21"/>
          <w:szCs w:val="21"/>
        </w:rPr>
        <w:t>（5）不同投标人的投标文件相互混装；</w:t>
      </w:r>
    </w:p>
    <w:p>
      <w:pPr>
        <w:pStyle w:val="22"/>
        <w:snapToGrid w:val="0"/>
        <w:spacing w:line="360" w:lineRule="exact"/>
        <w:ind w:firstLine="395" w:firstLineChars="196"/>
        <w:rPr>
          <w:rFonts w:ascii="宋体" w:hAnsi="宋体" w:eastAsia="宋体" w:cs="宋体"/>
          <w:spacing w:val="-4"/>
          <w:sz w:val="21"/>
          <w:szCs w:val="21"/>
        </w:rPr>
      </w:pPr>
      <w:r>
        <w:rPr>
          <w:rFonts w:hint="eastAsia" w:ascii="宋体" w:hAnsi="宋体" w:eastAsia="宋体" w:cs="宋体"/>
          <w:spacing w:val="-4"/>
          <w:sz w:val="21"/>
          <w:szCs w:val="21"/>
        </w:rPr>
        <w:t>（6）不同投标人的投标保证金从同一个单位或者个人账户转出。</w:t>
      </w:r>
    </w:p>
    <w:p>
      <w:pPr>
        <w:pStyle w:val="22"/>
        <w:snapToGrid w:val="0"/>
        <w:spacing w:line="360" w:lineRule="exact"/>
        <w:ind w:firstLine="395" w:firstLineChars="196"/>
        <w:rPr>
          <w:rFonts w:ascii="宋体" w:hAnsi="宋体" w:eastAsia="宋体" w:cs="宋体"/>
          <w:spacing w:val="-4"/>
          <w:sz w:val="21"/>
          <w:szCs w:val="21"/>
        </w:rPr>
      </w:pPr>
      <w:r>
        <w:rPr>
          <w:rFonts w:hint="eastAsia" w:ascii="宋体" w:hAnsi="宋体" w:eastAsia="宋体" w:cs="宋体"/>
          <w:spacing w:val="-4"/>
          <w:sz w:val="21"/>
          <w:szCs w:val="21"/>
        </w:rPr>
        <w:t>5.有下列情形之一的视为关联供应商参加同一合同项下政府采购活动，投标文件将被视为无效:</w:t>
      </w:r>
    </w:p>
    <w:p>
      <w:pPr>
        <w:pStyle w:val="22"/>
        <w:snapToGrid w:val="0"/>
        <w:spacing w:line="360" w:lineRule="exact"/>
        <w:ind w:firstLine="395" w:firstLineChars="196"/>
        <w:rPr>
          <w:rFonts w:ascii="宋体" w:hAnsi="宋体" w:eastAsia="宋体" w:cs="宋体"/>
          <w:spacing w:val="-4"/>
          <w:sz w:val="21"/>
          <w:szCs w:val="21"/>
        </w:rPr>
      </w:pPr>
      <w:r>
        <w:rPr>
          <w:rFonts w:hint="eastAsia" w:ascii="宋体" w:hAnsi="宋体" w:eastAsia="宋体" w:cs="宋体"/>
          <w:spacing w:val="-4"/>
          <w:sz w:val="21"/>
          <w:szCs w:val="21"/>
        </w:rPr>
        <w:t>（1）单位负责人为同一人或者存在直接控股、管理关系的不同供应商，参加同一合同项下的政府采购活动；</w:t>
      </w:r>
    </w:p>
    <w:p>
      <w:pPr>
        <w:pStyle w:val="22"/>
        <w:snapToGrid w:val="0"/>
        <w:spacing w:line="360" w:lineRule="exact"/>
        <w:ind w:firstLine="395" w:firstLineChars="196"/>
        <w:rPr>
          <w:rFonts w:ascii="宋体" w:hAnsi="宋体" w:eastAsia="宋体" w:cs="宋体"/>
          <w:spacing w:val="-4"/>
          <w:sz w:val="21"/>
          <w:szCs w:val="21"/>
        </w:rPr>
      </w:pPr>
      <w:r>
        <w:rPr>
          <w:rFonts w:hint="eastAsia" w:ascii="宋体" w:hAnsi="宋体" w:eastAsia="宋体" w:cs="宋体"/>
          <w:spacing w:val="-4"/>
          <w:sz w:val="21"/>
          <w:szCs w:val="21"/>
        </w:rPr>
        <w:t>（2）生产厂商授权给供应商后又参加同一合同项下的政府采购活动；生产厂商对同一品牌的货物委托多个代理商参加投标。</w:t>
      </w:r>
    </w:p>
    <w:p>
      <w:pPr>
        <w:pStyle w:val="22"/>
        <w:snapToGrid w:val="0"/>
        <w:spacing w:line="360" w:lineRule="exact"/>
        <w:ind w:firstLine="395" w:firstLineChars="196"/>
        <w:rPr>
          <w:rFonts w:ascii="宋体" w:hAnsi="宋体" w:eastAsia="宋体" w:cs="宋体"/>
          <w:spacing w:val="-4"/>
          <w:sz w:val="21"/>
          <w:szCs w:val="21"/>
        </w:rPr>
      </w:pPr>
      <w:r>
        <w:rPr>
          <w:rFonts w:hint="eastAsia" w:ascii="宋体" w:hAnsi="宋体" w:eastAsia="宋体" w:cs="宋体"/>
          <w:spacing w:val="-4"/>
          <w:sz w:val="21"/>
          <w:szCs w:val="21"/>
        </w:rPr>
        <w:t>6.被拒绝的投标文件为无效。</w:t>
      </w:r>
    </w:p>
    <w:p>
      <w:pPr>
        <w:adjustRightInd w:val="0"/>
        <w:snapToGrid w:val="0"/>
        <w:spacing w:line="360" w:lineRule="exact"/>
        <w:ind w:firstLine="421" w:firstLineChars="200"/>
        <w:rPr>
          <w:rFonts w:ascii="宋体" w:hAnsi="宋体" w:cs="宋体"/>
          <w:b/>
          <w:szCs w:val="21"/>
        </w:rPr>
      </w:pPr>
      <w:r>
        <w:rPr>
          <w:rFonts w:hint="eastAsia" w:ascii="宋体" w:hAnsi="宋体" w:cs="宋体"/>
          <w:b/>
          <w:szCs w:val="21"/>
        </w:rPr>
        <w:t>（九）供应商有下列情形之一的，属于恶意串通行为：</w:t>
      </w:r>
    </w:p>
    <w:p>
      <w:pPr>
        <w:adjustRightInd w:val="0"/>
        <w:snapToGrid w:val="0"/>
        <w:spacing w:line="360" w:lineRule="exact"/>
        <w:ind w:firstLine="525" w:firstLineChars="250"/>
        <w:rPr>
          <w:rFonts w:ascii="宋体" w:hAnsi="宋体" w:cs="宋体"/>
          <w:szCs w:val="21"/>
        </w:rPr>
      </w:pPr>
      <w:r>
        <w:rPr>
          <w:rFonts w:hint="eastAsia" w:ascii="宋体" w:hAnsi="宋体" w:cs="宋体"/>
          <w:szCs w:val="21"/>
        </w:rPr>
        <w:t>1.供应商直接或者间接从采购人或者采购代理机构处获得其他供应商的相关信息并修改其投标文件或者响应文件;</w:t>
      </w:r>
    </w:p>
    <w:p>
      <w:pPr>
        <w:adjustRightInd w:val="0"/>
        <w:snapToGrid w:val="0"/>
        <w:spacing w:line="360" w:lineRule="exact"/>
        <w:ind w:firstLine="525" w:firstLineChars="250"/>
        <w:rPr>
          <w:rFonts w:ascii="宋体" w:hAnsi="宋体" w:cs="宋体"/>
          <w:szCs w:val="21"/>
        </w:rPr>
      </w:pPr>
      <w:r>
        <w:rPr>
          <w:rFonts w:hint="eastAsia" w:ascii="宋体" w:hAnsi="宋体" w:cs="宋体"/>
          <w:szCs w:val="21"/>
        </w:rPr>
        <w:t>2.供应商按照采购人或者采购代理机构的授意撤换、修改投标文件或者响应文件;</w:t>
      </w:r>
    </w:p>
    <w:p>
      <w:pPr>
        <w:adjustRightInd w:val="0"/>
        <w:snapToGrid w:val="0"/>
        <w:spacing w:line="360" w:lineRule="exact"/>
        <w:ind w:firstLine="525" w:firstLineChars="250"/>
        <w:rPr>
          <w:rFonts w:ascii="宋体" w:hAnsi="宋体" w:cs="宋体"/>
          <w:szCs w:val="21"/>
        </w:rPr>
      </w:pPr>
      <w:r>
        <w:rPr>
          <w:rFonts w:hint="eastAsia" w:ascii="宋体" w:hAnsi="宋体" w:cs="宋体"/>
          <w:szCs w:val="21"/>
        </w:rPr>
        <w:t>3.供应商之间协商报价、技术方案等投标文件或者响应文件的实质性内容;</w:t>
      </w:r>
    </w:p>
    <w:p>
      <w:pPr>
        <w:adjustRightInd w:val="0"/>
        <w:snapToGrid w:val="0"/>
        <w:spacing w:line="360" w:lineRule="exact"/>
        <w:ind w:firstLine="525" w:firstLineChars="250"/>
        <w:rPr>
          <w:rFonts w:ascii="宋体" w:hAnsi="宋体" w:cs="宋体"/>
          <w:szCs w:val="21"/>
        </w:rPr>
      </w:pPr>
      <w:r>
        <w:rPr>
          <w:rFonts w:hint="eastAsia" w:ascii="宋体" w:hAnsi="宋体" w:cs="宋体"/>
          <w:szCs w:val="21"/>
        </w:rPr>
        <w:t>4.属于同一集团、协会、商会等组织成员的供应商按照该组织要求协同参加政府采购活动;</w:t>
      </w:r>
    </w:p>
    <w:p>
      <w:pPr>
        <w:adjustRightInd w:val="0"/>
        <w:snapToGrid w:val="0"/>
        <w:spacing w:line="360" w:lineRule="exact"/>
        <w:ind w:firstLine="525" w:firstLineChars="250"/>
        <w:rPr>
          <w:rFonts w:ascii="宋体" w:hAnsi="宋体" w:cs="宋体"/>
          <w:szCs w:val="21"/>
        </w:rPr>
      </w:pPr>
      <w:r>
        <w:rPr>
          <w:rFonts w:hint="eastAsia" w:ascii="宋体" w:hAnsi="宋体" w:cs="宋体"/>
          <w:szCs w:val="21"/>
        </w:rPr>
        <w:t>5.供应商之间事先约定一致抬高或者压低投标报价,或者在招标项目中事先约定轮流以高价位或者低价位中标,或者事先约定由某一特定供应商中标,然后再参加投标;</w:t>
      </w:r>
    </w:p>
    <w:p>
      <w:pPr>
        <w:adjustRightInd w:val="0"/>
        <w:snapToGrid w:val="0"/>
        <w:spacing w:line="360" w:lineRule="exact"/>
        <w:ind w:firstLine="525" w:firstLineChars="250"/>
        <w:rPr>
          <w:rFonts w:ascii="宋体" w:hAnsi="宋体" w:cs="宋体"/>
          <w:szCs w:val="21"/>
        </w:rPr>
      </w:pPr>
      <w:r>
        <w:rPr>
          <w:rFonts w:hint="eastAsia" w:ascii="宋体" w:hAnsi="宋体" w:cs="宋体"/>
          <w:szCs w:val="21"/>
        </w:rPr>
        <w:t>6.供应商之间商定部分供应商放弃参加政府采购活动或者放弃中标;</w:t>
      </w:r>
    </w:p>
    <w:p>
      <w:pPr>
        <w:adjustRightInd w:val="0"/>
        <w:snapToGrid w:val="0"/>
        <w:spacing w:line="360" w:lineRule="exact"/>
        <w:ind w:firstLine="525" w:firstLineChars="250"/>
        <w:rPr>
          <w:rFonts w:ascii="宋体" w:hAnsi="宋体" w:cs="宋体"/>
          <w:szCs w:val="21"/>
        </w:rPr>
      </w:pPr>
      <w:r>
        <w:rPr>
          <w:rFonts w:hint="eastAsia" w:ascii="宋体" w:hAnsi="宋体" w:cs="宋体"/>
          <w:szCs w:val="21"/>
        </w:rPr>
        <w:t>7.供应商与采购人或者采购代理机构之间、供应商相互之间，为谋求特定供应商中标或者排斥其他供应商的其他串通行为。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供应商存在以上恶意串通情形的，根据《中华人民共和国政府采购法》第七十二条及《中华人民共和国政府采购法实施条例》第七十四条规定进行处理。</w:t>
      </w:r>
    </w:p>
    <w:p>
      <w:pPr>
        <w:pStyle w:val="29"/>
        <w:adjustRightInd w:val="0"/>
        <w:snapToGrid w:val="0"/>
        <w:spacing w:line="360" w:lineRule="exact"/>
        <w:ind w:firstLine="421" w:firstLineChars="200"/>
        <w:rPr>
          <w:rFonts w:hAnsi="宋体" w:cs="宋体"/>
          <w:b/>
          <w:sz w:val="21"/>
        </w:rPr>
      </w:pPr>
      <w:r>
        <w:rPr>
          <w:rFonts w:hint="eastAsia" w:hAnsi="宋体" w:cs="宋体"/>
          <w:b/>
          <w:sz w:val="21"/>
        </w:rPr>
        <w:t>（十）废标</w:t>
      </w:r>
    </w:p>
    <w:p>
      <w:pPr>
        <w:pStyle w:val="29"/>
        <w:adjustRightInd w:val="0"/>
        <w:snapToGrid w:val="0"/>
        <w:spacing w:line="360" w:lineRule="exact"/>
        <w:ind w:firstLine="421" w:firstLineChars="200"/>
        <w:rPr>
          <w:rFonts w:hAnsi="宋体" w:cs="宋体"/>
          <w:b/>
          <w:sz w:val="21"/>
        </w:rPr>
      </w:pPr>
      <w:r>
        <w:rPr>
          <w:rFonts w:hint="eastAsia" w:hAnsi="宋体" w:cs="宋体"/>
          <w:b/>
          <w:sz w:val="21"/>
        </w:rPr>
        <w:t>1.招标采购项目出现下列情形之一的，将予废标：</w:t>
      </w:r>
    </w:p>
    <w:p>
      <w:pPr>
        <w:widowControl/>
        <w:adjustRightInd w:val="0"/>
        <w:snapToGrid w:val="0"/>
        <w:spacing w:line="360" w:lineRule="exact"/>
        <w:ind w:firstLine="514" w:firstLineChars="245"/>
        <w:jc w:val="left"/>
        <w:rPr>
          <w:rFonts w:ascii="宋体" w:hAnsi="宋体" w:cs="宋体"/>
          <w:szCs w:val="21"/>
        </w:rPr>
      </w:pPr>
      <w:r>
        <w:rPr>
          <w:rFonts w:hint="eastAsia" w:ascii="宋体" w:hAnsi="宋体" w:cs="宋体"/>
          <w:szCs w:val="21"/>
        </w:rPr>
        <w:t>（1）截标后整个招标项目的投标人不足三家的或实质性响应不足法定三家的；</w:t>
      </w:r>
    </w:p>
    <w:p>
      <w:pPr>
        <w:widowControl/>
        <w:adjustRightInd w:val="0"/>
        <w:snapToGrid w:val="0"/>
        <w:spacing w:line="360" w:lineRule="exact"/>
        <w:ind w:firstLine="514" w:firstLineChars="245"/>
        <w:jc w:val="left"/>
        <w:rPr>
          <w:rFonts w:ascii="宋体" w:hAnsi="宋体" w:cs="宋体"/>
          <w:bCs/>
          <w:szCs w:val="21"/>
        </w:rPr>
      </w:pPr>
      <w:r>
        <w:rPr>
          <w:rFonts w:hint="eastAsia" w:ascii="宋体" w:hAnsi="宋体" w:cs="宋体"/>
          <w:szCs w:val="21"/>
        </w:rPr>
        <w:t>（2）出现影响采购公正的违法、违规行为的；</w:t>
      </w:r>
    </w:p>
    <w:p>
      <w:pPr>
        <w:widowControl/>
        <w:adjustRightInd w:val="0"/>
        <w:snapToGrid w:val="0"/>
        <w:spacing w:line="360" w:lineRule="exact"/>
        <w:ind w:firstLine="514" w:firstLineChars="245"/>
        <w:jc w:val="left"/>
        <w:rPr>
          <w:rFonts w:ascii="宋体" w:hAnsi="宋体" w:cs="宋体"/>
          <w:szCs w:val="21"/>
        </w:rPr>
      </w:pPr>
      <w:r>
        <w:rPr>
          <w:rFonts w:hint="eastAsia" w:ascii="宋体" w:hAnsi="宋体" w:cs="宋体"/>
          <w:szCs w:val="21"/>
        </w:rPr>
        <w:t>（3）投标人的报价均超过了采购预算，采购人不能支付的；</w:t>
      </w:r>
    </w:p>
    <w:p>
      <w:pPr>
        <w:widowControl/>
        <w:adjustRightInd w:val="0"/>
        <w:snapToGrid w:val="0"/>
        <w:spacing w:line="360" w:lineRule="exact"/>
        <w:ind w:firstLine="514" w:firstLineChars="245"/>
        <w:jc w:val="left"/>
        <w:rPr>
          <w:rFonts w:ascii="宋体" w:hAnsi="宋体" w:cs="宋体"/>
          <w:bCs/>
          <w:szCs w:val="21"/>
        </w:rPr>
      </w:pPr>
      <w:r>
        <w:rPr>
          <w:rFonts w:hint="eastAsia" w:ascii="宋体" w:hAnsi="宋体" w:cs="宋体"/>
          <w:bCs/>
          <w:szCs w:val="21"/>
        </w:rPr>
        <w:t>（4）因重大变故，采购任务取消的。</w:t>
      </w:r>
    </w:p>
    <w:p>
      <w:pPr>
        <w:pStyle w:val="22"/>
        <w:snapToGrid w:val="0"/>
        <w:spacing w:line="360" w:lineRule="exact"/>
        <w:ind w:firstLine="413" w:firstLineChars="196"/>
        <w:rPr>
          <w:rFonts w:ascii="宋体" w:hAnsi="宋体" w:eastAsia="宋体" w:cs="宋体"/>
          <w:spacing w:val="-4"/>
          <w:sz w:val="21"/>
          <w:szCs w:val="21"/>
        </w:rPr>
      </w:pPr>
      <w:r>
        <w:rPr>
          <w:rFonts w:hint="eastAsia" w:ascii="宋体" w:hAnsi="宋体" w:eastAsia="宋体" w:cs="宋体"/>
          <w:b/>
          <w:bCs/>
          <w:kern w:val="2"/>
          <w:sz w:val="21"/>
          <w:szCs w:val="21"/>
        </w:rPr>
        <w:t>2.废标后，本中心将把废标理由通知所有投标人。</w:t>
      </w:r>
    </w:p>
    <w:p>
      <w:pPr>
        <w:pStyle w:val="22"/>
        <w:adjustRightInd w:val="0"/>
        <w:snapToGrid w:val="0"/>
        <w:spacing w:line="360" w:lineRule="exact"/>
        <w:ind w:firstLine="562" w:firstLineChars="200"/>
        <w:rPr>
          <w:rFonts w:ascii="宋体" w:hAnsi="宋体" w:eastAsia="宋体" w:cs="宋体"/>
          <w:b/>
          <w:bCs/>
          <w:kern w:val="2"/>
          <w:sz w:val="28"/>
          <w:szCs w:val="28"/>
        </w:rPr>
      </w:pPr>
      <w:bookmarkStart w:id="49" w:name="_Toc254970685"/>
      <w:bookmarkStart w:id="50" w:name="_Toc254970544"/>
      <w:r>
        <w:rPr>
          <w:rFonts w:hint="eastAsia" w:ascii="宋体" w:hAnsi="宋体" w:eastAsia="宋体" w:cs="宋体"/>
          <w:b/>
          <w:bCs/>
          <w:kern w:val="2"/>
          <w:sz w:val="28"/>
          <w:szCs w:val="28"/>
        </w:rPr>
        <w:t>四、开标</w:t>
      </w:r>
      <w:bookmarkEnd w:id="49"/>
      <w:bookmarkEnd w:id="50"/>
    </w:p>
    <w:p>
      <w:pPr>
        <w:pStyle w:val="29"/>
        <w:snapToGrid w:val="0"/>
        <w:spacing w:line="360" w:lineRule="exact"/>
        <w:ind w:firstLine="413" w:firstLineChars="196"/>
        <w:rPr>
          <w:rFonts w:hAnsi="宋体" w:cs="宋体"/>
          <w:b/>
          <w:sz w:val="21"/>
        </w:rPr>
      </w:pPr>
      <w:r>
        <w:rPr>
          <w:rFonts w:hint="eastAsia" w:hAnsi="宋体" w:cs="宋体"/>
          <w:b/>
          <w:sz w:val="21"/>
        </w:rPr>
        <w:t>（一）开标准备</w:t>
      </w:r>
    </w:p>
    <w:p>
      <w:pPr>
        <w:pStyle w:val="29"/>
        <w:snapToGrid w:val="0"/>
        <w:spacing w:line="360" w:lineRule="exact"/>
        <w:ind w:firstLine="420" w:firstLineChars="200"/>
        <w:rPr>
          <w:rFonts w:hAnsi="宋体" w:cs="宋体"/>
          <w:sz w:val="21"/>
        </w:rPr>
      </w:pPr>
      <w:bookmarkStart w:id="51" w:name="_Toc254970686"/>
      <w:bookmarkStart w:id="52" w:name="_Toc254970545"/>
      <w:r>
        <w:rPr>
          <w:rFonts w:hint="eastAsia" w:hAnsi="宋体" w:cs="宋体"/>
          <w:sz w:val="21"/>
        </w:rPr>
        <w:t>1.开标的准备工作由本中心负责落实；</w:t>
      </w:r>
    </w:p>
    <w:p>
      <w:pPr>
        <w:pStyle w:val="29"/>
        <w:snapToGrid w:val="0"/>
        <w:spacing w:line="360" w:lineRule="exact"/>
        <w:ind w:firstLine="420" w:firstLineChars="200"/>
        <w:rPr>
          <w:rFonts w:hAnsi="宋体" w:cs="宋体"/>
          <w:sz w:val="21"/>
        </w:rPr>
      </w:pPr>
      <w:r>
        <w:rPr>
          <w:rFonts w:hint="eastAsia" w:hAnsi="宋体" w:cs="宋体"/>
          <w:sz w:val="21"/>
        </w:rPr>
        <w:t>2.本中心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pPr>
        <w:pStyle w:val="29"/>
        <w:spacing w:line="400" w:lineRule="exact"/>
        <w:ind w:firstLine="420" w:firstLineChars="200"/>
        <w:rPr>
          <w:rFonts w:hAnsi="宋体" w:cs="宋体"/>
          <w:bCs/>
          <w:sz w:val="21"/>
        </w:rPr>
      </w:pPr>
      <w:r>
        <w:rPr>
          <w:rFonts w:hint="eastAsia" w:hAnsi="宋体" w:cs="宋体"/>
          <w:bCs/>
          <w:sz w:val="21"/>
        </w:rPr>
        <w:t>3.开标前答疑会或现场考察。采购人组织潜在投标人现场考察或者召开开标前答疑会的，潜在投标人按第二部分投标人须知前附表的规定参加现场考察或者开标前答疑会。</w:t>
      </w:r>
    </w:p>
    <w:p>
      <w:pPr>
        <w:pStyle w:val="29"/>
        <w:tabs>
          <w:tab w:val="left" w:pos="567"/>
        </w:tabs>
        <w:snapToGrid w:val="0"/>
        <w:spacing w:line="360" w:lineRule="exact"/>
        <w:ind w:firstLine="421" w:firstLineChars="200"/>
        <w:rPr>
          <w:rFonts w:hAnsi="宋体" w:cs="宋体"/>
          <w:b/>
          <w:sz w:val="21"/>
        </w:rPr>
      </w:pPr>
      <w:r>
        <w:rPr>
          <w:rFonts w:hint="eastAsia" w:hAnsi="宋体" w:cs="宋体"/>
          <w:b/>
          <w:sz w:val="21"/>
        </w:rPr>
        <w:t>（二）开标程序</w:t>
      </w:r>
    </w:p>
    <w:p>
      <w:pPr>
        <w:pStyle w:val="29"/>
        <w:snapToGrid w:val="0"/>
        <w:spacing w:line="360" w:lineRule="exact"/>
        <w:ind w:firstLine="421" w:firstLineChars="200"/>
        <w:rPr>
          <w:rFonts w:hAnsi="宋体" w:cs="宋体"/>
          <w:b/>
          <w:sz w:val="21"/>
        </w:rPr>
      </w:pPr>
      <w:r>
        <w:rPr>
          <w:rFonts w:hint="eastAsia" w:hAnsi="宋体" w:cs="宋体"/>
          <w:b/>
          <w:sz w:val="21"/>
        </w:rPr>
        <w:t>1.向各投标供应商发出电子加密投标文件【开始解密】通知，由供应商按招标文件规定的时间内自行进行投标文件解密。投标供应商在规定的时间内无法在线完成已递交的“电子加密投标文件”解密的，视为投标人放弃投标。在线解密时间为30分钟。</w:t>
      </w:r>
    </w:p>
    <w:p>
      <w:pPr>
        <w:pStyle w:val="29"/>
        <w:snapToGrid w:val="0"/>
        <w:spacing w:line="360" w:lineRule="exact"/>
        <w:ind w:firstLine="421" w:firstLineChars="200"/>
        <w:rPr>
          <w:rFonts w:hAnsi="宋体" w:cs="宋体"/>
          <w:b/>
          <w:sz w:val="21"/>
        </w:rPr>
      </w:pPr>
      <w:r>
        <w:rPr>
          <w:rFonts w:hint="eastAsia" w:hAnsi="宋体" w:cs="宋体"/>
          <w:b/>
          <w:sz w:val="21"/>
        </w:rPr>
        <w:t>2.投标文件解密结束后，开标活动组织人员在线开启投标文件。</w:t>
      </w:r>
    </w:p>
    <w:p>
      <w:pPr>
        <w:pStyle w:val="29"/>
        <w:snapToGrid w:val="0"/>
        <w:spacing w:line="360" w:lineRule="exact"/>
        <w:ind w:firstLine="421" w:firstLineChars="200"/>
        <w:rPr>
          <w:rFonts w:hAnsi="宋体" w:cs="宋体"/>
          <w:b/>
          <w:sz w:val="21"/>
        </w:rPr>
      </w:pPr>
      <w:r>
        <w:rPr>
          <w:rFonts w:hint="eastAsia" w:hAnsi="宋体" w:cs="宋体"/>
          <w:b/>
          <w:sz w:val="21"/>
        </w:rPr>
        <w:t>3.开启投标人报价文件，开标活动组织人员宣读开标（报价）一览表有关内容，投标人代表如果认为宣读有误，可以当场提出异议。</w:t>
      </w:r>
    </w:p>
    <w:p>
      <w:pPr>
        <w:pStyle w:val="29"/>
        <w:snapToGrid w:val="0"/>
        <w:spacing w:line="360" w:lineRule="exact"/>
        <w:ind w:firstLine="421" w:firstLineChars="200"/>
        <w:rPr>
          <w:rFonts w:hAnsi="宋体" w:cs="宋体"/>
          <w:b/>
          <w:sz w:val="21"/>
        </w:rPr>
      </w:pPr>
      <w:r>
        <w:rPr>
          <w:rFonts w:hint="eastAsia" w:hAnsi="宋体" w:cs="宋体"/>
          <w:b/>
          <w:sz w:val="21"/>
        </w:rPr>
        <w:t>开标结束后，如发现开标结果与报价文件不一致者，由评标委员会根据报价文件内容进行修正。</w:t>
      </w:r>
    </w:p>
    <w:p>
      <w:pPr>
        <w:pStyle w:val="29"/>
        <w:snapToGrid w:val="0"/>
        <w:spacing w:line="360" w:lineRule="exact"/>
        <w:ind w:firstLine="421" w:firstLineChars="200"/>
        <w:rPr>
          <w:rFonts w:hAnsi="宋体" w:cs="宋体"/>
          <w:sz w:val="21"/>
        </w:rPr>
      </w:pPr>
      <w:r>
        <w:rPr>
          <w:rFonts w:hint="eastAsia" w:hAnsi="宋体" w:cs="宋体"/>
          <w:b/>
          <w:sz w:val="21"/>
        </w:rPr>
        <w:t>特别说明：如遇“政府采购云平台”电子化开标或评审程序调整的，按调整后程序执行。</w:t>
      </w:r>
    </w:p>
    <w:p>
      <w:pPr>
        <w:pStyle w:val="22"/>
        <w:tabs>
          <w:tab w:val="left" w:pos="709"/>
        </w:tabs>
        <w:adjustRightInd w:val="0"/>
        <w:snapToGrid w:val="0"/>
        <w:spacing w:line="360" w:lineRule="exact"/>
        <w:ind w:firstLine="562" w:firstLineChars="200"/>
        <w:rPr>
          <w:rFonts w:ascii="宋体" w:hAnsi="宋体" w:eastAsia="宋体" w:cs="宋体"/>
          <w:b/>
          <w:bCs/>
          <w:kern w:val="2"/>
          <w:sz w:val="28"/>
          <w:szCs w:val="28"/>
        </w:rPr>
      </w:pPr>
      <w:r>
        <w:rPr>
          <w:rFonts w:hint="eastAsia" w:ascii="宋体" w:hAnsi="宋体" w:eastAsia="宋体" w:cs="宋体"/>
          <w:b/>
          <w:bCs/>
          <w:kern w:val="2"/>
          <w:sz w:val="28"/>
          <w:szCs w:val="28"/>
        </w:rPr>
        <w:t>五、评标</w:t>
      </w:r>
      <w:bookmarkEnd w:id="51"/>
      <w:bookmarkEnd w:id="52"/>
    </w:p>
    <w:p>
      <w:pPr>
        <w:pStyle w:val="29"/>
        <w:snapToGrid w:val="0"/>
        <w:spacing w:line="360" w:lineRule="exact"/>
        <w:ind w:left="689" w:leftChars="228" w:hanging="210" w:hangingChars="100"/>
        <w:rPr>
          <w:rFonts w:hAnsi="宋体" w:cs="宋体"/>
          <w:b/>
          <w:sz w:val="21"/>
        </w:rPr>
      </w:pPr>
      <w:r>
        <w:rPr>
          <w:rFonts w:hint="eastAsia" w:hAnsi="宋体" w:cs="宋体"/>
          <w:b/>
          <w:sz w:val="21"/>
        </w:rPr>
        <w:t>（一）组建评标委员会</w:t>
      </w:r>
    </w:p>
    <w:p>
      <w:pPr>
        <w:pStyle w:val="29"/>
        <w:snapToGrid w:val="0"/>
        <w:spacing w:line="360" w:lineRule="exact"/>
        <w:ind w:firstLine="420" w:firstLineChars="200"/>
        <w:rPr>
          <w:rFonts w:hAnsi="宋体" w:cs="宋体"/>
          <w:sz w:val="21"/>
        </w:rPr>
      </w:pPr>
      <w:r>
        <w:rPr>
          <w:rFonts w:hint="eastAsia" w:hAnsi="宋体" w:cs="宋体"/>
          <w:bCs/>
          <w:sz w:val="21"/>
        </w:rPr>
        <w:t>本招标采购项目的评标委员会由采购人代表和有关技术、经济等方面的专家组成，成员人数应当为五人以上单数。其中，技术、经济等方面的专家不得少于成员总数的三分之二</w:t>
      </w:r>
      <w:r>
        <w:rPr>
          <w:rFonts w:hint="eastAsia" w:hAnsi="宋体" w:cs="宋体"/>
          <w:sz w:val="21"/>
        </w:rPr>
        <w:t>。</w:t>
      </w:r>
    </w:p>
    <w:p>
      <w:pPr>
        <w:pStyle w:val="29"/>
        <w:snapToGrid w:val="0"/>
        <w:spacing w:line="360" w:lineRule="exact"/>
        <w:ind w:left="689" w:leftChars="228" w:hanging="210" w:hangingChars="100"/>
        <w:rPr>
          <w:rFonts w:hAnsi="宋体" w:cs="宋体"/>
          <w:b/>
          <w:sz w:val="21"/>
        </w:rPr>
      </w:pPr>
      <w:r>
        <w:rPr>
          <w:rFonts w:hint="eastAsia" w:hAnsi="宋体" w:cs="宋体"/>
          <w:b/>
          <w:sz w:val="21"/>
        </w:rPr>
        <w:t>（二）评标的方式</w:t>
      </w:r>
    </w:p>
    <w:p>
      <w:pPr>
        <w:pStyle w:val="29"/>
        <w:snapToGrid w:val="0"/>
        <w:spacing w:line="360" w:lineRule="exact"/>
        <w:ind w:left="689" w:leftChars="228" w:hanging="210" w:hangingChars="100"/>
        <w:rPr>
          <w:rFonts w:hAnsi="宋体" w:cs="宋体"/>
          <w:sz w:val="21"/>
        </w:rPr>
      </w:pPr>
      <w:r>
        <w:rPr>
          <w:rFonts w:hint="eastAsia" w:hAnsi="宋体" w:cs="宋体"/>
          <w:sz w:val="21"/>
        </w:rPr>
        <w:t>本项目采用不公开方式评标，评标的依据为招标文件和投标文件。</w:t>
      </w:r>
    </w:p>
    <w:p>
      <w:pPr>
        <w:pStyle w:val="29"/>
        <w:snapToGrid w:val="0"/>
        <w:spacing w:line="360" w:lineRule="exact"/>
        <w:ind w:left="689" w:leftChars="228" w:hanging="210" w:hangingChars="100"/>
        <w:rPr>
          <w:rFonts w:hAnsi="宋体" w:cs="宋体"/>
          <w:b/>
          <w:sz w:val="21"/>
        </w:rPr>
      </w:pPr>
      <w:r>
        <w:rPr>
          <w:rFonts w:hint="eastAsia" w:hAnsi="宋体" w:cs="宋体"/>
          <w:b/>
          <w:sz w:val="21"/>
        </w:rPr>
        <w:t>（三）</w:t>
      </w:r>
      <w:r>
        <w:rPr>
          <w:rFonts w:hint="eastAsia" w:hAnsi="宋体" w:cs="宋体"/>
          <w:b/>
          <w:bCs/>
          <w:sz w:val="21"/>
        </w:rPr>
        <w:t>评标程序</w:t>
      </w:r>
    </w:p>
    <w:p>
      <w:pPr>
        <w:snapToGrid w:val="0"/>
        <w:spacing w:line="360" w:lineRule="exact"/>
        <w:ind w:firstLine="413" w:firstLineChars="196"/>
        <w:rPr>
          <w:rFonts w:ascii="宋体" w:hAnsi="宋体" w:cs="宋体"/>
          <w:b/>
          <w:bCs/>
          <w:szCs w:val="21"/>
        </w:rPr>
      </w:pPr>
      <w:r>
        <w:rPr>
          <w:rFonts w:hint="eastAsia" w:ascii="宋体" w:hAnsi="宋体" w:cs="宋体"/>
          <w:b/>
          <w:bCs/>
          <w:szCs w:val="21"/>
        </w:rPr>
        <w:t>1.形式审查</w:t>
      </w:r>
    </w:p>
    <w:p>
      <w:pPr>
        <w:snapToGrid w:val="0"/>
        <w:spacing w:line="360" w:lineRule="exact"/>
        <w:ind w:firstLine="420" w:firstLineChars="200"/>
        <w:rPr>
          <w:rFonts w:ascii="宋体" w:hAnsi="宋体" w:cs="宋体"/>
          <w:b/>
          <w:spacing w:val="-4"/>
          <w:szCs w:val="21"/>
        </w:rPr>
      </w:pPr>
      <w:r>
        <w:rPr>
          <w:rFonts w:hint="eastAsia" w:ascii="宋体" w:hAnsi="宋体" w:cs="宋体"/>
          <w:szCs w:val="21"/>
        </w:rPr>
        <w:t>采购人依法对投标人的资格进行审查。审查的依据是投标人递交的投标文件及本中心依照相关规定通过“信用中国”网站（www.creditchina.gov.cn）和中国政府采购网（www.ccgp.gov.cn）查询的相关供应商主体信用记录（查询截止时点为开标当日）。合格投标人不足3家的，不得评标。</w:t>
      </w:r>
    </w:p>
    <w:p>
      <w:pPr>
        <w:snapToGrid w:val="0"/>
        <w:spacing w:line="360" w:lineRule="exact"/>
        <w:ind w:firstLine="413" w:firstLineChars="196"/>
        <w:rPr>
          <w:rFonts w:ascii="宋体" w:hAnsi="宋体" w:cs="宋体"/>
          <w:b/>
          <w:bCs/>
          <w:szCs w:val="21"/>
        </w:rPr>
      </w:pPr>
      <w:r>
        <w:rPr>
          <w:rFonts w:hint="eastAsia" w:ascii="宋体" w:hAnsi="宋体" w:cs="宋体"/>
          <w:b/>
          <w:bCs/>
          <w:szCs w:val="21"/>
        </w:rPr>
        <w:t>2.实质审查与比较</w:t>
      </w:r>
    </w:p>
    <w:p>
      <w:pPr>
        <w:snapToGrid w:val="0"/>
        <w:spacing w:line="360" w:lineRule="exact"/>
        <w:ind w:firstLine="420" w:firstLineChars="200"/>
        <w:rPr>
          <w:rFonts w:ascii="宋体" w:hAnsi="宋体" w:cs="宋体"/>
          <w:szCs w:val="21"/>
        </w:rPr>
      </w:pPr>
      <w:r>
        <w:rPr>
          <w:rFonts w:hint="eastAsia" w:ascii="宋体" w:hAnsi="宋体" w:cs="宋体"/>
          <w:szCs w:val="21"/>
        </w:rPr>
        <w:t>（1）评标委员会审查、评价投标文件是否符合招标文件的商务、技术等实质性要求。</w:t>
      </w:r>
    </w:p>
    <w:p>
      <w:pPr>
        <w:snapToGrid w:val="0"/>
        <w:spacing w:line="360" w:lineRule="exact"/>
        <w:ind w:firstLine="420" w:firstLineChars="200"/>
        <w:rPr>
          <w:rFonts w:ascii="宋体" w:hAnsi="宋体" w:cs="宋体"/>
          <w:szCs w:val="21"/>
        </w:rPr>
      </w:pPr>
      <w:r>
        <w:rPr>
          <w:rFonts w:hint="eastAsia" w:ascii="宋体" w:hAnsi="宋体" w:cs="宋体"/>
          <w:szCs w:val="21"/>
        </w:rPr>
        <w:t>（2）评标委员会对投标文件进行比较和评价,如有疑问,将要求投标人对投标文件有关事项作出澄清或者说明。投标人向评标委员会澄清或者说明有关问题,并最终以书面形式进行答复。</w:t>
      </w:r>
    </w:p>
    <w:p>
      <w:pPr>
        <w:snapToGrid w:val="0"/>
        <w:spacing w:line="360" w:lineRule="exact"/>
        <w:ind w:firstLine="420" w:firstLineChars="200"/>
        <w:rPr>
          <w:rFonts w:ascii="宋体" w:hAnsi="宋体" w:cs="宋体"/>
          <w:szCs w:val="21"/>
        </w:rPr>
      </w:pPr>
      <w:r>
        <w:rPr>
          <w:rFonts w:hint="eastAsia" w:ascii="宋体" w:hAnsi="宋体" w:cs="宋体"/>
          <w:szCs w:val="21"/>
        </w:rPr>
        <w:t>投标人代表未到场或者拒绝澄清或者澄清的内容改变了投标文件的实质性内容的，评标委员会有权视该投标文件无效。</w:t>
      </w:r>
    </w:p>
    <w:p>
      <w:pPr>
        <w:snapToGrid w:val="0"/>
        <w:spacing w:line="360" w:lineRule="exact"/>
        <w:ind w:firstLine="420" w:firstLineChars="200"/>
        <w:rPr>
          <w:rFonts w:ascii="宋体" w:hAnsi="宋体" w:cs="宋体"/>
          <w:szCs w:val="21"/>
        </w:rPr>
      </w:pPr>
      <w:r>
        <w:rPr>
          <w:rFonts w:hint="eastAsia" w:ascii="宋体" w:hAnsi="宋体" w:cs="宋体"/>
          <w:szCs w:val="21"/>
        </w:rPr>
        <w:t>（3）各投标人的技术得分为所有评委的有效评分的算术平均数，由指定专人进行计算复核。</w:t>
      </w:r>
    </w:p>
    <w:p>
      <w:pPr>
        <w:snapToGrid w:val="0"/>
        <w:spacing w:line="360" w:lineRule="exact"/>
        <w:ind w:firstLine="420" w:firstLineChars="200"/>
        <w:rPr>
          <w:rFonts w:ascii="宋体" w:hAnsi="宋体" w:cs="宋体"/>
          <w:szCs w:val="21"/>
        </w:rPr>
      </w:pPr>
      <w:r>
        <w:rPr>
          <w:rFonts w:hint="eastAsia" w:ascii="宋体" w:hAnsi="宋体" w:cs="宋体"/>
          <w:szCs w:val="21"/>
        </w:rPr>
        <w:t>（4）本中心工作人员协助评标委员会根据本项目的评分标准计算各投标人的商务报价得分。</w:t>
      </w:r>
    </w:p>
    <w:p>
      <w:pPr>
        <w:snapToGrid w:val="0"/>
        <w:spacing w:line="360" w:lineRule="exact"/>
        <w:ind w:firstLine="420" w:firstLineChars="200"/>
        <w:rPr>
          <w:rFonts w:ascii="宋体" w:hAnsi="宋体" w:cs="宋体"/>
          <w:szCs w:val="21"/>
        </w:rPr>
      </w:pPr>
      <w:r>
        <w:rPr>
          <w:rFonts w:hint="eastAsia" w:ascii="宋体" w:hAnsi="宋体" w:cs="宋体"/>
          <w:szCs w:val="21"/>
        </w:rPr>
        <w:t>（5）评标委员会完成评标后,评委对各部分得分汇总,计算出本项目最终得分、评标价等。评标委员会按评标原则推荐中标候选人同时起草评标报告。</w:t>
      </w:r>
    </w:p>
    <w:p>
      <w:pPr>
        <w:snapToGrid w:val="0"/>
        <w:spacing w:line="360" w:lineRule="exact"/>
        <w:ind w:firstLine="421" w:firstLineChars="200"/>
        <w:rPr>
          <w:rFonts w:ascii="宋体" w:hAnsi="宋体" w:cs="宋体"/>
          <w:b/>
          <w:szCs w:val="21"/>
        </w:rPr>
      </w:pPr>
      <w:r>
        <w:rPr>
          <w:rFonts w:hint="eastAsia" w:ascii="宋体" w:hAnsi="宋体" w:cs="宋体"/>
          <w:b/>
          <w:szCs w:val="21"/>
        </w:rPr>
        <w:t>（四）澄清问题的形式</w:t>
      </w:r>
    </w:p>
    <w:p>
      <w:pPr>
        <w:snapToGrid w:val="0"/>
        <w:spacing w:line="360" w:lineRule="exact"/>
        <w:ind w:firstLine="420" w:firstLineChars="200"/>
        <w:rPr>
          <w:rFonts w:ascii="宋体" w:hAnsi="宋体" w:cs="宋体"/>
          <w:szCs w:val="21"/>
        </w:rPr>
      </w:pPr>
      <w:r>
        <w:rPr>
          <w:rFonts w:hint="eastAsia" w:ascii="宋体" w:hAnsi="宋体" w:cs="宋体"/>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29"/>
        <w:snapToGrid w:val="0"/>
        <w:spacing w:line="360" w:lineRule="exact"/>
        <w:ind w:left="689" w:leftChars="228" w:hanging="210" w:hangingChars="100"/>
        <w:rPr>
          <w:rFonts w:hAnsi="宋体" w:cs="宋体"/>
          <w:b/>
          <w:sz w:val="21"/>
        </w:rPr>
      </w:pPr>
      <w:r>
        <w:rPr>
          <w:rFonts w:hint="eastAsia" w:hAnsi="宋体" w:cs="宋体"/>
          <w:b/>
          <w:sz w:val="21"/>
        </w:rPr>
        <w:t>（五）错误修正</w:t>
      </w:r>
    </w:p>
    <w:p>
      <w:pPr>
        <w:pStyle w:val="29"/>
        <w:snapToGrid w:val="0"/>
        <w:spacing w:line="360" w:lineRule="exact"/>
        <w:ind w:left="689" w:leftChars="228" w:hanging="210" w:hangingChars="100"/>
        <w:rPr>
          <w:rFonts w:hAnsi="宋体" w:cs="宋体"/>
          <w:sz w:val="21"/>
        </w:rPr>
      </w:pPr>
      <w:r>
        <w:rPr>
          <w:rFonts w:hint="eastAsia" w:hAnsi="宋体" w:cs="宋体"/>
          <w:sz w:val="21"/>
        </w:rPr>
        <w:t>投标文件如果出现计算或表达上的错误，修正错误的原则如下：</w:t>
      </w:r>
    </w:p>
    <w:p>
      <w:pPr>
        <w:pStyle w:val="29"/>
        <w:snapToGrid w:val="0"/>
        <w:spacing w:line="360" w:lineRule="exact"/>
        <w:ind w:firstLine="420" w:firstLineChars="200"/>
        <w:rPr>
          <w:rFonts w:hAnsi="宋体" w:cs="宋体"/>
          <w:sz w:val="21"/>
        </w:rPr>
      </w:pPr>
      <w:r>
        <w:rPr>
          <w:rFonts w:hint="eastAsia" w:hAnsi="宋体" w:cs="宋体"/>
          <w:sz w:val="21"/>
        </w:rPr>
        <w:t>1.投标文件中开标一览表（报价表）内容与投标文件中相应内容不一致的，以开标一览表（报价表）为准；</w:t>
      </w:r>
    </w:p>
    <w:p>
      <w:pPr>
        <w:pStyle w:val="29"/>
        <w:snapToGrid w:val="0"/>
        <w:spacing w:line="360" w:lineRule="exact"/>
        <w:ind w:firstLine="420" w:firstLineChars="200"/>
        <w:rPr>
          <w:rFonts w:hAnsi="宋体" w:cs="宋体"/>
          <w:sz w:val="21"/>
        </w:rPr>
      </w:pPr>
      <w:r>
        <w:rPr>
          <w:rFonts w:hint="eastAsia" w:hAnsi="宋体" w:cs="宋体"/>
          <w:sz w:val="21"/>
        </w:rPr>
        <w:t>2.大写金额和小写金额不一致的，以大写金额为准；</w:t>
      </w:r>
    </w:p>
    <w:p>
      <w:pPr>
        <w:pStyle w:val="29"/>
        <w:snapToGrid w:val="0"/>
        <w:spacing w:line="360" w:lineRule="exact"/>
        <w:ind w:firstLine="420" w:firstLineChars="200"/>
        <w:rPr>
          <w:rFonts w:hAnsi="宋体" w:cs="宋体"/>
          <w:sz w:val="21"/>
        </w:rPr>
      </w:pPr>
      <w:r>
        <w:rPr>
          <w:rFonts w:hint="eastAsia" w:hAnsi="宋体" w:cs="宋体"/>
          <w:sz w:val="21"/>
        </w:rPr>
        <w:t>3.单价金额小数点或者百分比有明显错位的，以开标一览表的总价为准，并修改单价；</w:t>
      </w:r>
    </w:p>
    <w:p>
      <w:pPr>
        <w:pStyle w:val="29"/>
        <w:snapToGrid w:val="0"/>
        <w:spacing w:line="360" w:lineRule="exact"/>
        <w:ind w:firstLine="420" w:firstLineChars="200"/>
        <w:rPr>
          <w:rFonts w:hAnsi="宋体" w:cs="宋体"/>
          <w:sz w:val="21"/>
        </w:rPr>
      </w:pPr>
      <w:r>
        <w:rPr>
          <w:rFonts w:hint="eastAsia" w:hAnsi="宋体" w:cs="宋体"/>
          <w:sz w:val="21"/>
        </w:rPr>
        <w:t>4.总价金额与按单价汇总金额不一致的，以单价金额计算结果为准。</w:t>
      </w:r>
    </w:p>
    <w:p>
      <w:pPr>
        <w:pStyle w:val="29"/>
        <w:snapToGrid w:val="0"/>
        <w:spacing w:line="360" w:lineRule="exact"/>
        <w:ind w:firstLine="420" w:firstLineChars="200"/>
        <w:rPr>
          <w:rFonts w:hAnsi="宋体" w:cs="宋体"/>
          <w:sz w:val="21"/>
        </w:rPr>
      </w:pPr>
      <w:r>
        <w:rPr>
          <w:rFonts w:hint="eastAsia" w:hAnsi="宋体" w:cs="宋体"/>
          <w:sz w:val="21"/>
        </w:rPr>
        <w:t>5.对不同文字文本投标文件的解释发生异议的，以中文文本为准。</w:t>
      </w:r>
    </w:p>
    <w:p>
      <w:pPr>
        <w:pStyle w:val="29"/>
        <w:snapToGrid w:val="0"/>
        <w:spacing w:line="360" w:lineRule="exact"/>
        <w:ind w:firstLine="420" w:firstLineChars="200"/>
        <w:rPr>
          <w:rFonts w:hAnsi="宋体" w:cs="宋体"/>
          <w:sz w:val="21"/>
        </w:rPr>
      </w:pPr>
      <w:r>
        <w:rPr>
          <w:rFonts w:hint="eastAsia" w:hAnsi="宋体" w:cs="宋体"/>
          <w:sz w:val="21"/>
        </w:rPr>
        <w:t>同时出现两种以上不一致的，按照前款规定的顺序修正。</w:t>
      </w:r>
    </w:p>
    <w:p>
      <w:pPr>
        <w:pStyle w:val="29"/>
        <w:snapToGrid w:val="0"/>
        <w:spacing w:line="360" w:lineRule="exact"/>
        <w:ind w:firstLine="421" w:firstLineChars="200"/>
        <w:rPr>
          <w:rFonts w:hAnsi="宋体" w:cs="宋体"/>
          <w:b/>
          <w:bCs/>
          <w:sz w:val="21"/>
        </w:rPr>
      </w:pPr>
      <w:r>
        <w:rPr>
          <w:rFonts w:hint="eastAsia" w:hAnsi="宋体" w:cs="宋体"/>
          <w:b/>
          <w:bCs/>
          <w:sz w:val="21"/>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9"/>
        <w:tabs>
          <w:tab w:val="left" w:pos="630"/>
        </w:tabs>
        <w:snapToGrid w:val="0"/>
        <w:spacing w:line="360" w:lineRule="exact"/>
        <w:ind w:firstLine="421" w:firstLineChars="200"/>
        <w:rPr>
          <w:rFonts w:hAnsi="宋体" w:cs="宋体"/>
          <w:b/>
          <w:sz w:val="21"/>
        </w:rPr>
      </w:pPr>
      <w:r>
        <w:rPr>
          <w:rFonts w:hint="eastAsia" w:hAnsi="宋体" w:cs="宋体"/>
          <w:b/>
          <w:sz w:val="21"/>
        </w:rPr>
        <w:t>（六）评标原则和评标办法</w:t>
      </w:r>
    </w:p>
    <w:p>
      <w:pPr>
        <w:pStyle w:val="29"/>
        <w:snapToGrid w:val="0"/>
        <w:spacing w:line="360" w:lineRule="exact"/>
        <w:ind w:firstLine="420" w:firstLineChars="200"/>
        <w:rPr>
          <w:rFonts w:hAnsi="宋体" w:cs="宋体"/>
          <w:sz w:val="21"/>
        </w:rPr>
      </w:pPr>
      <w:r>
        <w:rPr>
          <w:rFonts w:hint="eastAsia" w:hAnsi="宋体" w:cs="宋体"/>
          <w:sz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9"/>
        <w:snapToGrid w:val="0"/>
        <w:spacing w:line="360" w:lineRule="exact"/>
        <w:ind w:firstLine="420" w:firstLineChars="200"/>
        <w:rPr>
          <w:rFonts w:hAnsi="宋体" w:cs="宋体"/>
          <w:sz w:val="21"/>
        </w:rPr>
      </w:pPr>
      <w:r>
        <w:rPr>
          <w:rFonts w:hint="eastAsia" w:hAnsi="宋体" w:cs="宋体"/>
          <w:sz w:val="21"/>
        </w:rPr>
        <w:t>2.评标办法。本项目评标办法是综合评分法，具体评标内容及评分标准等详见第四章：评标方法及评定标准。</w:t>
      </w:r>
    </w:p>
    <w:p>
      <w:pPr>
        <w:pStyle w:val="29"/>
        <w:snapToGrid w:val="0"/>
        <w:spacing w:line="440" w:lineRule="exact"/>
        <w:ind w:firstLine="421" w:firstLineChars="200"/>
        <w:rPr>
          <w:rFonts w:hAnsi="宋体" w:cs="宋体"/>
          <w:b/>
          <w:sz w:val="21"/>
        </w:rPr>
      </w:pPr>
      <w:r>
        <w:rPr>
          <w:rFonts w:hint="eastAsia" w:hAnsi="宋体" w:cs="宋体"/>
          <w:b/>
          <w:sz w:val="21"/>
        </w:rPr>
        <w:t>（七）评标过程中出现争议时处理办法</w:t>
      </w:r>
    </w:p>
    <w:p>
      <w:pPr>
        <w:pStyle w:val="29"/>
        <w:adjustRightInd w:val="0"/>
        <w:snapToGrid w:val="0"/>
        <w:spacing w:line="360" w:lineRule="exact"/>
        <w:ind w:firstLine="420" w:firstLineChars="200"/>
        <w:rPr>
          <w:rFonts w:hAnsi="宋体" w:cs="宋体"/>
          <w:sz w:val="21"/>
        </w:rPr>
      </w:pPr>
      <w:r>
        <w:rPr>
          <w:rFonts w:hint="eastAsia" w:hAnsi="宋体" w:cs="宋体"/>
          <w:sz w:val="21"/>
        </w:rPr>
        <w:t>评标委员会成员对需要共同认定的事项存在争议的，应当按照少数服从多数的原则作出结论。持不同意见的评标委员会成员应当在评标报告上签署不同意见及理由，否则视为同意评标报告。</w:t>
      </w:r>
    </w:p>
    <w:p>
      <w:pPr>
        <w:pStyle w:val="29"/>
        <w:adjustRightInd w:val="0"/>
        <w:snapToGrid w:val="0"/>
        <w:spacing w:line="360" w:lineRule="exact"/>
        <w:ind w:firstLine="421" w:firstLineChars="200"/>
        <w:rPr>
          <w:rFonts w:hAnsi="宋体" w:cs="宋体"/>
          <w:b/>
          <w:sz w:val="21"/>
        </w:rPr>
      </w:pPr>
      <w:r>
        <w:rPr>
          <w:rFonts w:hint="eastAsia" w:hAnsi="宋体" w:cs="宋体"/>
          <w:b/>
          <w:sz w:val="21"/>
        </w:rPr>
        <w:t>（八）评标过程的监控</w:t>
      </w:r>
    </w:p>
    <w:p>
      <w:pPr>
        <w:pStyle w:val="29"/>
        <w:adjustRightInd w:val="0"/>
        <w:snapToGrid w:val="0"/>
        <w:spacing w:line="360" w:lineRule="exact"/>
        <w:ind w:firstLine="420" w:firstLineChars="200"/>
        <w:rPr>
          <w:rFonts w:hAnsi="宋体" w:cs="宋体"/>
          <w:sz w:val="21"/>
        </w:rPr>
      </w:pPr>
      <w:r>
        <w:rPr>
          <w:rFonts w:hint="eastAsia" w:hAnsi="宋体" w:cs="宋体"/>
          <w:sz w:val="21"/>
        </w:rPr>
        <w:t>本项目评标过程实行全程录音、录像监控，投标人在评标过程中所进行的试图影响评标结果的不公正活动，可能导致其投标被拒绝。</w:t>
      </w:r>
      <w:bookmarkStart w:id="53" w:name="_Toc254970546"/>
      <w:bookmarkStart w:id="54" w:name="_Toc254970687"/>
    </w:p>
    <w:p>
      <w:pPr>
        <w:pStyle w:val="29"/>
        <w:adjustRightInd w:val="0"/>
        <w:snapToGrid w:val="0"/>
        <w:spacing w:line="360" w:lineRule="exact"/>
        <w:ind w:firstLine="562" w:firstLineChars="200"/>
        <w:rPr>
          <w:rFonts w:hAnsi="宋体" w:cs="宋体"/>
          <w:b/>
          <w:bCs/>
          <w:kern w:val="2"/>
          <w:sz w:val="28"/>
          <w:szCs w:val="28"/>
        </w:rPr>
      </w:pPr>
      <w:r>
        <w:rPr>
          <w:rFonts w:hint="eastAsia" w:hAnsi="宋体" w:cs="宋体"/>
          <w:b/>
          <w:bCs/>
          <w:kern w:val="2"/>
          <w:sz w:val="28"/>
          <w:szCs w:val="28"/>
        </w:rPr>
        <w:t>六、评标结果</w:t>
      </w:r>
      <w:bookmarkEnd w:id="53"/>
      <w:bookmarkEnd w:id="54"/>
    </w:p>
    <w:p>
      <w:pPr>
        <w:pStyle w:val="29"/>
        <w:adjustRightInd w:val="0"/>
        <w:snapToGrid w:val="0"/>
        <w:spacing w:line="360" w:lineRule="exact"/>
        <w:ind w:firstLine="420" w:firstLineChars="200"/>
        <w:rPr>
          <w:rFonts w:hAnsi="宋体" w:cs="宋体"/>
          <w:sz w:val="21"/>
        </w:rPr>
      </w:pPr>
      <w:r>
        <w:rPr>
          <w:rFonts w:hint="eastAsia" w:hAnsi="宋体" w:cs="宋体"/>
          <w:sz w:val="21"/>
        </w:rPr>
        <w:t>（一）本中心将在评标结束后2个工作日内将评标报告送采购人，采购人在5个工作日内按照评标报告中推荐的中标候选供应商顺序确定中标供应商。采购人也可以事先授权评标委员会直接确定中标供应商。</w:t>
      </w:r>
    </w:p>
    <w:p>
      <w:pPr>
        <w:pStyle w:val="29"/>
        <w:adjustRightInd w:val="0"/>
        <w:snapToGrid w:val="0"/>
        <w:spacing w:line="360" w:lineRule="exact"/>
        <w:ind w:firstLine="420" w:firstLineChars="200"/>
        <w:rPr>
          <w:rFonts w:hAnsi="宋体" w:cs="宋体"/>
          <w:sz w:val="21"/>
        </w:rPr>
      </w:pPr>
      <w:r>
        <w:rPr>
          <w:rFonts w:hint="eastAsia" w:hAnsi="宋体" w:cs="宋体"/>
          <w:sz w:val="21"/>
        </w:rPr>
        <w:t>（二）中标供应商确定后，本中心在</w:t>
      </w:r>
      <w:r>
        <w:rPr>
          <w:rFonts w:hint="eastAsia" w:hAnsi="宋体" w:cs="宋体"/>
        </w:rPr>
        <w:t>中国政府采购网、</w:t>
      </w:r>
      <w:r>
        <w:rPr>
          <w:rFonts w:hint="eastAsia" w:hAnsi="宋体"/>
          <w:sz w:val="21"/>
        </w:rPr>
        <w:t>广西政府采购网</w:t>
      </w:r>
      <w:r>
        <w:rPr>
          <w:rFonts w:hint="eastAsia"/>
          <w:sz w:val="21"/>
        </w:rPr>
        <w:t>、</w:t>
      </w:r>
      <w:r>
        <w:rPr>
          <w:rFonts w:hAnsi="宋体"/>
          <w:sz w:val="21"/>
        </w:rPr>
        <w:t>全国公共资源交易平台（广西•北海）</w:t>
      </w:r>
      <w:r>
        <w:rPr>
          <w:rFonts w:hint="eastAsia"/>
          <w:sz w:val="21"/>
        </w:rPr>
        <w:t>、</w:t>
      </w:r>
      <w:r>
        <w:rPr>
          <w:rFonts w:hint="eastAsia" w:hAnsi="宋体"/>
          <w:sz w:val="21"/>
        </w:rPr>
        <w:t>北海市</w:t>
      </w:r>
      <w:r>
        <w:rPr>
          <w:rFonts w:hAnsi="宋体"/>
          <w:sz w:val="21"/>
        </w:rPr>
        <w:t>政府采购</w:t>
      </w:r>
      <w:r>
        <w:rPr>
          <w:rFonts w:hint="eastAsia" w:hAnsi="宋体"/>
          <w:sz w:val="21"/>
        </w:rPr>
        <w:t>监管网</w:t>
      </w:r>
      <w:r>
        <w:rPr>
          <w:rFonts w:hAnsi="宋体"/>
          <w:sz w:val="21"/>
        </w:rPr>
        <w:t>、</w:t>
      </w:r>
      <w:r>
        <w:rPr>
          <w:rFonts w:hint="eastAsia" w:hAnsi="宋体"/>
          <w:sz w:val="21"/>
        </w:rPr>
        <w:t>北海市人民政府网-北海市政府采购中心网站</w:t>
      </w:r>
      <w:r>
        <w:rPr>
          <w:rFonts w:hint="eastAsia" w:hAnsi="宋体" w:cs="宋体"/>
          <w:sz w:val="21"/>
        </w:rPr>
        <w:t>发布中标公告发布中标公告。</w:t>
      </w:r>
    </w:p>
    <w:p>
      <w:pPr>
        <w:pStyle w:val="29"/>
        <w:adjustRightInd w:val="0"/>
        <w:snapToGrid w:val="0"/>
        <w:spacing w:line="360" w:lineRule="exact"/>
        <w:ind w:firstLine="420" w:firstLineChars="200"/>
        <w:rPr>
          <w:rFonts w:hAnsi="宋体" w:cs="宋体"/>
          <w:sz w:val="21"/>
        </w:rPr>
      </w:pPr>
      <w:r>
        <w:rPr>
          <w:rFonts w:hint="eastAsia" w:hAnsi="宋体" w:cs="宋体"/>
          <w:sz w:val="21"/>
        </w:rPr>
        <w:t>（三）在发布中标公告的同时，本中心向中标供应商发出中标通知书。对未通过资格审查的投标人，本中心告知其未通过的原因；采用综合评分法评审的，本中心告知未中标人本人的评审得分与排序。</w:t>
      </w:r>
    </w:p>
    <w:p>
      <w:pPr>
        <w:pStyle w:val="29"/>
        <w:adjustRightInd w:val="0"/>
        <w:snapToGrid w:val="0"/>
        <w:spacing w:line="360" w:lineRule="exact"/>
        <w:ind w:firstLine="420" w:firstLineChars="200"/>
        <w:rPr>
          <w:rFonts w:hAnsi="宋体" w:cs="宋体"/>
          <w:sz w:val="21"/>
        </w:rPr>
      </w:pPr>
      <w:r>
        <w:rPr>
          <w:rFonts w:hint="eastAsia" w:hAnsi="宋体" w:cs="宋体"/>
          <w:sz w:val="21"/>
        </w:rPr>
        <w:t>（四）投标人认为招标文件、招标过程和中标结果使自己的权益受到损害的，可以在知道或者应知其权益受到损害之日起七个工作日内，以书面形式向本中心提出质疑，并及时索要书面回执。</w:t>
      </w:r>
    </w:p>
    <w:p>
      <w:pPr>
        <w:pStyle w:val="29"/>
        <w:adjustRightInd w:val="0"/>
        <w:snapToGrid w:val="0"/>
        <w:spacing w:line="360" w:lineRule="exact"/>
        <w:ind w:firstLine="420" w:firstLineChars="200"/>
        <w:rPr>
          <w:rFonts w:hAnsi="宋体" w:cs="宋体"/>
          <w:sz w:val="21"/>
        </w:rPr>
      </w:pPr>
      <w:r>
        <w:rPr>
          <w:rFonts w:hint="eastAsia" w:hAnsi="宋体" w:cs="宋体"/>
          <w:sz w:val="21"/>
        </w:rPr>
        <w:t>（五）本中心应当按照有关规定就采购人委托授权范围内的事项在收到投标人的书面质疑后7个工作日内做出答复，但答复的内容不得涉及商业秘密。</w:t>
      </w:r>
    </w:p>
    <w:p>
      <w:pPr>
        <w:pStyle w:val="22"/>
        <w:adjustRightInd w:val="0"/>
        <w:snapToGrid w:val="0"/>
        <w:spacing w:line="360" w:lineRule="exact"/>
        <w:ind w:firstLine="562" w:firstLineChars="200"/>
        <w:rPr>
          <w:rFonts w:ascii="宋体" w:hAnsi="宋体" w:eastAsia="宋体" w:cs="宋体"/>
          <w:b/>
          <w:bCs/>
          <w:kern w:val="2"/>
          <w:sz w:val="28"/>
          <w:szCs w:val="28"/>
        </w:rPr>
      </w:pPr>
      <w:r>
        <w:rPr>
          <w:rFonts w:hint="eastAsia" w:ascii="宋体" w:hAnsi="宋体" w:eastAsia="宋体" w:cs="宋体"/>
          <w:b/>
          <w:bCs/>
          <w:kern w:val="2"/>
          <w:sz w:val="28"/>
          <w:szCs w:val="28"/>
        </w:rPr>
        <w:t>七、签订合同</w:t>
      </w:r>
    </w:p>
    <w:p>
      <w:pPr>
        <w:pStyle w:val="22"/>
        <w:adjustRightInd w:val="0"/>
        <w:snapToGrid w:val="0"/>
        <w:spacing w:line="360" w:lineRule="exact"/>
        <w:ind w:firstLine="421" w:firstLineChars="200"/>
        <w:rPr>
          <w:rFonts w:ascii="宋体" w:hAnsi="宋体" w:eastAsia="宋体" w:cs="宋体"/>
          <w:b/>
          <w:bCs/>
          <w:kern w:val="2"/>
          <w:sz w:val="21"/>
          <w:szCs w:val="21"/>
        </w:rPr>
      </w:pPr>
      <w:r>
        <w:rPr>
          <w:rFonts w:hint="eastAsia" w:ascii="宋体" w:hAnsi="宋体" w:eastAsia="宋体" w:cs="宋体"/>
          <w:b/>
          <w:sz w:val="21"/>
          <w:szCs w:val="21"/>
        </w:rPr>
        <w:t>（一）合同授予标准</w:t>
      </w:r>
    </w:p>
    <w:p>
      <w:pPr>
        <w:pStyle w:val="29"/>
        <w:spacing w:line="440" w:lineRule="exact"/>
        <w:ind w:firstLine="420"/>
        <w:rPr>
          <w:rFonts w:hAnsi="宋体" w:cs="宋体"/>
          <w:sz w:val="21"/>
        </w:rPr>
      </w:pPr>
      <w:r>
        <w:rPr>
          <w:rFonts w:hint="eastAsia" w:hAnsi="宋体" w:cs="宋体"/>
          <w:sz w:val="21"/>
        </w:rPr>
        <w:t>合同将授予被确定投标文件满足招标文件全部实质性要求，具备履行合同能力，评审得分最高，综合评分排名第一的供应商。</w:t>
      </w:r>
    </w:p>
    <w:p>
      <w:pPr>
        <w:pStyle w:val="29"/>
        <w:spacing w:line="440" w:lineRule="exact"/>
        <w:ind w:firstLine="420"/>
        <w:rPr>
          <w:rFonts w:hAnsi="宋体" w:cs="宋体"/>
          <w:sz w:val="21"/>
        </w:rPr>
      </w:pPr>
      <w:r>
        <w:rPr>
          <w:rFonts w:hint="eastAsia" w:hAnsi="宋体" w:cs="宋体"/>
          <w:b/>
          <w:sz w:val="21"/>
        </w:rPr>
        <w:t>（二）签订合同</w:t>
      </w:r>
    </w:p>
    <w:p>
      <w:pPr>
        <w:pStyle w:val="29"/>
        <w:spacing w:line="360" w:lineRule="exact"/>
        <w:ind w:firstLine="420" w:firstLineChars="200"/>
        <w:rPr>
          <w:rFonts w:hAnsi="宋体" w:cs="宋体"/>
          <w:sz w:val="21"/>
        </w:rPr>
      </w:pPr>
      <w:r>
        <w:rPr>
          <w:rFonts w:hint="eastAsia" w:hAnsi="宋体" w:cs="宋体"/>
          <w:sz w:val="21"/>
        </w:rPr>
        <w:t>1.中标通知书发出后，采购人不得违法改变中标结果，中标人无正当理由不得放弃中标。</w:t>
      </w:r>
    </w:p>
    <w:p>
      <w:pPr>
        <w:pStyle w:val="29"/>
        <w:spacing w:line="360" w:lineRule="exact"/>
        <w:ind w:firstLine="420" w:firstLineChars="200"/>
        <w:rPr>
          <w:rFonts w:hAnsi="宋体" w:cs="宋体"/>
          <w:sz w:val="21"/>
        </w:rPr>
      </w:pPr>
      <w:r>
        <w:rPr>
          <w:rFonts w:hint="eastAsia" w:hAnsi="宋体" w:cs="宋体"/>
          <w:sz w:val="21"/>
        </w:rPr>
        <w:t>2.中标供应商拒绝与采购人签订合同或因不可抗力或者自身原因不能履行采购合同的，采购人可以与中标供应商之后排名第一的中标候选供应商签订采购合同，以此类推,也可以重新招标。中标供应商放弃中标项目，拒绝与采购人签订合同的，给采购人造成损失的，还应当赔偿损失，并作为不良行为记录在案。</w:t>
      </w:r>
    </w:p>
    <w:p>
      <w:pPr>
        <w:pStyle w:val="29"/>
        <w:spacing w:line="360" w:lineRule="exact"/>
        <w:ind w:firstLine="420" w:firstLineChars="200"/>
        <w:rPr>
          <w:rFonts w:hAnsi="宋体" w:cs="宋体"/>
          <w:sz w:val="21"/>
        </w:rPr>
      </w:pPr>
      <w:r>
        <w:rPr>
          <w:rFonts w:hint="eastAsia" w:hAnsi="宋体" w:cs="宋体"/>
          <w:sz w:val="21"/>
        </w:rPr>
        <w:t>3.采购人应当自中标通知书发出之日起</w:t>
      </w:r>
      <w:r>
        <w:rPr>
          <w:rFonts w:hAnsi="宋体" w:cs="宋体"/>
          <w:sz w:val="21"/>
        </w:rPr>
        <w:t>25</w:t>
      </w:r>
      <w:r>
        <w:rPr>
          <w:rFonts w:hint="eastAsia" w:hAnsi="宋体" w:cs="宋体"/>
          <w:sz w:val="21"/>
        </w:rPr>
        <w:t>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pStyle w:val="29"/>
        <w:spacing w:line="360" w:lineRule="exact"/>
        <w:ind w:firstLine="420" w:firstLineChars="200"/>
        <w:rPr>
          <w:rFonts w:hAnsi="宋体" w:cs="宋体"/>
          <w:sz w:val="21"/>
        </w:rPr>
      </w:pPr>
      <w:r>
        <w:rPr>
          <w:rFonts w:hint="eastAsia" w:hAnsi="宋体" w:cs="宋体"/>
          <w:sz w:val="21"/>
        </w:rPr>
        <w:t>4.政府采购合同应当包括采购人与中标人的名称和住所、标的、数量、质量、价款或者报酬、履行期限及地点和方式、验收要求、违约责任、解决争议的方法等内容。政府采购合同签订当日，将政府采购合同送代理机构备案。</w:t>
      </w:r>
    </w:p>
    <w:p>
      <w:pPr>
        <w:pStyle w:val="29"/>
        <w:spacing w:line="360" w:lineRule="exact"/>
        <w:ind w:firstLine="420" w:firstLineChars="200"/>
        <w:rPr>
          <w:rFonts w:hAnsi="宋体" w:cs="宋体"/>
          <w:sz w:val="21"/>
        </w:rPr>
      </w:pPr>
      <w:r>
        <w:rPr>
          <w:rFonts w:hint="eastAsia" w:hAnsi="宋体" w:cs="宋体"/>
          <w:sz w:val="21"/>
        </w:rPr>
        <w:t>5.采购人与中标人应当根据合同的约定依法履行合同义务。政府采购合同的履行、违约责任和解决争议的方法等适用《中华人民共和国民法典》。</w:t>
      </w:r>
    </w:p>
    <w:p>
      <w:pPr>
        <w:pStyle w:val="29"/>
        <w:spacing w:line="360" w:lineRule="exact"/>
        <w:ind w:firstLine="420" w:firstLineChars="200"/>
        <w:rPr>
          <w:rFonts w:hAnsi="宋体" w:cs="宋体"/>
          <w:sz w:val="21"/>
        </w:rPr>
      </w:pPr>
      <w:r>
        <w:rPr>
          <w:rFonts w:hint="eastAsia" w:hAnsi="宋体" w:cs="宋体"/>
          <w:sz w:val="21"/>
        </w:rPr>
        <w:t>6.采购人应当及时对采购项目进行验收。采购人可以邀请参加本项目的其他投标人或者第三方机构参与验收。参与验收的投标人或者第三方机构的意见作为验收书的参考资料一并存档。</w:t>
      </w:r>
    </w:p>
    <w:p>
      <w:pPr>
        <w:pStyle w:val="29"/>
        <w:spacing w:line="360" w:lineRule="exact"/>
        <w:ind w:firstLine="420" w:firstLineChars="200"/>
        <w:rPr>
          <w:rFonts w:hAnsi="宋体" w:cs="宋体"/>
          <w:sz w:val="21"/>
        </w:rPr>
      </w:pPr>
      <w:r>
        <w:rPr>
          <w:rFonts w:hint="eastAsia" w:hAnsi="宋体" w:cs="宋体"/>
          <w:sz w:val="21"/>
        </w:rPr>
        <w:t>7.采购人应当加强对中标人的履约管理，并按照采购合同约定，及时向中标人支付采购资金。对于中标人违反采购合同约定的行为，采购人应当及时处理，依法追究其违约责任。</w:t>
      </w:r>
    </w:p>
    <w:p>
      <w:pPr>
        <w:pStyle w:val="29"/>
        <w:spacing w:line="360" w:lineRule="exact"/>
        <w:ind w:firstLine="421" w:firstLineChars="200"/>
        <w:rPr>
          <w:rFonts w:hAnsi="宋体" w:cs="宋体"/>
          <w:b/>
          <w:sz w:val="21"/>
        </w:rPr>
      </w:pPr>
      <w:r>
        <w:rPr>
          <w:rFonts w:hint="eastAsia" w:hAnsi="宋体" w:cs="宋体"/>
          <w:b/>
          <w:sz w:val="21"/>
        </w:rPr>
        <w:t>8.关于开展北海市政府采购合同信用融资工作的通知</w:t>
      </w:r>
    </w:p>
    <w:p>
      <w:pPr>
        <w:pStyle w:val="29"/>
        <w:spacing w:line="360" w:lineRule="exact"/>
        <w:ind w:firstLine="421" w:firstLineChars="200"/>
        <w:rPr>
          <w:rFonts w:hAnsi="宋体" w:cs="宋体"/>
          <w:b/>
          <w:sz w:val="21"/>
        </w:rPr>
      </w:pPr>
      <w:r>
        <w:rPr>
          <w:rFonts w:hint="eastAsia" w:hAnsi="宋体" w:cs="宋体"/>
          <w:b/>
          <w:sz w:val="21"/>
        </w:rPr>
        <w:t>各政府采购供应商：</w:t>
      </w:r>
    </w:p>
    <w:p>
      <w:pPr>
        <w:pStyle w:val="29"/>
        <w:spacing w:line="360" w:lineRule="exact"/>
        <w:ind w:firstLine="421" w:firstLineChars="200"/>
        <w:rPr>
          <w:rFonts w:hAnsi="宋体" w:cs="宋体"/>
          <w:b/>
          <w:sz w:val="21"/>
        </w:rPr>
      </w:pPr>
      <w:r>
        <w:rPr>
          <w:rFonts w:hint="eastAsia" w:hAnsi="宋体" w:cs="宋体"/>
          <w:b/>
          <w:sz w:val="21"/>
        </w:rPr>
        <w:t>为贯彻落实党的十九大精神、国务院“放管服”改革决策部署，助力解决中小微企业在政府采购活动中资金不足、融资难、融资贵的困难，促进中小微企业依法诚信参加政府采购活动，优化我市营商环境，根据《中华人民共和国政府采购法》等有关规定，现就开展北海市政府采购合同信用融资工作有关事项通知如下：</w:t>
      </w:r>
    </w:p>
    <w:p>
      <w:pPr>
        <w:pStyle w:val="29"/>
        <w:spacing w:line="360" w:lineRule="exact"/>
        <w:ind w:firstLine="421" w:firstLineChars="200"/>
        <w:rPr>
          <w:rFonts w:hAnsi="宋体" w:cs="宋体"/>
          <w:b/>
          <w:sz w:val="21"/>
        </w:rPr>
      </w:pPr>
      <w:r>
        <w:rPr>
          <w:rFonts w:hint="eastAsia" w:hAnsi="宋体" w:cs="宋体"/>
          <w:b/>
          <w:sz w:val="21"/>
        </w:rPr>
        <w:t>一、融资概念</w:t>
      </w:r>
    </w:p>
    <w:p>
      <w:pPr>
        <w:pStyle w:val="29"/>
        <w:spacing w:line="360" w:lineRule="exact"/>
        <w:ind w:firstLine="421" w:firstLineChars="200"/>
        <w:rPr>
          <w:rFonts w:hAnsi="宋体" w:cs="宋体"/>
          <w:b/>
          <w:sz w:val="21"/>
        </w:rPr>
      </w:pPr>
      <w:r>
        <w:rPr>
          <w:rFonts w:hint="eastAsia" w:hAnsi="宋体" w:cs="宋体"/>
          <w:b/>
          <w:sz w:val="21"/>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w:t>
      </w:r>
    </w:p>
    <w:p>
      <w:pPr>
        <w:pStyle w:val="29"/>
        <w:spacing w:line="360" w:lineRule="exact"/>
        <w:ind w:firstLine="421" w:firstLineChars="200"/>
        <w:rPr>
          <w:rFonts w:hAnsi="宋体" w:cs="宋体"/>
          <w:b/>
          <w:sz w:val="21"/>
        </w:rPr>
      </w:pPr>
      <w:r>
        <w:rPr>
          <w:rFonts w:hint="eastAsia" w:hAnsi="宋体" w:cs="宋体"/>
          <w:b/>
          <w:sz w:val="21"/>
        </w:rPr>
        <w:t>二、基本原则</w:t>
      </w:r>
    </w:p>
    <w:p>
      <w:pPr>
        <w:pStyle w:val="29"/>
        <w:spacing w:line="360" w:lineRule="exact"/>
        <w:ind w:firstLine="421" w:firstLineChars="200"/>
        <w:rPr>
          <w:rFonts w:hAnsi="宋体" w:cs="宋体"/>
          <w:b/>
          <w:sz w:val="21"/>
        </w:rPr>
      </w:pPr>
      <w:r>
        <w:rPr>
          <w:rFonts w:hint="eastAsia" w:hAnsi="宋体" w:cs="宋体"/>
          <w:b/>
          <w:sz w:val="21"/>
        </w:rPr>
        <w:t>（一）协调推进，服务银企。北海市财政局、北海市政府采购中心共同推进“政采贷”工作，促进政府采购政策功能和金融资源的有机结合，拓宽金融机构的融资业务，助力解决政府采购中标（成交）中小微企业资金不足、融资难、融资贵的困难，促进中小微企业健康发展。</w:t>
      </w:r>
    </w:p>
    <w:p>
      <w:pPr>
        <w:pStyle w:val="29"/>
        <w:spacing w:line="360" w:lineRule="exact"/>
        <w:ind w:firstLine="421" w:firstLineChars="200"/>
        <w:rPr>
          <w:rFonts w:hAnsi="宋体" w:cs="宋体"/>
          <w:b/>
          <w:sz w:val="21"/>
        </w:rPr>
      </w:pPr>
      <w:r>
        <w:rPr>
          <w:rFonts w:hint="eastAsia" w:hAnsi="宋体" w:cs="宋体"/>
          <w:b/>
          <w:sz w:val="21"/>
        </w:rPr>
        <w:t>（二）银企自愿，互惠共赢。金融机构和中小微企业按照自愿原则参与。中小微企业根据自身情况自行决定是否申请“政采贷”，自愿选择金融机构、融资方式；金融机构依据其内部审查制度和决策程序决定是否为中小微企业提供信用融资、融资额度等，并与供应商签订融资合同，自担风险。</w:t>
      </w:r>
    </w:p>
    <w:p>
      <w:pPr>
        <w:pStyle w:val="29"/>
        <w:spacing w:line="360" w:lineRule="exact"/>
        <w:ind w:firstLine="421" w:firstLineChars="200"/>
        <w:rPr>
          <w:rFonts w:hAnsi="宋体" w:cs="宋体"/>
          <w:b/>
          <w:sz w:val="21"/>
        </w:rPr>
      </w:pPr>
      <w:r>
        <w:rPr>
          <w:rFonts w:hint="eastAsia" w:hAnsi="宋体" w:cs="宋体"/>
          <w:b/>
          <w:sz w:val="21"/>
        </w:rPr>
        <w:t>（三）优质优惠，加强扶持。金融机构按优于同期一般企业的贷款利率，向政府采购中小微企业提供信用贷款，贷款额度由金融机构根据政府采购合同的具体情况确定，不要求申请融资的中小微企业提供财产抵押或第三方担保，不收取融资利息之外的额外费用。</w:t>
      </w:r>
    </w:p>
    <w:p>
      <w:pPr>
        <w:pStyle w:val="29"/>
        <w:spacing w:line="360" w:lineRule="exact"/>
        <w:ind w:firstLine="421" w:firstLineChars="200"/>
        <w:rPr>
          <w:rFonts w:hAnsi="宋体" w:cs="宋体"/>
          <w:b/>
          <w:sz w:val="21"/>
        </w:rPr>
      </w:pPr>
      <w:r>
        <w:rPr>
          <w:rFonts w:hint="eastAsia" w:hAnsi="宋体" w:cs="宋体"/>
          <w:b/>
          <w:sz w:val="21"/>
        </w:rPr>
        <w:t>三、基本流程</w:t>
      </w:r>
    </w:p>
    <w:p>
      <w:pPr>
        <w:pStyle w:val="29"/>
        <w:spacing w:line="360" w:lineRule="exact"/>
        <w:ind w:firstLine="421" w:firstLineChars="200"/>
        <w:rPr>
          <w:rFonts w:hAnsi="宋体" w:cs="宋体"/>
          <w:b/>
          <w:sz w:val="21"/>
        </w:rPr>
      </w:pPr>
      <w:r>
        <w:rPr>
          <w:rFonts w:hint="eastAsia" w:hAnsi="宋体" w:cs="宋体"/>
          <w:b/>
          <w:sz w:val="21"/>
        </w:rPr>
        <w:t>（一）融资申请。有融资需求的供应商取得《中标通知书》后，在签订采购合同前，向贷款金融机构递交融资申请表。中标（成交）供应商可以根据贷款需求等实际情况选择是否需要北海市小微企业融资担保有限公司提供担保增信，如需要提供担保增信则同时向北海市小微企业融资担保有限公司递交融资申请表。</w:t>
      </w:r>
    </w:p>
    <w:p>
      <w:pPr>
        <w:pStyle w:val="29"/>
        <w:spacing w:line="360" w:lineRule="exact"/>
        <w:ind w:firstLine="421" w:firstLineChars="200"/>
        <w:rPr>
          <w:rFonts w:hAnsi="宋体" w:cs="宋体"/>
          <w:b/>
          <w:sz w:val="21"/>
        </w:rPr>
      </w:pPr>
      <w:r>
        <w:rPr>
          <w:rFonts w:hint="eastAsia" w:hAnsi="宋体" w:cs="宋体"/>
          <w:b/>
          <w:sz w:val="21"/>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pPr>
        <w:pStyle w:val="29"/>
        <w:spacing w:line="360" w:lineRule="exact"/>
        <w:ind w:firstLine="421" w:firstLineChars="200"/>
        <w:rPr>
          <w:rFonts w:hAnsi="宋体" w:cs="宋体"/>
          <w:b/>
          <w:sz w:val="21"/>
        </w:rPr>
      </w:pPr>
      <w:r>
        <w:rPr>
          <w:rFonts w:hint="eastAsia" w:hAnsi="宋体" w:cs="宋体"/>
          <w:b/>
          <w:sz w:val="21"/>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pPr>
        <w:pStyle w:val="29"/>
        <w:spacing w:line="360" w:lineRule="exact"/>
        <w:ind w:firstLine="421" w:firstLineChars="200"/>
        <w:rPr>
          <w:rFonts w:hAnsi="宋体" w:cs="宋体"/>
          <w:b/>
          <w:sz w:val="21"/>
        </w:rPr>
      </w:pPr>
      <w:r>
        <w:rPr>
          <w:rFonts w:hint="eastAsia" w:hAnsi="宋体" w:cs="宋体"/>
          <w:b/>
          <w:sz w:val="21"/>
        </w:rPr>
        <w:t>（四）贷款发放。贷款金融机构根据贷款协议向供应商发放贷款。</w:t>
      </w:r>
    </w:p>
    <w:p>
      <w:pPr>
        <w:pStyle w:val="29"/>
        <w:spacing w:line="360" w:lineRule="exact"/>
        <w:ind w:firstLine="421" w:firstLineChars="200"/>
        <w:rPr>
          <w:rFonts w:hAnsi="宋体" w:cs="宋体"/>
          <w:b/>
          <w:sz w:val="21"/>
        </w:rPr>
      </w:pPr>
      <w:r>
        <w:rPr>
          <w:rFonts w:hint="eastAsia" w:hAnsi="宋体" w:cs="宋体"/>
          <w:b/>
          <w:sz w:val="21"/>
        </w:rPr>
        <w:t>（五）按期还款。供应商获得贷款后应自觉履行政府采购合同，合同履行完毕后，采购单位根据合同约定时间和账户信息，严格按照财政资金管理的相关规定，及时将资金支付到采购合同收款账户。</w:t>
      </w:r>
    </w:p>
    <w:p>
      <w:pPr>
        <w:pStyle w:val="29"/>
        <w:spacing w:line="360" w:lineRule="exact"/>
        <w:ind w:firstLine="421" w:firstLineChars="200"/>
        <w:rPr>
          <w:rFonts w:hAnsi="宋体" w:cs="宋体"/>
          <w:b/>
          <w:sz w:val="21"/>
        </w:rPr>
      </w:pPr>
      <w:r>
        <w:rPr>
          <w:rFonts w:hint="eastAsia" w:hAnsi="宋体" w:cs="宋体"/>
          <w:b/>
          <w:sz w:val="21"/>
        </w:rPr>
        <w:t>（六）业务终止。贷款偿清后，贷款金融机构或北海市小微企业融资担保有限公司及时办理应收账款质押注销登记，业务终止。</w:t>
      </w:r>
    </w:p>
    <w:p>
      <w:pPr>
        <w:pStyle w:val="29"/>
        <w:spacing w:line="360" w:lineRule="exact"/>
        <w:ind w:firstLine="421" w:firstLineChars="200"/>
        <w:rPr>
          <w:rFonts w:hAnsi="宋体" w:cs="宋体"/>
          <w:b/>
          <w:sz w:val="21"/>
        </w:rPr>
      </w:pPr>
      <w:r>
        <w:rPr>
          <w:rFonts w:hint="eastAsia" w:hAnsi="宋体" w:cs="宋体"/>
          <w:b/>
          <w:sz w:val="21"/>
        </w:rPr>
        <w:t>注：相关合作银行的具体操作流程详见北海市政府采购中心首页“政采贷”板块。</w:t>
      </w:r>
    </w:p>
    <w:p>
      <w:pPr>
        <w:pStyle w:val="29"/>
        <w:spacing w:line="360" w:lineRule="exact"/>
        <w:ind w:firstLine="421" w:firstLineChars="200"/>
        <w:rPr>
          <w:rFonts w:hAnsi="宋体" w:cs="宋体"/>
          <w:b/>
          <w:sz w:val="21"/>
        </w:rPr>
      </w:pPr>
      <w:r>
        <w:rPr>
          <w:rFonts w:hint="eastAsia" w:hAnsi="宋体" w:cs="宋体"/>
          <w:b/>
          <w:sz w:val="21"/>
        </w:rPr>
        <w:t>（三）补充合同</w:t>
      </w:r>
    </w:p>
    <w:p>
      <w:pPr>
        <w:pStyle w:val="29"/>
        <w:spacing w:line="360" w:lineRule="exact"/>
        <w:ind w:firstLine="420" w:firstLineChars="200"/>
        <w:rPr>
          <w:rFonts w:hAnsi="宋体" w:cs="宋体"/>
          <w:sz w:val="21"/>
        </w:rPr>
      </w:pPr>
      <w:r>
        <w:rPr>
          <w:rFonts w:hint="eastAsia" w:hAnsi="宋体" w:cs="宋体"/>
          <w:sz w:val="21"/>
        </w:rPr>
        <w:t>政府采购合同履行过程中，采购人需要追加与合同标的相同的货物或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ind w:firstLine="421" w:firstLineChars="200"/>
        <w:rPr>
          <w:rFonts w:ascii="宋体" w:hAnsi="宋体" w:cs="宋体"/>
          <w:b/>
          <w:kern w:val="0"/>
          <w:szCs w:val="21"/>
        </w:rPr>
      </w:pPr>
      <w:r>
        <w:rPr>
          <w:rFonts w:hint="eastAsia" w:ascii="宋体" w:hAnsi="宋体" w:cs="宋体"/>
          <w:b/>
        </w:rPr>
        <w:t>（四）</w:t>
      </w:r>
      <w:r>
        <w:rPr>
          <w:rFonts w:hint="eastAsia" w:ascii="宋体" w:hAnsi="宋体" w:cs="宋体"/>
          <w:b/>
          <w:kern w:val="0"/>
          <w:szCs w:val="21"/>
        </w:rPr>
        <w:t>合同公告</w:t>
      </w:r>
    </w:p>
    <w:p>
      <w:pPr>
        <w:pStyle w:val="29"/>
        <w:spacing w:line="360" w:lineRule="exact"/>
        <w:ind w:firstLine="420" w:firstLineChars="200"/>
        <w:rPr>
          <w:rFonts w:hAnsi="宋体" w:cs="宋体"/>
          <w:sz w:val="21"/>
        </w:rPr>
      </w:pPr>
      <w:r>
        <w:rPr>
          <w:rFonts w:hint="eastAsia" w:hAnsi="宋体" w:cs="宋体"/>
          <w:sz w:val="21"/>
        </w:rPr>
        <w:t>采购人应当自政府采购合同签订（双方当事人均已签字盖章）之日起2个工作日内，将政府采购合同在省级以上人民政府财政部门指定的媒体上公告（广西壮族自治区政府采购网），但政府采购合同中涉及国家秘密、商业秘密的内容除外。</w:t>
      </w:r>
    </w:p>
    <w:p>
      <w:pPr>
        <w:pStyle w:val="29"/>
        <w:spacing w:line="440" w:lineRule="exact"/>
        <w:ind w:left="-105" w:leftChars="-50" w:firstLine="562" w:firstLineChars="200"/>
        <w:rPr>
          <w:rFonts w:hAnsi="宋体" w:cs="宋体"/>
          <w:b/>
          <w:bCs/>
          <w:kern w:val="2"/>
          <w:sz w:val="28"/>
          <w:szCs w:val="28"/>
        </w:rPr>
      </w:pPr>
      <w:r>
        <w:rPr>
          <w:rFonts w:hint="eastAsia" w:hAnsi="宋体" w:cs="宋体"/>
          <w:b/>
          <w:bCs/>
          <w:kern w:val="2"/>
          <w:sz w:val="28"/>
          <w:szCs w:val="28"/>
        </w:rPr>
        <w:t>八、履约保证金</w:t>
      </w:r>
    </w:p>
    <w:p>
      <w:pPr>
        <w:pStyle w:val="29"/>
        <w:spacing w:line="360" w:lineRule="exact"/>
        <w:ind w:firstLine="420" w:firstLineChars="200"/>
        <w:rPr>
          <w:rFonts w:hAnsi="宋体" w:cs="宋体"/>
          <w:sz w:val="21"/>
        </w:rPr>
      </w:pPr>
      <w:r>
        <w:rPr>
          <w:rFonts w:hint="eastAsia" w:hAnsi="宋体" w:cs="宋体"/>
          <w:sz w:val="21"/>
        </w:rPr>
        <w:t>本项目不收取履约保证金。中标供应商未按合同约定履行合同义务，给采购人造成损失的，按实际损失进行赔偿。</w:t>
      </w:r>
    </w:p>
    <w:p>
      <w:pPr>
        <w:pStyle w:val="29"/>
        <w:spacing w:line="440" w:lineRule="exact"/>
        <w:ind w:left="-105" w:leftChars="-50" w:firstLine="562" w:firstLineChars="200"/>
        <w:rPr>
          <w:rFonts w:hAnsi="宋体" w:cs="宋体"/>
          <w:b/>
          <w:bCs/>
          <w:kern w:val="2"/>
          <w:sz w:val="28"/>
          <w:szCs w:val="28"/>
        </w:rPr>
      </w:pPr>
      <w:r>
        <w:rPr>
          <w:rFonts w:hint="eastAsia" w:hAnsi="宋体" w:cs="宋体"/>
          <w:b/>
          <w:bCs/>
          <w:kern w:val="2"/>
          <w:sz w:val="28"/>
          <w:szCs w:val="28"/>
        </w:rPr>
        <w:t>九、其他事项</w:t>
      </w:r>
    </w:p>
    <w:p>
      <w:pPr>
        <w:pStyle w:val="29"/>
        <w:spacing w:line="360" w:lineRule="exact"/>
        <w:ind w:firstLine="420" w:firstLineChars="200"/>
        <w:rPr>
          <w:rFonts w:hAnsi="宋体" w:cs="宋体"/>
          <w:sz w:val="21"/>
        </w:rPr>
      </w:pPr>
      <w:r>
        <w:rPr>
          <w:rFonts w:hint="eastAsia" w:hAnsi="宋体" w:cs="宋体"/>
          <w:sz w:val="21"/>
        </w:rPr>
        <w:t>1.电子交易异常情形处理：采购过程中出现以下异常情形，导致电子交易平台无法正常运行，或者无法保证电子交易的公平、公正和安全时，本中心有权中止电子交易活动：</w:t>
      </w:r>
    </w:p>
    <w:p>
      <w:pPr>
        <w:pStyle w:val="29"/>
        <w:spacing w:line="360" w:lineRule="exact"/>
        <w:ind w:firstLine="420" w:firstLineChars="200"/>
        <w:rPr>
          <w:rFonts w:hAnsi="宋体" w:cs="宋体"/>
          <w:sz w:val="21"/>
        </w:rPr>
      </w:pPr>
      <w:r>
        <w:rPr>
          <w:rFonts w:hint="eastAsia" w:hAnsi="宋体" w:cs="宋体"/>
          <w:sz w:val="21"/>
        </w:rPr>
        <w:t>1.1电子交易平台发生故障而无法登录访问的；</w:t>
      </w:r>
    </w:p>
    <w:p>
      <w:pPr>
        <w:pStyle w:val="29"/>
        <w:spacing w:line="360" w:lineRule="exact"/>
        <w:ind w:firstLine="420" w:firstLineChars="200"/>
        <w:rPr>
          <w:rFonts w:hAnsi="宋体" w:cs="宋体"/>
          <w:sz w:val="21"/>
        </w:rPr>
      </w:pPr>
      <w:r>
        <w:rPr>
          <w:rFonts w:hint="eastAsia" w:hAnsi="宋体" w:cs="宋体"/>
          <w:sz w:val="21"/>
        </w:rPr>
        <w:t>1.2电子交易平台应用或数据库出现错误，不能进行正常操作的；</w:t>
      </w:r>
    </w:p>
    <w:p>
      <w:pPr>
        <w:pStyle w:val="29"/>
        <w:spacing w:line="360" w:lineRule="exact"/>
        <w:ind w:firstLine="420" w:firstLineChars="200"/>
        <w:rPr>
          <w:rFonts w:hAnsi="宋体" w:cs="宋体"/>
          <w:sz w:val="21"/>
        </w:rPr>
      </w:pPr>
      <w:r>
        <w:rPr>
          <w:rFonts w:hint="eastAsia" w:hAnsi="宋体" w:cs="宋体"/>
          <w:sz w:val="21"/>
        </w:rPr>
        <w:t>1.3电子交易平台发现严重安全漏洞，潜在泄密危险的；</w:t>
      </w:r>
    </w:p>
    <w:p>
      <w:pPr>
        <w:pStyle w:val="29"/>
        <w:spacing w:line="360" w:lineRule="exact"/>
        <w:ind w:firstLine="420" w:firstLineChars="200"/>
        <w:rPr>
          <w:rFonts w:hAnsi="宋体" w:cs="宋体"/>
          <w:sz w:val="21"/>
        </w:rPr>
      </w:pPr>
      <w:r>
        <w:rPr>
          <w:rFonts w:hint="eastAsia" w:hAnsi="宋体" w:cs="宋体"/>
          <w:sz w:val="21"/>
        </w:rPr>
        <w:t>1.4病毒发作导致不能进行正常操作的；</w:t>
      </w:r>
    </w:p>
    <w:p>
      <w:pPr>
        <w:pStyle w:val="29"/>
        <w:spacing w:line="360" w:lineRule="exact"/>
        <w:ind w:firstLine="420" w:firstLineChars="200"/>
        <w:rPr>
          <w:rFonts w:hAnsi="宋体" w:cs="宋体"/>
          <w:sz w:val="21"/>
        </w:rPr>
      </w:pPr>
      <w:r>
        <w:rPr>
          <w:rFonts w:hint="eastAsia" w:hAnsi="宋体" w:cs="宋体"/>
          <w:sz w:val="21"/>
        </w:rPr>
        <w:t>1.5其他无法保证电子交易的公平、公正和安全的情况。出现以上规定情形，不影响采购公平、公正性的，本中心可以待上述情形消除后继续组织电子交易活动，也可以决定某些环节以纸质形式进行；影响或可能影响采购公平、公正性的，应当重新采购。</w:t>
      </w:r>
    </w:p>
    <w:p>
      <w:pPr>
        <w:pStyle w:val="29"/>
        <w:spacing w:line="360" w:lineRule="exact"/>
        <w:ind w:firstLine="420" w:firstLineChars="200"/>
        <w:rPr>
          <w:rFonts w:hAnsi="宋体" w:cs="宋体"/>
          <w:sz w:val="21"/>
        </w:rPr>
      </w:pPr>
      <w:r>
        <w:rPr>
          <w:rFonts w:hint="eastAsia" w:hAnsi="宋体" w:cs="宋体"/>
          <w:sz w:val="21"/>
        </w:rPr>
        <w:t>2.解释权：本招标文件解释权属采购人及本中心。</w:t>
      </w:r>
    </w:p>
    <w:p>
      <w:pPr>
        <w:pStyle w:val="29"/>
        <w:adjustRightInd w:val="0"/>
        <w:snapToGrid w:val="0"/>
        <w:spacing w:line="360" w:lineRule="exact"/>
        <w:ind w:firstLine="420" w:firstLineChars="200"/>
        <w:rPr>
          <w:rFonts w:hAnsi="宋体" w:cs="宋体"/>
          <w:sz w:val="21"/>
        </w:rPr>
      </w:pPr>
      <w:r>
        <w:rPr>
          <w:rFonts w:hint="eastAsia" w:hAnsi="宋体" w:cs="宋体"/>
          <w:sz w:val="21"/>
        </w:rPr>
        <w:t>3.有关事宜</w:t>
      </w:r>
    </w:p>
    <w:p>
      <w:pPr>
        <w:pStyle w:val="29"/>
        <w:adjustRightInd w:val="0"/>
        <w:snapToGrid w:val="0"/>
        <w:spacing w:line="360" w:lineRule="exact"/>
        <w:ind w:firstLine="420" w:firstLineChars="200"/>
        <w:rPr>
          <w:rFonts w:hAnsi="宋体" w:cs="宋体"/>
          <w:sz w:val="21"/>
        </w:rPr>
      </w:pPr>
      <w:r>
        <w:rPr>
          <w:rFonts w:hint="eastAsia" w:hAnsi="宋体" w:cs="宋体"/>
          <w:sz w:val="21"/>
        </w:rPr>
        <w:t>所有与本招标文件有关的函件请按下列通讯地址联系：</w:t>
      </w:r>
    </w:p>
    <w:p>
      <w:pPr>
        <w:adjustRightInd w:val="0"/>
        <w:snapToGrid w:val="0"/>
        <w:spacing w:line="360" w:lineRule="exact"/>
        <w:ind w:firstLine="420" w:firstLineChars="200"/>
        <w:rPr>
          <w:rFonts w:ascii="宋体" w:hAnsi="Courier New"/>
          <w:kern w:val="0"/>
          <w:szCs w:val="21"/>
        </w:rPr>
      </w:pPr>
      <w:bookmarkStart w:id="55" w:name="_Toc9838480"/>
      <w:r>
        <w:rPr>
          <w:rFonts w:hint="eastAsia" w:ascii="宋体" w:hAnsi="Courier New"/>
          <w:kern w:val="0"/>
          <w:szCs w:val="21"/>
        </w:rPr>
        <w:t>北海市</w:t>
      </w:r>
      <w:r>
        <w:rPr>
          <w:rFonts w:hint="eastAsia" w:ascii="宋体" w:hAnsi="Courier New"/>
          <w:kern w:val="0"/>
          <w:szCs w:val="21"/>
          <w:lang w:eastAsia="zh-CN"/>
        </w:rPr>
        <w:t>铁山港区</w:t>
      </w:r>
      <w:r>
        <w:rPr>
          <w:rFonts w:hint="eastAsia" w:ascii="宋体" w:hAnsi="Courier New"/>
          <w:kern w:val="0"/>
          <w:szCs w:val="21"/>
        </w:rPr>
        <w:t>政府采购中心</w:t>
      </w:r>
    </w:p>
    <w:p>
      <w:pPr>
        <w:tabs>
          <w:tab w:val="left" w:pos="1990"/>
        </w:tabs>
        <w:adjustRightInd w:val="0"/>
        <w:snapToGrid w:val="0"/>
        <w:spacing w:line="360" w:lineRule="exact"/>
        <w:ind w:firstLine="420" w:firstLineChars="200"/>
        <w:rPr>
          <w:rFonts w:hint="default" w:ascii="宋体" w:hAnsi="Courier New" w:eastAsia="宋体"/>
          <w:kern w:val="0"/>
          <w:szCs w:val="21"/>
          <w:lang w:val="en-US" w:eastAsia="zh-CN"/>
        </w:rPr>
      </w:pPr>
      <w:r>
        <w:rPr>
          <w:rFonts w:hint="eastAsia" w:ascii="宋体" w:hAnsi="Courier New"/>
          <w:kern w:val="0"/>
          <w:szCs w:val="21"/>
        </w:rPr>
        <w:t>邮政编码：</w:t>
      </w:r>
      <w:r>
        <w:rPr>
          <w:rFonts w:hint="eastAsia" w:ascii="宋体" w:hAnsi="Courier New"/>
          <w:kern w:val="0"/>
          <w:szCs w:val="21"/>
          <w:lang w:val="en-US" w:eastAsia="zh-CN"/>
        </w:rPr>
        <w:t>536017</w:t>
      </w:r>
    </w:p>
    <w:p>
      <w:pPr>
        <w:tabs>
          <w:tab w:val="left" w:pos="1990"/>
        </w:tabs>
        <w:adjustRightInd w:val="0"/>
        <w:snapToGrid w:val="0"/>
        <w:spacing w:line="360" w:lineRule="exact"/>
        <w:ind w:firstLine="420" w:firstLineChars="200"/>
        <w:rPr>
          <w:rFonts w:ascii="宋体" w:hAnsi="Courier New"/>
          <w:kern w:val="0"/>
          <w:szCs w:val="21"/>
        </w:rPr>
      </w:pPr>
      <w:r>
        <w:rPr>
          <w:rFonts w:hint="eastAsia" w:ascii="宋体" w:hAnsi="Courier New"/>
          <w:kern w:val="0"/>
          <w:szCs w:val="21"/>
        </w:rPr>
        <w:t>通讯地址：北海市</w:t>
      </w:r>
      <w:r>
        <w:rPr>
          <w:rFonts w:hint="eastAsia" w:ascii="宋体" w:hAnsi="Courier New"/>
          <w:kern w:val="0"/>
          <w:szCs w:val="21"/>
          <w:lang w:eastAsia="zh-CN"/>
        </w:rPr>
        <w:t>铁山港区政府采购中心（铁山港区政府大院周转房</w:t>
      </w:r>
      <w:r>
        <w:rPr>
          <w:rFonts w:hint="eastAsia" w:ascii="宋体" w:hAnsi="Courier New"/>
          <w:kern w:val="0"/>
          <w:szCs w:val="21"/>
          <w:lang w:val="en-US" w:eastAsia="zh-CN"/>
        </w:rPr>
        <w:t>314</w:t>
      </w:r>
      <w:r>
        <w:rPr>
          <w:rFonts w:hint="eastAsia" w:ascii="宋体" w:hAnsi="Courier New"/>
          <w:kern w:val="0"/>
          <w:szCs w:val="21"/>
          <w:lang w:eastAsia="zh-CN"/>
        </w:rPr>
        <w:t>）</w:t>
      </w:r>
      <w:r>
        <w:rPr>
          <w:rFonts w:hint="eastAsia" w:ascii="宋体" w:hAnsi="Courier New"/>
          <w:kern w:val="0"/>
          <w:szCs w:val="21"/>
        </w:rPr>
        <w:t>。</w:t>
      </w:r>
    </w:p>
    <w:p>
      <w:pPr>
        <w:pStyle w:val="29"/>
        <w:snapToGrid w:val="0"/>
        <w:spacing w:line="600" w:lineRule="exact"/>
        <w:jc w:val="center"/>
        <w:rPr>
          <w:rFonts w:hint="default" w:hAnsi="宋体" w:eastAsia="宋体" w:cs="宋体"/>
          <w:b/>
          <w:sz w:val="36"/>
          <w:szCs w:val="36"/>
          <w:lang w:val="en-US" w:eastAsia="zh-CN"/>
        </w:rPr>
      </w:pPr>
      <w:r>
        <w:rPr>
          <w:rFonts w:hint="eastAsia" w:ascii="宋体" w:hAnsi="Courier New"/>
          <w:kern w:val="0"/>
          <w:szCs w:val="21"/>
        </w:rPr>
        <w:t>电话：0779—</w:t>
      </w:r>
      <w:r>
        <w:rPr>
          <w:rFonts w:hint="eastAsia"/>
          <w:kern w:val="0"/>
          <w:szCs w:val="21"/>
          <w:lang w:val="en-US" w:eastAsia="zh-CN"/>
        </w:rPr>
        <w:t>8610156</w:t>
      </w:r>
    </w:p>
    <w:p>
      <w:pPr>
        <w:pStyle w:val="29"/>
        <w:snapToGrid w:val="0"/>
        <w:spacing w:line="600" w:lineRule="exact"/>
        <w:jc w:val="center"/>
        <w:rPr>
          <w:rFonts w:hAnsi="宋体" w:cs="宋体"/>
          <w:b/>
          <w:sz w:val="36"/>
          <w:szCs w:val="36"/>
        </w:rPr>
      </w:pPr>
    </w:p>
    <w:p>
      <w:pPr>
        <w:pStyle w:val="29"/>
        <w:snapToGrid w:val="0"/>
        <w:spacing w:line="600" w:lineRule="exact"/>
        <w:jc w:val="center"/>
        <w:rPr>
          <w:rFonts w:hAnsi="宋体" w:cs="宋体"/>
          <w:b/>
          <w:sz w:val="36"/>
          <w:szCs w:val="36"/>
        </w:rPr>
      </w:pPr>
    </w:p>
    <w:p>
      <w:pPr>
        <w:pStyle w:val="29"/>
        <w:snapToGrid w:val="0"/>
        <w:spacing w:line="600" w:lineRule="exact"/>
        <w:jc w:val="center"/>
        <w:rPr>
          <w:rFonts w:hAnsi="宋体" w:cs="宋体"/>
          <w:b/>
          <w:sz w:val="36"/>
          <w:szCs w:val="36"/>
        </w:rPr>
      </w:pPr>
    </w:p>
    <w:p>
      <w:pPr>
        <w:pStyle w:val="29"/>
        <w:snapToGrid w:val="0"/>
        <w:spacing w:line="600" w:lineRule="exact"/>
        <w:rPr>
          <w:rFonts w:hAnsi="宋体" w:cs="宋体"/>
          <w:b/>
          <w:sz w:val="36"/>
          <w:szCs w:val="36"/>
        </w:rPr>
      </w:pPr>
    </w:p>
    <w:p>
      <w:pPr>
        <w:pStyle w:val="29"/>
        <w:snapToGrid w:val="0"/>
        <w:spacing w:line="600" w:lineRule="exact"/>
        <w:jc w:val="center"/>
        <w:rPr>
          <w:rFonts w:hAnsi="宋体" w:cs="宋体"/>
          <w:b/>
          <w:sz w:val="36"/>
          <w:szCs w:val="36"/>
        </w:rPr>
      </w:pPr>
    </w:p>
    <w:p>
      <w:pPr>
        <w:pStyle w:val="29"/>
        <w:snapToGrid w:val="0"/>
        <w:spacing w:line="600" w:lineRule="exact"/>
        <w:jc w:val="center"/>
        <w:rPr>
          <w:rFonts w:hAnsi="宋体" w:cs="宋体"/>
          <w:b/>
          <w:sz w:val="36"/>
          <w:szCs w:val="36"/>
        </w:rPr>
      </w:pPr>
    </w:p>
    <w:p>
      <w:pPr>
        <w:pStyle w:val="29"/>
        <w:snapToGrid w:val="0"/>
        <w:spacing w:line="600" w:lineRule="exact"/>
        <w:jc w:val="center"/>
        <w:rPr>
          <w:rFonts w:hAnsi="宋体" w:cs="宋体"/>
          <w:b/>
          <w:sz w:val="36"/>
          <w:szCs w:val="36"/>
        </w:rPr>
      </w:pPr>
    </w:p>
    <w:p>
      <w:pPr>
        <w:pStyle w:val="29"/>
        <w:snapToGrid w:val="0"/>
        <w:spacing w:line="600" w:lineRule="exact"/>
        <w:jc w:val="center"/>
        <w:rPr>
          <w:rFonts w:hAnsi="宋体" w:cs="宋体"/>
          <w:b/>
          <w:sz w:val="36"/>
          <w:szCs w:val="36"/>
        </w:rPr>
      </w:pPr>
    </w:p>
    <w:p>
      <w:pPr>
        <w:pStyle w:val="29"/>
        <w:snapToGrid w:val="0"/>
        <w:spacing w:line="600" w:lineRule="exact"/>
        <w:jc w:val="center"/>
        <w:rPr>
          <w:rFonts w:hAnsi="宋体" w:cs="宋体"/>
          <w:b/>
          <w:sz w:val="36"/>
          <w:szCs w:val="36"/>
        </w:rPr>
      </w:pPr>
    </w:p>
    <w:bookmarkEnd w:id="55"/>
    <w:p>
      <w:pPr>
        <w:pStyle w:val="29"/>
        <w:snapToGrid w:val="0"/>
        <w:spacing w:line="600" w:lineRule="exact"/>
        <w:jc w:val="center"/>
        <w:outlineLvl w:val="0"/>
        <w:rPr>
          <w:rFonts w:hAnsi="宋体" w:cs="宋体"/>
          <w:b/>
          <w:sz w:val="36"/>
          <w:szCs w:val="36"/>
        </w:rPr>
      </w:pPr>
      <w:bookmarkStart w:id="56" w:name="_Toc163469137"/>
      <w:r>
        <w:rPr>
          <w:rFonts w:hint="eastAsia" w:hAnsi="宋体" w:cs="宋体"/>
          <w:b/>
          <w:sz w:val="36"/>
          <w:szCs w:val="36"/>
        </w:rPr>
        <w:t>第四章 评标办法及评分标准</w:t>
      </w:r>
      <w:bookmarkEnd w:id="56"/>
    </w:p>
    <w:p>
      <w:pPr>
        <w:pStyle w:val="29"/>
        <w:spacing w:line="360" w:lineRule="exact"/>
        <w:rPr>
          <w:rFonts w:hAnsi="宋体" w:cs="宋体"/>
          <w:b/>
          <w:bCs/>
          <w:sz w:val="28"/>
          <w:szCs w:val="28"/>
        </w:rPr>
      </w:pPr>
    </w:p>
    <w:p>
      <w:pPr>
        <w:pStyle w:val="29"/>
        <w:spacing w:line="360" w:lineRule="exact"/>
        <w:rPr>
          <w:rFonts w:hAnsi="宋体" w:cs="宋体"/>
          <w:b/>
          <w:bCs/>
          <w:sz w:val="32"/>
          <w:szCs w:val="32"/>
        </w:rPr>
      </w:pPr>
    </w:p>
    <w:p>
      <w:pPr>
        <w:pStyle w:val="29"/>
        <w:spacing w:line="360" w:lineRule="exact"/>
        <w:rPr>
          <w:rFonts w:hAnsi="宋体" w:cs="宋体"/>
          <w:b/>
          <w:bCs/>
          <w:sz w:val="32"/>
          <w:szCs w:val="32"/>
        </w:rPr>
      </w:pPr>
    </w:p>
    <w:p>
      <w:pPr>
        <w:pStyle w:val="29"/>
        <w:spacing w:line="360" w:lineRule="exact"/>
        <w:rPr>
          <w:rFonts w:hAnsi="宋体" w:cs="宋体"/>
          <w:b/>
          <w:bCs/>
          <w:sz w:val="32"/>
          <w:szCs w:val="32"/>
        </w:rPr>
      </w:pPr>
    </w:p>
    <w:p>
      <w:pPr>
        <w:pStyle w:val="29"/>
        <w:spacing w:line="360" w:lineRule="exact"/>
        <w:rPr>
          <w:rFonts w:hAnsi="宋体" w:cs="宋体"/>
          <w:b/>
          <w:bCs/>
          <w:sz w:val="32"/>
          <w:szCs w:val="32"/>
        </w:rPr>
      </w:pPr>
    </w:p>
    <w:p>
      <w:pPr>
        <w:pStyle w:val="29"/>
        <w:spacing w:line="360" w:lineRule="exact"/>
        <w:rPr>
          <w:rFonts w:hAnsi="宋体" w:cs="宋体"/>
          <w:b/>
          <w:bCs/>
          <w:sz w:val="32"/>
          <w:szCs w:val="32"/>
        </w:rPr>
      </w:pPr>
    </w:p>
    <w:p>
      <w:pPr>
        <w:pStyle w:val="29"/>
        <w:spacing w:line="360" w:lineRule="exact"/>
        <w:rPr>
          <w:rFonts w:hAnsi="宋体" w:cs="宋体"/>
          <w:b/>
          <w:bCs/>
          <w:sz w:val="32"/>
          <w:szCs w:val="32"/>
        </w:rPr>
      </w:pPr>
    </w:p>
    <w:p>
      <w:pPr>
        <w:pStyle w:val="29"/>
        <w:spacing w:line="360" w:lineRule="exact"/>
        <w:rPr>
          <w:rFonts w:hAnsi="宋体" w:cs="宋体"/>
          <w:b/>
          <w:bCs/>
          <w:sz w:val="32"/>
          <w:szCs w:val="32"/>
        </w:rPr>
      </w:pPr>
    </w:p>
    <w:p>
      <w:pPr>
        <w:pStyle w:val="29"/>
        <w:spacing w:line="360" w:lineRule="exact"/>
        <w:rPr>
          <w:rFonts w:hAnsi="宋体" w:cs="宋体"/>
          <w:b/>
          <w:sz w:val="32"/>
          <w:szCs w:val="32"/>
        </w:rPr>
      </w:pPr>
    </w:p>
    <w:p>
      <w:pPr>
        <w:pStyle w:val="29"/>
        <w:spacing w:line="360" w:lineRule="exact"/>
        <w:rPr>
          <w:rFonts w:hAnsi="宋体" w:cs="宋体"/>
          <w:b/>
          <w:sz w:val="32"/>
          <w:szCs w:val="32"/>
        </w:rPr>
      </w:pPr>
    </w:p>
    <w:p>
      <w:pPr>
        <w:pStyle w:val="29"/>
        <w:spacing w:line="360" w:lineRule="exact"/>
        <w:rPr>
          <w:rFonts w:hAnsi="宋体" w:cs="宋体"/>
          <w:b/>
          <w:sz w:val="32"/>
          <w:szCs w:val="32"/>
        </w:rPr>
      </w:pPr>
    </w:p>
    <w:p>
      <w:pPr>
        <w:pStyle w:val="29"/>
        <w:spacing w:line="360" w:lineRule="exact"/>
        <w:rPr>
          <w:rFonts w:hAnsi="宋体" w:cs="宋体"/>
          <w:b/>
          <w:sz w:val="32"/>
          <w:szCs w:val="32"/>
        </w:rPr>
      </w:pPr>
    </w:p>
    <w:p>
      <w:pPr>
        <w:pStyle w:val="29"/>
        <w:spacing w:line="360" w:lineRule="exact"/>
        <w:rPr>
          <w:rFonts w:hAnsi="宋体" w:cs="宋体"/>
          <w:b/>
          <w:sz w:val="32"/>
          <w:szCs w:val="32"/>
        </w:rPr>
      </w:pPr>
    </w:p>
    <w:p>
      <w:pPr>
        <w:pStyle w:val="29"/>
        <w:spacing w:line="360" w:lineRule="exact"/>
        <w:rPr>
          <w:rFonts w:hAnsi="宋体" w:cs="宋体"/>
          <w:b/>
          <w:sz w:val="32"/>
          <w:szCs w:val="32"/>
        </w:rPr>
      </w:pPr>
    </w:p>
    <w:p>
      <w:pPr>
        <w:pStyle w:val="29"/>
        <w:spacing w:line="360" w:lineRule="exact"/>
        <w:rPr>
          <w:rFonts w:hAnsi="宋体" w:cs="宋体"/>
          <w:b/>
          <w:sz w:val="32"/>
          <w:szCs w:val="32"/>
        </w:rPr>
      </w:pPr>
    </w:p>
    <w:p>
      <w:pPr>
        <w:pStyle w:val="29"/>
        <w:spacing w:line="360" w:lineRule="exact"/>
        <w:rPr>
          <w:rFonts w:hAnsi="宋体" w:cs="宋体"/>
          <w:b/>
          <w:sz w:val="32"/>
          <w:szCs w:val="32"/>
        </w:rPr>
      </w:pPr>
    </w:p>
    <w:p>
      <w:pPr>
        <w:pStyle w:val="29"/>
        <w:spacing w:line="360" w:lineRule="exact"/>
        <w:rPr>
          <w:rFonts w:hAnsi="宋体" w:cs="宋体"/>
          <w:b/>
          <w:sz w:val="32"/>
          <w:szCs w:val="32"/>
        </w:rPr>
      </w:pPr>
    </w:p>
    <w:p>
      <w:pPr>
        <w:pStyle w:val="29"/>
        <w:spacing w:line="360" w:lineRule="exact"/>
        <w:rPr>
          <w:rFonts w:hAnsi="宋体" w:cs="宋体"/>
          <w:b/>
          <w:sz w:val="32"/>
          <w:szCs w:val="32"/>
        </w:rPr>
      </w:pPr>
      <w:r>
        <w:rPr>
          <w:rFonts w:hAnsi="宋体" w:cs="宋体"/>
          <w:b/>
          <w:sz w:val="32"/>
          <w:szCs w:val="32"/>
        </w:rPr>
        <w:br w:type="page"/>
      </w:r>
    </w:p>
    <w:p>
      <w:pPr>
        <w:ind w:firstLine="4818" w:firstLineChars="1500"/>
        <w:rPr>
          <w:b/>
          <w:sz w:val="32"/>
        </w:rPr>
      </w:pPr>
      <w:r>
        <w:rPr>
          <w:rFonts w:hint="eastAsia"/>
          <w:b/>
          <w:sz w:val="32"/>
        </w:rPr>
        <w:t>标项1</w:t>
      </w:r>
    </w:p>
    <w:p>
      <w:pPr>
        <w:jc w:val="center"/>
        <w:rPr>
          <w:b/>
          <w:sz w:val="32"/>
        </w:rPr>
      </w:pPr>
      <w:r>
        <w:rPr>
          <w:rFonts w:hint="eastAsia"/>
          <w:b/>
          <w:sz w:val="32"/>
        </w:rPr>
        <w:t>评标办法及评分标准</w:t>
      </w:r>
    </w:p>
    <w:p>
      <w:pPr>
        <w:jc w:val="center"/>
        <w:rPr>
          <w:b/>
          <w:color w:val="auto"/>
          <w:sz w:val="32"/>
        </w:rPr>
      </w:pPr>
    </w:p>
    <w:p>
      <w:pPr>
        <w:autoSpaceDE w:val="0"/>
        <w:autoSpaceDN w:val="0"/>
        <w:adjustRightInd w:val="0"/>
        <w:jc w:val="left"/>
        <w:rPr>
          <w:rFonts w:ascii="宋体" w:hAnsi="宋体"/>
          <w:b/>
          <w:bCs/>
          <w:color w:val="auto"/>
          <w:sz w:val="24"/>
          <w:szCs w:val="24"/>
        </w:rPr>
      </w:pPr>
      <w:r>
        <w:rPr>
          <w:rFonts w:hint="eastAsia" w:ascii="宋体" w:hAnsi="宋体"/>
          <w:b/>
          <w:bCs/>
          <w:color w:val="auto"/>
          <w:sz w:val="24"/>
          <w:szCs w:val="24"/>
        </w:rPr>
        <w:t xml:space="preserve"> </w:t>
      </w:r>
    </w:p>
    <w:p>
      <w:pPr>
        <w:adjustRightInd w:val="0"/>
        <w:snapToGrid w:val="0"/>
        <w:spacing w:line="360" w:lineRule="auto"/>
        <w:rPr>
          <w:rFonts w:ascii="宋体" w:hAnsi="宋体"/>
          <w:b/>
          <w:color w:val="auto"/>
          <w:kern w:val="0"/>
          <w:sz w:val="24"/>
          <w:szCs w:val="24"/>
        </w:rPr>
      </w:pPr>
      <w:r>
        <w:rPr>
          <w:rFonts w:hint="eastAsia" w:ascii="宋体" w:hAnsi="宋体"/>
          <w:b/>
          <w:color w:val="auto"/>
          <w:kern w:val="0"/>
          <w:sz w:val="24"/>
          <w:szCs w:val="24"/>
        </w:rPr>
        <w:t>一、评标原则</w:t>
      </w:r>
    </w:p>
    <w:p>
      <w:pPr>
        <w:adjustRightInd w:val="0"/>
        <w:snapToGrid w:val="0"/>
        <w:spacing w:line="360" w:lineRule="auto"/>
        <w:ind w:firstLine="600" w:firstLineChars="250"/>
        <w:rPr>
          <w:rFonts w:ascii="宋体" w:hAnsi="宋体"/>
          <w:color w:val="auto"/>
          <w:sz w:val="24"/>
          <w:szCs w:val="24"/>
        </w:rPr>
      </w:pPr>
      <w:r>
        <w:rPr>
          <w:rFonts w:hint="eastAsia" w:ascii="宋体" w:hAnsi="宋体"/>
          <w:color w:val="auto"/>
          <w:sz w:val="24"/>
          <w:szCs w:val="24"/>
        </w:rPr>
        <w:t>（一） 评委组成：本招标采购项目的评标委员会由采购人代表和评审专家组成，成员人数应当为5人以上单数，其中评审专家不得少于成员总数的三分之二。</w:t>
      </w:r>
    </w:p>
    <w:p>
      <w:pPr>
        <w:adjustRightInd w:val="0"/>
        <w:snapToGrid w:val="0"/>
        <w:spacing w:line="360" w:lineRule="auto"/>
        <w:ind w:firstLine="600" w:firstLineChars="250"/>
        <w:rPr>
          <w:rFonts w:ascii="宋体" w:hAnsi="宋体"/>
          <w:color w:val="auto"/>
          <w:sz w:val="24"/>
          <w:szCs w:val="24"/>
        </w:rPr>
      </w:pPr>
      <w:r>
        <w:rPr>
          <w:rFonts w:hint="eastAsia" w:ascii="宋体" w:hAnsi="宋体"/>
          <w:color w:val="auto"/>
          <w:sz w:val="24"/>
          <w:szCs w:val="24"/>
        </w:rPr>
        <w:t>（二）评标依据：评委将以招投标文件为评标依据，对投标人的投标报价，技术性能，售后服务，信誉资信等方面的内容按百分制打分。</w:t>
      </w:r>
    </w:p>
    <w:p>
      <w:pPr>
        <w:adjustRightInd w:val="0"/>
        <w:snapToGrid w:val="0"/>
        <w:spacing w:line="360" w:lineRule="auto"/>
        <w:ind w:firstLine="600" w:firstLineChars="250"/>
        <w:rPr>
          <w:rFonts w:ascii="宋体" w:hAnsi="宋体"/>
          <w:color w:val="auto"/>
          <w:sz w:val="24"/>
          <w:szCs w:val="24"/>
        </w:rPr>
      </w:pPr>
      <w:r>
        <w:rPr>
          <w:rFonts w:hint="eastAsia" w:ascii="宋体" w:hAnsi="宋体"/>
          <w:color w:val="auto"/>
          <w:sz w:val="24"/>
          <w:szCs w:val="24"/>
        </w:rPr>
        <w:t>（三）评标方式：以封闭方式进行。</w:t>
      </w:r>
    </w:p>
    <w:p>
      <w:pPr>
        <w:adjustRightInd w:val="0"/>
        <w:snapToGrid w:val="0"/>
        <w:spacing w:line="360" w:lineRule="auto"/>
        <w:ind w:firstLine="600" w:firstLineChars="250"/>
        <w:rPr>
          <w:rFonts w:ascii="宋体" w:hAnsi="宋体"/>
          <w:color w:val="auto"/>
          <w:sz w:val="24"/>
          <w:szCs w:val="24"/>
        </w:rPr>
      </w:pPr>
      <w:r>
        <w:rPr>
          <w:rFonts w:hint="eastAsia" w:ascii="宋体" w:hAnsi="宋体"/>
          <w:color w:val="auto"/>
          <w:sz w:val="24"/>
          <w:szCs w:val="24"/>
        </w:rPr>
        <w:t>（四）采购人和采购代理机构、评标委员会成员要严格遵守政府采购相关法律制度，依法履行各自职责，公正、客观、审慎地组织和参与评审工作。</w:t>
      </w:r>
    </w:p>
    <w:p>
      <w:pPr>
        <w:adjustRightInd w:val="0"/>
        <w:snapToGrid w:val="0"/>
        <w:spacing w:line="360" w:lineRule="auto"/>
        <w:rPr>
          <w:rFonts w:ascii="宋体" w:hAnsi="宋体"/>
          <w:b/>
          <w:color w:val="auto"/>
          <w:sz w:val="24"/>
          <w:szCs w:val="24"/>
        </w:rPr>
      </w:pPr>
      <w:r>
        <w:rPr>
          <w:rFonts w:hint="eastAsia" w:ascii="宋体" w:hAnsi="宋体"/>
          <w:b/>
          <w:color w:val="auto"/>
          <w:sz w:val="24"/>
          <w:szCs w:val="24"/>
        </w:rPr>
        <w:t>二、评定方法</w:t>
      </w:r>
    </w:p>
    <w:p>
      <w:pPr>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（一）对进入详评的，采用百分制综合评分法。</w:t>
      </w:r>
    </w:p>
    <w:p>
      <w:pPr>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（二）计分办法（按四舍五入取至百分位）：</w:t>
      </w:r>
    </w:p>
    <w:p>
      <w:pPr>
        <w:adjustRightInd w:val="0"/>
        <w:snapToGrid w:val="0"/>
        <w:spacing w:line="360" w:lineRule="auto"/>
        <w:ind w:firstLine="602" w:firstLineChars="250"/>
        <w:rPr>
          <w:rFonts w:hint="eastAsia" w:ascii="宋体" w:hAnsi="宋体"/>
          <w:sz w:val="24"/>
          <w:szCs w:val="24"/>
          <w:highlight w:val="none"/>
        </w:rPr>
      </w:pPr>
      <w:r>
        <w:rPr>
          <w:rFonts w:hint="eastAsia" w:ascii="宋体" w:hAnsi="宋体"/>
          <w:b/>
          <w:color w:val="auto"/>
          <w:sz w:val="24"/>
          <w:szCs w:val="24"/>
        </w:rPr>
        <w:t>1、</w:t>
      </w:r>
      <w:r>
        <w:rPr>
          <w:rFonts w:hint="eastAsia" w:ascii="宋体" w:hAnsi="宋体"/>
          <w:sz w:val="24"/>
          <w:szCs w:val="24"/>
          <w:highlight w:val="none"/>
        </w:rPr>
        <w:t>（1）评标报价为投标人的投标报价进行政策性扣除后的价格，评标报价只是作为评标时使用。最终中标人的中标金额等于投标报价。</w:t>
      </w:r>
    </w:p>
    <w:p>
      <w:pPr>
        <w:adjustRightInd w:val="0"/>
        <w:snapToGrid w:val="0"/>
        <w:spacing w:line="360" w:lineRule="auto"/>
        <w:ind w:firstLine="600" w:firstLineChars="250"/>
        <w:rPr>
          <w:rFonts w:hint="eastAsia" w:ascii="宋体" w:hAnsi="宋体"/>
          <w:sz w:val="24"/>
          <w:szCs w:val="24"/>
          <w:highlight w:val="none"/>
        </w:rPr>
      </w:pPr>
      <w:r>
        <w:rPr>
          <w:rFonts w:hint="eastAsia" w:ascii="宋体" w:hAnsi="宋体"/>
          <w:sz w:val="24"/>
          <w:szCs w:val="24"/>
          <w:highlight w:val="none"/>
        </w:rPr>
        <w:t>（2）按照《政府采购促进中小企业发展管理办法》（财库〔2020〕46号）的规定，在其投标文件中提供《中小企业声明函》，且服务全部由符合政策要求的小型、微型企业承接的，对其最后报价给予20%的扣除。</w:t>
      </w:r>
    </w:p>
    <w:p>
      <w:pPr>
        <w:adjustRightInd w:val="0"/>
        <w:snapToGrid w:val="0"/>
        <w:spacing w:line="360" w:lineRule="auto"/>
        <w:ind w:firstLine="600" w:firstLineChars="250"/>
        <w:rPr>
          <w:rFonts w:hint="eastAsia" w:ascii="宋体" w:hAnsi="宋体"/>
          <w:sz w:val="24"/>
          <w:szCs w:val="24"/>
          <w:highlight w:val="none"/>
        </w:rPr>
      </w:pPr>
      <w:r>
        <w:rPr>
          <w:rFonts w:hint="eastAsia" w:ascii="宋体" w:hAnsi="宋体"/>
          <w:sz w:val="24"/>
          <w:szCs w:val="24"/>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pPr>
        <w:adjustRightInd w:val="0"/>
        <w:snapToGrid w:val="0"/>
        <w:spacing w:line="360" w:lineRule="auto"/>
        <w:ind w:firstLine="600" w:firstLineChars="250"/>
        <w:rPr>
          <w:rFonts w:hint="eastAsia"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4</w:t>
      </w:r>
      <w:r>
        <w:rPr>
          <w:rFonts w:hint="eastAsia" w:ascii="宋体" w:hAnsi="宋体"/>
          <w:sz w:val="24"/>
          <w:szCs w:val="24"/>
          <w:highlight w:val="none"/>
        </w:rPr>
        <w:t>）以满足招标文件要求且最后报价最低的投标人的价格为投标基准价，其投标人的报价分为最高分30分；</w:t>
      </w:r>
    </w:p>
    <w:p>
      <w:pPr>
        <w:adjustRightInd w:val="0"/>
        <w:snapToGrid w:val="0"/>
        <w:spacing w:line="360" w:lineRule="auto"/>
        <w:ind w:firstLine="600" w:firstLineChars="250"/>
        <w:rPr>
          <w:rFonts w:hint="eastAsia" w:ascii="宋体" w:hAnsi="宋体"/>
          <w:sz w:val="24"/>
          <w:szCs w:val="24"/>
          <w:highlight w:val="none"/>
        </w:rPr>
      </w:pPr>
      <w:r>
        <w:rPr>
          <w:rFonts w:hint="eastAsia" w:ascii="宋体" w:hAnsi="宋体"/>
          <w:sz w:val="24"/>
          <w:szCs w:val="24"/>
          <w:highlight w:val="none"/>
        </w:rPr>
        <w:t>（6）某投标人的价格分计算公式：</w:t>
      </w:r>
    </w:p>
    <w:p>
      <w:pPr>
        <w:adjustRightInd w:val="0"/>
        <w:snapToGrid w:val="0"/>
        <w:ind w:firstLine="3240" w:firstLineChars="1350"/>
        <w:rPr>
          <w:rFonts w:hint="eastAsia" w:ascii="宋体" w:hAnsi="宋体"/>
          <w:sz w:val="24"/>
          <w:szCs w:val="24"/>
          <w:highlight w:val="none"/>
        </w:rPr>
      </w:pPr>
      <w:r>
        <w:rPr>
          <w:rFonts w:hint="eastAsia" w:ascii="宋体" w:hAnsi="宋体"/>
          <w:sz w:val="24"/>
          <w:szCs w:val="24"/>
          <w:highlight w:val="none"/>
        </w:rPr>
        <w:t xml:space="preserve">最低投标人评标报价金额 </w:t>
      </w:r>
    </w:p>
    <w:p>
      <w:pPr>
        <w:adjustRightInd w:val="0"/>
        <w:snapToGrid w:val="0"/>
        <w:ind w:firstLine="600" w:firstLineChars="250"/>
        <w:rPr>
          <w:rFonts w:hint="eastAsia" w:ascii="宋体" w:hAnsi="宋体"/>
          <w:sz w:val="24"/>
          <w:szCs w:val="24"/>
          <w:highlight w:val="none"/>
        </w:rPr>
      </w:pPr>
      <w:r>
        <w:rPr>
          <w:rFonts w:hint="eastAsia" w:ascii="宋体" w:hAnsi="宋体"/>
          <w:sz w:val="24"/>
          <w:szCs w:val="24"/>
          <w:highlight w:val="none"/>
        </w:rPr>
        <w:t xml:space="preserve">某投标人价格分 =   </w:t>
      </w:r>
      <w:r>
        <w:rPr>
          <w:rFonts w:hint="eastAsia" w:ascii="宋体" w:hAnsi="宋体"/>
          <w:sz w:val="24"/>
          <w:szCs w:val="24"/>
          <w:highlight w:val="none"/>
        </w:rPr>
        <w:fldChar w:fldCharType="begin"/>
      </w:r>
      <w:r>
        <w:instrText xml:space="preserve"> INCLUDEPICTURE "../.config/weixin/wechat/users/9df87e50fcbe8dac29f59f2d95bd5b2f/message/cache/9e20f478899dc29eb19741386f9343c8/opendata/2024-08/" \* MERGEFORMAT </w:instrText>
      </w:r>
      <w:r>
        <w:rPr>
          <w:rFonts w:hint="eastAsia" w:ascii="宋体" w:hAnsi="宋体"/>
          <w:sz w:val="24"/>
          <w:szCs w:val="24"/>
          <w:highlight w:val="none"/>
        </w:rPr>
        <w:fldChar w:fldCharType="separate"/>
      </w:r>
      <w:r>
        <w:rPr>
          <w:rFonts w:hint="eastAsia" w:ascii="宋体" w:hAnsi="宋体"/>
          <w:sz w:val="24"/>
          <w:szCs w:val="24"/>
          <w:highlight w:val="none"/>
        </w:rPr>
        <w:drawing>
          <wp:inline distT="0" distB="0" distL="114300" distR="114300">
            <wp:extent cx="1980565" cy="19050"/>
            <wp:effectExtent l="0" t="0" r="0" b="0"/>
            <wp:docPr id="7" name="图片 7"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ps1"/>
                    <pic:cNvPicPr>
                      <a:picLocks noChangeAspect="1"/>
                    </pic:cNvPicPr>
                  </pic:nvPicPr>
                  <pic:blipFill>
                    <a:blip r:embed="rId13"/>
                    <a:stretch>
                      <a:fillRect/>
                    </a:stretch>
                  </pic:blipFill>
                  <pic:spPr>
                    <a:xfrm>
                      <a:off x="0" y="0"/>
                      <a:ext cx="1980565" cy="19050"/>
                    </a:xfrm>
                    <a:prstGeom prst="rect">
                      <a:avLst/>
                    </a:prstGeom>
                    <a:noFill/>
                    <a:ln>
                      <a:noFill/>
                    </a:ln>
                  </pic:spPr>
                </pic:pic>
              </a:graphicData>
            </a:graphic>
          </wp:inline>
        </w:drawing>
      </w:r>
      <w:r>
        <w:rPr>
          <w:rFonts w:hint="eastAsia" w:ascii="宋体" w:hAnsi="宋体"/>
          <w:sz w:val="24"/>
          <w:szCs w:val="24"/>
          <w:highlight w:val="none"/>
        </w:rPr>
        <w:fldChar w:fldCharType="end"/>
      </w:r>
      <w:r>
        <w:rPr>
          <w:rFonts w:hint="eastAsia" w:ascii="宋体" w:hAnsi="宋体"/>
          <w:sz w:val="24"/>
          <w:szCs w:val="24"/>
          <w:highlight w:val="none"/>
        </w:rPr>
        <w:t xml:space="preserve">  × 30分</w:t>
      </w:r>
    </w:p>
    <w:p>
      <w:pPr>
        <w:adjustRightInd w:val="0"/>
        <w:snapToGrid w:val="0"/>
        <w:ind w:firstLine="600" w:firstLineChars="250"/>
        <w:rPr>
          <w:rFonts w:hint="eastAsia" w:ascii="宋体" w:hAnsi="宋体"/>
          <w:sz w:val="24"/>
          <w:szCs w:val="24"/>
          <w:highlight w:val="none"/>
        </w:rPr>
      </w:pPr>
      <w:r>
        <w:rPr>
          <w:rFonts w:hint="eastAsia" w:ascii="宋体" w:hAnsi="宋体"/>
          <w:sz w:val="24"/>
          <w:szCs w:val="24"/>
          <w:highlight w:val="none"/>
        </w:rPr>
        <w:t xml:space="preserve">                       某投标人评标报价金额  </w:t>
      </w:r>
    </w:p>
    <w:p>
      <w:pPr>
        <w:adjustRightInd w:val="0"/>
        <w:snapToGrid w:val="0"/>
        <w:spacing w:line="360" w:lineRule="auto"/>
        <w:ind w:firstLine="600" w:firstLineChars="250"/>
        <w:rPr>
          <w:rFonts w:hint="eastAsia" w:ascii="宋体" w:hAnsi="宋体"/>
          <w:color w:val="auto"/>
          <w:sz w:val="24"/>
          <w:szCs w:val="24"/>
        </w:rPr>
      </w:pPr>
    </w:p>
    <w:p>
      <w:pPr>
        <w:adjustRightInd w:val="0"/>
        <w:snapToGrid w:val="0"/>
        <w:spacing w:line="360" w:lineRule="auto"/>
        <w:ind w:firstLine="602" w:firstLineChars="250"/>
        <w:rPr>
          <w:rFonts w:ascii="宋体" w:hAnsi="宋体"/>
          <w:b/>
          <w:bCs/>
          <w:color w:val="auto"/>
          <w:sz w:val="24"/>
          <w:szCs w:val="24"/>
        </w:rPr>
      </w:pPr>
      <w:r>
        <w:rPr>
          <w:rFonts w:hint="eastAsia" w:ascii="宋体" w:hAnsi="宋体"/>
          <w:b/>
          <w:bCs/>
          <w:color w:val="auto"/>
          <w:sz w:val="24"/>
          <w:szCs w:val="24"/>
        </w:rPr>
        <w:t>说明：本项目根据市场报价，为了确保采购质量和维护公平的竞争，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9"/>
        <w:spacing w:line="360" w:lineRule="auto"/>
        <w:rPr>
          <w:rFonts w:hAnsi="宋体"/>
          <w:b/>
          <w:bCs/>
          <w:color w:val="auto"/>
          <w:sz w:val="24"/>
          <w:szCs w:val="24"/>
        </w:rPr>
      </w:pPr>
    </w:p>
    <w:p>
      <w:pPr>
        <w:spacing w:line="360" w:lineRule="auto"/>
        <w:rPr>
          <w:rFonts w:ascii="宋体" w:hAnsi="宋体"/>
          <w:b/>
          <w:color w:val="auto"/>
          <w:sz w:val="24"/>
          <w:szCs w:val="24"/>
        </w:rPr>
      </w:pPr>
      <w:r>
        <w:rPr>
          <w:rFonts w:hint="eastAsia" w:ascii="宋体" w:hAnsi="宋体"/>
          <w:b/>
          <w:color w:val="auto"/>
          <w:sz w:val="24"/>
          <w:szCs w:val="24"/>
        </w:rPr>
        <w:t>2、设备性能分…………………………………18分</w:t>
      </w:r>
    </w:p>
    <w:p>
      <w:pPr>
        <w:adjustRightInd w:val="0"/>
        <w:snapToGrid w:val="0"/>
        <w:spacing w:line="360" w:lineRule="auto"/>
        <w:ind w:firstLine="600" w:firstLineChars="250"/>
        <w:rPr>
          <w:rFonts w:ascii="宋体" w:hAnsi="宋体"/>
          <w:color w:val="auto"/>
          <w:sz w:val="24"/>
          <w:szCs w:val="24"/>
        </w:rPr>
      </w:pPr>
      <w:r>
        <w:rPr>
          <w:rFonts w:hint="eastAsia" w:ascii="宋体" w:hAnsi="宋体"/>
          <w:color w:val="auto"/>
          <w:sz w:val="24"/>
          <w:szCs w:val="24"/>
        </w:rPr>
        <w:t>本项目的采购项目需求一览表中标注“▲</w:t>
      </w:r>
      <w:r>
        <w:rPr>
          <w:rFonts w:ascii="宋体" w:hAnsi="宋体"/>
          <w:color w:val="auto"/>
          <w:sz w:val="24"/>
          <w:szCs w:val="24"/>
        </w:rPr>
        <w:t>”</w:t>
      </w:r>
      <w:r>
        <w:rPr>
          <w:rFonts w:hint="eastAsia" w:ascii="宋体" w:hAnsi="宋体"/>
          <w:color w:val="auto"/>
          <w:sz w:val="24"/>
          <w:szCs w:val="24"/>
        </w:rPr>
        <w:t>号的条款为实质性要求，必须按相应实质性参数后附的要求提供相应佐证，否则投标无效。</w:t>
      </w:r>
    </w:p>
    <w:p>
      <w:pPr>
        <w:adjustRightInd w:val="0"/>
        <w:snapToGrid w:val="0"/>
        <w:spacing w:line="360" w:lineRule="auto"/>
        <w:ind w:firstLine="600" w:firstLineChars="250"/>
        <w:rPr>
          <w:rFonts w:ascii="宋体" w:hAnsi="宋体"/>
          <w:color w:val="auto"/>
          <w:sz w:val="24"/>
          <w:szCs w:val="24"/>
        </w:rPr>
      </w:pPr>
      <w:r>
        <w:rPr>
          <w:rFonts w:hint="eastAsia" w:ascii="宋体" w:hAnsi="宋体"/>
          <w:color w:val="auto"/>
          <w:sz w:val="24"/>
          <w:szCs w:val="24"/>
        </w:rPr>
        <w:t>本项目的采购项目需求一览表中标注“☆”的技术参数为重要技术指标、功能项，将作为本项目中货物性能的评分依据。竞标产品所有技术指标、功能项均能满足招标文件要求，且标注“☆”的技术参数均能提供产品功能截图或产品彩页或产品技术说明书或国家认可的第三方检测机构出具的检测/检验报告等证明材料复印件并加盖单位公章，每存在一项得1分，满分18分；（说明：标注“☆”的技术参数在响应文件中逐点应答出证明材料具体位置。）。</w:t>
      </w:r>
    </w:p>
    <w:p>
      <w:pPr>
        <w:spacing w:line="360" w:lineRule="auto"/>
        <w:rPr>
          <w:rFonts w:ascii="宋体" w:hAnsi="宋体"/>
          <w:b/>
          <w:color w:val="auto"/>
          <w:sz w:val="24"/>
          <w:szCs w:val="24"/>
        </w:rPr>
      </w:pPr>
      <w:r>
        <w:rPr>
          <w:rFonts w:hint="eastAsia" w:ascii="宋体" w:hAnsi="宋体"/>
          <w:b/>
          <w:color w:val="auto"/>
          <w:sz w:val="24"/>
          <w:szCs w:val="24"/>
        </w:rPr>
        <w:t>2、实施方案分……</w:t>
      </w:r>
      <w:r>
        <w:rPr>
          <w:rFonts w:hint="eastAsia" w:ascii="宋体" w:hAnsi="宋体"/>
          <w:b/>
          <w:bCs/>
          <w:color w:val="auto"/>
          <w:sz w:val="24"/>
          <w:szCs w:val="24"/>
        </w:rPr>
        <w:t>………</w:t>
      </w:r>
      <w:r>
        <w:rPr>
          <w:rFonts w:hint="eastAsia" w:ascii="宋体" w:hAnsi="宋体"/>
          <w:b/>
          <w:color w:val="auto"/>
          <w:sz w:val="24"/>
          <w:szCs w:val="24"/>
        </w:rPr>
        <w:t>………</w:t>
      </w:r>
      <w:r>
        <w:rPr>
          <w:rFonts w:hint="eastAsia" w:ascii="宋体" w:hAnsi="宋体"/>
          <w:b/>
          <w:bCs/>
          <w:color w:val="auto"/>
          <w:sz w:val="24"/>
          <w:szCs w:val="24"/>
        </w:rPr>
        <w:t>…</w:t>
      </w:r>
      <w:r>
        <w:rPr>
          <w:rFonts w:hint="eastAsia" w:ascii="宋体" w:hAnsi="宋体"/>
          <w:b/>
          <w:color w:val="auto"/>
          <w:sz w:val="24"/>
          <w:szCs w:val="24"/>
        </w:rPr>
        <w:t>……………20分</w:t>
      </w:r>
    </w:p>
    <w:p>
      <w:pPr>
        <w:pStyle w:val="29"/>
        <w:spacing w:line="360" w:lineRule="auto"/>
        <w:ind w:firstLine="420"/>
        <w:rPr>
          <w:rFonts w:hAnsi="宋体"/>
          <w:bCs/>
          <w:color w:val="auto"/>
          <w:sz w:val="24"/>
          <w:szCs w:val="24"/>
        </w:rPr>
      </w:pPr>
      <w:r>
        <w:rPr>
          <w:rFonts w:hint="eastAsia" w:hAnsi="宋体"/>
          <w:bCs/>
          <w:color w:val="auto"/>
          <w:sz w:val="24"/>
          <w:szCs w:val="24"/>
        </w:rPr>
        <w:t>评委在打分前根据投标文件中的保证实施的技术力量安排、技术服务、技术培训的服务内容和措施、建议的安装、调试、验收方法或方案等所属档次，由评委在相应档次内独立打分。</w:t>
      </w:r>
    </w:p>
    <w:p>
      <w:pPr>
        <w:snapToGrid w:val="0"/>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一档（6分）：项目实施方案简单，保证项目实施的技术力量和人力资源安排基本满足要求，技术服务、技术培训的服务内容和措施一般</w:t>
      </w:r>
      <w:r>
        <w:rPr>
          <w:rFonts w:hint="eastAsia" w:ascii="宋体" w:hAnsi="宋体"/>
          <w:color w:val="auto"/>
          <w:szCs w:val="24"/>
        </w:rPr>
        <w:t>，</w:t>
      </w:r>
      <w:r>
        <w:rPr>
          <w:rFonts w:hint="eastAsia" w:ascii="宋体" w:hAnsi="宋体"/>
          <w:bCs/>
          <w:color w:val="auto"/>
          <w:kern w:val="0"/>
          <w:sz w:val="24"/>
          <w:szCs w:val="24"/>
        </w:rPr>
        <w:t>进入一档。</w:t>
      </w:r>
    </w:p>
    <w:p>
      <w:pPr>
        <w:snapToGrid w:val="0"/>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二档</w:t>
      </w:r>
      <w:r>
        <w:rPr>
          <w:rFonts w:hint="eastAsia" w:ascii="宋体" w:hAnsi="宋体"/>
          <w:bCs/>
          <w:color w:val="auto"/>
          <w:kern w:val="0"/>
          <w:sz w:val="24"/>
          <w:szCs w:val="24"/>
          <w:lang w:val="en-US" w:eastAsia="zh-CN"/>
        </w:rPr>
        <w:t>(13</w:t>
      </w:r>
      <w:r>
        <w:rPr>
          <w:rFonts w:hint="eastAsia" w:ascii="宋体" w:hAnsi="宋体"/>
          <w:bCs/>
          <w:color w:val="auto"/>
          <w:kern w:val="0"/>
          <w:sz w:val="24"/>
          <w:szCs w:val="24"/>
        </w:rPr>
        <w:t>分）：项目实施方案较详细，保证项目实施的技术力量和人力资源安排满足项目实施要求，技术服务、技术培训的服务内容和措施较完善,进入二档。</w:t>
      </w:r>
    </w:p>
    <w:p>
      <w:pPr>
        <w:snapToGrid w:val="0"/>
        <w:spacing w:line="360" w:lineRule="auto"/>
        <w:ind w:firstLine="480" w:firstLineChars="200"/>
        <w:jc w:val="left"/>
        <w:rPr>
          <w:rFonts w:ascii="宋体" w:hAnsi="宋体"/>
          <w:bCs/>
          <w:color w:val="auto"/>
          <w:sz w:val="24"/>
          <w:szCs w:val="24"/>
        </w:rPr>
      </w:pPr>
      <w:r>
        <w:rPr>
          <w:rFonts w:hint="eastAsia" w:ascii="宋体" w:hAnsi="宋体"/>
          <w:bCs/>
          <w:color w:val="auto"/>
          <w:kern w:val="0"/>
          <w:sz w:val="24"/>
          <w:szCs w:val="24"/>
        </w:rPr>
        <w:t>三档（</w:t>
      </w:r>
      <w:r>
        <w:rPr>
          <w:rFonts w:hint="eastAsia" w:ascii="宋体" w:hAnsi="宋体"/>
          <w:bCs/>
          <w:color w:val="auto"/>
          <w:kern w:val="0"/>
          <w:sz w:val="24"/>
          <w:szCs w:val="24"/>
          <w:lang w:val="en-US" w:eastAsia="zh-CN"/>
        </w:rPr>
        <w:t>20</w:t>
      </w:r>
      <w:r>
        <w:rPr>
          <w:rFonts w:hint="eastAsia" w:ascii="宋体" w:hAnsi="宋体"/>
          <w:bCs/>
          <w:color w:val="auto"/>
          <w:kern w:val="0"/>
          <w:sz w:val="24"/>
          <w:szCs w:val="24"/>
        </w:rPr>
        <w:t>分）：项目实施方案详实，方案能清楚的表明对本项目的熟悉程度，技术路线清晰可信，保证项目实施的技术力量安排充足，技术服务、技术培训的服务内容和措施完善，建议的安装、调试、验收方法或方案同比更完善有效、更优化、切实可行的，且投标人或投标人所投核心产品厂商具有音视频集成工程企业能力等级壹级，能提供相关证明复印件并加盖单位公章，进入三档。</w:t>
      </w:r>
    </w:p>
    <w:p>
      <w:pPr>
        <w:pStyle w:val="29"/>
        <w:spacing w:line="360" w:lineRule="auto"/>
        <w:rPr>
          <w:rFonts w:hAnsi="宋体"/>
          <w:b/>
          <w:bCs/>
          <w:color w:val="auto"/>
          <w:sz w:val="24"/>
          <w:szCs w:val="24"/>
        </w:rPr>
      </w:pPr>
      <w:r>
        <w:rPr>
          <w:rFonts w:hint="eastAsia" w:hAnsi="宋体"/>
          <w:b/>
          <w:bCs/>
          <w:color w:val="auto"/>
          <w:sz w:val="24"/>
          <w:szCs w:val="24"/>
        </w:rPr>
        <w:t>4、</w:t>
      </w:r>
      <w:r>
        <w:rPr>
          <w:rFonts w:hint="eastAsia" w:hAnsi="宋体"/>
          <w:b/>
          <w:color w:val="auto"/>
          <w:sz w:val="24"/>
          <w:szCs w:val="24"/>
        </w:rPr>
        <w:t>售后服务方案分</w:t>
      </w:r>
      <w:r>
        <w:rPr>
          <w:rFonts w:hint="eastAsia" w:hAnsi="宋体"/>
          <w:b/>
          <w:bCs/>
          <w:color w:val="auto"/>
          <w:sz w:val="24"/>
          <w:szCs w:val="24"/>
        </w:rPr>
        <w:t>…………………………………20分</w:t>
      </w:r>
    </w:p>
    <w:p>
      <w:pPr>
        <w:widowControl/>
        <w:spacing w:line="360" w:lineRule="auto"/>
        <w:ind w:firstLine="480" w:firstLineChars="200"/>
        <w:rPr>
          <w:rFonts w:ascii="宋体" w:hAnsi="宋体"/>
          <w:color w:val="auto"/>
          <w:sz w:val="24"/>
          <w:szCs w:val="24"/>
        </w:rPr>
      </w:pPr>
      <w:r>
        <w:rPr>
          <w:rFonts w:hint="eastAsia" w:ascii="宋体" w:hAnsi="宋体"/>
          <w:color w:val="auto"/>
          <w:sz w:val="24"/>
          <w:szCs w:val="24"/>
        </w:rPr>
        <w:t>评委根据招标文件售后服务要求并结合投标人售后服务方案内容的完整性、可行性、保质期、到达故障现场时间、故障出现解决方案、免费技术培训方案、保修期外维修方案等由评委集体讨论确定各投标人所属档次，由评委在相应档次内独立打分。</w:t>
      </w:r>
    </w:p>
    <w:p>
      <w:pPr>
        <w:widowControl/>
        <w:spacing w:line="360" w:lineRule="auto"/>
        <w:ind w:firstLine="480" w:firstLineChars="200"/>
        <w:rPr>
          <w:rFonts w:ascii="宋体" w:hAnsi="宋体"/>
          <w:color w:val="auto"/>
          <w:sz w:val="24"/>
          <w:szCs w:val="24"/>
        </w:rPr>
      </w:pPr>
      <w:r>
        <w:rPr>
          <w:rFonts w:hint="eastAsia" w:ascii="宋体" w:hAnsi="宋体"/>
          <w:color w:val="auto"/>
          <w:sz w:val="24"/>
          <w:szCs w:val="24"/>
        </w:rPr>
        <w:t>一档（6分）：售后服务方案基本合理、可行，保障响应措施、服务经验一般，方案一般的，进入一档。</w:t>
      </w:r>
    </w:p>
    <w:p>
      <w:pPr>
        <w:widowControl/>
        <w:spacing w:line="360" w:lineRule="auto"/>
        <w:ind w:firstLine="480" w:firstLineChars="200"/>
        <w:rPr>
          <w:rFonts w:ascii="宋体" w:hAnsi="宋体"/>
          <w:color w:val="auto"/>
          <w:sz w:val="24"/>
          <w:szCs w:val="24"/>
        </w:rPr>
      </w:pPr>
      <w:r>
        <w:rPr>
          <w:rFonts w:hint="eastAsia" w:ascii="宋体" w:hAnsi="宋体"/>
          <w:color w:val="auto"/>
          <w:sz w:val="24"/>
          <w:szCs w:val="24"/>
        </w:rPr>
        <w:t>二档（</w:t>
      </w:r>
      <w:r>
        <w:rPr>
          <w:rFonts w:hint="eastAsia" w:ascii="宋体" w:hAnsi="宋体"/>
          <w:color w:val="auto"/>
          <w:sz w:val="24"/>
          <w:szCs w:val="24"/>
          <w:lang w:val="en-US" w:eastAsia="zh-CN"/>
        </w:rPr>
        <w:t>13</w:t>
      </w:r>
      <w:r>
        <w:rPr>
          <w:rFonts w:hint="eastAsia" w:ascii="宋体" w:hAnsi="宋体"/>
          <w:color w:val="auto"/>
          <w:sz w:val="24"/>
          <w:szCs w:val="24"/>
        </w:rPr>
        <w:t>分）：满足一档的情况下，售后服务方案比较细致、合理、可行，人员配置较好，保障响应措施较有力，服务经验较丰富，且投标人或投标人所投的核心产品厂商具有充足的售后资源及规范的管理制度，按照《CTEAS售后服务体系完善程度认证评价规范》（CTEAS1001-2017）建立完善、成熟的商品售后服务工作体系，提供由售后服务体系完善程度认证七星证书的，提供相关证书复印件并加盖公章，满足以上相关要求的，进入二档。</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三档（20分）：满足二档的情况下，售后服务方案论述准确，售后保障措施表述清晰、完整、严谨、合理、先进、具体、有效、成熟；故障响应及达到故障现场时间优于采购要求，对系统的维护提供整体维护解决方案和运行维护应急预案，提供一站式、全面、专业的本地化维护服务，提供系统维护信息档案管理，有良好的免费培训计划和定期回访计划，方案优秀，为了确保该项目有完整的售后服务，所投核心产品生产厂家在广西区域内设立有公司或分公司或办事处（提供营业执照副本复印件、办公场地产权或租赁合同复印件），提供相关证明复印件并加盖单位公章，进入三档。</w:t>
      </w:r>
    </w:p>
    <w:p>
      <w:pPr>
        <w:spacing w:line="360" w:lineRule="auto"/>
        <w:rPr>
          <w:rFonts w:ascii="宋体" w:hAnsi="宋体"/>
          <w:b/>
          <w:bCs/>
          <w:color w:val="auto"/>
          <w:sz w:val="24"/>
          <w:szCs w:val="24"/>
        </w:rPr>
      </w:pPr>
      <w:r>
        <w:rPr>
          <w:rFonts w:hint="eastAsia" w:ascii="宋体" w:hAnsi="宋体"/>
          <w:b/>
          <w:bCs/>
          <w:color w:val="auto"/>
          <w:sz w:val="24"/>
          <w:szCs w:val="24"/>
        </w:rPr>
        <w:t>5、商务分…………………………………10分</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投标人或投标人所投的核心产品厂商具有高水平的科技创新实力与制造能力，具备完善的专业化研究开发和产业化条件，能入选国家科学技术部发布的“国家专业化众创空间示范名单”的，提供相关证明复印件并加盖单位公章，得2分。</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投标人或投标人所投的核心产品厂商具备完善的质量管理体系、安全管理体系、身份隐私管理体系以及业务持续性管理能力，提供质量管理体系认证证书ISO9001、供应链安全管理体系认证证书ISO28000、隐私信息管理体系ISO/IEC27701、通用个人信息保护管理体系ISO/IEC29151、业务连续性管理体系认证证书ISO22301，每提供1份有效的相关证明复印件并加盖单位公章，得1分，满分5分，不提供不得分。</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（4）为保证项目产品的质量，投标人或投标人所投的上网行为管理系统生产厂家具备质量管理体系认证-TL9000认证证书，投标时能提供证书复印件得3分。</w:t>
      </w:r>
    </w:p>
    <w:p>
      <w:pPr>
        <w:pStyle w:val="29"/>
        <w:spacing w:line="360" w:lineRule="auto"/>
        <w:jc w:val="left"/>
        <w:outlineLvl w:val="0"/>
        <w:rPr>
          <w:rFonts w:hAnsi="宋体"/>
          <w:b/>
          <w:color w:val="auto"/>
          <w:sz w:val="24"/>
          <w:szCs w:val="24"/>
        </w:rPr>
      </w:pPr>
      <w:r>
        <w:rPr>
          <w:rFonts w:hint="eastAsia" w:hAnsi="宋体"/>
          <w:b/>
          <w:color w:val="auto"/>
          <w:sz w:val="24"/>
          <w:szCs w:val="24"/>
        </w:rPr>
        <w:t>6、政策功能分（节能、环保、产品等）……………………2分</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（1）投标产品纳入《财政部 发展改革委 生态环境部 市场监管总局关于调整优化节能产品 环境标志产品政府采购执行机制的通知》（财库〔2019〕9号）中节能产品政府采购品目清单的（适用于非强制采购节能产品，产品提供投标产品所属节能产品认证证书复印件并加盖单位公章），每项得0.5 分，满分 1 分。</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（2）投标产品纳入《财政部发展改革委 生态环境部 市场监管总局关于调整优化节能产品 环境标志产品政府采购执行机制的通知》（财库〔2019〕9号）中环境标志产品政府采购品目清单的（提供投标产品所属环境标志产品认证证书复印件并加盖单位公章），每项得0.5分，满分 1 分。</w:t>
      </w:r>
    </w:p>
    <w:p>
      <w:pPr>
        <w:pStyle w:val="29"/>
        <w:spacing w:line="360" w:lineRule="auto"/>
        <w:jc w:val="left"/>
        <w:outlineLvl w:val="0"/>
        <w:rPr>
          <w:rFonts w:hAnsi="宋体"/>
          <w:b/>
          <w:color w:val="auto"/>
          <w:sz w:val="24"/>
          <w:szCs w:val="24"/>
        </w:rPr>
      </w:pPr>
      <w:r>
        <w:rPr>
          <w:rFonts w:hint="eastAsia" w:hAnsi="宋体"/>
          <w:b/>
          <w:color w:val="auto"/>
          <w:sz w:val="24"/>
          <w:szCs w:val="24"/>
        </w:rPr>
        <w:t>7、 综合得分＝1+2+3+4+5+6</w:t>
      </w:r>
    </w:p>
    <w:p>
      <w:pPr>
        <w:autoSpaceDE w:val="0"/>
        <w:autoSpaceDN w:val="0"/>
        <w:adjustRightInd w:val="0"/>
        <w:spacing w:line="360" w:lineRule="auto"/>
        <w:jc w:val="left"/>
        <w:rPr>
          <w:rFonts w:ascii="宋体" w:hAnsi="宋体"/>
          <w:b/>
          <w:color w:val="auto"/>
          <w:kern w:val="0"/>
          <w:sz w:val="24"/>
          <w:szCs w:val="24"/>
        </w:rPr>
      </w:pPr>
      <w:r>
        <w:rPr>
          <w:rFonts w:hint="eastAsia" w:ascii="宋体" w:hAnsi="宋体"/>
          <w:b/>
          <w:color w:val="auto"/>
          <w:kern w:val="0"/>
          <w:sz w:val="24"/>
          <w:szCs w:val="24"/>
        </w:rPr>
        <w:t xml:space="preserve">     三、成交候选人推荐原则</w:t>
      </w:r>
    </w:p>
    <w:p>
      <w:pPr>
        <w:spacing w:line="360" w:lineRule="auto"/>
        <w:ind w:firstLine="480" w:firstLineChars="200"/>
        <w:rPr>
          <w:rFonts w:hint="eastAsia" w:ascii="宋体" w:hAnsi="宋体"/>
          <w:color w:val="auto"/>
          <w:kern w:val="0"/>
          <w:sz w:val="24"/>
          <w:szCs w:val="24"/>
          <w:lang w:eastAsia="zh-CN"/>
        </w:rPr>
      </w:pPr>
      <w:r>
        <w:rPr>
          <w:rFonts w:hint="eastAsia" w:ascii="宋体" w:hAnsi="宋体"/>
          <w:color w:val="auto"/>
          <w:kern w:val="0"/>
          <w:sz w:val="24"/>
          <w:szCs w:val="24"/>
        </w:rPr>
        <w:t>评委小组将根据得分由高到低排列次序（得分相同时，以公开招标报价由低到高顺序排列；得分相同且公开招标报价相同的，按技术指标优劣顺序排列）并推荐三名成交候选供应商。采购单位应当确定评委小组推荐排名第一的成交候选人为成交人。排名第一的成交候选人放弃成交、因不可抗力提出不能履行合同，或者公开招标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w:t>
      </w:r>
      <w:r>
        <w:rPr>
          <w:rFonts w:hint="eastAsia" w:ascii="宋体" w:hAnsi="宋体"/>
          <w:color w:val="auto"/>
          <w:kern w:val="0"/>
          <w:sz w:val="24"/>
          <w:szCs w:val="24"/>
          <w:lang w:eastAsia="zh-CN"/>
        </w:rPr>
        <w:t>。</w:t>
      </w:r>
    </w:p>
    <w:p>
      <w:pPr>
        <w:pStyle w:val="14"/>
        <w:rPr>
          <w:rFonts w:hint="eastAsia" w:ascii="宋体" w:hAnsi="宋体"/>
          <w:color w:val="auto"/>
          <w:kern w:val="0"/>
          <w:sz w:val="24"/>
          <w:szCs w:val="24"/>
          <w:lang w:eastAsia="zh-CN"/>
        </w:rPr>
      </w:pPr>
    </w:p>
    <w:p>
      <w:pPr>
        <w:pStyle w:val="14"/>
        <w:rPr>
          <w:rFonts w:hint="eastAsia" w:ascii="宋体" w:hAnsi="宋体"/>
          <w:color w:val="auto"/>
          <w:kern w:val="0"/>
          <w:sz w:val="24"/>
          <w:szCs w:val="24"/>
          <w:lang w:eastAsia="zh-CN"/>
        </w:rPr>
      </w:pPr>
    </w:p>
    <w:p>
      <w:pPr>
        <w:jc w:val="center"/>
        <w:rPr>
          <w:rFonts w:hint="default"/>
          <w:b/>
          <w:sz w:val="32"/>
          <w:highlight w:val="none"/>
          <w:lang w:val="en-US" w:eastAsia="zh-CN"/>
        </w:rPr>
      </w:pPr>
      <w:r>
        <w:rPr>
          <w:rFonts w:hint="eastAsia"/>
          <w:b/>
          <w:sz w:val="32"/>
          <w:highlight w:val="none"/>
          <w:lang w:val="en-US" w:eastAsia="zh-CN"/>
        </w:rPr>
        <w:t>标项2</w:t>
      </w:r>
    </w:p>
    <w:p>
      <w:pPr>
        <w:jc w:val="center"/>
        <w:rPr>
          <w:b/>
          <w:sz w:val="32"/>
          <w:highlight w:val="none"/>
        </w:rPr>
      </w:pPr>
      <w:r>
        <w:rPr>
          <w:rFonts w:hint="eastAsia"/>
          <w:b/>
          <w:sz w:val="32"/>
          <w:highlight w:val="none"/>
        </w:rPr>
        <w:t>评标办法及评分标准</w:t>
      </w:r>
    </w:p>
    <w:p>
      <w:pPr>
        <w:adjustRightInd w:val="0"/>
        <w:snapToGrid w:val="0"/>
        <w:spacing w:line="360" w:lineRule="auto"/>
        <w:rPr>
          <w:rFonts w:hint="eastAsia" w:ascii="宋体" w:hAnsi="宋体"/>
          <w:b/>
          <w:kern w:val="0"/>
          <w:sz w:val="24"/>
          <w:szCs w:val="24"/>
          <w:highlight w:val="none"/>
        </w:rPr>
      </w:pPr>
      <w:r>
        <w:rPr>
          <w:rFonts w:hint="eastAsia" w:ascii="宋体" w:hAnsi="宋体"/>
          <w:b/>
          <w:kern w:val="0"/>
          <w:sz w:val="24"/>
          <w:szCs w:val="24"/>
          <w:highlight w:val="none"/>
        </w:rPr>
        <w:t>一、评标原则</w:t>
      </w:r>
    </w:p>
    <w:p>
      <w:pPr>
        <w:adjustRightInd w:val="0"/>
        <w:snapToGrid w:val="0"/>
        <w:spacing w:line="360" w:lineRule="auto"/>
        <w:ind w:firstLine="600" w:firstLineChars="250"/>
        <w:rPr>
          <w:rFonts w:hint="eastAsia" w:ascii="宋体" w:hAnsi="宋体"/>
          <w:sz w:val="24"/>
          <w:szCs w:val="24"/>
          <w:highlight w:val="none"/>
        </w:rPr>
      </w:pPr>
      <w:r>
        <w:rPr>
          <w:rFonts w:hint="eastAsia" w:ascii="宋体" w:hAnsi="宋体"/>
          <w:sz w:val="24"/>
          <w:szCs w:val="24"/>
          <w:highlight w:val="none"/>
        </w:rPr>
        <w:t>（一） 评委组成：本招标采购项目的评标委员会由采购人代表和评审专家组成，成员人数应当为5人以上单数，其中评审专家不得少于成员总数的三分之二。</w:t>
      </w:r>
    </w:p>
    <w:p>
      <w:pPr>
        <w:adjustRightInd w:val="0"/>
        <w:snapToGrid w:val="0"/>
        <w:spacing w:line="360" w:lineRule="auto"/>
        <w:ind w:firstLine="600" w:firstLineChars="250"/>
        <w:rPr>
          <w:rFonts w:hint="eastAsia" w:ascii="宋体" w:hAnsi="宋体"/>
          <w:sz w:val="24"/>
          <w:szCs w:val="24"/>
          <w:highlight w:val="none"/>
        </w:rPr>
      </w:pPr>
      <w:r>
        <w:rPr>
          <w:rFonts w:hint="eastAsia" w:ascii="宋体" w:hAnsi="宋体"/>
          <w:sz w:val="24"/>
          <w:szCs w:val="24"/>
          <w:highlight w:val="none"/>
        </w:rPr>
        <w:t>（二）评标依据：评委将以招投标文件为评标依据，对投标人的投标报价，技术性能，售后服务，信誉资信等方面的内容按百分制打分。</w:t>
      </w:r>
    </w:p>
    <w:p>
      <w:pPr>
        <w:adjustRightInd w:val="0"/>
        <w:snapToGrid w:val="0"/>
        <w:spacing w:line="360" w:lineRule="auto"/>
        <w:ind w:firstLine="600" w:firstLineChars="250"/>
        <w:rPr>
          <w:rFonts w:hint="eastAsia" w:ascii="宋体" w:hAnsi="宋体"/>
          <w:sz w:val="24"/>
          <w:szCs w:val="24"/>
          <w:highlight w:val="none"/>
        </w:rPr>
      </w:pPr>
      <w:r>
        <w:rPr>
          <w:rFonts w:hint="eastAsia" w:ascii="宋体" w:hAnsi="宋体"/>
          <w:sz w:val="24"/>
          <w:szCs w:val="24"/>
          <w:highlight w:val="none"/>
        </w:rPr>
        <w:t>（三）评标方式：以封闭方式进行。</w:t>
      </w:r>
    </w:p>
    <w:p>
      <w:pPr>
        <w:adjustRightInd w:val="0"/>
        <w:snapToGrid w:val="0"/>
        <w:spacing w:line="360" w:lineRule="auto"/>
        <w:ind w:firstLine="600" w:firstLineChars="250"/>
        <w:rPr>
          <w:rFonts w:hint="eastAsia" w:ascii="宋体" w:hAnsi="宋体"/>
          <w:sz w:val="24"/>
          <w:szCs w:val="24"/>
          <w:highlight w:val="none"/>
        </w:rPr>
      </w:pPr>
      <w:r>
        <w:rPr>
          <w:rFonts w:hint="eastAsia" w:ascii="宋体" w:hAnsi="宋体"/>
          <w:sz w:val="24"/>
          <w:szCs w:val="24"/>
          <w:highlight w:val="none"/>
        </w:rPr>
        <w:t>（四）采购人和采购代理机构、评标委员会成员要严格遵守政府采购相关法律制度，依法履行各自职责，公正、客观、审慎地组织和参与评审工作。</w:t>
      </w:r>
    </w:p>
    <w:p>
      <w:pPr>
        <w:adjustRightInd w:val="0"/>
        <w:snapToGrid w:val="0"/>
        <w:spacing w:line="360" w:lineRule="auto"/>
        <w:rPr>
          <w:rFonts w:hint="eastAsia" w:ascii="宋体" w:hAnsi="宋体"/>
          <w:b/>
          <w:sz w:val="24"/>
          <w:szCs w:val="24"/>
          <w:highlight w:val="none"/>
        </w:rPr>
      </w:pPr>
      <w:r>
        <w:rPr>
          <w:rFonts w:hint="eastAsia" w:ascii="宋体" w:hAnsi="宋体"/>
          <w:b/>
          <w:sz w:val="24"/>
          <w:szCs w:val="24"/>
          <w:highlight w:val="none"/>
        </w:rPr>
        <w:t>二、评定方法</w:t>
      </w:r>
    </w:p>
    <w:p>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（一）对进入详评的，采用百分制综合评分法。</w:t>
      </w:r>
    </w:p>
    <w:p>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（二）计分办法（按四舍五入取至百分位）：</w:t>
      </w:r>
    </w:p>
    <w:p>
      <w:pPr>
        <w:adjustRightInd w:val="0"/>
        <w:snapToGrid w:val="0"/>
        <w:spacing w:line="360" w:lineRule="auto"/>
        <w:ind w:firstLine="481" w:firstLineChars="200"/>
        <w:outlineLvl w:val="1"/>
        <w:rPr>
          <w:rFonts w:hint="eastAsia" w:ascii="宋体" w:hAnsi="宋体"/>
          <w:b/>
          <w:sz w:val="24"/>
          <w:szCs w:val="24"/>
          <w:highlight w:val="none"/>
        </w:rPr>
      </w:pPr>
      <w:r>
        <w:rPr>
          <w:rFonts w:hint="eastAsia" w:ascii="宋体" w:hAnsi="宋体"/>
          <w:b/>
          <w:sz w:val="24"/>
          <w:szCs w:val="24"/>
          <w:highlight w:val="none"/>
        </w:rPr>
        <w:t>1、价格分…………………………………………………30分</w:t>
      </w:r>
    </w:p>
    <w:p>
      <w:pPr>
        <w:adjustRightInd w:val="0"/>
        <w:snapToGrid w:val="0"/>
        <w:spacing w:line="360" w:lineRule="auto"/>
        <w:ind w:firstLine="600" w:firstLineChars="250"/>
        <w:rPr>
          <w:rFonts w:hint="eastAsia"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1</w:t>
      </w:r>
      <w:r>
        <w:rPr>
          <w:rFonts w:hint="eastAsia" w:ascii="宋体" w:hAnsi="宋体"/>
          <w:sz w:val="24"/>
          <w:szCs w:val="24"/>
          <w:highlight w:val="none"/>
        </w:rPr>
        <w:t>）以满足招标文件要求且最后报价最低的投标人的价格为投标基准价，其投标人的报价分为最高分30分；</w:t>
      </w:r>
    </w:p>
    <w:p>
      <w:pPr>
        <w:adjustRightInd w:val="0"/>
        <w:snapToGrid w:val="0"/>
        <w:spacing w:line="360" w:lineRule="auto"/>
        <w:ind w:firstLine="600" w:firstLineChars="250"/>
        <w:rPr>
          <w:rFonts w:hint="eastAsia"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2</w:t>
      </w:r>
      <w:r>
        <w:rPr>
          <w:rFonts w:hint="eastAsia" w:ascii="宋体" w:hAnsi="宋体"/>
          <w:sz w:val="24"/>
          <w:szCs w:val="24"/>
          <w:highlight w:val="none"/>
        </w:rPr>
        <w:t>）某投标人的价格分计算公式：</w:t>
      </w:r>
    </w:p>
    <w:p>
      <w:pPr>
        <w:adjustRightInd w:val="0"/>
        <w:snapToGrid w:val="0"/>
        <w:ind w:firstLine="3240" w:firstLineChars="1350"/>
        <w:rPr>
          <w:rFonts w:hint="eastAsia" w:ascii="宋体" w:hAnsi="宋体"/>
          <w:sz w:val="24"/>
          <w:szCs w:val="24"/>
          <w:highlight w:val="none"/>
        </w:rPr>
      </w:pPr>
      <w:r>
        <w:rPr>
          <w:rFonts w:hint="eastAsia" w:ascii="宋体" w:hAnsi="宋体"/>
          <w:sz w:val="24"/>
          <w:szCs w:val="24"/>
          <w:highlight w:val="none"/>
        </w:rPr>
        <w:t xml:space="preserve">最低投标人评标报价金额 </w:t>
      </w:r>
    </w:p>
    <w:p>
      <w:pPr>
        <w:adjustRightInd w:val="0"/>
        <w:snapToGrid w:val="0"/>
        <w:ind w:firstLine="600" w:firstLineChars="250"/>
        <w:rPr>
          <w:rFonts w:hint="eastAsia" w:ascii="宋体" w:hAnsi="宋体"/>
          <w:sz w:val="24"/>
          <w:szCs w:val="24"/>
          <w:highlight w:val="none"/>
        </w:rPr>
      </w:pPr>
      <w:r>
        <w:rPr>
          <w:rFonts w:hint="eastAsia" w:ascii="宋体" w:hAnsi="宋体"/>
          <w:sz w:val="24"/>
          <w:szCs w:val="24"/>
          <w:highlight w:val="none"/>
        </w:rPr>
        <w:t xml:space="preserve">某投标人价格分 =   </w:t>
      </w:r>
      <w:r>
        <w:rPr>
          <w:rFonts w:hint="eastAsia" w:ascii="宋体" w:hAnsi="宋体"/>
          <w:sz w:val="24"/>
          <w:szCs w:val="24"/>
          <w:highlight w:val="none"/>
        </w:rPr>
        <w:fldChar w:fldCharType="begin"/>
      </w:r>
      <w:r>
        <w:instrText xml:space="preserve"> INCLUDEPICTURE "../.config/weixin/wechat/users/9df87e50fcbe8dac29f59f2d95bd5b2f/message/cache/9e20f478899dc29eb19741386f9343c8/opendata/2024-08/" \* MERGEFORMAT </w:instrText>
      </w:r>
      <w:r>
        <w:rPr>
          <w:rFonts w:hint="eastAsia" w:ascii="宋体" w:hAnsi="宋体"/>
          <w:sz w:val="24"/>
          <w:szCs w:val="24"/>
          <w:highlight w:val="none"/>
        </w:rPr>
        <w:fldChar w:fldCharType="separate"/>
      </w:r>
      <w:r>
        <w:rPr>
          <w:rFonts w:hint="eastAsia" w:ascii="宋体" w:hAnsi="宋体"/>
          <w:sz w:val="24"/>
          <w:szCs w:val="24"/>
          <w:highlight w:val="none"/>
        </w:rPr>
        <w:drawing>
          <wp:inline distT="0" distB="0" distL="114300" distR="114300">
            <wp:extent cx="1980565" cy="19050"/>
            <wp:effectExtent l="0" t="0" r="0" b="0"/>
            <wp:docPr id="5" name="图片 5"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ps1"/>
                    <pic:cNvPicPr>
                      <a:picLocks noChangeAspect="1"/>
                    </pic:cNvPicPr>
                  </pic:nvPicPr>
                  <pic:blipFill>
                    <a:blip r:embed="rId13"/>
                    <a:stretch>
                      <a:fillRect/>
                    </a:stretch>
                  </pic:blipFill>
                  <pic:spPr>
                    <a:xfrm>
                      <a:off x="0" y="0"/>
                      <a:ext cx="1980565" cy="19050"/>
                    </a:xfrm>
                    <a:prstGeom prst="rect">
                      <a:avLst/>
                    </a:prstGeom>
                    <a:noFill/>
                    <a:ln>
                      <a:noFill/>
                    </a:ln>
                  </pic:spPr>
                </pic:pic>
              </a:graphicData>
            </a:graphic>
          </wp:inline>
        </w:drawing>
      </w:r>
      <w:r>
        <w:rPr>
          <w:rFonts w:hint="eastAsia" w:ascii="宋体" w:hAnsi="宋体"/>
          <w:sz w:val="24"/>
          <w:szCs w:val="24"/>
          <w:highlight w:val="none"/>
        </w:rPr>
        <w:fldChar w:fldCharType="end"/>
      </w:r>
      <w:r>
        <w:rPr>
          <w:rFonts w:hint="eastAsia" w:ascii="宋体" w:hAnsi="宋体"/>
          <w:sz w:val="24"/>
          <w:szCs w:val="24"/>
          <w:highlight w:val="none"/>
        </w:rPr>
        <w:t xml:space="preserve">  × 30分</w:t>
      </w:r>
    </w:p>
    <w:p>
      <w:pPr>
        <w:adjustRightInd w:val="0"/>
        <w:snapToGrid w:val="0"/>
        <w:ind w:firstLine="600" w:firstLineChars="250"/>
        <w:rPr>
          <w:rFonts w:hint="eastAsia" w:ascii="宋体" w:hAnsi="宋体"/>
          <w:sz w:val="24"/>
          <w:szCs w:val="24"/>
          <w:highlight w:val="none"/>
        </w:rPr>
      </w:pPr>
      <w:r>
        <w:rPr>
          <w:rFonts w:hint="eastAsia" w:ascii="宋体" w:hAnsi="宋体"/>
          <w:sz w:val="24"/>
          <w:szCs w:val="24"/>
          <w:highlight w:val="none"/>
        </w:rPr>
        <w:t xml:space="preserve">                       某投标人评标报价金额  </w:t>
      </w:r>
    </w:p>
    <w:p>
      <w:pPr>
        <w:adjustRightInd w:val="0"/>
        <w:snapToGrid w:val="0"/>
        <w:ind w:firstLine="600" w:firstLineChars="250"/>
        <w:rPr>
          <w:rFonts w:hint="eastAsia" w:ascii="宋体" w:hAnsi="宋体"/>
          <w:sz w:val="24"/>
          <w:szCs w:val="24"/>
          <w:highlight w:val="none"/>
        </w:rPr>
      </w:pPr>
    </w:p>
    <w:p>
      <w:pPr>
        <w:adjustRightInd w:val="0"/>
        <w:snapToGrid w:val="0"/>
        <w:spacing w:line="360" w:lineRule="auto"/>
        <w:ind w:firstLine="602" w:firstLineChars="250"/>
        <w:rPr>
          <w:rFonts w:hint="eastAsia" w:ascii="宋体" w:hAnsi="宋体"/>
          <w:b/>
          <w:bCs/>
          <w:sz w:val="24"/>
          <w:szCs w:val="24"/>
          <w:highlight w:val="none"/>
        </w:rPr>
      </w:pPr>
      <w:r>
        <w:rPr>
          <w:rFonts w:hint="eastAsia" w:ascii="宋体" w:hAnsi="宋体"/>
          <w:b/>
          <w:bCs/>
          <w:sz w:val="24"/>
          <w:szCs w:val="24"/>
          <w:highlight w:val="none"/>
        </w:rPr>
        <w:t>说明：本项目根据市场报价，为了确保采购质量和维护公平的竞争，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9"/>
        <w:spacing w:line="360" w:lineRule="auto"/>
        <w:rPr>
          <w:rFonts w:hint="eastAsia" w:hAnsi="宋体"/>
          <w:b/>
          <w:bCs/>
          <w:color w:val="000000"/>
          <w:sz w:val="24"/>
          <w:szCs w:val="24"/>
          <w:highlight w:val="none"/>
        </w:rPr>
      </w:pPr>
    </w:p>
    <w:p>
      <w:pPr>
        <w:spacing w:line="360" w:lineRule="auto"/>
        <w:rPr>
          <w:rFonts w:hint="eastAsia" w:ascii="宋体" w:hAnsi="宋体"/>
          <w:b/>
          <w:color w:val="000000"/>
          <w:sz w:val="24"/>
          <w:szCs w:val="24"/>
          <w:highlight w:val="none"/>
        </w:rPr>
      </w:pPr>
      <w:r>
        <w:rPr>
          <w:rFonts w:hint="eastAsia" w:ascii="宋体" w:hAnsi="宋体"/>
          <w:b/>
          <w:color w:val="000000"/>
          <w:sz w:val="24"/>
          <w:szCs w:val="24"/>
          <w:highlight w:val="none"/>
        </w:rPr>
        <w:t>2、设备性能分…………………………………</w:t>
      </w:r>
      <w:r>
        <w:rPr>
          <w:rFonts w:hint="eastAsia" w:ascii="宋体" w:hAnsi="宋体"/>
          <w:b/>
          <w:color w:val="000000"/>
          <w:sz w:val="24"/>
          <w:szCs w:val="24"/>
          <w:highlight w:val="none"/>
          <w:lang w:val="en-US" w:eastAsia="zh-CN"/>
        </w:rPr>
        <w:t>27</w:t>
      </w:r>
      <w:r>
        <w:rPr>
          <w:rFonts w:hint="eastAsia" w:ascii="宋体" w:hAnsi="宋体"/>
          <w:b/>
          <w:color w:val="000000"/>
          <w:sz w:val="24"/>
          <w:szCs w:val="24"/>
          <w:highlight w:val="none"/>
        </w:rPr>
        <w:t>分</w:t>
      </w:r>
    </w:p>
    <w:p>
      <w:pPr>
        <w:adjustRightInd w:val="0"/>
        <w:snapToGrid w:val="0"/>
        <w:spacing w:line="360" w:lineRule="auto"/>
        <w:ind w:firstLine="600" w:firstLineChars="250"/>
        <w:rPr>
          <w:rFonts w:hint="eastAsia" w:ascii="宋体" w:hAnsi="宋体"/>
          <w:sz w:val="24"/>
          <w:szCs w:val="24"/>
          <w:highlight w:val="none"/>
        </w:rPr>
      </w:pPr>
      <w:r>
        <w:rPr>
          <w:rFonts w:hint="eastAsia" w:ascii="宋体" w:hAnsi="宋体"/>
          <w:sz w:val="24"/>
          <w:szCs w:val="24"/>
          <w:highlight w:val="none"/>
        </w:rPr>
        <w:t>本项目的采购项目需求一览表中标注“▲</w:t>
      </w:r>
      <w:r>
        <w:rPr>
          <w:rFonts w:ascii="宋体" w:hAnsi="宋体"/>
          <w:sz w:val="24"/>
          <w:szCs w:val="24"/>
          <w:highlight w:val="none"/>
        </w:rPr>
        <w:t>”</w:t>
      </w:r>
      <w:r>
        <w:rPr>
          <w:rFonts w:hint="eastAsia" w:ascii="宋体" w:hAnsi="宋体"/>
          <w:sz w:val="24"/>
          <w:szCs w:val="24"/>
          <w:highlight w:val="none"/>
        </w:rPr>
        <w:t>号的条款为实质性要求，必须按相应实质性参数</w:t>
      </w:r>
      <w:r>
        <w:rPr>
          <w:rFonts w:hint="eastAsia" w:ascii="宋体" w:hAnsi="宋体"/>
          <w:sz w:val="24"/>
          <w:szCs w:val="24"/>
          <w:highlight w:val="none"/>
          <w:lang w:val="en-US" w:eastAsia="zh-CN"/>
        </w:rPr>
        <w:t>应标</w:t>
      </w:r>
      <w:r>
        <w:rPr>
          <w:rFonts w:hint="eastAsia" w:ascii="宋体" w:hAnsi="宋体"/>
          <w:sz w:val="24"/>
          <w:szCs w:val="24"/>
          <w:highlight w:val="none"/>
        </w:rPr>
        <w:t>，否则投标无效。</w:t>
      </w:r>
    </w:p>
    <w:p>
      <w:pPr>
        <w:adjustRightInd w:val="0"/>
        <w:snapToGrid w:val="0"/>
        <w:spacing w:line="360" w:lineRule="auto"/>
        <w:ind w:firstLine="600" w:firstLineChars="250"/>
        <w:rPr>
          <w:rFonts w:hint="eastAsia" w:ascii="宋体" w:hAnsi="宋体"/>
          <w:sz w:val="24"/>
          <w:szCs w:val="24"/>
          <w:highlight w:val="none"/>
        </w:rPr>
      </w:pPr>
      <w:r>
        <w:rPr>
          <w:rFonts w:hint="eastAsia" w:ascii="宋体" w:hAnsi="宋体"/>
          <w:sz w:val="24"/>
          <w:szCs w:val="24"/>
          <w:highlight w:val="none"/>
        </w:rPr>
        <w:t>本项目的采购项目需求一览表中标注“☆”的技术参数为重要技术指标、功能项，将作为本项目中货物性能的评分依据。竞标产品所有技术指标、功能项均能满足招标文件要求，且标注“☆”的技术参数均能提供产品功能截图或产品彩页或产品技术说明书或国家认可的第三方检测机构出具的检测/检验报告等证明材料复印件并加盖单位公章，每存在一项得</w:t>
      </w:r>
      <w:r>
        <w:rPr>
          <w:rFonts w:hint="eastAsia" w:ascii="宋体" w:hAnsi="宋体"/>
          <w:sz w:val="24"/>
          <w:szCs w:val="24"/>
          <w:highlight w:val="none"/>
          <w:lang w:val="en-US" w:eastAsia="zh-CN"/>
        </w:rPr>
        <w:t>3</w:t>
      </w:r>
      <w:r>
        <w:rPr>
          <w:rFonts w:hint="eastAsia" w:ascii="宋体" w:hAnsi="宋体"/>
          <w:sz w:val="24"/>
          <w:szCs w:val="24"/>
          <w:highlight w:val="none"/>
        </w:rPr>
        <w:t>分，满分</w:t>
      </w:r>
      <w:r>
        <w:rPr>
          <w:rFonts w:hint="eastAsia" w:ascii="宋体" w:hAnsi="宋体"/>
          <w:sz w:val="24"/>
          <w:szCs w:val="24"/>
          <w:highlight w:val="none"/>
          <w:lang w:val="en-US" w:eastAsia="zh-CN"/>
        </w:rPr>
        <w:t>27</w:t>
      </w:r>
      <w:r>
        <w:rPr>
          <w:rFonts w:hint="eastAsia" w:ascii="宋体" w:hAnsi="宋体"/>
          <w:sz w:val="24"/>
          <w:szCs w:val="24"/>
          <w:highlight w:val="none"/>
        </w:rPr>
        <w:t>分；（说明：标注“☆”的技术参数在响应文件中逐点应答出证明材料具体位置。）。</w:t>
      </w:r>
    </w:p>
    <w:p>
      <w:pPr>
        <w:spacing w:line="360" w:lineRule="auto"/>
        <w:rPr>
          <w:rFonts w:hint="eastAsia" w:ascii="宋体" w:hAnsi="宋体"/>
          <w:b/>
          <w:color w:val="000000"/>
          <w:sz w:val="24"/>
          <w:szCs w:val="24"/>
          <w:highlight w:val="none"/>
        </w:rPr>
      </w:pPr>
      <w:r>
        <w:rPr>
          <w:rFonts w:hint="eastAsia" w:ascii="宋体" w:hAnsi="宋体"/>
          <w:b/>
          <w:color w:val="000000"/>
          <w:sz w:val="24"/>
          <w:szCs w:val="24"/>
          <w:highlight w:val="none"/>
        </w:rPr>
        <w:t>2、实施方案分……</w:t>
      </w:r>
      <w:r>
        <w:rPr>
          <w:rFonts w:hint="eastAsia" w:ascii="宋体" w:hAnsi="宋体"/>
          <w:b/>
          <w:bCs/>
          <w:color w:val="000000"/>
          <w:sz w:val="24"/>
          <w:szCs w:val="24"/>
          <w:highlight w:val="none"/>
        </w:rPr>
        <w:t>………</w:t>
      </w:r>
      <w:r>
        <w:rPr>
          <w:rFonts w:hint="eastAsia" w:ascii="宋体" w:hAnsi="宋体"/>
          <w:b/>
          <w:color w:val="000000"/>
          <w:sz w:val="24"/>
          <w:szCs w:val="24"/>
          <w:highlight w:val="none"/>
        </w:rPr>
        <w:t>………</w:t>
      </w:r>
      <w:r>
        <w:rPr>
          <w:rFonts w:hint="eastAsia" w:ascii="宋体" w:hAnsi="宋体"/>
          <w:b/>
          <w:bCs/>
          <w:color w:val="000000"/>
          <w:sz w:val="24"/>
          <w:szCs w:val="24"/>
          <w:highlight w:val="none"/>
        </w:rPr>
        <w:t>…</w:t>
      </w:r>
      <w:r>
        <w:rPr>
          <w:rFonts w:hint="eastAsia" w:ascii="宋体" w:hAnsi="宋体"/>
          <w:b/>
          <w:color w:val="000000"/>
          <w:sz w:val="24"/>
          <w:szCs w:val="24"/>
          <w:highlight w:val="none"/>
        </w:rPr>
        <w:t>……………18分</w:t>
      </w:r>
    </w:p>
    <w:p>
      <w:pPr>
        <w:pStyle w:val="29"/>
        <w:spacing w:line="360" w:lineRule="auto"/>
        <w:ind w:firstLine="420"/>
        <w:rPr>
          <w:rFonts w:hint="eastAsia" w:hAnsi="宋体"/>
          <w:bCs/>
          <w:color w:val="000000"/>
          <w:sz w:val="24"/>
          <w:szCs w:val="24"/>
          <w:highlight w:val="none"/>
        </w:rPr>
      </w:pPr>
      <w:r>
        <w:rPr>
          <w:rFonts w:hint="eastAsia" w:hAnsi="宋体"/>
          <w:bCs/>
          <w:color w:val="000000"/>
          <w:sz w:val="24"/>
          <w:szCs w:val="24"/>
          <w:highlight w:val="none"/>
        </w:rPr>
        <w:t>评委在打分前根据投标文件中的保证实施的技术力量安排、技术服务、技术培训的服务内容和措施、建议的安装、调试、验收方法或方案等所属档次，由评委在相应档次内独立打分。</w:t>
      </w:r>
    </w:p>
    <w:p>
      <w:pPr>
        <w:snapToGrid w:val="0"/>
        <w:spacing w:line="360" w:lineRule="auto"/>
        <w:ind w:firstLine="480" w:firstLineChars="200"/>
        <w:jc w:val="left"/>
        <w:rPr>
          <w:rFonts w:hint="eastAsia" w:ascii="宋体" w:hAnsi="宋体" w:eastAsia="宋体" w:cs="Times New Roman"/>
          <w:bCs/>
          <w:kern w:val="0"/>
          <w:sz w:val="24"/>
          <w:szCs w:val="24"/>
          <w:highlight w:val="none"/>
        </w:rPr>
      </w:pPr>
      <w:r>
        <w:rPr>
          <w:rFonts w:hint="eastAsia" w:ascii="宋体" w:hAnsi="宋体"/>
          <w:bCs/>
          <w:kern w:val="0"/>
          <w:sz w:val="24"/>
          <w:szCs w:val="24"/>
          <w:highlight w:val="none"/>
        </w:rPr>
        <w:t>一档（</w:t>
      </w:r>
      <w:r>
        <w:rPr>
          <w:rFonts w:hint="eastAsia" w:ascii="宋体" w:hAnsi="宋体"/>
          <w:bCs/>
          <w:kern w:val="0"/>
          <w:sz w:val="24"/>
          <w:szCs w:val="24"/>
          <w:highlight w:val="none"/>
          <w:lang w:val="en-US" w:eastAsia="zh-CN"/>
        </w:rPr>
        <w:t>6</w:t>
      </w:r>
      <w:r>
        <w:rPr>
          <w:rFonts w:hint="eastAsia" w:ascii="宋体" w:hAnsi="宋体"/>
          <w:bCs/>
          <w:kern w:val="0"/>
          <w:sz w:val="24"/>
          <w:szCs w:val="24"/>
          <w:highlight w:val="none"/>
        </w:rPr>
        <w:t>分）：项目实施方案简单，保证项目实施的技术力量和人力资源安排基本满足要求，技术服务、技术培训的服务内容和措施一般</w:t>
      </w:r>
      <w:r>
        <w:rPr>
          <w:rFonts w:hint="eastAsia" w:ascii="宋体" w:hAnsi="宋体"/>
          <w:color w:val="000000"/>
          <w:szCs w:val="24"/>
          <w:highlight w:val="none"/>
        </w:rPr>
        <w:t>，</w:t>
      </w:r>
      <w:r>
        <w:rPr>
          <w:rFonts w:hint="eastAsia" w:ascii="宋体" w:hAnsi="宋体" w:eastAsia="宋体" w:cs="Times New Roman"/>
          <w:bCs/>
          <w:kern w:val="0"/>
          <w:sz w:val="24"/>
          <w:szCs w:val="24"/>
          <w:highlight w:val="none"/>
        </w:rPr>
        <w:t>进入一档。</w:t>
      </w:r>
    </w:p>
    <w:p>
      <w:pPr>
        <w:snapToGrid w:val="0"/>
        <w:spacing w:line="360" w:lineRule="auto"/>
        <w:ind w:firstLine="480" w:firstLineChars="200"/>
        <w:jc w:val="left"/>
        <w:rPr>
          <w:rFonts w:hint="eastAsia" w:ascii="宋体" w:hAnsi="宋体" w:eastAsia="宋体" w:cs="Times New Roman"/>
          <w:bCs/>
          <w:kern w:val="0"/>
          <w:sz w:val="24"/>
          <w:szCs w:val="24"/>
          <w:highlight w:val="none"/>
        </w:rPr>
      </w:pPr>
      <w:r>
        <w:rPr>
          <w:rFonts w:hint="eastAsia" w:ascii="宋体" w:hAnsi="宋体"/>
          <w:bCs/>
          <w:kern w:val="0"/>
          <w:sz w:val="24"/>
          <w:szCs w:val="24"/>
          <w:highlight w:val="none"/>
        </w:rPr>
        <w:t>二档（</w:t>
      </w:r>
      <w:r>
        <w:rPr>
          <w:rFonts w:hint="eastAsia" w:ascii="宋体" w:hAnsi="宋体"/>
          <w:bCs/>
          <w:kern w:val="0"/>
          <w:sz w:val="24"/>
          <w:szCs w:val="24"/>
          <w:highlight w:val="none"/>
          <w:lang w:val="en-US" w:eastAsia="zh-CN"/>
        </w:rPr>
        <w:t>12</w:t>
      </w:r>
      <w:r>
        <w:rPr>
          <w:rFonts w:hint="eastAsia" w:ascii="宋体" w:hAnsi="宋体"/>
          <w:bCs/>
          <w:kern w:val="0"/>
          <w:sz w:val="24"/>
          <w:szCs w:val="24"/>
          <w:highlight w:val="none"/>
        </w:rPr>
        <w:t>分）：项目实施方案较详细，保证项目实施的技术力量和人力资源安排满足项目实施要求，技术服务、技术培训的服务内容和措施较完善</w:t>
      </w:r>
      <w:r>
        <w:rPr>
          <w:rFonts w:hint="eastAsia" w:ascii="宋体" w:hAnsi="宋体" w:eastAsia="宋体" w:cs="Times New Roman"/>
          <w:bCs/>
          <w:kern w:val="0"/>
          <w:sz w:val="24"/>
          <w:szCs w:val="24"/>
          <w:highlight w:val="none"/>
          <w:lang w:val="en-US" w:eastAsia="zh-CN"/>
        </w:rPr>
        <w:t>,</w:t>
      </w:r>
      <w:r>
        <w:rPr>
          <w:rFonts w:hint="eastAsia" w:ascii="宋体" w:hAnsi="宋体" w:eastAsia="宋体" w:cs="Times New Roman"/>
          <w:bCs/>
          <w:kern w:val="0"/>
          <w:sz w:val="24"/>
          <w:szCs w:val="24"/>
          <w:highlight w:val="none"/>
        </w:rPr>
        <w:t>进入二档。</w:t>
      </w:r>
    </w:p>
    <w:p>
      <w:pPr>
        <w:snapToGrid w:val="0"/>
        <w:spacing w:line="360" w:lineRule="auto"/>
        <w:ind w:firstLine="480" w:firstLineChars="200"/>
        <w:jc w:val="left"/>
        <w:rPr>
          <w:rFonts w:hint="eastAsia" w:ascii="宋体" w:hAnsi="宋体"/>
          <w:bCs/>
          <w:sz w:val="24"/>
          <w:szCs w:val="24"/>
          <w:highlight w:val="none"/>
        </w:rPr>
      </w:pPr>
      <w:r>
        <w:rPr>
          <w:rFonts w:hint="eastAsia" w:ascii="宋体" w:hAnsi="宋体"/>
          <w:bCs/>
          <w:kern w:val="0"/>
          <w:sz w:val="24"/>
          <w:szCs w:val="24"/>
          <w:highlight w:val="none"/>
        </w:rPr>
        <w:t>三档（</w:t>
      </w:r>
      <w:r>
        <w:rPr>
          <w:rFonts w:hint="eastAsia" w:ascii="宋体" w:hAnsi="宋体"/>
          <w:bCs/>
          <w:kern w:val="0"/>
          <w:sz w:val="24"/>
          <w:szCs w:val="24"/>
          <w:highlight w:val="none"/>
          <w:lang w:val="en-US" w:eastAsia="zh-CN"/>
        </w:rPr>
        <w:t>18</w:t>
      </w:r>
      <w:r>
        <w:rPr>
          <w:rFonts w:hint="eastAsia" w:ascii="宋体" w:hAnsi="宋体"/>
          <w:bCs/>
          <w:kern w:val="0"/>
          <w:sz w:val="24"/>
          <w:szCs w:val="24"/>
          <w:highlight w:val="none"/>
        </w:rPr>
        <w:t>分）：项目实施方案详实，方案能清楚的表明对本项目的熟悉程度，技术路线清晰可信，保证项目实施的技术力量安排充足，技术服务、技术培训的服务内容和措施完善，建议的安装、调试、验收方法或方案同比更完善有效、更优化、切实可行的，且投标人或投标人所投核心产品厂商具有</w:t>
      </w:r>
      <w:r>
        <w:rPr>
          <w:rFonts w:hint="eastAsia" w:ascii="宋体" w:hAnsi="宋体"/>
          <w:bCs/>
          <w:kern w:val="0"/>
          <w:sz w:val="24"/>
          <w:szCs w:val="24"/>
          <w:highlight w:val="none"/>
          <w:lang w:val="en-US" w:eastAsia="zh-CN"/>
        </w:rPr>
        <w:t>业务连续性管理体系认证和信息技术服务管理体系认证</w:t>
      </w:r>
      <w:r>
        <w:rPr>
          <w:rFonts w:hint="eastAsia" w:ascii="宋体" w:hAnsi="宋体"/>
          <w:bCs/>
          <w:kern w:val="0"/>
          <w:sz w:val="24"/>
          <w:szCs w:val="24"/>
          <w:highlight w:val="none"/>
        </w:rPr>
        <w:t>，能提供相关证明复印件并加盖单位公章，进入三档。</w:t>
      </w:r>
    </w:p>
    <w:p>
      <w:pPr>
        <w:pStyle w:val="29"/>
        <w:spacing w:line="360" w:lineRule="auto"/>
        <w:rPr>
          <w:rFonts w:hint="eastAsia" w:hAnsi="宋体"/>
          <w:b/>
          <w:bCs/>
          <w:color w:val="000000"/>
          <w:sz w:val="24"/>
          <w:szCs w:val="24"/>
          <w:highlight w:val="none"/>
        </w:rPr>
      </w:pPr>
      <w:r>
        <w:rPr>
          <w:rFonts w:hint="eastAsia" w:hAnsi="宋体"/>
          <w:b/>
          <w:bCs/>
          <w:color w:val="000000"/>
          <w:sz w:val="24"/>
          <w:szCs w:val="24"/>
          <w:highlight w:val="none"/>
        </w:rPr>
        <w:t>4、</w:t>
      </w:r>
      <w:r>
        <w:rPr>
          <w:rFonts w:hint="eastAsia" w:hAnsi="宋体"/>
          <w:b/>
          <w:color w:val="000000"/>
          <w:sz w:val="24"/>
          <w:szCs w:val="24"/>
          <w:highlight w:val="none"/>
        </w:rPr>
        <w:t>售后服务方案分</w:t>
      </w:r>
      <w:r>
        <w:rPr>
          <w:rFonts w:hint="eastAsia" w:hAnsi="宋体"/>
          <w:b/>
          <w:bCs/>
          <w:color w:val="000000"/>
          <w:sz w:val="24"/>
          <w:szCs w:val="24"/>
          <w:highlight w:val="none"/>
        </w:rPr>
        <w:t>…………………………………18分</w:t>
      </w:r>
    </w:p>
    <w:p>
      <w:pPr>
        <w:widowControl/>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评委根据招标文件售后服务要求并结合投标人售后服务方案内容的完整性、可行性、保质期、到达故障现场时间、故障出现解决方案、免费技术培训方案、保修期外维修方案等由评委集体讨论确定各投标人所属档次，由评委在相应档次内独立打分。</w:t>
      </w:r>
    </w:p>
    <w:p>
      <w:pPr>
        <w:widowControl/>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一档（</w:t>
      </w:r>
      <w:r>
        <w:rPr>
          <w:rFonts w:hint="eastAsia" w:ascii="宋体" w:hAnsi="宋体"/>
          <w:color w:val="000000"/>
          <w:sz w:val="24"/>
          <w:szCs w:val="24"/>
          <w:highlight w:val="none"/>
          <w:lang w:val="en-US" w:eastAsia="zh-CN"/>
        </w:rPr>
        <w:t>6</w:t>
      </w:r>
      <w:r>
        <w:rPr>
          <w:rFonts w:hint="eastAsia" w:ascii="宋体" w:hAnsi="宋体"/>
          <w:color w:val="000000"/>
          <w:sz w:val="24"/>
          <w:szCs w:val="24"/>
          <w:highlight w:val="none"/>
        </w:rPr>
        <w:t>分）：售后服务方案基本合理、可行，保障响应措施、服务经验一般，方案一般的，进入一档。</w:t>
      </w:r>
    </w:p>
    <w:p>
      <w:pPr>
        <w:widowControl/>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二档（</w:t>
      </w:r>
      <w:r>
        <w:rPr>
          <w:rFonts w:hint="eastAsia" w:ascii="宋体" w:hAnsi="宋体"/>
          <w:color w:val="000000"/>
          <w:sz w:val="24"/>
          <w:szCs w:val="24"/>
          <w:highlight w:val="none"/>
          <w:lang w:val="en-US" w:eastAsia="zh-CN"/>
        </w:rPr>
        <w:t>12</w:t>
      </w:r>
      <w:r>
        <w:rPr>
          <w:rFonts w:hint="eastAsia" w:ascii="宋体" w:hAnsi="宋体"/>
          <w:color w:val="000000"/>
          <w:sz w:val="24"/>
          <w:szCs w:val="24"/>
          <w:highlight w:val="none"/>
        </w:rPr>
        <w:t>分）：满足一档的情况下，售后服务方案比较细致、合理、可行，人员配置较好，保障响应措施较有力，服务经验较丰富，且投标人或投标人所投的核心产品厂商具有充足的售后资源及规范的管理制度，按照《CTEAS售后服务体系完善程度认证评价规范》（CTEAS1001-2017）建立完善、成熟的商品售后服务工作体系，提供由售后服务体系完善程度认证七星证书的，提供相关证书复印件并加盖公章，满足以上相关要求的，进入二档。</w:t>
      </w:r>
    </w:p>
    <w:p>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三档（</w:t>
      </w:r>
      <w:r>
        <w:rPr>
          <w:rFonts w:hint="eastAsia" w:ascii="宋体" w:hAnsi="宋体"/>
          <w:color w:val="000000"/>
          <w:sz w:val="24"/>
          <w:szCs w:val="24"/>
          <w:highlight w:val="none"/>
          <w:lang w:val="en-US" w:eastAsia="zh-CN"/>
        </w:rPr>
        <w:t>18</w:t>
      </w:r>
      <w:r>
        <w:rPr>
          <w:rFonts w:hint="eastAsia" w:ascii="宋体" w:hAnsi="宋体"/>
          <w:color w:val="000000"/>
          <w:sz w:val="24"/>
          <w:szCs w:val="24"/>
          <w:highlight w:val="none"/>
        </w:rPr>
        <w:t>）：满足二档的情况下，售后服务方案论述准确，售后保障措施表述清晰、完整、严谨、合理、先进、具体、有效、成熟；故障响应及达到故障现场时间优于采购要求，对系统的维护提供整体维护解决方案和运行维护应急预案，提供一站式、全面、专业的本地化维护服务，提供系统维护信息档案管理，有良好的免费培训计划和定期回访计划，方案优秀，为了确保该项目有完整的售后服务，所投</w:t>
      </w:r>
      <w:r>
        <w:rPr>
          <w:rFonts w:hint="eastAsia" w:ascii="宋体" w:hAnsi="宋体"/>
          <w:color w:val="000000"/>
          <w:sz w:val="24"/>
          <w:szCs w:val="24"/>
          <w:highlight w:val="none"/>
          <w:lang w:eastAsia="zh-CN"/>
        </w:rPr>
        <w:t>核心</w:t>
      </w:r>
      <w:r>
        <w:rPr>
          <w:rFonts w:hint="eastAsia" w:ascii="宋体" w:hAnsi="宋体"/>
          <w:color w:val="000000"/>
          <w:sz w:val="24"/>
          <w:szCs w:val="24"/>
          <w:highlight w:val="none"/>
        </w:rPr>
        <w:t>产品生产厂家在</w:t>
      </w:r>
      <w:r>
        <w:rPr>
          <w:rFonts w:hint="eastAsia" w:ascii="宋体" w:hAnsi="宋体"/>
          <w:color w:val="000000"/>
          <w:sz w:val="24"/>
          <w:szCs w:val="24"/>
          <w:highlight w:val="none"/>
          <w:lang w:val="en-US" w:eastAsia="zh-CN"/>
        </w:rPr>
        <w:t>项目地市区域有官方授权的售后服务站，且在官方网站有体现</w:t>
      </w:r>
      <w:r>
        <w:rPr>
          <w:rFonts w:hint="eastAsia" w:ascii="宋体" w:hAnsi="宋体"/>
          <w:color w:val="000000"/>
          <w:sz w:val="24"/>
          <w:szCs w:val="24"/>
          <w:highlight w:val="none"/>
        </w:rPr>
        <w:t>，提供相关证明复印件并加盖单位公章，进入三档。</w:t>
      </w:r>
    </w:p>
    <w:p>
      <w:pPr>
        <w:spacing w:line="360" w:lineRule="auto"/>
        <w:rPr>
          <w:rFonts w:hint="eastAsia" w:ascii="宋体" w:hAnsi="宋体"/>
          <w:b/>
          <w:bCs/>
          <w:color w:val="000000"/>
          <w:sz w:val="24"/>
          <w:szCs w:val="24"/>
          <w:highlight w:val="none"/>
        </w:rPr>
      </w:pPr>
      <w:r>
        <w:rPr>
          <w:rFonts w:hint="eastAsia" w:ascii="宋体" w:hAnsi="宋体"/>
          <w:b/>
          <w:bCs/>
          <w:color w:val="000000"/>
          <w:sz w:val="24"/>
          <w:szCs w:val="24"/>
          <w:highlight w:val="none"/>
        </w:rPr>
        <w:t>5、商务分…………………………………</w:t>
      </w:r>
      <w:r>
        <w:rPr>
          <w:rFonts w:hint="eastAsia" w:ascii="宋体" w:hAnsi="宋体"/>
          <w:b/>
          <w:bCs/>
          <w:color w:val="000000"/>
          <w:sz w:val="24"/>
          <w:szCs w:val="24"/>
          <w:highlight w:val="none"/>
          <w:lang w:val="en-US" w:eastAsia="zh-CN"/>
        </w:rPr>
        <w:t>5</w:t>
      </w:r>
      <w:r>
        <w:rPr>
          <w:rFonts w:hint="eastAsia" w:ascii="宋体" w:hAnsi="宋体"/>
          <w:b/>
          <w:bCs/>
          <w:color w:val="000000"/>
          <w:sz w:val="24"/>
          <w:szCs w:val="24"/>
          <w:highlight w:val="none"/>
        </w:rPr>
        <w:t>分</w:t>
      </w:r>
    </w:p>
    <w:p>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为保证项目产品的质量，投标人或投标人所投</w:t>
      </w:r>
      <w:r>
        <w:rPr>
          <w:rFonts w:hint="eastAsia" w:ascii="宋体" w:hAnsi="宋体" w:eastAsia="宋体" w:cs="Times New Roman"/>
          <w:color w:val="000000"/>
          <w:sz w:val="24"/>
          <w:szCs w:val="24"/>
          <w:highlight w:val="none"/>
        </w:rPr>
        <w:t>的“台式电脑”制造商通过ISO9</w:t>
      </w:r>
      <w:r>
        <w:rPr>
          <w:rFonts w:hint="eastAsia" w:ascii="宋体" w:hAnsi="宋体"/>
          <w:color w:val="000000"/>
          <w:sz w:val="24"/>
          <w:szCs w:val="24"/>
          <w:highlight w:val="none"/>
        </w:rPr>
        <w:t>001质量管理体系认证、ISO45001职业健康安全认证、整机质量测试环境具备中国合格评定认可委员会（CNAS）实验室认可证书、ITSS售后运维能力成熟度一级</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省级以上高新技术企业</w:t>
      </w:r>
      <w:r>
        <w:rPr>
          <w:rFonts w:hint="eastAsia" w:ascii="宋体" w:hAnsi="宋体"/>
          <w:color w:val="000000"/>
          <w:sz w:val="24"/>
          <w:szCs w:val="24"/>
          <w:highlight w:val="none"/>
        </w:rPr>
        <w:t>。每通过一个得1分(投标文件中提供有效的认证证书复印件，否则不得分)，满分</w:t>
      </w: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分。</w:t>
      </w:r>
    </w:p>
    <w:p>
      <w:pPr>
        <w:pStyle w:val="29"/>
        <w:spacing w:line="360" w:lineRule="auto"/>
        <w:jc w:val="left"/>
        <w:outlineLvl w:val="0"/>
        <w:rPr>
          <w:rFonts w:hint="eastAsia" w:hAnsi="宋体"/>
          <w:b/>
          <w:color w:val="000000"/>
          <w:sz w:val="24"/>
          <w:szCs w:val="24"/>
          <w:highlight w:val="none"/>
        </w:rPr>
      </w:pPr>
      <w:r>
        <w:rPr>
          <w:rFonts w:hint="eastAsia" w:hAnsi="宋体"/>
          <w:b/>
          <w:color w:val="000000"/>
          <w:sz w:val="24"/>
          <w:szCs w:val="24"/>
          <w:highlight w:val="none"/>
        </w:rPr>
        <w:t>6、政策功能分（节能、环保、产品等）……………………2分</w:t>
      </w:r>
    </w:p>
    <w:p>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（1）投标产品纳入《财政部 发展改革委 生态环境部 市场监管总局关于调整优化节能产品 环境标志产品政府采购执行机制的通知》（财库〔2019〕9号）中节能产品政府采购品目清单的（适用于非强制采购节能产品，产品提供投标产品所属节能产品认证证书复印件并加盖单位公章），每项得</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分，满分 1 分。</w:t>
      </w:r>
    </w:p>
    <w:p>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（2）投标产品纳入《财政部发展改革委 生态环境部 市场监管总局关于调整优化节能产品 环境标志产品政府采购执行机制的通知》（财库〔2019〕9号）中环境标志产品政府采购品目清单的（提供投标产品所属环境标志产品认证证书复印件并加盖单位公章），每项得</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分，满分 1 分。</w:t>
      </w:r>
    </w:p>
    <w:p>
      <w:pPr>
        <w:pStyle w:val="29"/>
        <w:spacing w:line="360" w:lineRule="auto"/>
        <w:jc w:val="left"/>
        <w:outlineLvl w:val="0"/>
        <w:rPr>
          <w:rFonts w:hAnsi="宋体"/>
          <w:b/>
          <w:color w:val="000000"/>
          <w:sz w:val="24"/>
          <w:szCs w:val="24"/>
          <w:highlight w:val="none"/>
        </w:rPr>
      </w:pPr>
      <w:r>
        <w:rPr>
          <w:rFonts w:hint="eastAsia" w:hAnsi="宋体"/>
          <w:b/>
          <w:color w:val="000000"/>
          <w:sz w:val="24"/>
          <w:szCs w:val="24"/>
          <w:highlight w:val="none"/>
        </w:rPr>
        <w:t>7、 综合得分＝1+2+3+4+5+6</w:t>
      </w:r>
    </w:p>
    <w:p>
      <w:pPr>
        <w:autoSpaceDE w:val="0"/>
        <w:autoSpaceDN w:val="0"/>
        <w:adjustRightInd w:val="0"/>
        <w:spacing w:line="360" w:lineRule="auto"/>
        <w:jc w:val="left"/>
        <w:rPr>
          <w:rFonts w:hint="eastAsia" w:ascii="宋体" w:hAnsi="宋体"/>
          <w:b/>
          <w:color w:val="000000"/>
          <w:kern w:val="0"/>
          <w:sz w:val="24"/>
          <w:szCs w:val="24"/>
          <w:highlight w:val="none"/>
        </w:rPr>
      </w:pPr>
      <w:r>
        <w:rPr>
          <w:rFonts w:hint="eastAsia" w:ascii="宋体" w:hAnsi="宋体"/>
          <w:b/>
          <w:color w:val="000000"/>
          <w:kern w:val="0"/>
          <w:sz w:val="24"/>
          <w:szCs w:val="24"/>
          <w:highlight w:val="none"/>
        </w:rPr>
        <w:t xml:space="preserve">     三、成交候选人推荐原则</w:t>
      </w:r>
    </w:p>
    <w:p>
      <w:pPr>
        <w:spacing w:line="360" w:lineRule="auto"/>
        <w:ind w:firstLine="480" w:firstLineChars="200"/>
        <w:rPr>
          <w:rFonts w:hint="eastAsia" w:ascii="宋体" w:hAnsi="宋体"/>
          <w:color w:val="000000"/>
          <w:sz w:val="24"/>
          <w:szCs w:val="24"/>
          <w:highlight w:val="none"/>
        </w:rPr>
      </w:pPr>
      <w:r>
        <w:rPr>
          <w:rFonts w:hint="eastAsia" w:ascii="宋体" w:hAnsi="宋体"/>
          <w:color w:val="000000"/>
          <w:kern w:val="0"/>
          <w:sz w:val="24"/>
          <w:szCs w:val="24"/>
          <w:highlight w:val="none"/>
        </w:rPr>
        <w:t>评委小组将根据得分由高到低排列次序（得分相同时，以公开招标报价由低到高顺序排列；得分相同且公开招标报价相同的，按技术指标优劣顺序排列）并推荐三名成交候选供应商。采购单位应当确定评委小组推荐排名第一的成交候选人为成交人。排名第一的成交候选人放弃成交、因不可抗力提出不能履行合同，或者公开招标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w:t>
      </w:r>
    </w:p>
    <w:p>
      <w:pPr>
        <w:pStyle w:val="14"/>
        <w:rPr>
          <w:rFonts w:hint="eastAsia" w:ascii="宋体" w:hAnsi="宋体"/>
          <w:color w:val="auto"/>
          <w:kern w:val="0"/>
          <w:sz w:val="24"/>
          <w:szCs w:val="24"/>
          <w:lang w:eastAsia="zh-CN"/>
        </w:rPr>
        <w:sectPr>
          <w:pgSz w:w="11906" w:h="16838"/>
          <w:pgMar w:top="851" w:right="851" w:bottom="1418" w:left="851" w:header="851" w:footer="238" w:gutter="0"/>
          <w:cols w:space="720" w:num="1"/>
          <w:docGrid w:type="lines" w:linePitch="312" w:charSpace="0"/>
        </w:sectPr>
      </w:pPr>
    </w:p>
    <w:p>
      <w:pPr>
        <w:pStyle w:val="29"/>
        <w:snapToGrid w:val="0"/>
        <w:spacing w:line="600" w:lineRule="exact"/>
        <w:rPr>
          <w:rFonts w:hAnsi="宋体" w:cs="宋体"/>
          <w:b/>
          <w:sz w:val="36"/>
          <w:szCs w:val="36"/>
        </w:rPr>
      </w:pPr>
    </w:p>
    <w:p>
      <w:pPr>
        <w:pStyle w:val="29"/>
        <w:snapToGrid w:val="0"/>
        <w:spacing w:line="600" w:lineRule="exact"/>
        <w:jc w:val="center"/>
        <w:rPr>
          <w:rFonts w:hAnsi="宋体" w:cs="宋体"/>
          <w:b/>
          <w:sz w:val="36"/>
          <w:szCs w:val="36"/>
        </w:rPr>
      </w:pPr>
    </w:p>
    <w:p>
      <w:pPr>
        <w:pStyle w:val="29"/>
        <w:snapToGrid w:val="0"/>
        <w:spacing w:line="600" w:lineRule="exact"/>
        <w:jc w:val="center"/>
        <w:rPr>
          <w:rFonts w:hAnsi="宋体" w:cs="宋体"/>
          <w:b/>
          <w:sz w:val="36"/>
          <w:szCs w:val="36"/>
        </w:rPr>
      </w:pPr>
    </w:p>
    <w:p>
      <w:pPr>
        <w:pStyle w:val="29"/>
        <w:snapToGrid w:val="0"/>
        <w:spacing w:line="600" w:lineRule="exact"/>
        <w:jc w:val="center"/>
        <w:rPr>
          <w:rFonts w:hAnsi="宋体" w:cs="宋体"/>
          <w:b/>
          <w:sz w:val="36"/>
          <w:szCs w:val="36"/>
        </w:rPr>
      </w:pPr>
    </w:p>
    <w:p>
      <w:pPr>
        <w:pStyle w:val="29"/>
        <w:snapToGrid w:val="0"/>
        <w:spacing w:line="600" w:lineRule="exact"/>
        <w:jc w:val="center"/>
        <w:rPr>
          <w:rFonts w:hAnsi="宋体" w:cs="宋体"/>
          <w:b/>
          <w:sz w:val="36"/>
          <w:szCs w:val="36"/>
        </w:rPr>
      </w:pPr>
    </w:p>
    <w:p>
      <w:pPr>
        <w:pStyle w:val="29"/>
        <w:snapToGrid w:val="0"/>
        <w:spacing w:line="600" w:lineRule="exact"/>
        <w:jc w:val="center"/>
        <w:rPr>
          <w:rFonts w:hAnsi="宋体" w:cs="宋体"/>
          <w:b/>
          <w:sz w:val="36"/>
          <w:szCs w:val="36"/>
        </w:rPr>
      </w:pPr>
    </w:p>
    <w:p>
      <w:pPr>
        <w:pStyle w:val="29"/>
        <w:snapToGrid w:val="0"/>
        <w:spacing w:line="600" w:lineRule="exact"/>
        <w:jc w:val="center"/>
        <w:rPr>
          <w:rFonts w:hAnsi="宋体" w:cs="宋体"/>
          <w:b/>
          <w:sz w:val="36"/>
          <w:szCs w:val="36"/>
        </w:rPr>
      </w:pPr>
    </w:p>
    <w:p>
      <w:pPr>
        <w:pStyle w:val="29"/>
        <w:snapToGrid w:val="0"/>
        <w:spacing w:line="600" w:lineRule="exact"/>
        <w:jc w:val="center"/>
        <w:rPr>
          <w:rFonts w:hAnsi="宋体" w:cs="宋体"/>
          <w:b/>
          <w:sz w:val="36"/>
          <w:szCs w:val="36"/>
        </w:rPr>
      </w:pPr>
    </w:p>
    <w:p>
      <w:pPr>
        <w:pStyle w:val="29"/>
        <w:snapToGrid w:val="0"/>
        <w:spacing w:line="600" w:lineRule="exact"/>
        <w:jc w:val="center"/>
        <w:rPr>
          <w:rFonts w:hAnsi="宋体" w:cs="宋体"/>
          <w:b/>
          <w:sz w:val="36"/>
          <w:szCs w:val="36"/>
        </w:rPr>
      </w:pPr>
    </w:p>
    <w:p>
      <w:pPr>
        <w:pStyle w:val="29"/>
        <w:snapToGrid w:val="0"/>
        <w:spacing w:line="600" w:lineRule="exact"/>
        <w:jc w:val="center"/>
        <w:outlineLvl w:val="0"/>
        <w:rPr>
          <w:rFonts w:hAnsi="宋体" w:cs="宋体"/>
          <w:b/>
          <w:sz w:val="36"/>
          <w:szCs w:val="36"/>
        </w:rPr>
      </w:pPr>
      <w:bookmarkStart w:id="57" w:name="_Toc163469138"/>
      <w:r>
        <w:rPr>
          <w:rFonts w:hint="eastAsia" w:hAnsi="宋体" w:cs="宋体"/>
          <w:b/>
          <w:sz w:val="36"/>
          <w:szCs w:val="36"/>
        </w:rPr>
        <w:t>第五章 合同文本（格式）</w:t>
      </w:r>
      <w:bookmarkEnd w:id="57"/>
    </w:p>
    <w:p>
      <w:pPr>
        <w:pStyle w:val="29"/>
        <w:spacing w:line="600" w:lineRule="exact"/>
        <w:jc w:val="center"/>
        <w:rPr>
          <w:rFonts w:hAnsi="宋体" w:cs="宋体"/>
          <w:b/>
          <w:sz w:val="52"/>
          <w:szCs w:val="52"/>
        </w:rPr>
      </w:pPr>
    </w:p>
    <w:p>
      <w:pPr>
        <w:pStyle w:val="29"/>
        <w:spacing w:line="600" w:lineRule="exact"/>
        <w:rPr>
          <w:rFonts w:hAnsi="宋体" w:cs="宋体"/>
          <w:b/>
          <w:sz w:val="52"/>
          <w:szCs w:val="52"/>
        </w:rPr>
      </w:pPr>
    </w:p>
    <w:p>
      <w:pPr>
        <w:pStyle w:val="29"/>
        <w:spacing w:line="600" w:lineRule="exact"/>
        <w:rPr>
          <w:rFonts w:hAnsi="宋体" w:cs="宋体"/>
          <w:b/>
          <w:sz w:val="52"/>
          <w:szCs w:val="52"/>
        </w:rPr>
      </w:pPr>
    </w:p>
    <w:p>
      <w:pPr>
        <w:pStyle w:val="29"/>
        <w:spacing w:line="600" w:lineRule="exact"/>
        <w:rPr>
          <w:rFonts w:hAnsi="宋体" w:cs="宋体"/>
          <w:b/>
          <w:sz w:val="52"/>
          <w:szCs w:val="52"/>
        </w:rPr>
      </w:pPr>
    </w:p>
    <w:p>
      <w:pPr>
        <w:pStyle w:val="29"/>
        <w:spacing w:line="600" w:lineRule="exact"/>
        <w:rPr>
          <w:rFonts w:hAnsi="宋体" w:cs="宋体"/>
          <w:b/>
          <w:sz w:val="52"/>
          <w:szCs w:val="52"/>
        </w:rPr>
      </w:pPr>
    </w:p>
    <w:p>
      <w:pPr>
        <w:pStyle w:val="29"/>
        <w:spacing w:line="600" w:lineRule="exact"/>
        <w:rPr>
          <w:rFonts w:hAnsi="宋体" w:cs="宋体"/>
          <w:b/>
          <w:sz w:val="52"/>
          <w:szCs w:val="52"/>
        </w:rPr>
      </w:pPr>
    </w:p>
    <w:p>
      <w:pPr>
        <w:pStyle w:val="29"/>
        <w:spacing w:line="600" w:lineRule="exact"/>
        <w:rPr>
          <w:rFonts w:hAnsi="宋体" w:cs="宋体"/>
          <w:b/>
          <w:sz w:val="52"/>
          <w:szCs w:val="52"/>
        </w:rPr>
      </w:pPr>
    </w:p>
    <w:p>
      <w:pPr>
        <w:pStyle w:val="29"/>
        <w:spacing w:line="600" w:lineRule="exact"/>
        <w:rPr>
          <w:rFonts w:hAnsi="宋体" w:cs="宋体"/>
          <w:b/>
          <w:sz w:val="52"/>
          <w:szCs w:val="52"/>
        </w:rPr>
      </w:pPr>
    </w:p>
    <w:p>
      <w:pPr>
        <w:pStyle w:val="29"/>
        <w:spacing w:line="600" w:lineRule="exact"/>
        <w:rPr>
          <w:rFonts w:hAnsi="宋体" w:cs="宋体"/>
          <w:b/>
          <w:sz w:val="52"/>
          <w:szCs w:val="52"/>
        </w:rPr>
      </w:pPr>
    </w:p>
    <w:p>
      <w:pPr>
        <w:pStyle w:val="29"/>
        <w:spacing w:line="600" w:lineRule="exact"/>
        <w:rPr>
          <w:rFonts w:hAnsi="宋体" w:cs="宋体"/>
          <w:b/>
          <w:sz w:val="52"/>
          <w:szCs w:val="52"/>
        </w:rPr>
      </w:pPr>
    </w:p>
    <w:p>
      <w:pPr>
        <w:pStyle w:val="29"/>
        <w:spacing w:line="600" w:lineRule="exact"/>
        <w:rPr>
          <w:rFonts w:hAnsi="宋体" w:cs="宋体"/>
          <w:b/>
          <w:sz w:val="52"/>
          <w:szCs w:val="52"/>
        </w:rPr>
      </w:pPr>
    </w:p>
    <w:p>
      <w:pPr>
        <w:pStyle w:val="29"/>
        <w:spacing w:line="600" w:lineRule="exact"/>
        <w:rPr>
          <w:rFonts w:hAnsi="宋体" w:cs="宋体"/>
          <w:b/>
          <w:sz w:val="52"/>
          <w:szCs w:val="52"/>
        </w:rPr>
      </w:pPr>
    </w:p>
    <w:p>
      <w:pPr>
        <w:pStyle w:val="29"/>
        <w:spacing w:line="600" w:lineRule="exact"/>
        <w:rPr>
          <w:rFonts w:hAnsi="宋体" w:cs="宋体"/>
          <w:b/>
          <w:sz w:val="52"/>
          <w:szCs w:val="52"/>
        </w:rPr>
      </w:pPr>
    </w:p>
    <w:p>
      <w:pPr>
        <w:jc w:val="center"/>
        <w:rPr>
          <w:rFonts w:ascii="宋体" w:hAnsi="宋体" w:cs="宋体"/>
          <w:b/>
          <w:bCs/>
          <w:spacing w:val="-20"/>
          <w:kern w:val="44"/>
          <w:sz w:val="48"/>
          <w:szCs w:val="48"/>
        </w:rPr>
      </w:pPr>
      <w:bookmarkStart w:id="58" w:name="_Toc3995"/>
    </w:p>
    <w:p>
      <w:pPr>
        <w:jc w:val="center"/>
        <w:rPr>
          <w:rFonts w:ascii="宋体" w:hAnsi="宋体" w:cs="宋体"/>
          <w:b/>
          <w:bCs/>
          <w:spacing w:val="-20"/>
          <w:kern w:val="44"/>
          <w:sz w:val="48"/>
          <w:szCs w:val="48"/>
        </w:rPr>
      </w:pPr>
    </w:p>
    <w:p>
      <w:pPr>
        <w:jc w:val="center"/>
        <w:rPr>
          <w:rFonts w:ascii="宋体" w:hAnsi="宋体" w:cs="宋体"/>
          <w:b/>
          <w:bCs/>
          <w:spacing w:val="-20"/>
          <w:kern w:val="44"/>
          <w:sz w:val="48"/>
          <w:szCs w:val="48"/>
        </w:rPr>
      </w:pPr>
    </w:p>
    <w:p>
      <w:pPr>
        <w:jc w:val="center"/>
        <w:rPr>
          <w:rFonts w:ascii="宋体" w:hAnsi="宋体" w:cs="宋体"/>
          <w:b/>
          <w:bCs/>
          <w:spacing w:val="-20"/>
          <w:kern w:val="44"/>
          <w:sz w:val="48"/>
          <w:szCs w:val="48"/>
        </w:rPr>
      </w:pPr>
    </w:p>
    <w:p>
      <w:pPr>
        <w:jc w:val="center"/>
        <w:rPr>
          <w:rFonts w:ascii="宋体" w:hAnsi="宋体" w:cs="宋体"/>
          <w:b/>
          <w:bCs/>
          <w:spacing w:val="-20"/>
          <w:kern w:val="44"/>
          <w:sz w:val="48"/>
          <w:szCs w:val="48"/>
        </w:rPr>
      </w:pPr>
    </w:p>
    <w:p>
      <w:pPr>
        <w:jc w:val="center"/>
        <w:rPr>
          <w:rFonts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pPr>
        <w:jc w:val="center"/>
        <w:rPr>
          <w:rFonts w:ascii="宋体" w:hAnsi="宋体" w:cs="宋体"/>
          <w:b/>
          <w:bCs/>
          <w:spacing w:val="-20"/>
          <w:kern w:val="44"/>
          <w:sz w:val="48"/>
          <w:szCs w:val="48"/>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420" w:leftChars="200"/>
        <w:rPr>
          <w:rFonts w:ascii="Times New Roman" w:hAnsi="Times New Roman"/>
          <w:sz w:val="32"/>
          <w:szCs w:val="32"/>
        </w:rPr>
      </w:pPr>
      <w:r>
        <w:rPr>
          <w:rFonts w:hint="eastAsia" w:ascii="宋体" w:hAnsi="宋体" w:cs="宋体"/>
          <w:kern w:val="0"/>
          <w:sz w:val="32"/>
          <w:szCs w:val="32"/>
        </w:rPr>
        <w:t>项目名称：</w:t>
      </w:r>
      <w:r>
        <w:rPr>
          <w:rFonts w:hint="eastAsia" w:ascii="Times New Roman" w:hAnsi="Times New Roman"/>
          <w:sz w:val="32"/>
          <w:szCs w:val="32"/>
          <w:u w:val="single"/>
        </w:rPr>
        <w:t xml:space="preserve">                             </w:t>
      </w:r>
    </w:p>
    <w:p>
      <w:pPr>
        <w:spacing w:line="360" w:lineRule="auto"/>
        <w:ind w:left="420" w:leftChars="200"/>
        <w:rPr>
          <w:rFonts w:ascii="Times New Roman" w:hAnsi="Times New Roman"/>
          <w:sz w:val="32"/>
          <w:szCs w:val="32"/>
          <w:u w:val="single"/>
        </w:rPr>
      </w:pPr>
      <w:r>
        <w:rPr>
          <w:rFonts w:hint="eastAsia" w:ascii="Times New Roman" w:hAnsi="Times New Roman"/>
          <w:sz w:val="32"/>
          <w:szCs w:val="32"/>
        </w:rPr>
        <w:t>合同编号：</w:t>
      </w:r>
      <w:r>
        <w:rPr>
          <w:rFonts w:hint="eastAsia" w:ascii="Times New Roman" w:hAnsi="Times New Roman"/>
          <w:sz w:val="32"/>
          <w:szCs w:val="32"/>
          <w:u w:val="single"/>
        </w:rPr>
        <w:t xml:space="preserve">                             </w:t>
      </w:r>
    </w:p>
    <w:p>
      <w:pPr>
        <w:spacing w:line="360" w:lineRule="auto"/>
        <w:ind w:left="420" w:leftChars="200"/>
        <w:rPr>
          <w:rFonts w:ascii="Times New Roman" w:hAnsi="Times New Roman"/>
          <w:sz w:val="32"/>
          <w:szCs w:val="32"/>
        </w:rPr>
      </w:pPr>
      <w:r>
        <w:rPr>
          <w:rFonts w:hint="eastAsia" w:ascii="Times New Roman" w:hAnsi="Times New Roman"/>
          <w:sz w:val="32"/>
          <w:szCs w:val="32"/>
        </w:rPr>
        <w:t>甲    方：</w:t>
      </w:r>
      <w:r>
        <w:rPr>
          <w:rFonts w:hint="eastAsia" w:ascii="Times New Roman" w:hAnsi="Times New Roman"/>
          <w:sz w:val="32"/>
          <w:szCs w:val="32"/>
          <w:u w:val="single"/>
        </w:rPr>
        <w:t xml:space="preserve">                             </w:t>
      </w:r>
    </w:p>
    <w:p>
      <w:pPr>
        <w:spacing w:line="360" w:lineRule="auto"/>
        <w:ind w:left="420" w:leftChars="200"/>
        <w:rPr>
          <w:rFonts w:ascii="Times New Roman" w:hAnsi="Times New Roman"/>
          <w:sz w:val="32"/>
          <w:szCs w:val="32"/>
          <w:u w:val="single"/>
        </w:rPr>
      </w:pPr>
      <w:r>
        <w:rPr>
          <w:rFonts w:hint="eastAsia" w:ascii="Times New Roman" w:hAnsi="Times New Roman"/>
          <w:sz w:val="32"/>
          <w:szCs w:val="32"/>
        </w:rPr>
        <w:t>乙    方：</w:t>
      </w:r>
      <w:r>
        <w:rPr>
          <w:rFonts w:hint="eastAsia" w:ascii="Times New Roman" w:hAnsi="Times New Roman"/>
          <w:sz w:val="32"/>
          <w:szCs w:val="32"/>
          <w:u w:val="single"/>
        </w:rPr>
        <w:t xml:space="preserve">                             </w:t>
      </w:r>
    </w:p>
    <w:p>
      <w:pPr>
        <w:spacing w:line="360" w:lineRule="auto"/>
        <w:ind w:left="420" w:leftChars="200"/>
        <w:rPr>
          <w:rFonts w:ascii="Times New Roman" w:hAnsi="Times New Roman"/>
          <w:sz w:val="32"/>
          <w:szCs w:val="32"/>
        </w:rPr>
      </w:pPr>
      <w:r>
        <w:rPr>
          <w:rFonts w:hint="eastAsia" w:ascii="Times New Roman" w:hAnsi="Times New Roman"/>
          <w:sz w:val="32"/>
          <w:szCs w:val="32"/>
        </w:rPr>
        <w:t>签订时间：</w:t>
      </w:r>
      <w:r>
        <w:rPr>
          <w:rFonts w:hint="eastAsia" w:ascii="Times New Roman" w:hAnsi="Times New Roman"/>
          <w:sz w:val="32"/>
          <w:szCs w:val="32"/>
          <w:u w:val="single"/>
        </w:rPr>
        <w:t xml:space="preserve">      </w:t>
      </w:r>
      <w:r>
        <w:rPr>
          <w:rFonts w:ascii="Times New Roman" w:hAnsi="Times New Roman"/>
          <w:sz w:val="32"/>
          <w:szCs w:val="32"/>
          <w:u w:val="single"/>
        </w:rPr>
        <w:t xml:space="preserve">           </w:t>
      </w:r>
      <w:r>
        <w:rPr>
          <w:rFonts w:hint="eastAsia" w:ascii="Times New Roman" w:hAnsi="Times New Roman"/>
          <w:sz w:val="32"/>
          <w:szCs w:val="32"/>
          <w:u w:val="single"/>
        </w:rPr>
        <w:t xml:space="preserve">            </w:t>
      </w:r>
    </w:p>
    <w:p>
      <w:pPr>
        <w:rPr>
          <w:rFonts w:ascii="Times New Roman" w:hAnsi="Times New Roman"/>
        </w:rPr>
      </w:pPr>
    </w:p>
    <w:p>
      <w:pPr>
        <w:jc w:val="center"/>
        <w:rPr>
          <w:rFonts w:ascii="黑体" w:hAnsi="华文中宋" w:eastAsia="黑体"/>
          <w:sz w:val="28"/>
          <w:szCs w:val="28"/>
        </w:rPr>
      </w:pPr>
      <w:r>
        <w:rPr>
          <w:rFonts w:ascii="Times New Roman" w:hAnsi="Times New Roman" w:eastAsia="黑体"/>
          <w:sz w:val="44"/>
          <w:szCs w:val="44"/>
        </w:rPr>
        <w:br w:type="page"/>
      </w:r>
      <w:bookmarkEnd w:id="58"/>
      <w:bookmarkStart w:id="59" w:name="_Toc22209"/>
      <w:r>
        <w:rPr>
          <w:rFonts w:hint="eastAsia" w:ascii="黑体" w:hAnsi="黑体" w:eastAsia="黑体"/>
          <w:sz w:val="28"/>
          <w:szCs w:val="28"/>
        </w:rPr>
        <w:t xml:space="preserve">第一节 </w:t>
      </w:r>
      <w:r>
        <w:rPr>
          <w:rFonts w:hint="eastAsia" w:ascii="黑体" w:hAnsi="华文中宋" w:eastAsia="黑体"/>
          <w:sz w:val="28"/>
          <w:szCs w:val="28"/>
        </w:rPr>
        <w:t>政府采购合同协议书</w:t>
      </w:r>
      <w:bookmarkEnd w:id="59"/>
    </w:p>
    <w:p>
      <w:pPr>
        <w:keepNext/>
        <w:keepLines/>
        <w:adjustRightInd w:val="0"/>
        <w:snapToGrid w:val="0"/>
        <w:spacing w:line="400" w:lineRule="exact"/>
        <w:jc w:val="center"/>
        <w:outlineLvl w:val="1"/>
        <w:rPr>
          <w:rFonts w:ascii="黑体" w:hAnsi="华文中宋" w:eastAsia="黑体"/>
          <w:sz w:val="28"/>
          <w:szCs w:val="28"/>
        </w:rPr>
      </w:pPr>
    </w:p>
    <w:p>
      <w:pPr>
        <w:adjustRightInd w:val="0"/>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pPr>
        <w:adjustRightInd w:val="0"/>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pPr>
        <w:adjustRightInd w:val="0"/>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adjustRightInd w:val="0"/>
        <w:snapToGrid w:val="0"/>
        <w:spacing w:line="400" w:lineRule="exact"/>
        <w:rPr>
          <w:rFonts w:ascii="宋体" w:hAnsi="宋体"/>
          <w:szCs w:val="21"/>
        </w:rPr>
      </w:pPr>
      <w:r>
        <w:rPr>
          <w:rFonts w:hint="eastAsia" w:ascii="Times New Roman" w:hAnsi="Times New Roman"/>
        </w:rPr>
        <w:t>乙方</w:t>
      </w:r>
      <w:r>
        <w:rPr>
          <w:rFonts w:hint="eastAsia" w:ascii="宋体" w:hAnsi="宋体"/>
          <w:szCs w:val="21"/>
        </w:rPr>
        <w:t>3</w:t>
      </w:r>
      <w:r>
        <w:rPr>
          <w:rFonts w:hint="eastAsia" w:ascii="Times New Roman" w:hAnsi="Times New Roman"/>
        </w:rPr>
        <w:t>（全称）</w:t>
      </w:r>
      <w:r>
        <w:rPr>
          <w:rFonts w:hint="eastAsia" w:ascii="宋体" w:hAnsi="宋体"/>
          <w:szCs w:val="21"/>
          <w:u w:val="single"/>
        </w:rPr>
        <w:t xml:space="preserve">                          </w:t>
      </w:r>
      <w:r>
        <w:rPr>
          <w:rFonts w:hint="eastAsia" w:ascii="宋体" w:hAnsi="宋体"/>
          <w:szCs w:val="21"/>
        </w:rPr>
        <w:t>（联合体成员供应商或其他合同主体）（如有）</w:t>
      </w:r>
    </w:p>
    <w:p>
      <w:pPr>
        <w:spacing w:line="400" w:lineRule="exact"/>
        <w:rPr>
          <w:rFonts w:ascii="Times New Roman" w:hAnsi="Times New Roman"/>
        </w:rPr>
      </w:pPr>
    </w:p>
    <w:p>
      <w:pPr>
        <w:adjustRightInd w:val="0"/>
        <w:snapToGrid w:val="0"/>
        <w:spacing w:line="400" w:lineRule="exact"/>
        <w:ind w:firstLine="420" w:firstLineChars="200"/>
        <w:rPr>
          <w:rFonts w:ascii="宋体" w:hAnsi="宋体"/>
          <w:szCs w:val="21"/>
        </w:rPr>
      </w:pPr>
      <w:r>
        <w:rPr>
          <w:rFonts w:hint="eastAsia" w:ascii="宋体" w:hAnsi="宋体"/>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numPr>
          <w:ilvl w:val="0"/>
          <w:numId w:val="5"/>
        </w:numPr>
        <w:adjustRightInd w:val="0"/>
        <w:snapToGrid w:val="0"/>
        <w:spacing w:line="400" w:lineRule="exact"/>
        <w:ind w:firstLine="421" w:firstLineChars="200"/>
        <w:rPr>
          <w:rFonts w:ascii="宋体" w:hAnsi="宋体"/>
          <w:b/>
          <w:szCs w:val="21"/>
        </w:rPr>
      </w:pPr>
      <w:r>
        <w:rPr>
          <w:rFonts w:hint="eastAsia" w:ascii="宋体" w:hAnsi="宋体"/>
          <w:b/>
          <w:szCs w:val="21"/>
        </w:rPr>
        <w:t>项目信息</w:t>
      </w:r>
    </w:p>
    <w:p>
      <w:pPr>
        <w:numPr>
          <w:ilvl w:val="0"/>
          <w:numId w:val="6"/>
        </w:numPr>
        <w:adjustRightInd w:val="0"/>
        <w:snapToGrid w:val="0"/>
        <w:spacing w:line="400" w:lineRule="exact"/>
        <w:ind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numPr>
          <w:ilvl w:val="255"/>
          <w:numId w:val="0"/>
        </w:numPr>
        <w:tabs>
          <w:tab w:val="left" w:pos="999"/>
        </w:tabs>
        <w:adjustRightInd w:val="0"/>
        <w:snapToGrid w:val="0"/>
        <w:spacing w:line="400" w:lineRule="exact"/>
        <w:rPr>
          <w:rFonts w:ascii="宋体" w:hAnsi="宋体"/>
          <w:szCs w:val="21"/>
        </w:rPr>
      </w:pPr>
      <w:r>
        <w:rPr>
          <w:rFonts w:hint="eastAsia" w:ascii="宋体" w:hAnsi="宋体"/>
          <w:szCs w:val="21"/>
        </w:rPr>
        <w:t xml:space="preserve">         采购项目编号：</w:t>
      </w:r>
      <w:r>
        <w:rPr>
          <w:rFonts w:ascii="宋体" w:hAnsi="宋体"/>
          <w:szCs w:val="21"/>
          <w:u w:val="single"/>
        </w:rPr>
        <w:t xml:space="preserve">                                          </w:t>
      </w:r>
    </w:p>
    <w:p>
      <w:pPr>
        <w:adjustRightInd w:val="0"/>
        <w:snapToGrid w:val="0"/>
        <w:spacing w:line="400" w:lineRule="exact"/>
        <w:ind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adjustRightInd w:val="0"/>
        <w:snapToGrid w:val="0"/>
        <w:spacing w:line="400" w:lineRule="exact"/>
        <w:ind w:firstLine="420" w:firstLineChars="200"/>
        <w:rPr>
          <w:rFonts w:ascii="宋体" w:hAnsi="宋体"/>
          <w:szCs w:val="21"/>
        </w:rPr>
      </w:pPr>
      <w:r>
        <w:rPr>
          <w:rFonts w:hint="eastAsia" w:ascii="宋体" w:hAnsi="宋体"/>
          <w:szCs w:val="21"/>
        </w:rPr>
        <w:t>（3）项目内容：</w:t>
      </w:r>
    </w:p>
    <w:p>
      <w:pPr>
        <w:adjustRightInd w:val="0"/>
        <w:snapToGrid w:val="0"/>
        <w:spacing w:line="40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lang w:val="en"/>
        </w:rPr>
        <w:t>/</w:t>
      </w:r>
      <w:r>
        <w:rPr>
          <w:rFonts w:hint="eastAsia" w:ascii="宋体" w:hAnsi="宋体"/>
          <w:szCs w:val="21"/>
          <w:lang w:val="en"/>
        </w:rPr>
        <w:t>个</w:t>
      </w:r>
      <w:r>
        <w:rPr>
          <w:rFonts w:ascii="宋体" w:hAnsi="宋体"/>
          <w:szCs w:val="21"/>
          <w:lang w:val="en"/>
        </w:rPr>
        <w:t>/</w:t>
      </w:r>
      <w:r>
        <w:rPr>
          <w:rFonts w:hint="eastAsia" w:ascii="宋体" w:hAnsi="宋体"/>
          <w:szCs w:val="21"/>
          <w:lang w:val="en"/>
        </w:rPr>
        <w:t>架</w:t>
      </w:r>
      <w:r>
        <w:rPr>
          <w:rFonts w:ascii="宋体" w:hAnsi="宋体"/>
          <w:szCs w:val="21"/>
          <w:lang w:val="en"/>
        </w:rPr>
        <w:t>/</w:t>
      </w:r>
      <w:r>
        <w:rPr>
          <w:rFonts w:hint="eastAsia" w:ascii="宋体" w:hAnsi="宋体"/>
          <w:szCs w:val="21"/>
          <w:lang w:val="en"/>
        </w:rPr>
        <w:t>组等</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p>
    <w:p>
      <w:pPr>
        <w:numPr>
          <w:ilvl w:val="255"/>
          <w:numId w:val="0"/>
        </w:numPr>
        <w:adjustRightInd w:val="0"/>
        <w:snapToGrid w:val="0"/>
        <w:spacing w:line="400" w:lineRule="exact"/>
        <w:ind w:firstLine="420" w:firstLineChars="200"/>
        <w:rPr>
          <w:rFonts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pPr>
        <w:adjustRightInd w:val="0"/>
        <w:snapToGrid w:val="0"/>
        <w:spacing w:line="400" w:lineRule="exact"/>
        <w:ind w:firstLine="945" w:firstLineChars="450"/>
        <w:rPr>
          <w:rFonts w:ascii="宋体" w:hAnsi="宋体"/>
          <w:szCs w:val="21"/>
          <w:u w:val="single"/>
        </w:rPr>
      </w:pPr>
      <w:r>
        <w:rPr>
          <w:rFonts w:hint="eastAsia" w:ascii="宋体" w:hAnsi="宋体"/>
          <w:szCs w:val="21"/>
        </w:rPr>
        <w:t>采购标的的技术要求、商务要求具体见附件。</w:t>
      </w:r>
    </w:p>
    <w:p>
      <w:pPr>
        <w:numPr>
          <w:ilvl w:val="255"/>
          <w:numId w:val="0"/>
        </w:numPr>
        <w:adjustRightInd w:val="0"/>
        <w:snapToGrid w:val="0"/>
        <w:spacing w:line="400" w:lineRule="exact"/>
        <w:ind w:firstLine="945" w:firstLineChars="450"/>
        <w:rPr>
          <w:rFonts w:ascii="宋体" w:hAnsi="宋体" w:cs="宋体"/>
          <w:szCs w:val="21"/>
        </w:rPr>
      </w:pPr>
      <w:r>
        <w:rPr>
          <w:rFonts w:hint="eastAsia" w:ascii="宋体" w:hAnsi="宋体" w:cs="宋体"/>
          <w:szCs w:val="21"/>
        </w:rPr>
        <w:t>①涉及信息类产品，请填写该产品关键部件的品牌、型号：</w:t>
      </w:r>
    </w:p>
    <w:p>
      <w:pPr>
        <w:numPr>
          <w:ilvl w:val="255"/>
          <w:numId w:val="0"/>
        </w:numPr>
        <w:adjustRightInd w:val="0"/>
        <w:snapToGrid w:val="0"/>
        <w:spacing w:line="40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lang w:val="en"/>
        </w:rPr>
        <w:t xml:space="preserve">               </w:t>
      </w:r>
      <w:r>
        <w:rPr>
          <w:rFonts w:hint="eastAsia" w:ascii="宋体" w:hAnsi="宋体" w:cs="宋体"/>
          <w:kern w:val="0"/>
          <w:szCs w:val="21"/>
          <w:u w:val="single"/>
        </w:rPr>
        <w:t xml:space="preserve">    </w:t>
      </w:r>
    </w:p>
    <w:p>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pPr>
        <w:widowControl/>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szCs w:val="21"/>
        </w:rPr>
        <w:t>关键部件</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 xml:space="preserve"> 品牌：</w:t>
      </w:r>
      <w:r>
        <w:rPr>
          <w:rFonts w:hint="eastAsia" w:ascii="宋体" w:hAnsi="宋体" w:cs="宋体"/>
          <w:kern w:val="0"/>
          <w:szCs w:val="21"/>
          <w:u w:val="single"/>
        </w:rPr>
        <w:t xml:space="preserve">        </w:t>
      </w:r>
      <w:r>
        <w:rPr>
          <w:rFonts w:hint="eastAsia" w:ascii="宋体" w:hAnsi="宋体" w:cs="宋体"/>
          <w:kern w:val="0"/>
          <w:szCs w:val="21"/>
        </w:rPr>
        <w:t xml:space="preserve"> 型号：</w:t>
      </w:r>
      <w:r>
        <w:rPr>
          <w:rFonts w:hint="eastAsia" w:ascii="宋体" w:hAnsi="宋体" w:cs="宋体"/>
          <w:kern w:val="0"/>
          <w:szCs w:val="21"/>
          <w:u w:val="single"/>
        </w:rPr>
        <w:t xml:space="preserve">       </w:t>
      </w:r>
      <w:r>
        <w:rPr>
          <w:rFonts w:hint="eastAsia" w:ascii="宋体" w:hAnsi="宋体" w:cs="宋体"/>
          <w:kern w:val="0"/>
          <w:szCs w:val="21"/>
        </w:rPr>
        <w:t xml:space="preserve"> </w:t>
      </w:r>
    </w:p>
    <w:p>
      <w:pPr>
        <w:widowControl/>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品牌：</w:t>
      </w:r>
      <w:r>
        <w:rPr>
          <w:rFonts w:hint="eastAsia" w:ascii="宋体" w:hAnsi="宋体" w:cs="宋体"/>
          <w:kern w:val="0"/>
          <w:szCs w:val="21"/>
          <w:u w:val="single"/>
        </w:rPr>
        <w:t xml:space="preserve">        </w:t>
      </w:r>
      <w:r>
        <w:rPr>
          <w:rFonts w:hint="eastAsia" w:ascii="宋体" w:hAnsi="宋体" w:cs="宋体"/>
          <w:kern w:val="0"/>
          <w:szCs w:val="21"/>
        </w:rPr>
        <w:t xml:space="preserve"> 型号：</w:t>
      </w:r>
      <w:r>
        <w:rPr>
          <w:rFonts w:hint="eastAsia" w:ascii="宋体" w:hAnsi="宋体" w:cs="宋体"/>
          <w:kern w:val="0"/>
          <w:szCs w:val="21"/>
          <w:u w:val="single"/>
        </w:rPr>
        <w:t xml:space="preserve">       </w:t>
      </w:r>
    </w:p>
    <w:p>
      <w:pPr>
        <w:widowControl/>
        <w:numPr>
          <w:ilvl w:val="255"/>
          <w:numId w:val="0"/>
        </w:numPr>
        <w:autoSpaceDE w:val="0"/>
        <w:autoSpaceDN w:val="0"/>
        <w:adjustRightInd w:val="0"/>
        <w:snapToGrid w:val="0"/>
        <w:spacing w:line="400" w:lineRule="exact"/>
        <w:jc w:val="left"/>
        <w:rPr>
          <w:rFonts w:ascii="宋体" w:hAnsi="宋体" w:cs="宋体"/>
          <w:kern w:val="0"/>
          <w:szCs w:val="21"/>
        </w:rPr>
      </w:pPr>
      <w:r>
        <w:rPr>
          <w:rFonts w:hint="eastAsia" w:ascii="宋体" w:hAnsi="宋体" w:cs="宋体"/>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pPr>
        <w:widowControl/>
        <w:numPr>
          <w:ilvl w:val="255"/>
          <w:numId w:val="0"/>
        </w:numPr>
        <w:autoSpaceDE w:val="0"/>
        <w:autoSpaceDN w:val="0"/>
        <w:adjustRightInd w:val="0"/>
        <w:snapToGrid w:val="0"/>
        <w:spacing w:line="400" w:lineRule="exact"/>
        <w:jc w:val="left"/>
        <w:rPr>
          <w:rFonts w:ascii="宋体" w:hAnsi="宋体" w:cs="宋体"/>
          <w:kern w:val="0"/>
          <w:szCs w:val="21"/>
        </w:rPr>
      </w:pPr>
      <w:r>
        <w:rPr>
          <w:rFonts w:hint="eastAsia" w:ascii="宋体" w:hAnsi="宋体" w:cs="宋体"/>
          <w:kern w:val="0"/>
          <w:szCs w:val="21"/>
        </w:rPr>
        <w:t xml:space="preserve">         ②涉及车辆采购，请填写是否属于新能源汽车：</w:t>
      </w:r>
    </w:p>
    <w:p>
      <w:pPr>
        <w:widowControl/>
        <w:numPr>
          <w:ilvl w:val="255"/>
          <w:numId w:val="0"/>
        </w:numPr>
        <w:autoSpaceDE w:val="0"/>
        <w:autoSpaceDN w:val="0"/>
        <w:adjustRightInd w:val="0"/>
        <w:snapToGrid w:val="0"/>
        <w:spacing w:line="400" w:lineRule="exact"/>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rPr>
        <w:sym w:font="Wingdings" w:char="00A8"/>
      </w:r>
      <w:r>
        <w:rPr>
          <w:rFonts w:hint="eastAsia" w:ascii="宋体" w:hAnsi="宋体" w:cs="宋体"/>
          <w:kern w:val="0"/>
          <w:szCs w:val="21"/>
        </w:rPr>
        <w:t>是，《政府采购品目分类目录》底级品目名称：</w:t>
      </w:r>
      <w:r>
        <w:rPr>
          <w:rFonts w:hint="eastAsia" w:ascii="宋体" w:hAnsi="宋体" w:cs="宋体"/>
          <w:kern w:val="0"/>
          <w:szCs w:val="21"/>
          <w:u w:val="single"/>
        </w:rPr>
        <w:t xml:space="preserve">     </w:t>
      </w:r>
      <w:r>
        <w:rPr>
          <w:rFonts w:hint="eastAsia" w:ascii="宋体" w:hAnsi="宋体" w:cs="宋体"/>
          <w:kern w:val="0"/>
          <w:szCs w:val="21"/>
        </w:rPr>
        <w:t xml:space="preserve"> 数量：</w:t>
      </w:r>
      <w:r>
        <w:rPr>
          <w:rFonts w:hint="eastAsia" w:ascii="宋体" w:hAnsi="宋体" w:cs="宋体"/>
          <w:kern w:val="0"/>
          <w:szCs w:val="21"/>
          <w:u w:val="single"/>
        </w:rPr>
        <w:t xml:space="preserve">    </w:t>
      </w:r>
      <w:r>
        <w:rPr>
          <w:rFonts w:hint="eastAsia" w:ascii="宋体" w:hAnsi="宋体" w:cs="宋体"/>
          <w:kern w:val="0"/>
          <w:szCs w:val="21"/>
        </w:rPr>
        <w:t xml:space="preserve"> 金额：</w:t>
      </w:r>
      <w:r>
        <w:rPr>
          <w:rFonts w:hint="eastAsia" w:ascii="宋体" w:hAnsi="宋体" w:cs="宋体"/>
          <w:kern w:val="0"/>
          <w:szCs w:val="21"/>
          <w:u w:val="single"/>
        </w:rPr>
        <w:t xml:space="preserve">     </w:t>
      </w:r>
      <w:r>
        <w:rPr>
          <w:rFonts w:hint="eastAsia" w:ascii="宋体" w:hAnsi="宋体" w:cs="宋体"/>
          <w:kern w:val="0"/>
          <w:szCs w:val="21"/>
        </w:rPr>
        <w:t xml:space="preserve"> </w:t>
      </w:r>
    </w:p>
    <w:p>
      <w:pPr>
        <w:widowControl/>
        <w:numPr>
          <w:ilvl w:val="255"/>
          <w:numId w:val="0"/>
        </w:numPr>
        <w:autoSpaceDE w:val="0"/>
        <w:autoSpaceDN w:val="0"/>
        <w:adjustRightInd w:val="0"/>
        <w:snapToGrid w:val="0"/>
        <w:spacing w:line="400" w:lineRule="exact"/>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rPr>
        <w:sym w:font="Wingdings" w:char="00A8"/>
      </w:r>
      <w:r>
        <w:rPr>
          <w:rFonts w:hint="eastAsia" w:ascii="宋体" w:hAnsi="宋体" w:cs="宋体"/>
          <w:kern w:val="0"/>
          <w:szCs w:val="21"/>
        </w:rPr>
        <w:t>否</w:t>
      </w:r>
    </w:p>
    <w:p>
      <w:pPr>
        <w:widowControl/>
        <w:numPr>
          <w:ilvl w:val="255"/>
          <w:numId w:val="0"/>
        </w:numPr>
        <w:autoSpaceDE w:val="0"/>
        <w:autoSpaceDN w:val="0"/>
        <w:adjustRightInd w:val="0"/>
        <w:snapToGrid w:val="0"/>
        <w:spacing w:line="400" w:lineRule="exact"/>
        <w:jc w:val="left"/>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lang w:val="en"/>
        </w:rPr>
        <w:t>4</w:t>
      </w:r>
      <w:r>
        <w:rPr>
          <w:rFonts w:hint="eastAsia" w:ascii="宋体" w:hAnsi="宋体" w:cs="宋体"/>
          <w:kern w:val="0"/>
          <w:szCs w:val="21"/>
        </w:rPr>
        <w:t>）政府采购组织形式：</w:t>
      </w:r>
      <w:r>
        <w:rPr>
          <w:rFonts w:hint="eastAsia" w:ascii="宋体" w:hAnsi="宋体" w:cs="宋体"/>
          <w:kern w:val="0"/>
          <w:szCs w:val="21"/>
        </w:rPr>
        <w:sym w:font="Wingdings" w:char="00A8"/>
      </w:r>
      <w:r>
        <w:rPr>
          <w:rFonts w:hint="eastAsia" w:ascii="宋体" w:hAnsi="宋体" w:cs="宋体"/>
          <w:kern w:val="0"/>
          <w:szCs w:val="21"/>
        </w:rPr>
        <w:t xml:space="preserve">政府集中采购  </w:t>
      </w:r>
      <w:r>
        <w:rPr>
          <w:rFonts w:hint="eastAsia" w:ascii="宋体" w:hAnsi="宋体" w:cs="宋体"/>
          <w:kern w:val="0"/>
          <w:szCs w:val="21"/>
        </w:rPr>
        <w:sym w:font="Wingdings" w:char="00A8"/>
      </w:r>
      <w:r>
        <w:rPr>
          <w:rFonts w:hint="eastAsia" w:ascii="宋体" w:hAnsi="宋体" w:cs="宋体"/>
          <w:kern w:val="0"/>
          <w:szCs w:val="21"/>
        </w:rPr>
        <w:t xml:space="preserve">部门集中采购  </w:t>
      </w:r>
      <w:r>
        <w:rPr>
          <w:rFonts w:hint="eastAsia" w:ascii="宋体" w:hAnsi="宋体" w:cs="宋体"/>
          <w:kern w:val="0"/>
          <w:szCs w:val="21"/>
        </w:rPr>
        <w:sym w:font="Wingdings" w:char="00A8"/>
      </w:r>
      <w:r>
        <w:rPr>
          <w:rFonts w:hint="eastAsia" w:ascii="宋体" w:hAnsi="宋体" w:cs="宋体"/>
          <w:kern w:val="0"/>
          <w:szCs w:val="21"/>
        </w:rPr>
        <w:t>分散采购</w:t>
      </w:r>
    </w:p>
    <w:p>
      <w:pPr>
        <w:widowControl/>
        <w:numPr>
          <w:ilvl w:val="255"/>
          <w:numId w:val="0"/>
        </w:numPr>
        <w:autoSpaceDE w:val="0"/>
        <w:autoSpaceDN w:val="0"/>
        <w:adjustRightInd w:val="0"/>
        <w:snapToGrid w:val="0"/>
        <w:spacing w:line="400" w:lineRule="exact"/>
        <w:ind w:firstLine="42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lang w:val="en"/>
        </w:rPr>
        <w:t>5</w:t>
      </w:r>
      <w:r>
        <w:rPr>
          <w:rFonts w:hint="eastAsia" w:ascii="宋体" w:hAnsi="宋体" w:cs="宋体"/>
          <w:kern w:val="0"/>
          <w:szCs w:val="21"/>
        </w:rPr>
        <w:t>）政府采购方式：</w:t>
      </w:r>
      <w:r>
        <w:rPr>
          <w:rFonts w:hint="eastAsia" w:ascii="宋体" w:hAnsi="宋体" w:cs="宋体"/>
          <w:kern w:val="0"/>
          <w:szCs w:val="21"/>
        </w:rPr>
        <w:sym w:font="Wingdings" w:char="00A8"/>
      </w:r>
      <w:r>
        <w:rPr>
          <w:rFonts w:hint="eastAsia" w:ascii="宋体" w:hAnsi="宋体" w:cs="宋体"/>
          <w:kern w:val="0"/>
          <w:szCs w:val="21"/>
        </w:rPr>
        <w:t xml:space="preserve">公开招标 </w:t>
      </w:r>
      <w:r>
        <w:rPr>
          <w:rFonts w:hint="eastAsia" w:ascii="宋体" w:hAnsi="宋体" w:cs="宋体"/>
          <w:kern w:val="0"/>
          <w:szCs w:val="21"/>
        </w:rPr>
        <w:sym w:font="Wingdings" w:char="00A8"/>
      </w:r>
      <w:r>
        <w:rPr>
          <w:rFonts w:hint="eastAsia" w:ascii="宋体" w:hAnsi="宋体" w:cs="宋体"/>
          <w:kern w:val="0"/>
          <w:szCs w:val="21"/>
        </w:rPr>
        <w:t xml:space="preserve">邀请招标 </w:t>
      </w:r>
      <w:r>
        <w:rPr>
          <w:rFonts w:hint="eastAsia" w:ascii="宋体" w:hAnsi="宋体" w:cs="宋体"/>
          <w:kern w:val="0"/>
          <w:szCs w:val="21"/>
        </w:rPr>
        <w:sym w:font="Wingdings" w:char="00A8"/>
      </w:r>
      <w:r>
        <w:rPr>
          <w:rFonts w:hint="eastAsia" w:ascii="宋体" w:hAnsi="宋体" w:cs="宋体"/>
          <w:kern w:val="0"/>
          <w:szCs w:val="21"/>
        </w:rPr>
        <w:t xml:space="preserve">竞争性谈判 </w:t>
      </w:r>
      <w:r>
        <w:rPr>
          <w:rFonts w:hint="eastAsia" w:ascii="宋体" w:hAnsi="宋体" w:cs="宋体"/>
          <w:kern w:val="0"/>
          <w:szCs w:val="21"/>
        </w:rPr>
        <w:sym w:font="Wingdings" w:char="00A8"/>
      </w:r>
      <w:r>
        <w:rPr>
          <w:rFonts w:hint="eastAsia" w:ascii="宋体" w:hAnsi="宋体" w:cs="宋体"/>
          <w:kern w:val="0"/>
          <w:szCs w:val="21"/>
        </w:rPr>
        <w:t>竞争性磋商</w:t>
      </w:r>
    </w:p>
    <w:p>
      <w:pPr>
        <w:widowControl/>
        <w:numPr>
          <w:ilvl w:val="255"/>
          <w:numId w:val="0"/>
        </w:numPr>
        <w:autoSpaceDE w:val="0"/>
        <w:autoSpaceDN w:val="0"/>
        <w:adjustRightInd w:val="0"/>
        <w:snapToGrid w:val="0"/>
        <w:spacing w:line="400" w:lineRule="exact"/>
        <w:ind w:firstLine="420"/>
        <w:jc w:val="left"/>
        <w:rPr>
          <w:rFonts w:ascii="宋体" w:hAnsi="宋体" w:cs="宋体"/>
          <w:kern w:val="0"/>
          <w:szCs w:val="21"/>
          <w:u w:val="single"/>
        </w:rPr>
      </w:pPr>
      <w:r>
        <w:rPr>
          <w:rFonts w:hint="eastAsia" w:ascii="宋体" w:hAnsi="宋体" w:eastAsia="华文楷体" w:cs="宋体"/>
          <w:kern w:val="0"/>
          <w:sz w:val="22"/>
          <w:szCs w:val="21"/>
        </w:rPr>
        <w:t xml:space="preserve">                  </w:t>
      </w:r>
      <w:r>
        <w:rPr>
          <w:rFonts w:hint="eastAsia" w:ascii="宋体" w:hAnsi="宋体" w:cs="宋体"/>
          <w:kern w:val="0"/>
          <w:szCs w:val="21"/>
        </w:rPr>
        <w:sym w:font="Wingdings" w:char="00A8"/>
      </w:r>
      <w:r>
        <w:rPr>
          <w:rFonts w:hint="eastAsia" w:ascii="宋体" w:hAnsi="宋体" w:cs="宋体"/>
          <w:kern w:val="0"/>
          <w:szCs w:val="21"/>
        </w:rPr>
        <w:t xml:space="preserve">询价 </w:t>
      </w:r>
      <w:r>
        <w:rPr>
          <w:rFonts w:hint="eastAsia" w:ascii="宋体" w:hAnsi="宋体" w:cs="宋体"/>
          <w:kern w:val="0"/>
          <w:szCs w:val="21"/>
        </w:rPr>
        <w:sym w:font="Wingdings" w:char="00A8"/>
      </w:r>
      <w:r>
        <w:rPr>
          <w:rFonts w:hint="eastAsia" w:ascii="宋体" w:hAnsi="宋体" w:cs="宋体"/>
          <w:kern w:val="0"/>
          <w:szCs w:val="21"/>
        </w:rPr>
        <w:t xml:space="preserve">单一来源 </w:t>
      </w:r>
      <w:r>
        <w:rPr>
          <w:rFonts w:hint="eastAsia" w:ascii="宋体" w:hAnsi="宋体" w:cs="宋体"/>
          <w:kern w:val="0"/>
          <w:szCs w:val="21"/>
        </w:rPr>
        <w:sym w:font="Wingdings" w:char="00A8"/>
      </w:r>
      <w:r>
        <w:rPr>
          <w:rFonts w:hint="eastAsia" w:ascii="宋体" w:hAnsi="宋体" w:cs="宋体"/>
          <w:kern w:val="0"/>
          <w:szCs w:val="21"/>
        </w:rPr>
        <w:t xml:space="preserve">框架协议 </w:t>
      </w:r>
      <w:r>
        <w:rPr>
          <w:rFonts w:hint="eastAsia" w:ascii="宋体" w:hAnsi="宋体" w:cs="宋体"/>
          <w:kern w:val="0"/>
          <w:szCs w:val="21"/>
        </w:rPr>
        <w:sym w:font="Wingdings" w:char="00A8"/>
      </w:r>
      <w:r>
        <w:rPr>
          <w:rFonts w:hint="eastAsia" w:ascii="宋体" w:hAnsi="宋体" w:cs="宋体"/>
          <w:kern w:val="0"/>
          <w:szCs w:val="21"/>
        </w:rPr>
        <w:t>其他：</w:t>
      </w:r>
      <w:r>
        <w:rPr>
          <w:rFonts w:hint="eastAsia" w:ascii="宋体" w:hAnsi="宋体" w:cs="宋体"/>
          <w:kern w:val="0"/>
          <w:szCs w:val="21"/>
          <w:u w:val="single"/>
        </w:rPr>
        <w:t xml:space="preserve">          </w:t>
      </w:r>
    </w:p>
    <w:p>
      <w:pPr>
        <w:widowControl/>
        <w:numPr>
          <w:ilvl w:val="255"/>
          <w:numId w:val="0"/>
        </w:numPr>
        <w:autoSpaceDE w:val="0"/>
        <w:autoSpaceDN w:val="0"/>
        <w:adjustRightInd w:val="0"/>
        <w:snapToGrid w:val="0"/>
        <w:spacing w:line="400" w:lineRule="exact"/>
        <w:ind w:firstLine="420"/>
        <w:jc w:val="left"/>
        <w:rPr>
          <w:rFonts w:ascii="宋体" w:hAnsi="宋体" w:cs="宋体"/>
          <w:kern w:val="0"/>
          <w:szCs w:val="21"/>
        </w:rPr>
      </w:pPr>
      <w:r>
        <w:rPr>
          <w:rFonts w:hint="eastAsia" w:ascii="宋体" w:hAnsi="宋体" w:cs="宋体"/>
          <w:kern w:val="0"/>
          <w:szCs w:val="21"/>
        </w:rPr>
        <w:t>（注：在框架协议采购的第二阶段，可选择使用该合同文本）</w:t>
      </w:r>
    </w:p>
    <w:p>
      <w:pPr>
        <w:widowControl/>
        <w:numPr>
          <w:ilvl w:val="255"/>
          <w:numId w:val="0"/>
        </w:numPr>
        <w:autoSpaceDE w:val="0"/>
        <w:autoSpaceDN w:val="0"/>
        <w:adjustRightInd w:val="0"/>
        <w:snapToGrid w:val="0"/>
        <w:spacing w:line="400" w:lineRule="exact"/>
        <w:ind w:firstLine="220" w:firstLineChars="100"/>
        <w:jc w:val="left"/>
        <w:rPr>
          <w:rFonts w:ascii="宋体" w:hAnsi="宋体"/>
          <w:szCs w:val="21"/>
        </w:rPr>
      </w:pPr>
      <w:r>
        <w:rPr>
          <w:rFonts w:hint="eastAsia" w:ascii="宋体" w:hAnsi="宋体" w:eastAsia="华文楷体" w:cs="华文楷体"/>
          <w:kern w:val="0"/>
          <w:sz w:val="22"/>
          <w:szCs w:val="21"/>
        </w:rPr>
        <w:t xml:space="preserve"> （</w:t>
      </w:r>
      <w:r>
        <w:rPr>
          <w:rFonts w:ascii="宋体" w:hAnsi="宋体" w:eastAsia="华文楷体" w:cs="华文楷体"/>
          <w:kern w:val="0"/>
          <w:sz w:val="22"/>
          <w:szCs w:val="21"/>
          <w:lang w:val="en"/>
        </w:rPr>
        <w:t>6</w:t>
      </w:r>
      <w:r>
        <w:rPr>
          <w:rFonts w:hint="eastAsia" w:ascii="宋体" w:hAnsi="宋体" w:eastAsia="华文楷体" w:cs="华文楷体"/>
          <w:kern w:val="0"/>
          <w:sz w:val="22"/>
          <w:szCs w:val="21"/>
        </w:rPr>
        <w:t>）</w:t>
      </w:r>
      <w:r>
        <w:rPr>
          <w:rFonts w:hint="eastAsia" w:ascii="宋体" w:hAnsi="宋体"/>
          <w:szCs w:val="21"/>
        </w:rPr>
        <w:t>中标（成交）采购标的制造商是否为中小企业：</w:t>
      </w: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否</w:t>
      </w:r>
    </w:p>
    <w:p>
      <w:pPr>
        <w:numPr>
          <w:ilvl w:val="255"/>
          <w:numId w:val="0"/>
        </w:numPr>
        <w:adjustRightInd w:val="0"/>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255"/>
          <w:numId w:val="0"/>
        </w:numPr>
        <w:adjustRightInd w:val="0"/>
        <w:snapToGrid w:val="0"/>
        <w:spacing w:line="400" w:lineRule="exact"/>
        <w:rPr>
          <w:rFonts w:ascii="宋体" w:hAnsi="宋体"/>
          <w:iCs/>
          <w:szCs w:val="21"/>
        </w:rPr>
      </w:pPr>
      <w:r>
        <w:rPr>
          <w:rFonts w:hint="eastAsia" w:ascii="Times New Roman" w:hAnsi="Times New Roma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255"/>
          <w:numId w:val="0"/>
        </w:numPr>
        <w:adjustRightInd w:val="0"/>
        <w:snapToGrid w:val="0"/>
        <w:spacing w:line="400" w:lineRule="exact"/>
        <w:rPr>
          <w:rFonts w:ascii="宋体" w:hAnsi="宋体"/>
          <w:iCs/>
          <w:szCs w:val="21"/>
        </w:rPr>
      </w:pPr>
      <w:r>
        <w:rPr>
          <w:rFonts w:hint="eastAsia" w:ascii="Times New Roman" w:hAnsi="Times New Roma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snapToGrid w:val="0"/>
        <w:spacing w:line="400" w:lineRule="exact"/>
        <w:rPr>
          <w:rFonts w:ascii="Times New Roman" w:hAnsi="Times New Roman"/>
        </w:rPr>
      </w:pPr>
      <w:r>
        <w:rPr>
          <w:rFonts w:hint="eastAsia" w:ascii="Times New Roman" w:hAnsi="Times New Roma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lang w:val="e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分包供应商/制造商名称（如供应商和制造商不同，请分别填写）：</w:t>
      </w:r>
    </w:p>
    <w:p>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分包供应商/制造商类型（如果供应商和制造商不同，只填写制造商类型）：</w:t>
      </w:r>
    </w:p>
    <w:p>
      <w:pPr>
        <w:adjustRightInd w:val="0"/>
        <w:snapToGrid w:val="0"/>
        <w:spacing w:line="400" w:lineRule="exact"/>
        <w:ind w:firstLine="840"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pPr>
        <w:adjustRightInd w:val="0"/>
        <w:snapToGrid w:val="0"/>
        <w:spacing w:line="400" w:lineRule="exact"/>
        <w:ind w:firstLine="840" w:firstLineChars="400"/>
        <w:rPr>
          <w:rFonts w:ascii="Times New Roman" w:hAnsi="Times New Roman"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pPr>
        <w:numPr>
          <w:ilvl w:val="255"/>
          <w:numId w:val="0"/>
        </w:numPr>
        <w:adjustRightInd w:val="0"/>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pPr>
        <w:widowControl/>
        <w:tabs>
          <w:tab w:val="left" w:pos="1340"/>
        </w:tabs>
        <w:autoSpaceDE w:val="0"/>
        <w:autoSpaceDN w:val="0"/>
        <w:adjustRightInd w:val="0"/>
        <w:spacing w:line="400" w:lineRule="exact"/>
        <w:ind w:firstLine="420" w:firstLineChars="200"/>
        <w:jc w:val="left"/>
        <w:rPr>
          <w:rFonts w:ascii="宋体" w:hAnsi="宋体" w:cs="宋体"/>
          <w:kern w:val="0"/>
          <w:szCs w:val="21"/>
          <w:u w:val="single"/>
        </w:rPr>
      </w:pPr>
      <w:r>
        <w:rPr>
          <w:rFonts w:hint="eastAsia" w:ascii="宋体" w:hAnsi="宋体" w:cs="宋体"/>
          <w:kern w:val="0"/>
          <w:szCs w:val="21"/>
        </w:rPr>
        <w:t xml:space="preserve">     外商投资企业类型：</w:t>
      </w:r>
      <w:r>
        <w:rPr>
          <w:rFonts w:hint="eastAsia" w:ascii="宋体" w:hAnsi="宋体" w:cs="宋体"/>
          <w:iCs/>
          <w:kern w:val="0"/>
          <w:szCs w:val="21"/>
        </w:rPr>
        <w:sym w:font="Wingdings" w:char="00A8"/>
      </w:r>
      <w:r>
        <w:rPr>
          <w:rFonts w:hint="eastAsia" w:ascii="宋体" w:hAnsi="宋体" w:cs="宋体"/>
          <w:kern w:val="0"/>
          <w:szCs w:val="21"/>
        </w:rPr>
        <w:t xml:space="preserve">全部由外国投资者投资  </w:t>
      </w:r>
      <w:r>
        <w:rPr>
          <w:rFonts w:hint="eastAsia" w:ascii="宋体" w:hAnsi="宋体" w:cs="宋体"/>
          <w:iCs/>
          <w:kern w:val="0"/>
          <w:szCs w:val="21"/>
        </w:rPr>
        <w:sym w:font="Wingdings" w:char="00A8"/>
      </w:r>
      <w:r>
        <w:rPr>
          <w:rFonts w:hint="eastAsia" w:ascii="宋体" w:hAnsi="宋体" w:cs="宋体"/>
          <w:iCs/>
          <w:kern w:val="0"/>
          <w:szCs w:val="21"/>
        </w:rPr>
        <w:t>部分由外国投资者投资</w:t>
      </w:r>
    </w:p>
    <w:p>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lang w:val="en"/>
        </w:rPr>
        <w:t>9</w:t>
      </w:r>
      <w:r>
        <w:rPr>
          <w:rFonts w:hint="eastAsia" w:ascii="宋体" w:hAnsi="宋体" w:cs="宋体"/>
          <w:szCs w:val="21"/>
        </w:rPr>
        <w:t>）是否涉及进口产品：</w:t>
      </w:r>
    </w:p>
    <w:p>
      <w:pPr>
        <w:numPr>
          <w:ilvl w:val="255"/>
          <w:numId w:val="0"/>
        </w:num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pPr>
        <w:numPr>
          <w:ilvl w:val="255"/>
          <w:numId w:val="0"/>
        </w:numPr>
        <w:adjustRightInd w:val="0"/>
        <w:snapToGrid w:val="0"/>
        <w:spacing w:line="400" w:lineRule="exact"/>
        <w:ind w:firstLine="840"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pPr>
        <w:adjustRightInd w:val="0"/>
        <w:snapToGrid w:val="0"/>
        <w:spacing w:line="400" w:lineRule="exact"/>
        <w:ind w:firstLine="840"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）是否涉及节能产品：</w:t>
      </w:r>
    </w:p>
    <w:p>
      <w:pPr>
        <w:numPr>
          <w:ilvl w:val="255"/>
          <w:numId w:val="0"/>
        </w:numPr>
        <w:tabs>
          <w:tab w:val="left" w:pos="740"/>
        </w:tabs>
        <w:adjustRightInd w:val="0"/>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是否涉及环境标志产品：</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pPr>
        <w:widowControl/>
        <w:numPr>
          <w:ilvl w:val="255"/>
          <w:numId w:val="0"/>
        </w:numPr>
        <w:autoSpaceDE w:val="0"/>
        <w:autoSpaceDN w:val="0"/>
        <w:adjustRightInd w:val="0"/>
        <w:snapToGrid w:val="0"/>
        <w:spacing w:line="400" w:lineRule="exact"/>
        <w:jc w:val="left"/>
        <w:rPr>
          <w:rFonts w:ascii="宋体" w:hAnsi="宋体"/>
          <w:szCs w:val="21"/>
        </w:rPr>
      </w:pPr>
      <w:r>
        <w:rPr>
          <w:rFonts w:hint="eastAsia" w:ascii="宋体" w:hAnsi="宋体" w:eastAsia="华文楷体" w:cs="华文楷体"/>
          <w:kern w:val="0"/>
          <w:szCs w:val="21"/>
        </w:rPr>
        <w:t xml:space="preserve">          </w:t>
      </w:r>
      <w:r>
        <w:rPr>
          <w:rFonts w:hint="eastAsia" w:ascii="宋体" w:hAnsi="宋体"/>
          <w:szCs w:val="21"/>
        </w:rPr>
        <w:t xml:space="preserve">是否涉及绿色产品： </w:t>
      </w:r>
    </w:p>
    <w:p>
      <w:pPr>
        <w:widowControl/>
        <w:autoSpaceDE w:val="0"/>
        <w:autoSpaceDN w:val="0"/>
        <w:adjustRightInd w:val="0"/>
        <w:spacing w:line="400" w:lineRule="exact"/>
        <w:ind w:firstLine="420"/>
        <w:jc w:val="left"/>
        <w:rPr>
          <w:rFonts w:ascii="宋体" w:hAnsi="宋体" w:cs="华文楷体"/>
          <w:kern w:val="0"/>
          <w:sz w:val="22"/>
          <w:szCs w:val="21"/>
          <w:u w:val="single"/>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是，绿色产品政府采购相关政策确定的底级品目名称：</w:t>
      </w:r>
      <w:r>
        <w:rPr>
          <w:rFonts w:hint="eastAsia" w:ascii="宋体" w:hAnsi="宋体" w:cs="华文楷体"/>
          <w:kern w:val="0"/>
          <w:sz w:val="22"/>
          <w:szCs w:val="21"/>
          <w:u w:val="single"/>
        </w:rPr>
        <w:t xml:space="preserve">         </w:t>
      </w:r>
    </w:p>
    <w:p>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pPr>
        <w:widowControl/>
        <w:autoSpaceDE w:val="0"/>
        <w:autoSpaceDN w:val="0"/>
        <w:adjustRightInd w:val="0"/>
        <w:spacing w:line="400" w:lineRule="exact"/>
        <w:ind w:firstLine="420"/>
        <w:jc w:val="left"/>
        <w:rPr>
          <w:rFonts w:ascii="宋体" w:hAnsi="宋体" w:eastAsia="华文楷体" w:cs="华文楷体"/>
          <w:kern w:val="0"/>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pPr>
        <w:numPr>
          <w:ilvl w:val="255"/>
          <w:numId w:val="0"/>
        </w:numPr>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pPr>
        <w:numPr>
          <w:ilvl w:val="255"/>
          <w:numId w:val="0"/>
        </w:numPr>
        <w:adjustRightInd w:val="0"/>
        <w:snapToGrid w:val="0"/>
        <w:spacing w:line="40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pPr>
        <w:numPr>
          <w:ilvl w:val="0"/>
          <w:numId w:val="5"/>
        </w:numPr>
        <w:adjustRightInd w:val="0"/>
        <w:snapToGrid w:val="0"/>
        <w:spacing w:line="400" w:lineRule="exact"/>
        <w:ind w:firstLine="421" w:firstLineChars="200"/>
        <w:rPr>
          <w:rFonts w:ascii="宋体" w:hAnsi="宋体"/>
          <w:b/>
          <w:szCs w:val="21"/>
        </w:rPr>
      </w:pPr>
      <w:r>
        <w:rPr>
          <w:rFonts w:hint="eastAsia" w:ascii="宋体" w:hAnsi="宋体"/>
          <w:b/>
          <w:szCs w:val="21"/>
        </w:rPr>
        <w:t>合同金额</w:t>
      </w:r>
    </w:p>
    <w:p>
      <w:pPr>
        <w:adjustRightInd w:val="0"/>
        <w:snapToGrid w:val="0"/>
        <w:spacing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pPr>
        <w:adjustRightInd w:val="0"/>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pPr>
        <w:adjustRightInd w:val="0"/>
        <w:snapToGrid w:val="0"/>
        <w:spacing w:line="400" w:lineRule="exact"/>
        <w:rPr>
          <w:rFonts w:ascii="宋体" w:hAnsi="宋体"/>
          <w:szCs w:val="21"/>
        </w:rPr>
      </w:pPr>
      <w:r>
        <w:rPr>
          <w:rFonts w:hint="eastAsia" w:ascii="宋体" w:hAnsi="宋体"/>
          <w:szCs w:val="21"/>
        </w:rPr>
        <w:t xml:space="preserve">    （注：固定单价合同应填写单价和最高限价）</w:t>
      </w:r>
    </w:p>
    <w:p>
      <w:pPr>
        <w:numPr>
          <w:ilvl w:val="255"/>
          <w:numId w:val="0"/>
        </w:numPr>
        <w:adjustRightInd w:val="0"/>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pPr>
        <w:adjustRightInd w:val="0"/>
        <w:snapToGrid w:val="0"/>
        <w:spacing w:line="40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F0FE"/>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pPr>
        <w:spacing w:line="400" w:lineRule="exact"/>
        <w:ind w:firstLine="420" w:firstLineChars="200"/>
        <w:rPr>
          <w:rFonts w:ascii="Times New Roman" w:hAnsi="Times New Roman"/>
          <w:szCs w:val="21"/>
        </w:rPr>
      </w:pPr>
      <w:r>
        <w:rPr>
          <w:rFonts w:hint="eastAsia" w:ascii="宋体" w:hAnsi="宋体"/>
          <w:szCs w:val="21"/>
        </w:rPr>
        <w:t>（3）付款方式（按项目实际勾选填写）：</w:t>
      </w:r>
    </w:p>
    <w:p>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pPr>
        <w:snapToGrid w:val="0"/>
        <w:spacing w:line="400" w:lineRule="exact"/>
        <w:ind w:firstLine="630" w:firstLineChars="300"/>
        <w:rPr>
          <w:rFonts w:ascii="Times New Roman" w:hAnsi="Times New Roman"/>
        </w:rPr>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 </w:t>
      </w:r>
      <w:r>
        <w:rPr>
          <w:rFonts w:hint="eastAsia" w:ascii="宋体" w:hAnsi="宋体"/>
          <w:szCs w:val="21"/>
        </w:rPr>
        <w:t>，其中涉及预付款的：</w:t>
      </w:r>
      <w:r>
        <w:rPr>
          <w:rFonts w:hint="eastAsia" w:ascii="宋体" w:hAnsi="宋体"/>
          <w:szCs w:val="21"/>
          <w:u w:val="single"/>
        </w:rPr>
        <w:t xml:space="preserve"> （应明确预付款的支付比例和支付条件） </w:t>
      </w:r>
    </w:p>
    <w:p>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adjustRightInd w:val="0"/>
        <w:snapToGrid w:val="0"/>
        <w:spacing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numPr>
          <w:ilvl w:val="0"/>
          <w:numId w:val="5"/>
        </w:numPr>
        <w:adjustRightInd w:val="0"/>
        <w:snapToGrid w:val="0"/>
        <w:spacing w:line="400" w:lineRule="exact"/>
        <w:ind w:firstLine="421" w:firstLineChars="200"/>
        <w:rPr>
          <w:rFonts w:ascii="宋体" w:hAnsi="宋体"/>
          <w:b/>
          <w:szCs w:val="21"/>
          <w:u w:val="single"/>
        </w:rPr>
      </w:pPr>
      <w:r>
        <w:rPr>
          <w:rFonts w:hint="eastAsia" w:ascii="宋体" w:hAnsi="宋体"/>
          <w:b/>
          <w:szCs w:val="21"/>
        </w:rPr>
        <w:t>合同履行</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pPr>
        <w:adjustRightInd w:val="0"/>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pPr>
        <w:widowControl/>
        <w:autoSpaceDE w:val="0"/>
        <w:autoSpaceDN w:val="0"/>
        <w:adjustRightInd w:val="0"/>
        <w:spacing w:line="400" w:lineRule="exact"/>
        <w:ind w:firstLine="440" w:firstLineChars="200"/>
        <w:jc w:val="left"/>
        <w:rPr>
          <w:rFonts w:ascii="宋体" w:hAnsi="宋体" w:cs="宋体"/>
          <w:kern w:val="0"/>
          <w:szCs w:val="21"/>
        </w:rPr>
      </w:pPr>
      <w:r>
        <w:rPr>
          <w:rFonts w:hint="eastAsia" w:ascii="宋体" w:hAnsi="宋体" w:eastAsia="华文楷体" w:cs="宋体"/>
          <w:bCs/>
          <w:kern w:val="0"/>
          <w:sz w:val="22"/>
          <w:szCs w:val="21"/>
        </w:rPr>
        <w:t xml:space="preserve">  </w:t>
      </w:r>
      <w:r>
        <w:rPr>
          <w:rFonts w:hint="eastAsia" w:ascii="宋体" w:hAnsi="宋体" w:cs="宋体"/>
          <w:kern w:val="0"/>
          <w:szCs w:val="21"/>
        </w:rPr>
        <w:t xml:space="preserve">  收取履约保证金形式：</w:t>
      </w:r>
      <w:r>
        <w:rPr>
          <w:rFonts w:hint="eastAsia" w:ascii="宋体" w:hAnsi="宋体" w:cs="宋体"/>
          <w:bCs/>
          <w:kern w:val="0"/>
          <w:szCs w:val="21"/>
          <w:u w:val="single"/>
        </w:rPr>
        <w:t xml:space="preserve">                            </w:t>
      </w:r>
    </w:p>
    <w:p>
      <w:pPr>
        <w:widowControl/>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 xml:space="preserve">    收取履约保证金金额：</w:t>
      </w:r>
      <w:r>
        <w:rPr>
          <w:rFonts w:hint="eastAsia" w:ascii="宋体" w:hAnsi="宋体" w:cs="宋体"/>
          <w:bCs/>
          <w:kern w:val="0"/>
          <w:szCs w:val="21"/>
          <w:u w:val="single"/>
        </w:rPr>
        <w:t xml:space="preserve">                            </w:t>
      </w:r>
    </w:p>
    <w:p>
      <w:pPr>
        <w:snapToGrid w:val="0"/>
        <w:spacing w:line="400" w:lineRule="exact"/>
        <w:ind w:firstLine="420"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pPr>
        <w:adjustRightInd w:val="0"/>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pPr>
        <w:numPr>
          <w:ilvl w:val="0"/>
          <w:numId w:val="5"/>
        </w:numPr>
        <w:adjustRightInd w:val="0"/>
        <w:snapToGrid w:val="0"/>
        <w:spacing w:line="400" w:lineRule="exact"/>
        <w:ind w:firstLine="421" w:firstLineChars="200"/>
        <w:rPr>
          <w:rFonts w:ascii="宋体" w:hAnsi="宋体"/>
          <w:b/>
          <w:szCs w:val="21"/>
        </w:rPr>
      </w:pPr>
      <w:r>
        <w:rPr>
          <w:rFonts w:hint="eastAsia" w:ascii="宋体" w:hAnsi="宋体"/>
          <w:b/>
          <w:szCs w:val="21"/>
        </w:rPr>
        <w:t>合同验收</w:t>
      </w:r>
    </w:p>
    <w:p>
      <w:pPr>
        <w:numPr>
          <w:ilvl w:val="0"/>
          <w:numId w:val="7"/>
        </w:numPr>
        <w:adjustRightInd w:val="0"/>
        <w:snapToGrid w:val="0"/>
        <w:spacing w:line="400" w:lineRule="exact"/>
        <w:ind w:firstLine="420"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pPr>
        <w:adjustRightInd w:val="0"/>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pPr>
        <w:adjustRightInd w:val="0"/>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pPr>
        <w:adjustRightInd w:val="0"/>
        <w:snapToGrid w:val="0"/>
        <w:spacing w:line="400" w:lineRule="exact"/>
        <w:ind w:firstLine="840"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adjustRightInd w:val="0"/>
        <w:snapToGrid w:val="0"/>
        <w:spacing w:line="400" w:lineRule="exact"/>
        <w:ind w:firstLine="420"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pPr>
        <w:adjustRightInd w:val="0"/>
        <w:snapToGrid w:val="0"/>
        <w:spacing w:line="400" w:lineRule="exact"/>
        <w:ind w:firstLine="420"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pPr>
        <w:adjustRightInd w:val="0"/>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lang w:val="en"/>
        </w:rPr>
        <w:t>/</w:t>
      </w:r>
      <w:r>
        <w:rPr>
          <w:rFonts w:hint="eastAsia" w:ascii="宋体" w:hAnsi="宋体"/>
          <w:bCs/>
          <w:szCs w:val="21"/>
          <w:u w:val="single"/>
          <w:lang w:val="en"/>
        </w:rPr>
        <w:t>分项验收的工作安排</w:t>
      </w:r>
      <w:r>
        <w:rPr>
          <w:rFonts w:hint="eastAsia" w:ascii="宋体" w:hAnsi="宋体"/>
          <w:bCs/>
          <w:szCs w:val="21"/>
          <w:u w:val="single"/>
        </w:rPr>
        <w:t xml:space="preserve">）  </w:t>
      </w:r>
    </w:p>
    <w:p>
      <w:pPr>
        <w:adjustRightInd w:val="0"/>
        <w:snapToGrid w:val="0"/>
        <w:spacing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adjustRightInd w:val="0"/>
        <w:snapToGrid w:val="0"/>
        <w:spacing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pPr>
        <w:adjustRightInd w:val="0"/>
        <w:snapToGrid w:val="0"/>
        <w:spacing w:line="400" w:lineRule="exact"/>
        <w:ind w:firstLine="420"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widowControl/>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bCs/>
          <w:kern w:val="0"/>
          <w:szCs w:val="21"/>
        </w:rPr>
        <w:t>（7）是否以采购活动中供应商提供的样品作为参考：</w:t>
      </w:r>
      <w:r>
        <w:rPr>
          <w:rFonts w:hint="eastAsia" w:ascii="宋体" w:hAnsi="宋体" w:cs="宋体"/>
          <w:kern w:val="0"/>
          <w:szCs w:val="21"/>
        </w:rPr>
        <w:sym w:font="Wingdings" w:char="00A8"/>
      </w:r>
      <w:r>
        <w:rPr>
          <w:rFonts w:hint="eastAsia" w:ascii="宋体" w:hAnsi="宋体" w:cs="宋体"/>
          <w:bCs/>
          <w:kern w:val="0"/>
          <w:szCs w:val="21"/>
        </w:rPr>
        <w:t xml:space="preserve">是  </w:t>
      </w:r>
      <w:r>
        <w:rPr>
          <w:rFonts w:hint="eastAsia" w:ascii="宋体" w:hAnsi="宋体" w:cs="宋体"/>
          <w:kern w:val="0"/>
          <w:szCs w:val="21"/>
        </w:rPr>
        <w:sym w:font="Wingdings" w:char="00A8"/>
      </w:r>
      <w:r>
        <w:rPr>
          <w:rFonts w:hint="eastAsia" w:ascii="宋体" w:hAnsi="宋体" w:cs="宋体"/>
          <w:bCs/>
          <w:kern w:val="0"/>
          <w:szCs w:val="21"/>
        </w:rPr>
        <w:t>否</w:t>
      </w:r>
    </w:p>
    <w:p>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pPr>
        <w:numPr>
          <w:ilvl w:val="0"/>
          <w:numId w:val="5"/>
        </w:numPr>
        <w:adjustRightInd w:val="0"/>
        <w:snapToGrid w:val="0"/>
        <w:spacing w:line="400" w:lineRule="exact"/>
        <w:ind w:firstLine="421" w:firstLineChars="200"/>
        <w:rPr>
          <w:rFonts w:ascii="宋体" w:hAnsi="宋体"/>
          <w:b/>
          <w:szCs w:val="21"/>
        </w:rPr>
      </w:pPr>
      <w:r>
        <w:rPr>
          <w:rFonts w:hint="eastAsia" w:ascii="宋体" w:hAnsi="宋体"/>
          <w:b/>
          <w:szCs w:val="21"/>
        </w:rPr>
        <w:t>组成合同的文件</w:t>
      </w:r>
    </w:p>
    <w:p>
      <w:pPr>
        <w:adjustRightInd w:val="0"/>
        <w:snapToGrid w:val="0"/>
        <w:spacing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adjustRightInd w:val="0"/>
        <w:snapToGrid w:val="0"/>
        <w:spacing w:line="400" w:lineRule="exact"/>
        <w:ind w:firstLine="420" w:firstLineChars="200"/>
        <w:rPr>
          <w:rFonts w:ascii="宋体" w:hAnsi="宋体"/>
          <w:szCs w:val="21"/>
        </w:rPr>
      </w:pPr>
      <w:r>
        <w:rPr>
          <w:rFonts w:hint="eastAsia" w:ascii="宋体" w:hAnsi="宋体"/>
          <w:szCs w:val="21"/>
        </w:rPr>
        <w:t>（1）政府采购合同协议书及其变更、补充协议</w:t>
      </w:r>
    </w:p>
    <w:p>
      <w:pPr>
        <w:adjustRightInd w:val="0"/>
        <w:snapToGrid w:val="0"/>
        <w:spacing w:line="400" w:lineRule="exact"/>
        <w:ind w:firstLine="420" w:firstLineChars="200"/>
        <w:rPr>
          <w:rFonts w:ascii="宋体" w:hAnsi="宋体"/>
          <w:szCs w:val="21"/>
        </w:rPr>
      </w:pPr>
      <w:r>
        <w:rPr>
          <w:rFonts w:hint="eastAsia" w:ascii="宋体" w:hAnsi="宋体"/>
          <w:szCs w:val="21"/>
        </w:rPr>
        <w:t>（2）政府采购合同专用条款</w:t>
      </w:r>
    </w:p>
    <w:p>
      <w:pPr>
        <w:adjustRightInd w:val="0"/>
        <w:snapToGrid w:val="0"/>
        <w:spacing w:line="400" w:lineRule="exact"/>
        <w:ind w:firstLine="420" w:firstLineChars="200"/>
        <w:rPr>
          <w:rFonts w:ascii="宋体" w:hAnsi="宋体"/>
          <w:szCs w:val="21"/>
        </w:rPr>
      </w:pPr>
      <w:r>
        <w:rPr>
          <w:rFonts w:hint="eastAsia" w:ascii="宋体" w:hAnsi="宋体"/>
          <w:szCs w:val="21"/>
        </w:rPr>
        <w:t>（3）政府采购合同通用条款</w:t>
      </w:r>
    </w:p>
    <w:p>
      <w:pPr>
        <w:adjustRightInd w:val="0"/>
        <w:snapToGrid w:val="0"/>
        <w:spacing w:line="400" w:lineRule="exact"/>
        <w:ind w:firstLine="420" w:firstLineChars="200"/>
        <w:rPr>
          <w:rFonts w:ascii="宋体" w:hAnsi="宋体"/>
          <w:szCs w:val="21"/>
        </w:rPr>
      </w:pPr>
      <w:r>
        <w:rPr>
          <w:rFonts w:hint="eastAsia" w:ascii="宋体" w:hAnsi="宋体"/>
          <w:szCs w:val="21"/>
        </w:rPr>
        <w:t>（4）中标（成交）通知书</w:t>
      </w:r>
    </w:p>
    <w:p>
      <w:pPr>
        <w:adjustRightInd w:val="0"/>
        <w:snapToGrid w:val="0"/>
        <w:spacing w:line="400" w:lineRule="exact"/>
        <w:ind w:firstLine="420" w:firstLineChars="200"/>
        <w:rPr>
          <w:rFonts w:ascii="宋体" w:hAnsi="宋体"/>
          <w:szCs w:val="21"/>
        </w:rPr>
      </w:pPr>
      <w:r>
        <w:rPr>
          <w:rFonts w:hint="eastAsia" w:ascii="宋体" w:hAnsi="宋体"/>
          <w:szCs w:val="21"/>
        </w:rPr>
        <w:t>（5）投标（响应）文件</w:t>
      </w:r>
    </w:p>
    <w:p>
      <w:pPr>
        <w:adjustRightInd w:val="0"/>
        <w:snapToGrid w:val="0"/>
        <w:spacing w:line="400" w:lineRule="exact"/>
        <w:ind w:firstLine="420" w:firstLineChars="200"/>
        <w:rPr>
          <w:rFonts w:ascii="宋体" w:hAnsi="宋体"/>
          <w:szCs w:val="21"/>
        </w:rPr>
      </w:pPr>
      <w:r>
        <w:rPr>
          <w:rFonts w:hint="eastAsia" w:ascii="宋体" w:hAnsi="宋体"/>
          <w:szCs w:val="21"/>
        </w:rPr>
        <w:t>（6）采购文件</w:t>
      </w:r>
    </w:p>
    <w:p>
      <w:pPr>
        <w:adjustRightInd w:val="0"/>
        <w:snapToGrid w:val="0"/>
        <w:spacing w:line="400" w:lineRule="exact"/>
        <w:ind w:firstLine="420" w:firstLineChars="200"/>
        <w:rPr>
          <w:rFonts w:ascii="宋体" w:hAnsi="宋体"/>
          <w:szCs w:val="21"/>
        </w:rPr>
      </w:pPr>
      <w:r>
        <w:rPr>
          <w:rFonts w:hint="eastAsia" w:ascii="宋体" w:hAnsi="宋体"/>
          <w:szCs w:val="21"/>
        </w:rPr>
        <w:t>（7）有关技术文件，图纸</w:t>
      </w:r>
    </w:p>
    <w:p>
      <w:pPr>
        <w:widowControl/>
        <w:autoSpaceDE w:val="0"/>
        <w:autoSpaceDN w:val="0"/>
        <w:adjustRightInd w:val="0"/>
        <w:spacing w:line="400" w:lineRule="exact"/>
        <w:ind w:firstLine="420" w:firstLineChars="200"/>
        <w:jc w:val="left"/>
        <w:rPr>
          <w:rFonts w:ascii="宋体" w:hAnsi="宋体" w:cs="宋体"/>
          <w:szCs w:val="21"/>
        </w:rPr>
      </w:pPr>
      <w:r>
        <w:rPr>
          <w:rFonts w:hint="eastAsia" w:ascii="宋体" w:hAnsi="宋体" w:cs="宋体"/>
          <w:kern w:val="0"/>
          <w:szCs w:val="21"/>
        </w:rPr>
        <w:t>（8）</w:t>
      </w:r>
      <w:r>
        <w:rPr>
          <w:rFonts w:hint="eastAsia" w:ascii="宋体" w:hAnsi="宋体" w:cs="宋体"/>
          <w:szCs w:val="21"/>
        </w:rPr>
        <w:t>国家法律、行政法规和规章制度规定或合同约定的作为合同组成部分的其他文件</w:t>
      </w:r>
    </w:p>
    <w:p>
      <w:pPr>
        <w:numPr>
          <w:ilvl w:val="0"/>
          <w:numId w:val="5"/>
        </w:numPr>
        <w:adjustRightInd w:val="0"/>
        <w:snapToGrid w:val="0"/>
        <w:spacing w:line="400" w:lineRule="exact"/>
        <w:ind w:firstLine="421" w:firstLineChars="200"/>
        <w:rPr>
          <w:rFonts w:ascii="宋体" w:hAnsi="宋体"/>
          <w:b/>
          <w:szCs w:val="21"/>
        </w:rPr>
      </w:pPr>
      <w:r>
        <w:rPr>
          <w:rFonts w:hint="eastAsia" w:ascii="宋体" w:hAnsi="宋体"/>
          <w:b/>
          <w:szCs w:val="21"/>
        </w:rPr>
        <w:t>合同生效</w:t>
      </w:r>
    </w:p>
    <w:p>
      <w:pPr>
        <w:adjustRightInd w:val="0"/>
        <w:snapToGrid w:val="0"/>
        <w:spacing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numPr>
          <w:ilvl w:val="0"/>
          <w:numId w:val="5"/>
        </w:numPr>
        <w:adjustRightInd w:val="0"/>
        <w:snapToGrid w:val="0"/>
        <w:spacing w:line="400" w:lineRule="exact"/>
        <w:ind w:firstLine="421" w:firstLineChars="200"/>
        <w:rPr>
          <w:rFonts w:ascii="宋体" w:hAnsi="宋体"/>
          <w:b/>
          <w:szCs w:val="21"/>
        </w:rPr>
      </w:pPr>
      <w:r>
        <w:rPr>
          <w:rFonts w:hint="eastAsia" w:ascii="宋体" w:hAnsi="宋体"/>
          <w:b/>
          <w:szCs w:val="21"/>
        </w:rPr>
        <w:t>合同份数</w:t>
      </w:r>
    </w:p>
    <w:p>
      <w:pPr>
        <w:adjustRightInd w:val="0"/>
        <w:snapToGrid w:val="0"/>
        <w:spacing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pPr>
        <w:adjustRightInd w:val="0"/>
        <w:snapToGrid w:val="0"/>
        <w:spacing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adjustRightInd w:val="0"/>
        <w:snapToGrid w:val="0"/>
        <w:spacing w:line="400" w:lineRule="exact"/>
        <w:ind w:firstLine="420" w:firstLineChars="200"/>
        <w:rPr>
          <w:rFonts w:ascii="Times New Roman" w:hAnsi="Times New Roman"/>
        </w:rPr>
      </w:pPr>
      <w:r>
        <w:rPr>
          <w:rFonts w:hint="eastAsia" w:ascii="宋体" w:hAnsi="宋体"/>
          <w:szCs w:val="21"/>
        </w:rPr>
        <w:t>附件：具体标的及其技术要求和商务要求、联合协议、分包意向协议等。</w:t>
      </w:r>
    </w:p>
    <w:p>
      <w:pPr>
        <w:spacing w:line="400" w:lineRule="exact"/>
        <w:ind w:firstLine="420" w:firstLineChars="200"/>
        <w:rPr>
          <w:rFonts w:ascii="Times New Roman" w:hAnsi="Times New Roman"/>
          <w:szCs w:val="21"/>
        </w:rPr>
      </w:pPr>
    </w:p>
    <w:p>
      <w:pPr>
        <w:keepNext/>
        <w:keepLines/>
        <w:spacing w:line="400" w:lineRule="exact"/>
        <w:outlineLvl w:val="1"/>
        <w:rPr>
          <w:rFonts w:ascii="宋体" w:hAnsi="宋体"/>
          <w:szCs w:val="21"/>
        </w:rPr>
      </w:pPr>
      <w:r>
        <w:rPr>
          <w:rFonts w:ascii="Arial" w:hAnsi="Arial"/>
          <w:b/>
          <w:bCs/>
          <w:sz w:val="24"/>
          <w:szCs w:val="32"/>
          <w:lang w:val="en"/>
        </w:rPr>
        <w:t xml:space="preserve">   </w:t>
      </w:r>
    </w:p>
    <w:p>
      <w:pPr>
        <w:rPr>
          <w:rFonts w:ascii="Times New Roman" w:hAnsi="Times New Roman"/>
        </w:rPr>
      </w:pPr>
      <w:r>
        <w:rPr>
          <w:rFonts w:hint="eastAsia" w:ascii="Times New Roman" w:hAnsi="Times New Roman"/>
        </w:rPr>
        <w:br w:type="page"/>
      </w:r>
    </w:p>
    <w:p>
      <w:pPr>
        <w:ind w:firstLine="420" w:firstLineChars="200"/>
        <w:rPr>
          <w:rFonts w:ascii="Times New Roman" w:hAnsi="Times New Roman"/>
          <w:szCs w:val="21"/>
        </w:rPr>
      </w:pPr>
    </w:p>
    <w:tbl>
      <w:tblPr>
        <w:tblStyle w:val="5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7"/>
        <w:gridCol w:w="2789"/>
        <w:gridCol w:w="2288"/>
        <w:gridCol w:w="244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pPr>
              <w:adjustRightInd w:val="0"/>
              <w:snapToGrid w:val="0"/>
              <w:spacing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拥有者性别</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住  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通信地址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adjustRightInd w:val="0"/>
              <w:snapToGrid w:val="0"/>
              <w:spacing w:before="156" w:beforeLines="50" w:line="360" w:lineRule="auto"/>
              <w:jc w:val="left"/>
              <w:rPr>
                <w:spacing w:val="20"/>
                <w:szCs w:val="21"/>
              </w:rPr>
            </w:pPr>
            <w:r>
              <w:rPr>
                <w:rFonts w:hint="eastAsia" w:ascii="宋体" w:hAnsi="宋体"/>
                <w:szCs w:val="21"/>
              </w:rPr>
              <w:t>注：涉及联合体或其他合同主体的信息应按上表格式加列。</w:t>
            </w:r>
          </w:p>
        </w:tc>
      </w:tr>
    </w:tbl>
    <w:p>
      <w:pPr>
        <w:keepNext/>
        <w:keepLines/>
        <w:adjustRightInd w:val="0"/>
        <w:snapToGrid w:val="0"/>
        <w:spacing w:before="156" w:beforeLines="50" w:line="360" w:lineRule="auto"/>
        <w:jc w:val="center"/>
        <w:outlineLvl w:val="1"/>
        <w:rPr>
          <w:rFonts w:ascii="黑体" w:hAnsi="黑体" w:eastAsia="黑体"/>
          <w:b/>
          <w:bCs/>
          <w:sz w:val="28"/>
          <w:szCs w:val="28"/>
        </w:rPr>
      </w:pPr>
      <w:r>
        <w:rPr>
          <w:rFonts w:ascii="宋体" w:hAnsi="宋体"/>
          <w:b/>
          <w:bCs/>
          <w:szCs w:val="21"/>
          <w:u w:val="single"/>
        </w:rPr>
        <w:br w:type="page"/>
      </w:r>
      <w:bookmarkStart w:id="60" w:name="_Toc27624"/>
      <w:r>
        <w:rPr>
          <w:rFonts w:hint="eastAsia" w:ascii="黑体" w:hAnsi="黑体" w:eastAsia="黑体"/>
          <w:sz w:val="28"/>
          <w:szCs w:val="28"/>
        </w:rPr>
        <w:t>第二节 政府采购合同通用条款</w:t>
      </w:r>
      <w:bookmarkEnd w:id="60"/>
    </w:p>
    <w:p>
      <w:pPr>
        <w:tabs>
          <w:tab w:val="left" w:pos="8820"/>
          <w:tab w:val="left" w:pos="9345"/>
          <w:tab w:val="left" w:pos="9765"/>
        </w:tabs>
        <w:adjustRightInd w:val="0"/>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1.1合同当事人</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1.2本合同下列术语应解释为：</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hint="eastAsia" w:ascii="宋体" w:hAnsi="宋体"/>
          <w:szCs w:val="21"/>
        </w:rPr>
        <w:t>技术资料和材料等。</w:t>
      </w:r>
    </w:p>
    <w:p>
      <w:pPr>
        <w:adjustRightInd w:val="0"/>
        <w:snapToGrid w:val="0"/>
        <w:spacing w:line="400" w:lineRule="exact"/>
        <w:ind w:firstLine="420" w:firstLineChars="200"/>
        <w:jc w:val="left"/>
        <w:rPr>
          <w:rFonts w:ascii="宋体" w:hAnsi="宋体"/>
          <w:szCs w:val="21"/>
        </w:rPr>
      </w:pPr>
      <w:r>
        <w:rPr>
          <w:rFonts w:hint="eastAsia" w:ascii="宋体" w:hAnsi="宋体"/>
          <w:szCs w:val="21"/>
        </w:rPr>
        <w:t>（4）“相关服务”系指根据合同规定，乙方应提供的与货物有关的技术、管理和</w:t>
      </w:r>
      <w:r>
        <w:rPr>
          <w:rFonts w:ascii="宋体" w:hAnsi="宋体"/>
          <w:szCs w:val="21"/>
          <w:lang w:val="en"/>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hint="eastAsia" w:ascii="宋体" w:hAnsi="宋体"/>
          <w:szCs w:val="21"/>
        </w:rPr>
        <w:t>义务。</w:t>
      </w:r>
    </w:p>
    <w:p>
      <w:pPr>
        <w:adjustRightInd w:val="0"/>
        <w:snapToGrid w:val="0"/>
        <w:spacing w:line="400" w:lineRule="exact"/>
        <w:ind w:firstLine="420" w:firstLineChars="200"/>
        <w:jc w:val="left"/>
        <w:rPr>
          <w:rFonts w:ascii="宋体" w:hAnsi="宋体"/>
          <w:szCs w:val="21"/>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pPr>
        <w:numPr>
          <w:ilvl w:val="0"/>
          <w:numId w:val="8"/>
        </w:numPr>
        <w:autoSpaceDE w:val="0"/>
        <w:autoSpaceDN w:val="0"/>
        <w:adjustRightInd w:val="0"/>
        <w:snapToGrid w:val="0"/>
        <w:spacing w:line="400" w:lineRule="exact"/>
        <w:jc w:val="left"/>
        <w:rPr>
          <w:rFonts w:ascii="宋体" w:hAnsi="宋体"/>
          <w:b/>
          <w:bCs/>
          <w:sz w:val="24"/>
        </w:rPr>
      </w:pPr>
      <w:r>
        <w:rPr>
          <w:rFonts w:hint="eastAsia" w:ascii="宋体" w:hAnsi="宋体"/>
          <w:b/>
          <w:sz w:val="24"/>
        </w:rPr>
        <w:t>合同标的及金额</w:t>
      </w:r>
    </w:p>
    <w:p>
      <w:pPr>
        <w:autoSpaceDE w:val="0"/>
        <w:autoSpaceDN w:val="0"/>
        <w:adjustRightInd w:val="0"/>
        <w:snapToGrid w:val="0"/>
        <w:spacing w:line="400" w:lineRule="exact"/>
        <w:ind w:firstLine="420" w:firstLineChars="200"/>
        <w:jc w:val="left"/>
        <w:rPr>
          <w:rFonts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hint="eastAsia" w:ascii="宋体" w:hAnsi="宋体"/>
          <w:szCs w:val="21"/>
        </w:rPr>
        <w:t>任何费用。</w:t>
      </w:r>
    </w:p>
    <w:p>
      <w:pPr>
        <w:adjustRightInd w:val="0"/>
        <w:snapToGrid w:val="0"/>
        <w:spacing w:line="400" w:lineRule="exact"/>
        <w:jc w:val="left"/>
        <w:rPr>
          <w:rFonts w:ascii="宋体" w:hAnsi="宋体"/>
          <w:b/>
          <w:sz w:val="24"/>
        </w:rPr>
      </w:pPr>
      <w:r>
        <w:rPr>
          <w:rFonts w:hint="eastAsia" w:ascii="宋体" w:hAnsi="宋体"/>
          <w:b/>
          <w:sz w:val="24"/>
        </w:rPr>
        <w:t>3. 履行合同的时间、地点和方式</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4. 甲方的权利和义务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pPr>
        <w:snapToGrid w:val="0"/>
        <w:spacing w:line="400" w:lineRule="exact"/>
        <w:ind w:firstLine="420" w:firstLineChars="200"/>
        <w:rPr>
          <w:rFonts w:ascii="Times New Roman" w:hAnsi="Times New Roman"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5. 乙方的权利和义务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pPr>
        <w:spacing w:line="400" w:lineRule="exact"/>
        <w:ind w:firstLine="369" w:firstLineChars="176"/>
        <w:rPr>
          <w:rFonts w:ascii="宋体" w:hAnsi="宋体" w:cs="宋体"/>
          <w:szCs w:val="21"/>
        </w:rPr>
      </w:pPr>
      <w:r>
        <w:rPr>
          <w:rFonts w:hint="eastAsia" w:ascii="宋体" w:hAnsi="宋体"/>
          <w:szCs w:val="21"/>
        </w:rPr>
        <w:t>5.</w:t>
      </w:r>
      <w:r>
        <w:rPr>
          <w:rFonts w:ascii="宋体" w:hAnsi="宋体"/>
          <w:szCs w:val="21"/>
        </w:rPr>
        <w:t>3</w:t>
      </w:r>
      <w:r>
        <w:rPr>
          <w:rFonts w:hint="eastAsia" w:ascii="宋体" w:hAnsi="宋体"/>
          <w:szCs w:val="21"/>
        </w:rPr>
        <w:t>乙方有权</w:t>
      </w:r>
      <w:r>
        <w:rPr>
          <w:rFonts w:hint="eastAsia" w:ascii="宋体" w:hAnsi="宋体" w:cs="宋体"/>
          <w:szCs w:val="21"/>
        </w:rPr>
        <w:t>根据合同约定向甲方收取合同价款。</w:t>
      </w:r>
    </w:p>
    <w:p>
      <w:pPr>
        <w:spacing w:line="400" w:lineRule="exact"/>
        <w:ind w:firstLine="369" w:firstLineChars="176"/>
        <w:rPr>
          <w:rFonts w:ascii="宋体" w:hAnsi="宋体" w:cs="宋体"/>
          <w:szCs w:val="21"/>
        </w:rPr>
      </w:pPr>
      <w:r>
        <w:rPr>
          <w:rFonts w:hint="eastAsia" w:ascii="宋体" w:hAnsi="宋体"/>
          <w:szCs w:val="21"/>
        </w:rPr>
        <w:t>5.</w:t>
      </w:r>
      <w:r>
        <w:rPr>
          <w:rFonts w:ascii="宋体" w:hAnsi="宋体"/>
          <w:szCs w:val="21"/>
        </w:rPr>
        <w:t>4</w:t>
      </w:r>
      <w:r>
        <w:rPr>
          <w:rFonts w:hint="eastAsia" w:ascii="宋体" w:hAnsi="宋体" w:cs="宋体"/>
          <w:szCs w:val="21"/>
        </w:rPr>
        <w:t>国家法律法规规定</w:t>
      </w:r>
      <w:r>
        <w:rPr>
          <w:rFonts w:hint="eastAsia" w:ascii="宋体" w:hAnsi="宋体"/>
          <w:szCs w:val="21"/>
        </w:rPr>
        <w:t>及</w:t>
      </w:r>
      <w:r>
        <w:rPr>
          <w:rFonts w:hint="eastAsia" w:ascii="宋体" w:hAnsi="宋体" w:cs="宋体"/>
          <w:b/>
          <w:bCs/>
          <w:szCs w:val="21"/>
        </w:rPr>
        <w:t>【政府采购合同专用条款】</w:t>
      </w:r>
      <w:r>
        <w:rPr>
          <w:rFonts w:hint="eastAsia" w:ascii="宋体" w:hAnsi="宋体" w:cs="宋体"/>
          <w:szCs w:val="21"/>
        </w:rPr>
        <w:t>约定应由乙方承担的其他义务和责任。</w:t>
      </w:r>
    </w:p>
    <w:p>
      <w:pPr>
        <w:numPr>
          <w:ilvl w:val="0"/>
          <w:numId w:val="9"/>
        </w:numPr>
        <w:autoSpaceDE w:val="0"/>
        <w:autoSpaceDN w:val="0"/>
        <w:adjustRightInd w:val="0"/>
        <w:snapToGrid w:val="0"/>
        <w:spacing w:line="400" w:lineRule="exact"/>
        <w:jc w:val="left"/>
        <w:rPr>
          <w:rFonts w:ascii="宋体" w:hAnsi="宋体"/>
          <w:b/>
          <w:bCs/>
          <w:sz w:val="24"/>
        </w:rPr>
      </w:pPr>
      <w:r>
        <w:rPr>
          <w:rFonts w:hint="eastAsia" w:ascii="宋体" w:hAnsi="宋体"/>
          <w:b/>
          <w:bCs/>
          <w:sz w:val="24"/>
        </w:rPr>
        <w:t>合同履行</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pPr>
        <w:autoSpaceDE w:val="0"/>
        <w:autoSpaceDN w:val="0"/>
        <w:adjustRightInd w:val="0"/>
        <w:snapToGrid w:val="0"/>
        <w:spacing w:line="400" w:lineRule="exact"/>
        <w:ind w:firstLine="420" w:firstLineChars="200"/>
        <w:jc w:val="left"/>
        <w:rPr>
          <w:rFonts w:ascii="Times New Roman" w:hAnsi="Times New Roman"/>
        </w:rPr>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0" w:lineRule="exact"/>
        <w:jc w:val="left"/>
        <w:rPr>
          <w:rFonts w:ascii="宋体" w:hAnsi="宋体"/>
          <w:b/>
          <w:bCs/>
          <w:sz w:val="24"/>
        </w:rPr>
      </w:pPr>
      <w:r>
        <w:rPr>
          <w:rFonts w:hint="eastAsia" w:ascii="宋体" w:hAnsi="宋体"/>
          <w:b/>
          <w:bCs/>
          <w:sz w:val="24"/>
        </w:rPr>
        <w:t>7. 货物包装、运输、保险和交付要求</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pPr>
        <w:adjustRightInd w:val="0"/>
        <w:snapToGrid w:val="0"/>
        <w:spacing w:line="400" w:lineRule="exact"/>
        <w:ind w:firstLine="420" w:firstLineChars="20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pPr>
        <w:adjustRightInd w:val="0"/>
        <w:snapToGrid w:val="0"/>
        <w:spacing w:line="400" w:lineRule="exact"/>
        <w:ind w:firstLine="420" w:firstLineChars="20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pPr>
        <w:widowControl/>
        <w:autoSpaceDE w:val="0"/>
        <w:autoSpaceDN w:val="0"/>
        <w:adjustRightInd w:val="0"/>
        <w:spacing w:line="400" w:lineRule="exact"/>
        <w:ind w:firstLine="420" w:firstLineChars="200"/>
        <w:jc w:val="left"/>
        <w:rPr>
          <w:rFonts w:ascii="华文楷体" w:hAnsi="华文楷体" w:eastAsia="华文楷体" w:cs="华文楷体"/>
          <w:kern w:val="0"/>
          <w:szCs w:val="21"/>
        </w:rPr>
      </w:pPr>
      <w:r>
        <w:rPr>
          <w:rFonts w:hint="eastAsia" w:ascii="宋体" w:hAnsi="宋体"/>
          <w:szCs w:val="21"/>
        </w:rPr>
        <w:t>7.6 如因包装、运输问题导致货物损毁、丢失或者品质下降，甲方有权要求降价、换货、拒收部分或整批货物，由此产生的费用和损失，均由乙方承担。</w:t>
      </w:r>
    </w:p>
    <w:p>
      <w:pPr>
        <w:adjustRightInd w:val="0"/>
        <w:snapToGrid w:val="0"/>
        <w:spacing w:line="400" w:lineRule="exact"/>
        <w:jc w:val="left"/>
        <w:rPr>
          <w:rFonts w:ascii="宋体" w:hAnsi="宋体"/>
          <w:b/>
          <w:sz w:val="24"/>
        </w:rPr>
      </w:pPr>
      <w:r>
        <w:rPr>
          <w:rFonts w:hint="eastAsia" w:ascii="宋体" w:hAnsi="宋体"/>
          <w:b/>
          <w:sz w:val="24"/>
        </w:rPr>
        <w:t>8. 质量标准和保证</w:t>
      </w:r>
    </w:p>
    <w:p>
      <w:pPr>
        <w:adjustRightInd w:val="0"/>
        <w:snapToGrid w:val="0"/>
        <w:spacing w:line="400" w:lineRule="exact"/>
        <w:ind w:firstLine="420" w:firstLineChars="200"/>
        <w:jc w:val="left"/>
        <w:rPr>
          <w:rFonts w:ascii="宋体" w:hAnsi="宋体" w:cs="Courier New"/>
          <w:b/>
          <w:szCs w:val="21"/>
        </w:rPr>
      </w:pPr>
      <w:r>
        <w:rPr>
          <w:rFonts w:hint="eastAsia" w:ascii="宋体" w:hAnsi="宋体" w:cs="Courier New"/>
          <w:szCs w:val="21"/>
        </w:rPr>
        <w:t>8.1 质量标准</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adjustRightInd w:val="0"/>
        <w:snapToGrid w:val="0"/>
        <w:spacing w:line="400" w:lineRule="exact"/>
        <w:ind w:firstLine="420" w:firstLineChars="200"/>
        <w:jc w:val="left"/>
        <w:rPr>
          <w:rFonts w:ascii="宋体" w:hAnsi="宋体" w:cs="Courier New"/>
          <w:szCs w:val="21"/>
        </w:rPr>
      </w:pPr>
      <w:r>
        <w:rPr>
          <w:rFonts w:hint="eastAsia" w:ascii="宋体" w:hAnsi="宋体" w:cs="Courier New"/>
          <w:szCs w:val="21"/>
        </w:rPr>
        <w:t>（2）采用中华人民共和国法定计量单位。</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（3）乙方所提供的货物应符合国家有关安全、环保、卫生的规定。</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8.2 保证</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pPr>
        <w:adjustRightInd w:val="0"/>
        <w:snapToGrid w:val="0"/>
        <w:spacing w:line="400" w:lineRule="exact"/>
        <w:ind w:firstLine="420" w:firstLineChars="200"/>
        <w:jc w:val="left"/>
        <w:rPr>
          <w:rFonts w:ascii="Times New Roman" w:hAnsi="Times New Roman"/>
        </w:rPr>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pPr>
        <w:adjustRightInd w:val="0"/>
        <w:snapToGrid w:val="0"/>
        <w:spacing w:line="400" w:lineRule="exact"/>
        <w:jc w:val="left"/>
        <w:rPr>
          <w:rFonts w:ascii="宋体" w:hAnsi="宋体"/>
          <w:b/>
          <w:bCs/>
          <w:sz w:val="24"/>
        </w:rPr>
      </w:pPr>
      <w:r>
        <w:rPr>
          <w:rFonts w:hint="eastAsia" w:ascii="宋体" w:hAnsi="宋体"/>
          <w:b/>
          <w:bCs/>
          <w:sz w:val="24"/>
        </w:rPr>
        <w:t>9. 权利瑕疵担保</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9.1 乙方保证对其出售的货物享有合法的权利。</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9.3 如甲方使用上述货物构成对第三人侵权的，则由乙方承担全部责任。</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10. 知识产权保护</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61"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61"/>
      <w:r>
        <w:rPr>
          <w:rFonts w:hint="eastAsia" w:ascii="宋体" w:hAnsi="宋体"/>
          <w:szCs w:val="21"/>
        </w:rPr>
        <w:t>。</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11. 保密义务</w:t>
      </w:r>
    </w:p>
    <w:p>
      <w:pPr>
        <w:autoSpaceDE w:val="0"/>
        <w:autoSpaceDN w:val="0"/>
        <w:adjustRightInd w:val="0"/>
        <w:snapToGrid w:val="0"/>
        <w:spacing w:line="400"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12. 合同价款支付</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12.1 合同价款支付按照国库集中支付制度及财政管理相关规定执行。</w:t>
      </w:r>
    </w:p>
    <w:p>
      <w:pPr>
        <w:keepNext/>
        <w:keepLines/>
        <w:spacing w:line="400" w:lineRule="exact"/>
        <w:ind w:firstLine="420" w:firstLineChars="200"/>
        <w:outlineLvl w:val="1"/>
        <w:rPr>
          <w:rFonts w:ascii="Arial" w:hAnsi="Arial"/>
          <w:b/>
          <w:bCs/>
          <w:sz w:val="24"/>
          <w:szCs w:val="32"/>
        </w:rPr>
      </w:pPr>
      <w:r>
        <w:rPr>
          <w:rFonts w:hint="eastAsia" w:ascii="宋体" w:hAnsi="宋体"/>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szCs w:val="21"/>
        </w:rPr>
        <w:t>政府采购合同专用条款</w:t>
      </w:r>
      <w:r>
        <w:rPr>
          <w:rFonts w:hint="eastAsia" w:ascii="宋体" w:hAnsi="宋体"/>
          <w:szCs w:val="21"/>
        </w:rPr>
        <w:t>】中约定。</w:t>
      </w:r>
    </w:p>
    <w:p>
      <w:pPr>
        <w:spacing w:line="400" w:lineRule="exact"/>
        <w:rPr>
          <w:rFonts w:ascii="宋体" w:hAnsi="宋体"/>
          <w:b/>
          <w:bCs/>
          <w:sz w:val="24"/>
        </w:rPr>
      </w:pPr>
      <w:r>
        <w:rPr>
          <w:rFonts w:hint="eastAsia" w:ascii="宋体" w:hAnsi="宋体"/>
          <w:b/>
          <w:bCs/>
          <w:sz w:val="24"/>
        </w:rPr>
        <w:t>13. 履约保证金</w:t>
      </w:r>
    </w:p>
    <w:p>
      <w:pPr>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pPr>
        <w:spacing w:line="400" w:lineRule="exact"/>
        <w:ind w:firstLine="420"/>
        <w:rPr>
          <w:rFonts w:ascii="Times New Roman" w:hAnsi="Times New Roman"/>
        </w:rPr>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pPr>
        <w:autoSpaceDE w:val="0"/>
        <w:autoSpaceDN w:val="0"/>
        <w:adjustRightInd w:val="0"/>
        <w:snapToGrid w:val="0"/>
        <w:spacing w:line="400" w:lineRule="exact"/>
        <w:jc w:val="left"/>
        <w:rPr>
          <w:rFonts w:ascii="宋体" w:hAnsi="宋体"/>
          <w:b/>
          <w:sz w:val="24"/>
        </w:rPr>
      </w:pPr>
      <w:r>
        <w:rPr>
          <w:rFonts w:hint="eastAsia" w:ascii="宋体" w:hAnsi="宋体"/>
          <w:b/>
          <w:bCs/>
          <w:sz w:val="24"/>
        </w:rPr>
        <w:t xml:space="preserve">14. </w:t>
      </w:r>
      <w:r>
        <w:rPr>
          <w:rFonts w:hint="eastAsia" w:ascii="Times New Roman" w:hAnsi="Times New Roman"/>
          <w:b/>
          <w:sz w:val="24"/>
        </w:rPr>
        <w:t>售后</w:t>
      </w:r>
      <w:r>
        <w:rPr>
          <w:rFonts w:hint="eastAsia" w:ascii="宋体" w:hAnsi="宋体"/>
          <w:b/>
          <w:sz w:val="24"/>
        </w:rPr>
        <w:t>服务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（1）货物的现场移动、安装、调试、启动监督及技术支持；</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（2）提供货物组装和维修所需的专用工具和辅助材料；</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pPr>
        <w:widowControl/>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（5）依照法律、行政法规的规定或者按照</w:t>
      </w:r>
      <w:r>
        <w:rPr>
          <w:rFonts w:hint="eastAsia" w:ascii="宋体" w:hAnsi="宋体" w:cs="宋体"/>
          <w:b/>
          <w:bCs/>
          <w:kern w:val="0"/>
          <w:szCs w:val="21"/>
        </w:rPr>
        <w:t>【政府采购合同专用条款】</w:t>
      </w:r>
      <w:r>
        <w:rPr>
          <w:rFonts w:hint="eastAsia" w:ascii="宋体" w:hAnsi="宋体" w:cs="宋体"/>
          <w:kern w:val="0"/>
          <w:szCs w:val="21"/>
        </w:rPr>
        <w:t>约定，货物在有效使用年限届满后应予回收的，乙方负有自行或者委托第三人对货物予以回收的义务；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14.2 乙方提供的售后服务的费用已包含在合同价款中，甲方不再另行支付。</w:t>
      </w:r>
    </w:p>
    <w:p>
      <w:pPr>
        <w:adjustRightInd w:val="0"/>
        <w:snapToGrid w:val="0"/>
        <w:spacing w:line="400" w:lineRule="exact"/>
        <w:jc w:val="left"/>
        <w:rPr>
          <w:rFonts w:ascii="宋体" w:hAnsi="宋体"/>
          <w:b/>
          <w:bCs/>
          <w:sz w:val="24"/>
        </w:rPr>
      </w:pPr>
      <w:r>
        <w:rPr>
          <w:rFonts w:hint="eastAsia" w:ascii="宋体" w:hAnsi="宋体"/>
          <w:b/>
          <w:bCs/>
          <w:sz w:val="24"/>
        </w:rPr>
        <w:t>15. 违约责任</w:t>
      </w:r>
    </w:p>
    <w:p>
      <w:pPr>
        <w:adjustRightInd w:val="0"/>
        <w:snapToGrid w:val="0"/>
        <w:spacing w:line="400" w:lineRule="exact"/>
        <w:ind w:firstLine="420" w:firstLineChars="200"/>
        <w:jc w:val="left"/>
        <w:rPr>
          <w:rFonts w:ascii="宋体" w:hAnsi="宋体"/>
          <w:bCs/>
          <w:szCs w:val="21"/>
        </w:rPr>
      </w:pPr>
      <w:r>
        <w:rPr>
          <w:rFonts w:hint="eastAsia" w:ascii="宋体" w:hAnsi="宋体"/>
          <w:bCs/>
          <w:szCs w:val="21"/>
        </w:rPr>
        <w:t>15.1质量瑕疵的违约责任</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pPr>
        <w:autoSpaceDE w:val="0"/>
        <w:autoSpaceDN w:val="0"/>
        <w:adjustRightInd w:val="0"/>
        <w:snapToGrid w:val="0"/>
        <w:spacing w:line="400" w:lineRule="exact"/>
        <w:ind w:firstLine="420" w:firstLineChars="200"/>
        <w:jc w:val="left"/>
        <w:rPr>
          <w:rFonts w:ascii="宋体" w:hAnsi="宋体"/>
          <w:bCs/>
          <w:szCs w:val="21"/>
        </w:rPr>
      </w:pPr>
      <w:r>
        <w:rPr>
          <w:rFonts w:hint="eastAsia" w:ascii="宋体" w:hAnsi="宋体"/>
          <w:bCs/>
          <w:szCs w:val="21"/>
        </w:rPr>
        <w:t>15.2 迟延交货的违约责任</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15.3 迟延支付的违约责任</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pPr>
        <w:adjustRightInd w:val="0"/>
        <w:snapToGrid w:val="0"/>
        <w:spacing w:line="400" w:lineRule="exact"/>
        <w:ind w:firstLine="420"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pPr>
        <w:numPr>
          <w:ilvl w:val="0"/>
          <w:numId w:val="10"/>
        </w:numPr>
        <w:autoSpaceDE w:val="0"/>
        <w:autoSpaceDN w:val="0"/>
        <w:adjustRightInd w:val="0"/>
        <w:snapToGrid w:val="0"/>
        <w:spacing w:line="400" w:lineRule="exact"/>
        <w:jc w:val="left"/>
        <w:rPr>
          <w:rFonts w:ascii="宋体" w:hAnsi="宋体"/>
          <w:b/>
          <w:sz w:val="24"/>
        </w:rPr>
      </w:pPr>
      <w:r>
        <w:rPr>
          <w:rFonts w:hint="eastAsia" w:ascii="宋体" w:hAnsi="宋体"/>
          <w:b/>
          <w:sz w:val="24"/>
        </w:rPr>
        <w:t>合同变更、中止与终止</w:t>
      </w:r>
    </w:p>
    <w:p>
      <w:pPr>
        <w:adjustRightInd w:val="0"/>
        <w:snapToGrid w:val="0"/>
        <w:spacing w:line="400" w:lineRule="exact"/>
        <w:jc w:val="left"/>
        <w:rPr>
          <w:rFonts w:ascii="宋体" w:hAnsi="宋体"/>
          <w:szCs w:val="21"/>
        </w:rPr>
      </w:pPr>
      <w:r>
        <w:rPr>
          <w:rFonts w:hint="eastAsia" w:ascii="宋体" w:hAnsi="宋体"/>
          <w:szCs w:val="21"/>
        </w:rPr>
        <w:t xml:space="preserve">    16.1合同的变更</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16.2合同的中止</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widowControl/>
        <w:autoSpaceDE w:val="0"/>
        <w:autoSpaceDN w:val="0"/>
        <w:adjustRightInd w:val="0"/>
        <w:spacing w:line="400" w:lineRule="exact"/>
        <w:ind w:firstLine="420" w:firstLineChars="200"/>
        <w:rPr>
          <w:rFonts w:ascii="华文楷体" w:hAnsi="华文楷体" w:eastAsia="华文楷体" w:cs="华文楷体"/>
          <w:kern w:val="0"/>
          <w:szCs w:val="21"/>
        </w:rPr>
      </w:pPr>
      <w:r>
        <w:rPr>
          <w:rFonts w:hint="eastAsia" w:ascii="宋体" w:hAnsi="宋体" w:cs="宋体"/>
          <w:kern w:val="0"/>
          <w:szCs w:val="21"/>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jc w:val="left"/>
        <w:rPr>
          <w:rFonts w:ascii="Times New Roman" w:hAnsi="Times New Roman"/>
        </w:rPr>
      </w:pPr>
      <w:r>
        <w:rPr>
          <w:rFonts w:hint="eastAsia" w:ascii="宋体" w:hAnsi="宋体"/>
          <w:szCs w:val="21"/>
        </w:rPr>
        <w:t>（4）甲方不得以行政区划调整、政府换届、机构或者职能调整以及相关责任人更替为由中止合同。</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16.3合同的终止</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（1）合同因有效期限届满而终止；</w:t>
      </w:r>
    </w:p>
    <w:p>
      <w:pPr>
        <w:snapToGrid w:val="0"/>
        <w:spacing w:line="400" w:lineRule="exact"/>
        <w:ind w:firstLine="420"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pPr>
        <w:widowControl/>
        <w:autoSpaceDE w:val="0"/>
        <w:autoSpaceDN w:val="0"/>
        <w:adjustRightInd w:val="0"/>
        <w:spacing w:line="400" w:lineRule="exact"/>
        <w:ind w:firstLine="440" w:firstLineChars="200"/>
        <w:jc w:val="left"/>
        <w:rPr>
          <w:rFonts w:ascii="宋体" w:hAnsi="宋体" w:eastAsia="华文楷体" w:cs="华文楷体"/>
          <w:kern w:val="0"/>
          <w:sz w:val="22"/>
          <w:szCs w:val="21"/>
        </w:rPr>
      </w:pPr>
      <w:r>
        <w:rPr>
          <w:rFonts w:hint="eastAsia" w:ascii="宋体" w:hAnsi="宋体" w:eastAsia="华文楷体" w:cs="华文楷体"/>
          <w:kern w:val="0"/>
          <w:sz w:val="22"/>
          <w:szCs w:val="21"/>
        </w:rPr>
        <w:t xml:space="preserve">16.4 </w:t>
      </w:r>
      <w:r>
        <w:rPr>
          <w:rFonts w:hint="eastAsia" w:ascii="宋体" w:hAnsi="宋体"/>
          <w:szCs w:val="21"/>
        </w:rPr>
        <w:t>涉及国家利益、社会公共利益的情形</w:t>
      </w:r>
    </w:p>
    <w:p>
      <w:pPr>
        <w:widowControl/>
        <w:autoSpaceDE w:val="0"/>
        <w:autoSpaceDN w:val="0"/>
        <w:adjustRightInd w:val="0"/>
        <w:spacing w:line="400" w:lineRule="exact"/>
        <w:ind w:firstLine="420" w:firstLineChars="200"/>
        <w:rPr>
          <w:rFonts w:ascii="华文楷体" w:hAnsi="华文楷体" w:eastAsia="华文楷体" w:cs="华文楷体"/>
          <w:kern w:val="0"/>
          <w:szCs w:val="21"/>
        </w:rPr>
      </w:pPr>
      <w:r>
        <w:rPr>
          <w:rFonts w:hint="eastAsia" w:ascii="宋体" w:hAnsi="宋体" w:cs="宋体"/>
          <w:kern w:val="0"/>
          <w:szCs w:val="21"/>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17. 合同分包</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18. 不可抗力</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18.1 不可抗力是指合同双方不能预见、不能避免且不能克服的客观情况。</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19. 解决争议的方法</w:t>
      </w:r>
    </w:p>
    <w:p>
      <w:pPr>
        <w:widowControl/>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19.1 因本合同及合同有关事项发生的争议，由甲乙双方友好协商解决。协商不成时，可以向有关组织申请调解。合同一方或双方不愿调解或调解不成的，可以通过仲裁或诉讼的方式解决争议。</w:t>
      </w:r>
    </w:p>
    <w:p>
      <w:pPr>
        <w:widowControl/>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19.2 选择仲裁的，应在</w:t>
      </w:r>
      <w:r>
        <w:rPr>
          <w:rFonts w:hint="eastAsia" w:ascii="宋体" w:hAnsi="宋体" w:cs="宋体"/>
          <w:b/>
          <w:bCs/>
          <w:kern w:val="0"/>
          <w:szCs w:val="21"/>
        </w:rPr>
        <w:t>【政府采购合同专用条款】</w:t>
      </w:r>
      <w:r>
        <w:rPr>
          <w:rFonts w:hint="eastAsia" w:ascii="宋体" w:hAnsi="宋体" w:cs="宋体"/>
          <w:kern w:val="0"/>
          <w:szCs w:val="21"/>
        </w:rPr>
        <w:t>中明确仲裁机构及仲裁地；通过诉讼方式解决的，可以在</w:t>
      </w:r>
      <w:r>
        <w:rPr>
          <w:rFonts w:hint="eastAsia" w:ascii="宋体" w:hAnsi="宋体" w:cs="宋体"/>
          <w:b/>
          <w:bCs/>
          <w:kern w:val="0"/>
          <w:szCs w:val="21"/>
        </w:rPr>
        <w:t>【政府采购合同专用条款】</w:t>
      </w:r>
      <w:r>
        <w:rPr>
          <w:rFonts w:hint="eastAsia" w:ascii="宋体" w:hAnsi="宋体" w:cs="宋体"/>
          <w:kern w:val="0"/>
          <w:szCs w:val="21"/>
        </w:rPr>
        <w:t>中进一步约定选择与争议有实际联系的地点的人民法院管辖，但管辖法院的约定不得违反级别管辖和专属管辖的规定。</w:t>
      </w:r>
    </w:p>
    <w:p>
      <w:pPr>
        <w:widowControl/>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19.3 如甲乙双方有争议的事项不影响合同其他部分的履行，在争议解决期间，合同其他部分应当继续履行。</w:t>
      </w:r>
    </w:p>
    <w:p>
      <w:pPr>
        <w:autoSpaceDE w:val="0"/>
        <w:autoSpaceDN w:val="0"/>
        <w:adjustRightInd w:val="0"/>
        <w:snapToGrid w:val="0"/>
        <w:spacing w:line="400" w:lineRule="exact"/>
        <w:jc w:val="left"/>
        <w:rPr>
          <w:rFonts w:ascii="宋体" w:hAnsi="宋体"/>
          <w:sz w:val="24"/>
        </w:rPr>
      </w:pPr>
      <w:r>
        <w:rPr>
          <w:rFonts w:hint="eastAsia" w:ascii="宋体" w:hAnsi="宋体"/>
          <w:b/>
          <w:sz w:val="24"/>
        </w:rPr>
        <w:t>20. 政府采购政策</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pPr>
        <w:spacing w:line="400" w:lineRule="exact"/>
        <w:ind w:firstLine="420" w:firstLineChars="200"/>
        <w:rPr>
          <w:szCs w:val="22"/>
        </w:rPr>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0" w:lineRule="exact"/>
        <w:jc w:val="left"/>
        <w:rPr>
          <w:rFonts w:ascii="宋体" w:hAnsi="宋体"/>
          <w:b/>
          <w:sz w:val="24"/>
        </w:rPr>
      </w:pPr>
      <w:r>
        <w:rPr>
          <w:rFonts w:hint="eastAsia" w:ascii="宋体" w:hAnsi="宋体"/>
          <w:b/>
          <w:sz w:val="24"/>
        </w:rPr>
        <w:t>21. 法律适用</w:t>
      </w:r>
    </w:p>
    <w:p>
      <w:pPr>
        <w:widowControl/>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21.1 本合同的订立、生效、解释、履行及与本合同有关的争议解决，均适用法律、行政法规。</w:t>
      </w:r>
    </w:p>
    <w:p>
      <w:pPr>
        <w:widowControl/>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21.2 本合同条款与法律、行政法规的强制性规定不一致的，双方当事人应按照法律、行政法规的强制性规定修改本合同的相关条款。</w:t>
      </w:r>
    </w:p>
    <w:p>
      <w:pPr>
        <w:numPr>
          <w:ilvl w:val="255"/>
          <w:numId w:val="0"/>
        </w:numPr>
        <w:autoSpaceDE w:val="0"/>
        <w:autoSpaceDN w:val="0"/>
        <w:adjustRightInd w:val="0"/>
        <w:snapToGrid w:val="0"/>
        <w:spacing w:line="400" w:lineRule="exact"/>
        <w:jc w:val="left"/>
        <w:rPr>
          <w:rFonts w:ascii="宋体" w:hAnsi="宋体"/>
          <w:b/>
          <w:sz w:val="24"/>
        </w:rPr>
      </w:pPr>
      <w:r>
        <w:rPr>
          <w:rFonts w:hint="eastAsia" w:ascii="宋体" w:hAnsi="宋体"/>
          <w:b/>
          <w:sz w:val="24"/>
        </w:rPr>
        <w:t>22. 通知</w:t>
      </w:r>
    </w:p>
    <w:p>
      <w:pPr>
        <w:widowControl/>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22.1 本合同任何一方向对方发出的通知、信件、数据电文等，应当发送至本合同第一部分《政府采购合同协议书》所约定的通讯地址、联系人、联系电话或电子邮箱。</w:t>
      </w:r>
    </w:p>
    <w:p>
      <w:pPr>
        <w:widowControl/>
        <w:autoSpaceDE w:val="0"/>
        <w:autoSpaceDN w:val="0"/>
        <w:adjustRightInd w:val="0"/>
        <w:spacing w:line="400" w:lineRule="exact"/>
        <w:rPr>
          <w:rFonts w:ascii="华文楷体" w:hAnsi="华文楷体" w:eastAsia="华文楷体" w:cs="华文楷体"/>
          <w:kern w:val="0"/>
          <w:szCs w:val="21"/>
        </w:rPr>
      </w:pPr>
      <w:r>
        <w:rPr>
          <w:rFonts w:hint="eastAsia" w:ascii="宋体" w:hAnsi="宋体" w:cs="宋体"/>
          <w:kern w:val="0"/>
          <w:szCs w:val="21"/>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line="400" w:lineRule="exact"/>
        <w:ind w:firstLine="420"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pPr>
        <w:adjustRightInd w:val="0"/>
        <w:snapToGrid w:val="0"/>
        <w:spacing w:line="400" w:lineRule="exact"/>
        <w:ind w:firstLine="420"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pPr>
        <w:numPr>
          <w:ilvl w:val="0"/>
          <w:numId w:val="11"/>
        </w:numPr>
        <w:adjustRightInd w:val="0"/>
        <w:snapToGrid w:val="0"/>
        <w:spacing w:line="400" w:lineRule="exact"/>
        <w:jc w:val="left"/>
        <w:rPr>
          <w:rFonts w:ascii="宋体" w:hAnsi="宋体"/>
          <w:b/>
          <w:bCs/>
          <w:sz w:val="24"/>
        </w:rPr>
      </w:pPr>
      <w:r>
        <w:rPr>
          <w:rFonts w:hint="eastAsia" w:ascii="宋体" w:hAnsi="宋体"/>
          <w:b/>
          <w:bCs/>
          <w:sz w:val="24"/>
        </w:rPr>
        <w:t>合同未尽事项</w:t>
      </w:r>
    </w:p>
    <w:p>
      <w:pPr>
        <w:adjustRightInd w:val="0"/>
        <w:snapToGrid w:val="0"/>
        <w:spacing w:line="400" w:lineRule="exact"/>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pPr>
        <w:adjustRightInd w:val="0"/>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62" w:name="_Toc20313"/>
    </w:p>
    <w:p>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pPr>
        <w:keepNext/>
        <w:keepLines/>
        <w:adjustRightInd w:val="0"/>
        <w:snapToGrid w:val="0"/>
        <w:spacing w:line="360" w:lineRule="auto"/>
        <w:jc w:val="center"/>
        <w:outlineLvl w:val="1"/>
        <w:rPr>
          <w:rFonts w:ascii="黑体" w:hAnsi="华文中宋" w:eastAsia="黑体"/>
          <w:sz w:val="28"/>
          <w:szCs w:val="28"/>
        </w:rPr>
      </w:pPr>
      <w:r>
        <w:rPr>
          <w:rFonts w:hint="eastAsia" w:ascii="黑体" w:hAnsi="华文中宋" w:eastAsia="黑体"/>
          <w:sz w:val="28"/>
          <w:szCs w:val="28"/>
        </w:rPr>
        <w:t>第三节 政府采购合同专用条款</w:t>
      </w:r>
      <w:bookmarkEnd w:id="62"/>
    </w:p>
    <w:tbl>
      <w:tblPr>
        <w:tblStyle w:val="5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第1.2（6）项</w:t>
            </w:r>
          </w:p>
        </w:tc>
        <w:tc>
          <w:tcPr>
            <w:tcW w:w="1742" w:type="dxa"/>
            <w:vAlign w:val="center"/>
          </w:tcPr>
          <w:p>
            <w:pPr>
              <w:adjustRightInd w:val="0"/>
              <w:snapToGrid w:val="0"/>
              <w:jc w:val="left"/>
              <w:rPr>
                <w:rFonts w:ascii="宋体" w:hAnsi="宋体"/>
                <w:szCs w:val="21"/>
              </w:rPr>
            </w:pPr>
            <w:r>
              <w:rPr>
                <w:rFonts w:hint="eastAsia" w:ascii="宋体" w:hAnsi="宋体"/>
                <w:szCs w:val="21"/>
              </w:rPr>
              <w:t>联合体具体要求</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第1.2（7）项</w:t>
            </w:r>
          </w:p>
        </w:tc>
        <w:tc>
          <w:tcPr>
            <w:tcW w:w="1742" w:type="dxa"/>
            <w:vAlign w:val="center"/>
          </w:tcPr>
          <w:p>
            <w:pPr>
              <w:adjustRightInd w:val="0"/>
              <w:snapToGrid w:val="0"/>
              <w:jc w:val="left"/>
              <w:rPr>
                <w:rFonts w:ascii="宋体" w:hAnsi="宋体"/>
                <w:szCs w:val="21"/>
              </w:rPr>
            </w:pPr>
            <w:r>
              <w:rPr>
                <w:rFonts w:hint="eastAsia" w:ascii="宋体" w:hAnsi="宋体"/>
                <w:szCs w:val="21"/>
              </w:rPr>
              <w:t>其他术语解释</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第4.4款</w:t>
            </w:r>
          </w:p>
        </w:tc>
        <w:tc>
          <w:tcPr>
            <w:tcW w:w="1742" w:type="dxa"/>
            <w:vAlign w:val="center"/>
          </w:tcPr>
          <w:p>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第4.6款</w:t>
            </w:r>
          </w:p>
        </w:tc>
        <w:tc>
          <w:tcPr>
            <w:tcW w:w="1742" w:type="dxa"/>
            <w:vAlign w:val="center"/>
          </w:tcPr>
          <w:p>
            <w:pPr>
              <w:adjustRightInd w:val="0"/>
              <w:snapToGrid w:val="0"/>
              <w:jc w:val="left"/>
              <w:rPr>
                <w:rFonts w:ascii="宋体" w:hAnsi="宋体"/>
                <w:szCs w:val="21"/>
              </w:rPr>
            </w:pPr>
            <w:r>
              <w:rPr>
                <w:rFonts w:hint="eastAsia" w:ascii="宋体" w:hAnsi="宋体"/>
                <w:szCs w:val="21"/>
              </w:rPr>
              <w:t>约定甲方承担的其他义务和责任</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snapToGrid w:val="0"/>
              <w:jc w:val="center"/>
            </w:pPr>
            <w:r>
              <w:rPr>
                <w:rFonts w:hint="eastAsia" w:ascii="宋体" w:hAnsi="宋体"/>
                <w:szCs w:val="21"/>
              </w:rPr>
              <w:t>第5.4款</w:t>
            </w:r>
          </w:p>
        </w:tc>
        <w:tc>
          <w:tcPr>
            <w:tcW w:w="1742" w:type="dxa"/>
            <w:vAlign w:val="center"/>
          </w:tcPr>
          <w:p>
            <w:pPr>
              <w:adjustRightInd w:val="0"/>
              <w:snapToGrid w:val="0"/>
              <w:jc w:val="left"/>
              <w:rPr>
                <w:rFonts w:ascii="宋体" w:hAnsi="宋体"/>
                <w:szCs w:val="21"/>
              </w:rPr>
            </w:pPr>
            <w:r>
              <w:rPr>
                <w:rFonts w:hint="eastAsia" w:ascii="宋体" w:hAnsi="宋体"/>
                <w:szCs w:val="21"/>
              </w:rPr>
              <w:t>约定乙方承担的其他义务和责任</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snapToGrid w:val="0"/>
              <w:jc w:val="center"/>
              <w:rPr>
                <w:rFonts w:ascii="宋体" w:hAnsi="宋体"/>
                <w:szCs w:val="21"/>
              </w:rPr>
            </w:pPr>
            <w:r>
              <w:rPr>
                <w:rFonts w:hint="eastAsia" w:ascii="宋体" w:hAnsi="宋体"/>
                <w:szCs w:val="21"/>
              </w:rPr>
              <w:t>第6.1款</w:t>
            </w:r>
          </w:p>
        </w:tc>
        <w:tc>
          <w:tcPr>
            <w:tcW w:w="1742" w:type="dxa"/>
            <w:vAlign w:val="center"/>
          </w:tcPr>
          <w:p>
            <w:pPr>
              <w:adjustRightInd w:val="0"/>
              <w:snapToGrid w:val="0"/>
              <w:jc w:val="left"/>
              <w:rPr>
                <w:rFonts w:ascii="宋体" w:hAnsi="宋体"/>
                <w:szCs w:val="21"/>
              </w:rPr>
            </w:pPr>
            <w:r>
              <w:rPr>
                <w:rFonts w:hint="eastAsia" w:ascii="宋体" w:hAnsi="宋体"/>
                <w:szCs w:val="21"/>
              </w:rPr>
              <w:t>履行合同义务的顺序</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第7.1款</w:t>
            </w:r>
          </w:p>
        </w:tc>
        <w:tc>
          <w:tcPr>
            <w:tcW w:w="1742" w:type="dxa"/>
            <w:vAlign w:val="center"/>
          </w:tcPr>
          <w:p>
            <w:pPr>
              <w:adjustRightInd w:val="0"/>
              <w:snapToGrid w:val="0"/>
              <w:jc w:val="left"/>
              <w:rPr>
                <w:rFonts w:ascii="宋体" w:hAnsi="宋体"/>
                <w:szCs w:val="21"/>
              </w:rPr>
            </w:pPr>
            <w:r>
              <w:rPr>
                <w:rFonts w:hint="eastAsia" w:ascii="宋体" w:hAnsi="宋体"/>
                <w:szCs w:val="21"/>
              </w:rPr>
              <w:t>包装特殊要求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ascii="宋体" w:hAnsi="宋体"/>
                <w:szCs w:val="21"/>
              </w:rPr>
            </w:pPr>
          </w:p>
        </w:tc>
        <w:tc>
          <w:tcPr>
            <w:tcW w:w="1742" w:type="dxa"/>
            <w:vAlign w:val="center"/>
          </w:tcPr>
          <w:p>
            <w:pPr>
              <w:adjustRightInd w:val="0"/>
              <w:snapToGrid w:val="0"/>
              <w:jc w:val="left"/>
              <w:rPr>
                <w:rFonts w:ascii="宋体" w:hAnsi="宋体"/>
                <w:szCs w:val="21"/>
              </w:rPr>
            </w:pPr>
            <w:r>
              <w:rPr>
                <w:rFonts w:hint="eastAsia" w:ascii="宋体" w:hAnsi="宋体"/>
                <w:szCs w:val="21"/>
              </w:rPr>
              <w:t>指定现场</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第7.2款</w:t>
            </w:r>
          </w:p>
        </w:tc>
        <w:tc>
          <w:tcPr>
            <w:tcW w:w="1742" w:type="dxa"/>
            <w:vAlign w:val="center"/>
          </w:tcPr>
          <w:p>
            <w:pPr>
              <w:adjustRightInd w:val="0"/>
              <w:snapToGrid w:val="0"/>
              <w:jc w:val="left"/>
              <w:rPr>
                <w:rFonts w:ascii="宋体" w:hAnsi="宋体"/>
                <w:szCs w:val="21"/>
              </w:rPr>
            </w:pPr>
            <w:r>
              <w:rPr>
                <w:rFonts w:hint="eastAsia" w:ascii="宋体" w:hAnsi="宋体"/>
                <w:szCs w:val="21"/>
              </w:rPr>
              <w:t>运输特殊要求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第7.3款</w:t>
            </w:r>
          </w:p>
        </w:tc>
        <w:tc>
          <w:tcPr>
            <w:tcW w:w="1742" w:type="dxa"/>
            <w:vAlign w:val="center"/>
          </w:tcPr>
          <w:p>
            <w:pPr>
              <w:adjustRightInd w:val="0"/>
              <w:snapToGrid w:val="0"/>
              <w:jc w:val="left"/>
              <w:rPr>
                <w:rFonts w:ascii="宋体" w:hAnsi="宋体"/>
                <w:szCs w:val="21"/>
              </w:rPr>
            </w:pPr>
            <w:r>
              <w:rPr>
                <w:rFonts w:hint="eastAsia" w:ascii="宋体" w:hAnsi="宋体"/>
                <w:szCs w:val="21"/>
              </w:rPr>
              <w:t>保险要求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第8.2（1）项</w:t>
            </w:r>
          </w:p>
        </w:tc>
        <w:tc>
          <w:tcPr>
            <w:tcW w:w="1742" w:type="dxa"/>
            <w:vAlign w:val="center"/>
          </w:tcPr>
          <w:p>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pPr>
              <w:autoSpaceDE w:val="0"/>
              <w:autoSpaceDN w:val="0"/>
              <w:adjustRightInd w:val="0"/>
              <w:snapToGrid w:val="0"/>
              <w:ind w:firstLine="4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第8.2（3）项</w:t>
            </w:r>
          </w:p>
        </w:tc>
        <w:tc>
          <w:tcPr>
            <w:tcW w:w="1742" w:type="dxa"/>
            <w:vAlign w:val="center"/>
          </w:tcPr>
          <w:p>
            <w:pPr>
              <w:adjustRightInd w:val="0"/>
              <w:snapToGrid w:val="0"/>
              <w:jc w:val="left"/>
              <w:rPr>
                <w:rFonts w:ascii="宋体" w:hAnsi="宋体"/>
                <w:szCs w:val="21"/>
              </w:rPr>
            </w:pPr>
            <w:r>
              <w:rPr>
                <w:rFonts w:hint="eastAsia" w:ascii="宋体" w:hAnsi="宋体"/>
                <w:szCs w:val="21"/>
              </w:rPr>
              <w:t>货物质量缺陷</w:t>
            </w:r>
          </w:p>
          <w:p>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ascii="宋体" w:hAnsi="宋体" w:cs="宋体"/>
                <w:szCs w:val="21"/>
              </w:rPr>
            </w:pPr>
            <w:r>
              <w:rPr>
                <w:rFonts w:hint="eastAsia" w:ascii="宋体" w:hAnsi="宋体" w:cs="宋体"/>
                <w:szCs w:val="21"/>
              </w:rPr>
              <w:t>第二节</w:t>
            </w:r>
          </w:p>
          <w:p>
            <w:pPr>
              <w:widowControl/>
              <w:autoSpaceDE w:val="0"/>
              <w:autoSpaceDN w:val="0"/>
              <w:adjustRightInd w:val="0"/>
              <w:spacing w:line="400" w:lineRule="exact"/>
              <w:jc w:val="center"/>
              <w:rPr>
                <w:rFonts w:ascii="华文楷体" w:hAnsi="华文楷体" w:eastAsia="华文楷体" w:cs="华文楷体"/>
                <w:kern w:val="0"/>
                <w:sz w:val="22"/>
                <w:szCs w:val="21"/>
              </w:rPr>
            </w:pPr>
            <w:r>
              <w:rPr>
                <w:rFonts w:hint="eastAsia" w:ascii="宋体" w:hAnsi="宋体" w:cs="宋体"/>
                <w:kern w:val="0"/>
                <w:sz w:val="22"/>
                <w:szCs w:val="21"/>
              </w:rPr>
              <w:t>第11.1款</w:t>
            </w:r>
          </w:p>
        </w:tc>
        <w:tc>
          <w:tcPr>
            <w:tcW w:w="1742" w:type="dxa"/>
            <w:vAlign w:val="center"/>
          </w:tcPr>
          <w:p>
            <w:pPr>
              <w:adjustRightInd w:val="0"/>
              <w:snapToGrid w:val="0"/>
              <w:rPr>
                <w:rFonts w:ascii="宋体" w:hAnsi="宋体"/>
                <w:szCs w:val="21"/>
              </w:rPr>
            </w:pPr>
            <w:r>
              <w:rPr>
                <w:rFonts w:hint="eastAsia" w:ascii="宋体" w:hAnsi="宋体"/>
                <w:szCs w:val="21"/>
              </w:rPr>
              <w:t>其他应当保密的信息</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第12.2款</w:t>
            </w:r>
          </w:p>
        </w:tc>
        <w:tc>
          <w:tcPr>
            <w:tcW w:w="1742" w:type="dxa"/>
            <w:vAlign w:val="center"/>
          </w:tcPr>
          <w:p>
            <w:pPr>
              <w:adjustRightInd w:val="0"/>
              <w:snapToGrid w:val="0"/>
              <w:jc w:val="left"/>
              <w:rPr>
                <w:rFonts w:ascii="宋体" w:hAnsi="宋体"/>
                <w:szCs w:val="21"/>
              </w:rPr>
            </w:pPr>
            <w:r>
              <w:rPr>
                <w:rFonts w:hint="eastAsia" w:ascii="宋体" w:hAnsi="宋体"/>
                <w:szCs w:val="21"/>
              </w:rPr>
              <w:t>合同价款支付时间</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第13.2款</w:t>
            </w:r>
          </w:p>
        </w:tc>
        <w:tc>
          <w:tcPr>
            <w:tcW w:w="1742" w:type="dxa"/>
            <w:vAlign w:val="center"/>
          </w:tcPr>
          <w:p>
            <w:pPr>
              <w:adjustRightInd w:val="0"/>
              <w:snapToGrid w:val="0"/>
              <w:jc w:val="left"/>
              <w:rPr>
                <w:rFonts w:ascii="宋体" w:hAnsi="宋体"/>
                <w:szCs w:val="21"/>
              </w:rPr>
            </w:pPr>
            <w:r>
              <w:rPr>
                <w:rFonts w:hint="eastAsia" w:ascii="宋体" w:hAnsi="宋体"/>
                <w:szCs w:val="21"/>
              </w:rPr>
              <w:t>履约保证金不予退还的情形</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第13.3款</w:t>
            </w:r>
          </w:p>
        </w:tc>
        <w:tc>
          <w:tcPr>
            <w:tcW w:w="1742" w:type="dxa"/>
            <w:vAlign w:val="center"/>
          </w:tcPr>
          <w:p>
            <w:pPr>
              <w:adjustRightInd w:val="0"/>
              <w:snapToGrid w:val="0"/>
              <w:jc w:val="left"/>
              <w:rPr>
                <w:rFonts w:ascii="宋体" w:hAnsi="宋体"/>
                <w:szCs w:val="21"/>
              </w:rPr>
            </w:pPr>
            <w:r>
              <w:rPr>
                <w:rFonts w:hint="eastAsia" w:ascii="宋体" w:hAnsi="宋体"/>
                <w:szCs w:val="21"/>
              </w:rPr>
              <w:t>履约保证金退还时间及逾期退还的违约金</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第14.1（3）项</w:t>
            </w:r>
          </w:p>
        </w:tc>
        <w:tc>
          <w:tcPr>
            <w:tcW w:w="1742" w:type="dxa"/>
            <w:vAlign w:val="center"/>
          </w:tcPr>
          <w:p>
            <w:pPr>
              <w:adjustRightInd w:val="0"/>
              <w:snapToGrid w:val="0"/>
              <w:jc w:val="left"/>
              <w:rPr>
                <w:rFonts w:ascii="宋体" w:hAnsi="宋体"/>
                <w:szCs w:val="21"/>
              </w:rPr>
            </w:pPr>
            <w:r>
              <w:rPr>
                <w:rFonts w:hint="eastAsia" w:ascii="宋体" w:hAnsi="宋体"/>
                <w:szCs w:val="21"/>
              </w:rPr>
              <w:t>运行监督、维修期限</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第14.1（5）项</w:t>
            </w:r>
          </w:p>
        </w:tc>
        <w:tc>
          <w:tcPr>
            <w:tcW w:w="1742" w:type="dxa"/>
            <w:vAlign w:val="center"/>
          </w:tcPr>
          <w:p>
            <w:pPr>
              <w:adjustRightInd w:val="0"/>
              <w:snapToGrid w:val="0"/>
              <w:jc w:val="left"/>
              <w:rPr>
                <w:rFonts w:ascii="宋体" w:hAnsi="宋体"/>
                <w:szCs w:val="21"/>
              </w:rPr>
            </w:pPr>
            <w:r>
              <w:rPr>
                <w:rFonts w:hint="eastAsia" w:ascii="宋体" w:hAnsi="宋体"/>
                <w:szCs w:val="21"/>
              </w:rPr>
              <w:t>货物回收的约定</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第14.1（6）项</w:t>
            </w:r>
          </w:p>
        </w:tc>
        <w:tc>
          <w:tcPr>
            <w:tcW w:w="1742" w:type="dxa"/>
            <w:vAlign w:val="center"/>
          </w:tcPr>
          <w:p>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第15.1款</w:t>
            </w:r>
          </w:p>
        </w:tc>
        <w:tc>
          <w:tcPr>
            <w:tcW w:w="1742" w:type="dxa"/>
            <w:vAlign w:val="center"/>
          </w:tcPr>
          <w:p>
            <w:pPr>
              <w:adjustRightInd w:val="0"/>
              <w:snapToGrid w:val="0"/>
              <w:jc w:val="left"/>
              <w:rPr>
                <w:rFonts w:ascii="宋体" w:hAnsi="宋体"/>
                <w:szCs w:val="21"/>
              </w:rPr>
            </w:pPr>
            <w:r>
              <w:rPr>
                <w:rFonts w:hint="eastAsia" w:ascii="宋体" w:hAnsi="宋体"/>
                <w:szCs w:val="21"/>
              </w:rPr>
              <w:t>修理、重作、更换相关具体规定</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第15.2（2）项</w:t>
            </w:r>
          </w:p>
        </w:tc>
        <w:tc>
          <w:tcPr>
            <w:tcW w:w="1742" w:type="dxa"/>
            <w:vAlign w:val="center"/>
          </w:tcPr>
          <w:p>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第15.3款</w:t>
            </w:r>
          </w:p>
        </w:tc>
        <w:tc>
          <w:tcPr>
            <w:tcW w:w="1742" w:type="dxa"/>
            <w:vAlign w:val="center"/>
          </w:tcPr>
          <w:p>
            <w:pPr>
              <w:adjustRightInd w:val="0"/>
              <w:snapToGrid w:val="0"/>
              <w:jc w:val="left"/>
              <w:rPr>
                <w:rFonts w:ascii="宋体" w:hAnsi="宋体"/>
                <w:szCs w:val="21"/>
              </w:rPr>
            </w:pPr>
            <w:r>
              <w:rPr>
                <w:rFonts w:hint="eastAsia" w:ascii="宋体" w:hAnsi="宋体"/>
                <w:szCs w:val="21"/>
              </w:rPr>
              <w:t>逾期付款利息</w:t>
            </w:r>
          </w:p>
        </w:tc>
        <w:tc>
          <w:tcPr>
            <w:tcW w:w="5170"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pPr>
              <w:adjustRightInd w:val="0"/>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第23.1款</w:t>
            </w:r>
          </w:p>
        </w:tc>
        <w:tc>
          <w:tcPr>
            <w:tcW w:w="1742" w:type="dxa"/>
            <w:vAlign w:val="center"/>
          </w:tcPr>
          <w:p>
            <w:pPr>
              <w:adjustRightInd w:val="0"/>
              <w:snapToGrid w:val="0"/>
              <w:jc w:val="left"/>
              <w:rPr>
                <w:rFonts w:ascii="宋体" w:hAnsi="宋体"/>
                <w:szCs w:val="21"/>
              </w:rPr>
            </w:pPr>
            <w:r>
              <w:rPr>
                <w:rFonts w:hint="eastAsia" w:ascii="宋体" w:hAnsi="宋体"/>
                <w:bCs/>
                <w:szCs w:val="21"/>
              </w:rPr>
              <w:t>其他专用条款</w:t>
            </w:r>
          </w:p>
        </w:tc>
        <w:tc>
          <w:tcPr>
            <w:tcW w:w="5170" w:type="dxa"/>
            <w:vAlign w:val="center"/>
          </w:tcPr>
          <w:p>
            <w:pPr>
              <w:adjustRightInd w:val="0"/>
              <w:snapToGrid w:val="0"/>
              <w:jc w:val="left"/>
              <w:rPr>
                <w:rFonts w:ascii="宋体" w:hAnsi="宋体"/>
                <w:szCs w:val="21"/>
              </w:rPr>
            </w:pPr>
          </w:p>
        </w:tc>
      </w:tr>
    </w:tbl>
    <w:p>
      <w:pPr>
        <w:rPr>
          <w:rFonts w:ascii="Times New Roman" w:hAnsi="Times New Roman"/>
        </w:rPr>
      </w:pPr>
    </w:p>
    <w:p>
      <w:pPr>
        <w:rPr>
          <w:rFonts w:ascii="Times New Roman" w:hAnsi="Times New Roman"/>
        </w:rPr>
      </w:pPr>
    </w:p>
    <w:p>
      <w:pPr>
        <w:pStyle w:val="29"/>
        <w:snapToGrid w:val="0"/>
        <w:spacing w:line="600" w:lineRule="exact"/>
        <w:rPr>
          <w:rFonts w:hAnsi="宋体" w:cs="宋体"/>
          <w:sz w:val="36"/>
          <w:szCs w:val="36"/>
        </w:rPr>
      </w:pPr>
    </w:p>
    <w:p>
      <w:pPr>
        <w:pStyle w:val="29"/>
        <w:snapToGrid w:val="0"/>
        <w:spacing w:line="600" w:lineRule="exact"/>
        <w:rPr>
          <w:rFonts w:hAnsi="宋体" w:cs="宋体"/>
          <w:sz w:val="36"/>
          <w:szCs w:val="36"/>
        </w:rPr>
      </w:pPr>
    </w:p>
    <w:p>
      <w:pPr>
        <w:pStyle w:val="29"/>
        <w:snapToGrid w:val="0"/>
        <w:spacing w:line="600" w:lineRule="exact"/>
        <w:rPr>
          <w:rFonts w:hAnsi="宋体" w:cs="宋体"/>
          <w:sz w:val="36"/>
          <w:szCs w:val="36"/>
        </w:rPr>
      </w:pPr>
    </w:p>
    <w:p>
      <w:pPr>
        <w:pStyle w:val="29"/>
        <w:snapToGrid w:val="0"/>
        <w:spacing w:line="600" w:lineRule="exact"/>
        <w:rPr>
          <w:rFonts w:hAnsi="宋体" w:cs="宋体"/>
          <w:sz w:val="36"/>
          <w:szCs w:val="36"/>
        </w:rPr>
      </w:pPr>
    </w:p>
    <w:p>
      <w:pPr>
        <w:pStyle w:val="29"/>
        <w:snapToGrid w:val="0"/>
        <w:spacing w:line="600" w:lineRule="exact"/>
        <w:rPr>
          <w:rFonts w:hAnsi="宋体" w:cs="宋体"/>
          <w:sz w:val="36"/>
          <w:szCs w:val="36"/>
        </w:rPr>
      </w:pPr>
    </w:p>
    <w:p>
      <w:pPr>
        <w:pStyle w:val="29"/>
        <w:snapToGrid w:val="0"/>
        <w:spacing w:line="600" w:lineRule="exact"/>
        <w:rPr>
          <w:rFonts w:hAnsi="宋体" w:cs="宋体"/>
          <w:sz w:val="36"/>
          <w:szCs w:val="36"/>
        </w:rPr>
      </w:pPr>
    </w:p>
    <w:p>
      <w:pPr>
        <w:pStyle w:val="29"/>
        <w:snapToGrid w:val="0"/>
        <w:spacing w:line="600" w:lineRule="exact"/>
        <w:rPr>
          <w:rFonts w:hAnsi="宋体" w:cs="宋体"/>
          <w:sz w:val="36"/>
          <w:szCs w:val="36"/>
        </w:rPr>
      </w:pPr>
    </w:p>
    <w:p>
      <w:pPr>
        <w:pStyle w:val="29"/>
        <w:snapToGrid w:val="0"/>
        <w:spacing w:line="600" w:lineRule="exact"/>
        <w:rPr>
          <w:rFonts w:hAnsi="宋体" w:cs="宋体"/>
          <w:sz w:val="36"/>
          <w:szCs w:val="36"/>
        </w:rPr>
      </w:pPr>
    </w:p>
    <w:p>
      <w:pPr>
        <w:pStyle w:val="29"/>
        <w:snapToGrid w:val="0"/>
        <w:spacing w:line="600" w:lineRule="exact"/>
        <w:rPr>
          <w:rFonts w:hAnsi="宋体" w:cs="宋体"/>
          <w:sz w:val="36"/>
          <w:szCs w:val="36"/>
        </w:rPr>
      </w:pPr>
    </w:p>
    <w:p>
      <w:pPr>
        <w:pStyle w:val="29"/>
        <w:snapToGrid w:val="0"/>
        <w:spacing w:line="600" w:lineRule="exact"/>
        <w:rPr>
          <w:rFonts w:hAnsi="宋体" w:cs="宋体"/>
          <w:sz w:val="36"/>
          <w:szCs w:val="36"/>
        </w:rPr>
      </w:pPr>
    </w:p>
    <w:p>
      <w:pPr>
        <w:pStyle w:val="29"/>
        <w:snapToGrid w:val="0"/>
        <w:spacing w:line="600" w:lineRule="exact"/>
        <w:jc w:val="center"/>
        <w:outlineLvl w:val="0"/>
        <w:rPr>
          <w:rFonts w:hAnsi="宋体" w:cs="宋体"/>
          <w:b/>
          <w:sz w:val="36"/>
          <w:szCs w:val="36"/>
        </w:rPr>
      </w:pPr>
      <w:bookmarkStart w:id="63" w:name="_Toc163469139"/>
      <w:bookmarkStart w:id="64" w:name="_Toc9838482"/>
    </w:p>
    <w:p>
      <w:pPr>
        <w:pStyle w:val="29"/>
        <w:snapToGrid w:val="0"/>
        <w:spacing w:line="600" w:lineRule="exact"/>
        <w:jc w:val="center"/>
        <w:outlineLvl w:val="0"/>
        <w:rPr>
          <w:rFonts w:hAnsi="宋体" w:cs="宋体"/>
          <w:b/>
          <w:sz w:val="36"/>
          <w:szCs w:val="36"/>
        </w:rPr>
      </w:pPr>
    </w:p>
    <w:p>
      <w:pPr>
        <w:pStyle w:val="29"/>
        <w:snapToGrid w:val="0"/>
        <w:spacing w:line="600" w:lineRule="exact"/>
        <w:jc w:val="center"/>
        <w:outlineLvl w:val="0"/>
        <w:rPr>
          <w:rFonts w:hAnsi="宋体" w:cs="宋体"/>
          <w:b/>
          <w:sz w:val="36"/>
          <w:szCs w:val="36"/>
        </w:rPr>
      </w:pPr>
    </w:p>
    <w:p>
      <w:pPr>
        <w:pStyle w:val="29"/>
        <w:snapToGrid w:val="0"/>
        <w:spacing w:line="600" w:lineRule="exact"/>
        <w:jc w:val="center"/>
        <w:outlineLvl w:val="0"/>
        <w:rPr>
          <w:rFonts w:hAnsi="宋体" w:cs="宋体"/>
          <w:b/>
          <w:sz w:val="36"/>
          <w:szCs w:val="36"/>
        </w:rPr>
      </w:pPr>
    </w:p>
    <w:p>
      <w:pPr>
        <w:pStyle w:val="29"/>
        <w:snapToGrid w:val="0"/>
        <w:spacing w:line="600" w:lineRule="exact"/>
        <w:jc w:val="center"/>
        <w:outlineLvl w:val="0"/>
        <w:rPr>
          <w:rFonts w:hAnsi="宋体" w:cs="宋体"/>
          <w:b/>
          <w:sz w:val="36"/>
          <w:szCs w:val="36"/>
        </w:rPr>
      </w:pPr>
    </w:p>
    <w:p>
      <w:pPr>
        <w:pStyle w:val="29"/>
        <w:snapToGrid w:val="0"/>
        <w:spacing w:line="600" w:lineRule="exact"/>
        <w:jc w:val="center"/>
        <w:outlineLvl w:val="0"/>
        <w:rPr>
          <w:rFonts w:hAnsi="宋体" w:cs="宋体"/>
          <w:b/>
          <w:sz w:val="36"/>
          <w:szCs w:val="36"/>
        </w:rPr>
      </w:pPr>
    </w:p>
    <w:p>
      <w:pPr>
        <w:pStyle w:val="29"/>
        <w:snapToGrid w:val="0"/>
        <w:spacing w:line="600" w:lineRule="exact"/>
        <w:jc w:val="center"/>
        <w:outlineLvl w:val="0"/>
        <w:rPr>
          <w:rFonts w:hAnsi="宋体" w:cs="宋体"/>
          <w:b/>
          <w:sz w:val="36"/>
          <w:szCs w:val="36"/>
        </w:rPr>
      </w:pPr>
    </w:p>
    <w:p>
      <w:pPr>
        <w:pStyle w:val="29"/>
        <w:snapToGrid w:val="0"/>
        <w:spacing w:line="600" w:lineRule="exact"/>
        <w:jc w:val="center"/>
        <w:outlineLvl w:val="0"/>
        <w:rPr>
          <w:rFonts w:hAnsi="宋体" w:cs="宋体"/>
          <w:b/>
          <w:sz w:val="36"/>
          <w:szCs w:val="36"/>
        </w:rPr>
      </w:pPr>
    </w:p>
    <w:p>
      <w:pPr>
        <w:pStyle w:val="29"/>
        <w:snapToGrid w:val="0"/>
        <w:spacing w:line="600" w:lineRule="exact"/>
        <w:jc w:val="center"/>
        <w:outlineLvl w:val="0"/>
        <w:rPr>
          <w:rFonts w:hAnsi="宋体" w:cs="宋体"/>
          <w:b/>
          <w:sz w:val="36"/>
          <w:szCs w:val="36"/>
        </w:rPr>
      </w:pPr>
    </w:p>
    <w:p>
      <w:pPr>
        <w:pStyle w:val="29"/>
        <w:snapToGrid w:val="0"/>
        <w:spacing w:line="600" w:lineRule="exact"/>
        <w:jc w:val="center"/>
        <w:outlineLvl w:val="0"/>
        <w:rPr>
          <w:rFonts w:hAnsi="宋体" w:cs="宋体"/>
          <w:b/>
          <w:sz w:val="36"/>
          <w:szCs w:val="36"/>
        </w:rPr>
      </w:pPr>
    </w:p>
    <w:p>
      <w:pPr>
        <w:pStyle w:val="29"/>
        <w:snapToGrid w:val="0"/>
        <w:spacing w:line="600" w:lineRule="exact"/>
        <w:jc w:val="center"/>
        <w:outlineLvl w:val="0"/>
        <w:rPr>
          <w:rFonts w:hAnsi="宋体" w:cs="宋体"/>
          <w:b/>
          <w:sz w:val="36"/>
          <w:szCs w:val="36"/>
        </w:rPr>
      </w:pPr>
    </w:p>
    <w:p>
      <w:pPr>
        <w:pStyle w:val="29"/>
        <w:snapToGrid w:val="0"/>
        <w:spacing w:line="600" w:lineRule="exact"/>
        <w:jc w:val="center"/>
        <w:outlineLvl w:val="0"/>
        <w:rPr>
          <w:rFonts w:hAnsi="宋体" w:cs="宋体"/>
          <w:b/>
          <w:sz w:val="36"/>
          <w:szCs w:val="36"/>
        </w:rPr>
      </w:pPr>
      <w:r>
        <w:rPr>
          <w:rFonts w:hint="eastAsia" w:hAnsi="宋体" w:cs="宋体"/>
          <w:b/>
          <w:sz w:val="36"/>
          <w:szCs w:val="36"/>
        </w:rPr>
        <w:t>第六章 投标文件格式</w:t>
      </w:r>
      <w:bookmarkEnd w:id="63"/>
      <w:bookmarkEnd w:id="64"/>
    </w:p>
    <w:p>
      <w:pPr>
        <w:snapToGrid w:val="0"/>
        <w:spacing w:line="360" w:lineRule="exact"/>
        <w:rPr>
          <w:rFonts w:ascii="宋体" w:hAnsi="宋体" w:cs="宋体"/>
          <w:b/>
          <w:bCs/>
          <w:sz w:val="36"/>
          <w:szCs w:val="36"/>
        </w:rPr>
      </w:pPr>
    </w:p>
    <w:p>
      <w:pPr>
        <w:snapToGrid w:val="0"/>
        <w:spacing w:line="460" w:lineRule="exact"/>
        <w:ind w:firstLine="722" w:firstLineChars="200"/>
        <w:rPr>
          <w:rFonts w:ascii="宋体" w:hAnsi="宋体" w:cs="宋体"/>
          <w:b/>
          <w:bCs/>
          <w:sz w:val="36"/>
          <w:szCs w:val="36"/>
        </w:rPr>
      </w:pPr>
    </w:p>
    <w:p>
      <w:pPr>
        <w:snapToGrid w:val="0"/>
        <w:spacing w:line="460" w:lineRule="exact"/>
        <w:ind w:firstLine="421" w:firstLineChars="200"/>
        <w:rPr>
          <w:rFonts w:ascii="宋体" w:hAnsi="宋体" w:cs="宋体"/>
          <w:b/>
          <w:bCs/>
          <w:szCs w:val="21"/>
        </w:rPr>
      </w:pPr>
    </w:p>
    <w:p>
      <w:pPr>
        <w:snapToGrid w:val="0"/>
        <w:spacing w:line="460" w:lineRule="exact"/>
        <w:ind w:firstLine="421" w:firstLineChars="200"/>
        <w:rPr>
          <w:rFonts w:ascii="宋体" w:hAnsi="宋体" w:cs="宋体"/>
          <w:b/>
          <w:bCs/>
          <w:szCs w:val="21"/>
        </w:rPr>
      </w:pPr>
    </w:p>
    <w:p>
      <w:pPr>
        <w:snapToGrid w:val="0"/>
        <w:spacing w:line="460" w:lineRule="exact"/>
        <w:ind w:firstLine="421" w:firstLineChars="200"/>
        <w:rPr>
          <w:rFonts w:ascii="宋体" w:hAnsi="宋体" w:cs="宋体"/>
          <w:b/>
          <w:bCs/>
          <w:szCs w:val="21"/>
        </w:rPr>
      </w:pPr>
    </w:p>
    <w:p>
      <w:pPr>
        <w:snapToGrid w:val="0"/>
        <w:spacing w:line="460" w:lineRule="exact"/>
        <w:ind w:firstLine="421" w:firstLineChars="200"/>
        <w:rPr>
          <w:rFonts w:ascii="宋体" w:hAnsi="宋体" w:cs="宋体"/>
          <w:b/>
          <w:bCs/>
          <w:szCs w:val="21"/>
        </w:rPr>
      </w:pPr>
    </w:p>
    <w:p>
      <w:pPr>
        <w:snapToGrid w:val="0"/>
        <w:spacing w:line="460" w:lineRule="exact"/>
        <w:ind w:firstLine="421" w:firstLineChars="200"/>
        <w:rPr>
          <w:rFonts w:ascii="宋体" w:hAnsi="宋体" w:cs="宋体"/>
          <w:b/>
          <w:bCs/>
          <w:szCs w:val="21"/>
        </w:rPr>
      </w:pPr>
    </w:p>
    <w:p>
      <w:pPr>
        <w:snapToGrid w:val="0"/>
        <w:spacing w:line="460" w:lineRule="exact"/>
        <w:ind w:firstLine="421" w:firstLineChars="200"/>
        <w:rPr>
          <w:rFonts w:ascii="宋体" w:hAnsi="宋体" w:cs="宋体"/>
          <w:b/>
          <w:bCs/>
          <w:szCs w:val="21"/>
        </w:rPr>
      </w:pPr>
    </w:p>
    <w:p>
      <w:pPr>
        <w:snapToGrid w:val="0"/>
        <w:spacing w:line="460" w:lineRule="exact"/>
        <w:ind w:firstLine="421" w:firstLineChars="200"/>
        <w:rPr>
          <w:rFonts w:ascii="宋体" w:hAnsi="宋体" w:cs="宋体"/>
          <w:b/>
          <w:bCs/>
          <w:szCs w:val="21"/>
        </w:rPr>
      </w:pPr>
    </w:p>
    <w:p>
      <w:pPr>
        <w:snapToGrid w:val="0"/>
        <w:spacing w:line="460" w:lineRule="exact"/>
        <w:ind w:firstLine="421" w:firstLineChars="200"/>
        <w:rPr>
          <w:rFonts w:ascii="宋体" w:hAnsi="宋体" w:cs="宋体"/>
          <w:b/>
          <w:bCs/>
          <w:szCs w:val="21"/>
        </w:rPr>
      </w:pPr>
    </w:p>
    <w:p>
      <w:pPr>
        <w:snapToGrid w:val="0"/>
        <w:spacing w:line="460" w:lineRule="exact"/>
        <w:ind w:firstLine="421" w:firstLineChars="200"/>
        <w:rPr>
          <w:rFonts w:ascii="宋体" w:hAnsi="宋体" w:cs="宋体"/>
          <w:b/>
          <w:bCs/>
          <w:szCs w:val="21"/>
        </w:rPr>
      </w:pPr>
    </w:p>
    <w:p>
      <w:pPr>
        <w:snapToGrid w:val="0"/>
        <w:spacing w:line="460" w:lineRule="exact"/>
        <w:ind w:firstLine="421" w:firstLineChars="200"/>
        <w:rPr>
          <w:rFonts w:ascii="宋体" w:hAnsi="宋体" w:cs="宋体"/>
          <w:b/>
          <w:bCs/>
          <w:szCs w:val="21"/>
        </w:rPr>
      </w:pPr>
    </w:p>
    <w:p>
      <w:pPr>
        <w:snapToGrid w:val="0"/>
        <w:spacing w:line="460" w:lineRule="exact"/>
        <w:ind w:firstLine="421" w:firstLineChars="200"/>
        <w:rPr>
          <w:rFonts w:ascii="宋体" w:hAnsi="宋体" w:cs="宋体"/>
          <w:b/>
          <w:bCs/>
          <w:szCs w:val="21"/>
        </w:rPr>
      </w:pPr>
    </w:p>
    <w:p>
      <w:pPr>
        <w:snapToGrid w:val="0"/>
        <w:spacing w:line="460" w:lineRule="exact"/>
        <w:ind w:firstLine="421" w:firstLineChars="200"/>
        <w:rPr>
          <w:rFonts w:ascii="宋体" w:hAnsi="宋体" w:cs="宋体"/>
          <w:b/>
          <w:bCs/>
          <w:szCs w:val="21"/>
        </w:rPr>
      </w:pPr>
    </w:p>
    <w:p>
      <w:pPr>
        <w:snapToGrid w:val="0"/>
        <w:spacing w:line="460" w:lineRule="exact"/>
        <w:ind w:firstLine="421" w:firstLineChars="200"/>
        <w:rPr>
          <w:rFonts w:ascii="宋体" w:hAnsi="宋体" w:cs="宋体"/>
          <w:b/>
          <w:bCs/>
          <w:szCs w:val="21"/>
        </w:rPr>
      </w:pPr>
    </w:p>
    <w:p>
      <w:pPr>
        <w:snapToGrid w:val="0"/>
        <w:spacing w:line="460" w:lineRule="exact"/>
        <w:ind w:firstLine="421" w:firstLineChars="200"/>
        <w:rPr>
          <w:rFonts w:ascii="宋体" w:hAnsi="宋体" w:cs="宋体"/>
          <w:b/>
          <w:bCs/>
          <w:szCs w:val="21"/>
        </w:rPr>
      </w:pPr>
    </w:p>
    <w:bookmarkEnd w:id="0"/>
    <w:bookmarkEnd w:id="1"/>
    <w:p>
      <w:pPr>
        <w:snapToGrid w:val="0"/>
        <w:spacing w:before="156" w:beforeLines="50" w:after="50" w:line="360" w:lineRule="exact"/>
        <w:jc w:val="center"/>
        <w:rPr>
          <w:rFonts w:ascii="宋体" w:hAnsi="宋体" w:cs="宋体"/>
        </w:rPr>
      </w:pPr>
    </w:p>
    <w:p>
      <w:pPr>
        <w:snapToGrid w:val="0"/>
        <w:spacing w:before="156" w:beforeLines="50" w:after="50" w:line="360" w:lineRule="exact"/>
        <w:jc w:val="center"/>
        <w:rPr>
          <w:rFonts w:ascii="宋体" w:hAnsi="宋体" w:cs="宋体"/>
          <w:b/>
          <w:bCs/>
          <w:sz w:val="32"/>
          <w:szCs w:val="32"/>
        </w:rPr>
      </w:pPr>
      <w:r>
        <w:rPr>
          <w:rFonts w:hint="eastAsia" w:ascii="宋体" w:hAnsi="宋体" w:cs="宋体"/>
          <w:b/>
          <w:sz w:val="32"/>
          <w:szCs w:val="32"/>
        </w:rPr>
        <w:t>投标文件格式</w:t>
      </w:r>
    </w:p>
    <w:p>
      <w:pPr>
        <w:snapToGrid w:val="0"/>
        <w:spacing w:before="156" w:beforeLines="50" w:after="50" w:line="360" w:lineRule="exact"/>
        <w:jc w:val="center"/>
        <w:rPr>
          <w:rFonts w:ascii="宋体" w:hAnsi="宋体" w:cs="宋体"/>
          <w:bCs/>
          <w:sz w:val="32"/>
          <w:szCs w:val="32"/>
        </w:rPr>
      </w:pPr>
    </w:p>
    <w:p>
      <w:pPr>
        <w:snapToGrid w:val="0"/>
        <w:spacing w:before="156" w:beforeLines="50" w:after="50" w:line="360" w:lineRule="exact"/>
        <w:jc w:val="center"/>
        <w:outlineLvl w:val="1"/>
        <w:rPr>
          <w:rFonts w:ascii="宋体" w:hAnsi="宋体" w:cs="宋体"/>
          <w:bCs/>
          <w:sz w:val="32"/>
          <w:szCs w:val="32"/>
        </w:rPr>
      </w:pPr>
      <w:r>
        <w:rPr>
          <w:rFonts w:hint="eastAsia" w:ascii="宋体" w:hAnsi="宋体" w:cs="宋体"/>
          <w:bCs/>
          <w:sz w:val="32"/>
          <w:szCs w:val="32"/>
        </w:rPr>
        <w:t>一、投标文件外包装封面及投标文件封面格式</w:t>
      </w:r>
    </w:p>
    <w:p>
      <w:pPr>
        <w:snapToGrid w:val="0"/>
        <w:spacing w:before="156" w:beforeLines="50" w:after="50" w:line="360" w:lineRule="exact"/>
        <w:rPr>
          <w:rFonts w:ascii="宋体" w:hAnsi="宋体" w:cs="宋体"/>
          <w:b/>
          <w:szCs w:val="21"/>
        </w:rPr>
      </w:pPr>
    </w:p>
    <w:p>
      <w:pPr>
        <w:snapToGrid w:val="0"/>
        <w:spacing w:before="156" w:beforeLines="50" w:after="50" w:line="360" w:lineRule="exact"/>
        <w:rPr>
          <w:rFonts w:ascii="宋体" w:hAnsi="宋体" w:cs="宋体"/>
          <w:szCs w:val="21"/>
        </w:rPr>
      </w:pPr>
      <w:r>
        <w:rPr>
          <w:rFonts w:hint="eastAsia" w:ascii="宋体" w:hAnsi="宋体" w:cs="宋体"/>
          <w:b/>
          <w:szCs w:val="21"/>
        </w:rPr>
        <w:t>一）投标文件的外包装封面格式：</w:t>
      </w:r>
    </w:p>
    <w:p>
      <w:pPr>
        <w:snapToGrid w:val="0"/>
        <w:spacing w:before="156" w:beforeLines="50" w:after="50" w:line="360" w:lineRule="exact"/>
        <w:ind w:firstLine="3517" w:firstLineChars="1095"/>
        <w:rPr>
          <w:rFonts w:ascii="宋体" w:hAnsi="宋体" w:cs="宋体"/>
          <w:b/>
          <w:bCs/>
          <w:sz w:val="32"/>
          <w:szCs w:val="32"/>
        </w:rPr>
      </w:pPr>
    </w:p>
    <w:p>
      <w:pPr>
        <w:snapToGrid w:val="0"/>
        <w:spacing w:before="156" w:beforeLines="50" w:after="50" w:line="360" w:lineRule="exact"/>
        <w:ind w:firstLine="3517" w:firstLineChars="1095"/>
        <w:rPr>
          <w:rFonts w:ascii="宋体" w:hAnsi="宋体" w:cs="宋体"/>
          <w:szCs w:val="21"/>
        </w:rPr>
      </w:pPr>
      <w:r>
        <w:rPr>
          <w:rFonts w:hint="eastAsia" w:ascii="宋体" w:hAnsi="宋体" w:cs="宋体"/>
          <w:b/>
          <w:bCs/>
          <w:sz w:val="32"/>
          <w:szCs w:val="32"/>
        </w:rPr>
        <w:t>投标文件</w:t>
      </w:r>
    </w:p>
    <w:p>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采购项目名称：</w:t>
      </w:r>
    </w:p>
    <w:p>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采购项目编号：</w:t>
      </w:r>
    </w:p>
    <w:p>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所投分标：</w:t>
      </w:r>
    </w:p>
    <w:p>
      <w:pPr>
        <w:pStyle w:val="7"/>
        <w:snapToGrid w:val="0"/>
        <w:spacing w:before="50" w:after="50" w:line="440" w:lineRule="exact"/>
        <w:ind w:firstLine="602" w:firstLineChars="300"/>
        <w:rPr>
          <w:rFonts w:ascii="宋体" w:hAnsi="宋体" w:cs="宋体"/>
          <w:b/>
          <w:bCs/>
          <w:szCs w:val="21"/>
        </w:rPr>
      </w:pPr>
      <w:r>
        <w:rPr>
          <w:rFonts w:hint="eastAsia" w:ascii="宋体" w:hAnsi="宋体" w:cs="宋体"/>
          <w:b/>
          <w:bCs/>
          <w:szCs w:val="21"/>
        </w:rPr>
        <w:t>投标文件名称：资格文件</w:t>
      </w:r>
    </w:p>
    <w:p>
      <w:pPr>
        <w:pStyle w:val="7"/>
        <w:snapToGrid w:val="0"/>
        <w:spacing w:before="50" w:after="50" w:line="440" w:lineRule="exact"/>
        <w:ind w:firstLine="600" w:firstLineChars="300"/>
        <w:rPr>
          <w:rFonts w:ascii="宋体" w:hAnsi="宋体" w:cs="宋体"/>
          <w:bCs/>
          <w:szCs w:val="21"/>
        </w:rPr>
      </w:pPr>
      <w:r>
        <w:rPr>
          <w:rFonts w:hint="eastAsia" w:ascii="宋体" w:hAnsi="宋体" w:cs="宋体"/>
          <w:bCs/>
          <w:szCs w:val="21"/>
        </w:rPr>
        <w:t>投标人名称：（盖章）</w:t>
      </w:r>
    </w:p>
    <w:p>
      <w:pPr>
        <w:pStyle w:val="7"/>
        <w:snapToGrid w:val="0"/>
        <w:spacing w:before="50" w:after="50" w:line="440" w:lineRule="exact"/>
        <w:ind w:firstLine="600" w:firstLineChars="300"/>
        <w:rPr>
          <w:rFonts w:ascii="宋体" w:hAnsi="宋体" w:cs="宋体"/>
          <w:bCs/>
          <w:szCs w:val="21"/>
        </w:rPr>
      </w:pPr>
      <w:r>
        <w:rPr>
          <w:rFonts w:hint="eastAsia" w:ascii="宋体" w:hAnsi="宋体" w:cs="宋体"/>
          <w:bCs/>
          <w:szCs w:val="21"/>
        </w:rPr>
        <w:t>投标人地址：</w:t>
      </w:r>
    </w:p>
    <w:p>
      <w:pPr>
        <w:pStyle w:val="7"/>
        <w:snapToGrid w:val="0"/>
        <w:spacing w:before="50" w:after="50" w:line="360" w:lineRule="exact"/>
        <w:ind w:firstLine="600" w:firstLineChars="300"/>
        <w:rPr>
          <w:rFonts w:ascii="宋体" w:hAnsi="宋体" w:cs="宋体"/>
          <w:bCs/>
          <w:szCs w:val="21"/>
        </w:rPr>
      </w:pPr>
      <w:r>
        <w:rPr>
          <w:rFonts w:hint="eastAsia" w:ascii="宋体" w:hAnsi="宋体" w:cs="宋体"/>
          <w:bCs/>
          <w:szCs w:val="21"/>
        </w:rPr>
        <w:t>在</w:t>
      </w:r>
      <w:r>
        <w:rPr>
          <w:rFonts w:hint="eastAsia" w:ascii="宋体" w:hAnsi="宋体" w:cs="宋体"/>
          <w:szCs w:val="21"/>
        </w:rPr>
        <w:t>×年×月×日×时×分前</w:t>
      </w:r>
      <w:r>
        <w:rPr>
          <w:rFonts w:hint="eastAsia" w:ascii="宋体" w:hAnsi="宋体" w:cs="宋体"/>
          <w:bCs/>
          <w:szCs w:val="21"/>
        </w:rPr>
        <w:t>不得启封（开标时才能启封）</w:t>
      </w:r>
    </w:p>
    <w:p>
      <w:pPr>
        <w:snapToGrid w:val="0"/>
        <w:spacing w:before="156" w:beforeLines="50" w:after="50" w:line="360" w:lineRule="exact"/>
        <w:rPr>
          <w:rFonts w:ascii="宋体" w:hAnsi="宋体" w:cs="宋体"/>
          <w:szCs w:val="21"/>
        </w:rPr>
      </w:pPr>
    </w:p>
    <w:p>
      <w:pPr>
        <w:snapToGrid w:val="0"/>
        <w:spacing w:before="156" w:beforeLines="50" w:after="50" w:line="360" w:lineRule="exact"/>
        <w:ind w:firstLine="3517" w:firstLineChars="1095"/>
        <w:rPr>
          <w:rFonts w:ascii="宋体" w:hAnsi="宋体" w:cs="宋体"/>
          <w:szCs w:val="21"/>
        </w:rPr>
      </w:pPr>
      <w:r>
        <w:rPr>
          <w:rFonts w:hint="eastAsia" w:ascii="宋体" w:hAnsi="宋体" w:cs="宋体"/>
          <w:b/>
          <w:bCs/>
          <w:sz w:val="32"/>
          <w:szCs w:val="32"/>
        </w:rPr>
        <w:t>投标文件</w:t>
      </w:r>
    </w:p>
    <w:p>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采购项目名称：</w:t>
      </w:r>
    </w:p>
    <w:p>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采购项目编号：</w:t>
      </w:r>
    </w:p>
    <w:p>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所投分标：</w:t>
      </w:r>
    </w:p>
    <w:p>
      <w:pPr>
        <w:pStyle w:val="7"/>
        <w:snapToGrid w:val="0"/>
        <w:spacing w:before="50" w:after="50" w:line="440" w:lineRule="exact"/>
        <w:ind w:firstLine="602" w:firstLineChars="300"/>
        <w:rPr>
          <w:rFonts w:ascii="宋体" w:hAnsi="宋体" w:cs="宋体"/>
          <w:b/>
          <w:bCs/>
          <w:szCs w:val="21"/>
        </w:rPr>
      </w:pPr>
      <w:r>
        <w:rPr>
          <w:rFonts w:hint="eastAsia" w:ascii="宋体" w:hAnsi="宋体" w:cs="宋体"/>
          <w:b/>
          <w:bCs/>
          <w:szCs w:val="21"/>
        </w:rPr>
        <w:t>投标文件名称：资信及商务文件、技术文件、报价文件</w:t>
      </w:r>
    </w:p>
    <w:p>
      <w:pPr>
        <w:pStyle w:val="7"/>
        <w:snapToGrid w:val="0"/>
        <w:spacing w:before="50" w:after="50" w:line="440" w:lineRule="exact"/>
        <w:ind w:firstLine="600" w:firstLineChars="300"/>
        <w:rPr>
          <w:rFonts w:ascii="宋体" w:hAnsi="宋体" w:cs="宋体"/>
          <w:bCs/>
          <w:szCs w:val="21"/>
        </w:rPr>
      </w:pPr>
      <w:r>
        <w:rPr>
          <w:rFonts w:hint="eastAsia" w:ascii="宋体" w:hAnsi="宋体" w:cs="宋体"/>
          <w:bCs/>
          <w:szCs w:val="21"/>
        </w:rPr>
        <w:t>投标人名称：（盖章）</w:t>
      </w:r>
    </w:p>
    <w:p>
      <w:pPr>
        <w:pStyle w:val="7"/>
        <w:snapToGrid w:val="0"/>
        <w:spacing w:before="50" w:after="50" w:line="440" w:lineRule="exact"/>
        <w:ind w:firstLine="600" w:firstLineChars="300"/>
        <w:rPr>
          <w:rFonts w:ascii="宋体" w:hAnsi="宋体" w:cs="宋体"/>
          <w:bCs/>
          <w:szCs w:val="21"/>
        </w:rPr>
      </w:pPr>
      <w:r>
        <w:rPr>
          <w:rFonts w:hint="eastAsia" w:ascii="宋体" w:hAnsi="宋体" w:cs="宋体"/>
          <w:bCs/>
          <w:szCs w:val="21"/>
        </w:rPr>
        <w:t>投标人地址：</w:t>
      </w:r>
    </w:p>
    <w:p>
      <w:pPr>
        <w:pStyle w:val="7"/>
        <w:snapToGrid w:val="0"/>
        <w:spacing w:before="50" w:after="50" w:line="360" w:lineRule="exact"/>
        <w:ind w:firstLine="600" w:firstLineChars="300"/>
        <w:rPr>
          <w:rFonts w:ascii="宋体" w:hAnsi="宋体" w:cs="宋体"/>
          <w:bCs/>
          <w:szCs w:val="21"/>
        </w:rPr>
      </w:pPr>
      <w:r>
        <w:rPr>
          <w:rFonts w:hint="eastAsia" w:ascii="宋体" w:hAnsi="宋体" w:cs="宋体"/>
          <w:bCs/>
          <w:szCs w:val="21"/>
        </w:rPr>
        <w:t>在</w:t>
      </w:r>
      <w:r>
        <w:rPr>
          <w:rFonts w:hint="eastAsia" w:ascii="宋体" w:hAnsi="宋体" w:cs="宋体"/>
          <w:szCs w:val="21"/>
        </w:rPr>
        <w:t>×年×月×日×时×分前</w:t>
      </w:r>
      <w:r>
        <w:rPr>
          <w:rFonts w:hint="eastAsia" w:ascii="宋体" w:hAnsi="宋体" w:cs="宋体"/>
          <w:bCs/>
          <w:szCs w:val="21"/>
        </w:rPr>
        <w:t>不得启封（开标时才能启封）</w:t>
      </w:r>
    </w:p>
    <w:p>
      <w:pPr>
        <w:snapToGrid w:val="0"/>
        <w:spacing w:before="156" w:beforeLines="50" w:after="50" w:line="360" w:lineRule="exact"/>
        <w:jc w:val="center"/>
        <w:rPr>
          <w:rFonts w:ascii="宋体" w:hAnsi="宋体" w:cs="宋体"/>
          <w:szCs w:val="21"/>
        </w:rPr>
      </w:pPr>
    </w:p>
    <w:p>
      <w:pPr>
        <w:snapToGrid w:val="0"/>
        <w:spacing w:before="156" w:beforeLines="50" w:after="50" w:line="360" w:lineRule="exact"/>
        <w:rPr>
          <w:rFonts w:ascii="宋体" w:hAnsi="宋体" w:cs="宋体"/>
          <w:b/>
          <w:szCs w:val="21"/>
        </w:rPr>
      </w:pPr>
    </w:p>
    <w:p>
      <w:pPr>
        <w:snapToGrid w:val="0"/>
        <w:spacing w:before="156" w:beforeLines="50" w:after="50" w:line="360" w:lineRule="exact"/>
        <w:rPr>
          <w:rFonts w:ascii="宋体" w:hAnsi="宋体" w:cs="宋体"/>
          <w:b/>
          <w:szCs w:val="21"/>
        </w:rPr>
      </w:pPr>
    </w:p>
    <w:p>
      <w:pPr>
        <w:snapToGrid w:val="0"/>
        <w:spacing w:before="156" w:beforeLines="50" w:after="50" w:line="360" w:lineRule="exact"/>
        <w:rPr>
          <w:rFonts w:ascii="宋体" w:hAnsi="宋体" w:cs="宋体"/>
          <w:b/>
          <w:szCs w:val="21"/>
        </w:rPr>
      </w:pPr>
    </w:p>
    <w:p>
      <w:pPr>
        <w:snapToGrid w:val="0"/>
        <w:spacing w:before="156" w:beforeLines="50" w:after="50" w:line="360" w:lineRule="exact"/>
        <w:rPr>
          <w:rFonts w:ascii="宋体" w:hAnsi="宋体" w:cs="宋体"/>
          <w:b/>
          <w:szCs w:val="21"/>
        </w:rPr>
      </w:pPr>
    </w:p>
    <w:p>
      <w:pPr>
        <w:snapToGrid w:val="0"/>
        <w:spacing w:before="156" w:beforeLines="50" w:after="50" w:line="360" w:lineRule="exact"/>
        <w:rPr>
          <w:rFonts w:ascii="宋体" w:hAnsi="宋体" w:cs="宋体"/>
          <w:b/>
          <w:sz w:val="24"/>
        </w:rPr>
      </w:pPr>
      <w:r>
        <w:rPr>
          <w:rFonts w:hint="eastAsia" w:ascii="宋体" w:hAnsi="宋体" w:cs="宋体"/>
          <w:b/>
          <w:szCs w:val="21"/>
        </w:rPr>
        <w:t>二）投标文件封面格式：</w:t>
      </w:r>
    </w:p>
    <w:p>
      <w:pPr>
        <w:snapToGrid w:val="0"/>
        <w:spacing w:before="156" w:beforeLines="50" w:after="50" w:line="360" w:lineRule="exact"/>
        <w:rPr>
          <w:rFonts w:ascii="宋体" w:hAnsi="宋体" w:cs="宋体"/>
          <w:sz w:val="24"/>
        </w:rPr>
      </w:pPr>
    </w:p>
    <w:p>
      <w:pPr>
        <w:snapToGrid w:val="0"/>
        <w:spacing w:before="156" w:beforeLines="50" w:after="50" w:line="360" w:lineRule="exact"/>
        <w:rPr>
          <w:rFonts w:ascii="宋体" w:hAnsi="宋体" w:cs="宋体"/>
          <w:bCs/>
          <w:sz w:val="24"/>
        </w:rPr>
      </w:pPr>
    </w:p>
    <w:p>
      <w:pPr>
        <w:snapToGrid w:val="0"/>
        <w:spacing w:before="156" w:beforeLines="50" w:after="50" w:line="360" w:lineRule="exact"/>
        <w:jc w:val="center"/>
        <w:rPr>
          <w:rFonts w:ascii="宋体" w:hAnsi="宋体" w:cs="宋体"/>
          <w:b/>
          <w:bCs/>
          <w:sz w:val="32"/>
          <w:szCs w:val="32"/>
        </w:rPr>
      </w:pPr>
      <w:r>
        <w:rPr>
          <w:rFonts w:hint="eastAsia" w:ascii="宋体" w:hAnsi="宋体" w:cs="宋体"/>
          <w:b/>
          <w:bCs/>
          <w:sz w:val="32"/>
          <w:szCs w:val="32"/>
        </w:rPr>
        <w:t>投标文件</w:t>
      </w:r>
    </w:p>
    <w:p>
      <w:pPr>
        <w:snapToGrid w:val="0"/>
        <w:spacing w:before="156" w:beforeLines="50" w:after="50" w:line="360" w:lineRule="exact"/>
        <w:rPr>
          <w:rFonts w:ascii="宋体" w:hAnsi="宋体" w:cs="宋体"/>
          <w:bCs/>
          <w:sz w:val="24"/>
        </w:rPr>
      </w:pPr>
    </w:p>
    <w:p>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项目名称：</w:t>
      </w:r>
    </w:p>
    <w:p>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项目编号：</w:t>
      </w:r>
    </w:p>
    <w:p>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所投分标：</w:t>
      </w:r>
    </w:p>
    <w:p>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投标人名称：（盖章）</w:t>
      </w:r>
    </w:p>
    <w:p>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投标人地址：</w:t>
      </w:r>
    </w:p>
    <w:p>
      <w:pPr>
        <w:snapToGrid w:val="0"/>
        <w:spacing w:before="156" w:beforeLines="50" w:after="50" w:line="360" w:lineRule="exact"/>
        <w:jc w:val="center"/>
        <w:rPr>
          <w:rFonts w:ascii="宋体" w:hAnsi="宋体" w:cs="宋体"/>
          <w:szCs w:val="21"/>
        </w:rPr>
      </w:pPr>
      <w:r>
        <w:rPr>
          <w:rFonts w:hint="eastAsia" w:ascii="宋体" w:hAnsi="宋体" w:cs="宋体"/>
          <w:sz w:val="24"/>
        </w:rPr>
        <w:t>年 月 日</w:t>
      </w:r>
    </w:p>
    <w:p>
      <w:pPr>
        <w:snapToGrid w:val="0"/>
        <w:spacing w:before="156" w:beforeLines="50" w:after="50" w:line="360" w:lineRule="exact"/>
        <w:jc w:val="center"/>
        <w:rPr>
          <w:rFonts w:ascii="宋体" w:hAnsi="宋体" w:cs="宋体"/>
          <w:bCs/>
          <w:szCs w:val="21"/>
        </w:rPr>
      </w:pPr>
      <w:bookmarkStart w:id="65" w:name="_Toc254970557"/>
      <w:bookmarkStart w:id="66" w:name="_Toc254970698"/>
    </w:p>
    <w:p>
      <w:pPr>
        <w:snapToGrid w:val="0"/>
        <w:spacing w:before="156" w:beforeLines="50" w:after="50" w:line="360" w:lineRule="exact"/>
        <w:jc w:val="left"/>
        <w:rPr>
          <w:rFonts w:ascii="宋体" w:hAnsi="宋体" w:cs="宋体"/>
          <w:bCs/>
          <w:szCs w:val="21"/>
        </w:rPr>
      </w:pPr>
      <w:r>
        <w:rPr>
          <w:rFonts w:hint="eastAsia" w:ascii="宋体" w:hAnsi="宋体" w:cs="宋体"/>
          <w:bCs/>
          <w:szCs w:val="21"/>
        </w:rPr>
        <w:t>[注：</w:t>
      </w:r>
      <w:r>
        <w:rPr>
          <w:rFonts w:hint="eastAsia" w:ascii="宋体" w:hAnsi="宋体" w:cs="宋体"/>
          <w:szCs w:val="21"/>
        </w:rPr>
        <w:t>投标文件由</w:t>
      </w:r>
      <w:r>
        <w:rPr>
          <w:rFonts w:hint="eastAsia" w:ascii="宋体" w:hAnsi="宋体" w:cs="宋体"/>
          <w:b/>
          <w:szCs w:val="21"/>
        </w:rPr>
        <w:t>资格文件、资信及商务文件、技术文件、投标报价文件四部份组成，</w:t>
      </w:r>
      <w:r>
        <w:rPr>
          <w:rFonts w:hint="eastAsia" w:ascii="宋体" w:hAnsi="宋体" w:cs="宋体"/>
          <w:bCs/>
          <w:szCs w:val="21"/>
        </w:rPr>
        <w:t>其中资信及商务文件、技术文件、报价文件部分分别用封面标记分隔]</w:t>
      </w:r>
    </w:p>
    <w:p>
      <w:pPr>
        <w:snapToGrid w:val="0"/>
        <w:spacing w:before="156" w:beforeLines="50" w:after="50" w:line="360" w:lineRule="exact"/>
        <w:jc w:val="center"/>
        <w:rPr>
          <w:rFonts w:ascii="宋体" w:hAnsi="宋体" w:cs="宋体"/>
          <w:bCs/>
          <w:sz w:val="24"/>
        </w:rPr>
      </w:pPr>
    </w:p>
    <w:p>
      <w:pPr>
        <w:snapToGrid w:val="0"/>
        <w:spacing w:before="156" w:beforeLines="50" w:after="50" w:line="360" w:lineRule="exact"/>
        <w:jc w:val="center"/>
        <w:rPr>
          <w:rFonts w:ascii="宋体" w:hAnsi="宋体" w:cs="宋体"/>
          <w:bCs/>
          <w:sz w:val="32"/>
          <w:szCs w:val="32"/>
        </w:rPr>
      </w:pPr>
    </w:p>
    <w:p>
      <w:pPr>
        <w:snapToGrid w:val="0"/>
        <w:spacing w:before="156" w:beforeLines="50" w:after="50" w:line="360" w:lineRule="exact"/>
        <w:jc w:val="center"/>
        <w:rPr>
          <w:rFonts w:ascii="宋体" w:hAnsi="宋体" w:cs="宋体"/>
          <w:bCs/>
          <w:sz w:val="32"/>
          <w:szCs w:val="32"/>
        </w:rPr>
      </w:pPr>
    </w:p>
    <w:p>
      <w:pPr>
        <w:snapToGrid w:val="0"/>
        <w:spacing w:before="156" w:beforeLines="50" w:after="50" w:line="360" w:lineRule="exact"/>
        <w:jc w:val="center"/>
        <w:rPr>
          <w:rFonts w:ascii="宋体" w:hAnsi="宋体" w:cs="宋体"/>
          <w:bCs/>
          <w:sz w:val="32"/>
          <w:szCs w:val="32"/>
        </w:rPr>
      </w:pPr>
    </w:p>
    <w:p>
      <w:pPr>
        <w:snapToGrid w:val="0"/>
        <w:spacing w:before="156" w:beforeLines="50" w:after="50" w:line="360" w:lineRule="exact"/>
        <w:jc w:val="center"/>
        <w:rPr>
          <w:rFonts w:ascii="宋体" w:hAnsi="宋体" w:cs="宋体"/>
          <w:bCs/>
          <w:sz w:val="32"/>
          <w:szCs w:val="32"/>
        </w:rPr>
      </w:pPr>
    </w:p>
    <w:p>
      <w:pPr>
        <w:snapToGrid w:val="0"/>
        <w:spacing w:before="156" w:beforeLines="50" w:after="50" w:line="360" w:lineRule="exact"/>
        <w:jc w:val="center"/>
        <w:rPr>
          <w:rFonts w:ascii="宋体" w:hAnsi="宋体" w:cs="宋体"/>
          <w:bCs/>
          <w:sz w:val="32"/>
          <w:szCs w:val="32"/>
        </w:rPr>
      </w:pPr>
    </w:p>
    <w:p>
      <w:pPr>
        <w:pStyle w:val="36"/>
        <w:pBdr>
          <w:bottom w:val="none" w:color="auto" w:sz="0" w:space="0"/>
        </w:pBdr>
      </w:pPr>
    </w:p>
    <w:p>
      <w:pPr>
        <w:pStyle w:val="36"/>
        <w:pBdr>
          <w:bottom w:val="none" w:color="auto" w:sz="0" w:space="0"/>
        </w:pBdr>
      </w:pPr>
    </w:p>
    <w:p>
      <w:pPr>
        <w:snapToGrid w:val="0"/>
        <w:spacing w:before="156" w:beforeLines="50" w:after="50" w:line="360" w:lineRule="exact"/>
        <w:jc w:val="center"/>
        <w:rPr>
          <w:rFonts w:ascii="宋体" w:hAnsi="宋体" w:cs="宋体"/>
          <w:bCs/>
          <w:sz w:val="32"/>
          <w:szCs w:val="32"/>
        </w:rPr>
      </w:pPr>
    </w:p>
    <w:p>
      <w:pPr>
        <w:snapToGrid w:val="0"/>
        <w:spacing w:before="156" w:beforeLines="50" w:after="50" w:line="360" w:lineRule="exact"/>
        <w:jc w:val="center"/>
        <w:rPr>
          <w:rFonts w:ascii="宋体" w:hAnsi="宋体" w:cs="宋体"/>
          <w:bCs/>
          <w:sz w:val="32"/>
          <w:szCs w:val="32"/>
        </w:rPr>
      </w:pPr>
    </w:p>
    <w:p>
      <w:pPr>
        <w:snapToGrid w:val="0"/>
        <w:spacing w:before="156" w:beforeLines="50" w:after="50" w:line="360" w:lineRule="exact"/>
        <w:jc w:val="center"/>
        <w:rPr>
          <w:rFonts w:ascii="宋体" w:hAnsi="宋体" w:cs="宋体"/>
          <w:bCs/>
          <w:sz w:val="32"/>
          <w:szCs w:val="32"/>
        </w:rPr>
      </w:pPr>
    </w:p>
    <w:p>
      <w:pPr>
        <w:snapToGrid w:val="0"/>
        <w:spacing w:before="156" w:beforeLines="50" w:after="50" w:line="360" w:lineRule="exact"/>
        <w:jc w:val="center"/>
        <w:rPr>
          <w:rFonts w:ascii="宋体" w:hAnsi="宋体" w:cs="宋体"/>
          <w:bCs/>
          <w:sz w:val="32"/>
          <w:szCs w:val="32"/>
        </w:rPr>
      </w:pPr>
    </w:p>
    <w:p>
      <w:pPr>
        <w:snapToGrid w:val="0"/>
        <w:spacing w:before="156" w:beforeLines="50" w:after="50" w:line="360" w:lineRule="exact"/>
        <w:jc w:val="center"/>
        <w:outlineLvl w:val="1"/>
        <w:rPr>
          <w:rFonts w:ascii="宋体" w:hAnsi="宋体" w:cs="宋体"/>
          <w:bCs/>
          <w:sz w:val="32"/>
          <w:szCs w:val="32"/>
        </w:rPr>
      </w:pPr>
    </w:p>
    <w:p>
      <w:pPr>
        <w:snapToGrid w:val="0"/>
        <w:spacing w:before="156" w:beforeLines="50" w:after="50" w:line="360" w:lineRule="exact"/>
        <w:jc w:val="center"/>
        <w:outlineLvl w:val="1"/>
        <w:rPr>
          <w:rFonts w:ascii="宋体" w:hAnsi="宋体" w:cs="宋体"/>
          <w:bCs/>
          <w:sz w:val="32"/>
          <w:szCs w:val="32"/>
        </w:rPr>
      </w:pPr>
    </w:p>
    <w:p>
      <w:pPr>
        <w:snapToGrid w:val="0"/>
        <w:spacing w:before="156" w:beforeLines="50" w:after="50" w:line="360" w:lineRule="exact"/>
        <w:jc w:val="center"/>
        <w:outlineLvl w:val="1"/>
        <w:rPr>
          <w:rFonts w:ascii="宋体" w:hAnsi="宋体" w:cs="宋体"/>
          <w:bCs/>
          <w:sz w:val="32"/>
          <w:szCs w:val="32"/>
        </w:rPr>
      </w:pPr>
      <w:r>
        <w:rPr>
          <w:rFonts w:hint="eastAsia" w:ascii="宋体" w:hAnsi="宋体" w:cs="宋体"/>
          <w:bCs/>
          <w:sz w:val="32"/>
          <w:szCs w:val="32"/>
        </w:rPr>
        <w:t>二、投标文件目录</w:t>
      </w:r>
    </w:p>
    <w:bookmarkEnd w:id="65"/>
    <w:bookmarkEnd w:id="66"/>
    <w:p>
      <w:pPr>
        <w:snapToGrid w:val="0"/>
        <w:spacing w:before="156" w:beforeLines="50" w:line="360" w:lineRule="exact"/>
        <w:ind w:firstLine="413" w:firstLineChars="196"/>
        <w:jc w:val="left"/>
        <w:outlineLvl w:val="1"/>
        <w:rPr>
          <w:rFonts w:ascii="宋体" w:hAnsi="宋体" w:cs="宋体"/>
          <w:b/>
          <w:szCs w:val="21"/>
        </w:rPr>
      </w:pPr>
      <w:r>
        <w:rPr>
          <w:rFonts w:hint="eastAsia" w:ascii="宋体" w:hAnsi="宋体" w:cs="宋体"/>
          <w:b/>
          <w:szCs w:val="21"/>
        </w:rPr>
        <w:t>1.资格文件：</w:t>
      </w:r>
    </w:p>
    <w:p>
      <w:pPr>
        <w:snapToGrid w:val="0"/>
        <w:spacing w:line="360" w:lineRule="exact"/>
        <w:ind w:firstLine="210" w:firstLineChars="100"/>
        <w:jc w:val="left"/>
        <w:rPr>
          <w:rFonts w:ascii="宋体" w:hAnsi="宋体" w:cs="宋体"/>
          <w:b/>
          <w:szCs w:val="21"/>
        </w:rPr>
      </w:pPr>
      <w:r>
        <w:rPr>
          <w:rFonts w:hint="eastAsia" w:ascii="宋体" w:hAnsi="宋体" w:cs="宋体"/>
          <w:szCs w:val="21"/>
        </w:rPr>
        <w:t>▲</w:t>
      </w:r>
      <w:r>
        <w:rPr>
          <w:rFonts w:hint="eastAsia" w:ascii="宋体" w:hAnsi="宋体" w:cs="宋体"/>
          <w:b/>
          <w:szCs w:val="21"/>
        </w:rPr>
        <w:t>（1）</w:t>
      </w:r>
      <w:r>
        <w:rPr>
          <w:rFonts w:hint="eastAsia" w:ascii="宋体" w:hAnsi="宋体" w:cs="宋体"/>
          <w:szCs w:val="21"/>
        </w:rPr>
        <w:t>北海市政府采购供应商信用承诺函</w:t>
      </w:r>
      <w:r>
        <w:rPr>
          <w:rFonts w:hint="eastAsia" w:ascii="宋体" w:hAnsi="宋体" w:cs="宋体"/>
          <w:b/>
          <w:szCs w:val="21"/>
        </w:rPr>
        <w:t>（格式见</w:t>
      </w:r>
      <w:r>
        <w:rPr>
          <w:rFonts w:hint="eastAsia" w:ascii="宋体" w:hAnsi="宋体" w:cs="宋体"/>
          <w:b/>
          <w:bCs/>
          <w:szCs w:val="21"/>
        </w:rPr>
        <w:t>第六章</w:t>
      </w:r>
      <w:r>
        <w:rPr>
          <w:rFonts w:hint="eastAsia" w:ascii="宋体" w:hAnsi="宋体" w:cs="宋体"/>
          <w:b/>
          <w:szCs w:val="21"/>
        </w:rPr>
        <w:t>，必须提供）。</w:t>
      </w:r>
    </w:p>
    <w:p>
      <w:pPr>
        <w:snapToGrid w:val="0"/>
        <w:spacing w:line="360" w:lineRule="exact"/>
        <w:ind w:firstLine="210" w:firstLineChars="100"/>
        <w:jc w:val="left"/>
        <w:rPr>
          <w:rFonts w:ascii="宋体" w:hAnsi="宋体" w:cs="宋体"/>
          <w:b/>
          <w:szCs w:val="21"/>
        </w:rPr>
      </w:pPr>
      <w:r>
        <w:rPr>
          <w:rFonts w:hint="eastAsia" w:ascii="宋体" w:hAnsi="宋体" w:cs="宋体"/>
          <w:szCs w:val="21"/>
        </w:rPr>
        <w:t>▲</w:t>
      </w:r>
      <w:r>
        <w:rPr>
          <w:rFonts w:hint="eastAsia" w:ascii="宋体" w:hAnsi="宋体" w:cs="宋体"/>
          <w:b/>
          <w:szCs w:val="21"/>
        </w:rPr>
        <w:t>（2）</w:t>
      </w:r>
      <w:r>
        <w:rPr>
          <w:rFonts w:hint="eastAsia" w:ascii="宋体" w:hAnsi="宋体" w:cs="宋体"/>
          <w:szCs w:val="21"/>
        </w:rPr>
        <w:t>货物全部由符合政策要求的</w:t>
      </w:r>
      <w:r>
        <w:rPr>
          <w:rFonts w:hint="eastAsia" w:ascii="宋体" w:hAnsi="宋体" w:cs="宋体"/>
          <w:szCs w:val="21"/>
          <w:lang w:eastAsia="zh-CN"/>
        </w:rPr>
        <w:t>中</w:t>
      </w:r>
      <w:r>
        <w:rPr>
          <w:rFonts w:hint="eastAsia" w:ascii="宋体" w:hAnsi="宋体" w:cs="宋体"/>
          <w:szCs w:val="21"/>
        </w:rPr>
        <w:t>小微企业制造，提供中小企业声明函</w:t>
      </w:r>
      <w:r>
        <w:rPr>
          <w:rFonts w:hint="eastAsia" w:ascii="宋体" w:hAnsi="宋体" w:cs="宋体"/>
          <w:b/>
          <w:szCs w:val="21"/>
        </w:rPr>
        <w:t>（格式见</w:t>
      </w:r>
      <w:r>
        <w:rPr>
          <w:rFonts w:hint="eastAsia" w:ascii="宋体" w:hAnsi="宋体" w:cs="宋体"/>
          <w:b/>
          <w:bCs/>
          <w:szCs w:val="21"/>
        </w:rPr>
        <w:t>第六章</w:t>
      </w:r>
      <w:r>
        <w:rPr>
          <w:rFonts w:hint="eastAsia" w:ascii="宋体" w:hAnsi="宋体" w:cs="宋体"/>
          <w:b/>
          <w:szCs w:val="21"/>
        </w:rPr>
        <w:t>）</w:t>
      </w:r>
      <w:r>
        <w:rPr>
          <w:rFonts w:hint="eastAsia" w:ascii="宋体" w:hAnsi="宋体" w:cs="宋体"/>
          <w:szCs w:val="21"/>
        </w:rPr>
        <w:t>,声明制造商为</w:t>
      </w:r>
      <w:r>
        <w:rPr>
          <w:rFonts w:hint="eastAsia" w:ascii="宋体" w:hAnsi="宋体" w:cs="宋体"/>
          <w:szCs w:val="21"/>
          <w:lang w:eastAsia="zh-CN"/>
        </w:rPr>
        <w:t>中</w:t>
      </w:r>
      <w:r>
        <w:rPr>
          <w:rFonts w:hint="eastAsia" w:ascii="宋体" w:hAnsi="宋体" w:cs="宋体"/>
          <w:szCs w:val="21"/>
        </w:rPr>
        <w:t>小型或微型企业；符合条件的残疾人福利性单位在参加政府采购活动时，提供《残疾人福利性单位声明函》</w:t>
      </w:r>
      <w:r>
        <w:rPr>
          <w:rFonts w:hint="eastAsia" w:ascii="宋体" w:hAnsi="宋体" w:cs="宋体"/>
          <w:b/>
          <w:szCs w:val="21"/>
        </w:rPr>
        <w:t>（格式见</w:t>
      </w:r>
      <w:r>
        <w:rPr>
          <w:rFonts w:hint="eastAsia" w:ascii="宋体" w:hAnsi="宋体" w:cs="宋体"/>
          <w:b/>
          <w:bCs/>
          <w:szCs w:val="21"/>
        </w:rPr>
        <w:t>第六章</w:t>
      </w:r>
      <w:r>
        <w:rPr>
          <w:rFonts w:hint="eastAsia" w:ascii="宋体" w:hAnsi="宋体" w:cs="宋体"/>
          <w:b/>
          <w:szCs w:val="21"/>
        </w:rPr>
        <w:t>）</w:t>
      </w:r>
      <w:r>
        <w:rPr>
          <w:rFonts w:hint="eastAsia" w:ascii="宋体" w:hAnsi="宋体" w:cs="宋体"/>
          <w:szCs w:val="21"/>
        </w:rPr>
        <w:t>；监狱企业参加政府采购活动时，提供由省级以上监狱管理局、戒毒管理局（含新疆生产建设兵团）出具的属于监狱企业的证明文件。</w:t>
      </w:r>
      <w:r>
        <w:rPr>
          <w:rFonts w:hint="eastAsia" w:ascii="宋体" w:hAnsi="宋体" w:cs="宋体"/>
          <w:b/>
          <w:szCs w:val="21"/>
        </w:rPr>
        <w:t>（必须提供前述材料至少一项）</w:t>
      </w:r>
    </w:p>
    <w:p>
      <w:pPr>
        <w:snapToGrid w:val="0"/>
        <w:spacing w:line="360" w:lineRule="exact"/>
        <w:ind w:firstLine="420" w:firstLineChars="200"/>
        <w:jc w:val="left"/>
        <w:rPr>
          <w:rFonts w:ascii="宋体" w:hAnsi="宋体" w:cs="宋体"/>
          <w:szCs w:val="21"/>
        </w:rPr>
      </w:pPr>
      <w:r>
        <w:rPr>
          <w:rFonts w:hint="eastAsia" w:ascii="宋体" w:hAnsi="宋体" w:cs="宋体"/>
          <w:szCs w:val="21"/>
        </w:rPr>
        <w:t>（3）具备法律、行政法规规定的其他条件的证明材料(如有规定,则必须提供)。</w:t>
      </w:r>
    </w:p>
    <w:p>
      <w:pPr>
        <w:snapToGrid w:val="0"/>
        <w:spacing w:before="156" w:beforeLines="50" w:line="360" w:lineRule="exact"/>
        <w:ind w:firstLine="413" w:firstLineChars="196"/>
        <w:jc w:val="left"/>
        <w:outlineLvl w:val="1"/>
        <w:rPr>
          <w:rFonts w:ascii="宋体" w:hAnsi="宋体" w:cs="宋体"/>
          <w:b/>
          <w:szCs w:val="21"/>
        </w:rPr>
      </w:pPr>
      <w:r>
        <w:rPr>
          <w:rFonts w:hint="eastAsia" w:ascii="宋体" w:hAnsi="宋体" w:cs="宋体"/>
          <w:b/>
          <w:szCs w:val="21"/>
        </w:rPr>
        <w:t>2.资信及商务文件：</w:t>
      </w:r>
    </w:p>
    <w:p>
      <w:pPr>
        <w:snapToGrid w:val="0"/>
        <w:spacing w:line="360" w:lineRule="exact"/>
        <w:ind w:firstLine="210" w:firstLineChars="100"/>
        <w:jc w:val="left"/>
        <w:rPr>
          <w:rFonts w:ascii="宋体" w:hAnsi="宋体" w:cs="宋体"/>
          <w:b/>
          <w:szCs w:val="21"/>
        </w:rPr>
      </w:pPr>
      <w:r>
        <w:rPr>
          <w:rFonts w:hint="eastAsia" w:ascii="宋体" w:hAnsi="宋体" w:cs="宋体"/>
          <w:szCs w:val="21"/>
        </w:rPr>
        <w:t>▲</w:t>
      </w:r>
      <w:r>
        <w:rPr>
          <w:rFonts w:hint="eastAsia" w:ascii="宋体" w:hAnsi="宋体" w:cs="宋体"/>
          <w:b/>
          <w:szCs w:val="21"/>
        </w:rPr>
        <w:t>（1）</w:t>
      </w:r>
      <w:r>
        <w:rPr>
          <w:rFonts w:hint="eastAsia" w:ascii="宋体" w:hAnsi="宋体" w:cs="宋体"/>
          <w:szCs w:val="21"/>
        </w:rPr>
        <w:t>承诺函(格式见第六章)；</w:t>
      </w:r>
      <w:r>
        <w:rPr>
          <w:rFonts w:hint="eastAsia" w:ascii="宋体" w:hAnsi="宋体" w:cs="宋体"/>
          <w:b/>
          <w:szCs w:val="21"/>
        </w:rPr>
        <w:t>（必须提供）</w:t>
      </w:r>
    </w:p>
    <w:p>
      <w:pPr>
        <w:snapToGrid w:val="0"/>
        <w:spacing w:line="360" w:lineRule="exact"/>
        <w:ind w:firstLine="210" w:firstLineChars="100"/>
        <w:jc w:val="left"/>
        <w:rPr>
          <w:rFonts w:ascii="宋体" w:hAnsi="宋体" w:cs="宋体"/>
          <w:szCs w:val="21"/>
        </w:rPr>
      </w:pPr>
      <w:r>
        <w:rPr>
          <w:rFonts w:hint="eastAsia" w:ascii="宋体" w:hAnsi="宋体" w:cs="宋体"/>
          <w:b/>
          <w:szCs w:val="21"/>
        </w:rPr>
        <w:t>▲（2）</w:t>
      </w:r>
      <w:r>
        <w:rPr>
          <w:rFonts w:hint="eastAsia" w:ascii="宋体" w:hAnsi="宋体" w:cs="宋体"/>
          <w:szCs w:val="21"/>
        </w:rPr>
        <w:t>法定代表人（负责人）授权委托书和委托代理人身份证复印件</w:t>
      </w:r>
      <w:r>
        <w:rPr>
          <w:rFonts w:hint="eastAsia" w:ascii="宋体" w:hAnsi="宋体" w:cs="宋体"/>
          <w:b/>
          <w:szCs w:val="21"/>
        </w:rPr>
        <w:t>（委托代理时必须提供，格式见第六章）</w:t>
      </w:r>
      <w:r>
        <w:rPr>
          <w:rFonts w:hint="eastAsia" w:ascii="宋体" w:hAnsi="宋体" w:cs="宋体"/>
          <w:szCs w:val="21"/>
        </w:rPr>
        <w:t>；法定代表人（负责人）参加投标时，提供法定代表人（负责人）身份证明书和身份证复印件</w:t>
      </w:r>
      <w:r>
        <w:rPr>
          <w:rFonts w:hint="eastAsia" w:ascii="宋体" w:hAnsi="宋体" w:cs="宋体"/>
          <w:b/>
          <w:szCs w:val="21"/>
        </w:rPr>
        <w:t>（必须提供，格式见第六章）</w:t>
      </w:r>
    </w:p>
    <w:p>
      <w:pPr>
        <w:snapToGrid w:val="0"/>
        <w:spacing w:line="360" w:lineRule="exact"/>
        <w:ind w:firstLine="411" w:firstLineChars="196"/>
        <w:jc w:val="left"/>
        <w:rPr>
          <w:rFonts w:ascii="宋体" w:hAnsi="宋体" w:cs="宋体"/>
          <w:szCs w:val="21"/>
        </w:rPr>
      </w:pPr>
      <w:r>
        <w:rPr>
          <w:rFonts w:hint="eastAsia" w:ascii="宋体" w:hAnsi="宋体" w:cs="宋体"/>
          <w:szCs w:val="21"/>
        </w:rPr>
        <w:t>（3）产品销售许可证；</w:t>
      </w:r>
    </w:p>
    <w:p>
      <w:pPr>
        <w:snapToGrid w:val="0"/>
        <w:spacing w:line="360" w:lineRule="exact"/>
        <w:ind w:firstLine="411" w:firstLineChars="196"/>
        <w:jc w:val="left"/>
        <w:rPr>
          <w:rFonts w:ascii="宋体" w:hAnsi="宋体" w:cs="宋体"/>
          <w:szCs w:val="21"/>
        </w:rPr>
      </w:pPr>
      <w:r>
        <w:rPr>
          <w:rFonts w:hint="eastAsia" w:ascii="宋体" w:hAnsi="宋体" w:cs="宋体"/>
          <w:szCs w:val="21"/>
        </w:rPr>
        <w:t>（4）安全生产许可证复印件、产品代理资格证明文件复印件；</w:t>
      </w:r>
    </w:p>
    <w:p>
      <w:pPr>
        <w:snapToGrid w:val="0"/>
        <w:spacing w:line="360" w:lineRule="exact"/>
        <w:ind w:firstLine="210" w:firstLineChars="100"/>
        <w:jc w:val="left"/>
        <w:rPr>
          <w:rFonts w:ascii="宋体" w:hAnsi="宋体" w:cs="宋体"/>
          <w:b/>
          <w:szCs w:val="21"/>
        </w:rPr>
      </w:pPr>
      <w:r>
        <w:rPr>
          <w:rFonts w:hint="eastAsia" w:ascii="宋体" w:hAnsi="宋体" w:cs="宋体"/>
          <w:szCs w:val="21"/>
        </w:rPr>
        <w:t>▲</w:t>
      </w:r>
      <w:r>
        <w:rPr>
          <w:rFonts w:hint="eastAsia" w:ascii="宋体" w:hAnsi="宋体" w:cs="宋体"/>
          <w:b/>
          <w:szCs w:val="21"/>
        </w:rPr>
        <w:t>（5）</w:t>
      </w:r>
      <w:r>
        <w:rPr>
          <w:rFonts w:hint="eastAsia" w:ascii="宋体" w:hAnsi="宋体" w:cs="宋体"/>
          <w:szCs w:val="21"/>
        </w:rPr>
        <w:t>商务响应表（格式见第六章）；</w:t>
      </w:r>
      <w:r>
        <w:rPr>
          <w:rFonts w:hint="eastAsia" w:ascii="宋体" w:hAnsi="宋体" w:cs="宋体"/>
          <w:b/>
          <w:szCs w:val="21"/>
        </w:rPr>
        <w:t>（必须提供）；</w:t>
      </w:r>
    </w:p>
    <w:p>
      <w:pPr>
        <w:snapToGrid w:val="0"/>
        <w:spacing w:line="360" w:lineRule="exact"/>
        <w:ind w:firstLine="420" w:firstLineChars="200"/>
        <w:jc w:val="left"/>
        <w:rPr>
          <w:rFonts w:ascii="宋体" w:hAnsi="宋体" w:cs="宋体"/>
          <w:szCs w:val="21"/>
        </w:rPr>
      </w:pPr>
      <w:r>
        <w:rPr>
          <w:rFonts w:hint="eastAsia" w:ascii="宋体" w:hAnsi="宋体" w:cs="宋体"/>
          <w:szCs w:val="21"/>
        </w:rPr>
        <w:t>（6）招标项目采购需求中要求必须提供的材料等；</w:t>
      </w:r>
      <w:r>
        <w:rPr>
          <w:rFonts w:hint="eastAsia" w:ascii="宋体" w:hAnsi="宋体" w:cs="宋体"/>
          <w:b/>
          <w:szCs w:val="21"/>
        </w:rPr>
        <w:t>（如有要求，则必须提供）</w:t>
      </w:r>
    </w:p>
    <w:p>
      <w:pPr>
        <w:snapToGrid w:val="0"/>
        <w:spacing w:line="360" w:lineRule="exact"/>
        <w:ind w:firstLine="411" w:firstLineChars="196"/>
        <w:jc w:val="left"/>
        <w:rPr>
          <w:rFonts w:ascii="宋体" w:hAnsi="宋体" w:cs="宋体"/>
          <w:szCs w:val="21"/>
        </w:rPr>
      </w:pPr>
      <w:r>
        <w:rPr>
          <w:rFonts w:hint="eastAsia" w:ascii="宋体" w:hAnsi="宋体" w:cs="宋体"/>
          <w:szCs w:val="21"/>
        </w:rPr>
        <w:t>（7）具备法律、行政法规规定的其他条件的证明材料(如有规定,则必须提供)。</w:t>
      </w:r>
    </w:p>
    <w:p>
      <w:pPr>
        <w:snapToGrid w:val="0"/>
        <w:spacing w:line="360" w:lineRule="exact"/>
        <w:ind w:firstLine="413" w:firstLineChars="196"/>
        <w:jc w:val="left"/>
        <w:rPr>
          <w:rFonts w:ascii="宋体" w:hAnsi="宋体" w:cs="宋体"/>
          <w:b/>
          <w:szCs w:val="21"/>
        </w:rPr>
      </w:pPr>
      <w:r>
        <w:rPr>
          <w:rFonts w:hint="eastAsia" w:ascii="宋体" w:hAnsi="宋体" w:cs="宋体"/>
          <w:b/>
          <w:bCs/>
          <w:szCs w:val="21"/>
        </w:rPr>
        <w:t>可作为投标人资信评分的资质证明材料（可选）</w:t>
      </w:r>
    </w:p>
    <w:p>
      <w:pPr>
        <w:snapToGrid w:val="0"/>
        <w:spacing w:line="360" w:lineRule="exact"/>
        <w:ind w:firstLine="424" w:firstLineChars="202"/>
        <w:jc w:val="left"/>
        <w:rPr>
          <w:rFonts w:ascii="宋体" w:hAnsi="宋体" w:cs="宋体"/>
          <w:szCs w:val="21"/>
        </w:rPr>
      </w:pPr>
      <w:r>
        <w:rPr>
          <w:rFonts w:hint="eastAsia" w:ascii="宋体" w:hAnsi="宋体" w:cs="宋体"/>
          <w:szCs w:val="21"/>
        </w:rPr>
        <w:t>（8）投标品牌2020年以来具有同类项目销售业绩（以中标通知或合同为准）复印件；</w:t>
      </w:r>
    </w:p>
    <w:p>
      <w:pPr>
        <w:snapToGrid w:val="0"/>
        <w:spacing w:line="360" w:lineRule="exact"/>
        <w:ind w:firstLine="420" w:firstLineChars="200"/>
        <w:jc w:val="left"/>
        <w:rPr>
          <w:rFonts w:ascii="宋体" w:hAnsi="宋体" w:cs="宋体"/>
          <w:szCs w:val="21"/>
        </w:rPr>
      </w:pPr>
      <w:r>
        <w:rPr>
          <w:rFonts w:hint="eastAsia" w:ascii="宋体" w:hAnsi="宋体" w:cs="宋体"/>
          <w:szCs w:val="21"/>
        </w:rPr>
        <w:t>（9）其他特殊资质证书（如本地化服务能力等）；</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（10）投标人或投标产品制造商有效的ISO9001质量保证体系、ISO14001环境管理体系认证证书、职业健康安全管理体系认证证书及其他相关的认证证书复印件；</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（11）投标人或投标产品制造商2020年以来获得与企业生产经营相关的奖项；</w:t>
      </w:r>
    </w:p>
    <w:p>
      <w:pPr>
        <w:snapToGrid w:val="0"/>
        <w:spacing w:line="360" w:lineRule="exact"/>
        <w:ind w:firstLine="424" w:firstLineChars="202"/>
        <w:jc w:val="left"/>
        <w:rPr>
          <w:rFonts w:ascii="宋体" w:hAnsi="宋体" w:cs="宋体"/>
          <w:szCs w:val="21"/>
        </w:rPr>
      </w:pPr>
      <w:r>
        <w:rPr>
          <w:rFonts w:hint="eastAsia" w:ascii="宋体" w:hAnsi="宋体" w:cs="宋体"/>
          <w:szCs w:val="21"/>
        </w:rPr>
        <w:t>（12）投标人残疾人福利性单位声明函；</w:t>
      </w:r>
    </w:p>
    <w:p>
      <w:pPr>
        <w:snapToGrid w:val="0"/>
        <w:spacing w:line="360" w:lineRule="exact"/>
        <w:ind w:firstLine="424" w:firstLineChars="202"/>
        <w:jc w:val="left"/>
        <w:rPr>
          <w:rFonts w:ascii="宋体" w:hAnsi="宋体" w:cs="宋体"/>
          <w:szCs w:val="21"/>
        </w:rPr>
      </w:pPr>
      <w:r>
        <w:rPr>
          <w:rFonts w:hint="eastAsia" w:ascii="宋体" w:hAnsi="宋体" w:cs="宋体"/>
          <w:szCs w:val="21"/>
        </w:rPr>
        <w:t>（13）节能环保产品或政府强制采购节能产品认证证书；</w:t>
      </w:r>
    </w:p>
    <w:p>
      <w:pPr>
        <w:snapToGrid w:val="0"/>
        <w:spacing w:line="360" w:lineRule="exact"/>
        <w:ind w:firstLine="424" w:firstLineChars="202"/>
        <w:jc w:val="left"/>
        <w:rPr>
          <w:rFonts w:ascii="宋体" w:hAnsi="宋体" w:cs="宋体"/>
          <w:szCs w:val="21"/>
        </w:rPr>
      </w:pPr>
      <w:r>
        <w:rPr>
          <w:rFonts w:hint="eastAsia" w:ascii="宋体" w:hAnsi="宋体" w:cs="宋体"/>
          <w:szCs w:val="21"/>
        </w:rPr>
        <w:t>（14）投标人质量管理和质量保证体系等方面的认证证书；</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（15）投标人认为可以证明其能力或业绩的其他材料；</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（16）投标人关于产品生产时间、升级或者更新淘汰计划、配件供应以及本单位债务纠纷、违法违规记录等方面的情况（内容见承诺函）；</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（17）投标人情况介绍。</w:t>
      </w:r>
    </w:p>
    <w:p>
      <w:pPr>
        <w:snapToGrid w:val="0"/>
        <w:spacing w:before="156" w:beforeLines="50" w:line="360" w:lineRule="exact"/>
        <w:ind w:firstLine="413" w:firstLineChars="196"/>
        <w:jc w:val="left"/>
        <w:outlineLvl w:val="1"/>
        <w:rPr>
          <w:rFonts w:ascii="宋体" w:hAnsi="宋体" w:cs="宋体"/>
          <w:b/>
          <w:szCs w:val="21"/>
        </w:rPr>
      </w:pPr>
      <w:r>
        <w:rPr>
          <w:rFonts w:hint="eastAsia" w:ascii="宋体" w:hAnsi="宋体" w:cs="宋体"/>
          <w:b/>
          <w:szCs w:val="21"/>
        </w:rPr>
        <w:t>3.技术文件：</w:t>
      </w:r>
    </w:p>
    <w:p>
      <w:pPr>
        <w:snapToGrid w:val="0"/>
        <w:spacing w:line="360" w:lineRule="exact"/>
        <w:ind w:firstLine="420" w:firstLineChars="200"/>
        <w:jc w:val="left"/>
        <w:rPr>
          <w:rFonts w:ascii="宋体" w:hAnsi="宋体" w:cs="宋体"/>
          <w:szCs w:val="21"/>
        </w:rPr>
      </w:pPr>
      <w:r>
        <w:rPr>
          <w:rFonts w:hint="eastAsia" w:ascii="宋体" w:hAnsi="宋体" w:cs="宋体"/>
          <w:szCs w:val="21"/>
        </w:rPr>
        <w:t>（1）对本项目系统总体要求的理解；</w:t>
      </w:r>
    </w:p>
    <w:p>
      <w:pPr>
        <w:snapToGrid w:val="0"/>
        <w:spacing w:line="360" w:lineRule="exact"/>
        <w:ind w:firstLine="210" w:firstLineChars="100"/>
        <w:jc w:val="left"/>
        <w:rPr>
          <w:rFonts w:ascii="宋体" w:hAnsi="宋体" w:cs="宋体"/>
          <w:szCs w:val="21"/>
        </w:rPr>
      </w:pPr>
      <w:r>
        <w:rPr>
          <w:rFonts w:hint="eastAsia" w:ascii="宋体" w:hAnsi="宋体" w:cs="宋体"/>
          <w:szCs w:val="21"/>
        </w:rPr>
        <w:t>▲</w:t>
      </w:r>
      <w:r>
        <w:rPr>
          <w:rFonts w:hint="eastAsia" w:ascii="宋体" w:hAnsi="宋体" w:cs="宋体"/>
          <w:b/>
          <w:szCs w:val="21"/>
        </w:rPr>
        <w:t>（2）</w:t>
      </w:r>
      <w:r>
        <w:rPr>
          <w:rFonts w:hint="eastAsia" w:ascii="宋体" w:hAnsi="宋体" w:cs="宋体"/>
          <w:szCs w:val="21"/>
        </w:rPr>
        <w:t>技术响应表；</w:t>
      </w:r>
      <w:r>
        <w:rPr>
          <w:rFonts w:hint="eastAsia" w:ascii="宋体" w:hAnsi="宋体" w:cs="宋体"/>
          <w:b/>
          <w:szCs w:val="21"/>
        </w:rPr>
        <w:t>（必须提供）</w:t>
      </w:r>
    </w:p>
    <w:p>
      <w:pPr>
        <w:snapToGrid w:val="0"/>
        <w:spacing w:line="360" w:lineRule="exact"/>
        <w:ind w:firstLine="420" w:firstLineChars="200"/>
        <w:jc w:val="left"/>
        <w:rPr>
          <w:rFonts w:ascii="宋体" w:hAnsi="宋体" w:cs="宋体"/>
          <w:szCs w:val="21"/>
        </w:rPr>
      </w:pPr>
      <w:r>
        <w:rPr>
          <w:rFonts w:hint="eastAsia" w:ascii="宋体" w:hAnsi="宋体" w:cs="宋体"/>
          <w:szCs w:val="21"/>
        </w:rPr>
        <w:t>（3）设备配置清单（均不含报价）；</w:t>
      </w:r>
    </w:p>
    <w:p>
      <w:pPr>
        <w:snapToGrid w:val="0"/>
        <w:spacing w:line="360" w:lineRule="exact"/>
        <w:ind w:firstLine="210" w:firstLineChars="100"/>
        <w:jc w:val="left"/>
        <w:rPr>
          <w:rFonts w:ascii="宋体" w:hAnsi="宋体" w:cs="宋体"/>
          <w:szCs w:val="21"/>
        </w:rPr>
      </w:pPr>
      <w:r>
        <w:rPr>
          <w:rFonts w:hint="eastAsia" w:ascii="宋体" w:hAnsi="宋体" w:cs="宋体"/>
          <w:szCs w:val="21"/>
        </w:rPr>
        <w:t>▲</w:t>
      </w:r>
      <w:r>
        <w:rPr>
          <w:rFonts w:hint="eastAsia" w:ascii="宋体" w:hAnsi="宋体" w:cs="宋体"/>
          <w:b/>
          <w:szCs w:val="21"/>
        </w:rPr>
        <w:t>（4）</w:t>
      </w:r>
      <w:r>
        <w:rPr>
          <w:rFonts w:hint="eastAsia" w:ascii="宋体" w:hAnsi="宋体" w:cs="宋体"/>
        </w:rPr>
        <w:t>售后服务承诺书（应据项目实际要求描述如：</w:t>
      </w:r>
      <w:r>
        <w:rPr>
          <w:rFonts w:hint="eastAsia" w:ascii="宋体" w:hAnsi="宋体" w:cs="宋体"/>
          <w:szCs w:val="21"/>
        </w:rPr>
        <w:t>投标人建议的安装、调试、验收方法或方案；技术服务、技术培训、售后服务的内容和措施等）</w:t>
      </w:r>
      <w:r>
        <w:rPr>
          <w:rFonts w:hint="eastAsia" w:ascii="宋体" w:hAnsi="宋体" w:cs="宋体"/>
          <w:b/>
          <w:szCs w:val="21"/>
        </w:rPr>
        <w:t>(格式自拟,必须提供)</w:t>
      </w:r>
      <w:r>
        <w:rPr>
          <w:rFonts w:hint="eastAsia" w:ascii="宋体" w:hAnsi="宋体" w:cs="宋体"/>
          <w:szCs w:val="21"/>
        </w:rPr>
        <w:t>；</w:t>
      </w:r>
    </w:p>
    <w:p>
      <w:pPr>
        <w:snapToGrid w:val="0"/>
        <w:spacing w:line="360" w:lineRule="exact"/>
        <w:ind w:firstLine="420" w:firstLineChars="200"/>
        <w:jc w:val="left"/>
        <w:rPr>
          <w:rFonts w:ascii="宋体" w:hAnsi="宋体" w:cs="宋体"/>
          <w:szCs w:val="21"/>
        </w:rPr>
      </w:pPr>
      <w:r>
        <w:rPr>
          <w:rFonts w:hint="eastAsia" w:ascii="宋体" w:hAnsi="宋体" w:cs="宋体"/>
          <w:szCs w:val="21"/>
        </w:rPr>
        <w:t>（5）投标人拥有主要装备和检测设施的情况和现状（格式自拟）及项目实施人员一览表；</w:t>
      </w:r>
    </w:p>
    <w:p>
      <w:pPr>
        <w:snapToGrid w:val="0"/>
        <w:spacing w:line="360" w:lineRule="exact"/>
        <w:ind w:firstLine="420" w:firstLineChars="200"/>
        <w:jc w:val="left"/>
        <w:rPr>
          <w:rFonts w:ascii="宋体" w:hAnsi="宋体" w:cs="宋体"/>
          <w:szCs w:val="21"/>
        </w:rPr>
      </w:pPr>
      <w:r>
        <w:rPr>
          <w:rFonts w:hint="eastAsia" w:ascii="宋体" w:hAnsi="宋体" w:cs="宋体"/>
          <w:szCs w:val="21"/>
        </w:rPr>
        <w:t>（6）优惠条件：投标人承诺给予招标人的各种优惠条件，包括备品备件、专用耗材、售后服务等方面的优惠；</w:t>
      </w:r>
    </w:p>
    <w:p>
      <w:pPr>
        <w:snapToGrid w:val="0"/>
        <w:spacing w:line="360" w:lineRule="exact"/>
        <w:ind w:firstLine="420" w:firstLineChars="200"/>
        <w:jc w:val="left"/>
        <w:rPr>
          <w:rFonts w:ascii="宋体" w:hAnsi="宋体" w:cs="宋体"/>
          <w:szCs w:val="21"/>
        </w:rPr>
      </w:pPr>
      <w:r>
        <w:rPr>
          <w:rFonts w:hint="eastAsia" w:ascii="宋体" w:hAnsi="宋体" w:cs="宋体"/>
          <w:szCs w:val="21"/>
        </w:rPr>
        <w:t>（7）投标人对本项目的合理化建议和改进措施；</w:t>
      </w:r>
    </w:p>
    <w:p>
      <w:pPr>
        <w:snapToGrid w:val="0"/>
        <w:spacing w:line="360" w:lineRule="exact"/>
        <w:ind w:firstLine="420" w:firstLineChars="200"/>
        <w:jc w:val="left"/>
        <w:rPr>
          <w:rFonts w:ascii="宋体" w:hAnsi="宋体" w:cs="宋体"/>
          <w:szCs w:val="21"/>
        </w:rPr>
      </w:pPr>
      <w:r>
        <w:rPr>
          <w:rFonts w:hint="eastAsia" w:ascii="宋体" w:hAnsi="宋体" w:cs="宋体"/>
          <w:szCs w:val="21"/>
        </w:rPr>
        <w:t>（8）投标人需要说明的其他文件和说明（格式自拟）；</w:t>
      </w:r>
    </w:p>
    <w:p>
      <w:pPr>
        <w:snapToGrid w:val="0"/>
        <w:spacing w:line="360" w:lineRule="exact"/>
        <w:ind w:firstLine="420" w:firstLineChars="200"/>
        <w:jc w:val="left"/>
        <w:rPr>
          <w:rFonts w:ascii="宋体" w:hAnsi="宋体" w:cs="宋体"/>
          <w:szCs w:val="21"/>
        </w:rPr>
      </w:pPr>
      <w:r>
        <w:rPr>
          <w:rFonts w:hint="eastAsia" w:ascii="宋体" w:hAnsi="宋体" w:cs="宋体"/>
          <w:szCs w:val="21"/>
        </w:rPr>
        <w:t>（9）招标项目采购需求中要求必须提供的材料。</w:t>
      </w:r>
      <w:r>
        <w:rPr>
          <w:rFonts w:hint="eastAsia" w:ascii="宋体" w:hAnsi="宋体" w:cs="宋体"/>
          <w:b/>
          <w:szCs w:val="21"/>
        </w:rPr>
        <w:t>（如有要求，则必须提供）</w:t>
      </w:r>
    </w:p>
    <w:p>
      <w:pPr>
        <w:snapToGrid w:val="0"/>
        <w:spacing w:before="156" w:beforeLines="50" w:line="360" w:lineRule="exact"/>
        <w:ind w:firstLine="413" w:firstLineChars="196"/>
        <w:jc w:val="left"/>
        <w:outlineLvl w:val="1"/>
        <w:rPr>
          <w:rFonts w:ascii="宋体" w:hAnsi="宋体" w:cs="宋体"/>
          <w:b/>
          <w:szCs w:val="21"/>
        </w:rPr>
      </w:pPr>
      <w:r>
        <w:rPr>
          <w:rFonts w:hint="eastAsia" w:ascii="宋体" w:hAnsi="宋体" w:cs="宋体"/>
          <w:b/>
          <w:szCs w:val="21"/>
        </w:rPr>
        <w:t>4.报价文件：</w:t>
      </w:r>
    </w:p>
    <w:p>
      <w:pPr>
        <w:tabs>
          <w:tab w:val="left" w:pos="3870"/>
          <w:tab w:val="left" w:pos="4085"/>
        </w:tabs>
        <w:snapToGrid w:val="0"/>
        <w:spacing w:line="360" w:lineRule="exact"/>
        <w:jc w:val="left"/>
        <w:rPr>
          <w:rFonts w:ascii="宋体" w:hAnsi="宋体" w:cs="宋体"/>
          <w:szCs w:val="21"/>
        </w:rPr>
      </w:pPr>
      <w:r>
        <w:rPr>
          <w:rFonts w:hint="eastAsia" w:ascii="宋体" w:hAnsi="宋体" w:cs="宋体"/>
          <w:szCs w:val="21"/>
        </w:rPr>
        <w:t>▲</w:t>
      </w:r>
      <w:r>
        <w:rPr>
          <w:rFonts w:hint="eastAsia" w:ascii="宋体" w:hAnsi="宋体" w:cs="宋体"/>
          <w:b/>
          <w:szCs w:val="21"/>
        </w:rPr>
        <w:t>（1）</w:t>
      </w:r>
      <w:r>
        <w:rPr>
          <w:rFonts w:hint="eastAsia" w:ascii="宋体" w:hAnsi="宋体" w:cs="宋体"/>
          <w:szCs w:val="21"/>
        </w:rPr>
        <w:t>投标函（格式见第六章）；</w:t>
      </w:r>
      <w:r>
        <w:rPr>
          <w:rFonts w:hint="eastAsia" w:ascii="宋体" w:hAnsi="宋体" w:cs="宋体"/>
          <w:b/>
          <w:szCs w:val="21"/>
        </w:rPr>
        <w:t>（必须提供）</w:t>
      </w:r>
    </w:p>
    <w:p>
      <w:pPr>
        <w:tabs>
          <w:tab w:val="left" w:pos="3870"/>
          <w:tab w:val="left" w:pos="4085"/>
        </w:tabs>
        <w:snapToGrid w:val="0"/>
        <w:spacing w:line="360" w:lineRule="exact"/>
        <w:jc w:val="left"/>
        <w:rPr>
          <w:rFonts w:ascii="宋体" w:hAnsi="宋体" w:cs="宋体"/>
          <w:szCs w:val="21"/>
        </w:rPr>
      </w:pPr>
      <w:r>
        <w:rPr>
          <w:rFonts w:hint="eastAsia" w:ascii="宋体" w:hAnsi="宋体" w:cs="宋体"/>
          <w:szCs w:val="21"/>
        </w:rPr>
        <w:t>▲</w:t>
      </w:r>
      <w:r>
        <w:rPr>
          <w:rFonts w:hint="eastAsia" w:ascii="宋体" w:hAnsi="宋体" w:cs="宋体"/>
          <w:b/>
          <w:szCs w:val="21"/>
        </w:rPr>
        <w:t>（2）</w:t>
      </w:r>
      <w:r>
        <w:rPr>
          <w:rFonts w:hint="eastAsia" w:ascii="宋体" w:hAnsi="宋体" w:cs="宋体"/>
          <w:szCs w:val="21"/>
        </w:rPr>
        <w:t>投标报价明细表（格式见第六章）；</w:t>
      </w:r>
      <w:r>
        <w:rPr>
          <w:rFonts w:hint="eastAsia" w:ascii="宋体" w:hAnsi="宋体" w:cs="宋体"/>
          <w:b/>
          <w:szCs w:val="21"/>
        </w:rPr>
        <w:t>（必须提供）</w:t>
      </w:r>
    </w:p>
    <w:p>
      <w:pPr>
        <w:tabs>
          <w:tab w:val="left" w:pos="3870"/>
          <w:tab w:val="left" w:pos="4085"/>
        </w:tabs>
        <w:snapToGrid w:val="0"/>
        <w:spacing w:line="360" w:lineRule="exact"/>
        <w:ind w:firstLine="210" w:firstLineChars="100"/>
        <w:jc w:val="left"/>
        <w:rPr>
          <w:rFonts w:ascii="宋体" w:hAnsi="宋体" w:cs="宋体"/>
          <w:szCs w:val="21"/>
        </w:rPr>
      </w:pPr>
      <w:r>
        <w:rPr>
          <w:rFonts w:hint="eastAsia" w:ascii="宋体" w:hAnsi="宋体" w:cs="宋体"/>
          <w:szCs w:val="21"/>
        </w:rPr>
        <w:t>（3）投标人针对报价需要说明的其他文件和说明；（格式自拟）</w:t>
      </w:r>
    </w:p>
    <w:p>
      <w:pPr>
        <w:pStyle w:val="48"/>
        <w:spacing w:line="360" w:lineRule="exact"/>
        <w:rPr>
          <w:rFonts w:ascii="宋体" w:hAnsi="宋体" w:cs="宋体"/>
          <w:szCs w:val="21"/>
        </w:rPr>
      </w:pPr>
      <w:r>
        <w:rPr>
          <w:rFonts w:hint="eastAsia" w:ascii="宋体" w:hAnsi="宋体" w:cs="宋体"/>
          <w:szCs w:val="21"/>
        </w:rPr>
        <w:t>▲</w:t>
      </w:r>
      <w:r>
        <w:rPr>
          <w:rFonts w:hint="eastAsia" w:ascii="宋体" w:hAnsi="宋体" w:cs="宋体"/>
          <w:b/>
          <w:szCs w:val="21"/>
        </w:rPr>
        <w:t>（4）</w:t>
      </w:r>
      <w:r>
        <w:rPr>
          <w:rFonts w:hint="eastAsia" w:ascii="宋体" w:hAnsi="宋体" w:cs="宋体"/>
          <w:szCs w:val="21"/>
        </w:rPr>
        <w:t>开标一览表（格式见第六章）</w:t>
      </w:r>
      <w:r>
        <w:rPr>
          <w:rFonts w:hint="eastAsia" w:ascii="宋体" w:hAnsi="宋体" w:cs="宋体"/>
          <w:b/>
          <w:szCs w:val="21"/>
        </w:rPr>
        <w:t>（必须提供）</w:t>
      </w:r>
      <w:r>
        <w:rPr>
          <w:rFonts w:hint="eastAsia" w:ascii="宋体" w:hAnsi="宋体" w:cs="宋体"/>
          <w:szCs w:val="21"/>
        </w:rPr>
        <w:t>。</w:t>
      </w:r>
    </w:p>
    <w:p>
      <w:pPr>
        <w:pStyle w:val="48"/>
        <w:spacing w:line="360" w:lineRule="exact"/>
        <w:ind w:firstLine="421" w:firstLineChars="200"/>
        <w:rPr>
          <w:rFonts w:ascii="宋体" w:hAnsi="宋体" w:cs="宋体"/>
          <w:b/>
          <w:bCs/>
          <w:sz w:val="21"/>
          <w:szCs w:val="21"/>
        </w:rPr>
      </w:pPr>
      <w:r>
        <w:rPr>
          <w:rFonts w:hint="eastAsia" w:ascii="宋体" w:hAnsi="宋体" w:cs="宋体"/>
          <w:b/>
          <w:bCs/>
          <w:sz w:val="21"/>
          <w:szCs w:val="21"/>
        </w:rPr>
        <w:t>特别说明：</w:t>
      </w:r>
    </w:p>
    <w:p>
      <w:pPr>
        <w:pStyle w:val="48"/>
        <w:spacing w:line="360" w:lineRule="exact"/>
        <w:ind w:firstLine="421" w:firstLineChars="200"/>
        <w:rPr>
          <w:rFonts w:ascii="宋体" w:hAnsi="宋体" w:cs="宋体"/>
          <w:b/>
          <w:bCs/>
          <w:sz w:val="21"/>
          <w:szCs w:val="21"/>
        </w:rPr>
      </w:pPr>
      <w:r>
        <w:rPr>
          <w:rFonts w:hint="eastAsia" w:ascii="宋体" w:hAnsi="宋体" w:cs="宋体"/>
          <w:b/>
          <w:bCs/>
          <w:sz w:val="21"/>
          <w:szCs w:val="21"/>
        </w:rPr>
        <w:t>（1）法定代表人（负责人）授权委托书必须由法定代表人（负责人）和委托代理人签名并加盖单位公章；承诺函、投标函、开标一览表必须由法定代表人（负责人）或委托代理人签名并加盖单位公章。电子投标文件须加盖公章部分均采用CA签章。</w:t>
      </w:r>
    </w:p>
    <w:p>
      <w:pPr>
        <w:pStyle w:val="48"/>
        <w:spacing w:line="360" w:lineRule="exact"/>
        <w:ind w:firstLine="421" w:firstLineChars="200"/>
        <w:rPr>
          <w:rFonts w:ascii="宋体" w:hAnsi="宋体" w:cs="宋体"/>
          <w:b/>
          <w:sz w:val="21"/>
          <w:szCs w:val="21"/>
        </w:rPr>
      </w:pPr>
      <w:r>
        <w:rPr>
          <w:rFonts w:hint="eastAsia" w:ascii="宋体" w:hAnsi="宋体" w:cs="宋体"/>
          <w:b/>
          <w:sz w:val="21"/>
          <w:szCs w:val="21"/>
        </w:rPr>
        <w:t>（2）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p>
      <w:pPr>
        <w:pStyle w:val="48"/>
        <w:spacing w:line="360" w:lineRule="exact"/>
        <w:ind w:firstLine="420" w:firstLineChars="200"/>
        <w:rPr>
          <w:rFonts w:ascii="宋体" w:hAnsi="宋体" w:cs="宋体"/>
          <w:sz w:val="21"/>
          <w:szCs w:val="21"/>
        </w:rPr>
      </w:pPr>
    </w:p>
    <w:p>
      <w:pPr>
        <w:snapToGrid w:val="0"/>
        <w:spacing w:before="50" w:after="156" w:afterLines="50" w:line="360" w:lineRule="exact"/>
        <w:jc w:val="center"/>
        <w:rPr>
          <w:rFonts w:ascii="宋体" w:hAnsi="宋体" w:cs="宋体"/>
          <w:bCs/>
          <w:sz w:val="32"/>
          <w:szCs w:val="32"/>
        </w:rPr>
      </w:pPr>
    </w:p>
    <w:p>
      <w:pPr>
        <w:snapToGrid w:val="0"/>
        <w:spacing w:before="50" w:after="156" w:afterLines="50" w:line="360" w:lineRule="exact"/>
        <w:jc w:val="center"/>
        <w:outlineLvl w:val="1"/>
        <w:rPr>
          <w:rFonts w:ascii="宋体" w:hAnsi="宋体" w:cs="宋体"/>
          <w:bCs/>
          <w:sz w:val="32"/>
          <w:szCs w:val="32"/>
        </w:rPr>
      </w:pPr>
      <w:r>
        <w:rPr>
          <w:rFonts w:hint="eastAsia" w:ascii="宋体" w:hAnsi="宋体" w:cs="宋体"/>
          <w:bCs/>
          <w:sz w:val="32"/>
          <w:szCs w:val="32"/>
        </w:rPr>
        <w:t>三、投标文件格式</w:t>
      </w:r>
    </w:p>
    <w:p>
      <w:pPr>
        <w:snapToGrid w:val="0"/>
        <w:spacing w:before="50" w:after="156" w:afterLines="50" w:line="360" w:lineRule="exact"/>
        <w:jc w:val="left"/>
        <w:rPr>
          <w:rFonts w:ascii="宋体" w:hAnsi="宋体" w:cs="宋体"/>
          <w:b/>
          <w:szCs w:val="21"/>
        </w:rPr>
      </w:pPr>
    </w:p>
    <w:p>
      <w:pPr>
        <w:snapToGrid w:val="0"/>
        <w:spacing w:before="50" w:after="156" w:afterLines="50" w:line="360" w:lineRule="exact"/>
        <w:jc w:val="left"/>
        <w:outlineLvl w:val="1"/>
        <w:rPr>
          <w:rFonts w:ascii="宋体" w:hAnsi="宋体" w:cs="宋体"/>
          <w:b/>
          <w:szCs w:val="21"/>
        </w:rPr>
      </w:pPr>
      <w:r>
        <w:rPr>
          <w:rFonts w:hint="eastAsia" w:ascii="宋体" w:hAnsi="宋体" w:cs="宋体"/>
          <w:b/>
          <w:szCs w:val="21"/>
        </w:rPr>
        <w:t>一）</w:t>
      </w:r>
      <w:r>
        <w:rPr>
          <w:rFonts w:hint="eastAsia" w:ascii="宋体" w:hAnsi="宋体" w:cs="宋体"/>
          <w:b/>
          <w:bCs/>
          <w:szCs w:val="21"/>
        </w:rPr>
        <w:t>资格文件部分（格式）</w:t>
      </w:r>
    </w:p>
    <w:p>
      <w:pPr>
        <w:snapToGrid w:val="0"/>
        <w:spacing w:line="360" w:lineRule="exact"/>
        <w:ind w:firstLine="210" w:firstLineChars="100"/>
        <w:jc w:val="left"/>
        <w:rPr>
          <w:rFonts w:ascii="宋体" w:hAnsi="宋体" w:cs="宋体"/>
          <w:b/>
        </w:rPr>
      </w:pPr>
      <w:r>
        <w:rPr>
          <w:rFonts w:hint="eastAsia" w:ascii="宋体" w:hAnsi="宋体" w:cs="宋体"/>
          <w:szCs w:val="21"/>
        </w:rPr>
        <w:t>▲</w:t>
      </w:r>
      <w:r>
        <w:rPr>
          <w:rFonts w:hint="eastAsia" w:ascii="宋体" w:hAnsi="宋体" w:cs="宋体"/>
          <w:b/>
          <w:szCs w:val="21"/>
        </w:rPr>
        <w:t>（1）</w:t>
      </w:r>
      <w:r>
        <w:rPr>
          <w:rFonts w:hint="eastAsia" w:ascii="宋体" w:hAnsi="宋体" w:cs="宋体"/>
          <w:szCs w:val="21"/>
        </w:rPr>
        <w:t>北海市政府采购供应商信用承诺函</w:t>
      </w:r>
      <w:r>
        <w:rPr>
          <w:rFonts w:hint="eastAsia" w:ascii="宋体" w:hAnsi="宋体" w:cs="宋体"/>
          <w:b/>
          <w:bCs/>
          <w:szCs w:val="21"/>
        </w:rPr>
        <w:t>（格式见第六章，必须提供）</w:t>
      </w:r>
      <w:r>
        <w:rPr>
          <w:rFonts w:hint="eastAsia" w:ascii="宋体" w:hAnsi="宋体" w:cs="宋体"/>
          <w:b/>
          <w:szCs w:val="21"/>
        </w:rPr>
        <w:t>。</w:t>
      </w:r>
    </w:p>
    <w:p>
      <w:pPr>
        <w:widowControl/>
        <w:ind w:firstLine="420" w:firstLineChars="200"/>
        <w:jc w:val="left"/>
        <w:rPr>
          <w:rFonts w:ascii="宋体" w:hAnsi="宋体" w:cs="宋体"/>
          <w:kern w:val="0"/>
          <w:szCs w:val="21"/>
        </w:rPr>
      </w:pPr>
    </w:p>
    <w:p>
      <w:pPr>
        <w:widowControl/>
        <w:jc w:val="center"/>
        <w:rPr>
          <w:rFonts w:ascii="宋体" w:hAnsi="宋体" w:cs="宋体"/>
          <w:kern w:val="0"/>
          <w:szCs w:val="21"/>
        </w:rPr>
      </w:pPr>
      <w:r>
        <w:rPr>
          <w:rFonts w:hint="eastAsia" w:ascii="宋体" w:hAnsi="宋体" w:cs="宋体"/>
          <w:kern w:val="0"/>
          <w:szCs w:val="21"/>
        </w:rPr>
        <w:t>北海市政府采购供应商信用承诺函（格式）</w:t>
      </w:r>
    </w:p>
    <w:p>
      <w:pPr>
        <w:widowControl/>
        <w:ind w:firstLine="420" w:firstLineChars="200"/>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致：北海市</w:t>
      </w:r>
      <w:r>
        <w:rPr>
          <w:rFonts w:hint="eastAsia" w:ascii="宋体" w:hAnsi="宋体" w:cs="宋体"/>
          <w:kern w:val="0"/>
          <w:szCs w:val="21"/>
          <w:lang w:eastAsia="zh-CN"/>
        </w:rPr>
        <w:t>铁山港区</w:t>
      </w:r>
      <w:r>
        <w:rPr>
          <w:rFonts w:hint="eastAsia" w:ascii="宋体" w:hAnsi="宋体" w:cs="宋体"/>
          <w:kern w:val="0"/>
          <w:szCs w:val="21"/>
        </w:rPr>
        <w:t>政府采购中心：</w:t>
      </w:r>
    </w:p>
    <w:p>
      <w:pPr>
        <w:widowControl/>
        <w:ind w:firstLine="420" w:firstLineChars="200"/>
        <w:jc w:val="left"/>
        <w:rPr>
          <w:rFonts w:ascii="宋体" w:hAnsi="宋体" w:cs="宋体"/>
          <w:kern w:val="0"/>
          <w:szCs w:val="21"/>
        </w:rPr>
      </w:pPr>
      <w:r>
        <w:rPr>
          <w:rFonts w:hint="eastAsia" w:ascii="宋体" w:hAnsi="宋体" w:cs="宋体"/>
          <w:kern w:val="0"/>
          <w:szCs w:val="21"/>
        </w:rPr>
        <w:t>供应商名称：</w:t>
      </w:r>
    </w:p>
    <w:p>
      <w:pPr>
        <w:widowControl/>
        <w:ind w:firstLine="420" w:firstLineChars="200"/>
        <w:jc w:val="left"/>
        <w:rPr>
          <w:rFonts w:ascii="宋体" w:hAnsi="宋体" w:cs="宋体"/>
          <w:kern w:val="0"/>
          <w:szCs w:val="21"/>
        </w:rPr>
      </w:pPr>
      <w:r>
        <w:rPr>
          <w:rFonts w:hint="eastAsia" w:ascii="宋体" w:hAnsi="宋体" w:cs="宋体"/>
          <w:kern w:val="0"/>
          <w:szCs w:val="21"/>
        </w:rPr>
        <w:t>统一社会信用代码：</w:t>
      </w:r>
    </w:p>
    <w:p>
      <w:pPr>
        <w:widowControl/>
        <w:ind w:firstLine="420" w:firstLineChars="200"/>
        <w:jc w:val="left"/>
        <w:rPr>
          <w:rFonts w:ascii="宋体" w:hAnsi="宋体" w:cs="宋体"/>
          <w:kern w:val="0"/>
          <w:szCs w:val="21"/>
        </w:rPr>
      </w:pPr>
      <w:r>
        <w:rPr>
          <w:rFonts w:hint="eastAsia" w:ascii="宋体" w:hAnsi="宋体" w:cs="宋体"/>
          <w:kern w:val="0"/>
          <w:szCs w:val="21"/>
        </w:rPr>
        <w:t>供应商地址：</w:t>
      </w:r>
    </w:p>
    <w:p>
      <w:pPr>
        <w:widowControl/>
        <w:ind w:firstLine="420" w:firstLineChars="200"/>
        <w:jc w:val="left"/>
        <w:rPr>
          <w:rFonts w:ascii="宋体" w:hAnsi="宋体" w:cs="宋体"/>
          <w:kern w:val="0"/>
          <w:szCs w:val="21"/>
        </w:rPr>
      </w:pPr>
      <w:r>
        <w:rPr>
          <w:rFonts w:hint="eastAsia" w:ascii="宋体" w:hAnsi="宋体" w:cs="宋体"/>
          <w:kern w:val="0"/>
          <w:szCs w:val="21"/>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widowControl/>
        <w:ind w:firstLine="420" w:firstLineChars="200"/>
        <w:jc w:val="left"/>
        <w:rPr>
          <w:rFonts w:ascii="宋体" w:hAnsi="宋体" w:cs="宋体"/>
          <w:kern w:val="0"/>
          <w:szCs w:val="21"/>
        </w:rPr>
      </w:pPr>
      <w:r>
        <w:rPr>
          <w:rFonts w:hint="eastAsia" w:ascii="宋体" w:hAnsi="宋体" w:cs="宋体"/>
          <w:kern w:val="0"/>
          <w:szCs w:val="21"/>
        </w:rPr>
        <w:t>1.我单位具有符合采购文件资格要求独立承担民事责任的能力。</w:t>
      </w:r>
    </w:p>
    <w:p>
      <w:pPr>
        <w:widowControl/>
        <w:ind w:firstLine="420" w:firstLineChars="200"/>
        <w:jc w:val="left"/>
        <w:rPr>
          <w:rFonts w:ascii="宋体" w:hAnsi="宋体" w:cs="宋体"/>
          <w:kern w:val="0"/>
          <w:szCs w:val="21"/>
        </w:rPr>
      </w:pPr>
      <w:r>
        <w:rPr>
          <w:rFonts w:hint="eastAsia" w:ascii="宋体" w:hAnsi="宋体" w:cs="宋体"/>
          <w:kern w:val="0"/>
          <w:szCs w:val="21"/>
        </w:rPr>
        <w:t>2.我单位具有符合采购文件资格要求的财务状况报告。</w:t>
      </w:r>
    </w:p>
    <w:p>
      <w:pPr>
        <w:widowControl/>
        <w:ind w:firstLine="420" w:firstLineChars="200"/>
        <w:jc w:val="left"/>
        <w:rPr>
          <w:rFonts w:ascii="宋体" w:hAnsi="宋体" w:cs="宋体"/>
          <w:kern w:val="0"/>
          <w:szCs w:val="21"/>
        </w:rPr>
      </w:pPr>
      <w:r>
        <w:rPr>
          <w:rFonts w:hint="eastAsia" w:ascii="宋体" w:hAnsi="宋体" w:cs="宋体"/>
          <w:kern w:val="0"/>
          <w:szCs w:val="21"/>
        </w:rPr>
        <w:t>3.我单位具有符合采购文件资格要求的依法缴纳税收和社会保障记录的良好记录。</w:t>
      </w:r>
    </w:p>
    <w:p>
      <w:pPr>
        <w:widowControl/>
        <w:ind w:firstLine="420" w:firstLineChars="200"/>
        <w:jc w:val="left"/>
        <w:rPr>
          <w:rFonts w:ascii="宋体" w:hAnsi="宋体" w:cs="宋体"/>
          <w:kern w:val="0"/>
          <w:szCs w:val="21"/>
        </w:rPr>
      </w:pPr>
      <w:r>
        <w:rPr>
          <w:rFonts w:hint="eastAsia" w:ascii="宋体" w:hAnsi="宋体" w:cs="宋体"/>
          <w:kern w:val="0"/>
          <w:szCs w:val="21"/>
        </w:rPr>
        <w:t>4.我单位具有符合采购文件资格要求履行合同所必需的设备和专业技术能力。</w:t>
      </w:r>
    </w:p>
    <w:p>
      <w:pPr>
        <w:widowControl/>
        <w:ind w:firstLine="420" w:firstLineChars="200"/>
        <w:jc w:val="left"/>
        <w:rPr>
          <w:rFonts w:ascii="宋体" w:hAnsi="宋体" w:cs="宋体"/>
          <w:kern w:val="0"/>
          <w:szCs w:val="21"/>
        </w:rPr>
      </w:pPr>
      <w:r>
        <w:rPr>
          <w:rFonts w:hint="eastAsia" w:ascii="宋体" w:hAnsi="宋体" w:cs="宋体"/>
          <w:kern w:val="0"/>
          <w:szCs w:val="21"/>
        </w:rPr>
        <w:t>5.参加政府采购活动前三年内，在经营活动中没有重大违法记录。</w:t>
      </w:r>
    </w:p>
    <w:p>
      <w:pPr>
        <w:widowControl/>
        <w:ind w:firstLine="420" w:firstLineChars="200"/>
        <w:jc w:val="left"/>
        <w:rPr>
          <w:rFonts w:ascii="宋体" w:hAnsi="宋体" w:cs="宋体"/>
          <w:kern w:val="0"/>
          <w:szCs w:val="21"/>
        </w:rPr>
      </w:pPr>
      <w:r>
        <w:rPr>
          <w:rFonts w:hint="eastAsia" w:ascii="宋体" w:hAnsi="宋体" w:cs="宋体"/>
          <w:kern w:val="0"/>
          <w:szCs w:val="21"/>
        </w:rPr>
        <w:t>若我单位承诺不实，自愿承担提供虚假材料谋取中标、成交的法律责任。</w:t>
      </w:r>
    </w:p>
    <w:p>
      <w:pPr>
        <w:widowControl/>
        <w:ind w:firstLine="420" w:firstLineChars="200"/>
        <w:jc w:val="left"/>
        <w:rPr>
          <w:rFonts w:ascii="宋体" w:hAnsi="宋体" w:cs="宋体"/>
          <w:kern w:val="0"/>
          <w:szCs w:val="21"/>
        </w:rPr>
      </w:pPr>
    </w:p>
    <w:p>
      <w:pPr>
        <w:widowControl/>
        <w:ind w:firstLine="420" w:firstLineChars="200"/>
        <w:jc w:val="left"/>
        <w:rPr>
          <w:rFonts w:ascii="宋体" w:hAnsi="宋体" w:cs="宋体"/>
          <w:kern w:val="0"/>
          <w:szCs w:val="21"/>
        </w:rPr>
      </w:pPr>
      <w:r>
        <w:rPr>
          <w:rFonts w:hint="eastAsia" w:ascii="宋体" w:hAnsi="宋体" w:cs="宋体"/>
          <w:kern w:val="0"/>
          <w:szCs w:val="21"/>
        </w:rPr>
        <w:t>供应商名称（公章）：</w:t>
      </w:r>
    </w:p>
    <w:p>
      <w:pPr>
        <w:widowControl/>
        <w:ind w:firstLine="420" w:firstLineChars="200"/>
        <w:jc w:val="left"/>
        <w:rPr>
          <w:rFonts w:ascii="宋体" w:hAnsi="宋体" w:cs="宋体"/>
          <w:kern w:val="0"/>
          <w:szCs w:val="21"/>
        </w:rPr>
      </w:pPr>
      <w:r>
        <w:rPr>
          <w:rFonts w:hint="eastAsia" w:ascii="宋体" w:hAnsi="宋体" w:cs="宋体"/>
          <w:kern w:val="0"/>
          <w:szCs w:val="21"/>
        </w:rPr>
        <w:t>法定代表人（负责人）或授权代表(签名)：</w:t>
      </w:r>
    </w:p>
    <w:p>
      <w:pPr>
        <w:widowControl/>
        <w:ind w:firstLine="420" w:firstLineChars="200"/>
        <w:jc w:val="left"/>
        <w:rPr>
          <w:rFonts w:ascii="宋体" w:hAnsi="宋体" w:cs="宋体"/>
          <w:kern w:val="0"/>
          <w:szCs w:val="21"/>
        </w:rPr>
      </w:pPr>
      <w:r>
        <w:rPr>
          <w:rFonts w:hint="eastAsia" w:ascii="宋体" w:hAnsi="宋体" w:cs="宋体"/>
          <w:kern w:val="0"/>
          <w:szCs w:val="21"/>
        </w:rPr>
        <w:t>日期： 年 月 日</w:t>
      </w:r>
    </w:p>
    <w:p>
      <w:pPr>
        <w:widowControl/>
        <w:ind w:firstLine="420" w:firstLineChars="200"/>
        <w:jc w:val="left"/>
        <w:rPr>
          <w:rFonts w:ascii="宋体" w:hAnsi="宋体" w:cs="宋体"/>
          <w:kern w:val="0"/>
          <w:szCs w:val="21"/>
        </w:rPr>
      </w:pPr>
    </w:p>
    <w:p>
      <w:pPr>
        <w:widowControl/>
        <w:ind w:firstLine="420" w:firstLineChars="200"/>
        <w:jc w:val="left"/>
        <w:rPr>
          <w:rFonts w:ascii="宋体" w:hAnsi="宋体" w:cs="宋体"/>
          <w:kern w:val="0"/>
          <w:szCs w:val="21"/>
        </w:rPr>
      </w:pPr>
      <w:r>
        <w:rPr>
          <w:rFonts w:hint="eastAsia" w:ascii="宋体" w:hAnsi="宋体" w:cs="宋体"/>
          <w:kern w:val="0"/>
          <w:szCs w:val="21"/>
        </w:rPr>
        <w:t>注：1.供应商须在投标（响应）文件中按此模板提供承诺函，未提供视为未实质性响应招标（采购）文件要求，按无效投标（响应）处理。</w:t>
      </w:r>
    </w:p>
    <w:p>
      <w:pPr>
        <w:widowControl/>
        <w:ind w:firstLine="420" w:firstLineChars="200"/>
        <w:jc w:val="left"/>
        <w:rPr>
          <w:rFonts w:ascii="宋体" w:hAnsi="宋体" w:cs="宋体"/>
          <w:kern w:val="0"/>
          <w:szCs w:val="21"/>
        </w:rPr>
      </w:pPr>
      <w:r>
        <w:rPr>
          <w:rFonts w:hint="eastAsia" w:ascii="宋体" w:hAnsi="宋体" w:cs="宋体"/>
          <w:kern w:val="0"/>
          <w:szCs w:val="21"/>
        </w:rPr>
        <w:t>2.供应商的法定代表人（其他组织的为负责人）或者授权代表的签名或盖章应真实、有效，如由授权代表签名或盖章的，应提供“法定代表人授权书”。</w:t>
      </w:r>
    </w:p>
    <w:p>
      <w:pPr>
        <w:snapToGrid w:val="0"/>
        <w:spacing w:line="360" w:lineRule="exact"/>
        <w:ind w:firstLine="210" w:firstLineChars="100"/>
        <w:jc w:val="left"/>
        <w:rPr>
          <w:rFonts w:ascii="宋体" w:hAnsi="宋体" w:cs="宋体"/>
          <w:szCs w:val="21"/>
        </w:rPr>
      </w:pPr>
    </w:p>
    <w:p>
      <w:pPr>
        <w:snapToGrid w:val="0"/>
        <w:spacing w:line="360" w:lineRule="exact"/>
        <w:jc w:val="left"/>
        <w:rPr>
          <w:rFonts w:ascii="宋体" w:hAnsi="宋体" w:cs="宋体"/>
          <w:szCs w:val="21"/>
        </w:rPr>
      </w:pPr>
    </w:p>
    <w:p>
      <w:pPr>
        <w:snapToGrid w:val="0"/>
        <w:spacing w:line="360" w:lineRule="exact"/>
        <w:ind w:firstLine="210" w:firstLineChars="100"/>
        <w:jc w:val="left"/>
        <w:rPr>
          <w:rFonts w:ascii="宋体" w:hAnsi="宋体" w:cs="宋体"/>
          <w:b/>
          <w:szCs w:val="21"/>
        </w:rPr>
      </w:pPr>
      <w:r>
        <w:rPr>
          <w:rFonts w:hint="eastAsia" w:ascii="宋体" w:hAnsi="宋体" w:cs="宋体"/>
          <w:szCs w:val="21"/>
        </w:rPr>
        <w:t>▲</w:t>
      </w:r>
      <w:r>
        <w:rPr>
          <w:rFonts w:hint="eastAsia" w:ascii="宋体" w:hAnsi="宋体" w:cs="宋体"/>
          <w:b/>
          <w:szCs w:val="21"/>
        </w:rPr>
        <w:t>（2）</w:t>
      </w:r>
      <w:r>
        <w:rPr>
          <w:rFonts w:hint="eastAsia" w:ascii="宋体" w:hAnsi="宋体" w:cs="宋体"/>
          <w:szCs w:val="21"/>
        </w:rPr>
        <w:t>中小企业声明函格式,声明制造商为小型或微型企业；</w:t>
      </w:r>
      <w:r>
        <w:rPr>
          <w:rFonts w:hint="eastAsia" w:ascii="宋体" w:hAnsi="宋体" w:cs="宋体"/>
          <w:b/>
          <w:szCs w:val="21"/>
        </w:rPr>
        <w:t>（小型或微型企业必须提供）。</w:t>
      </w:r>
    </w:p>
    <w:p>
      <w:pPr>
        <w:widowControl/>
        <w:spacing w:after="262" w:line="380" w:lineRule="exact"/>
        <w:jc w:val="center"/>
        <w:rPr>
          <w:rFonts w:ascii="宋体" w:hAnsi="宋体" w:cs="宋体"/>
          <w:b/>
          <w:szCs w:val="21"/>
        </w:rPr>
      </w:pPr>
    </w:p>
    <w:p>
      <w:pPr>
        <w:widowControl/>
        <w:spacing w:after="262" w:line="380" w:lineRule="exact"/>
        <w:jc w:val="center"/>
        <w:rPr>
          <w:rFonts w:ascii="宋体" w:hAnsi="宋体" w:cs="宋体"/>
          <w:b/>
          <w:szCs w:val="21"/>
        </w:rPr>
      </w:pPr>
      <w:r>
        <w:rPr>
          <w:rFonts w:hint="eastAsia" w:ascii="宋体" w:hAnsi="宋体" w:cs="宋体"/>
          <w:b/>
          <w:szCs w:val="21"/>
        </w:rPr>
        <w:t>中小企业声明函（货物）</w:t>
      </w:r>
    </w:p>
    <w:p>
      <w:pPr>
        <w:widowControl/>
        <w:spacing w:line="360" w:lineRule="auto"/>
        <w:ind w:firstLine="420" w:firstLineChars="200"/>
        <w:rPr>
          <w:rFonts w:ascii="宋体" w:hAnsi="宋体" w:cs="宋体"/>
          <w:szCs w:val="21"/>
        </w:rPr>
      </w:pPr>
      <w:r>
        <w:rPr>
          <w:rFonts w:hint="eastAsia" w:ascii="宋体" w:hAnsi="宋体" w:cs="宋体"/>
          <w:szCs w:val="21"/>
        </w:rPr>
        <w:t>本公司（联合体）郑重声明，根据《政府采购促进中小企业发展管理办法》(财库〔2020〕46号)的规定，本公司（联合体）参加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采购活动，提供的货物全部由符合政策要求的中小企业制造。相关企业（含联合体中的中小企业、签订分包意向协议的中小企业）的具体情况如下：</w:t>
      </w:r>
    </w:p>
    <w:p>
      <w:pPr>
        <w:widowControl/>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行业；制造商为</w:t>
      </w:r>
      <w:r>
        <w:rPr>
          <w:rFonts w:hint="eastAsia" w:ascii="宋体" w:hAnsi="宋体" w:cs="宋体"/>
          <w:szCs w:val="21"/>
          <w:u w:val="single"/>
        </w:rPr>
        <w:t>（企业名称）</w:t>
      </w:r>
      <w:r>
        <w:rPr>
          <w:rFonts w:hint="eastAsia" w:ascii="宋体" w:hAnsi="宋体" w:cs="宋体"/>
          <w:szCs w:val="21"/>
        </w:rPr>
        <w:t>，从业人员________人，营业收入为_________万元，资产总额为________万元，属于</w:t>
      </w:r>
      <w:r>
        <w:rPr>
          <w:rFonts w:hint="eastAsia" w:ascii="宋体" w:hAnsi="宋体" w:cs="宋体"/>
          <w:szCs w:val="21"/>
          <w:u w:val="single"/>
        </w:rPr>
        <w:t>(中型企业、小型企业、微型企业)</w:t>
      </w:r>
      <w:r>
        <w:rPr>
          <w:rFonts w:hint="eastAsia" w:ascii="宋体" w:hAnsi="宋体" w:cs="宋体"/>
          <w:szCs w:val="21"/>
        </w:rPr>
        <w:t>；</w:t>
      </w:r>
    </w:p>
    <w:p>
      <w:pPr>
        <w:widowControl/>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行业；制造商为</w:t>
      </w:r>
      <w:r>
        <w:rPr>
          <w:rFonts w:hint="eastAsia" w:ascii="宋体" w:hAnsi="宋体" w:cs="宋体"/>
          <w:szCs w:val="21"/>
          <w:u w:val="single"/>
        </w:rPr>
        <w:t>（企业名称）</w:t>
      </w:r>
      <w:r>
        <w:rPr>
          <w:rFonts w:hint="eastAsia" w:ascii="宋体" w:hAnsi="宋体" w:cs="宋体"/>
          <w:szCs w:val="21"/>
        </w:rPr>
        <w:t>，从业人员________人，营业收入为_________万元，资产总额为________万元，属于</w:t>
      </w:r>
      <w:r>
        <w:rPr>
          <w:rFonts w:hint="eastAsia" w:ascii="宋体" w:hAnsi="宋体" w:cs="宋体"/>
          <w:szCs w:val="21"/>
          <w:u w:val="single"/>
        </w:rPr>
        <w:t>(中型企业、小型企业、微型企业)</w:t>
      </w:r>
      <w:r>
        <w:rPr>
          <w:rFonts w:hint="eastAsia" w:ascii="宋体" w:hAnsi="宋体" w:cs="宋体"/>
          <w:szCs w:val="21"/>
        </w:rPr>
        <w:t>；</w:t>
      </w:r>
    </w:p>
    <w:p>
      <w:pPr>
        <w:widowControl/>
        <w:spacing w:line="360" w:lineRule="auto"/>
        <w:ind w:firstLine="420" w:firstLineChars="200"/>
        <w:rPr>
          <w:rFonts w:ascii="宋体" w:hAnsi="宋体" w:cs="宋体"/>
          <w:szCs w:val="21"/>
        </w:rPr>
      </w:pPr>
      <w:r>
        <w:rPr>
          <w:rFonts w:hint="eastAsia" w:ascii="宋体" w:hAnsi="宋体" w:cs="宋体"/>
          <w:szCs w:val="21"/>
        </w:rPr>
        <w:t>……</w:t>
      </w:r>
    </w:p>
    <w:p>
      <w:pPr>
        <w:widowControl/>
        <w:spacing w:line="360" w:lineRule="auto"/>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widowControl/>
        <w:spacing w:line="360" w:lineRule="auto"/>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pPr>
        <w:widowControl/>
        <w:spacing w:line="360" w:lineRule="auto"/>
        <w:ind w:firstLine="420" w:firstLineChars="200"/>
        <w:rPr>
          <w:rFonts w:ascii="宋体" w:hAnsi="宋体" w:cs="宋体"/>
          <w:szCs w:val="21"/>
        </w:rPr>
      </w:pPr>
      <w:r>
        <w:rPr>
          <w:rFonts w:hint="eastAsia" w:ascii="宋体" w:hAnsi="宋体" w:cs="宋体"/>
          <w:szCs w:val="21"/>
        </w:rPr>
        <w:t xml:space="preserve">                                               </w:t>
      </w:r>
    </w:p>
    <w:p>
      <w:pPr>
        <w:widowControl/>
        <w:spacing w:line="360" w:lineRule="auto"/>
        <w:ind w:firstLine="420" w:firstLineChars="200"/>
        <w:rPr>
          <w:rFonts w:ascii="宋体" w:hAnsi="宋体" w:cs="宋体"/>
          <w:szCs w:val="21"/>
        </w:rPr>
      </w:pPr>
    </w:p>
    <w:p>
      <w:pPr>
        <w:widowControl/>
        <w:spacing w:line="360" w:lineRule="auto"/>
        <w:ind w:firstLine="420" w:firstLineChars="200"/>
        <w:rPr>
          <w:rFonts w:ascii="宋体" w:hAnsi="宋体" w:cs="宋体"/>
          <w:szCs w:val="21"/>
        </w:rPr>
      </w:pPr>
      <w:r>
        <w:rPr>
          <w:rFonts w:hint="eastAsia" w:ascii="宋体" w:hAnsi="宋体" w:cs="宋体"/>
          <w:szCs w:val="21"/>
        </w:rPr>
        <w:t xml:space="preserve">                                                  企业名称（盖章）：</w:t>
      </w:r>
    </w:p>
    <w:p>
      <w:pPr>
        <w:widowControl/>
        <w:spacing w:line="360" w:lineRule="auto"/>
        <w:ind w:firstLine="420" w:firstLineChars="200"/>
        <w:rPr>
          <w:rFonts w:ascii="宋体" w:hAnsi="宋体" w:cs="宋体"/>
          <w:szCs w:val="21"/>
        </w:rPr>
      </w:pPr>
      <w:r>
        <w:rPr>
          <w:rFonts w:hint="eastAsia" w:ascii="宋体" w:hAnsi="宋体" w:cs="宋体"/>
          <w:szCs w:val="21"/>
        </w:rPr>
        <w:t xml:space="preserve">                                                  日    期：</w:t>
      </w:r>
    </w:p>
    <w:p>
      <w:pPr>
        <w:widowControl/>
        <w:spacing w:line="360" w:lineRule="auto"/>
        <w:ind w:firstLine="420" w:firstLineChars="200"/>
        <w:rPr>
          <w:rFonts w:ascii="宋体" w:hAnsi="宋体" w:cs="宋体"/>
          <w:szCs w:val="21"/>
        </w:rPr>
      </w:pPr>
    </w:p>
    <w:p>
      <w:pPr>
        <w:widowControl/>
        <w:spacing w:line="360" w:lineRule="auto"/>
        <w:ind w:firstLine="420" w:firstLineChars="200"/>
        <w:rPr>
          <w:rFonts w:ascii="宋体" w:hAnsi="宋体" w:cs="宋体"/>
          <w:szCs w:val="21"/>
        </w:rPr>
      </w:pPr>
      <w:r>
        <w:rPr>
          <w:rFonts w:hint="eastAsia" w:ascii="宋体" w:hAnsi="宋体" w:cs="宋体"/>
          <w:szCs w:val="21"/>
        </w:rPr>
        <w:t>填写注意事项：</w:t>
      </w:r>
    </w:p>
    <w:p>
      <w:pPr>
        <w:widowControl/>
        <w:spacing w:line="360" w:lineRule="auto"/>
        <w:ind w:firstLine="420" w:firstLineChars="200"/>
        <w:rPr>
          <w:rFonts w:ascii="宋体" w:hAnsi="宋体" w:cs="宋体"/>
          <w:szCs w:val="21"/>
        </w:rPr>
      </w:pPr>
      <w:r>
        <w:rPr>
          <w:rFonts w:hint="eastAsia" w:ascii="宋体" w:hAnsi="宋体" w:cs="宋体"/>
          <w:szCs w:val="21"/>
        </w:rPr>
        <w:t>（1）从业人员、营业收入、资产总额填报上一年度数据，无上一年度数据的新成立企业可不填报。</w:t>
      </w:r>
    </w:p>
    <w:p>
      <w:pPr>
        <w:widowControl/>
        <w:spacing w:line="360" w:lineRule="auto"/>
        <w:ind w:firstLine="420" w:firstLineChars="200"/>
        <w:rPr>
          <w:rFonts w:ascii="宋体" w:hAnsi="宋体" w:cs="宋体"/>
          <w:szCs w:val="21"/>
        </w:rPr>
      </w:pPr>
      <w:r>
        <w:rPr>
          <w:rFonts w:hint="eastAsia" w:ascii="宋体" w:hAnsi="宋体" w:cs="宋体"/>
          <w:szCs w:val="21"/>
        </w:rPr>
        <w:t>（2）供应商按照本办法规定提供声明函内容不实的，属于提供虚假材料谋取中标、成交，依照《中华人民共和国政府采购法》等国家有关规定追究相应责任。</w:t>
      </w:r>
    </w:p>
    <w:p>
      <w:pPr>
        <w:tabs>
          <w:tab w:val="left" w:pos="8085"/>
        </w:tabs>
        <w:spacing w:line="360" w:lineRule="auto"/>
        <w:ind w:firstLine="420" w:firstLineChars="200"/>
        <w:jc w:val="left"/>
        <w:rPr>
          <w:rFonts w:ascii="宋体" w:hAnsi="宋体" w:cs="宋体"/>
          <w:szCs w:val="21"/>
        </w:rPr>
      </w:pPr>
      <w:r>
        <w:rPr>
          <w:rFonts w:hint="eastAsia" w:ascii="宋体" w:hAnsi="宋体" w:cs="宋体"/>
          <w:szCs w:val="21"/>
        </w:rPr>
        <w:t>（3）政府采购监督检查、投诉处理及政府采购行政处罚中对中小企业的认定，由货物制造商或者工程、服务供应商注册登记所在地的县级以上人民政府中小企业主管部门负责。</w:t>
      </w:r>
    </w:p>
    <w:p>
      <w:pPr>
        <w:pStyle w:val="36"/>
        <w:pBdr>
          <w:bottom w:val="none" w:color="auto" w:sz="0" w:space="0"/>
        </w:pBdr>
      </w:pPr>
    </w:p>
    <w:p>
      <w:pPr>
        <w:pStyle w:val="36"/>
        <w:pBdr>
          <w:bottom w:val="none" w:color="auto" w:sz="0" w:space="0"/>
        </w:pBdr>
      </w:pPr>
    </w:p>
    <w:p>
      <w:pPr>
        <w:pStyle w:val="7"/>
        <w:overflowPunct w:val="0"/>
        <w:spacing w:line="360" w:lineRule="exact"/>
        <w:ind w:firstLine="0"/>
        <w:rPr>
          <w:rFonts w:ascii="宋体" w:hAnsi="宋体" w:cs="宋体"/>
          <w:sz w:val="21"/>
          <w:szCs w:val="21"/>
        </w:rPr>
      </w:pPr>
      <w:r>
        <w:rPr>
          <w:rFonts w:hint="eastAsia" w:ascii="宋体" w:hAnsi="宋体" w:cs="宋体"/>
          <w:sz w:val="21"/>
          <w:szCs w:val="21"/>
        </w:rPr>
        <w:t>残疾人福利性单位声明函格式</w:t>
      </w:r>
      <w:r>
        <w:rPr>
          <w:rFonts w:hint="eastAsia" w:ascii="宋体" w:hAnsi="宋体" w:cs="宋体"/>
          <w:b/>
          <w:szCs w:val="21"/>
        </w:rPr>
        <w:t>（残疾人福利性单位必须提供）</w:t>
      </w:r>
      <w:r>
        <w:rPr>
          <w:rFonts w:hint="eastAsia" w:ascii="宋体" w:hAnsi="宋体" w:cs="宋体"/>
          <w:sz w:val="21"/>
          <w:szCs w:val="21"/>
        </w:rPr>
        <w:t>：</w:t>
      </w:r>
    </w:p>
    <w:p>
      <w:pPr>
        <w:spacing w:line="560" w:lineRule="exact"/>
        <w:jc w:val="center"/>
        <w:rPr>
          <w:rFonts w:ascii="宋体" w:hAnsi="宋体" w:cs="宋体"/>
          <w:szCs w:val="21"/>
        </w:rPr>
      </w:pPr>
    </w:p>
    <w:p>
      <w:pPr>
        <w:spacing w:line="560" w:lineRule="exact"/>
        <w:jc w:val="center"/>
        <w:rPr>
          <w:rFonts w:ascii="宋体" w:hAnsi="宋体" w:cs="宋体"/>
          <w:b/>
          <w:spacing w:val="6"/>
          <w:szCs w:val="21"/>
        </w:rPr>
      </w:pPr>
      <w:r>
        <w:rPr>
          <w:rFonts w:hint="eastAsia" w:ascii="宋体" w:hAnsi="宋体" w:cs="宋体"/>
          <w:szCs w:val="21"/>
        </w:rPr>
        <w:t>残疾人福利性单位声明函</w:t>
      </w:r>
    </w:p>
    <w:p>
      <w:pPr>
        <w:spacing w:line="560"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60"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pPr>
        <w:spacing w:line="560" w:lineRule="exact"/>
        <w:ind w:firstLine="444" w:firstLineChars="200"/>
        <w:rPr>
          <w:rFonts w:ascii="宋体" w:hAnsi="宋体" w:cs="宋体"/>
          <w:spacing w:val="6"/>
          <w:szCs w:val="21"/>
        </w:rPr>
      </w:pPr>
    </w:p>
    <w:p>
      <w:pPr>
        <w:spacing w:line="560" w:lineRule="exact"/>
        <w:ind w:firstLine="444" w:firstLineChars="200"/>
        <w:rPr>
          <w:rFonts w:ascii="宋体" w:hAnsi="宋体" w:cs="宋体"/>
          <w:spacing w:val="6"/>
          <w:szCs w:val="21"/>
        </w:rPr>
      </w:pPr>
    </w:p>
    <w:p>
      <w:pPr>
        <w:tabs>
          <w:tab w:val="left" w:pos="4860"/>
        </w:tabs>
        <w:spacing w:line="560" w:lineRule="exact"/>
        <w:ind w:right="1560" w:firstLine="444" w:firstLineChars="200"/>
        <w:jc w:val="center"/>
        <w:rPr>
          <w:rFonts w:ascii="宋体" w:hAnsi="宋体" w:cs="宋体"/>
          <w:spacing w:val="6"/>
          <w:szCs w:val="21"/>
        </w:rPr>
      </w:pPr>
      <w:r>
        <w:rPr>
          <w:rFonts w:hint="eastAsia" w:ascii="宋体" w:hAnsi="宋体" w:cs="宋体"/>
          <w:spacing w:val="6"/>
          <w:szCs w:val="21"/>
        </w:rPr>
        <w:t xml:space="preserve">               单位名称（盖章）：</w:t>
      </w:r>
    </w:p>
    <w:p>
      <w:pPr>
        <w:widowControl/>
        <w:spacing w:before="100" w:beforeAutospacing="1" w:after="100" w:afterAutospacing="1" w:line="560" w:lineRule="exact"/>
        <w:jc w:val="left"/>
        <w:rPr>
          <w:rFonts w:ascii="宋体" w:hAnsi="宋体" w:cs="宋体"/>
          <w:spacing w:val="6"/>
          <w:szCs w:val="21"/>
        </w:rPr>
      </w:pPr>
      <w:r>
        <w:rPr>
          <w:rFonts w:hint="eastAsia" w:ascii="宋体" w:hAnsi="宋体" w:cs="宋体"/>
          <w:spacing w:val="6"/>
          <w:szCs w:val="21"/>
        </w:rPr>
        <w:t xml:space="preserve">                                 日  期：</w:t>
      </w:r>
    </w:p>
    <w:p>
      <w:pPr>
        <w:widowControl/>
        <w:spacing w:line="560" w:lineRule="exact"/>
        <w:ind w:firstLine="413" w:firstLineChars="196"/>
        <w:jc w:val="left"/>
        <w:rPr>
          <w:rFonts w:ascii="宋体" w:hAnsi="宋体" w:cs="宋体"/>
          <w:b/>
          <w:kern w:val="0"/>
          <w:szCs w:val="21"/>
        </w:rPr>
      </w:pPr>
      <w:r>
        <w:rPr>
          <w:rFonts w:hint="eastAsia" w:ascii="宋体" w:hAnsi="宋体" w:cs="宋体"/>
          <w:b/>
          <w:kern w:val="0"/>
          <w:szCs w:val="21"/>
        </w:rPr>
        <w:t>说明：符合条件的残疾人福利性单位在参加政府采购活动时，应当提供本通知规定的《残疾人福利性单位声明函》，并对声明的真实性负责。</w:t>
      </w:r>
    </w:p>
    <w:p>
      <w:pPr>
        <w:widowControl/>
        <w:spacing w:line="560" w:lineRule="exact"/>
        <w:ind w:firstLine="413" w:firstLineChars="196"/>
        <w:jc w:val="left"/>
        <w:rPr>
          <w:rFonts w:ascii="宋体" w:hAnsi="宋体" w:cs="宋体"/>
          <w:b/>
          <w:kern w:val="0"/>
          <w:szCs w:val="21"/>
        </w:rPr>
      </w:pPr>
      <w:r>
        <w:rPr>
          <w:rFonts w:hint="eastAsia" w:ascii="宋体" w:hAnsi="宋体" w:cs="宋体"/>
          <w:b/>
          <w:kern w:val="0"/>
          <w:szCs w:val="21"/>
        </w:rPr>
        <w:t>中标、成交供应商为残疾人福利性单位的，采购人或者其委托的采购代理机构应当随中标、成交结果同时公告其《残疾人福利性单位声明函》，接受社会监督。</w:t>
      </w:r>
    </w:p>
    <w:p>
      <w:pPr>
        <w:widowControl/>
        <w:spacing w:line="560" w:lineRule="exact"/>
        <w:ind w:firstLine="413" w:firstLineChars="196"/>
        <w:jc w:val="left"/>
        <w:rPr>
          <w:rFonts w:ascii="宋体" w:hAnsi="宋体" w:cs="宋体"/>
          <w:b/>
          <w:spacing w:val="6"/>
          <w:szCs w:val="21"/>
        </w:rPr>
      </w:pPr>
      <w:r>
        <w:rPr>
          <w:rFonts w:hint="eastAsia" w:ascii="宋体" w:hAnsi="宋体" w:cs="宋体"/>
          <w:b/>
          <w:kern w:val="0"/>
          <w:szCs w:val="21"/>
        </w:rPr>
        <w:t>供应商提供的《残疾人福利性单位声明函》与事实不符的，依照《政府采购法》第七十七条第一款的规定追究法律责任。</w:t>
      </w:r>
    </w:p>
    <w:p>
      <w:pPr>
        <w:pStyle w:val="36"/>
        <w:pBdr>
          <w:bottom w:val="none" w:color="auto" w:sz="0" w:space="0"/>
        </w:pBdr>
      </w:pPr>
    </w:p>
    <w:p>
      <w:pPr>
        <w:tabs>
          <w:tab w:val="left" w:pos="8085"/>
        </w:tabs>
        <w:spacing w:line="360" w:lineRule="auto"/>
        <w:ind w:firstLine="840" w:firstLineChars="400"/>
        <w:jc w:val="left"/>
        <w:rPr>
          <w:rFonts w:ascii="宋体" w:hAnsi="宋体" w:cs="宋体"/>
          <w:szCs w:val="21"/>
        </w:rPr>
      </w:pPr>
    </w:p>
    <w:p>
      <w:pPr>
        <w:snapToGrid w:val="0"/>
        <w:spacing w:line="360" w:lineRule="exact"/>
        <w:ind w:firstLine="420" w:firstLineChars="200"/>
        <w:jc w:val="left"/>
        <w:rPr>
          <w:rFonts w:ascii="宋体" w:hAnsi="宋体" w:cs="宋体"/>
          <w:szCs w:val="21"/>
        </w:rPr>
      </w:pPr>
      <w:r>
        <w:rPr>
          <w:rFonts w:hint="eastAsia" w:ascii="宋体" w:hAnsi="宋体" w:cs="宋体"/>
          <w:szCs w:val="21"/>
        </w:rPr>
        <w:t>（3）具备法律、行政法规规定的其他条件的证明材料(如有规定,则必须提供)。</w:t>
      </w:r>
    </w:p>
    <w:p>
      <w:pPr>
        <w:snapToGrid w:val="0"/>
        <w:spacing w:line="360" w:lineRule="exact"/>
        <w:jc w:val="left"/>
        <w:rPr>
          <w:rFonts w:ascii="宋体" w:hAnsi="宋体" w:cs="宋体"/>
          <w:szCs w:val="21"/>
        </w:rPr>
      </w:pPr>
    </w:p>
    <w:p>
      <w:pPr>
        <w:snapToGrid w:val="0"/>
        <w:spacing w:before="50" w:after="156" w:afterLines="50" w:line="360" w:lineRule="exact"/>
        <w:jc w:val="left"/>
        <w:outlineLvl w:val="1"/>
        <w:rPr>
          <w:rFonts w:ascii="宋体" w:hAnsi="宋体" w:cs="宋体"/>
          <w:b/>
          <w:szCs w:val="21"/>
        </w:rPr>
      </w:pPr>
      <w:r>
        <w:rPr>
          <w:rFonts w:hint="eastAsia" w:ascii="宋体" w:hAnsi="宋体" w:cs="宋体"/>
          <w:b/>
          <w:szCs w:val="21"/>
        </w:rPr>
        <w:t>二）</w:t>
      </w:r>
      <w:r>
        <w:rPr>
          <w:rFonts w:hint="eastAsia" w:ascii="宋体" w:hAnsi="宋体" w:cs="宋体"/>
          <w:b/>
          <w:bCs/>
          <w:szCs w:val="21"/>
        </w:rPr>
        <w:t>资信及商务文件部分（格式）</w:t>
      </w:r>
    </w:p>
    <w:p>
      <w:pPr>
        <w:snapToGrid w:val="0"/>
        <w:spacing w:before="50" w:after="156" w:afterLines="50" w:line="360" w:lineRule="exact"/>
        <w:jc w:val="left"/>
        <w:rPr>
          <w:rFonts w:ascii="宋体" w:hAnsi="宋体" w:cs="宋体"/>
          <w:b/>
          <w:szCs w:val="21"/>
        </w:rPr>
      </w:pPr>
      <w:r>
        <w:rPr>
          <w:rFonts w:hint="eastAsia" w:ascii="宋体" w:hAnsi="宋体" w:cs="宋体"/>
        </w:rPr>
        <w:t>▲</w:t>
      </w:r>
      <w:r>
        <w:rPr>
          <w:rFonts w:hint="eastAsia" w:ascii="宋体" w:hAnsi="宋体" w:cs="宋体"/>
          <w:b/>
          <w:szCs w:val="21"/>
        </w:rPr>
        <w:t>（1）承诺函格式：（必须提供）</w:t>
      </w:r>
    </w:p>
    <w:p>
      <w:pPr>
        <w:ind w:firstLine="640" w:firstLineChars="200"/>
        <w:jc w:val="center"/>
        <w:rPr>
          <w:rFonts w:ascii="宋体" w:hAnsi="宋体" w:cs="宋体"/>
          <w:kern w:val="0"/>
          <w:sz w:val="32"/>
          <w:szCs w:val="21"/>
        </w:rPr>
      </w:pPr>
      <w:r>
        <w:rPr>
          <w:rFonts w:hint="eastAsia" w:ascii="宋体" w:hAnsi="宋体" w:cs="宋体"/>
          <w:kern w:val="0"/>
          <w:sz w:val="32"/>
          <w:szCs w:val="21"/>
        </w:rPr>
        <w:t>承诺函（格式）</w:t>
      </w:r>
    </w:p>
    <w:p>
      <w:pPr>
        <w:widowControl/>
        <w:ind w:firstLine="640" w:firstLineChars="200"/>
        <w:jc w:val="left"/>
        <w:rPr>
          <w:rFonts w:ascii="宋体" w:hAnsi="宋体" w:cs="宋体"/>
          <w:kern w:val="0"/>
          <w:sz w:val="32"/>
          <w:szCs w:val="21"/>
        </w:rPr>
      </w:pPr>
    </w:p>
    <w:p>
      <w:pPr>
        <w:widowControl/>
        <w:jc w:val="left"/>
        <w:rPr>
          <w:rFonts w:ascii="宋体" w:hAnsi="宋体" w:cs="宋体"/>
          <w:kern w:val="0"/>
          <w:szCs w:val="21"/>
        </w:rPr>
      </w:pPr>
      <w:r>
        <w:rPr>
          <w:rFonts w:hint="eastAsia" w:ascii="宋体" w:hAnsi="宋体" w:cs="宋体"/>
          <w:kern w:val="0"/>
          <w:szCs w:val="21"/>
        </w:rPr>
        <w:t>北海市</w:t>
      </w:r>
      <w:r>
        <w:rPr>
          <w:rFonts w:hint="eastAsia" w:ascii="宋体" w:hAnsi="宋体" w:cs="宋体"/>
          <w:kern w:val="0"/>
          <w:szCs w:val="21"/>
          <w:lang w:eastAsia="zh-CN"/>
        </w:rPr>
        <w:t>铁山港区</w:t>
      </w:r>
      <w:r>
        <w:rPr>
          <w:rFonts w:hint="eastAsia" w:ascii="宋体" w:hAnsi="宋体" w:cs="宋体"/>
          <w:kern w:val="0"/>
          <w:szCs w:val="21"/>
        </w:rPr>
        <w:t>政府采购中心：</w:t>
      </w:r>
    </w:p>
    <w:p>
      <w:pPr>
        <w:widowControl/>
        <w:ind w:firstLine="420" w:firstLineChars="200"/>
        <w:jc w:val="left"/>
        <w:rPr>
          <w:rFonts w:ascii="宋体" w:hAnsi="宋体" w:cs="宋体"/>
          <w:kern w:val="0"/>
          <w:szCs w:val="21"/>
        </w:rPr>
      </w:pPr>
      <w:r>
        <w:rPr>
          <w:rFonts w:hint="eastAsia" w:ascii="宋体" w:hAnsi="宋体" w:cs="宋体"/>
          <w:kern w:val="0"/>
          <w:szCs w:val="21"/>
        </w:rPr>
        <w:t>我方作为本次采购项目的投标人，根据招标文件要求，现郑重承诺如下：</w:t>
      </w:r>
    </w:p>
    <w:p>
      <w:pPr>
        <w:widowControl/>
        <w:ind w:firstLine="420" w:firstLineChars="200"/>
        <w:jc w:val="left"/>
        <w:rPr>
          <w:rFonts w:ascii="宋体" w:hAnsi="宋体" w:cs="宋体"/>
          <w:kern w:val="0"/>
          <w:szCs w:val="21"/>
        </w:rPr>
      </w:pPr>
      <w:r>
        <w:rPr>
          <w:rFonts w:hint="eastAsia" w:ascii="宋体" w:hAnsi="宋体" w:cs="宋体"/>
          <w:kern w:val="0"/>
          <w:szCs w:val="21"/>
        </w:rPr>
        <w:t>一、我方已认真阅读并接受本项目招标文件第二章的全部实质性要求，如对招标文件有异议，已依法进行维权救济，不存在对招标文件有异议的同时又参加投标以求侥幸中标或者为实现其他非法目的的行为。</w:t>
      </w:r>
    </w:p>
    <w:p>
      <w:pPr>
        <w:widowControl/>
        <w:ind w:firstLine="420" w:firstLineChars="200"/>
        <w:jc w:val="left"/>
        <w:rPr>
          <w:rFonts w:ascii="宋体" w:hAnsi="宋体" w:cs="宋体"/>
          <w:kern w:val="0"/>
          <w:szCs w:val="21"/>
        </w:rPr>
      </w:pPr>
      <w:r>
        <w:rPr>
          <w:rFonts w:hint="eastAsia" w:ascii="宋体" w:hAnsi="宋体" w:cs="宋体"/>
          <w:kern w:val="0"/>
          <w:szCs w:val="21"/>
        </w:rPr>
        <w:t>二、参加本次招标采购活动，不存在与单位负责人为同一人或者存在直接控股、管理关系的其他供应商参与同一合同项下的政府采购活动的行为。</w:t>
      </w:r>
    </w:p>
    <w:p>
      <w:pPr>
        <w:widowControl/>
        <w:ind w:firstLine="420" w:firstLineChars="200"/>
        <w:jc w:val="left"/>
        <w:rPr>
          <w:rFonts w:ascii="宋体" w:hAnsi="宋体" w:cs="宋体"/>
          <w:kern w:val="0"/>
          <w:szCs w:val="21"/>
        </w:rPr>
      </w:pPr>
      <w:r>
        <w:rPr>
          <w:rFonts w:hint="eastAsia" w:ascii="宋体" w:hAnsi="宋体" w:cs="宋体"/>
          <w:kern w:val="0"/>
          <w:szCs w:val="21"/>
        </w:rPr>
        <w:t>三、为采购项目提供整体设计、规范编制或者项目管理、监理、检测等服务的供应商，不得再参加该采购项目的其他采购活动，我方承诺不属于此类禁止参加本项目的供应商。</w:t>
      </w:r>
    </w:p>
    <w:p>
      <w:pPr>
        <w:widowControl/>
        <w:ind w:firstLine="420" w:firstLineChars="200"/>
        <w:jc w:val="left"/>
        <w:rPr>
          <w:rFonts w:ascii="宋体" w:hAnsi="宋体" w:cs="宋体"/>
          <w:kern w:val="0"/>
          <w:szCs w:val="21"/>
        </w:rPr>
      </w:pPr>
      <w:r>
        <w:rPr>
          <w:rFonts w:hint="eastAsia" w:ascii="宋体" w:hAnsi="宋体" w:cs="宋体"/>
          <w:kern w:val="0"/>
          <w:szCs w:val="21"/>
        </w:rPr>
        <w:t>四、参加本次招标采购活动，不存在和其他供应商在同一合同项下的采购项目中，同时委托同一个自然人、同一家庭的人员、同一单位的人员作为代理人的行为。</w:t>
      </w:r>
    </w:p>
    <w:p>
      <w:pPr>
        <w:widowControl/>
        <w:ind w:firstLine="420" w:firstLineChars="200"/>
        <w:jc w:val="left"/>
        <w:rPr>
          <w:rFonts w:ascii="宋体" w:hAnsi="宋体" w:cs="宋体"/>
          <w:kern w:val="0"/>
          <w:szCs w:val="21"/>
        </w:rPr>
      </w:pPr>
      <w:r>
        <w:rPr>
          <w:rFonts w:hint="eastAsia" w:ascii="宋体" w:hAnsi="宋体" w:cs="宋体"/>
          <w:kern w:val="0"/>
          <w:szCs w:val="21"/>
        </w:rPr>
        <w:t>五、投标文件中提供的能够给予我方带来优惠、好处的任何材料资料和技术、服务、商务、响应产品等响应承诺情况都是真实的、有效的、合法的。</w:t>
      </w:r>
    </w:p>
    <w:p>
      <w:pPr>
        <w:widowControl/>
        <w:ind w:firstLine="420" w:firstLineChars="200"/>
        <w:jc w:val="left"/>
        <w:rPr>
          <w:rFonts w:ascii="宋体" w:hAnsi="宋体" w:cs="宋体"/>
          <w:kern w:val="0"/>
          <w:szCs w:val="21"/>
        </w:rPr>
      </w:pPr>
      <w:r>
        <w:rPr>
          <w:rFonts w:hint="eastAsia" w:ascii="宋体" w:hAnsi="宋体" w:cs="宋体"/>
          <w:kern w:val="0"/>
          <w:szCs w:val="21"/>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pPr>
        <w:widowControl/>
        <w:ind w:firstLine="420" w:firstLineChars="200"/>
        <w:jc w:val="left"/>
        <w:rPr>
          <w:rFonts w:ascii="宋体" w:hAnsi="宋体" w:cs="宋体"/>
          <w:kern w:val="0"/>
          <w:szCs w:val="21"/>
        </w:rPr>
      </w:pPr>
      <w:r>
        <w:rPr>
          <w:rFonts w:hint="eastAsia" w:ascii="宋体" w:hAnsi="宋体" w:cs="宋体"/>
          <w:kern w:val="0"/>
          <w:szCs w:val="21"/>
        </w:rPr>
        <w:t>七、国家或行业主管部门对采购产品的技术标准、质量标准和资格资质条件等有强制性规定的，我方承诺符合其要求。</w:t>
      </w:r>
    </w:p>
    <w:p>
      <w:pPr>
        <w:widowControl/>
        <w:ind w:firstLine="420" w:firstLineChars="200"/>
        <w:jc w:val="left"/>
        <w:rPr>
          <w:rFonts w:ascii="宋体" w:hAnsi="宋体" w:cs="宋体"/>
          <w:kern w:val="0"/>
          <w:szCs w:val="21"/>
        </w:rPr>
      </w:pPr>
      <w:r>
        <w:rPr>
          <w:rFonts w:hint="eastAsia" w:ascii="宋体" w:hAnsi="宋体" w:cs="宋体"/>
          <w:kern w:val="0"/>
          <w:szCs w:val="21"/>
        </w:rPr>
        <w:t>八、参加本次招标采购活动，我方完全同意招标文件第二章关于“投标费用”、“合同分包”、“合同转包”、“履约保证金”的实质性要求，并承诺严格按照招标文件要求履行。</w:t>
      </w:r>
    </w:p>
    <w:p>
      <w:pPr>
        <w:widowControl/>
        <w:ind w:firstLine="420" w:firstLineChars="200"/>
        <w:jc w:val="left"/>
        <w:rPr>
          <w:rFonts w:ascii="宋体" w:hAnsi="宋体" w:cs="宋体"/>
          <w:kern w:val="0"/>
          <w:szCs w:val="21"/>
        </w:rPr>
      </w:pPr>
      <w:r>
        <w:rPr>
          <w:rFonts w:hint="eastAsia" w:ascii="宋体" w:hAnsi="宋体" w:cs="宋体"/>
          <w:kern w:val="0"/>
          <w:szCs w:val="21"/>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widowControl/>
        <w:ind w:firstLine="420" w:firstLineChars="200"/>
        <w:jc w:val="left"/>
        <w:rPr>
          <w:rFonts w:ascii="宋体" w:hAnsi="宋体" w:cs="宋体"/>
          <w:kern w:val="0"/>
          <w:szCs w:val="21"/>
        </w:rPr>
      </w:pPr>
      <w:r>
        <w:rPr>
          <w:rFonts w:hint="eastAsia" w:ascii="宋体" w:hAnsi="宋体" w:cs="宋体"/>
          <w:kern w:val="0"/>
          <w:szCs w:val="21"/>
        </w:rPr>
        <w:t>我方对上述承诺的内容事项真实性负责。如经查实上述承诺的内容事项存在虚假，我方愿意接受以提供虚假材料谋取中标追究法律责任。</w:t>
      </w:r>
    </w:p>
    <w:p>
      <w:pPr>
        <w:widowControl/>
        <w:ind w:firstLine="3045" w:firstLineChars="1450"/>
        <w:jc w:val="left"/>
        <w:rPr>
          <w:rFonts w:ascii="宋体" w:hAnsi="宋体" w:cs="宋体"/>
          <w:kern w:val="0"/>
          <w:szCs w:val="21"/>
        </w:rPr>
      </w:pPr>
    </w:p>
    <w:p>
      <w:pPr>
        <w:widowControl/>
        <w:ind w:firstLine="5775" w:firstLineChars="2750"/>
        <w:jc w:val="left"/>
        <w:rPr>
          <w:rFonts w:ascii="宋体" w:hAnsi="宋体" w:cs="宋体"/>
          <w:kern w:val="0"/>
          <w:szCs w:val="21"/>
        </w:rPr>
      </w:pPr>
      <w:r>
        <w:rPr>
          <w:rFonts w:hint="eastAsia" w:ascii="宋体" w:hAnsi="宋体" w:cs="宋体"/>
          <w:kern w:val="0"/>
          <w:szCs w:val="21"/>
        </w:rPr>
        <w:t>投标人（公章）：</w:t>
      </w:r>
    </w:p>
    <w:p>
      <w:pPr>
        <w:widowControl/>
        <w:ind w:firstLine="3045" w:firstLineChars="1450"/>
        <w:jc w:val="left"/>
        <w:rPr>
          <w:rFonts w:ascii="宋体" w:hAnsi="宋体" w:cs="宋体"/>
          <w:kern w:val="0"/>
          <w:szCs w:val="21"/>
        </w:rPr>
      </w:pPr>
      <w:r>
        <w:rPr>
          <w:rFonts w:hint="eastAsia" w:ascii="宋体" w:hAnsi="宋体" w:cs="宋体"/>
          <w:kern w:val="0"/>
          <w:szCs w:val="21"/>
        </w:rPr>
        <w:t>法定代表人（负责人）或委托代理人（签名）：</w:t>
      </w:r>
    </w:p>
    <w:p>
      <w:pPr>
        <w:widowControl/>
        <w:ind w:firstLine="6825" w:firstLineChars="3250"/>
        <w:jc w:val="left"/>
        <w:rPr>
          <w:rFonts w:ascii="宋体" w:hAnsi="宋体" w:cs="宋体"/>
          <w:kern w:val="0"/>
          <w:szCs w:val="21"/>
        </w:rPr>
      </w:pPr>
      <w:r>
        <w:rPr>
          <w:rFonts w:hint="eastAsia" w:ascii="宋体" w:hAnsi="宋体" w:cs="宋体"/>
          <w:kern w:val="0"/>
          <w:szCs w:val="21"/>
        </w:rPr>
        <w:t>日期：</w:t>
      </w:r>
    </w:p>
    <w:p>
      <w:pPr>
        <w:snapToGrid w:val="0"/>
        <w:spacing w:line="360" w:lineRule="exact"/>
        <w:ind w:firstLine="210" w:firstLineChars="100"/>
        <w:jc w:val="left"/>
        <w:rPr>
          <w:rFonts w:ascii="宋体" w:hAnsi="宋体" w:cs="宋体"/>
          <w:b/>
          <w:szCs w:val="21"/>
        </w:rPr>
      </w:pPr>
    </w:p>
    <w:p>
      <w:pPr>
        <w:snapToGrid w:val="0"/>
        <w:spacing w:line="360" w:lineRule="exact"/>
        <w:jc w:val="left"/>
        <w:rPr>
          <w:rFonts w:ascii="宋体" w:hAnsi="宋体" w:cs="宋体"/>
          <w:b/>
          <w:szCs w:val="21"/>
        </w:rPr>
      </w:pPr>
    </w:p>
    <w:p>
      <w:pPr>
        <w:snapToGrid w:val="0"/>
        <w:spacing w:line="360" w:lineRule="exact"/>
        <w:ind w:firstLine="210" w:firstLineChars="100"/>
        <w:jc w:val="left"/>
        <w:rPr>
          <w:rFonts w:ascii="宋体" w:hAnsi="宋体" w:cs="宋体"/>
          <w:b/>
          <w:szCs w:val="21"/>
        </w:rPr>
      </w:pPr>
    </w:p>
    <w:p>
      <w:pPr>
        <w:snapToGrid w:val="0"/>
        <w:spacing w:line="360" w:lineRule="exact"/>
        <w:ind w:firstLine="210" w:firstLineChars="100"/>
        <w:jc w:val="left"/>
        <w:rPr>
          <w:rFonts w:ascii="宋体" w:hAnsi="宋体" w:cs="宋体"/>
          <w:szCs w:val="21"/>
        </w:rPr>
      </w:pPr>
      <w:r>
        <w:rPr>
          <w:rFonts w:hint="eastAsia" w:ascii="宋体" w:hAnsi="宋体" w:cs="宋体"/>
          <w:b/>
          <w:szCs w:val="21"/>
        </w:rPr>
        <w:t>▲（2）</w:t>
      </w:r>
      <w:r>
        <w:rPr>
          <w:rFonts w:hint="eastAsia" w:ascii="宋体" w:hAnsi="宋体" w:cs="宋体"/>
          <w:szCs w:val="21"/>
        </w:rPr>
        <w:t>法定代表人（负责人）授权委托书和委托代理人身份证复印件</w:t>
      </w:r>
      <w:r>
        <w:rPr>
          <w:rFonts w:hint="eastAsia" w:ascii="宋体" w:hAnsi="宋体" w:cs="宋体"/>
          <w:b/>
          <w:szCs w:val="21"/>
        </w:rPr>
        <w:t>（委托代理时必须提供，格式见第六章）</w:t>
      </w:r>
      <w:r>
        <w:rPr>
          <w:rFonts w:hint="eastAsia" w:ascii="宋体" w:hAnsi="宋体" w:cs="宋体"/>
          <w:szCs w:val="21"/>
        </w:rPr>
        <w:t>；法定代表人（负责人）参加投标时，提供法定代表人（负责人）身份证明书和身份证复印件</w:t>
      </w:r>
      <w:r>
        <w:rPr>
          <w:rFonts w:hint="eastAsia" w:ascii="宋体" w:hAnsi="宋体" w:cs="宋体"/>
          <w:b/>
          <w:szCs w:val="21"/>
        </w:rPr>
        <w:t>（必须提供，格式见第六章）。</w:t>
      </w:r>
    </w:p>
    <w:p>
      <w:pPr>
        <w:snapToGrid w:val="0"/>
        <w:spacing w:before="156" w:beforeLines="50" w:after="50" w:line="320" w:lineRule="exact"/>
        <w:jc w:val="center"/>
        <w:rPr>
          <w:rFonts w:ascii="宋体" w:hAnsi="宋体" w:cs="宋体"/>
          <w:b/>
          <w:sz w:val="30"/>
          <w:szCs w:val="30"/>
        </w:rPr>
      </w:pPr>
      <w:r>
        <w:rPr>
          <w:rFonts w:hint="eastAsia" w:ascii="宋体" w:hAnsi="宋体" w:cs="宋体"/>
          <w:b/>
          <w:sz w:val="30"/>
          <w:szCs w:val="30"/>
        </w:rPr>
        <w:t>法定代表人（负责人）授权委托书</w:t>
      </w:r>
    </w:p>
    <w:p>
      <w:pPr>
        <w:snapToGrid w:val="0"/>
        <w:spacing w:before="156" w:beforeLines="50" w:after="50" w:line="320" w:lineRule="exact"/>
        <w:jc w:val="center"/>
        <w:rPr>
          <w:rFonts w:ascii="宋体" w:hAnsi="宋体"/>
          <w:b/>
          <w:sz w:val="30"/>
          <w:szCs w:val="30"/>
        </w:rPr>
      </w:pPr>
    </w:p>
    <w:p>
      <w:pPr>
        <w:snapToGrid w:val="0"/>
        <w:spacing w:before="156" w:beforeLines="50" w:after="50" w:line="320" w:lineRule="exact"/>
        <w:rPr>
          <w:rFonts w:ascii="宋体" w:hAnsi="宋体"/>
          <w:b/>
          <w:bCs/>
          <w:szCs w:val="21"/>
        </w:rPr>
      </w:pPr>
      <w:r>
        <w:rPr>
          <w:rFonts w:hint="eastAsia" w:ascii="宋体" w:hAnsi="宋体"/>
          <w:bCs/>
          <w:szCs w:val="21"/>
        </w:rPr>
        <w:t>致：</w:t>
      </w:r>
      <w:r>
        <w:rPr>
          <w:rFonts w:hint="eastAsia" w:ascii="宋体" w:hAnsi="宋体"/>
          <w:szCs w:val="21"/>
        </w:rPr>
        <w:t>_</w:t>
      </w:r>
      <w:r>
        <w:rPr>
          <w:rFonts w:hint="eastAsia" w:ascii="宋体" w:hAnsi="宋体"/>
          <w:u w:val="single"/>
        </w:rPr>
        <w:t>北海市</w:t>
      </w:r>
      <w:r>
        <w:rPr>
          <w:rFonts w:hint="eastAsia" w:ascii="宋体" w:hAnsi="宋体"/>
          <w:u w:val="single"/>
          <w:lang w:eastAsia="zh-CN"/>
        </w:rPr>
        <w:t>铁山港区</w:t>
      </w:r>
      <w:r>
        <w:rPr>
          <w:rFonts w:hint="eastAsia" w:ascii="宋体" w:hAnsi="宋体"/>
          <w:u w:val="single"/>
        </w:rPr>
        <w:t>政府采购中心</w:t>
      </w:r>
      <w:r>
        <w:rPr>
          <w:rFonts w:hint="eastAsia" w:ascii="宋体" w:hAnsi="宋体"/>
          <w:szCs w:val="21"/>
        </w:rPr>
        <w:t>：</w:t>
      </w:r>
    </w:p>
    <w:p>
      <w:pPr>
        <w:snapToGrid w:val="0"/>
        <w:spacing w:before="156" w:beforeLines="50" w:after="50" w:line="320" w:lineRule="exact"/>
        <w:ind w:firstLine="630" w:firstLineChars="300"/>
        <w:rPr>
          <w:rFonts w:ascii="宋体" w:hAnsi="宋体"/>
          <w:szCs w:val="21"/>
          <w:u w:val="single"/>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（投标人名称）的法定代表人（负责人），现授权委托本单位在职职工</w:t>
      </w:r>
      <w:r>
        <w:rPr>
          <w:rFonts w:hint="eastAsia" w:ascii="宋体" w:hAnsi="宋体"/>
          <w:szCs w:val="21"/>
          <w:u w:val="single"/>
        </w:rPr>
        <w:t xml:space="preserve">              </w:t>
      </w:r>
      <w:r>
        <w:rPr>
          <w:rFonts w:hint="eastAsia" w:ascii="宋体" w:hAnsi="宋体"/>
          <w:szCs w:val="21"/>
        </w:rPr>
        <w:t>（姓名）以我方的名义参加</w:t>
      </w:r>
      <w:r>
        <w:rPr>
          <w:rFonts w:hint="eastAsia" w:ascii="宋体" w:hAnsi="宋体"/>
          <w:szCs w:val="21"/>
          <w:u w:val="single"/>
        </w:rPr>
        <w:t xml:space="preserve">             </w:t>
      </w:r>
      <w:r>
        <w:rPr>
          <w:rFonts w:hint="eastAsia" w:ascii="宋体" w:hAnsi="宋体"/>
          <w:szCs w:val="21"/>
        </w:rPr>
        <w:t>项目的投标活动，并代表我方全权办理针对上述项目的投标、开标、评标、签约等具体事务和签署相关文件。</w:t>
      </w:r>
    </w:p>
    <w:p>
      <w:pPr>
        <w:snapToGrid w:val="0"/>
        <w:spacing w:before="156" w:beforeLines="50" w:after="50" w:line="320" w:lineRule="exact"/>
        <w:rPr>
          <w:rFonts w:ascii="宋体" w:hAnsi="宋体"/>
          <w:szCs w:val="21"/>
        </w:rPr>
      </w:pPr>
      <w:r>
        <w:rPr>
          <w:rFonts w:hint="eastAsia" w:ascii="宋体" w:hAnsi="宋体"/>
          <w:szCs w:val="21"/>
        </w:rPr>
        <w:t xml:space="preserve">    我方对被授权人的签名事项负全部责任。</w:t>
      </w:r>
    </w:p>
    <w:p>
      <w:pPr>
        <w:snapToGrid w:val="0"/>
        <w:spacing w:before="156" w:beforeLines="50" w:after="50" w:line="320" w:lineRule="exact"/>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before="156" w:beforeLines="50" w:after="50" w:line="320" w:lineRule="exact"/>
        <w:ind w:firstLine="480"/>
        <w:rPr>
          <w:rFonts w:ascii="宋体" w:hAnsi="宋体"/>
          <w:szCs w:val="21"/>
        </w:rPr>
      </w:pPr>
      <w:r>
        <w:rPr>
          <w:rFonts w:hint="eastAsia" w:ascii="宋体" w:hAnsi="宋体"/>
          <w:szCs w:val="21"/>
        </w:rPr>
        <w:t>被授权人无转委托权，特此委托。</w:t>
      </w:r>
    </w:p>
    <w:p>
      <w:pPr>
        <w:snapToGrid w:val="0"/>
        <w:spacing w:before="156" w:beforeLines="50" w:after="50" w:line="320" w:lineRule="exact"/>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法定代表人（负责人）签名：</w:t>
      </w:r>
      <w:r>
        <w:rPr>
          <w:rFonts w:hint="eastAsia" w:ascii="宋体" w:hAnsi="宋体"/>
          <w:szCs w:val="21"/>
          <w:u w:val="single"/>
        </w:rPr>
        <w:t xml:space="preserve">          </w:t>
      </w:r>
    </w:p>
    <w:p>
      <w:pPr>
        <w:snapToGrid w:val="0"/>
        <w:spacing w:before="156" w:beforeLines="50" w:after="50" w:line="320" w:lineRule="exact"/>
        <w:rPr>
          <w:rFonts w:ascii="宋体" w:hAnsi="宋体"/>
          <w:szCs w:val="21"/>
        </w:rPr>
      </w:pPr>
      <w:r>
        <w:rPr>
          <w:rFonts w:hint="eastAsia" w:ascii="宋体" w:hAnsi="宋体"/>
          <w:szCs w:val="21"/>
        </w:rPr>
        <w:t>所在部门职务：</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napToGrid w:val="0"/>
        <w:spacing w:before="156" w:beforeLines="50" w:after="50" w:line="320" w:lineRule="exact"/>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r>
        <w:rPr>
          <w:rFonts w:hint="eastAsia" w:ascii="宋体" w:hAnsi="宋体"/>
          <w:szCs w:val="21"/>
        </w:rPr>
        <w:t xml:space="preserve"> </w:t>
      </w:r>
    </w:p>
    <w:p>
      <w:pPr>
        <w:snapToGrid w:val="0"/>
        <w:spacing w:before="156" w:beforeLines="50" w:after="50" w:line="320" w:lineRule="exact"/>
        <w:rPr>
          <w:rFonts w:ascii="宋体" w:hAnsi="宋体"/>
          <w:szCs w:val="21"/>
        </w:rPr>
      </w:pPr>
      <w:r>
        <w:rPr>
          <w:rFonts w:hint="eastAsia" w:ascii="宋体" w:hAnsi="宋体"/>
          <w:szCs w:val="21"/>
        </w:rPr>
        <w:t>贴附“委托代理人身份证复印件”（正反两面）</w:t>
      </w:r>
    </w:p>
    <w:p>
      <w:pPr>
        <w:snapToGrid w:val="0"/>
        <w:spacing w:before="156" w:beforeLines="50" w:after="50" w:line="320" w:lineRule="exact"/>
        <w:ind w:firstLine="4620" w:firstLineChars="2200"/>
        <w:rPr>
          <w:rFonts w:ascii="宋体" w:hAnsi="宋体"/>
          <w:szCs w:val="21"/>
        </w:rPr>
      </w:pPr>
      <w:r>
        <w:rPr>
          <w:rFonts w:hint="eastAsia" w:ascii="宋体" w:hAnsi="宋体"/>
          <w:szCs w:val="21"/>
        </w:rPr>
        <w:t xml:space="preserve">  投标人公章：</w:t>
      </w:r>
    </w:p>
    <w:p>
      <w:pPr>
        <w:snapToGrid w:val="0"/>
        <w:spacing w:before="156" w:beforeLines="50" w:after="50" w:line="320" w:lineRule="exact"/>
        <w:jc w:val="center"/>
        <w:rPr>
          <w:rFonts w:ascii="宋体" w:hAnsi="宋体"/>
          <w:szCs w:val="21"/>
        </w:rPr>
      </w:pPr>
      <w:r>
        <w:rPr>
          <w:rFonts w:hint="eastAsia" w:ascii="宋体" w:hAnsi="宋体"/>
          <w:szCs w:val="21"/>
        </w:rPr>
        <w:t xml:space="preserve">                                        年    月    日</w:t>
      </w:r>
    </w:p>
    <w:p>
      <w:pPr>
        <w:snapToGrid w:val="0"/>
        <w:spacing w:before="50" w:after="156" w:afterLines="50" w:line="320" w:lineRule="exact"/>
        <w:jc w:val="left"/>
        <w:rPr>
          <w:rFonts w:ascii="宋体" w:hAnsi="宋体"/>
          <w:szCs w:val="21"/>
        </w:rPr>
      </w:pP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pPr>
              <w:snapToGrid w:val="0"/>
              <w:spacing w:line="320" w:lineRule="exact"/>
              <w:rPr>
                <w:rFonts w:ascii="宋体" w:hAnsi="宋体"/>
                <w:szCs w:val="21"/>
              </w:rPr>
            </w:pPr>
            <w:r>
              <w:rPr>
                <w:rFonts w:hint="eastAsia" w:ascii="宋体" w:hAnsi="宋体"/>
                <w:szCs w:val="21"/>
              </w:rPr>
              <w:t>贴附“身份证复印件”（正反两面）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9124" w:type="dxa"/>
          </w:tcPr>
          <w:p>
            <w:pPr>
              <w:snapToGrid w:val="0"/>
              <w:spacing w:line="320" w:lineRule="exact"/>
              <w:rPr>
                <w:rFonts w:ascii="宋体" w:hAnsi="宋体"/>
                <w:szCs w:val="21"/>
              </w:rPr>
            </w:pPr>
          </w:p>
          <w:p>
            <w:pPr>
              <w:snapToGrid w:val="0"/>
              <w:spacing w:line="320" w:lineRule="exact"/>
              <w:rPr>
                <w:rFonts w:ascii="宋体" w:hAnsi="宋体"/>
                <w:szCs w:val="21"/>
              </w:rPr>
            </w:pPr>
          </w:p>
          <w:p>
            <w:pPr>
              <w:snapToGrid w:val="0"/>
              <w:spacing w:line="320" w:lineRule="exact"/>
              <w:rPr>
                <w:rFonts w:ascii="宋体" w:hAnsi="宋体"/>
                <w:szCs w:val="21"/>
              </w:rPr>
            </w:pPr>
          </w:p>
        </w:tc>
      </w:tr>
    </w:tbl>
    <w:p>
      <w:pPr>
        <w:snapToGrid w:val="0"/>
        <w:spacing w:before="156" w:beforeLines="50" w:after="50" w:line="600" w:lineRule="exact"/>
        <w:jc w:val="center"/>
        <w:rPr>
          <w:rFonts w:ascii="宋体" w:hAnsi="宋体"/>
          <w:b/>
          <w:sz w:val="30"/>
          <w:szCs w:val="30"/>
        </w:rPr>
      </w:pPr>
    </w:p>
    <w:p>
      <w:pPr>
        <w:pStyle w:val="36"/>
        <w:pBdr>
          <w:bottom w:val="none" w:color="auto" w:sz="0" w:space="0"/>
        </w:pBdr>
      </w:pPr>
    </w:p>
    <w:p>
      <w:pPr>
        <w:pStyle w:val="36"/>
        <w:pBdr>
          <w:bottom w:val="none" w:color="auto" w:sz="0" w:space="0"/>
        </w:pBdr>
      </w:pPr>
    </w:p>
    <w:p>
      <w:pPr>
        <w:snapToGrid w:val="0"/>
        <w:spacing w:before="156" w:beforeLines="50" w:after="50" w:line="600" w:lineRule="exact"/>
        <w:jc w:val="center"/>
        <w:rPr>
          <w:rFonts w:ascii="宋体" w:hAnsi="宋体"/>
          <w:b/>
          <w:sz w:val="30"/>
          <w:szCs w:val="30"/>
        </w:rPr>
      </w:pPr>
      <w:r>
        <w:rPr>
          <w:rFonts w:hint="eastAsia" w:ascii="宋体" w:hAnsi="宋体"/>
          <w:b/>
          <w:sz w:val="30"/>
          <w:szCs w:val="30"/>
        </w:rPr>
        <w:t>法定代表人（负责人）身份证明书</w:t>
      </w:r>
    </w:p>
    <w:p>
      <w:pPr>
        <w:adjustRightInd w:val="0"/>
        <w:snapToGrid w:val="0"/>
        <w:spacing w:line="276" w:lineRule="auto"/>
        <w:ind w:firstLine="960" w:firstLineChars="400"/>
        <w:rPr>
          <w:rFonts w:ascii="宋体" w:hAnsi="宋体"/>
          <w:sz w:val="24"/>
          <w:u w:val="single"/>
        </w:rPr>
      </w:pPr>
    </w:p>
    <w:p>
      <w:pPr>
        <w:adjustRightInd w:val="0"/>
        <w:snapToGrid w:val="0"/>
        <w:spacing w:line="720" w:lineRule="exact"/>
        <w:ind w:firstLine="840" w:firstLineChars="400"/>
        <w:rPr>
          <w:rFonts w:ascii="宋体" w:hAnsi="宋体"/>
          <w:szCs w:val="21"/>
        </w:rPr>
      </w:pPr>
      <w:r>
        <w:rPr>
          <w:rFonts w:hint="eastAsia" w:ascii="宋体" w:hAnsi="宋体"/>
          <w:szCs w:val="21"/>
          <w:u w:val="single"/>
        </w:rPr>
        <w:t xml:space="preserve">          </w:t>
      </w:r>
      <w:r>
        <w:rPr>
          <w:rFonts w:hint="eastAsia" w:ascii="宋体" w:hAnsi="宋体"/>
          <w:szCs w:val="21"/>
        </w:rPr>
        <w:t xml:space="preserve"> 在我</w:t>
      </w:r>
      <w:r>
        <w:rPr>
          <w:rFonts w:hint="eastAsia" w:ascii="宋体" w:hAnsi="宋体"/>
          <w:szCs w:val="21"/>
          <w:u w:val="single"/>
        </w:rPr>
        <w:t xml:space="preserve">       </w:t>
      </w:r>
      <w:r>
        <w:rPr>
          <w:rFonts w:hint="eastAsia" w:ascii="宋体" w:hAnsi="宋体"/>
          <w:szCs w:val="21"/>
        </w:rPr>
        <w:t>任</w:t>
      </w:r>
      <w:r>
        <w:rPr>
          <w:rFonts w:hint="eastAsia" w:ascii="宋体" w:hAnsi="宋体"/>
          <w:szCs w:val="21"/>
          <w:u w:val="single"/>
        </w:rPr>
        <w:t xml:space="preserve">          </w:t>
      </w:r>
      <w:r>
        <w:rPr>
          <w:rFonts w:hint="eastAsia" w:ascii="宋体" w:hAnsi="宋体"/>
          <w:szCs w:val="21"/>
        </w:rPr>
        <w:t>职务，是我公司</w:t>
      </w:r>
      <w:r>
        <w:rPr>
          <w:rFonts w:hint="eastAsia" w:ascii="宋体" w:hAnsi="宋体"/>
          <w:szCs w:val="21"/>
          <w:u w:val="single"/>
        </w:rPr>
        <w:t xml:space="preserve">          </w:t>
      </w:r>
      <w:r>
        <w:rPr>
          <w:rFonts w:hint="eastAsia" w:ascii="宋体" w:hAnsi="宋体"/>
          <w:szCs w:val="21"/>
        </w:rPr>
        <w:t>的法定代表人</w:t>
      </w:r>
      <w:r>
        <w:rPr>
          <w:rFonts w:hint="eastAsia" w:ascii="宋体" w:hAnsi="宋体" w:cs="宋体"/>
          <w:kern w:val="0"/>
          <w:szCs w:val="21"/>
        </w:rPr>
        <w:t>（负责人）</w:t>
      </w:r>
      <w:r>
        <w:rPr>
          <w:rFonts w:hint="eastAsia" w:ascii="宋体" w:hAnsi="宋体"/>
          <w:szCs w:val="21"/>
        </w:rPr>
        <w:t>。</w:t>
      </w:r>
    </w:p>
    <w:p>
      <w:pPr>
        <w:adjustRightInd w:val="0"/>
        <w:snapToGrid w:val="0"/>
        <w:spacing w:line="720" w:lineRule="exact"/>
        <w:ind w:firstLine="735" w:firstLineChars="350"/>
        <w:rPr>
          <w:rFonts w:ascii="宋体" w:hAnsi="宋体"/>
          <w:szCs w:val="21"/>
        </w:rPr>
      </w:pPr>
      <w:r>
        <w:rPr>
          <w:rFonts w:hint="eastAsia" w:ascii="宋体" w:hAnsi="宋体"/>
          <w:szCs w:val="21"/>
        </w:rPr>
        <w:t>特此证明。</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 xml:space="preserve">                        </w:t>
      </w:r>
    </w:p>
    <w:p>
      <w:pPr>
        <w:adjustRightInd w:val="0"/>
        <w:snapToGrid w:val="0"/>
        <w:spacing w:line="276" w:lineRule="auto"/>
        <w:rPr>
          <w:rFonts w:ascii="宋体" w:hAnsi="宋体"/>
          <w:szCs w:val="21"/>
        </w:rPr>
      </w:pPr>
    </w:p>
    <w:p>
      <w:pPr>
        <w:adjustRightInd w:val="0"/>
        <w:snapToGrid w:val="0"/>
        <w:spacing w:line="276" w:lineRule="auto"/>
        <w:ind w:firstLine="2940" w:firstLineChars="1400"/>
        <w:rPr>
          <w:rFonts w:ascii="宋体" w:hAnsi="宋体"/>
          <w:szCs w:val="21"/>
          <w:u w:val="single"/>
        </w:rPr>
      </w:pPr>
      <w:r>
        <w:rPr>
          <w:rFonts w:hint="eastAsia" w:ascii="宋体" w:hAnsi="宋体"/>
          <w:szCs w:val="21"/>
        </w:rPr>
        <w:t>单位名称：</w:t>
      </w:r>
      <w:r>
        <w:rPr>
          <w:rFonts w:hint="eastAsia" w:ascii="宋体" w:hAnsi="宋体"/>
          <w:szCs w:val="21"/>
          <w:u w:val="single"/>
        </w:rPr>
        <w:t xml:space="preserve">                              </w:t>
      </w:r>
    </w:p>
    <w:p>
      <w:pPr>
        <w:adjustRightInd w:val="0"/>
        <w:snapToGrid w:val="0"/>
        <w:spacing w:line="276" w:lineRule="auto"/>
        <w:rPr>
          <w:rFonts w:ascii="宋体" w:hAnsi="宋体"/>
          <w:szCs w:val="21"/>
        </w:rPr>
      </w:pPr>
      <w:r>
        <w:rPr>
          <w:rFonts w:hint="eastAsia" w:ascii="宋体" w:hAnsi="宋体"/>
          <w:szCs w:val="21"/>
        </w:rPr>
        <w:t xml:space="preserve">                                          （单位公章）</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 xml:space="preserve">                                         年     月    日</w:t>
      </w:r>
    </w:p>
    <w:p>
      <w:pPr>
        <w:adjustRightInd w:val="0"/>
        <w:snapToGrid w:val="0"/>
        <w:spacing w:line="276" w:lineRule="auto"/>
        <w:rPr>
          <w:rFonts w:ascii="宋体" w:hAnsi="宋体"/>
          <w:szCs w:val="21"/>
        </w:rPr>
      </w:pPr>
    </w:p>
    <w:p>
      <w:pPr>
        <w:adjustRightInd w:val="0"/>
        <w:snapToGrid w:val="0"/>
        <w:spacing w:line="276" w:lineRule="auto"/>
        <w:ind w:firstLine="315" w:firstLineChars="150"/>
        <w:rPr>
          <w:rFonts w:ascii="宋体" w:hAnsi="宋体"/>
          <w:szCs w:val="21"/>
        </w:rPr>
      </w:pPr>
    </w:p>
    <w:p>
      <w:pPr>
        <w:adjustRightInd w:val="0"/>
        <w:snapToGrid w:val="0"/>
        <w:spacing w:line="276" w:lineRule="auto"/>
        <w:ind w:firstLine="315" w:firstLineChars="150"/>
        <w:rPr>
          <w:rFonts w:ascii="宋体" w:hAnsi="宋体"/>
          <w:szCs w:val="21"/>
        </w:rPr>
      </w:pPr>
      <w:r>
        <w:rPr>
          <w:rFonts w:hint="eastAsia" w:ascii="宋体" w:hAnsi="宋体"/>
          <w:szCs w:val="21"/>
        </w:rPr>
        <w:t>住    址：</w:t>
      </w:r>
    </w:p>
    <w:p>
      <w:pPr>
        <w:adjustRightInd w:val="0"/>
        <w:snapToGrid w:val="0"/>
        <w:spacing w:line="276" w:lineRule="auto"/>
        <w:ind w:firstLine="315" w:firstLineChars="150"/>
        <w:rPr>
          <w:rFonts w:ascii="宋体" w:hAnsi="宋体"/>
          <w:szCs w:val="21"/>
        </w:rPr>
      </w:pPr>
    </w:p>
    <w:p>
      <w:pPr>
        <w:adjustRightInd w:val="0"/>
        <w:snapToGrid w:val="0"/>
        <w:spacing w:line="276" w:lineRule="auto"/>
        <w:ind w:firstLine="315" w:firstLineChars="150"/>
        <w:rPr>
          <w:rFonts w:ascii="宋体" w:hAnsi="宋体"/>
          <w:kern w:val="0"/>
          <w:szCs w:val="21"/>
          <w:lang w:val="zh-CN"/>
        </w:rPr>
      </w:pPr>
      <w:r>
        <w:rPr>
          <w:rFonts w:hint="eastAsia" w:ascii="宋体" w:hAnsi="宋体"/>
          <w:kern w:val="0"/>
          <w:szCs w:val="21"/>
          <w:lang w:val="zh-CN"/>
        </w:rPr>
        <w:t>联系电话：</w:t>
      </w:r>
    </w:p>
    <w:p>
      <w:pPr>
        <w:adjustRightInd w:val="0"/>
        <w:snapToGrid w:val="0"/>
        <w:spacing w:line="276" w:lineRule="auto"/>
        <w:ind w:firstLine="315" w:firstLineChars="150"/>
        <w:rPr>
          <w:rFonts w:ascii="宋体" w:hAnsi="宋体"/>
          <w:kern w:val="0"/>
          <w:szCs w:val="21"/>
          <w:lang w:val="zh-CN"/>
        </w:rPr>
      </w:pP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pPr>
              <w:snapToGrid w:val="0"/>
              <w:spacing w:line="360" w:lineRule="exact"/>
              <w:rPr>
                <w:rFonts w:ascii="宋体" w:hAnsi="宋体"/>
                <w:szCs w:val="21"/>
              </w:rPr>
            </w:pPr>
            <w:r>
              <w:rPr>
                <w:rFonts w:hint="eastAsia" w:ascii="宋体" w:hAnsi="宋体"/>
                <w:szCs w:val="21"/>
              </w:rPr>
              <w:t>贴附“身份证复印件”（正反两面）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9124" w:type="dxa"/>
          </w:tcPr>
          <w:p>
            <w:pPr>
              <w:snapToGrid w:val="0"/>
              <w:spacing w:line="360" w:lineRule="exact"/>
              <w:rPr>
                <w:rFonts w:ascii="宋体" w:hAnsi="宋体"/>
                <w:szCs w:val="21"/>
              </w:rPr>
            </w:pPr>
          </w:p>
          <w:p>
            <w:pPr>
              <w:snapToGrid w:val="0"/>
              <w:spacing w:line="360" w:lineRule="exact"/>
              <w:rPr>
                <w:rFonts w:ascii="宋体" w:hAnsi="宋体"/>
                <w:szCs w:val="21"/>
              </w:rPr>
            </w:pPr>
          </w:p>
          <w:p>
            <w:pPr>
              <w:snapToGrid w:val="0"/>
              <w:spacing w:line="360" w:lineRule="exact"/>
              <w:rPr>
                <w:rFonts w:ascii="宋体" w:hAnsi="宋体"/>
                <w:szCs w:val="21"/>
              </w:rPr>
            </w:pPr>
          </w:p>
        </w:tc>
      </w:tr>
    </w:tbl>
    <w:p>
      <w:pPr>
        <w:snapToGrid w:val="0"/>
        <w:spacing w:before="50" w:after="156" w:afterLines="50" w:line="360" w:lineRule="exact"/>
        <w:jc w:val="left"/>
        <w:rPr>
          <w:rFonts w:ascii="宋体" w:hAnsi="宋体"/>
          <w:szCs w:val="21"/>
        </w:rPr>
      </w:pPr>
    </w:p>
    <w:p>
      <w:pPr>
        <w:snapToGrid w:val="0"/>
        <w:spacing w:before="50" w:after="156" w:afterLines="50" w:line="360" w:lineRule="exact"/>
        <w:jc w:val="left"/>
        <w:rPr>
          <w:rFonts w:ascii="宋体" w:hAnsi="宋体" w:cs="宋体"/>
          <w:szCs w:val="21"/>
        </w:rPr>
      </w:pPr>
      <w:r>
        <w:rPr>
          <w:rFonts w:hint="eastAsia" w:ascii="宋体" w:hAnsi="宋体" w:cs="宋体"/>
          <w:b/>
          <w:szCs w:val="21"/>
        </w:rPr>
        <w:t>（3）</w:t>
      </w:r>
      <w:r>
        <w:rPr>
          <w:rFonts w:hint="eastAsia" w:ascii="宋体" w:hAnsi="宋体" w:cs="宋体"/>
          <w:szCs w:val="21"/>
        </w:rPr>
        <w:t>产品销售许可证复印件（按要求提供）</w:t>
      </w:r>
    </w:p>
    <w:p>
      <w:pPr>
        <w:snapToGrid w:val="0"/>
        <w:spacing w:before="50" w:after="156" w:afterLines="50" w:line="360" w:lineRule="exact"/>
        <w:jc w:val="left"/>
        <w:rPr>
          <w:rFonts w:ascii="宋体" w:hAnsi="宋体" w:cs="宋体"/>
          <w:szCs w:val="21"/>
        </w:rPr>
      </w:pPr>
      <w:r>
        <w:rPr>
          <w:rFonts w:hint="eastAsia" w:ascii="宋体" w:hAnsi="宋体" w:cs="宋体"/>
          <w:b/>
          <w:szCs w:val="21"/>
        </w:rPr>
        <w:t>（4）</w:t>
      </w:r>
      <w:r>
        <w:rPr>
          <w:rFonts w:hint="eastAsia" w:ascii="宋体" w:hAnsi="宋体" w:cs="宋体"/>
          <w:szCs w:val="21"/>
        </w:rPr>
        <w:t>安全生产许可证复印件、产品代理资格证明文件复印件；（按要求提供）</w:t>
      </w:r>
    </w:p>
    <w:p>
      <w:pPr>
        <w:snapToGrid w:val="0"/>
        <w:spacing w:before="156" w:beforeLines="50" w:after="50" w:line="360" w:lineRule="exact"/>
        <w:jc w:val="center"/>
        <w:rPr>
          <w:rFonts w:ascii="宋体" w:hAnsi="宋体" w:cs="宋体"/>
          <w:bCs/>
          <w:sz w:val="24"/>
        </w:rPr>
      </w:pPr>
    </w:p>
    <w:p>
      <w:pPr>
        <w:snapToGrid w:val="0"/>
        <w:spacing w:before="50" w:line="360" w:lineRule="exact"/>
        <w:jc w:val="left"/>
        <w:rPr>
          <w:rFonts w:ascii="宋体" w:hAnsi="宋体" w:cs="宋体"/>
        </w:rPr>
      </w:pPr>
    </w:p>
    <w:p>
      <w:pPr>
        <w:snapToGrid w:val="0"/>
        <w:spacing w:before="50" w:line="360" w:lineRule="exact"/>
        <w:jc w:val="left"/>
        <w:rPr>
          <w:rFonts w:ascii="宋体" w:hAnsi="宋体" w:cs="宋体"/>
        </w:rPr>
      </w:pPr>
    </w:p>
    <w:p>
      <w:pPr>
        <w:snapToGrid w:val="0"/>
        <w:spacing w:before="50" w:line="360" w:lineRule="exact"/>
        <w:jc w:val="left"/>
        <w:rPr>
          <w:rFonts w:ascii="宋体" w:hAnsi="宋体" w:cs="宋体"/>
        </w:rPr>
      </w:pPr>
    </w:p>
    <w:p>
      <w:pPr>
        <w:snapToGrid w:val="0"/>
        <w:spacing w:before="50" w:line="360" w:lineRule="exact"/>
        <w:jc w:val="left"/>
        <w:rPr>
          <w:rFonts w:ascii="宋体" w:hAnsi="宋体" w:cs="宋体"/>
        </w:rPr>
      </w:pPr>
    </w:p>
    <w:p>
      <w:pPr>
        <w:snapToGrid w:val="0"/>
        <w:spacing w:before="50" w:line="360" w:lineRule="exact"/>
        <w:jc w:val="left"/>
        <w:rPr>
          <w:rFonts w:ascii="宋体" w:hAnsi="宋体" w:cs="宋体"/>
        </w:rPr>
      </w:pPr>
    </w:p>
    <w:p>
      <w:pPr>
        <w:pStyle w:val="36"/>
        <w:pBdr>
          <w:bottom w:val="none" w:color="auto" w:sz="0" w:space="0"/>
        </w:pBdr>
      </w:pPr>
    </w:p>
    <w:p>
      <w:pPr>
        <w:pStyle w:val="36"/>
        <w:pBdr>
          <w:bottom w:val="none" w:color="auto" w:sz="0" w:space="0"/>
        </w:pBdr>
      </w:pPr>
    </w:p>
    <w:p>
      <w:pPr>
        <w:snapToGrid w:val="0"/>
        <w:spacing w:before="50" w:line="360" w:lineRule="exact"/>
        <w:jc w:val="left"/>
        <w:rPr>
          <w:rFonts w:ascii="宋体" w:hAnsi="宋体" w:cs="宋体"/>
        </w:rPr>
      </w:pPr>
    </w:p>
    <w:p>
      <w:pPr>
        <w:snapToGrid w:val="0"/>
        <w:spacing w:before="50" w:line="360" w:lineRule="exact"/>
        <w:jc w:val="left"/>
        <w:rPr>
          <w:rFonts w:ascii="宋体" w:hAnsi="宋体" w:cs="宋体"/>
        </w:rPr>
      </w:pPr>
    </w:p>
    <w:p>
      <w:pPr>
        <w:snapToGrid w:val="0"/>
        <w:spacing w:before="50" w:line="360" w:lineRule="exact"/>
        <w:jc w:val="left"/>
        <w:rPr>
          <w:rFonts w:ascii="宋体" w:hAnsi="宋体" w:cs="宋体"/>
          <w:b/>
          <w:szCs w:val="21"/>
        </w:rPr>
      </w:pPr>
      <w:r>
        <w:rPr>
          <w:rFonts w:hint="eastAsia" w:ascii="宋体" w:hAnsi="宋体" w:cs="宋体"/>
        </w:rPr>
        <w:t>▲</w:t>
      </w:r>
      <w:r>
        <w:rPr>
          <w:rFonts w:hint="eastAsia" w:ascii="宋体" w:hAnsi="宋体" w:cs="宋体"/>
          <w:b/>
          <w:szCs w:val="21"/>
        </w:rPr>
        <w:t>（5）商务响应表格式：（必须提供）</w:t>
      </w:r>
    </w:p>
    <w:p>
      <w:pPr>
        <w:snapToGrid w:val="0"/>
        <w:spacing w:before="50" w:line="360" w:lineRule="exact"/>
        <w:jc w:val="left"/>
        <w:rPr>
          <w:rFonts w:ascii="宋体" w:hAnsi="宋体" w:cs="宋体"/>
          <w:b/>
          <w:szCs w:val="21"/>
        </w:rPr>
      </w:pPr>
    </w:p>
    <w:p>
      <w:pPr>
        <w:snapToGrid w:val="0"/>
        <w:spacing w:before="50" w:line="360" w:lineRule="exact"/>
        <w:jc w:val="left"/>
        <w:rPr>
          <w:rFonts w:ascii="宋体" w:hAnsi="宋体" w:cs="宋体"/>
          <w:b/>
          <w:szCs w:val="21"/>
        </w:rPr>
      </w:pPr>
    </w:p>
    <w:p>
      <w:pPr>
        <w:snapToGrid w:val="0"/>
        <w:spacing w:before="50" w:line="360" w:lineRule="exact"/>
        <w:jc w:val="center"/>
        <w:rPr>
          <w:rFonts w:ascii="宋体" w:hAnsi="宋体" w:cs="宋体"/>
          <w:szCs w:val="21"/>
          <w:u w:val="single"/>
        </w:rPr>
      </w:pPr>
      <w:r>
        <w:rPr>
          <w:rFonts w:hint="eastAsia" w:ascii="宋体" w:hAnsi="宋体" w:cs="宋体"/>
          <w:b/>
          <w:szCs w:val="21"/>
        </w:rPr>
        <w:t>商务响应表</w:t>
      </w:r>
    </w:p>
    <w:p>
      <w:pPr>
        <w:snapToGrid w:val="0"/>
        <w:spacing w:before="50" w:line="360" w:lineRule="exact"/>
        <w:jc w:val="left"/>
        <w:rPr>
          <w:rFonts w:ascii="宋体" w:hAnsi="宋体" w:cs="宋体"/>
          <w:szCs w:val="21"/>
          <w:u w:val="single"/>
        </w:rPr>
      </w:pP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955"/>
        <w:gridCol w:w="2625"/>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cs="宋体"/>
                <w:szCs w:val="21"/>
              </w:rPr>
            </w:pPr>
            <w:r>
              <w:rPr>
                <w:rFonts w:hint="eastAsia" w:ascii="宋体" w:hAnsi="宋体" w:cs="宋体"/>
                <w:szCs w:val="21"/>
              </w:rPr>
              <w:t>项号</w:t>
            </w:r>
          </w:p>
        </w:tc>
        <w:tc>
          <w:tcPr>
            <w:tcW w:w="2955"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cs="宋体"/>
                <w:szCs w:val="21"/>
              </w:rPr>
            </w:pPr>
            <w:r>
              <w:rPr>
                <w:rFonts w:hint="eastAsia" w:ascii="宋体" w:hAnsi="宋体" w:cs="宋体"/>
                <w:szCs w:val="21"/>
              </w:rPr>
              <w:t>招标文件要求</w:t>
            </w:r>
          </w:p>
        </w:tc>
        <w:tc>
          <w:tcPr>
            <w:tcW w:w="2625"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cs="宋体"/>
                <w:szCs w:val="21"/>
              </w:rPr>
            </w:pPr>
            <w:r>
              <w:rPr>
                <w:rFonts w:hint="eastAsia" w:ascii="宋体" w:hAnsi="宋体" w:cs="宋体"/>
                <w:szCs w:val="21"/>
              </w:rPr>
              <w:t>是否提供并响应</w:t>
            </w:r>
          </w:p>
        </w:tc>
        <w:tc>
          <w:tcPr>
            <w:tcW w:w="23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cs="宋体"/>
                <w:szCs w:val="21"/>
              </w:rPr>
            </w:pPr>
            <w:r>
              <w:rPr>
                <w:rFonts w:hint="eastAsia" w:ascii="宋体" w:hAnsi="宋体" w:cs="宋体"/>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w:t>
            </w:r>
          </w:p>
        </w:tc>
        <w:tc>
          <w:tcPr>
            <w:tcW w:w="29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交付使用时间</w:t>
            </w:r>
            <w:r>
              <w:rPr>
                <w:rFonts w:hint="eastAsia" w:ascii="宋体" w:hAnsi="宋体" w:cs="宋体"/>
                <w:kern w:val="0"/>
                <w:szCs w:val="21"/>
              </w:rPr>
              <w:t>：</w:t>
            </w:r>
            <w:r>
              <w:rPr>
                <w:rFonts w:hint="eastAsia" w:ascii="宋体" w:hAnsi="宋体" w:cs="宋体"/>
                <w:szCs w:val="21"/>
              </w:rPr>
              <w:t>…</w:t>
            </w: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ind w:firstLine="315" w:firstLineChars="150"/>
              <w:rPr>
                <w:rFonts w:ascii="宋体" w:hAnsi="宋体" w:cs="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2</w:t>
            </w:r>
          </w:p>
        </w:tc>
        <w:tc>
          <w:tcPr>
            <w:tcW w:w="29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kern w:val="0"/>
                <w:szCs w:val="21"/>
              </w:rPr>
              <w:t>交货地点：</w:t>
            </w:r>
            <w:r>
              <w:rPr>
                <w:rFonts w:hint="eastAsia" w:ascii="宋体" w:hAnsi="宋体" w:cs="宋体"/>
                <w:szCs w:val="21"/>
              </w:rPr>
              <w:t>…</w:t>
            </w: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3</w:t>
            </w:r>
          </w:p>
        </w:tc>
        <w:tc>
          <w:tcPr>
            <w:tcW w:w="29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kern w:val="0"/>
                <w:szCs w:val="21"/>
              </w:rPr>
              <w:t>付款方式：</w:t>
            </w:r>
            <w:r>
              <w:rPr>
                <w:rFonts w:hint="eastAsia" w:ascii="宋体" w:hAnsi="宋体" w:cs="宋体"/>
                <w:szCs w:val="21"/>
              </w:rPr>
              <w:t>…</w:t>
            </w: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ind w:left="43"/>
              <w:rPr>
                <w:rFonts w:ascii="宋体" w:hAnsi="宋体" w:cs="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ind w:left="43"/>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4</w:t>
            </w:r>
          </w:p>
        </w:tc>
        <w:tc>
          <w:tcPr>
            <w:tcW w:w="2955" w:type="dxa"/>
            <w:tcBorders>
              <w:top w:val="single" w:color="auto" w:sz="4" w:space="0"/>
              <w:left w:val="single" w:color="auto" w:sz="4" w:space="0"/>
              <w:bottom w:val="single" w:color="auto" w:sz="4" w:space="0"/>
              <w:right w:val="single" w:color="auto" w:sz="4" w:space="0"/>
            </w:tcBorders>
            <w:vAlign w:val="center"/>
          </w:tcPr>
          <w:p>
            <w:pPr>
              <w:snapToGrid w:val="0"/>
              <w:ind w:left="105" w:hanging="105" w:hangingChars="50"/>
              <w:jc w:val="center"/>
              <w:rPr>
                <w:rFonts w:ascii="宋体" w:hAnsi="宋体" w:cs="宋体"/>
                <w:szCs w:val="21"/>
              </w:rPr>
            </w:pPr>
            <w:r>
              <w:rPr>
                <w:rFonts w:hint="eastAsia" w:ascii="宋体" w:hAnsi="宋体" w:cs="宋体"/>
                <w:kern w:val="0"/>
                <w:szCs w:val="21"/>
              </w:rPr>
              <w:t>质保期：</w:t>
            </w:r>
            <w:r>
              <w:rPr>
                <w:rFonts w:hint="eastAsia" w:ascii="宋体" w:hAnsi="宋体" w:cs="宋体"/>
                <w:szCs w:val="21"/>
              </w:rPr>
              <w:t>…</w:t>
            </w: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5</w:t>
            </w:r>
          </w:p>
        </w:tc>
        <w:tc>
          <w:tcPr>
            <w:tcW w:w="2955" w:type="dxa"/>
            <w:tcBorders>
              <w:top w:val="single" w:color="auto" w:sz="4" w:space="0"/>
              <w:left w:val="single" w:color="auto" w:sz="4" w:space="0"/>
              <w:bottom w:val="single" w:color="auto" w:sz="4" w:space="0"/>
              <w:right w:val="single" w:color="auto" w:sz="4" w:space="0"/>
            </w:tcBorders>
            <w:vAlign w:val="center"/>
          </w:tcPr>
          <w:p>
            <w:pPr>
              <w:snapToGrid w:val="0"/>
              <w:ind w:left="105" w:hanging="105" w:hangingChars="50"/>
              <w:jc w:val="center"/>
              <w:rPr>
                <w:rFonts w:ascii="宋体" w:hAnsi="宋体" w:cs="宋体"/>
                <w:szCs w:val="21"/>
              </w:rPr>
            </w:pPr>
            <w:r>
              <w:rPr>
                <w:rFonts w:hint="eastAsia" w:ascii="宋体" w:hAnsi="宋体" w:cs="宋体"/>
                <w:szCs w:val="21"/>
              </w:rPr>
              <w:t>…</w:t>
            </w: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w:t>
            </w:r>
          </w:p>
        </w:tc>
        <w:tc>
          <w:tcPr>
            <w:tcW w:w="29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w:t>
            </w: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p>
        </w:tc>
      </w:tr>
    </w:tbl>
    <w:p>
      <w:pPr>
        <w:snapToGrid w:val="0"/>
        <w:spacing w:before="50" w:after="50" w:line="360" w:lineRule="exact"/>
        <w:rPr>
          <w:rFonts w:ascii="宋体" w:hAnsi="宋体" w:cs="宋体"/>
          <w:spacing w:val="20"/>
          <w:szCs w:val="21"/>
        </w:rPr>
      </w:pPr>
    </w:p>
    <w:p>
      <w:pPr>
        <w:snapToGrid w:val="0"/>
        <w:spacing w:before="50" w:after="50" w:line="360" w:lineRule="exact"/>
        <w:ind w:firstLine="210" w:firstLineChars="100"/>
        <w:rPr>
          <w:rFonts w:ascii="宋体" w:hAnsi="宋体" w:cs="宋体"/>
          <w:spacing w:val="20"/>
          <w:szCs w:val="21"/>
          <w:u w:val="single"/>
        </w:rPr>
      </w:pPr>
      <w:r>
        <w:rPr>
          <w:rFonts w:hint="eastAsia" w:ascii="宋体" w:hAnsi="宋体" w:cs="宋体"/>
          <w:szCs w:val="21"/>
        </w:rPr>
        <w:t>法定代表人（负责人）或委托代理人签名</w:t>
      </w:r>
      <w:r>
        <w:rPr>
          <w:rFonts w:hint="eastAsia" w:ascii="宋体" w:hAnsi="宋体" w:cs="宋体"/>
          <w:spacing w:val="20"/>
          <w:szCs w:val="21"/>
        </w:rPr>
        <w:t>：</w:t>
      </w:r>
    </w:p>
    <w:p>
      <w:pPr>
        <w:snapToGrid w:val="0"/>
        <w:spacing w:line="360" w:lineRule="exact"/>
        <w:ind w:firstLine="245" w:firstLineChars="98"/>
        <w:jc w:val="left"/>
        <w:rPr>
          <w:rFonts w:ascii="宋体" w:hAnsi="宋体" w:cs="宋体"/>
          <w:b/>
          <w:szCs w:val="21"/>
        </w:rPr>
      </w:pPr>
      <w:r>
        <w:rPr>
          <w:rFonts w:hint="eastAsia" w:ascii="宋体" w:hAnsi="宋体" w:cs="宋体"/>
          <w:spacing w:val="20"/>
          <w:szCs w:val="21"/>
        </w:rPr>
        <w:t>投标人盖章：日期：</w:t>
      </w:r>
    </w:p>
    <w:p>
      <w:pPr>
        <w:snapToGrid w:val="0"/>
        <w:spacing w:line="360" w:lineRule="exact"/>
        <w:jc w:val="left"/>
        <w:rPr>
          <w:rFonts w:ascii="宋体" w:hAnsi="宋体" w:cs="宋体"/>
        </w:rPr>
      </w:pPr>
    </w:p>
    <w:p>
      <w:pPr>
        <w:snapToGrid w:val="0"/>
        <w:spacing w:line="360" w:lineRule="exact"/>
        <w:ind w:firstLine="283" w:firstLineChars="135"/>
        <w:jc w:val="left"/>
        <w:rPr>
          <w:rFonts w:ascii="宋体" w:hAnsi="宋体" w:cs="宋体"/>
          <w:b/>
          <w:szCs w:val="21"/>
        </w:rPr>
      </w:pPr>
      <w:r>
        <w:rPr>
          <w:rFonts w:hint="eastAsia" w:ascii="宋体" w:hAnsi="宋体" w:cs="宋体"/>
          <w:szCs w:val="21"/>
        </w:rPr>
        <w:t>（6）招标项目采购需求中要求必须提供的材料等；</w:t>
      </w:r>
      <w:r>
        <w:rPr>
          <w:rFonts w:hint="eastAsia" w:ascii="宋体" w:hAnsi="宋体" w:cs="宋体"/>
          <w:b/>
          <w:szCs w:val="21"/>
        </w:rPr>
        <w:t>（如有要求，则必须提供）；</w:t>
      </w:r>
    </w:p>
    <w:p>
      <w:pPr>
        <w:snapToGrid w:val="0"/>
        <w:spacing w:line="360" w:lineRule="exact"/>
        <w:ind w:firstLine="283" w:firstLineChars="135"/>
        <w:jc w:val="left"/>
        <w:rPr>
          <w:rFonts w:ascii="宋体" w:hAnsi="宋体" w:cs="宋体"/>
          <w:szCs w:val="21"/>
        </w:rPr>
      </w:pPr>
      <w:r>
        <w:rPr>
          <w:rFonts w:hint="eastAsia" w:ascii="宋体" w:hAnsi="宋体" w:cs="宋体"/>
          <w:szCs w:val="21"/>
        </w:rPr>
        <w:t>（7）具备法律、行政法规规定的其他条件的证明材料；（格式自拟）</w:t>
      </w:r>
    </w:p>
    <w:p>
      <w:pPr>
        <w:snapToGrid w:val="0"/>
        <w:spacing w:line="360" w:lineRule="exact"/>
        <w:ind w:firstLine="283" w:firstLineChars="135"/>
        <w:jc w:val="left"/>
        <w:rPr>
          <w:rFonts w:ascii="宋体" w:hAnsi="宋体" w:cs="宋体"/>
          <w:szCs w:val="21"/>
        </w:rPr>
      </w:pPr>
      <w:r>
        <w:rPr>
          <w:rFonts w:hint="eastAsia" w:ascii="宋体" w:hAnsi="宋体" w:cs="宋体"/>
          <w:szCs w:val="21"/>
        </w:rPr>
        <w:t>（8）投标品牌2021年以来具有同类项目销售业绩（以中标通知或合同为准）：</w:t>
      </w:r>
    </w:p>
    <w:p>
      <w:pPr>
        <w:pStyle w:val="40"/>
        <w:snapToGrid w:val="0"/>
        <w:spacing w:line="360" w:lineRule="exact"/>
        <w:ind w:left="97" w:leftChars="46" w:firstLine="420" w:firstLineChars="200"/>
        <w:rPr>
          <w:rFonts w:ascii="宋体" w:hAnsi="宋体" w:cs="宋体"/>
          <w:sz w:val="21"/>
          <w:szCs w:val="21"/>
        </w:rPr>
      </w:pPr>
      <w:r>
        <w:rPr>
          <w:rFonts w:hint="eastAsia" w:ascii="宋体" w:hAnsi="宋体" w:cs="宋体"/>
          <w:sz w:val="21"/>
          <w:szCs w:val="21"/>
        </w:rPr>
        <w:t>投标人同类项目实施情况一览表格式：（投标人同类项目合同复印件、用户验收报告、用户评价意见格式自拟）</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00"/>
        <w:gridCol w:w="1620"/>
        <w:gridCol w:w="720"/>
        <w:gridCol w:w="900"/>
        <w:gridCol w:w="540"/>
        <w:gridCol w:w="720"/>
        <w:gridCol w:w="108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采购单位名称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设备或项目名称</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采购</w:t>
            </w:r>
          </w:p>
          <w:p>
            <w:pPr>
              <w:snapToGrid w:val="0"/>
              <w:spacing w:line="360" w:lineRule="exact"/>
              <w:jc w:val="center"/>
              <w:rPr>
                <w:rFonts w:ascii="宋体" w:hAnsi="宋体" w:cs="宋体"/>
                <w:szCs w:val="21"/>
              </w:rPr>
            </w:pPr>
            <w:r>
              <w:rPr>
                <w:rFonts w:hint="eastAsia" w:ascii="宋体" w:hAnsi="宋体" w:cs="宋体"/>
                <w:szCs w:val="21"/>
              </w:rPr>
              <w:t>数量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单价</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合同</w:t>
            </w:r>
          </w:p>
          <w:p>
            <w:pPr>
              <w:snapToGrid w:val="0"/>
              <w:spacing w:line="360" w:lineRule="exact"/>
              <w:jc w:val="center"/>
              <w:rPr>
                <w:rFonts w:ascii="宋体" w:hAnsi="宋体" w:cs="宋体"/>
                <w:szCs w:val="21"/>
              </w:rPr>
            </w:pPr>
            <w:r>
              <w:rPr>
                <w:rFonts w:hint="eastAsia" w:ascii="宋体" w:hAnsi="宋体" w:cs="宋体"/>
                <w:szCs w:val="21"/>
              </w:rPr>
              <w:t>金额</w:t>
            </w:r>
          </w:p>
          <w:p>
            <w:pPr>
              <w:snapToGrid w:val="0"/>
              <w:spacing w:line="360" w:lineRule="exact"/>
              <w:jc w:val="center"/>
              <w:rPr>
                <w:rFonts w:ascii="宋体" w:hAnsi="宋体" w:cs="宋体"/>
                <w:szCs w:val="21"/>
              </w:rPr>
            </w:pPr>
            <w:r>
              <w:rPr>
                <w:rFonts w:hint="eastAsia" w:ascii="宋体" w:hAnsi="宋体" w:cs="宋体"/>
                <w:szCs w:val="21"/>
              </w:rPr>
              <w:t>（万元）</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附件页码</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采购单位联系人及</w:t>
            </w:r>
          </w:p>
          <w:p>
            <w:pPr>
              <w:snapToGrid w:val="0"/>
              <w:spacing w:line="360" w:lineRule="exact"/>
              <w:jc w:val="center"/>
              <w:rPr>
                <w:rFonts w:ascii="宋体" w:hAnsi="宋体" w:cs="宋体"/>
                <w:szCs w:val="21"/>
              </w:rPr>
            </w:pPr>
            <w:r>
              <w:rPr>
                <w:rFonts w:hint="eastAsia" w:ascii="宋体" w:hAnsi="宋体" w:cs="宋体"/>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验收报告</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用户评价</w:t>
            </w: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s="宋体"/>
                <w:szCs w:val="21"/>
              </w:rPr>
            </w:pPr>
          </w:p>
        </w:tc>
        <w:tc>
          <w:tcPr>
            <w:tcW w:w="54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5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5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5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5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r>
    </w:tbl>
    <w:p>
      <w:pPr>
        <w:pStyle w:val="15"/>
        <w:snapToGrid w:val="0"/>
        <w:spacing w:line="360" w:lineRule="exact"/>
        <w:rPr>
          <w:rFonts w:ascii="宋体" w:hAnsi="宋体" w:eastAsia="宋体" w:cs="宋体"/>
          <w:sz w:val="21"/>
          <w:szCs w:val="21"/>
        </w:rPr>
      </w:pPr>
    </w:p>
    <w:p>
      <w:pPr>
        <w:pStyle w:val="15"/>
        <w:snapToGrid w:val="0"/>
        <w:spacing w:line="360" w:lineRule="exact"/>
        <w:rPr>
          <w:rFonts w:ascii="宋体" w:hAnsi="宋体" w:eastAsia="宋体" w:cs="宋体"/>
          <w:sz w:val="21"/>
          <w:szCs w:val="21"/>
        </w:rPr>
      </w:pPr>
      <w:r>
        <w:rPr>
          <w:rFonts w:hint="eastAsia" w:ascii="宋体" w:hAnsi="宋体" w:eastAsia="宋体" w:cs="宋体"/>
          <w:sz w:val="21"/>
          <w:szCs w:val="21"/>
        </w:rPr>
        <w:t>法定代表人（负责人）或委托代理人签名：　　　　　</w:t>
      </w:r>
    </w:p>
    <w:p>
      <w:pPr>
        <w:snapToGrid w:val="0"/>
        <w:spacing w:before="50" w:line="360" w:lineRule="exact"/>
        <w:jc w:val="left"/>
        <w:rPr>
          <w:rFonts w:ascii="宋体" w:hAnsi="宋体" w:cs="宋体"/>
          <w:szCs w:val="21"/>
        </w:rPr>
      </w:pPr>
      <w:r>
        <w:rPr>
          <w:rFonts w:hint="eastAsia" w:ascii="宋体" w:hAnsi="宋体" w:cs="宋体"/>
          <w:szCs w:val="21"/>
        </w:rPr>
        <w:t>投标人公章：年月日</w:t>
      </w:r>
    </w:p>
    <w:p>
      <w:pPr>
        <w:snapToGrid w:val="0"/>
        <w:spacing w:line="360" w:lineRule="exact"/>
        <w:ind w:firstLine="420" w:firstLineChars="200"/>
        <w:jc w:val="left"/>
        <w:rPr>
          <w:rFonts w:ascii="宋体" w:hAnsi="宋体" w:cs="宋体"/>
          <w:szCs w:val="21"/>
        </w:rPr>
      </w:pPr>
      <w:r>
        <w:rPr>
          <w:rFonts w:hint="eastAsia" w:ascii="宋体" w:hAnsi="宋体" w:cs="宋体"/>
          <w:szCs w:val="21"/>
        </w:rPr>
        <w:t>（9）其他特殊资质证书（如本地化服务能力等）；</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（10）投标人或投标产品制造商有效的ISO9000质量保证体系、ISO14000环境管理体系认证证书、职业健康安全管理体系认证证书及其他相关的认证证书复印件；</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（11）投标人或投标产品制造商</w:t>
      </w:r>
      <w:r>
        <w:rPr>
          <w:rFonts w:hint="eastAsia" w:ascii="宋体" w:hAnsi="宋体" w:cs="宋体"/>
          <w:bCs/>
          <w:szCs w:val="21"/>
        </w:rPr>
        <w:t>2020年以来</w:t>
      </w:r>
      <w:r>
        <w:rPr>
          <w:rFonts w:hint="eastAsia" w:ascii="宋体" w:hAnsi="宋体" w:cs="宋体"/>
          <w:szCs w:val="21"/>
        </w:rPr>
        <w:t>获得与企业生产经营相关的奖项；</w:t>
      </w:r>
    </w:p>
    <w:p>
      <w:pPr>
        <w:snapToGrid w:val="0"/>
        <w:spacing w:line="360" w:lineRule="exact"/>
        <w:ind w:firstLine="424" w:firstLineChars="202"/>
        <w:jc w:val="left"/>
        <w:rPr>
          <w:rFonts w:ascii="宋体" w:hAnsi="宋体" w:cs="宋体"/>
          <w:szCs w:val="21"/>
        </w:rPr>
      </w:pPr>
      <w:r>
        <w:rPr>
          <w:rFonts w:hint="eastAsia" w:ascii="宋体" w:hAnsi="宋体" w:cs="宋体"/>
          <w:szCs w:val="21"/>
        </w:rPr>
        <w:t>（12）投标人残疾人福利性单位声明函；</w:t>
      </w:r>
    </w:p>
    <w:p>
      <w:pPr>
        <w:snapToGrid w:val="0"/>
        <w:spacing w:line="360" w:lineRule="exact"/>
        <w:ind w:firstLine="424" w:firstLineChars="202"/>
        <w:jc w:val="left"/>
        <w:rPr>
          <w:rFonts w:ascii="宋体" w:hAnsi="宋体" w:cs="宋体"/>
          <w:szCs w:val="21"/>
        </w:rPr>
      </w:pPr>
      <w:r>
        <w:rPr>
          <w:rFonts w:hint="eastAsia" w:ascii="宋体" w:hAnsi="宋体" w:cs="宋体"/>
          <w:szCs w:val="21"/>
        </w:rPr>
        <w:t>（13）节能环保产品或政府强制采购节能产品认证证书；</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（14）投标人质量管理和质量保证体系等方面的认证证书；</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（15）投标人认为可以证明其能力或业绩的其他材料；</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（16）投标人关于产品生产时间、升级或者更新淘汰计划、配件供应以及本单位债务纠纷、违法违规记录等方面的情况（内容见承诺函）；</w:t>
      </w:r>
    </w:p>
    <w:p>
      <w:pPr>
        <w:snapToGrid w:val="0"/>
        <w:spacing w:line="360" w:lineRule="exact"/>
        <w:ind w:firstLine="420" w:firstLineChars="200"/>
        <w:jc w:val="left"/>
        <w:rPr>
          <w:rFonts w:ascii="宋体" w:hAnsi="宋体" w:cs="宋体"/>
          <w:szCs w:val="21"/>
        </w:rPr>
      </w:pPr>
      <w:r>
        <w:rPr>
          <w:rFonts w:hint="eastAsia" w:ascii="宋体" w:hAnsi="宋体" w:cs="宋体"/>
          <w:szCs w:val="21"/>
        </w:rPr>
        <w:t>（17）投标人情况介绍。</w:t>
      </w:r>
    </w:p>
    <w:p>
      <w:pPr>
        <w:snapToGrid w:val="0"/>
        <w:spacing w:line="360" w:lineRule="exact"/>
        <w:ind w:firstLine="516" w:firstLineChars="246"/>
        <w:jc w:val="left"/>
        <w:outlineLvl w:val="1"/>
        <w:rPr>
          <w:rFonts w:ascii="宋体" w:hAnsi="宋体" w:cs="宋体"/>
          <w:b/>
          <w:szCs w:val="21"/>
        </w:rPr>
      </w:pPr>
      <w:r>
        <w:rPr>
          <w:rFonts w:hint="eastAsia" w:ascii="宋体" w:hAnsi="宋体" w:cs="宋体"/>
          <w:szCs w:val="21"/>
        </w:rPr>
        <w:br w:type="page"/>
      </w:r>
      <w:r>
        <w:rPr>
          <w:rFonts w:hint="eastAsia" w:ascii="宋体" w:hAnsi="宋体" w:cs="宋体"/>
          <w:b/>
          <w:szCs w:val="21"/>
        </w:rPr>
        <w:t>三）技术文件部分（格式）</w:t>
      </w:r>
    </w:p>
    <w:p>
      <w:pPr>
        <w:snapToGrid w:val="0"/>
        <w:spacing w:before="50" w:after="156" w:afterLines="50" w:line="360" w:lineRule="exact"/>
        <w:ind w:firstLine="204" w:firstLineChars="97"/>
        <w:jc w:val="left"/>
        <w:rPr>
          <w:rFonts w:ascii="宋体" w:hAnsi="宋体" w:cs="宋体"/>
          <w:szCs w:val="21"/>
        </w:rPr>
      </w:pPr>
      <w:r>
        <w:rPr>
          <w:rFonts w:hint="eastAsia" w:ascii="宋体" w:hAnsi="宋体" w:cs="宋体"/>
          <w:b/>
          <w:szCs w:val="21"/>
        </w:rPr>
        <w:t>（1）</w:t>
      </w:r>
      <w:r>
        <w:rPr>
          <w:rFonts w:hint="eastAsia" w:ascii="宋体" w:hAnsi="宋体" w:cs="宋体"/>
          <w:szCs w:val="21"/>
        </w:rPr>
        <w:t>对本项目系统总体要求的理解（包括：功能说明、性能指标、设备选型说明以及质量、性能、价格、外观、体积等方面进行比较和选择的理由和过程，格式自拟）</w:t>
      </w:r>
    </w:p>
    <w:p>
      <w:pPr>
        <w:snapToGrid w:val="0"/>
        <w:spacing w:before="50" w:after="156" w:afterLines="50" w:line="360" w:lineRule="exact"/>
        <w:jc w:val="left"/>
        <w:rPr>
          <w:rFonts w:ascii="宋体" w:hAnsi="宋体" w:cs="宋体"/>
          <w:b/>
          <w:szCs w:val="21"/>
        </w:rPr>
      </w:pPr>
      <w:r>
        <w:rPr>
          <w:rFonts w:hint="eastAsia" w:ascii="宋体" w:hAnsi="宋体" w:cs="宋体"/>
        </w:rPr>
        <w:t>▲</w:t>
      </w:r>
      <w:r>
        <w:rPr>
          <w:rFonts w:hint="eastAsia" w:ascii="宋体" w:hAnsi="宋体" w:cs="宋体"/>
          <w:b/>
          <w:szCs w:val="21"/>
        </w:rPr>
        <w:t>（2）</w:t>
      </w:r>
      <w:r>
        <w:rPr>
          <w:rFonts w:hint="eastAsia" w:ascii="宋体" w:hAnsi="宋体" w:cs="宋体"/>
          <w:szCs w:val="21"/>
        </w:rPr>
        <w:t>技术响应表格式：</w:t>
      </w:r>
      <w:r>
        <w:rPr>
          <w:rFonts w:hint="eastAsia" w:ascii="宋体" w:hAnsi="宋体" w:cs="宋体"/>
          <w:b/>
          <w:szCs w:val="21"/>
        </w:rPr>
        <w:t>（必须提供）</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600"/>
        <w:gridCol w:w="3600"/>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pStyle w:val="29"/>
              <w:spacing w:line="400" w:lineRule="exact"/>
              <w:jc w:val="center"/>
              <w:rPr>
                <w:rFonts w:hAnsi="宋体" w:cs="宋体"/>
              </w:rPr>
            </w:pPr>
            <w:r>
              <w:rPr>
                <w:rFonts w:hint="eastAsia" w:hAnsi="宋体" w:cs="宋体"/>
              </w:rPr>
              <w:t>项号</w:t>
            </w:r>
          </w:p>
        </w:tc>
        <w:tc>
          <w:tcPr>
            <w:tcW w:w="3600" w:type="dxa"/>
            <w:tcBorders>
              <w:top w:val="single" w:color="auto" w:sz="4" w:space="0"/>
              <w:left w:val="single" w:color="auto" w:sz="4" w:space="0"/>
              <w:bottom w:val="single" w:color="auto" w:sz="4" w:space="0"/>
              <w:right w:val="single" w:color="auto" w:sz="4" w:space="0"/>
            </w:tcBorders>
            <w:vAlign w:val="center"/>
          </w:tcPr>
          <w:p>
            <w:pPr>
              <w:pStyle w:val="29"/>
              <w:spacing w:line="400" w:lineRule="exact"/>
              <w:jc w:val="center"/>
              <w:rPr>
                <w:rFonts w:hAnsi="宋体" w:cs="宋体"/>
              </w:rPr>
            </w:pPr>
            <w:r>
              <w:rPr>
                <w:rFonts w:hint="eastAsia" w:hAnsi="宋体" w:cs="宋体"/>
              </w:rPr>
              <w:t>招标要求</w:t>
            </w:r>
          </w:p>
        </w:tc>
        <w:tc>
          <w:tcPr>
            <w:tcW w:w="3600" w:type="dxa"/>
            <w:tcBorders>
              <w:top w:val="single" w:color="auto" w:sz="4" w:space="0"/>
              <w:left w:val="single" w:color="auto" w:sz="4" w:space="0"/>
              <w:bottom w:val="single" w:color="auto" w:sz="4" w:space="0"/>
              <w:right w:val="single" w:color="auto" w:sz="4" w:space="0"/>
            </w:tcBorders>
            <w:vAlign w:val="center"/>
          </w:tcPr>
          <w:p>
            <w:pPr>
              <w:pStyle w:val="29"/>
              <w:spacing w:line="400" w:lineRule="exact"/>
              <w:jc w:val="center"/>
              <w:rPr>
                <w:rFonts w:hAnsi="宋体" w:cs="宋体"/>
              </w:rPr>
            </w:pPr>
            <w:r>
              <w:rPr>
                <w:rFonts w:hint="eastAsia" w:hAnsi="宋体" w:cs="宋体"/>
              </w:rPr>
              <w:t>应标情况</w:t>
            </w:r>
          </w:p>
        </w:tc>
        <w:tc>
          <w:tcPr>
            <w:tcW w:w="1573" w:type="dxa"/>
            <w:tcBorders>
              <w:top w:val="single" w:color="auto" w:sz="4" w:space="0"/>
              <w:left w:val="single" w:color="auto" w:sz="4" w:space="0"/>
              <w:bottom w:val="single" w:color="auto" w:sz="4" w:space="0"/>
              <w:right w:val="single" w:color="auto" w:sz="4" w:space="0"/>
            </w:tcBorders>
            <w:vAlign w:val="center"/>
          </w:tcPr>
          <w:p>
            <w:pPr>
              <w:pStyle w:val="29"/>
              <w:spacing w:line="400" w:lineRule="exact"/>
              <w:jc w:val="center"/>
              <w:rPr>
                <w:rFonts w:hAnsi="宋体" w:cs="宋体"/>
              </w:rPr>
            </w:pPr>
            <w:r>
              <w:rPr>
                <w:rFonts w:hint="eastAsia" w:hAnsi="宋体" w:cs="宋体"/>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9"/>
              <w:spacing w:line="600" w:lineRule="exact"/>
              <w:ind w:left="5250"/>
              <w:jc w:val="center"/>
              <w:rPr>
                <w:rFonts w:hAnsi="宋体" w:cs="宋体"/>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9"/>
              <w:spacing w:line="600" w:lineRule="exact"/>
              <w:ind w:left="5250"/>
              <w:jc w:val="center"/>
              <w:rPr>
                <w:rFonts w:hAnsi="宋体" w:cs="宋体"/>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9"/>
              <w:spacing w:line="600" w:lineRule="exact"/>
              <w:ind w:left="5250"/>
              <w:jc w:val="center"/>
              <w:rPr>
                <w:rFonts w:hAnsi="宋体" w:cs="宋体"/>
              </w:rPr>
            </w:pPr>
          </w:p>
        </w:tc>
        <w:tc>
          <w:tcPr>
            <w:tcW w:w="1573" w:type="dxa"/>
            <w:tcBorders>
              <w:top w:val="single" w:color="auto" w:sz="4" w:space="0"/>
              <w:left w:val="single" w:color="auto" w:sz="4" w:space="0"/>
              <w:bottom w:val="single" w:color="auto" w:sz="4" w:space="0"/>
              <w:right w:val="single" w:color="auto" w:sz="4" w:space="0"/>
            </w:tcBorders>
            <w:vAlign w:val="center"/>
          </w:tcPr>
          <w:p>
            <w:pPr>
              <w:pStyle w:val="29"/>
              <w:spacing w:line="600" w:lineRule="exact"/>
              <w:ind w:left="52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宋体"/>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宋体"/>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宋体"/>
              </w:rPr>
            </w:pPr>
          </w:p>
        </w:tc>
        <w:tc>
          <w:tcPr>
            <w:tcW w:w="1573"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宋体"/>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宋体"/>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宋体"/>
              </w:rPr>
            </w:pPr>
          </w:p>
        </w:tc>
        <w:tc>
          <w:tcPr>
            <w:tcW w:w="1573"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宋体"/>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宋体"/>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宋体"/>
              </w:rPr>
            </w:pPr>
          </w:p>
        </w:tc>
        <w:tc>
          <w:tcPr>
            <w:tcW w:w="1573"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宋体"/>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宋体"/>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宋体"/>
              </w:rPr>
            </w:pPr>
          </w:p>
        </w:tc>
        <w:tc>
          <w:tcPr>
            <w:tcW w:w="1573"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宋体"/>
              </w:rPr>
            </w:pPr>
          </w:p>
        </w:tc>
      </w:tr>
    </w:tbl>
    <w:p>
      <w:pPr>
        <w:pStyle w:val="20"/>
        <w:spacing w:line="360" w:lineRule="exact"/>
        <w:rPr>
          <w:rFonts w:ascii="宋体" w:hAnsi="宋体" w:cs="宋体"/>
          <w:sz w:val="21"/>
          <w:szCs w:val="21"/>
        </w:rPr>
      </w:pPr>
      <w:r>
        <w:rPr>
          <w:rFonts w:hint="eastAsia" w:ascii="宋体" w:hAnsi="宋体" w:cs="宋体"/>
          <w:sz w:val="21"/>
          <w:szCs w:val="21"/>
        </w:rPr>
        <w:t>注：投标人应根据投标设备的性能指标、对照招标文件要求在技术响应表中详细列明招标要求及投标设备技术规格的响应情况，并填写“</w:t>
      </w:r>
      <w:r>
        <w:rPr>
          <w:rFonts w:hint="eastAsia" w:ascii="宋体" w:hAnsi="宋体" w:cs="宋体"/>
        </w:rPr>
        <w:t>偏离说明”。</w:t>
      </w:r>
      <w:r>
        <w:rPr>
          <w:rFonts w:hint="eastAsia" w:ascii="宋体" w:hAnsi="宋体" w:cs="宋体"/>
          <w:sz w:val="21"/>
          <w:szCs w:val="21"/>
        </w:rPr>
        <w:t>“偏离</w:t>
      </w:r>
      <w:r>
        <w:rPr>
          <w:rFonts w:hint="eastAsia" w:ascii="宋体" w:hAnsi="宋体" w:cs="宋体"/>
        </w:rPr>
        <w:t>说明</w:t>
      </w:r>
      <w:r>
        <w:rPr>
          <w:rFonts w:hint="eastAsia" w:ascii="宋体" w:hAnsi="宋体" w:cs="宋体"/>
          <w:sz w:val="21"/>
          <w:szCs w:val="21"/>
        </w:rPr>
        <w:t>”栏注明“正偏离”、“负偏离”或“无偏离”。投标技术规格与招标要求相同的为无偏离，投标技术规格高于招标要求的为正偏离，低于招标要求的为负偏离。</w:t>
      </w:r>
    </w:p>
    <w:p>
      <w:pPr>
        <w:snapToGrid w:val="0"/>
        <w:spacing w:before="50" w:after="50" w:line="360" w:lineRule="exact"/>
        <w:rPr>
          <w:rFonts w:ascii="宋体" w:hAnsi="宋体" w:cs="宋体"/>
          <w:spacing w:val="20"/>
          <w:szCs w:val="21"/>
        </w:rPr>
      </w:pPr>
    </w:p>
    <w:p>
      <w:pPr>
        <w:snapToGrid w:val="0"/>
        <w:spacing w:before="50" w:after="50" w:line="360" w:lineRule="exact"/>
        <w:rPr>
          <w:rFonts w:ascii="宋体" w:hAnsi="宋体" w:cs="宋体"/>
          <w:spacing w:val="20"/>
          <w:szCs w:val="21"/>
          <w:u w:val="single"/>
        </w:rPr>
      </w:pPr>
      <w:r>
        <w:rPr>
          <w:rFonts w:hint="eastAsia" w:ascii="宋体" w:hAnsi="宋体" w:cs="宋体"/>
          <w:szCs w:val="21"/>
        </w:rPr>
        <w:t>法定代表人（负责人）或委托代理人签名</w:t>
      </w:r>
      <w:r>
        <w:rPr>
          <w:rFonts w:hint="eastAsia" w:ascii="宋体" w:hAnsi="宋体" w:cs="宋体"/>
          <w:spacing w:val="20"/>
          <w:szCs w:val="21"/>
        </w:rPr>
        <w:t>：</w:t>
      </w:r>
    </w:p>
    <w:p>
      <w:pPr>
        <w:snapToGrid w:val="0"/>
        <w:spacing w:before="50" w:after="50" w:line="360" w:lineRule="exact"/>
        <w:rPr>
          <w:rFonts w:ascii="宋体" w:hAnsi="宋体" w:cs="宋体"/>
          <w:spacing w:val="20"/>
          <w:szCs w:val="21"/>
          <w:u w:val="single"/>
        </w:rPr>
      </w:pPr>
      <w:r>
        <w:rPr>
          <w:rFonts w:hint="eastAsia" w:ascii="宋体" w:hAnsi="宋体" w:cs="宋体"/>
          <w:spacing w:val="20"/>
          <w:szCs w:val="21"/>
        </w:rPr>
        <w:t xml:space="preserve">投标人盖章：   日期：   </w:t>
      </w:r>
    </w:p>
    <w:p>
      <w:pPr>
        <w:pStyle w:val="29"/>
        <w:jc w:val="center"/>
        <w:rPr>
          <w:rFonts w:hAnsi="宋体" w:cs="宋体"/>
        </w:rPr>
      </w:pPr>
    </w:p>
    <w:p>
      <w:pPr>
        <w:snapToGrid w:val="0"/>
        <w:spacing w:before="50" w:after="156" w:afterLines="50" w:line="360" w:lineRule="exact"/>
        <w:ind w:firstLine="206" w:firstLineChars="98"/>
        <w:jc w:val="left"/>
        <w:rPr>
          <w:rFonts w:ascii="宋体" w:hAnsi="宋体" w:cs="宋体"/>
          <w:szCs w:val="21"/>
        </w:rPr>
      </w:pPr>
      <w:r>
        <w:rPr>
          <w:rFonts w:hint="eastAsia" w:ascii="宋体" w:hAnsi="宋体" w:cs="宋体"/>
          <w:b/>
          <w:szCs w:val="21"/>
        </w:rPr>
        <w:t>（3）</w:t>
      </w:r>
      <w:r>
        <w:rPr>
          <w:rFonts w:hint="eastAsia" w:ascii="宋体" w:hAnsi="宋体" w:cs="宋体"/>
          <w:szCs w:val="21"/>
        </w:rPr>
        <w:t>设备配置清单格式：</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1443"/>
        <w:gridCol w:w="839"/>
        <w:gridCol w:w="1498"/>
        <w:gridCol w:w="1620"/>
        <w:gridCol w:w="1809"/>
        <w:gridCol w:w="9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序号</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设备名称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品牌</w:t>
            </w: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单位及数量</w:t>
            </w: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性能及指标</w:t>
            </w: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r>
    </w:tbl>
    <w:p>
      <w:pPr>
        <w:snapToGrid w:val="0"/>
        <w:spacing w:before="50" w:after="50" w:line="360" w:lineRule="exact"/>
        <w:rPr>
          <w:rFonts w:ascii="宋体" w:hAnsi="宋体" w:cs="宋体"/>
          <w:spacing w:val="20"/>
          <w:szCs w:val="21"/>
          <w:u w:val="single"/>
        </w:rPr>
      </w:pPr>
      <w:r>
        <w:rPr>
          <w:rFonts w:hint="eastAsia" w:ascii="宋体" w:hAnsi="宋体" w:cs="宋体"/>
          <w:szCs w:val="21"/>
        </w:rPr>
        <w:t>法定代表人（负责人）或委托代理人签名</w:t>
      </w:r>
      <w:r>
        <w:rPr>
          <w:rFonts w:hint="eastAsia" w:ascii="宋体" w:hAnsi="宋体" w:cs="宋体"/>
          <w:spacing w:val="20"/>
          <w:szCs w:val="21"/>
        </w:rPr>
        <w:t>：</w:t>
      </w:r>
    </w:p>
    <w:p>
      <w:pPr>
        <w:snapToGrid w:val="0"/>
        <w:spacing w:before="50" w:after="156" w:afterLines="50" w:line="360" w:lineRule="exact"/>
        <w:jc w:val="left"/>
        <w:rPr>
          <w:rFonts w:ascii="宋体" w:hAnsi="宋体" w:cs="宋体"/>
          <w:spacing w:val="20"/>
          <w:szCs w:val="21"/>
          <w:u w:val="single"/>
        </w:rPr>
      </w:pPr>
      <w:r>
        <w:rPr>
          <w:rFonts w:hint="eastAsia" w:ascii="宋体" w:hAnsi="宋体" w:cs="宋体"/>
          <w:spacing w:val="20"/>
          <w:szCs w:val="21"/>
        </w:rPr>
        <w:t>投标人盖章：日期：</w:t>
      </w:r>
    </w:p>
    <w:p>
      <w:pPr>
        <w:snapToGrid w:val="0"/>
        <w:spacing w:before="50" w:after="156" w:afterLines="50" w:line="360" w:lineRule="exact"/>
        <w:jc w:val="left"/>
        <w:rPr>
          <w:rFonts w:ascii="宋体" w:hAnsi="宋体" w:cs="宋体"/>
          <w:szCs w:val="21"/>
        </w:rPr>
      </w:pPr>
      <w:r>
        <w:rPr>
          <w:rFonts w:hint="eastAsia" w:ascii="宋体" w:hAnsi="宋体" w:cs="宋体"/>
          <w:szCs w:val="21"/>
        </w:rPr>
        <w:t>非招标文件必须要求时可附：①原厂出厂配置表及原厂中文使用说明书（格式自拟）</w:t>
      </w:r>
    </w:p>
    <w:p>
      <w:pPr>
        <w:snapToGrid w:val="0"/>
        <w:spacing w:before="50" w:after="156" w:afterLines="50" w:line="360" w:lineRule="exact"/>
        <w:ind w:firstLine="2730" w:firstLineChars="1300"/>
        <w:jc w:val="left"/>
        <w:rPr>
          <w:rFonts w:ascii="宋体" w:hAnsi="宋体" w:cs="宋体"/>
          <w:szCs w:val="21"/>
        </w:rPr>
      </w:pPr>
      <w:r>
        <w:rPr>
          <w:rFonts w:hint="eastAsia" w:ascii="宋体" w:hAnsi="宋体" w:cs="宋体"/>
          <w:szCs w:val="21"/>
        </w:rPr>
        <w:t>②产品出厂标准、质量检测报告及精度检测报告或数据（格式自拟）</w:t>
      </w:r>
    </w:p>
    <w:p>
      <w:pPr>
        <w:snapToGrid w:val="0"/>
        <w:spacing w:before="50" w:after="156" w:afterLines="50" w:line="360" w:lineRule="exact"/>
        <w:jc w:val="left"/>
        <w:rPr>
          <w:rFonts w:ascii="宋体" w:hAnsi="宋体" w:cs="宋体"/>
          <w:b/>
          <w:szCs w:val="21"/>
        </w:rPr>
      </w:pPr>
    </w:p>
    <w:p>
      <w:pPr>
        <w:snapToGrid w:val="0"/>
        <w:spacing w:before="50" w:after="156" w:afterLines="50" w:line="360" w:lineRule="exact"/>
        <w:ind w:firstLine="140" w:firstLineChars="67"/>
        <w:jc w:val="left"/>
        <w:rPr>
          <w:rFonts w:ascii="宋体" w:hAnsi="宋体" w:cs="宋体"/>
        </w:rPr>
      </w:pPr>
    </w:p>
    <w:p>
      <w:pPr>
        <w:snapToGrid w:val="0"/>
        <w:spacing w:before="50" w:after="156" w:afterLines="50" w:line="360" w:lineRule="exact"/>
        <w:ind w:firstLine="140" w:firstLineChars="67"/>
        <w:jc w:val="left"/>
        <w:rPr>
          <w:rFonts w:ascii="宋体" w:hAnsi="宋体" w:cs="宋体"/>
          <w:szCs w:val="21"/>
        </w:rPr>
      </w:pPr>
      <w:r>
        <w:rPr>
          <w:rFonts w:hint="eastAsia" w:ascii="宋体" w:hAnsi="宋体" w:cs="宋体"/>
        </w:rPr>
        <w:t>▲</w:t>
      </w:r>
      <w:r>
        <w:rPr>
          <w:rFonts w:hint="eastAsia" w:ascii="宋体" w:hAnsi="宋体" w:cs="宋体"/>
          <w:b/>
          <w:szCs w:val="21"/>
        </w:rPr>
        <w:t>（4）</w:t>
      </w:r>
      <w:r>
        <w:rPr>
          <w:rFonts w:hint="eastAsia" w:ascii="宋体" w:hAnsi="宋体" w:cs="宋体"/>
          <w:szCs w:val="21"/>
        </w:rPr>
        <w:t>售后服务承诺书</w:t>
      </w:r>
      <w:r>
        <w:rPr>
          <w:rFonts w:hint="eastAsia" w:ascii="宋体" w:hAnsi="宋体" w:cs="宋体"/>
        </w:rPr>
        <w:t>（应据项目实际要求描述如：</w:t>
      </w:r>
      <w:r>
        <w:rPr>
          <w:rFonts w:hint="eastAsia" w:ascii="宋体" w:hAnsi="宋体" w:cs="宋体"/>
          <w:szCs w:val="21"/>
        </w:rPr>
        <w:t>投标人建议的安装、调试、验收方法或方案；技术服务、技术培训、售后服务的内容和措施等）</w:t>
      </w:r>
      <w:r>
        <w:rPr>
          <w:rFonts w:hint="eastAsia" w:ascii="宋体" w:hAnsi="宋体" w:cs="宋体"/>
          <w:b/>
          <w:szCs w:val="21"/>
        </w:rPr>
        <w:t>(格式自拟,必须提供）</w:t>
      </w:r>
      <w:r>
        <w:rPr>
          <w:rFonts w:hint="eastAsia" w:ascii="宋体" w:hAnsi="宋体" w:cs="宋体"/>
          <w:szCs w:val="21"/>
        </w:rPr>
        <w:t>；</w:t>
      </w:r>
    </w:p>
    <w:p>
      <w:pPr>
        <w:snapToGrid w:val="0"/>
        <w:spacing w:before="50" w:after="156" w:afterLines="50" w:line="360" w:lineRule="exact"/>
        <w:ind w:left="515" w:leftChars="150" w:hanging="200" w:hangingChars="95"/>
        <w:jc w:val="left"/>
        <w:rPr>
          <w:rFonts w:ascii="宋体" w:hAnsi="宋体" w:cs="宋体"/>
          <w:szCs w:val="21"/>
        </w:rPr>
      </w:pPr>
      <w:r>
        <w:rPr>
          <w:rFonts w:hint="eastAsia" w:ascii="宋体" w:hAnsi="宋体" w:cs="宋体"/>
          <w:b/>
          <w:szCs w:val="21"/>
        </w:rPr>
        <w:t>（5）</w:t>
      </w:r>
      <w:r>
        <w:rPr>
          <w:rFonts w:hint="eastAsia" w:ascii="宋体" w:hAnsi="宋体" w:cs="宋体"/>
          <w:szCs w:val="21"/>
        </w:rPr>
        <w:t>投标人拥有主要装备和检测设施的情况和现状（格式自拟）及项目实施人员一览表</w:t>
      </w:r>
    </w:p>
    <w:p>
      <w:pPr>
        <w:snapToGrid w:val="0"/>
        <w:spacing w:before="156" w:beforeLines="50" w:after="50" w:line="360" w:lineRule="exact"/>
        <w:jc w:val="center"/>
        <w:rPr>
          <w:rFonts w:ascii="宋体" w:hAnsi="宋体" w:cs="宋体"/>
          <w:b/>
          <w:szCs w:val="21"/>
        </w:rPr>
      </w:pPr>
      <w:r>
        <w:rPr>
          <w:rFonts w:hint="eastAsia" w:ascii="宋体" w:hAnsi="宋体" w:cs="宋体"/>
          <w:b/>
          <w:szCs w:val="21"/>
        </w:rPr>
        <w:t>项目实施人员（主要从业人员及其技术资格）一览表</w:t>
      </w:r>
    </w:p>
    <w:tbl>
      <w:tblPr>
        <w:tblStyle w:val="58"/>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900"/>
        <w:gridCol w:w="2160"/>
        <w:gridCol w:w="1516"/>
        <w:gridCol w:w="2084"/>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cs="宋体"/>
                <w:szCs w:val="21"/>
              </w:rPr>
            </w:pPr>
            <w:r>
              <w:rPr>
                <w:rFonts w:hint="eastAsia" w:ascii="宋体" w:hAnsi="宋体" w:cs="宋体"/>
                <w:szCs w:val="21"/>
              </w:rPr>
              <w:t>姓名</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cs="宋体"/>
                <w:szCs w:val="21"/>
              </w:rPr>
            </w:pPr>
            <w:r>
              <w:rPr>
                <w:rFonts w:hint="eastAsia" w:ascii="宋体" w:hAnsi="宋体" w:cs="宋体"/>
                <w:szCs w:val="21"/>
              </w:rPr>
              <w:t>职务</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cs="宋体"/>
                <w:szCs w:val="21"/>
              </w:rPr>
            </w:pPr>
            <w:r>
              <w:rPr>
                <w:rFonts w:hint="eastAsia" w:ascii="宋体" w:hAnsi="宋体" w:cs="宋体"/>
                <w:szCs w:val="21"/>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cs="宋体"/>
                <w:szCs w:val="21"/>
              </w:rPr>
            </w:pPr>
            <w:r>
              <w:rPr>
                <w:rFonts w:hint="eastAsia" w:ascii="宋体" w:hAnsi="宋体" w:cs="宋体"/>
                <w:szCs w:val="21"/>
              </w:rPr>
              <w:t>证书编号</w:t>
            </w:r>
          </w:p>
        </w:tc>
        <w:tc>
          <w:tcPr>
            <w:tcW w:w="208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cs="宋体"/>
                <w:bCs/>
                <w:szCs w:val="21"/>
              </w:rPr>
            </w:pPr>
            <w:r>
              <w:rPr>
                <w:rFonts w:hint="eastAsia" w:ascii="宋体" w:hAnsi="宋体" w:cs="宋体"/>
                <w:bCs/>
                <w:szCs w:val="21"/>
              </w:rPr>
              <w:t>参加本单位</w:t>
            </w:r>
          </w:p>
          <w:p>
            <w:pPr>
              <w:snapToGrid w:val="0"/>
              <w:spacing w:before="156" w:beforeLines="50" w:after="50" w:line="360" w:lineRule="exact"/>
              <w:jc w:val="center"/>
              <w:rPr>
                <w:rFonts w:ascii="宋体" w:hAnsi="宋体" w:cs="宋体"/>
                <w:bCs/>
                <w:szCs w:val="21"/>
              </w:rPr>
            </w:pPr>
            <w:r>
              <w:rPr>
                <w:rFonts w:hint="eastAsia" w:ascii="宋体" w:hAnsi="宋体" w:cs="宋体"/>
                <w:bCs/>
                <w:szCs w:val="21"/>
              </w:rPr>
              <w:t>工作时间</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cs="宋体"/>
                <w:bCs/>
                <w:szCs w:val="21"/>
              </w:rPr>
            </w:pPr>
            <w:r>
              <w:rPr>
                <w:rFonts w:hint="eastAsia" w:ascii="宋体" w:hAnsi="宋体" w:cs="宋体"/>
                <w:bCs/>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pStyle w:val="31"/>
              <w:snapToGrid w:val="0"/>
              <w:spacing w:before="156" w:beforeLines="50" w:after="50" w:line="360" w:lineRule="exact"/>
              <w:ind w:left="5250"/>
              <w:rPr>
                <w:rFonts w:hAnsi="宋体" w:cs="宋体"/>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s="宋体"/>
                <w:szCs w:val="21"/>
              </w:rPr>
            </w:pPr>
          </w:p>
        </w:tc>
      </w:tr>
    </w:tbl>
    <w:p>
      <w:pPr>
        <w:snapToGrid w:val="0"/>
        <w:spacing w:before="50" w:after="50" w:line="360" w:lineRule="exact"/>
        <w:rPr>
          <w:rFonts w:ascii="宋体" w:hAnsi="宋体" w:cs="宋体"/>
          <w:spacing w:val="20"/>
          <w:szCs w:val="21"/>
          <w:u w:val="single"/>
        </w:rPr>
      </w:pPr>
      <w:r>
        <w:rPr>
          <w:rFonts w:hint="eastAsia" w:ascii="宋体" w:hAnsi="宋体" w:cs="宋体"/>
          <w:szCs w:val="21"/>
        </w:rPr>
        <w:t>法定代表人（负责人）或委托代理人签名</w:t>
      </w:r>
      <w:r>
        <w:rPr>
          <w:rFonts w:hint="eastAsia" w:ascii="宋体" w:hAnsi="宋体" w:cs="宋体"/>
          <w:spacing w:val="20"/>
          <w:szCs w:val="21"/>
        </w:rPr>
        <w:t>：</w:t>
      </w:r>
    </w:p>
    <w:p>
      <w:pPr>
        <w:snapToGrid w:val="0"/>
        <w:spacing w:before="50" w:after="50" w:line="360" w:lineRule="exact"/>
        <w:rPr>
          <w:rFonts w:ascii="宋体" w:hAnsi="宋体" w:cs="宋体"/>
          <w:szCs w:val="21"/>
        </w:rPr>
      </w:pPr>
      <w:r>
        <w:rPr>
          <w:rFonts w:hint="eastAsia" w:ascii="宋体" w:hAnsi="宋体" w:cs="宋体"/>
          <w:spacing w:val="20"/>
          <w:szCs w:val="21"/>
        </w:rPr>
        <w:t>投标人盖章：日期：</w:t>
      </w:r>
    </w:p>
    <w:p>
      <w:pPr>
        <w:snapToGrid w:val="0"/>
        <w:spacing w:before="50" w:after="156" w:afterLines="50" w:line="360" w:lineRule="exact"/>
        <w:jc w:val="left"/>
        <w:rPr>
          <w:rFonts w:ascii="宋体" w:hAnsi="宋体" w:cs="宋体"/>
          <w:b/>
          <w:szCs w:val="21"/>
        </w:rPr>
      </w:pPr>
    </w:p>
    <w:p>
      <w:pPr>
        <w:snapToGrid w:val="0"/>
        <w:spacing w:before="50" w:after="156" w:afterLines="50" w:line="360" w:lineRule="exact"/>
        <w:ind w:firstLine="102" w:firstLineChars="49"/>
        <w:jc w:val="left"/>
        <w:rPr>
          <w:rFonts w:ascii="宋体" w:hAnsi="宋体" w:cs="宋体"/>
          <w:szCs w:val="21"/>
        </w:rPr>
      </w:pPr>
      <w:r>
        <w:rPr>
          <w:rFonts w:hint="eastAsia" w:ascii="宋体" w:hAnsi="宋体" w:cs="宋体"/>
          <w:szCs w:val="21"/>
        </w:rPr>
        <w:t>（6）优惠条件：投标人承诺给予招标人的各种优惠条件，包括备品备件、专用耗材、售后服务等方面的优惠；</w:t>
      </w:r>
    </w:p>
    <w:p>
      <w:pPr>
        <w:snapToGrid w:val="0"/>
        <w:spacing w:before="50" w:after="156" w:afterLines="50" w:line="360" w:lineRule="exact"/>
        <w:jc w:val="left"/>
        <w:rPr>
          <w:rFonts w:ascii="宋体" w:hAnsi="宋体" w:cs="宋体"/>
          <w:szCs w:val="21"/>
        </w:rPr>
      </w:pPr>
      <w:r>
        <w:rPr>
          <w:rFonts w:hint="eastAsia" w:ascii="宋体" w:hAnsi="宋体" w:cs="宋体"/>
          <w:szCs w:val="21"/>
        </w:rPr>
        <w:t>备品备件、专用耗材、售后服务优惠表格式：</w:t>
      </w: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1530"/>
        <w:gridCol w:w="15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9"/>
              <w:snapToGrid w:val="0"/>
              <w:spacing w:before="295" w:after="295" w:line="360" w:lineRule="exact"/>
              <w:jc w:val="center"/>
              <w:rPr>
                <w:rFonts w:hAnsi="宋体" w:cs="宋体"/>
              </w:rPr>
            </w:pPr>
            <w:r>
              <w:rPr>
                <w:rFonts w:hint="eastAsia" w:hAnsi="宋体" w:cs="宋体"/>
              </w:rPr>
              <w:t>序号</w:t>
            </w:r>
          </w:p>
        </w:tc>
        <w:tc>
          <w:tcPr>
            <w:tcW w:w="2700" w:type="dxa"/>
            <w:tcBorders>
              <w:top w:val="single" w:color="auto" w:sz="4" w:space="0"/>
              <w:left w:val="single" w:color="auto" w:sz="4" w:space="0"/>
              <w:bottom w:val="single" w:color="auto" w:sz="2" w:space="0"/>
              <w:right w:val="single" w:color="auto" w:sz="4" w:space="0"/>
            </w:tcBorders>
            <w:vAlign w:val="center"/>
          </w:tcPr>
          <w:p>
            <w:pPr>
              <w:pStyle w:val="29"/>
              <w:snapToGrid w:val="0"/>
              <w:spacing w:before="295" w:after="295" w:line="360" w:lineRule="exact"/>
              <w:jc w:val="center"/>
              <w:rPr>
                <w:rFonts w:hAnsi="宋体" w:cs="宋体"/>
              </w:rPr>
            </w:pPr>
            <w:r>
              <w:rPr>
                <w:rFonts w:hint="eastAsia" w:hAnsi="宋体" w:cs="宋体"/>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pPr>
              <w:pStyle w:val="29"/>
              <w:snapToGrid w:val="0"/>
              <w:spacing w:before="295" w:after="295" w:line="360" w:lineRule="exact"/>
              <w:jc w:val="center"/>
              <w:rPr>
                <w:rFonts w:hAnsi="宋体" w:cs="宋体"/>
              </w:rPr>
            </w:pPr>
            <w:r>
              <w:rPr>
                <w:rFonts w:hint="eastAsia" w:hAnsi="宋体" w:cs="宋体"/>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29"/>
              <w:snapToGrid w:val="0"/>
              <w:spacing w:before="295" w:after="295" w:line="360" w:lineRule="exact"/>
              <w:jc w:val="center"/>
              <w:rPr>
                <w:rFonts w:hAnsi="宋体" w:cs="宋体"/>
              </w:rPr>
            </w:pPr>
            <w:r>
              <w:rPr>
                <w:rFonts w:hint="eastAsia" w:hAnsi="宋体" w:cs="宋体"/>
              </w:rPr>
              <w:t>单价</w:t>
            </w:r>
          </w:p>
        </w:tc>
        <w:tc>
          <w:tcPr>
            <w:tcW w:w="1530" w:type="dxa"/>
            <w:tcBorders>
              <w:top w:val="single" w:color="auto" w:sz="4" w:space="0"/>
              <w:left w:val="single" w:color="auto" w:sz="4" w:space="0"/>
              <w:bottom w:val="single" w:color="auto" w:sz="2" w:space="0"/>
              <w:right w:val="single" w:color="auto" w:sz="4" w:space="0"/>
            </w:tcBorders>
            <w:vAlign w:val="center"/>
          </w:tcPr>
          <w:p>
            <w:pPr>
              <w:pStyle w:val="29"/>
              <w:snapToGrid w:val="0"/>
              <w:spacing w:before="295" w:after="295" w:line="360" w:lineRule="exact"/>
              <w:jc w:val="center"/>
              <w:rPr>
                <w:rFonts w:hAnsi="宋体" w:cs="宋体"/>
              </w:rPr>
            </w:pPr>
            <w:r>
              <w:rPr>
                <w:rFonts w:hint="eastAsia" w:hAnsi="宋体" w:cs="宋体"/>
              </w:rPr>
              <w:t>比投标报价优惠率</w:t>
            </w:r>
          </w:p>
        </w:tc>
        <w:tc>
          <w:tcPr>
            <w:tcW w:w="1530" w:type="dxa"/>
            <w:tcBorders>
              <w:top w:val="single" w:color="auto" w:sz="4" w:space="0"/>
              <w:left w:val="single" w:color="auto" w:sz="4" w:space="0"/>
              <w:bottom w:val="single" w:color="auto" w:sz="2" w:space="0"/>
              <w:right w:val="single" w:color="auto" w:sz="4" w:space="0"/>
            </w:tcBorders>
            <w:vAlign w:val="center"/>
          </w:tcPr>
          <w:p>
            <w:pPr>
              <w:pStyle w:val="29"/>
              <w:snapToGrid w:val="0"/>
              <w:spacing w:before="295" w:after="295" w:line="360" w:lineRule="exact"/>
              <w:jc w:val="center"/>
              <w:rPr>
                <w:rFonts w:hAnsi="宋体" w:cs="宋体"/>
              </w:rPr>
            </w:pPr>
            <w:r>
              <w:rPr>
                <w:rFonts w:hint="eastAsia" w:hAnsi="宋体" w:cs="宋体"/>
              </w:rPr>
              <w:t>比招标要求提供更优售后服务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5"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9"/>
              <w:snapToGrid w:val="0"/>
              <w:spacing w:before="295" w:after="295" w:line="360" w:lineRule="exact"/>
              <w:jc w:val="center"/>
              <w:rPr>
                <w:rFonts w:hAnsi="宋体" w:cs="宋体"/>
              </w:rPr>
            </w:pPr>
          </w:p>
        </w:tc>
        <w:tc>
          <w:tcPr>
            <w:tcW w:w="2700" w:type="dxa"/>
            <w:tcBorders>
              <w:top w:val="single" w:color="auto" w:sz="2" w:space="0"/>
              <w:left w:val="single" w:color="auto" w:sz="2" w:space="0"/>
              <w:bottom w:val="single" w:color="auto" w:sz="6" w:space="0"/>
              <w:right w:val="single" w:color="auto" w:sz="4" w:space="0"/>
            </w:tcBorders>
            <w:vAlign w:val="center"/>
          </w:tcPr>
          <w:p>
            <w:pPr>
              <w:pStyle w:val="29"/>
              <w:snapToGrid w:val="0"/>
              <w:spacing w:before="295" w:after="295" w:line="360" w:lineRule="exact"/>
              <w:jc w:val="center"/>
              <w:rPr>
                <w:rFonts w:hAnsi="宋体" w:cs="宋体"/>
              </w:rPr>
            </w:pPr>
          </w:p>
        </w:tc>
        <w:tc>
          <w:tcPr>
            <w:tcW w:w="1440" w:type="dxa"/>
            <w:tcBorders>
              <w:top w:val="single" w:color="auto" w:sz="2" w:space="0"/>
              <w:left w:val="single" w:color="auto" w:sz="4" w:space="0"/>
              <w:bottom w:val="single" w:color="auto" w:sz="6" w:space="0"/>
              <w:right w:val="single" w:color="auto" w:sz="6" w:space="0"/>
            </w:tcBorders>
            <w:vAlign w:val="center"/>
          </w:tcPr>
          <w:p>
            <w:pPr>
              <w:pStyle w:val="29"/>
              <w:snapToGrid w:val="0"/>
              <w:spacing w:before="295" w:after="295" w:line="360" w:lineRule="exact"/>
              <w:jc w:val="center"/>
              <w:rPr>
                <w:rFonts w:hAnsi="宋体" w:cs="宋体"/>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9"/>
              <w:snapToGrid w:val="0"/>
              <w:spacing w:before="295" w:after="295" w:line="360" w:lineRule="exact"/>
              <w:jc w:val="center"/>
              <w:rPr>
                <w:rFonts w:hAnsi="宋体" w:cs="宋体"/>
              </w:rPr>
            </w:pPr>
          </w:p>
        </w:tc>
        <w:tc>
          <w:tcPr>
            <w:tcW w:w="1530" w:type="dxa"/>
            <w:tcBorders>
              <w:top w:val="single" w:color="auto" w:sz="2" w:space="0"/>
              <w:left w:val="single" w:color="auto" w:sz="6" w:space="0"/>
              <w:bottom w:val="single" w:color="auto" w:sz="6" w:space="0"/>
              <w:right w:val="single" w:color="auto" w:sz="2" w:space="0"/>
            </w:tcBorders>
            <w:vAlign w:val="center"/>
          </w:tcPr>
          <w:p>
            <w:pPr>
              <w:pStyle w:val="29"/>
              <w:snapToGrid w:val="0"/>
              <w:spacing w:before="295" w:after="295" w:line="360" w:lineRule="exact"/>
              <w:jc w:val="center"/>
              <w:rPr>
                <w:rFonts w:hAnsi="宋体" w:cs="宋体"/>
              </w:rPr>
            </w:pPr>
            <w:r>
              <w:rPr>
                <w:rFonts w:hint="eastAsia" w:hAnsi="宋体" w:cs="宋体"/>
              </w:rPr>
              <w:t>%</w:t>
            </w:r>
          </w:p>
        </w:tc>
        <w:tc>
          <w:tcPr>
            <w:tcW w:w="1530" w:type="dxa"/>
            <w:tcBorders>
              <w:top w:val="single" w:color="auto" w:sz="2" w:space="0"/>
              <w:left w:val="single" w:color="auto" w:sz="6" w:space="0"/>
              <w:bottom w:val="single" w:color="auto" w:sz="6" w:space="0"/>
              <w:right w:val="single" w:color="auto" w:sz="2" w:space="0"/>
            </w:tcBorders>
            <w:vAlign w:val="center"/>
          </w:tcPr>
          <w:p>
            <w:pPr>
              <w:pStyle w:val="29"/>
              <w:snapToGrid w:val="0"/>
              <w:spacing w:before="295" w:after="295" w:line="360" w:lineRule="exact"/>
              <w:jc w:val="center"/>
              <w:rPr>
                <w:rFonts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13"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9"/>
              <w:snapToGrid w:val="0"/>
              <w:spacing w:before="295" w:after="295" w:line="360" w:lineRule="exact"/>
              <w:jc w:val="center"/>
              <w:rPr>
                <w:rFonts w:hAnsi="宋体" w:cs="宋体"/>
              </w:rPr>
            </w:pPr>
          </w:p>
        </w:tc>
        <w:tc>
          <w:tcPr>
            <w:tcW w:w="2700" w:type="dxa"/>
            <w:tcBorders>
              <w:top w:val="single" w:color="auto" w:sz="6" w:space="0"/>
              <w:left w:val="single" w:color="auto" w:sz="2" w:space="0"/>
              <w:bottom w:val="single" w:color="auto" w:sz="6" w:space="0"/>
              <w:right w:val="single" w:color="auto" w:sz="4" w:space="0"/>
            </w:tcBorders>
            <w:vAlign w:val="center"/>
          </w:tcPr>
          <w:p>
            <w:pPr>
              <w:pStyle w:val="29"/>
              <w:snapToGrid w:val="0"/>
              <w:spacing w:before="295" w:after="295" w:line="360" w:lineRule="exact"/>
              <w:jc w:val="center"/>
              <w:rPr>
                <w:rFonts w:hAnsi="宋体" w:cs="宋体"/>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9"/>
              <w:snapToGrid w:val="0"/>
              <w:spacing w:before="295" w:after="295" w:line="360" w:lineRule="exact"/>
              <w:jc w:val="center"/>
              <w:rPr>
                <w:rFonts w:hAnsi="宋体" w:cs="宋体"/>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9"/>
              <w:snapToGrid w:val="0"/>
              <w:spacing w:before="295" w:after="295" w:line="360" w:lineRule="exact"/>
              <w:jc w:val="center"/>
              <w:rPr>
                <w:rFonts w:hAnsi="宋体" w:cs="宋体"/>
              </w:rPr>
            </w:pPr>
          </w:p>
        </w:tc>
        <w:tc>
          <w:tcPr>
            <w:tcW w:w="1530" w:type="dxa"/>
            <w:tcBorders>
              <w:top w:val="single" w:color="auto" w:sz="6" w:space="0"/>
              <w:left w:val="single" w:color="auto" w:sz="6" w:space="0"/>
              <w:bottom w:val="single" w:color="auto" w:sz="6" w:space="0"/>
              <w:right w:val="single" w:color="auto" w:sz="2" w:space="0"/>
            </w:tcBorders>
            <w:vAlign w:val="center"/>
          </w:tcPr>
          <w:p>
            <w:pPr>
              <w:pStyle w:val="29"/>
              <w:snapToGrid w:val="0"/>
              <w:spacing w:before="295" w:after="295" w:line="360" w:lineRule="exact"/>
              <w:jc w:val="center"/>
              <w:rPr>
                <w:rFonts w:hAnsi="宋体" w:cs="宋体"/>
              </w:rPr>
            </w:pPr>
            <w:r>
              <w:rPr>
                <w:rFonts w:hint="eastAsia" w:hAnsi="宋体" w:cs="宋体"/>
              </w:rPr>
              <w:t>%</w:t>
            </w:r>
          </w:p>
        </w:tc>
        <w:tc>
          <w:tcPr>
            <w:tcW w:w="1530" w:type="dxa"/>
            <w:tcBorders>
              <w:top w:val="single" w:color="auto" w:sz="6" w:space="0"/>
              <w:left w:val="single" w:color="auto" w:sz="6" w:space="0"/>
              <w:bottom w:val="single" w:color="auto" w:sz="6" w:space="0"/>
              <w:right w:val="single" w:color="auto" w:sz="2" w:space="0"/>
            </w:tcBorders>
            <w:vAlign w:val="center"/>
          </w:tcPr>
          <w:p>
            <w:pPr>
              <w:pStyle w:val="29"/>
              <w:snapToGrid w:val="0"/>
              <w:spacing w:before="295" w:after="295" w:line="360" w:lineRule="exact"/>
              <w:jc w:val="center"/>
              <w:rPr>
                <w:rFonts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9"/>
              <w:snapToGrid w:val="0"/>
              <w:spacing w:before="295" w:after="295" w:line="360" w:lineRule="exact"/>
              <w:jc w:val="center"/>
              <w:rPr>
                <w:rFonts w:hAnsi="宋体" w:cs="宋体"/>
              </w:rPr>
            </w:pPr>
          </w:p>
        </w:tc>
        <w:tc>
          <w:tcPr>
            <w:tcW w:w="2700" w:type="dxa"/>
            <w:tcBorders>
              <w:top w:val="single" w:color="auto" w:sz="6" w:space="0"/>
              <w:left w:val="single" w:color="auto" w:sz="2" w:space="0"/>
              <w:bottom w:val="single" w:color="auto" w:sz="6" w:space="0"/>
              <w:right w:val="single" w:color="auto" w:sz="4" w:space="0"/>
            </w:tcBorders>
            <w:vAlign w:val="center"/>
          </w:tcPr>
          <w:p>
            <w:pPr>
              <w:pStyle w:val="29"/>
              <w:snapToGrid w:val="0"/>
              <w:spacing w:before="295" w:after="295" w:line="360" w:lineRule="exact"/>
              <w:jc w:val="center"/>
              <w:rPr>
                <w:rFonts w:hAnsi="宋体" w:cs="宋体"/>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9"/>
              <w:snapToGrid w:val="0"/>
              <w:spacing w:before="295" w:after="295" w:line="360" w:lineRule="exact"/>
              <w:jc w:val="center"/>
              <w:rPr>
                <w:rFonts w:hAnsi="宋体" w:cs="宋体"/>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9"/>
              <w:snapToGrid w:val="0"/>
              <w:spacing w:before="295" w:after="295" w:line="360" w:lineRule="exact"/>
              <w:jc w:val="center"/>
              <w:rPr>
                <w:rFonts w:hAnsi="宋体" w:cs="宋体"/>
              </w:rPr>
            </w:pPr>
          </w:p>
        </w:tc>
        <w:tc>
          <w:tcPr>
            <w:tcW w:w="1530" w:type="dxa"/>
            <w:tcBorders>
              <w:top w:val="single" w:color="auto" w:sz="6" w:space="0"/>
              <w:left w:val="single" w:color="auto" w:sz="6" w:space="0"/>
              <w:bottom w:val="single" w:color="auto" w:sz="6" w:space="0"/>
              <w:right w:val="single" w:color="auto" w:sz="2" w:space="0"/>
            </w:tcBorders>
            <w:vAlign w:val="center"/>
          </w:tcPr>
          <w:p>
            <w:pPr>
              <w:pStyle w:val="29"/>
              <w:snapToGrid w:val="0"/>
              <w:spacing w:before="295" w:after="295" w:line="360" w:lineRule="exact"/>
              <w:jc w:val="center"/>
              <w:rPr>
                <w:rFonts w:hAnsi="宋体" w:cs="宋体"/>
              </w:rPr>
            </w:pPr>
            <w:r>
              <w:rPr>
                <w:rFonts w:hint="eastAsia" w:hAnsi="宋体" w:cs="宋体"/>
              </w:rPr>
              <w:t>%</w:t>
            </w:r>
          </w:p>
        </w:tc>
        <w:tc>
          <w:tcPr>
            <w:tcW w:w="1530" w:type="dxa"/>
            <w:tcBorders>
              <w:top w:val="single" w:color="auto" w:sz="6" w:space="0"/>
              <w:left w:val="single" w:color="auto" w:sz="6" w:space="0"/>
              <w:bottom w:val="single" w:color="auto" w:sz="6" w:space="0"/>
              <w:right w:val="single" w:color="auto" w:sz="2" w:space="0"/>
            </w:tcBorders>
            <w:vAlign w:val="center"/>
          </w:tcPr>
          <w:p>
            <w:pPr>
              <w:pStyle w:val="29"/>
              <w:snapToGrid w:val="0"/>
              <w:spacing w:before="295" w:after="295" w:line="360" w:lineRule="exact"/>
              <w:jc w:val="center"/>
              <w:rPr>
                <w:rFonts w:hAnsi="宋体" w:cs="宋体"/>
              </w:rPr>
            </w:pPr>
          </w:p>
        </w:tc>
      </w:tr>
    </w:tbl>
    <w:p>
      <w:pPr>
        <w:snapToGrid w:val="0"/>
        <w:spacing w:before="50" w:after="50" w:line="360" w:lineRule="exact"/>
        <w:rPr>
          <w:rFonts w:ascii="宋体" w:hAnsi="宋体" w:cs="宋体"/>
          <w:spacing w:val="20"/>
          <w:szCs w:val="21"/>
        </w:rPr>
      </w:pPr>
    </w:p>
    <w:p>
      <w:pPr>
        <w:snapToGrid w:val="0"/>
        <w:spacing w:before="50" w:after="50" w:line="360" w:lineRule="exact"/>
        <w:rPr>
          <w:rFonts w:ascii="宋体" w:hAnsi="宋体" w:cs="宋体"/>
          <w:spacing w:val="20"/>
          <w:szCs w:val="21"/>
          <w:u w:val="single"/>
        </w:rPr>
      </w:pPr>
      <w:r>
        <w:rPr>
          <w:rFonts w:hint="eastAsia" w:ascii="宋体" w:hAnsi="宋体" w:cs="宋体"/>
          <w:szCs w:val="21"/>
        </w:rPr>
        <w:t>法定代表人（负责人）或委托代理人签名</w:t>
      </w:r>
      <w:r>
        <w:rPr>
          <w:rFonts w:hint="eastAsia" w:ascii="宋体" w:hAnsi="宋体" w:cs="宋体"/>
          <w:spacing w:val="20"/>
          <w:szCs w:val="21"/>
        </w:rPr>
        <w:t>：</w:t>
      </w:r>
    </w:p>
    <w:p>
      <w:pPr>
        <w:snapToGrid w:val="0"/>
        <w:spacing w:before="50" w:after="50" w:line="360" w:lineRule="exact"/>
        <w:rPr>
          <w:rFonts w:ascii="宋体" w:hAnsi="宋体" w:cs="宋体"/>
          <w:szCs w:val="21"/>
        </w:rPr>
      </w:pPr>
      <w:r>
        <w:rPr>
          <w:rFonts w:hint="eastAsia" w:ascii="宋体" w:hAnsi="宋体" w:cs="宋体"/>
          <w:spacing w:val="20"/>
          <w:szCs w:val="21"/>
        </w:rPr>
        <w:t>投标人盖章：日期：</w:t>
      </w:r>
    </w:p>
    <w:p>
      <w:pPr>
        <w:snapToGrid w:val="0"/>
        <w:spacing w:before="50" w:after="156" w:afterLines="50" w:line="360" w:lineRule="exact"/>
        <w:jc w:val="left"/>
        <w:rPr>
          <w:rFonts w:ascii="宋体" w:hAnsi="宋体" w:cs="宋体"/>
          <w:szCs w:val="21"/>
        </w:rPr>
      </w:pPr>
    </w:p>
    <w:p>
      <w:pPr>
        <w:snapToGrid w:val="0"/>
        <w:spacing w:before="50" w:after="156" w:afterLines="50" w:line="360" w:lineRule="exact"/>
        <w:jc w:val="left"/>
        <w:rPr>
          <w:rFonts w:ascii="宋体" w:hAnsi="宋体" w:cs="宋体"/>
          <w:szCs w:val="21"/>
        </w:rPr>
      </w:pPr>
    </w:p>
    <w:p>
      <w:pPr>
        <w:snapToGrid w:val="0"/>
        <w:spacing w:before="50" w:after="156" w:afterLines="50" w:line="360" w:lineRule="exact"/>
        <w:jc w:val="left"/>
        <w:rPr>
          <w:rFonts w:ascii="宋体" w:hAnsi="宋体" w:cs="宋体"/>
          <w:szCs w:val="21"/>
        </w:rPr>
      </w:pPr>
      <w:r>
        <w:rPr>
          <w:rFonts w:hint="eastAsia" w:ascii="宋体" w:hAnsi="宋体" w:cs="宋体"/>
          <w:szCs w:val="21"/>
        </w:rPr>
        <w:t>（7）投标人对本项目的合理化建议和改进措施（格式自拟）</w:t>
      </w:r>
    </w:p>
    <w:p>
      <w:pPr>
        <w:snapToGrid w:val="0"/>
        <w:spacing w:before="50" w:after="156" w:afterLines="50" w:line="360" w:lineRule="exact"/>
        <w:jc w:val="left"/>
        <w:rPr>
          <w:rFonts w:ascii="宋体" w:hAnsi="宋体" w:cs="宋体"/>
          <w:szCs w:val="21"/>
        </w:rPr>
      </w:pPr>
      <w:r>
        <w:rPr>
          <w:rFonts w:hint="eastAsia" w:ascii="宋体" w:hAnsi="宋体" w:cs="宋体"/>
          <w:szCs w:val="21"/>
        </w:rPr>
        <w:t>（8）投标人需要说明的其他文件和说明（格式自拟）</w:t>
      </w:r>
    </w:p>
    <w:p>
      <w:pPr>
        <w:snapToGrid w:val="0"/>
        <w:spacing w:before="50" w:after="156" w:afterLines="50" w:line="360" w:lineRule="exact"/>
        <w:ind w:left="-210" w:leftChars="-100" w:firstLine="210" w:firstLineChars="100"/>
        <w:jc w:val="left"/>
        <w:rPr>
          <w:rFonts w:ascii="宋体" w:hAnsi="宋体" w:cs="宋体"/>
          <w:szCs w:val="21"/>
        </w:rPr>
      </w:pPr>
      <w:r>
        <w:rPr>
          <w:rFonts w:hint="eastAsia" w:ascii="宋体" w:hAnsi="宋体" w:cs="宋体"/>
          <w:szCs w:val="21"/>
        </w:rPr>
        <w:t>（9）招标项目采购需求中要求必须提供的材料等（如：主要设备材料的原厂商对本项目的授权书）；</w:t>
      </w:r>
    </w:p>
    <w:p>
      <w:pPr>
        <w:snapToGrid w:val="0"/>
        <w:spacing w:before="50" w:line="600" w:lineRule="exact"/>
        <w:ind w:firstLine="87" w:firstLineChars="29"/>
        <w:jc w:val="center"/>
        <w:rPr>
          <w:rFonts w:ascii="宋体" w:hAnsi="宋体" w:cs="宋体"/>
          <w:b/>
          <w:sz w:val="30"/>
          <w:szCs w:val="30"/>
        </w:rPr>
      </w:pPr>
      <w:r>
        <w:rPr>
          <w:rFonts w:hint="eastAsia" w:ascii="宋体" w:hAnsi="宋体" w:cs="宋体"/>
          <w:b/>
          <w:sz w:val="30"/>
          <w:szCs w:val="30"/>
        </w:rPr>
        <w:t>原厂商售后服务承诺书（格式）</w:t>
      </w:r>
    </w:p>
    <w:p>
      <w:pPr>
        <w:snapToGrid w:val="0"/>
        <w:spacing w:before="50" w:line="360" w:lineRule="exact"/>
        <w:jc w:val="center"/>
        <w:rPr>
          <w:rFonts w:ascii="宋体" w:hAnsi="宋体" w:cs="宋体"/>
          <w:b/>
          <w:sz w:val="24"/>
        </w:rPr>
      </w:pPr>
    </w:p>
    <w:p>
      <w:pPr>
        <w:snapToGrid w:val="0"/>
        <w:spacing w:before="50" w:line="360" w:lineRule="exact"/>
        <w:rPr>
          <w:rFonts w:ascii="宋体" w:hAnsi="宋体" w:cs="宋体"/>
          <w:szCs w:val="21"/>
        </w:rPr>
      </w:pPr>
      <w:r>
        <w:rPr>
          <w:rFonts w:hint="eastAsia" w:ascii="宋体" w:hAnsi="宋体" w:cs="宋体"/>
          <w:szCs w:val="21"/>
        </w:rPr>
        <w:t>致：北海市</w:t>
      </w:r>
      <w:r>
        <w:rPr>
          <w:rFonts w:hint="eastAsia" w:ascii="宋体" w:hAnsi="宋体" w:cs="宋体"/>
          <w:szCs w:val="21"/>
          <w:lang w:eastAsia="zh-CN"/>
        </w:rPr>
        <w:t>铁山港区</w:t>
      </w:r>
      <w:r>
        <w:rPr>
          <w:rFonts w:hint="eastAsia" w:ascii="宋体" w:hAnsi="宋体" w:cs="宋体"/>
          <w:szCs w:val="21"/>
        </w:rPr>
        <w:t>政府采购中心：</w:t>
      </w:r>
    </w:p>
    <w:p>
      <w:pPr>
        <w:snapToGrid w:val="0"/>
        <w:spacing w:before="50" w:line="360" w:lineRule="exact"/>
        <w:ind w:firstLine="420" w:firstLineChars="200"/>
        <w:jc w:val="left"/>
        <w:rPr>
          <w:rFonts w:ascii="宋体" w:hAnsi="宋体" w:cs="宋体"/>
          <w:szCs w:val="21"/>
          <w:u w:val="single"/>
        </w:rPr>
      </w:pPr>
      <w:r>
        <w:rPr>
          <w:rFonts w:hint="eastAsia" w:ascii="宋体" w:hAnsi="宋体" w:cs="宋体"/>
          <w:szCs w:val="21"/>
        </w:rPr>
        <w:t>我们（制造商或者进口机电产品的国内总代理商名称）是按（国家名称）法律成立的一家公司，主要营业地址设在兹指派按</w:t>
      </w:r>
    </w:p>
    <w:p>
      <w:pPr>
        <w:snapToGrid w:val="0"/>
        <w:spacing w:before="50" w:line="360" w:lineRule="exact"/>
        <w:jc w:val="left"/>
        <w:rPr>
          <w:rFonts w:ascii="宋体" w:hAnsi="宋体" w:cs="宋体"/>
          <w:szCs w:val="21"/>
        </w:rPr>
      </w:pPr>
      <w:r>
        <w:rPr>
          <w:rFonts w:hint="eastAsia" w:ascii="宋体" w:hAnsi="宋体" w:cs="宋体"/>
          <w:szCs w:val="21"/>
        </w:rPr>
        <w:t>（国家名称）法律成立的、主要营业地址在的（投标人名称）作为我方真正的和合法的代理人进行下列有效活动：</w:t>
      </w:r>
    </w:p>
    <w:p>
      <w:pPr>
        <w:snapToGrid w:val="0"/>
        <w:spacing w:before="50" w:line="360" w:lineRule="exact"/>
        <w:ind w:firstLine="480"/>
        <w:jc w:val="left"/>
        <w:rPr>
          <w:rFonts w:ascii="宋体" w:hAnsi="宋体" w:cs="宋体"/>
          <w:szCs w:val="21"/>
        </w:rPr>
      </w:pPr>
      <w:r>
        <w:rPr>
          <w:rFonts w:hint="eastAsia" w:ascii="宋体" w:hAnsi="宋体" w:cs="宋体"/>
          <w:szCs w:val="21"/>
        </w:rPr>
        <w:t>1.代表我方办理贵方关于项目（招标编号：）要求采购的由我方制造/或进口的货物的有关事宜，并对我方具有约束力。</w:t>
      </w:r>
    </w:p>
    <w:p>
      <w:pPr>
        <w:pStyle w:val="21"/>
        <w:snapToGrid w:val="0"/>
        <w:spacing w:line="360" w:lineRule="exact"/>
        <w:ind w:firstLine="420" w:firstLineChars="200"/>
        <w:rPr>
          <w:rFonts w:ascii="宋体" w:hAnsi="宋体" w:cs="宋体"/>
          <w:sz w:val="21"/>
          <w:szCs w:val="21"/>
        </w:rPr>
      </w:pPr>
      <w:r>
        <w:rPr>
          <w:rFonts w:hint="eastAsia" w:ascii="宋体" w:hAnsi="宋体" w:cs="宋体"/>
          <w:sz w:val="21"/>
          <w:szCs w:val="21"/>
        </w:rPr>
        <w:t>2.作为原厂商，我方保证为本项目的组织实施、售后服务提供纯正的、专业化的技术支持。</w:t>
      </w:r>
    </w:p>
    <w:p>
      <w:pPr>
        <w:snapToGrid w:val="0"/>
        <w:spacing w:before="156" w:beforeLines="50" w:line="360" w:lineRule="exact"/>
        <w:ind w:firstLine="420" w:firstLineChars="200"/>
        <w:rPr>
          <w:rFonts w:ascii="宋体" w:hAnsi="宋体" w:cs="宋体"/>
          <w:szCs w:val="21"/>
        </w:rPr>
      </w:pPr>
      <w:r>
        <w:rPr>
          <w:rFonts w:hint="eastAsia" w:ascii="宋体" w:hAnsi="宋体" w:cs="宋体"/>
          <w:szCs w:val="21"/>
        </w:rPr>
        <w:t>3.我方此次向贵方提供的产品名称为：；规格型号：；我方保证：该产品既非试验产品也非积压产品，而是于年达产的成熟产品，且生产（完工）日期不早于年月；在可以预见的（天）内，我方没有对该型号产品进行升级、停产、淘汰的计划。</w:t>
      </w:r>
    </w:p>
    <w:p>
      <w:pPr>
        <w:snapToGrid w:val="0"/>
        <w:spacing w:before="50" w:after="156" w:afterLines="50" w:line="360" w:lineRule="exact"/>
        <w:ind w:firstLine="482"/>
        <w:jc w:val="left"/>
        <w:rPr>
          <w:rFonts w:ascii="宋体" w:hAnsi="宋体" w:cs="宋体"/>
          <w:szCs w:val="21"/>
        </w:rPr>
      </w:pPr>
      <w:r>
        <w:rPr>
          <w:rFonts w:hint="eastAsia" w:ascii="宋体" w:hAnsi="宋体" w:cs="宋体"/>
          <w:szCs w:val="21"/>
        </w:rPr>
        <w:t>4.我方该型号产品的市场销售情况良好，最近实施（完工）的同类项目有：</w:t>
      </w:r>
    </w:p>
    <w:tbl>
      <w:tblPr>
        <w:tblStyle w:val="58"/>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0"/>
        <w:gridCol w:w="900"/>
        <w:gridCol w:w="720"/>
        <w:gridCol w:w="1440"/>
        <w:gridCol w:w="1260"/>
        <w:gridCol w:w="126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16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line="360" w:lineRule="exact"/>
              <w:jc w:val="center"/>
              <w:rPr>
                <w:rFonts w:ascii="宋体" w:hAnsi="宋体" w:cs="宋体"/>
                <w:szCs w:val="21"/>
              </w:rPr>
            </w:pPr>
            <w:r>
              <w:rPr>
                <w:rFonts w:hint="eastAsia" w:ascii="宋体" w:hAnsi="宋体" w:cs="宋体"/>
                <w:szCs w:val="21"/>
              </w:rPr>
              <w:t>采购单位</w:t>
            </w:r>
          </w:p>
          <w:p>
            <w:pPr>
              <w:snapToGrid w:val="0"/>
              <w:spacing w:before="50" w:line="360" w:lineRule="exact"/>
              <w:jc w:val="center"/>
              <w:rPr>
                <w:rFonts w:ascii="宋体" w:hAnsi="宋体" w:cs="宋体"/>
                <w:szCs w:val="21"/>
              </w:rPr>
            </w:pPr>
            <w:r>
              <w:rPr>
                <w:rFonts w:hint="eastAsia" w:ascii="宋体" w:hAnsi="宋体" w:cs="宋体"/>
                <w:szCs w:val="21"/>
              </w:rPr>
              <w:t>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line="360" w:lineRule="exact"/>
              <w:jc w:val="center"/>
              <w:rPr>
                <w:rFonts w:ascii="宋体" w:hAnsi="宋体" w:cs="宋体"/>
                <w:szCs w:val="21"/>
              </w:rPr>
            </w:pPr>
            <w:r>
              <w:rPr>
                <w:rFonts w:hint="eastAsia" w:ascii="宋体" w:hAnsi="宋体" w:cs="宋体"/>
                <w:szCs w:val="21"/>
              </w:rPr>
              <w:t>采购</w:t>
            </w:r>
          </w:p>
          <w:p>
            <w:pPr>
              <w:snapToGrid w:val="0"/>
              <w:spacing w:before="50" w:line="360" w:lineRule="exact"/>
              <w:jc w:val="center"/>
              <w:rPr>
                <w:rFonts w:ascii="宋体" w:hAnsi="宋体" w:cs="宋体"/>
                <w:szCs w:val="21"/>
              </w:rPr>
            </w:pPr>
            <w:r>
              <w:rPr>
                <w:rFonts w:hint="eastAsia" w:ascii="宋体" w:hAnsi="宋体" w:cs="宋体"/>
                <w:szCs w:val="21"/>
              </w:rPr>
              <w:t>数量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line="360" w:lineRule="exact"/>
              <w:jc w:val="center"/>
              <w:rPr>
                <w:rFonts w:ascii="宋体" w:hAnsi="宋体" w:cs="宋体"/>
                <w:szCs w:val="21"/>
              </w:rPr>
            </w:pPr>
            <w:r>
              <w:rPr>
                <w:rFonts w:hint="eastAsia" w:ascii="宋体" w:hAnsi="宋体" w:cs="宋体"/>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line="360" w:lineRule="exact"/>
              <w:jc w:val="center"/>
              <w:rPr>
                <w:rFonts w:ascii="宋体" w:hAnsi="宋体" w:cs="宋体"/>
                <w:szCs w:val="21"/>
              </w:rPr>
            </w:pPr>
            <w:r>
              <w:rPr>
                <w:rFonts w:hint="eastAsia" w:ascii="宋体" w:hAnsi="宋体" w:cs="宋体"/>
                <w:szCs w:val="21"/>
              </w:rPr>
              <w:t>合同金额</w:t>
            </w:r>
          </w:p>
          <w:p>
            <w:pPr>
              <w:snapToGrid w:val="0"/>
              <w:spacing w:before="50" w:line="360" w:lineRule="exact"/>
              <w:jc w:val="center"/>
              <w:rPr>
                <w:rFonts w:ascii="宋体" w:hAnsi="宋体" w:cs="宋体"/>
                <w:szCs w:val="21"/>
              </w:rPr>
            </w:pPr>
            <w:r>
              <w:rPr>
                <w:rFonts w:hint="eastAsia" w:ascii="宋体" w:hAnsi="宋体" w:cs="宋体"/>
                <w:szCs w:val="21"/>
              </w:rPr>
              <w:t>（万元）</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line="360" w:lineRule="exact"/>
              <w:jc w:val="center"/>
              <w:rPr>
                <w:rFonts w:ascii="宋体" w:hAnsi="宋体" w:cs="宋体"/>
                <w:szCs w:val="21"/>
              </w:rPr>
            </w:pPr>
            <w:r>
              <w:rPr>
                <w:rFonts w:hint="eastAsia" w:ascii="宋体" w:hAnsi="宋体" w:cs="宋体"/>
                <w:szCs w:val="21"/>
              </w:rPr>
              <w:t>合同签订</w:t>
            </w:r>
          </w:p>
          <w:p>
            <w:pPr>
              <w:snapToGrid w:val="0"/>
              <w:spacing w:before="50" w:line="360" w:lineRule="exact"/>
              <w:jc w:val="center"/>
              <w:rPr>
                <w:rFonts w:ascii="宋体" w:hAnsi="宋体" w:cs="宋体"/>
                <w:szCs w:val="21"/>
              </w:rPr>
            </w:pPr>
            <w:r>
              <w:rPr>
                <w:rFonts w:hint="eastAsia" w:ascii="宋体" w:hAnsi="宋体" w:cs="宋体"/>
                <w:szCs w:val="21"/>
              </w:rPr>
              <w:t>日期</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line="360" w:lineRule="exact"/>
              <w:jc w:val="center"/>
              <w:rPr>
                <w:rFonts w:ascii="宋体" w:hAnsi="宋体" w:cs="宋体"/>
                <w:szCs w:val="21"/>
              </w:rPr>
            </w:pPr>
            <w:r>
              <w:rPr>
                <w:rFonts w:hint="eastAsia" w:ascii="宋体" w:hAnsi="宋体" w:cs="宋体"/>
                <w:szCs w:val="21"/>
              </w:rPr>
              <w:t>验收</w:t>
            </w:r>
          </w:p>
          <w:p>
            <w:pPr>
              <w:snapToGrid w:val="0"/>
              <w:spacing w:before="50" w:line="360" w:lineRule="exact"/>
              <w:jc w:val="center"/>
              <w:rPr>
                <w:rFonts w:ascii="宋体" w:hAnsi="宋体" w:cs="宋体"/>
                <w:szCs w:val="21"/>
              </w:rPr>
            </w:pPr>
            <w:r>
              <w:rPr>
                <w:rFonts w:hint="eastAsia" w:ascii="宋体" w:hAnsi="宋体" w:cs="宋体"/>
                <w:szCs w:val="21"/>
              </w:rPr>
              <w:t>日期</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line="360" w:lineRule="exact"/>
              <w:jc w:val="center"/>
              <w:rPr>
                <w:rFonts w:ascii="宋体" w:hAnsi="宋体" w:cs="宋体"/>
                <w:szCs w:val="21"/>
              </w:rPr>
            </w:pPr>
            <w:r>
              <w:rPr>
                <w:rFonts w:hint="eastAsia" w:ascii="宋体" w:hAnsi="宋体" w:cs="宋体"/>
                <w:szCs w:val="21"/>
              </w:rPr>
              <w:t>联系人及</w:t>
            </w:r>
          </w:p>
          <w:p>
            <w:pPr>
              <w:snapToGrid w:val="0"/>
              <w:spacing w:before="50" w:line="360" w:lineRule="exact"/>
              <w:jc w:val="center"/>
              <w:rPr>
                <w:rFonts w:ascii="宋体" w:hAnsi="宋体" w:cs="宋体"/>
                <w:szCs w:val="21"/>
              </w:rPr>
            </w:pPr>
            <w:r>
              <w:rPr>
                <w:rFonts w:hint="eastAsia" w:ascii="宋体" w:hAnsi="宋体" w:cs="宋体"/>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2"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Cs w:val="21"/>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p>
            <w:pPr>
              <w:snapToGrid w:val="0"/>
              <w:spacing w:before="50"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p>
            <w:pPr>
              <w:snapToGrid w:val="0"/>
              <w:spacing w:before="50"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p>
            <w:pPr>
              <w:snapToGrid w:val="0"/>
              <w:spacing w:before="50"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50" w:line="360" w:lineRule="exact"/>
              <w:jc w:val="left"/>
              <w:rPr>
                <w:rFonts w:ascii="宋体" w:hAnsi="宋体" w:cs="宋体"/>
                <w:szCs w:val="21"/>
              </w:rPr>
            </w:pPr>
          </w:p>
        </w:tc>
      </w:tr>
    </w:tbl>
    <w:p>
      <w:pPr>
        <w:snapToGrid w:val="0"/>
        <w:spacing w:before="50" w:line="360" w:lineRule="exact"/>
        <w:ind w:firstLine="420" w:firstLineChars="200"/>
        <w:jc w:val="left"/>
        <w:rPr>
          <w:rFonts w:ascii="宋体" w:hAnsi="宋体" w:cs="宋体"/>
          <w:szCs w:val="21"/>
        </w:rPr>
      </w:pPr>
      <w:r>
        <w:rPr>
          <w:rFonts w:hint="eastAsia" w:ascii="宋体" w:hAnsi="宋体" w:cs="宋体"/>
          <w:szCs w:val="21"/>
        </w:rPr>
        <w:t>5.我方诚意提请贵方关注：有关该型号产品的生产、供货、售后服务以及性能等方面的重大决策和事项有：</w:t>
      </w:r>
    </w:p>
    <w:p>
      <w:pPr>
        <w:snapToGrid w:val="0"/>
        <w:spacing w:before="156" w:beforeLines="50" w:line="360" w:lineRule="exact"/>
        <w:ind w:firstLine="420" w:firstLineChars="200"/>
        <w:rPr>
          <w:rFonts w:ascii="宋体" w:hAnsi="宋体" w:cs="宋体"/>
          <w:szCs w:val="21"/>
          <w:u w:val="single"/>
        </w:rPr>
      </w:pPr>
      <w:r>
        <w:rPr>
          <w:rFonts w:hint="eastAsia" w:ascii="宋体" w:hAnsi="宋体" w:cs="宋体"/>
          <w:szCs w:val="21"/>
          <w:u w:val="single"/>
        </w:rPr>
        <w:t>　　　　　　　　　　　　　　　　　　　　　　　　　　　</w:t>
      </w:r>
    </w:p>
    <w:p>
      <w:pPr>
        <w:snapToGrid w:val="0"/>
        <w:spacing w:before="156" w:beforeLines="50" w:line="360" w:lineRule="exact"/>
        <w:ind w:firstLine="420" w:firstLineChars="200"/>
        <w:rPr>
          <w:rFonts w:ascii="宋体" w:hAnsi="宋体" w:cs="宋体"/>
          <w:szCs w:val="21"/>
          <w:u w:val="single"/>
        </w:rPr>
      </w:pPr>
      <w:r>
        <w:rPr>
          <w:rFonts w:hint="eastAsia" w:ascii="宋体" w:hAnsi="宋体" w:cs="宋体"/>
          <w:szCs w:val="21"/>
          <w:u w:val="single"/>
        </w:rPr>
        <w:t>　　　　　　　　　　　　　　　　　　　　　　　　　　　</w:t>
      </w:r>
    </w:p>
    <w:p>
      <w:pPr>
        <w:snapToGrid w:val="0"/>
        <w:spacing w:before="50" w:line="360" w:lineRule="exact"/>
        <w:ind w:firstLine="420" w:firstLineChars="200"/>
        <w:jc w:val="left"/>
        <w:rPr>
          <w:rFonts w:ascii="宋体" w:hAnsi="宋体" w:cs="宋体"/>
          <w:szCs w:val="21"/>
        </w:rPr>
      </w:pPr>
      <w:r>
        <w:rPr>
          <w:rFonts w:hint="eastAsia" w:ascii="宋体" w:hAnsi="宋体" w:cs="宋体"/>
          <w:szCs w:val="21"/>
        </w:rPr>
        <w:t>6.我方同意按照贵方要求提供与投标有关的一切数据或资料。</w:t>
      </w:r>
    </w:p>
    <w:p>
      <w:pPr>
        <w:pStyle w:val="40"/>
        <w:snapToGrid w:val="0"/>
        <w:spacing w:line="360" w:lineRule="exact"/>
        <w:ind w:left="315" w:leftChars="150" w:firstLine="105" w:firstLineChars="50"/>
        <w:rPr>
          <w:rFonts w:ascii="宋体" w:hAnsi="宋体" w:cs="宋体"/>
          <w:sz w:val="21"/>
          <w:szCs w:val="21"/>
        </w:rPr>
      </w:pPr>
      <w:r>
        <w:rPr>
          <w:rFonts w:hint="eastAsia" w:ascii="宋体" w:hAnsi="宋体" w:cs="宋体"/>
          <w:sz w:val="21"/>
          <w:szCs w:val="21"/>
        </w:rPr>
        <w:t>法定代表人（负责人）或授权代表签名：</w:t>
      </w:r>
    </w:p>
    <w:p>
      <w:pPr>
        <w:snapToGrid w:val="0"/>
        <w:spacing w:before="50" w:line="360" w:lineRule="exact"/>
        <w:ind w:firstLine="420" w:firstLineChars="200"/>
        <w:jc w:val="left"/>
        <w:rPr>
          <w:rFonts w:ascii="宋体" w:hAnsi="宋体" w:cs="宋体"/>
          <w:szCs w:val="21"/>
        </w:rPr>
      </w:pPr>
      <w:r>
        <w:rPr>
          <w:rFonts w:hint="eastAsia" w:ascii="宋体" w:hAnsi="宋体" w:cs="宋体"/>
          <w:szCs w:val="21"/>
        </w:rPr>
        <w:t>单位公章：年月日</w:t>
      </w:r>
    </w:p>
    <w:p>
      <w:pPr>
        <w:snapToGrid w:val="0"/>
        <w:spacing w:before="50" w:line="360" w:lineRule="exact"/>
        <w:jc w:val="left"/>
        <w:rPr>
          <w:rFonts w:ascii="宋体" w:hAnsi="宋体" w:cs="宋体"/>
          <w:b/>
          <w:szCs w:val="21"/>
        </w:rPr>
      </w:pPr>
    </w:p>
    <w:p>
      <w:pPr>
        <w:snapToGrid w:val="0"/>
        <w:spacing w:before="50" w:after="156" w:afterLines="50" w:line="360" w:lineRule="exact"/>
        <w:jc w:val="left"/>
        <w:rPr>
          <w:rFonts w:ascii="宋体" w:hAnsi="宋体" w:cs="宋体"/>
          <w:b/>
          <w:szCs w:val="21"/>
        </w:rPr>
      </w:pPr>
      <w:r>
        <w:rPr>
          <w:rFonts w:hint="eastAsia" w:ascii="宋体" w:hAnsi="宋体" w:cs="宋体"/>
          <w:b/>
          <w:szCs w:val="21"/>
        </w:rPr>
        <w:t>距采购人最近或者能为本项目提供最优服务的网点情况表（格式）</w:t>
      </w: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1264"/>
        <w:gridCol w:w="191"/>
        <w:gridCol w:w="1440"/>
        <w:gridCol w:w="1425"/>
        <w:gridCol w:w="144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208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r>
              <w:rPr>
                <w:rFonts w:hint="eastAsia" w:ascii="宋体" w:hAnsi="宋体" w:cs="宋体"/>
                <w:szCs w:val="21"/>
              </w:rPr>
              <w:t>服务网点名称</w:t>
            </w:r>
          </w:p>
        </w:tc>
        <w:tc>
          <w:tcPr>
            <w:tcW w:w="5760"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620" w:type="dxa"/>
            <w:vMerge w:val="restart"/>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ind w:firstLine="210" w:firstLineChars="100"/>
              <w:jc w:val="left"/>
              <w:rPr>
                <w:rFonts w:ascii="宋体" w:hAnsi="宋体" w:cs="宋体"/>
                <w:szCs w:val="21"/>
              </w:rPr>
            </w:pPr>
            <w:r>
              <w:rPr>
                <w:rFonts w:hint="eastAsia" w:ascii="宋体" w:hAnsi="宋体" w:cs="宋体"/>
                <w:szCs w:val="21"/>
              </w:rPr>
              <w:t>投标文件</w:t>
            </w:r>
          </w:p>
          <w:p>
            <w:pPr>
              <w:snapToGrid w:val="0"/>
              <w:spacing w:before="50" w:after="156" w:afterLines="50" w:line="360" w:lineRule="exact"/>
              <w:jc w:val="center"/>
              <w:rPr>
                <w:rFonts w:ascii="宋体" w:hAnsi="宋体" w:cs="宋体"/>
                <w:szCs w:val="21"/>
              </w:rPr>
            </w:pPr>
            <w:r>
              <w:rPr>
                <w:rFonts w:hint="eastAsia" w:ascii="宋体" w:hAnsi="宋体" w:cs="宋体"/>
                <w:szCs w:val="21"/>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208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r>
              <w:rPr>
                <w:rFonts w:hint="eastAsia" w:ascii="宋体" w:hAnsi="宋体" w:cs="宋体"/>
                <w:szCs w:val="21"/>
              </w:rPr>
              <w:t>地址</w:t>
            </w:r>
          </w:p>
        </w:tc>
        <w:tc>
          <w:tcPr>
            <w:tcW w:w="5760"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r>
              <w:rPr>
                <w:rFonts w:hint="eastAsia" w:ascii="宋体" w:hAnsi="宋体" w:cs="宋体"/>
                <w:szCs w:val="21"/>
              </w:rPr>
              <w:t>注册资本金</w:t>
            </w:r>
          </w:p>
        </w:tc>
        <w:tc>
          <w:tcPr>
            <w:tcW w:w="1264"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3056" w:type="dxa"/>
            <w:gridSpan w:val="3"/>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r>
              <w:rPr>
                <w:rFonts w:hint="eastAsia" w:ascii="宋体" w:hAnsi="宋体" w:cs="宋体"/>
                <w:szCs w:val="21"/>
              </w:rPr>
              <w:t>其中：投标人出资比例</w:t>
            </w: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208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r>
              <w:rPr>
                <w:rFonts w:hint="eastAsia" w:ascii="宋体" w:hAnsi="宋体" w:cs="宋体"/>
                <w:szCs w:val="21"/>
              </w:rPr>
              <w:t>员工总人数</w:t>
            </w:r>
          </w:p>
        </w:tc>
        <w:tc>
          <w:tcPr>
            <w:tcW w:w="1264"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3056" w:type="dxa"/>
            <w:gridSpan w:val="3"/>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ind w:left="240"/>
              <w:jc w:val="left"/>
              <w:rPr>
                <w:rFonts w:ascii="宋体" w:hAnsi="宋体" w:cs="宋体"/>
                <w:szCs w:val="21"/>
              </w:rPr>
            </w:pPr>
            <w:r>
              <w:rPr>
                <w:rFonts w:hint="eastAsia" w:ascii="宋体" w:hAnsi="宋体" w:cs="宋体"/>
                <w:szCs w:val="21"/>
              </w:rPr>
              <w:t>其中：技术人员数</w:t>
            </w: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r>
              <w:rPr>
                <w:rFonts w:hint="eastAsia" w:ascii="宋体" w:hAnsi="宋体" w:cs="宋体"/>
                <w:szCs w:val="21"/>
              </w:rPr>
              <w:t>经营期限</w:t>
            </w:r>
          </w:p>
        </w:tc>
        <w:tc>
          <w:tcPr>
            <w:tcW w:w="5760"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r>
              <w:rPr>
                <w:rFonts w:hint="eastAsia" w:ascii="宋体" w:hAnsi="宋体" w:cs="宋体"/>
                <w:szCs w:val="21"/>
              </w:rPr>
              <w:t>售后服务协议</w:t>
            </w:r>
          </w:p>
        </w:tc>
        <w:tc>
          <w:tcPr>
            <w:tcW w:w="5760"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r>
              <w:rPr>
                <w:rFonts w:hint="eastAsia" w:ascii="宋体" w:hAnsi="宋体" w:cs="宋体"/>
                <w:szCs w:val="21"/>
              </w:rPr>
              <w:t>售后服务内容</w:t>
            </w:r>
          </w:p>
        </w:tc>
        <w:tc>
          <w:tcPr>
            <w:tcW w:w="5760"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208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r>
              <w:rPr>
                <w:rFonts w:hint="eastAsia" w:ascii="宋体" w:hAnsi="宋体" w:cs="宋体"/>
                <w:szCs w:val="21"/>
              </w:rPr>
              <w:t>工作业绩</w:t>
            </w:r>
          </w:p>
        </w:tc>
        <w:tc>
          <w:tcPr>
            <w:tcW w:w="5760"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r>
              <w:rPr>
                <w:rFonts w:hint="eastAsia" w:ascii="宋体" w:hAnsi="宋体" w:cs="宋体"/>
                <w:szCs w:val="21"/>
              </w:rPr>
              <w:t>服务承诺</w:t>
            </w:r>
          </w:p>
        </w:tc>
        <w:tc>
          <w:tcPr>
            <w:tcW w:w="5760"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r>
              <w:rPr>
                <w:rFonts w:hint="eastAsia" w:ascii="宋体" w:hAnsi="宋体" w:cs="宋体"/>
                <w:szCs w:val="21"/>
              </w:rPr>
              <w:t>业务咨询电话</w:t>
            </w:r>
          </w:p>
        </w:tc>
        <w:tc>
          <w:tcPr>
            <w:tcW w:w="1455" w:type="dxa"/>
            <w:gridSpan w:val="2"/>
            <w:tcBorders>
              <w:top w:val="single" w:color="auto" w:sz="4" w:space="0"/>
              <w:left w:val="single" w:color="auto" w:sz="4" w:space="0"/>
              <w:bottom w:val="single" w:color="auto" w:sz="4" w:space="0"/>
              <w:right w:val="single" w:color="auto" w:sz="2" w:space="0"/>
            </w:tcBorders>
          </w:tcPr>
          <w:p>
            <w:pPr>
              <w:snapToGrid w:val="0"/>
              <w:spacing w:before="50" w:after="156" w:afterLines="50" w:line="360" w:lineRule="exact"/>
              <w:jc w:val="left"/>
              <w:rPr>
                <w:rFonts w:ascii="宋体" w:hAnsi="宋体" w:cs="宋体"/>
                <w:szCs w:val="21"/>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56" w:afterLines="50" w:line="360" w:lineRule="exact"/>
              <w:ind w:firstLine="210" w:firstLineChars="100"/>
              <w:jc w:val="left"/>
              <w:rPr>
                <w:rFonts w:ascii="宋体" w:hAnsi="宋体" w:cs="宋体"/>
                <w:szCs w:val="21"/>
              </w:rPr>
            </w:pPr>
            <w:r>
              <w:rPr>
                <w:rFonts w:hint="eastAsia" w:ascii="宋体" w:hAnsi="宋体" w:cs="宋体"/>
                <w:szCs w:val="21"/>
              </w:rPr>
              <w:t>传真</w:t>
            </w:r>
          </w:p>
        </w:tc>
        <w:tc>
          <w:tcPr>
            <w:tcW w:w="2865" w:type="dxa"/>
            <w:gridSpan w:val="2"/>
            <w:tcBorders>
              <w:top w:val="single" w:color="auto" w:sz="4" w:space="0"/>
              <w:left w:val="single" w:color="auto" w:sz="2" w:space="0"/>
              <w:bottom w:val="single" w:color="auto" w:sz="4" w:space="0"/>
              <w:right w:val="single" w:color="auto" w:sz="2" w:space="0"/>
            </w:tcBorders>
          </w:tcPr>
          <w:p>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2"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r>
              <w:rPr>
                <w:rFonts w:hint="eastAsia" w:ascii="宋体" w:hAnsi="宋体" w:cs="宋体"/>
                <w:szCs w:val="21"/>
              </w:rPr>
              <w:t>负责人</w:t>
            </w:r>
          </w:p>
        </w:tc>
        <w:tc>
          <w:tcPr>
            <w:tcW w:w="1455" w:type="dxa"/>
            <w:gridSpan w:val="2"/>
            <w:tcBorders>
              <w:top w:val="single" w:color="auto" w:sz="4" w:space="0"/>
              <w:left w:val="single" w:color="auto" w:sz="4" w:space="0"/>
              <w:bottom w:val="single" w:color="auto" w:sz="4" w:space="0"/>
              <w:right w:val="single" w:color="auto" w:sz="2" w:space="0"/>
            </w:tcBorders>
          </w:tcPr>
          <w:p>
            <w:pPr>
              <w:snapToGrid w:val="0"/>
              <w:spacing w:before="50" w:after="156" w:afterLines="50" w:line="360" w:lineRule="exact"/>
              <w:jc w:val="left"/>
              <w:rPr>
                <w:rFonts w:ascii="宋体" w:hAnsi="宋体" w:cs="宋体"/>
                <w:szCs w:val="21"/>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56" w:afterLines="50" w:line="360" w:lineRule="exact"/>
              <w:jc w:val="left"/>
              <w:rPr>
                <w:rFonts w:ascii="宋体" w:hAnsi="宋体" w:cs="宋体"/>
                <w:szCs w:val="21"/>
              </w:rPr>
            </w:pPr>
            <w:r>
              <w:rPr>
                <w:rFonts w:hint="eastAsia" w:ascii="宋体" w:hAnsi="宋体" w:cs="宋体"/>
                <w:szCs w:val="21"/>
              </w:rPr>
              <w:t>联系电话</w:t>
            </w:r>
          </w:p>
        </w:tc>
        <w:tc>
          <w:tcPr>
            <w:tcW w:w="2865" w:type="dxa"/>
            <w:gridSpan w:val="2"/>
            <w:tcBorders>
              <w:top w:val="single" w:color="auto" w:sz="4" w:space="0"/>
              <w:left w:val="single" w:color="auto" w:sz="2"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s="宋体"/>
                <w:szCs w:val="21"/>
              </w:rPr>
            </w:pPr>
          </w:p>
        </w:tc>
      </w:tr>
    </w:tbl>
    <w:p>
      <w:pPr>
        <w:pStyle w:val="15"/>
        <w:snapToGrid w:val="0"/>
        <w:spacing w:line="360" w:lineRule="exact"/>
        <w:rPr>
          <w:rFonts w:ascii="宋体" w:hAnsi="宋体" w:eastAsia="宋体" w:cs="宋体"/>
          <w:sz w:val="21"/>
          <w:szCs w:val="21"/>
          <w:u w:val="single"/>
        </w:rPr>
      </w:pPr>
      <w:r>
        <w:rPr>
          <w:rFonts w:hint="eastAsia" w:ascii="宋体" w:hAnsi="宋体" w:eastAsia="宋体" w:cs="宋体"/>
          <w:szCs w:val="21"/>
        </w:rPr>
        <w:t>法定代表人（负责人）或委托代理人签名</w:t>
      </w:r>
      <w:r>
        <w:rPr>
          <w:rFonts w:hint="eastAsia" w:ascii="宋体" w:hAnsi="宋体" w:eastAsia="宋体" w:cs="宋体"/>
          <w:sz w:val="21"/>
          <w:szCs w:val="21"/>
        </w:rPr>
        <w:t>：</w:t>
      </w:r>
      <w:r>
        <w:rPr>
          <w:rFonts w:hint="eastAsia" w:ascii="宋体" w:hAnsi="宋体" w:eastAsia="宋体" w:cs="宋体"/>
          <w:sz w:val="21"/>
          <w:szCs w:val="21"/>
          <w:u w:val="single"/>
        </w:rPr>
        <w:t>　　　　　</w:t>
      </w:r>
    </w:p>
    <w:p>
      <w:pPr>
        <w:pStyle w:val="21"/>
        <w:snapToGrid w:val="0"/>
        <w:spacing w:line="360" w:lineRule="exact"/>
        <w:rPr>
          <w:rFonts w:ascii="宋体" w:hAnsi="宋体" w:cs="宋体"/>
          <w:sz w:val="21"/>
          <w:szCs w:val="21"/>
        </w:rPr>
      </w:pPr>
      <w:r>
        <w:rPr>
          <w:rFonts w:hint="eastAsia" w:ascii="宋体" w:hAnsi="宋体" w:cs="宋体"/>
          <w:sz w:val="21"/>
          <w:szCs w:val="21"/>
        </w:rPr>
        <w:t>投标人公章：　年月　日</w:t>
      </w:r>
    </w:p>
    <w:p>
      <w:pPr>
        <w:snapToGrid w:val="0"/>
        <w:spacing w:before="50" w:line="360" w:lineRule="exact"/>
        <w:jc w:val="left"/>
        <w:rPr>
          <w:rFonts w:ascii="宋体" w:hAnsi="宋体" w:cs="宋体"/>
          <w:b/>
          <w:szCs w:val="21"/>
        </w:rPr>
      </w:pPr>
    </w:p>
    <w:p>
      <w:pPr>
        <w:snapToGrid w:val="0"/>
        <w:spacing w:before="156" w:beforeLines="50" w:after="50" w:line="360" w:lineRule="exact"/>
        <w:outlineLvl w:val="1"/>
        <w:rPr>
          <w:rFonts w:ascii="宋体" w:hAnsi="宋体" w:cs="宋体"/>
          <w:b/>
          <w:szCs w:val="21"/>
        </w:rPr>
      </w:pPr>
      <w:r>
        <w:rPr>
          <w:rFonts w:hint="eastAsia" w:ascii="宋体" w:hAnsi="宋体" w:cs="宋体"/>
          <w:b/>
          <w:szCs w:val="21"/>
        </w:rPr>
        <w:t>四）报价文件部分（格式）</w:t>
      </w:r>
    </w:p>
    <w:p>
      <w:pPr>
        <w:snapToGrid w:val="0"/>
        <w:spacing w:before="156" w:beforeLines="50" w:after="50" w:line="360" w:lineRule="exact"/>
        <w:rPr>
          <w:rFonts w:ascii="宋体" w:hAnsi="宋体" w:cs="宋体"/>
          <w:b/>
          <w:szCs w:val="21"/>
        </w:rPr>
      </w:pPr>
      <w:r>
        <w:rPr>
          <w:rFonts w:hint="eastAsia" w:ascii="宋体" w:hAnsi="宋体" w:cs="宋体"/>
        </w:rPr>
        <w:t>▲</w:t>
      </w:r>
      <w:r>
        <w:rPr>
          <w:rFonts w:hint="eastAsia" w:ascii="宋体" w:hAnsi="宋体" w:cs="宋体"/>
          <w:b/>
          <w:szCs w:val="21"/>
        </w:rPr>
        <w:t>（1）</w:t>
      </w:r>
      <w:r>
        <w:rPr>
          <w:rFonts w:hint="eastAsia" w:ascii="宋体" w:hAnsi="宋体" w:cs="宋体"/>
          <w:szCs w:val="21"/>
        </w:rPr>
        <w:t>投标函格式：</w:t>
      </w:r>
      <w:r>
        <w:rPr>
          <w:rFonts w:hint="eastAsia" w:ascii="宋体" w:hAnsi="宋体" w:cs="宋体"/>
          <w:b/>
          <w:szCs w:val="21"/>
        </w:rPr>
        <w:t>（必须提供）</w:t>
      </w:r>
    </w:p>
    <w:p>
      <w:pPr>
        <w:snapToGrid w:val="0"/>
        <w:spacing w:before="156" w:beforeLines="50" w:after="50" w:line="360" w:lineRule="exact"/>
        <w:jc w:val="center"/>
        <w:rPr>
          <w:rFonts w:ascii="宋体" w:hAnsi="宋体" w:cs="宋体"/>
          <w:b/>
          <w:szCs w:val="21"/>
        </w:rPr>
      </w:pPr>
    </w:p>
    <w:p>
      <w:pPr>
        <w:snapToGrid w:val="0"/>
        <w:spacing w:before="156" w:beforeLines="50" w:after="50" w:line="360" w:lineRule="exact"/>
        <w:jc w:val="center"/>
        <w:rPr>
          <w:rFonts w:ascii="宋体" w:hAnsi="宋体" w:cs="宋体"/>
          <w:b/>
          <w:sz w:val="28"/>
          <w:szCs w:val="28"/>
        </w:rPr>
      </w:pPr>
      <w:r>
        <w:rPr>
          <w:rFonts w:hint="eastAsia" w:ascii="宋体" w:hAnsi="宋体" w:cs="宋体"/>
          <w:b/>
          <w:sz w:val="28"/>
          <w:szCs w:val="28"/>
        </w:rPr>
        <w:t>投标函</w:t>
      </w:r>
    </w:p>
    <w:p>
      <w:pPr>
        <w:snapToGrid w:val="0"/>
        <w:spacing w:line="360" w:lineRule="exact"/>
        <w:rPr>
          <w:rFonts w:ascii="宋体" w:hAnsi="宋体" w:cs="宋体"/>
          <w:szCs w:val="21"/>
        </w:rPr>
      </w:pPr>
      <w:r>
        <w:rPr>
          <w:rFonts w:hint="eastAsia" w:ascii="宋体" w:hAnsi="宋体" w:cs="宋体"/>
          <w:szCs w:val="21"/>
        </w:rPr>
        <w:t>致：</w:t>
      </w:r>
      <w:r>
        <w:rPr>
          <w:rFonts w:hint="eastAsia" w:ascii="宋体" w:hAnsi="宋体" w:cs="宋体"/>
          <w:u w:val="single"/>
        </w:rPr>
        <w:t>北海市</w:t>
      </w:r>
      <w:r>
        <w:rPr>
          <w:rFonts w:hint="eastAsia" w:ascii="宋体" w:hAnsi="宋体" w:cs="宋体"/>
          <w:u w:val="single"/>
          <w:lang w:eastAsia="zh-CN"/>
        </w:rPr>
        <w:t>铁山港区</w:t>
      </w:r>
      <w:r>
        <w:rPr>
          <w:rFonts w:hint="eastAsia" w:ascii="宋体" w:hAnsi="宋体" w:cs="宋体"/>
          <w:u w:val="single"/>
        </w:rPr>
        <w:t>政府采购中心</w:t>
      </w:r>
      <w:r>
        <w:rPr>
          <w:rFonts w:hint="eastAsia" w:ascii="宋体" w:hAnsi="宋体" w:cs="宋体"/>
          <w:szCs w:val="21"/>
        </w:rPr>
        <w:t>：</w:t>
      </w:r>
    </w:p>
    <w:p>
      <w:pPr>
        <w:snapToGrid w:val="0"/>
        <w:spacing w:line="360" w:lineRule="exact"/>
        <w:ind w:firstLine="480"/>
        <w:rPr>
          <w:rFonts w:ascii="宋体" w:hAnsi="宋体" w:cs="宋体"/>
          <w:szCs w:val="21"/>
        </w:rPr>
      </w:pPr>
      <w:r>
        <w:rPr>
          <w:rFonts w:hint="eastAsia" w:ascii="宋体" w:hAnsi="宋体" w:cs="宋体"/>
          <w:szCs w:val="21"/>
        </w:rPr>
        <w:t>根据贵方</w:t>
      </w:r>
      <w:r>
        <w:rPr>
          <w:rFonts w:hint="eastAsia" w:ascii="宋体" w:hAnsi="宋体" w:cs="宋体"/>
          <w:szCs w:val="21"/>
          <w:u w:val="single"/>
        </w:rPr>
        <w:t xml:space="preserve">           </w:t>
      </w:r>
      <w:r>
        <w:rPr>
          <w:rFonts w:hint="eastAsia" w:ascii="宋体" w:hAnsi="宋体" w:cs="宋体"/>
          <w:szCs w:val="21"/>
        </w:rPr>
        <w:t>项目的招标公告（项目编号：</w:t>
      </w:r>
      <w:r>
        <w:rPr>
          <w:rFonts w:hint="eastAsia" w:ascii="宋体" w:hAnsi="宋体" w:cs="宋体"/>
          <w:szCs w:val="21"/>
          <w:u w:val="single"/>
        </w:rPr>
        <w:t xml:space="preserve">        </w:t>
      </w:r>
      <w:r>
        <w:rPr>
          <w:rFonts w:hint="eastAsia" w:ascii="宋体" w:hAnsi="宋体" w:cs="宋体"/>
          <w:szCs w:val="21"/>
        </w:rPr>
        <w:t>），签字代表</w:t>
      </w:r>
      <w:r>
        <w:rPr>
          <w:rFonts w:hint="eastAsia" w:ascii="宋体" w:hAnsi="宋体" w:cs="宋体"/>
          <w:szCs w:val="21"/>
          <w:u w:val="single"/>
        </w:rPr>
        <w:t xml:space="preserve">        </w:t>
      </w:r>
      <w:r>
        <w:rPr>
          <w:rFonts w:hint="eastAsia" w:ascii="宋体" w:hAnsi="宋体" w:cs="宋体"/>
          <w:szCs w:val="21"/>
        </w:rPr>
        <w:t>（全名）经正式授权并代表投标人</w:t>
      </w:r>
      <w:r>
        <w:rPr>
          <w:rFonts w:hint="eastAsia" w:ascii="宋体" w:hAnsi="宋体" w:cs="宋体"/>
          <w:szCs w:val="21"/>
          <w:u w:val="single"/>
        </w:rPr>
        <w:t xml:space="preserve">        </w:t>
      </w:r>
      <w:r>
        <w:rPr>
          <w:rFonts w:hint="eastAsia" w:ascii="宋体" w:hAnsi="宋体" w:cs="宋体"/>
          <w:szCs w:val="21"/>
        </w:rPr>
        <w:t>（投标人名称）提交投标文件(</w:t>
      </w:r>
      <w:r>
        <w:rPr>
          <w:rFonts w:hint="eastAsia" w:ascii="宋体" w:hAnsi="宋体" w:cs="宋体"/>
          <w:b/>
          <w:szCs w:val="21"/>
        </w:rPr>
        <w:t>其中资格文件一份；资信及商务文件、技术文件、投标报价文件一份</w:t>
      </w:r>
      <w:r>
        <w:rPr>
          <w:rFonts w:hint="eastAsia" w:ascii="宋体" w:hAnsi="宋体" w:cs="宋体"/>
          <w:szCs w:val="21"/>
        </w:rPr>
        <w:t>)。</w:t>
      </w:r>
    </w:p>
    <w:p>
      <w:pPr>
        <w:snapToGrid w:val="0"/>
        <w:spacing w:line="360" w:lineRule="exact"/>
        <w:ind w:firstLine="420" w:firstLineChars="200"/>
        <w:rPr>
          <w:rFonts w:ascii="宋体" w:hAnsi="宋体" w:cs="宋体"/>
          <w:szCs w:val="21"/>
        </w:rPr>
      </w:pPr>
      <w:r>
        <w:rPr>
          <w:rFonts w:hint="eastAsia" w:ascii="宋体" w:hAnsi="宋体" w:cs="宋体"/>
          <w:szCs w:val="21"/>
        </w:rPr>
        <w:t>据此函，签字代表宣布同意如下：</w:t>
      </w:r>
    </w:p>
    <w:p>
      <w:pPr>
        <w:snapToGrid w:val="0"/>
        <w:spacing w:line="360" w:lineRule="exact"/>
        <w:ind w:firstLine="420" w:firstLineChars="200"/>
        <w:rPr>
          <w:rFonts w:ascii="宋体" w:hAnsi="宋体" w:cs="宋体"/>
          <w:szCs w:val="21"/>
        </w:rPr>
      </w:pPr>
      <w:r>
        <w:rPr>
          <w:rFonts w:hint="eastAsia" w:ascii="宋体" w:hAnsi="宋体" w:cs="宋体"/>
          <w:szCs w:val="21"/>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exact"/>
        <w:ind w:firstLine="420" w:firstLineChars="200"/>
        <w:rPr>
          <w:rFonts w:ascii="宋体" w:hAnsi="宋体" w:cs="宋体"/>
          <w:szCs w:val="21"/>
        </w:rPr>
      </w:pPr>
      <w:r>
        <w:rPr>
          <w:rFonts w:hint="eastAsia" w:ascii="宋体" w:hAnsi="宋体" w:cs="宋体"/>
          <w:szCs w:val="21"/>
        </w:rPr>
        <w:t>2.投标人在投标之前已经与贵方进行了充分的沟通，完全理解并接受招标文件的各项规定和要求，对招标文件的合理性、合法性不再有异议。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ascii="宋体" w:hAnsi="宋体" w:cs="宋体"/>
          <w:szCs w:val="21"/>
        </w:rPr>
      </w:pPr>
      <w:r>
        <w:rPr>
          <w:rFonts w:hint="eastAsia" w:ascii="宋体" w:hAnsi="宋体" w:cs="宋体"/>
          <w:szCs w:val="21"/>
        </w:rPr>
        <w:t>3.本投标有效期自开标日起______个日（自然日）。</w:t>
      </w:r>
    </w:p>
    <w:p>
      <w:pPr>
        <w:snapToGrid w:val="0"/>
        <w:spacing w:line="360" w:lineRule="exact"/>
        <w:ind w:firstLine="420" w:firstLineChars="200"/>
        <w:rPr>
          <w:rFonts w:ascii="宋体" w:hAnsi="宋体" w:cs="宋体"/>
          <w:szCs w:val="21"/>
        </w:rPr>
      </w:pPr>
      <w:r>
        <w:rPr>
          <w:rFonts w:hint="eastAsia" w:ascii="宋体" w:hAnsi="宋体" w:cs="宋体"/>
          <w:szCs w:val="21"/>
        </w:rPr>
        <w:t>4.如中标，本投标文件至本项目合同履行完毕止均保持有效，本投标人将按“招标文件”及政府采购法律、法规的规定履行合同责任和义务。</w:t>
      </w:r>
    </w:p>
    <w:p>
      <w:pPr>
        <w:snapToGrid w:val="0"/>
        <w:spacing w:line="360" w:lineRule="exact"/>
        <w:ind w:firstLine="420" w:firstLineChars="200"/>
        <w:rPr>
          <w:rFonts w:ascii="宋体" w:hAnsi="宋体" w:cs="宋体"/>
          <w:szCs w:val="21"/>
        </w:rPr>
      </w:pPr>
      <w:r>
        <w:rPr>
          <w:rFonts w:hint="eastAsia" w:ascii="宋体" w:hAnsi="宋体" w:cs="宋体"/>
          <w:szCs w:val="21"/>
        </w:rPr>
        <w:t>5.投标人同意按照贵方要求提供与投标有关的一切数据或资料。</w:t>
      </w:r>
    </w:p>
    <w:p>
      <w:pPr>
        <w:snapToGrid w:val="0"/>
        <w:spacing w:line="360" w:lineRule="exact"/>
        <w:ind w:firstLine="420" w:firstLineChars="200"/>
        <w:rPr>
          <w:rFonts w:ascii="宋体" w:hAnsi="宋体" w:cs="宋体"/>
          <w:szCs w:val="21"/>
        </w:rPr>
      </w:pPr>
      <w:r>
        <w:rPr>
          <w:rFonts w:hint="eastAsia" w:ascii="宋体" w:hAnsi="宋体" w:cs="宋体"/>
          <w:szCs w:val="21"/>
        </w:rPr>
        <w:t>6.与本投标有关的一切正式往来信函请寄：</w:t>
      </w:r>
    </w:p>
    <w:p>
      <w:pPr>
        <w:snapToGrid w:val="0"/>
        <w:spacing w:line="360" w:lineRule="exact"/>
        <w:rPr>
          <w:rFonts w:ascii="宋体" w:hAnsi="宋体" w:cs="宋体"/>
          <w:szCs w:val="21"/>
        </w:rPr>
      </w:pPr>
      <w:r>
        <w:rPr>
          <w:rFonts w:hint="eastAsia" w:ascii="宋体" w:hAnsi="宋体" w:cs="宋体"/>
          <w:szCs w:val="21"/>
        </w:rPr>
        <w:t>地址：邮编：__________电话：______________</w:t>
      </w:r>
    </w:p>
    <w:p>
      <w:pPr>
        <w:snapToGrid w:val="0"/>
        <w:spacing w:line="360" w:lineRule="exact"/>
        <w:rPr>
          <w:rFonts w:ascii="宋体" w:hAnsi="宋体" w:cs="宋体"/>
          <w:szCs w:val="21"/>
        </w:rPr>
      </w:pPr>
      <w:r>
        <w:rPr>
          <w:rFonts w:hint="eastAsia" w:ascii="宋体" w:hAnsi="宋体" w:cs="宋体"/>
          <w:szCs w:val="21"/>
        </w:rPr>
        <w:t>传真：______________投标人代表姓名：___________职务：</w:t>
      </w:r>
    </w:p>
    <w:p>
      <w:pPr>
        <w:snapToGrid w:val="0"/>
        <w:spacing w:line="360" w:lineRule="exact"/>
        <w:rPr>
          <w:rFonts w:ascii="宋体" w:hAnsi="宋体" w:cs="宋体"/>
          <w:szCs w:val="21"/>
        </w:rPr>
      </w:pPr>
      <w:r>
        <w:rPr>
          <w:rFonts w:hint="eastAsia" w:ascii="宋体" w:hAnsi="宋体" w:cs="宋体"/>
          <w:szCs w:val="21"/>
        </w:rPr>
        <w:t>投标人名称(公章):___________________</w:t>
      </w:r>
    </w:p>
    <w:p>
      <w:pPr>
        <w:snapToGrid w:val="0"/>
        <w:spacing w:line="360" w:lineRule="exact"/>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银行帐号：</w:t>
      </w:r>
      <w:r>
        <w:rPr>
          <w:rFonts w:hint="eastAsia" w:ascii="宋体" w:hAnsi="宋体" w:cs="宋体"/>
          <w:szCs w:val="21"/>
          <w:u w:val="single"/>
        </w:rPr>
        <w:t xml:space="preserve">        </w:t>
      </w:r>
    </w:p>
    <w:p>
      <w:pPr>
        <w:snapToGrid w:val="0"/>
        <w:spacing w:line="360" w:lineRule="exact"/>
        <w:rPr>
          <w:rFonts w:ascii="宋体" w:hAnsi="宋体" w:cs="宋体"/>
          <w:szCs w:val="21"/>
        </w:rPr>
      </w:pPr>
      <w:r>
        <w:rPr>
          <w:rFonts w:hint="eastAsia" w:ascii="宋体" w:hAnsi="宋体" w:cs="宋体"/>
          <w:szCs w:val="21"/>
        </w:rPr>
        <w:t>法定代表人（负责人）或委托代理人签名:___________    日期:_____年___月___日</w:t>
      </w:r>
    </w:p>
    <w:p>
      <w:pPr>
        <w:pStyle w:val="29"/>
        <w:snapToGrid w:val="0"/>
        <w:spacing w:before="295" w:after="295" w:line="360" w:lineRule="exact"/>
        <w:ind w:firstLine="5400" w:firstLineChars="2700"/>
        <w:rPr>
          <w:rFonts w:hAnsi="宋体" w:cs="宋体"/>
        </w:rPr>
      </w:pPr>
      <w:r>
        <w:rPr>
          <w:rFonts w:hint="eastAsia" w:hAnsi="宋体" w:cs="宋体"/>
        </w:rPr>
        <w:t>(公章)</w:t>
      </w:r>
    </w:p>
    <w:p>
      <w:pPr>
        <w:pStyle w:val="29"/>
        <w:snapToGrid w:val="0"/>
        <w:spacing w:before="295" w:after="295" w:line="360" w:lineRule="exact"/>
        <w:ind w:firstLine="5300" w:firstLineChars="2650"/>
        <w:rPr>
          <w:rFonts w:hAnsi="宋体" w:cs="宋体"/>
        </w:rPr>
      </w:pPr>
      <w:r>
        <w:rPr>
          <w:rFonts w:hint="eastAsia" w:hAnsi="宋体" w:cs="宋体"/>
        </w:rPr>
        <w:t>年___月___日</w:t>
      </w:r>
    </w:p>
    <w:p>
      <w:pPr>
        <w:snapToGrid w:val="0"/>
        <w:spacing w:before="156" w:beforeLines="50" w:after="50" w:line="360" w:lineRule="exact"/>
        <w:rPr>
          <w:rFonts w:ascii="宋体" w:hAnsi="宋体" w:cs="宋体"/>
        </w:rPr>
      </w:pPr>
    </w:p>
    <w:p>
      <w:pPr>
        <w:snapToGrid w:val="0"/>
        <w:spacing w:before="156" w:beforeLines="50" w:after="50" w:line="360" w:lineRule="exact"/>
        <w:rPr>
          <w:rFonts w:ascii="宋体" w:hAnsi="宋体" w:cs="宋体"/>
          <w:b/>
          <w:szCs w:val="21"/>
        </w:rPr>
      </w:pPr>
      <w:r>
        <w:rPr>
          <w:rFonts w:hint="eastAsia" w:ascii="宋体" w:hAnsi="宋体" w:cs="宋体"/>
        </w:rPr>
        <w:t>▲</w:t>
      </w:r>
      <w:r>
        <w:rPr>
          <w:rFonts w:hint="eastAsia" w:ascii="宋体" w:hAnsi="宋体" w:cs="宋体"/>
          <w:b/>
          <w:szCs w:val="21"/>
        </w:rPr>
        <w:t>（2）</w:t>
      </w:r>
      <w:r>
        <w:rPr>
          <w:rFonts w:hint="eastAsia" w:ascii="宋体" w:hAnsi="宋体" w:cs="宋体"/>
          <w:szCs w:val="21"/>
        </w:rPr>
        <w:t>投标报价明细表格式</w:t>
      </w:r>
      <w:r>
        <w:rPr>
          <w:rFonts w:hint="eastAsia" w:ascii="宋体" w:hAnsi="宋体" w:cs="宋体"/>
          <w:b/>
          <w:szCs w:val="21"/>
        </w:rPr>
        <w:t>（必须提供）</w:t>
      </w:r>
    </w:p>
    <w:p>
      <w:pPr>
        <w:snapToGrid w:val="0"/>
        <w:spacing w:before="295" w:after="295" w:line="360" w:lineRule="exact"/>
        <w:ind w:firstLine="100" w:firstLineChars="50"/>
        <w:rPr>
          <w:rFonts w:ascii="宋体" w:hAnsi="宋体" w:cs="宋体"/>
          <w:kern w:val="0"/>
          <w:sz w:val="20"/>
          <w:szCs w:val="21"/>
        </w:rPr>
      </w:pPr>
      <w:r>
        <w:rPr>
          <w:rFonts w:hint="eastAsia" w:ascii="宋体" w:hAnsi="宋体" w:cs="宋体"/>
          <w:kern w:val="0"/>
          <w:sz w:val="20"/>
          <w:szCs w:val="21"/>
        </w:rPr>
        <w:t>金额单位：人民币（元）</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1542"/>
        <w:gridCol w:w="850"/>
        <w:gridCol w:w="749"/>
        <w:gridCol w:w="1855"/>
        <w:gridCol w:w="1381"/>
        <w:gridCol w:w="23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szCs w:val="21"/>
              </w:rPr>
            </w:pPr>
            <w:r>
              <w:rPr>
                <w:rFonts w:hint="eastAsia" w:ascii="宋体" w:hAnsi="宋体" w:cs="宋体"/>
                <w:szCs w:val="21"/>
              </w:rPr>
              <w:t>序号</w:t>
            </w: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kern w:val="0"/>
                <w:szCs w:val="21"/>
              </w:rPr>
              <w:t>产品名称</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单位</w:t>
            </w: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产地</w:t>
            </w: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品牌及厂家</w:t>
            </w: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规格型号</w:t>
            </w:r>
          </w:p>
        </w:tc>
        <w:tc>
          <w:tcPr>
            <w:tcW w:w="230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投标单价报价（元）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cs="宋体"/>
                <w:bCs/>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cs="宋体"/>
                <w:bCs/>
                <w:szCs w:val="21"/>
              </w:rPr>
            </w:pP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szCs w:val="21"/>
              </w:rPr>
            </w:pPr>
          </w:p>
        </w:tc>
        <w:tc>
          <w:tcPr>
            <w:tcW w:w="230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cs="宋体"/>
                <w:bCs/>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cs="宋体"/>
                <w:bCs/>
                <w:szCs w:val="21"/>
              </w:rPr>
            </w:pP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szCs w:val="21"/>
              </w:rPr>
            </w:pPr>
          </w:p>
        </w:tc>
        <w:tc>
          <w:tcPr>
            <w:tcW w:w="230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cs="宋体"/>
                <w:bCs/>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cs="宋体"/>
                <w:bCs/>
                <w:szCs w:val="21"/>
              </w:rPr>
            </w:pP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szCs w:val="21"/>
              </w:rPr>
            </w:pPr>
          </w:p>
        </w:tc>
        <w:tc>
          <w:tcPr>
            <w:tcW w:w="230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529"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szCs w:val="21"/>
                <w:u w:val="single"/>
              </w:rPr>
            </w:pPr>
            <w:r>
              <w:rPr>
                <w:rFonts w:hint="eastAsia" w:ascii="宋体" w:hAnsi="宋体" w:cs="宋体"/>
              </w:rPr>
              <w:t>本项目所有</w:t>
            </w:r>
            <w:r>
              <w:rPr>
                <w:rFonts w:hint="eastAsia" w:ascii="宋体" w:hAnsi="宋体" w:cs="宋体"/>
                <w:kern w:val="0"/>
                <w:szCs w:val="21"/>
              </w:rPr>
              <w:t>产品</w:t>
            </w:r>
            <w:r>
              <w:rPr>
                <w:rFonts w:hint="eastAsia" w:ascii="宋体" w:hAnsi="宋体" w:cs="宋体"/>
                <w:szCs w:val="21"/>
              </w:rPr>
              <w:t>投标单价的合计金额为：  人民币大写：           （￥      ）</w:t>
            </w:r>
          </w:p>
        </w:tc>
      </w:tr>
    </w:tbl>
    <w:p>
      <w:pPr>
        <w:snapToGrid w:val="0"/>
        <w:spacing w:before="50" w:after="50" w:line="360" w:lineRule="exact"/>
        <w:rPr>
          <w:rFonts w:ascii="宋体" w:hAnsi="宋体" w:cs="宋体"/>
          <w:szCs w:val="21"/>
        </w:rPr>
      </w:pPr>
    </w:p>
    <w:p>
      <w:pPr>
        <w:snapToGrid w:val="0"/>
        <w:spacing w:before="50" w:after="50" w:line="360" w:lineRule="exact"/>
        <w:rPr>
          <w:rFonts w:ascii="宋体" w:hAnsi="宋体" w:cs="宋体"/>
          <w:spacing w:val="20"/>
          <w:szCs w:val="21"/>
          <w:u w:val="single"/>
        </w:rPr>
      </w:pPr>
      <w:r>
        <w:rPr>
          <w:rFonts w:hint="eastAsia" w:ascii="宋体" w:hAnsi="宋体" w:cs="宋体"/>
          <w:szCs w:val="21"/>
        </w:rPr>
        <w:t>法定代表人（负责人）或委托代理人签名</w:t>
      </w:r>
      <w:r>
        <w:rPr>
          <w:rFonts w:hint="eastAsia" w:ascii="宋体" w:hAnsi="宋体" w:cs="宋体"/>
          <w:spacing w:val="20"/>
          <w:szCs w:val="21"/>
        </w:rPr>
        <w:t>：</w:t>
      </w:r>
    </w:p>
    <w:p>
      <w:pPr>
        <w:snapToGrid w:val="0"/>
        <w:spacing w:before="50" w:after="50" w:line="360" w:lineRule="exact"/>
        <w:rPr>
          <w:rFonts w:ascii="宋体" w:hAnsi="宋体" w:cs="宋体"/>
          <w:szCs w:val="21"/>
        </w:rPr>
      </w:pPr>
      <w:r>
        <w:rPr>
          <w:rFonts w:hint="eastAsia" w:ascii="宋体" w:hAnsi="宋体" w:cs="宋体"/>
          <w:szCs w:val="21"/>
        </w:rPr>
        <w:t>投标人盖章：日期：</w:t>
      </w:r>
    </w:p>
    <w:p>
      <w:pPr>
        <w:snapToGrid w:val="0"/>
        <w:spacing w:before="156" w:beforeLines="50" w:after="50" w:line="360" w:lineRule="exact"/>
        <w:rPr>
          <w:rFonts w:ascii="宋体" w:hAnsi="宋体" w:cs="宋体"/>
          <w:szCs w:val="21"/>
        </w:rPr>
      </w:pPr>
    </w:p>
    <w:p>
      <w:pPr>
        <w:snapToGrid w:val="0"/>
        <w:spacing w:before="156" w:beforeLines="50" w:after="50" w:line="360" w:lineRule="exact"/>
        <w:rPr>
          <w:rFonts w:ascii="宋体" w:hAnsi="宋体" w:cs="宋体"/>
          <w:szCs w:val="21"/>
        </w:rPr>
      </w:pPr>
      <w:r>
        <w:rPr>
          <w:rFonts w:hint="eastAsia" w:ascii="宋体" w:hAnsi="宋体" w:cs="宋体"/>
          <w:szCs w:val="21"/>
        </w:rPr>
        <w:t>（3）投标人针对报价需要说明的其他文件和说明（格式自拟）</w:t>
      </w:r>
    </w:p>
    <w:p>
      <w:pPr>
        <w:snapToGrid w:val="0"/>
        <w:spacing w:before="156" w:beforeLines="50" w:after="50" w:line="360" w:lineRule="exact"/>
        <w:rPr>
          <w:rFonts w:ascii="宋体" w:hAnsi="宋体" w:cs="宋体"/>
          <w:szCs w:val="21"/>
        </w:rPr>
      </w:pPr>
    </w:p>
    <w:p>
      <w:pPr>
        <w:snapToGrid w:val="0"/>
        <w:spacing w:before="50" w:after="50" w:line="360" w:lineRule="exact"/>
        <w:ind w:firstLine="420" w:firstLineChars="200"/>
        <w:rPr>
          <w:rFonts w:ascii="宋体" w:hAnsi="宋体" w:cs="宋体"/>
          <w:szCs w:val="21"/>
        </w:rPr>
      </w:pPr>
    </w:p>
    <w:p>
      <w:pPr>
        <w:snapToGrid w:val="0"/>
        <w:spacing w:before="50" w:after="50" w:line="360" w:lineRule="exact"/>
        <w:rPr>
          <w:rFonts w:ascii="宋体" w:hAnsi="宋体" w:cs="宋体"/>
        </w:rPr>
      </w:pPr>
    </w:p>
    <w:p>
      <w:pPr>
        <w:snapToGrid w:val="0"/>
        <w:spacing w:before="50" w:after="50" w:line="360" w:lineRule="exact"/>
        <w:rPr>
          <w:rFonts w:ascii="宋体" w:hAnsi="宋体" w:cs="宋体"/>
        </w:rPr>
      </w:pPr>
    </w:p>
    <w:p>
      <w:pPr>
        <w:snapToGrid w:val="0"/>
        <w:spacing w:before="50" w:after="50" w:line="360" w:lineRule="exact"/>
        <w:rPr>
          <w:rFonts w:ascii="宋体" w:hAnsi="宋体" w:cs="宋体"/>
        </w:rPr>
      </w:pPr>
    </w:p>
    <w:p>
      <w:pPr>
        <w:snapToGrid w:val="0"/>
        <w:spacing w:before="50" w:after="50" w:line="360" w:lineRule="exact"/>
        <w:rPr>
          <w:rFonts w:ascii="宋体" w:hAnsi="宋体" w:cs="宋体"/>
          <w:b/>
          <w:szCs w:val="21"/>
        </w:rPr>
      </w:pPr>
      <w:r>
        <w:rPr>
          <w:rFonts w:hint="eastAsia" w:ascii="宋体" w:hAnsi="宋体" w:cs="宋体"/>
        </w:rPr>
        <w:t>▲</w:t>
      </w:r>
      <w:r>
        <w:rPr>
          <w:rFonts w:hint="eastAsia" w:ascii="宋体" w:hAnsi="宋体" w:cs="宋体"/>
          <w:b/>
          <w:szCs w:val="21"/>
        </w:rPr>
        <w:t>（4）</w:t>
      </w:r>
      <w:r>
        <w:rPr>
          <w:rFonts w:hint="eastAsia" w:ascii="宋体" w:hAnsi="宋体" w:cs="宋体"/>
          <w:szCs w:val="21"/>
        </w:rPr>
        <w:t>开标一览表</w:t>
      </w:r>
      <w:r>
        <w:rPr>
          <w:rFonts w:hint="eastAsia" w:ascii="宋体" w:hAnsi="宋体" w:cs="宋体"/>
          <w:b/>
          <w:szCs w:val="21"/>
        </w:rPr>
        <w:t>（必须提供）</w:t>
      </w:r>
    </w:p>
    <w:p>
      <w:pPr>
        <w:snapToGrid w:val="0"/>
        <w:spacing w:before="50" w:after="50" w:line="360" w:lineRule="exact"/>
        <w:jc w:val="center"/>
        <w:rPr>
          <w:rFonts w:ascii="宋体" w:hAnsi="宋体" w:cs="宋体"/>
          <w:b/>
          <w:szCs w:val="21"/>
        </w:rPr>
      </w:pPr>
      <w:r>
        <w:rPr>
          <w:rFonts w:hint="eastAsia" w:ascii="宋体" w:hAnsi="宋体" w:cs="宋体"/>
          <w:b/>
          <w:szCs w:val="21"/>
        </w:rPr>
        <w:t>开标一览表</w:t>
      </w:r>
    </w:p>
    <w:p>
      <w:pPr>
        <w:snapToGrid w:val="0"/>
        <w:spacing w:before="50" w:after="156" w:afterLines="50" w:line="360" w:lineRule="exact"/>
        <w:jc w:val="left"/>
        <w:rPr>
          <w:rFonts w:ascii="宋体" w:hAnsi="宋体" w:cs="宋体"/>
        </w:rPr>
      </w:pPr>
      <w:r>
        <w:rPr>
          <w:rFonts w:hint="eastAsia" w:ascii="宋体" w:hAnsi="宋体" w:cs="宋体"/>
        </w:rPr>
        <w:t>项目名称：</w:t>
      </w:r>
    </w:p>
    <w:p>
      <w:pPr>
        <w:snapToGrid w:val="0"/>
        <w:spacing w:before="50" w:after="156" w:afterLines="50" w:line="360" w:lineRule="exact"/>
        <w:jc w:val="left"/>
        <w:rPr>
          <w:rFonts w:ascii="宋体" w:hAnsi="宋体" w:cs="宋体"/>
          <w:b/>
          <w:szCs w:val="21"/>
        </w:rPr>
      </w:pPr>
      <w:r>
        <w:rPr>
          <w:rFonts w:hint="eastAsia" w:ascii="宋体" w:hAnsi="宋体" w:cs="宋体"/>
        </w:rPr>
        <w:t>项目编号：</w:t>
      </w:r>
    </w:p>
    <w:p>
      <w:pPr>
        <w:snapToGrid w:val="0"/>
        <w:spacing w:before="50" w:after="156" w:afterLines="50" w:line="360" w:lineRule="exact"/>
        <w:ind w:firstLine="6612" w:firstLineChars="3149"/>
        <w:jc w:val="left"/>
        <w:rPr>
          <w:rFonts w:ascii="宋体" w:hAnsi="宋体" w:cs="宋体"/>
        </w:rPr>
      </w:pPr>
      <w:r>
        <w:rPr>
          <w:rFonts w:hint="eastAsia" w:ascii="宋体" w:hAnsi="宋体" w:cs="宋体"/>
        </w:rPr>
        <w:t>金额单位：人民币（元）</w:t>
      </w:r>
    </w:p>
    <w:p>
      <w:pPr>
        <w:pStyle w:val="36"/>
      </w:pP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1542"/>
        <w:gridCol w:w="850"/>
        <w:gridCol w:w="749"/>
        <w:gridCol w:w="1855"/>
        <w:gridCol w:w="1381"/>
        <w:gridCol w:w="24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szCs w:val="21"/>
              </w:rPr>
            </w:pPr>
            <w:r>
              <w:rPr>
                <w:rFonts w:hint="eastAsia" w:ascii="宋体" w:hAnsi="宋体" w:cs="宋体"/>
                <w:szCs w:val="21"/>
              </w:rPr>
              <w:t>序号</w:t>
            </w: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kern w:val="0"/>
                <w:szCs w:val="21"/>
              </w:rPr>
              <w:t>产品名称</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单位</w:t>
            </w: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产地</w:t>
            </w: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品牌及厂家</w:t>
            </w: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规格型号</w:t>
            </w:r>
          </w:p>
        </w:tc>
        <w:tc>
          <w:tcPr>
            <w:tcW w:w="24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r>
              <w:rPr>
                <w:rFonts w:hint="eastAsia" w:ascii="宋体" w:hAnsi="宋体" w:cs="宋体"/>
                <w:szCs w:val="21"/>
              </w:rPr>
              <w:t>投标单价报价（元）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cs="宋体"/>
                <w:bCs/>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cs="宋体"/>
                <w:bCs/>
                <w:szCs w:val="21"/>
              </w:rPr>
            </w:pP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szCs w:val="21"/>
              </w:rPr>
            </w:pPr>
          </w:p>
        </w:tc>
        <w:tc>
          <w:tcPr>
            <w:tcW w:w="24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cs="宋体"/>
                <w:bCs/>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cs="宋体"/>
                <w:bCs/>
                <w:szCs w:val="21"/>
              </w:rPr>
            </w:pP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szCs w:val="21"/>
              </w:rPr>
            </w:pPr>
          </w:p>
        </w:tc>
        <w:tc>
          <w:tcPr>
            <w:tcW w:w="24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cs="宋体"/>
                <w:bCs/>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cs="宋体"/>
                <w:bCs/>
                <w:szCs w:val="21"/>
              </w:rPr>
            </w:pP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szCs w:val="21"/>
              </w:rPr>
            </w:pPr>
          </w:p>
        </w:tc>
        <w:tc>
          <w:tcPr>
            <w:tcW w:w="24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s="宋体"/>
                <w:szCs w:val="21"/>
                <w:u w:val="single"/>
              </w:rPr>
            </w:pPr>
            <w:r>
              <w:rPr>
                <w:rFonts w:hint="eastAsia" w:ascii="宋体" w:hAnsi="宋体" w:cs="宋体"/>
              </w:rPr>
              <w:t>本项目所有</w:t>
            </w:r>
            <w:r>
              <w:rPr>
                <w:rFonts w:hint="eastAsia" w:ascii="宋体" w:hAnsi="宋体" w:cs="宋体"/>
                <w:kern w:val="0"/>
                <w:szCs w:val="21"/>
              </w:rPr>
              <w:t>产品</w:t>
            </w:r>
            <w:r>
              <w:rPr>
                <w:rFonts w:hint="eastAsia" w:ascii="宋体" w:hAnsi="宋体" w:cs="宋体"/>
                <w:szCs w:val="21"/>
              </w:rPr>
              <w:t>投标单价的合计金额为：  人民币大写：           （￥      ）</w:t>
            </w:r>
          </w:p>
        </w:tc>
      </w:tr>
    </w:tbl>
    <w:p>
      <w:pPr>
        <w:pStyle w:val="36"/>
        <w:pBdr>
          <w:bottom w:val="none" w:color="auto" w:sz="0" w:space="0"/>
        </w:pBdr>
      </w:pPr>
    </w:p>
    <w:p>
      <w:pPr>
        <w:snapToGrid w:val="0"/>
        <w:spacing w:before="50" w:after="50" w:line="360" w:lineRule="exact"/>
        <w:jc w:val="left"/>
        <w:rPr>
          <w:rFonts w:ascii="宋体" w:hAnsi="宋体" w:cs="宋体"/>
          <w:szCs w:val="21"/>
        </w:rPr>
      </w:pPr>
      <w:r>
        <w:rPr>
          <w:rFonts w:hint="eastAsia" w:ascii="宋体" w:hAnsi="宋体" w:cs="宋体"/>
          <w:szCs w:val="21"/>
        </w:rPr>
        <w:t>注: 1、报价一经涂改，应在涂改处加盖单位公章或者由法定代表人（负责人）或授权委托人签字或盖章，否则其投标作无效标处理。</w:t>
      </w:r>
    </w:p>
    <w:p>
      <w:pPr>
        <w:snapToGrid w:val="0"/>
        <w:spacing w:before="50" w:after="50" w:line="360" w:lineRule="exact"/>
        <w:ind w:firstLine="420" w:firstLineChars="200"/>
        <w:jc w:val="left"/>
        <w:rPr>
          <w:rFonts w:ascii="宋体" w:hAnsi="宋体" w:cs="宋体"/>
          <w:szCs w:val="21"/>
        </w:rPr>
      </w:pPr>
      <w:r>
        <w:rPr>
          <w:rFonts w:hint="eastAsia" w:ascii="宋体" w:hAnsi="宋体" w:cs="宋体"/>
          <w:szCs w:val="21"/>
        </w:rPr>
        <w:t>2、凡需用专用耗材的专用设备类采购项目，应按招标文件规定的耗材量或按耗材的常规试用量提供报价。</w:t>
      </w:r>
    </w:p>
    <w:p>
      <w:pPr>
        <w:snapToGrid w:val="0"/>
        <w:spacing w:before="50" w:after="50" w:line="360" w:lineRule="exact"/>
        <w:ind w:firstLine="420" w:firstLineChars="200"/>
        <w:jc w:val="left"/>
        <w:rPr>
          <w:rFonts w:ascii="宋体" w:hAnsi="宋体" w:cs="宋体"/>
          <w:szCs w:val="21"/>
        </w:rPr>
      </w:pPr>
      <w:r>
        <w:rPr>
          <w:rFonts w:hint="eastAsia" w:ascii="宋体" w:hAnsi="宋体" w:cs="宋体"/>
          <w:szCs w:val="21"/>
        </w:rPr>
        <w:t>3、投标费用包括项目实施所需的人工费、运输费、安装调试费、税费及其他一切费用。</w:t>
      </w:r>
    </w:p>
    <w:p>
      <w:pPr>
        <w:snapToGrid w:val="0"/>
        <w:spacing w:before="50" w:after="50" w:line="360" w:lineRule="exact"/>
        <w:ind w:firstLine="420" w:firstLineChars="200"/>
        <w:jc w:val="left"/>
        <w:rPr>
          <w:rFonts w:ascii="宋体" w:hAnsi="宋体" w:cs="宋体"/>
          <w:szCs w:val="21"/>
        </w:rPr>
      </w:pPr>
      <w:r>
        <w:rPr>
          <w:rFonts w:hint="eastAsia" w:ascii="宋体" w:hAnsi="宋体" w:cs="宋体"/>
          <w:szCs w:val="21"/>
        </w:rPr>
        <w:t>4、以上报价应与“投标设备报价明细表”中的“投标总价”相一致。</w:t>
      </w:r>
    </w:p>
    <w:p>
      <w:pPr>
        <w:snapToGrid w:val="0"/>
        <w:spacing w:before="50" w:after="50" w:line="360" w:lineRule="exact"/>
        <w:ind w:left="-2" w:leftChars="-1" w:right="-817" w:rightChars="-389" w:firstLine="420" w:firstLineChars="200"/>
        <w:rPr>
          <w:rFonts w:ascii="宋体" w:hAnsi="宋体" w:cs="宋体"/>
          <w:szCs w:val="21"/>
        </w:rPr>
      </w:pPr>
    </w:p>
    <w:p>
      <w:pPr>
        <w:snapToGrid w:val="0"/>
        <w:spacing w:before="50" w:after="50" w:line="360" w:lineRule="exact"/>
        <w:ind w:left="-2" w:leftChars="-1" w:right="-817" w:rightChars="-389" w:firstLine="420" w:firstLineChars="200"/>
        <w:rPr>
          <w:rFonts w:ascii="宋体" w:hAnsi="宋体" w:cs="宋体"/>
          <w:szCs w:val="21"/>
        </w:rPr>
      </w:pPr>
      <w:r>
        <w:rPr>
          <w:rFonts w:hint="eastAsia" w:ascii="宋体" w:hAnsi="宋体" w:cs="宋体"/>
          <w:szCs w:val="21"/>
        </w:rPr>
        <w:t>法定代表人（负责人）或委托代理人签名：</w:t>
      </w:r>
    </w:p>
    <w:p>
      <w:pPr>
        <w:snapToGrid w:val="0"/>
        <w:spacing w:before="50" w:after="50" w:line="360" w:lineRule="exact"/>
        <w:ind w:right="-817" w:rightChars="-389" w:firstLine="420" w:firstLineChars="200"/>
        <w:rPr>
          <w:rFonts w:ascii="宋体" w:hAnsi="宋体" w:cs="宋体"/>
          <w:szCs w:val="21"/>
        </w:rPr>
      </w:pPr>
      <w:r>
        <w:rPr>
          <w:rFonts w:hint="eastAsia" w:ascii="宋体" w:hAnsi="宋体" w:cs="宋体"/>
          <w:szCs w:val="21"/>
        </w:rPr>
        <w:t>投标人名称（盖章）：</w:t>
      </w:r>
    </w:p>
    <w:p>
      <w:pPr>
        <w:snapToGrid w:val="0"/>
        <w:spacing w:before="50" w:after="50" w:line="360" w:lineRule="exact"/>
        <w:ind w:right="-817" w:rightChars="-389" w:firstLine="420" w:firstLineChars="200"/>
        <w:rPr>
          <w:rFonts w:ascii="宋体" w:hAnsi="宋体" w:cs="宋体"/>
          <w:szCs w:val="21"/>
        </w:rPr>
      </w:pPr>
      <w:r>
        <w:rPr>
          <w:rFonts w:hint="eastAsia" w:ascii="宋体" w:hAnsi="宋体" w:cs="宋体"/>
          <w:szCs w:val="21"/>
        </w:rPr>
        <w:t>日期：    年    月    日</w:t>
      </w:r>
    </w:p>
    <w:p>
      <w:pPr>
        <w:pStyle w:val="360"/>
        <w:ind w:firstLine="0" w:firstLineChars="0"/>
        <w:jc w:val="center"/>
        <w:rPr>
          <w:rFonts w:cs="宋体"/>
        </w:rPr>
      </w:pPr>
    </w:p>
    <w:p>
      <w:pPr>
        <w:pStyle w:val="360"/>
        <w:ind w:firstLine="0" w:firstLineChars="0"/>
        <w:jc w:val="center"/>
        <w:rPr>
          <w:rFonts w:cs="宋体"/>
        </w:rPr>
      </w:pPr>
    </w:p>
    <w:p>
      <w:pPr>
        <w:pStyle w:val="360"/>
        <w:ind w:firstLine="0" w:firstLineChars="0"/>
        <w:jc w:val="center"/>
        <w:rPr>
          <w:rFonts w:cs="宋体"/>
        </w:rPr>
      </w:pPr>
    </w:p>
    <w:p>
      <w:pPr>
        <w:pStyle w:val="360"/>
        <w:ind w:firstLine="0" w:firstLineChars="0"/>
        <w:jc w:val="center"/>
        <w:rPr>
          <w:rFonts w:cs="宋体"/>
        </w:rPr>
      </w:pPr>
    </w:p>
    <w:p>
      <w:pPr>
        <w:pStyle w:val="360"/>
        <w:ind w:firstLine="0" w:firstLineChars="0"/>
        <w:rPr>
          <w:rFonts w:cs="宋体"/>
        </w:rPr>
      </w:pPr>
    </w:p>
    <w:p>
      <w:pPr>
        <w:pStyle w:val="360"/>
        <w:ind w:firstLine="0" w:firstLineChars="0"/>
        <w:jc w:val="center"/>
        <w:outlineLvl w:val="1"/>
        <w:rPr>
          <w:rFonts w:cs="宋体"/>
        </w:rPr>
      </w:pPr>
    </w:p>
    <w:p>
      <w:pPr>
        <w:pStyle w:val="360"/>
        <w:ind w:firstLine="0" w:firstLineChars="0"/>
        <w:jc w:val="center"/>
        <w:outlineLvl w:val="1"/>
        <w:rPr>
          <w:rFonts w:cs="宋体"/>
        </w:rPr>
      </w:pPr>
    </w:p>
    <w:p>
      <w:pPr>
        <w:pStyle w:val="360"/>
        <w:ind w:firstLine="0" w:firstLineChars="0"/>
        <w:jc w:val="center"/>
        <w:outlineLvl w:val="1"/>
        <w:rPr>
          <w:rFonts w:cs="宋体"/>
        </w:rPr>
      </w:pPr>
    </w:p>
    <w:p>
      <w:pPr>
        <w:pStyle w:val="360"/>
        <w:ind w:firstLine="0" w:firstLineChars="0"/>
        <w:jc w:val="center"/>
        <w:outlineLvl w:val="1"/>
        <w:rPr>
          <w:rFonts w:cs="宋体"/>
        </w:rPr>
      </w:pPr>
    </w:p>
    <w:p>
      <w:pPr>
        <w:pStyle w:val="360"/>
        <w:ind w:firstLine="0" w:firstLineChars="0"/>
        <w:jc w:val="center"/>
        <w:outlineLvl w:val="1"/>
        <w:rPr>
          <w:rFonts w:cs="宋体"/>
        </w:rPr>
      </w:pPr>
    </w:p>
    <w:p>
      <w:pPr>
        <w:pStyle w:val="360"/>
        <w:ind w:firstLine="0" w:firstLineChars="0"/>
        <w:jc w:val="center"/>
        <w:outlineLvl w:val="1"/>
        <w:rPr>
          <w:rFonts w:cs="宋体"/>
        </w:rPr>
      </w:pPr>
    </w:p>
    <w:p>
      <w:pPr>
        <w:pStyle w:val="360"/>
        <w:ind w:firstLine="0" w:firstLineChars="0"/>
        <w:jc w:val="center"/>
        <w:outlineLvl w:val="1"/>
        <w:rPr>
          <w:rFonts w:cs="宋体"/>
        </w:rPr>
      </w:pPr>
    </w:p>
    <w:p>
      <w:pPr>
        <w:pStyle w:val="360"/>
        <w:ind w:firstLine="0" w:firstLineChars="0"/>
        <w:jc w:val="center"/>
        <w:outlineLvl w:val="1"/>
        <w:rPr>
          <w:rFonts w:cs="宋体"/>
        </w:rPr>
      </w:pPr>
    </w:p>
    <w:p>
      <w:pPr>
        <w:pStyle w:val="360"/>
        <w:ind w:firstLine="0" w:firstLineChars="0"/>
        <w:jc w:val="center"/>
        <w:outlineLvl w:val="1"/>
        <w:rPr>
          <w:rFonts w:cs="宋体"/>
        </w:rPr>
      </w:pPr>
      <w:r>
        <w:rPr>
          <w:rFonts w:hint="eastAsia" w:cs="宋体"/>
        </w:rPr>
        <w:t>四、其他文书、文件格式</w:t>
      </w:r>
    </w:p>
    <w:p>
      <w:pPr>
        <w:pStyle w:val="360"/>
        <w:ind w:firstLine="0" w:firstLineChars="0"/>
        <w:jc w:val="center"/>
        <w:outlineLvl w:val="1"/>
        <w:rPr>
          <w:rFonts w:cs="宋体"/>
        </w:rPr>
      </w:pPr>
    </w:p>
    <w:p>
      <w:pPr>
        <w:pStyle w:val="360"/>
        <w:ind w:firstLine="0" w:firstLineChars="0"/>
        <w:jc w:val="center"/>
        <w:outlineLvl w:val="1"/>
        <w:rPr>
          <w:rFonts w:cs="宋体"/>
        </w:rPr>
      </w:pPr>
    </w:p>
    <w:p>
      <w:pPr>
        <w:pStyle w:val="7"/>
        <w:overflowPunct w:val="0"/>
        <w:spacing w:line="360" w:lineRule="exact"/>
        <w:rPr>
          <w:rFonts w:ascii="宋体" w:hAnsi="宋体" w:cs="宋体"/>
          <w:spacing w:val="20"/>
          <w:sz w:val="21"/>
          <w:szCs w:val="21"/>
        </w:rPr>
      </w:pPr>
    </w:p>
    <w:p>
      <w:pPr>
        <w:snapToGrid w:val="0"/>
        <w:spacing w:line="360" w:lineRule="auto"/>
        <w:rPr>
          <w:rFonts w:ascii="宋体" w:hAnsi="宋体" w:cs="宋体"/>
          <w:kern w:val="0"/>
          <w:sz w:val="28"/>
          <w:szCs w:val="28"/>
        </w:rPr>
      </w:pPr>
      <w:bookmarkStart w:id="67" w:name="OLE_LINK14"/>
      <w:bookmarkStart w:id="68" w:name="OLE_LINK13"/>
      <w:r>
        <w:rPr>
          <w:rFonts w:hint="eastAsia" w:ascii="宋体" w:hAnsi="宋体" w:cs="宋体"/>
          <w:spacing w:val="20"/>
          <w:sz w:val="28"/>
          <w:szCs w:val="28"/>
        </w:rPr>
        <w:t>（一）分包意向协议格式：</w:t>
      </w:r>
    </w:p>
    <w:p>
      <w:pPr>
        <w:widowControl/>
        <w:spacing w:line="360" w:lineRule="auto"/>
        <w:ind w:firstLine="125" w:firstLineChars="50"/>
        <w:jc w:val="center"/>
        <w:rPr>
          <w:rFonts w:ascii="宋体" w:hAnsi="宋体" w:cs="宋体"/>
          <w:szCs w:val="21"/>
        </w:rPr>
      </w:pPr>
      <w:r>
        <w:rPr>
          <w:rFonts w:hint="eastAsia" w:ascii="宋体" w:hAnsi="宋体" w:cs="宋体"/>
          <w:spacing w:val="20"/>
          <w:szCs w:val="21"/>
        </w:rPr>
        <w:t>分包意向协议</w:t>
      </w:r>
    </w:p>
    <w:p>
      <w:pPr>
        <w:widowControl/>
        <w:spacing w:line="360" w:lineRule="auto"/>
        <w:ind w:firstLine="105" w:firstLineChars="50"/>
        <w:jc w:val="left"/>
        <w:rPr>
          <w:rFonts w:ascii="宋体" w:hAnsi="宋体" w:cs="宋体"/>
          <w:szCs w:val="21"/>
        </w:rPr>
      </w:pP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若成为</w:t>
      </w:r>
      <w:r>
        <w:rPr>
          <w:rFonts w:hint="eastAsia" w:ascii="宋体" w:hAnsi="宋体" w:cs="宋体"/>
          <w:szCs w:val="21"/>
        </w:rPr>
        <w:t>（项目名称）【招标编号：（采购编号）】</w:t>
      </w:r>
      <w:r>
        <w:rPr>
          <w:rFonts w:hint="eastAsia" w:ascii="宋体" w:hAnsi="宋体" w:cs="宋体"/>
          <w:kern w:val="0"/>
          <w:szCs w:val="21"/>
          <w:lang w:val="zh-CN"/>
        </w:rPr>
        <w:t>的中标供应商，将依法采取分包方式履行合同。</w:t>
      </w:r>
      <w:r>
        <w:rPr>
          <w:rFonts w:hint="eastAsia" w:ascii="宋体" w:hAnsi="宋体" w:cs="宋体"/>
          <w:kern w:val="0"/>
          <w:szCs w:val="21"/>
          <w:u w:val="single"/>
        </w:rPr>
        <w:t>（投标人名称）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 xml:space="preserve">。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一、分包标的及数量</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将</w:t>
      </w:r>
      <w:r>
        <w:rPr>
          <w:rFonts w:hint="eastAsia" w:ascii="宋体" w:hAnsi="宋体" w:cs="宋体"/>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（某分包供应商名称）</w:t>
      </w:r>
      <w:r>
        <w:rPr>
          <w:rFonts w:hint="eastAsia" w:ascii="宋体" w:hAnsi="宋体" w:cs="宋体"/>
          <w:kern w:val="0"/>
          <w:szCs w:val="21"/>
          <w:lang w:val="zh-CN"/>
        </w:rPr>
        <w:t>，</w:t>
      </w:r>
      <w:r>
        <w:rPr>
          <w:rFonts w:hint="eastAsia" w:ascii="宋体" w:hAnsi="宋体" w:cs="宋体"/>
          <w:kern w:val="0"/>
          <w:szCs w:val="21"/>
          <w:u w:val="single"/>
        </w:rPr>
        <w:t>（某分包供应商名称），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pPr>
        <w:pStyle w:val="3"/>
        <w:tabs>
          <w:tab w:val="left" w:pos="432"/>
        </w:tabs>
        <w:ind w:left="664" w:leftChars="316" w:firstLine="199" w:firstLineChars="95"/>
        <w:rPr>
          <w:rFonts w:ascii="宋体" w:hAnsi="宋体" w:eastAsia="宋体" w:cs="宋体"/>
          <w:b w:val="0"/>
          <w:bCs w:val="0"/>
          <w:sz w:val="21"/>
          <w:szCs w:val="21"/>
        </w:rPr>
      </w:pPr>
      <w:r>
        <w:rPr>
          <w:rFonts w:hint="eastAsia" w:ascii="宋体" w:hAnsi="宋体" w:eastAsia="宋体" w:cs="宋体"/>
          <w:b w:val="0"/>
          <w:bCs w:val="0"/>
          <w:sz w:val="21"/>
          <w:szCs w:val="21"/>
        </w:rPr>
        <w:t>……</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二、分包工作履行期限、地点、方式</w:t>
      </w:r>
    </w:p>
    <w:p>
      <w:pPr>
        <w:snapToGrid w:val="0"/>
        <w:spacing w:line="360" w:lineRule="auto"/>
        <w:ind w:firstLine="576"/>
        <w:rPr>
          <w:rFonts w:ascii="宋体" w:hAnsi="宋体" w:cs="宋体"/>
          <w:szCs w:val="21"/>
          <w:u w:val="single"/>
        </w:rPr>
      </w:pPr>
      <w:r>
        <w:rPr>
          <w:rFonts w:hint="eastAsia" w:ascii="宋体" w:hAnsi="宋体" w:cs="宋体"/>
          <w:szCs w:val="21"/>
          <w:u w:val="single"/>
        </w:rPr>
        <w:t xml:space="preserve">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三、质量</w:t>
      </w:r>
    </w:p>
    <w:p>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四、价款或者报酬</w:t>
      </w:r>
    </w:p>
    <w:p>
      <w:pPr>
        <w:snapToGrid w:val="0"/>
        <w:spacing w:line="360" w:lineRule="auto"/>
        <w:ind w:left="573" w:leftChars="273"/>
        <w:rPr>
          <w:rFonts w:ascii="宋体" w:hAnsi="宋体" w:cs="宋体"/>
          <w:kern w:val="0"/>
          <w:szCs w:val="21"/>
          <w:lang w:val="zh-CN"/>
        </w:rPr>
      </w:pPr>
      <w:r>
        <w:rPr>
          <w:rFonts w:hint="eastAsia" w:ascii="宋体" w:hAnsi="宋体" w:cs="宋体"/>
          <w:szCs w:val="21"/>
          <w:u w:val="single"/>
        </w:rPr>
        <w:t xml:space="preserve">                                                                                     </w:t>
      </w:r>
    </w:p>
    <w:p>
      <w:pPr>
        <w:snapToGrid w:val="0"/>
        <w:spacing w:line="360" w:lineRule="auto"/>
        <w:ind w:left="573" w:leftChars="273"/>
        <w:rPr>
          <w:rFonts w:ascii="宋体" w:hAnsi="宋体" w:cs="宋体"/>
          <w:kern w:val="0"/>
          <w:szCs w:val="21"/>
          <w:lang w:val="zh-CN"/>
        </w:rPr>
      </w:pPr>
      <w:r>
        <w:rPr>
          <w:rFonts w:hint="eastAsia" w:ascii="宋体" w:hAnsi="宋体" w:cs="宋体"/>
          <w:kern w:val="0"/>
          <w:szCs w:val="21"/>
          <w:lang w:val="zh-CN"/>
        </w:rPr>
        <w:t>五、违约责任</w:t>
      </w:r>
    </w:p>
    <w:p>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六、争议解决的办法</w:t>
      </w:r>
    </w:p>
    <w:p>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七、其他</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（分包供应商名称）提供的货物全部由</w:t>
      </w:r>
      <w:r>
        <w:rPr>
          <w:rFonts w:hint="eastAsia" w:ascii="宋体" w:hAnsi="宋体" w:cs="宋体"/>
          <w:kern w:val="0"/>
          <w:szCs w:val="21"/>
          <w:u w:val="single"/>
          <w:lang w:eastAsia="zh-CN"/>
        </w:rPr>
        <w:t>中</w:t>
      </w:r>
      <w:r>
        <w:rPr>
          <w:rFonts w:hint="eastAsia" w:ascii="宋体" w:hAnsi="宋体" w:cs="宋体"/>
          <w:kern w:val="0"/>
          <w:szCs w:val="21"/>
          <w:u w:val="single"/>
        </w:rPr>
        <w:t>小微企业制造，</w:t>
      </w:r>
      <w:r>
        <w:rPr>
          <w:rFonts w:hint="eastAsia" w:ascii="宋体" w:hAnsi="宋体" w:cs="宋体"/>
          <w:kern w:val="0"/>
          <w:szCs w:val="21"/>
        </w:rPr>
        <w:t>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szCs w:val="21"/>
        </w:rPr>
        <w:t>。</w:t>
      </w:r>
      <w:r>
        <w:rPr>
          <w:rFonts w:hint="eastAsia" w:ascii="宋体" w:hAnsi="宋体" w:cs="宋体"/>
          <w:kern w:val="0"/>
          <w:szCs w:val="21"/>
          <w:lang w:val="zh-CN"/>
        </w:rPr>
        <w:t>（未预留份额专门面向中小企业采购的采购项目，以及预留份额中的非预留部分采购包，允许分包的，分包供应商提供的货物全部由中小微企业制造，且其合同份额占到合同总金额 30%以上的，对大中型企业的报价给予</w:t>
      </w:r>
      <w:r>
        <w:rPr>
          <w:rFonts w:hint="eastAsia" w:ascii="宋体" w:hAnsi="宋体" w:cs="宋体"/>
          <w:kern w:val="0"/>
          <w:szCs w:val="21"/>
        </w:rPr>
        <w:t>6</w:t>
      </w:r>
      <w:r>
        <w:rPr>
          <w:rFonts w:hint="eastAsia" w:ascii="宋体" w:hAnsi="宋体" w:cs="宋体"/>
          <w:kern w:val="0"/>
          <w:szCs w:val="21"/>
          <w:lang w:val="zh-CN"/>
        </w:rPr>
        <w:t>%的扣除）</w:t>
      </w:r>
    </w:p>
    <w:p>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投标人名称(电子签名)：</w:t>
      </w:r>
    </w:p>
    <w:p>
      <w:pPr>
        <w:snapToGrid w:val="0"/>
        <w:spacing w:line="360" w:lineRule="auto"/>
        <w:ind w:firstLine="4935" w:firstLineChars="2350"/>
        <w:rPr>
          <w:rFonts w:ascii="宋体" w:hAnsi="宋体" w:cs="宋体"/>
          <w:kern w:val="0"/>
          <w:szCs w:val="21"/>
          <w:lang w:val="zh-CN"/>
        </w:rPr>
      </w:pPr>
      <w:r>
        <w:rPr>
          <w:rFonts w:hint="eastAsia" w:ascii="宋体" w:hAnsi="宋体" w:cs="宋体"/>
          <w:kern w:val="0"/>
          <w:szCs w:val="21"/>
          <w:lang w:val="zh-CN"/>
        </w:rPr>
        <w:t>分包供应商名称：</w:t>
      </w:r>
    </w:p>
    <w:p>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pPr>
        <w:snapToGrid w:val="0"/>
        <w:spacing w:line="360" w:lineRule="auto"/>
        <w:rPr>
          <w:rFonts w:ascii="宋体" w:hAnsi="宋体" w:cs="宋体"/>
          <w:spacing w:val="20"/>
          <w:szCs w:val="21"/>
        </w:rPr>
      </w:pPr>
      <w:r>
        <w:rPr>
          <w:rFonts w:hint="eastAsia" w:ascii="宋体" w:hAnsi="宋体" w:cs="宋体"/>
          <w:kern w:val="0"/>
          <w:szCs w:val="21"/>
          <w:lang w:val="zh-CN"/>
        </w:rPr>
        <w:t xml:space="preserve">                                               日期：  年  月   日</w:t>
      </w:r>
    </w:p>
    <w:p>
      <w:pPr>
        <w:pStyle w:val="36"/>
        <w:pBdr>
          <w:bottom w:val="none" w:color="auto" w:sz="0" w:space="0"/>
        </w:pBdr>
      </w:pPr>
    </w:p>
    <w:bookmarkEnd w:id="67"/>
    <w:bookmarkEnd w:id="68"/>
    <w:p>
      <w:pPr>
        <w:widowControl/>
        <w:spacing w:after="262" w:line="380" w:lineRule="exact"/>
        <w:jc w:val="center"/>
        <w:rPr>
          <w:rFonts w:ascii="宋体" w:hAnsi="宋体" w:cs="宋体"/>
          <w:b/>
          <w:szCs w:val="21"/>
        </w:rPr>
      </w:pPr>
    </w:p>
    <w:p>
      <w:pPr>
        <w:spacing w:line="360" w:lineRule="auto"/>
        <w:rPr>
          <w:rFonts w:ascii="宋体" w:hAnsi="宋体" w:cs="宋体"/>
          <w:b/>
          <w:spacing w:val="6"/>
          <w:sz w:val="28"/>
          <w:szCs w:val="28"/>
        </w:rPr>
      </w:pPr>
      <w:r>
        <w:rPr>
          <w:rFonts w:hint="eastAsia" w:ascii="宋体" w:hAnsi="宋体" w:cs="宋体"/>
          <w:b/>
          <w:spacing w:val="6"/>
          <w:sz w:val="28"/>
          <w:szCs w:val="28"/>
        </w:rPr>
        <w:t>（二）质疑函范本格式：</w:t>
      </w:r>
    </w:p>
    <w:p>
      <w:pPr>
        <w:spacing w:line="360" w:lineRule="auto"/>
        <w:jc w:val="center"/>
        <w:rPr>
          <w:rFonts w:ascii="宋体" w:hAnsi="宋体" w:cs="宋体"/>
          <w:b/>
          <w:spacing w:val="6"/>
          <w:szCs w:val="21"/>
        </w:rPr>
      </w:pPr>
      <w:r>
        <w:rPr>
          <w:rFonts w:hint="eastAsia" w:ascii="宋体" w:hAnsi="宋体" w:cs="宋体"/>
          <w:b/>
          <w:spacing w:val="6"/>
          <w:szCs w:val="21"/>
        </w:rPr>
        <w:t>质疑函范本</w:t>
      </w:r>
    </w:p>
    <w:p>
      <w:pPr>
        <w:snapToGrid w:val="0"/>
        <w:spacing w:before="312" w:beforeLines="100" w:line="360" w:lineRule="auto"/>
        <w:rPr>
          <w:rFonts w:ascii="宋体" w:hAnsi="宋体" w:cs="宋体"/>
          <w:bCs/>
          <w:szCs w:val="21"/>
        </w:rPr>
      </w:pPr>
      <w:r>
        <w:rPr>
          <w:rFonts w:hint="eastAsia" w:ascii="宋体" w:hAnsi="宋体" w:cs="宋体"/>
          <w:bCs/>
          <w:szCs w:val="21"/>
        </w:rPr>
        <w:t>一、质疑供应商基本信息</w:t>
      </w:r>
    </w:p>
    <w:p>
      <w:pPr>
        <w:snapToGrid w:val="0"/>
        <w:spacing w:line="360" w:lineRule="auto"/>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pPr>
        <w:snapToGrid w:val="0"/>
        <w:spacing w:line="360" w:lineRule="auto"/>
        <w:rPr>
          <w:rFonts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snapToGrid w:val="0"/>
        <w:spacing w:line="360" w:lineRule="auto"/>
        <w:rPr>
          <w:rFonts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pPr>
        <w:snapToGrid w:val="0"/>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pPr>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pPr>
        <w:snapToGrid w:val="0"/>
        <w:spacing w:line="360" w:lineRule="auto"/>
        <w:rPr>
          <w:rFonts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snapToGrid w:val="0"/>
        <w:spacing w:line="360" w:lineRule="auto"/>
        <w:rPr>
          <w:rFonts w:ascii="宋体" w:hAnsi="宋体" w:cs="宋体"/>
          <w:bCs/>
          <w:szCs w:val="21"/>
        </w:rPr>
      </w:pPr>
      <w:r>
        <w:rPr>
          <w:rFonts w:hint="eastAsia" w:ascii="宋体" w:hAnsi="宋体" w:cs="宋体"/>
          <w:bCs/>
          <w:szCs w:val="21"/>
        </w:rPr>
        <w:t>二、质疑项目基本情况</w:t>
      </w:r>
    </w:p>
    <w:p>
      <w:pPr>
        <w:snapToGrid w:val="0"/>
        <w:spacing w:line="360" w:lineRule="auto"/>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pPr>
        <w:snapToGrid w:val="0"/>
        <w:spacing w:line="360" w:lineRule="auto"/>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pPr>
        <w:snapToGrid w:val="0"/>
        <w:spacing w:line="360" w:lineRule="auto"/>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pPr>
        <w:snapToGrid w:val="0"/>
        <w:spacing w:line="360" w:lineRule="auto"/>
        <w:rPr>
          <w:rFonts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pPr>
        <w:snapToGrid w:val="0"/>
        <w:spacing w:line="360" w:lineRule="auto"/>
        <w:rPr>
          <w:rFonts w:ascii="宋体" w:hAnsi="宋体" w:cs="宋体"/>
          <w:bCs/>
          <w:szCs w:val="21"/>
        </w:rPr>
      </w:pPr>
      <w:r>
        <w:rPr>
          <w:rFonts w:hint="eastAsia" w:ascii="宋体" w:hAnsi="宋体" w:cs="宋体"/>
          <w:bCs/>
          <w:szCs w:val="21"/>
        </w:rPr>
        <w:t>三、质疑事项具体内容</w:t>
      </w:r>
    </w:p>
    <w:p>
      <w:pPr>
        <w:snapToGrid w:val="0"/>
        <w:spacing w:line="360" w:lineRule="auto"/>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pPr>
        <w:snapToGrid w:val="0"/>
        <w:spacing w:line="360" w:lineRule="auto"/>
        <w:rPr>
          <w:rFonts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pPr>
        <w:snapToGrid w:val="0"/>
        <w:spacing w:line="360" w:lineRule="auto"/>
        <w:rPr>
          <w:rFonts w:ascii="宋体" w:hAnsi="宋体" w:cs="宋体"/>
          <w:szCs w:val="21"/>
        </w:rPr>
      </w:pPr>
      <w:r>
        <w:rPr>
          <w:rFonts w:hint="eastAsia" w:ascii="宋体" w:hAnsi="宋体" w:cs="宋体"/>
          <w:szCs w:val="21"/>
          <w:u w:val="dotted"/>
        </w:rPr>
        <w:t xml:space="preserve">                                                       </w:t>
      </w:r>
    </w:p>
    <w:p>
      <w:pPr>
        <w:snapToGrid w:val="0"/>
        <w:spacing w:line="360" w:lineRule="auto"/>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pPr>
        <w:snapToGrid w:val="0"/>
        <w:spacing w:line="360" w:lineRule="auto"/>
        <w:rPr>
          <w:rFonts w:ascii="宋体" w:hAnsi="宋体" w:cs="宋体"/>
          <w:szCs w:val="21"/>
          <w:u w:val="dotted"/>
        </w:rPr>
      </w:pPr>
      <w:r>
        <w:rPr>
          <w:rFonts w:hint="eastAsia" w:ascii="宋体" w:hAnsi="宋体" w:cs="宋体"/>
          <w:szCs w:val="21"/>
          <w:u w:val="dotted"/>
        </w:rPr>
        <w:t xml:space="preserve">                                                     </w:t>
      </w:r>
    </w:p>
    <w:p>
      <w:pPr>
        <w:snapToGrid w:val="0"/>
        <w:spacing w:line="360" w:lineRule="auto"/>
        <w:rPr>
          <w:rFonts w:ascii="宋体" w:hAnsi="宋体" w:cs="宋体"/>
          <w:szCs w:val="21"/>
          <w:u w:val="dotted"/>
        </w:rPr>
      </w:pPr>
      <w:r>
        <w:rPr>
          <w:rFonts w:hint="eastAsia" w:ascii="宋体" w:hAnsi="宋体" w:cs="宋体"/>
          <w:szCs w:val="21"/>
        </w:rPr>
        <w:t>质疑事项2</w:t>
      </w:r>
    </w:p>
    <w:p>
      <w:pPr>
        <w:snapToGrid w:val="0"/>
        <w:spacing w:line="360" w:lineRule="auto"/>
        <w:rPr>
          <w:rFonts w:ascii="宋体" w:hAnsi="宋体" w:cs="宋体"/>
          <w:szCs w:val="21"/>
        </w:rPr>
      </w:pPr>
      <w:r>
        <w:rPr>
          <w:rFonts w:hint="eastAsia" w:ascii="宋体" w:hAnsi="宋体" w:cs="宋体"/>
          <w:szCs w:val="21"/>
        </w:rPr>
        <w:t>……</w:t>
      </w:r>
    </w:p>
    <w:p>
      <w:pPr>
        <w:snapToGrid w:val="0"/>
        <w:spacing w:line="360" w:lineRule="auto"/>
        <w:rPr>
          <w:rFonts w:ascii="宋体" w:hAnsi="宋体" w:cs="宋体"/>
          <w:bCs/>
          <w:szCs w:val="21"/>
        </w:rPr>
      </w:pPr>
      <w:r>
        <w:rPr>
          <w:rFonts w:hint="eastAsia" w:ascii="宋体" w:hAnsi="宋体" w:cs="宋体"/>
          <w:bCs/>
          <w:szCs w:val="21"/>
        </w:rPr>
        <w:t>四、与质疑事项相关的质疑请求</w:t>
      </w:r>
    </w:p>
    <w:p>
      <w:pPr>
        <w:snapToGrid w:val="0"/>
        <w:spacing w:line="360" w:lineRule="auto"/>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pPr>
        <w:spacing w:line="360" w:lineRule="auto"/>
        <w:rPr>
          <w:rFonts w:ascii="宋体" w:hAnsi="宋体" w:cs="宋体"/>
          <w:szCs w:val="21"/>
        </w:rPr>
      </w:pPr>
      <w:r>
        <w:rPr>
          <w:rFonts w:hint="eastAsia" w:ascii="宋体" w:hAnsi="宋体" w:cs="宋体"/>
          <w:szCs w:val="21"/>
        </w:rPr>
        <w:t xml:space="preserve">签字(签章)：                   公章：                      </w:t>
      </w:r>
    </w:p>
    <w:p>
      <w:pPr>
        <w:spacing w:line="360" w:lineRule="auto"/>
        <w:rPr>
          <w:rFonts w:ascii="宋体" w:hAnsi="宋体" w:cs="宋体"/>
          <w:szCs w:val="21"/>
        </w:rPr>
      </w:pPr>
      <w:r>
        <w:rPr>
          <w:rFonts w:hint="eastAsia" w:ascii="宋体" w:hAnsi="宋体" w:cs="宋体"/>
          <w:szCs w:val="21"/>
        </w:rPr>
        <w:t xml:space="preserve">日期：    </w:t>
      </w:r>
    </w:p>
    <w:p>
      <w:pPr>
        <w:spacing w:line="360" w:lineRule="auto"/>
        <w:jc w:val="center"/>
        <w:rPr>
          <w:rFonts w:ascii="宋体" w:hAnsi="宋体" w:cs="宋体"/>
          <w:b/>
          <w:bCs/>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r>
        <w:rPr>
          <w:rFonts w:hint="eastAsia" w:ascii="宋体" w:hAnsi="宋体" w:cs="宋体"/>
          <w:b/>
          <w:szCs w:val="21"/>
        </w:rPr>
        <w:t>质疑函制作说明：</w:t>
      </w:r>
    </w:p>
    <w:p>
      <w:pPr>
        <w:widowControl/>
        <w:spacing w:line="360" w:lineRule="auto"/>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pPr>
        <w:widowControl/>
        <w:spacing w:line="360" w:lineRule="auto"/>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pPr>
        <w:widowControl/>
        <w:spacing w:line="360" w:lineRule="auto"/>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pPr>
        <w:widowControl/>
        <w:spacing w:line="360" w:lineRule="auto"/>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pPr>
        <w:widowControl/>
        <w:spacing w:line="360" w:lineRule="auto"/>
        <w:ind w:firstLine="420" w:firstLineChars="200"/>
        <w:jc w:val="left"/>
        <w:rPr>
          <w:rFonts w:ascii="宋体" w:hAnsi="宋体" w:cs="宋体"/>
          <w:szCs w:val="21"/>
        </w:rPr>
      </w:pPr>
      <w:r>
        <w:rPr>
          <w:rFonts w:hint="eastAsia" w:ascii="宋体" w:hAnsi="宋体" w:cs="宋体"/>
          <w:szCs w:val="21"/>
        </w:rPr>
        <w:t>5.质疑函的质疑请求应与质疑事项相关。</w:t>
      </w:r>
    </w:p>
    <w:p>
      <w:pPr>
        <w:widowControl/>
        <w:spacing w:line="360" w:lineRule="auto"/>
        <w:ind w:firstLine="420" w:firstLineChars="200"/>
        <w:jc w:val="left"/>
        <w:rPr>
          <w:rFonts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pPr>
        <w:spacing w:line="360" w:lineRule="auto"/>
        <w:rPr>
          <w:rFonts w:ascii="宋体" w:hAnsi="宋体" w:cs="宋体"/>
          <w:b/>
          <w:spacing w:val="6"/>
          <w:sz w:val="28"/>
          <w:szCs w:val="28"/>
        </w:rPr>
      </w:pPr>
    </w:p>
    <w:p>
      <w:pPr>
        <w:spacing w:line="360" w:lineRule="auto"/>
        <w:rPr>
          <w:rFonts w:ascii="宋体" w:hAnsi="宋体" w:cs="宋体"/>
          <w:b/>
          <w:spacing w:val="6"/>
          <w:sz w:val="28"/>
          <w:szCs w:val="28"/>
        </w:rPr>
      </w:pPr>
      <w:r>
        <w:rPr>
          <w:rFonts w:hint="eastAsia" w:ascii="宋体" w:hAnsi="宋体" w:cs="宋体"/>
          <w:b/>
          <w:spacing w:val="6"/>
          <w:sz w:val="28"/>
          <w:szCs w:val="28"/>
        </w:rPr>
        <w:t>（五）投诉书范本格式：</w:t>
      </w:r>
    </w:p>
    <w:p>
      <w:pPr>
        <w:spacing w:line="360" w:lineRule="auto"/>
        <w:jc w:val="center"/>
        <w:rPr>
          <w:rFonts w:ascii="宋体" w:hAnsi="宋体" w:cs="宋体"/>
          <w:b/>
          <w:spacing w:val="6"/>
          <w:szCs w:val="21"/>
        </w:rPr>
      </w:pPr>
      <w:r>
        <w:rPr>
          <w:rFonts w:hint="eastAsia" w:ascii="宋体" w:hAnsi="宋体" w:cs="宋体"/>
          <w:b/>
          <w:spacing w:val="6"/>
          <w:szCs w:val="21"/>
        </w:rPr>
        <w:t>投诉书范本</w:t>
      </w:r>
    </w:p>
    <w:p>
      <w:pPr>
        <w:spacing w:line="588" w:lineRule="exact"/>
        <w:jc w:val="center"/>
        <w:rPr>
          <w:rFonts w:ascii="宋体" w:hAnsi="宋体" w:cs="宋体"/>
          <w:b/>
          <w:spacing w:val="6"/>
          <w:sz w:val="32"/>
          <w:szCs w:val="32"/>
        </w:rPr>
      </w:pPr>
    </w:p>
    <w:p>
      <w:pPr>
        <w:rPr>
          <w:rFonts w:ascii="宋体" w:hAnsi="宋体" w:cs="宋体"/>
        </w:rPr>
      </w:pPr>
      <w:r>
        <w:rPr>
          <w:rFonts w:hint="eastAsia" w:ascii="宋体" w:hAnsi="宋体" w:cs="宋体"/>
        </w:rPr>
        <w:t>一、投诉相关主体基本情况</w:t>
      </w:r>
    </w:p>
    <w:p>
      <w:pPr>
        <w:rPr>
          <w:rFonts w:ascii="宋体" w:hAnsi="宋体" w:cs="宋体"/>
        </w:rPr>
      </w:pPr>
    </w:p>
    <w:p>
      <w:pPr>
        <w:rPr>
          <w:rFonts w:ascii="宋体" w:hAnsi="宋体" w:cs="宋体"/>
        </w:rPr>
      </w:pPr>
      <w:r>
        <w:rPr>
          <w:rFonts w:hint="eastAsia" w:ascii="宋体" w:hAnsi="宋体" w:cs="宋体"/>
        </w:rPr>
        <w:t>投诉人：</w:t>
      </w:r>
      <w:r>
        <w:rPr>
          <w:rFonts w:hint="eastAsia" w:ascii="宋体" w:hAnsi="宋体" w:cs="宋体"/>
          <w:szCs w:val="21"/>
          <w:u w:val="dotted"/>
        </w:rPr>
        <w:t xml:space="preserve">                                        </w:t>
      </w:r>
    </w:p>
    <w:p>
      <w:pPr>
        <w:rPr>
          <w:rFonts w:ascii="宋体" w:hAnsi="宋体" w:cs="宋体"/>
        </w:rPr>
      </w:pPr>
      <w:r>
        <w:rPr>
          <w:rFonts w:hint="eastAsia" w:ascii="宋体" w:hAnsi="宋体" w:cs="宋体"/>
        </w:rPr>
        <w:t>地址：</w:t>
      </w:r>
      <w:r>
        <w:rPr>
          <w:rFonts w:hint="eastAsia" w:ascii="宋体" w:hAnsi="宋体" w:cs="宋体"/>
          <w:szCs w:val="21"/>
          <w:u w:val="dotted"/>
        </w:rPr>
        <w:t xml:space="preserve">                                        </w:t>
      </w:r>
      <w:r>
        <w:rPr>
          <w:rFonts w:hint="eastAsia" w:ascii="宋体" w:hAnsi="宋体" w:cs="宋体"/>
        </w:rPr>
        <w:t>邮编：</w:t>
      </w:r>
      <w:r>
        <w:rPr>
          <w:rFonts w:hint="eastAsia" w:ascii="宋体" w:hAnsi="宋体" w:cs="宋体"/>
          <w:szCs w:val="21"/>
          <w:u w:val="dotted"/>
        </w:rPr>
        <w:t xml:space="preserve">                                        </w:t>
      </w:r>
    </w:p>
    <w:p>
      <w:pPr>
        <w:rPr>
          <w:rFonts w:ascii="宋体" w:hAnsi="宋体" w:cs="宋体"/>
        </w:rPr>
      </w:pPr>
      <w:r>
        <w:rPr>
          <w:rFonts w:hint="eastAsia" w:ascii="宋体" w:hAnsi="宋体" w:cs="宋体"/>
        </w:rPr>
        <w:t>法定代表人/主要负责人：</w:t>
      </w:r>
      <w:r>
        <w:rPr>
          <w:rFonts w:hint="eastAsia" w:ascii="宋体" w:hAnsi="宋体" w:cs="宋体"/>
          <w:szCs w:val="21"/>
          <w:u w:val="dotted"/>
        </w:rPr>
        <w:t xml:space="preserve">                                        </w:t>
      </w:r>
    </w:p>
    <w:p>
      <w:pPr>
        <w:rPr>
          <w:rFonts w:ascii="宋体" w:hAnsi="宋体" w:cs="宋体"/>
        </w:rPr>
      </w:pPr>
      <w:r>
        <w:rPr>
          <w:rFonts w:hint="eastAsia" w:ascii="宋体" w:hAnsi="宋体" w:cs="宋体"/>
        </w:rPr>
        <w:t>联系电话：</w:t>
      </w:r>
      <w:r>
        <w:rPr>
          <w:rFonts w:hint="eastAsia" w:ascii="宋体" w:hAnsi="宋体" w:cs="宋体"/>
          <w:szCs w:val="21"/>
          <w:u w:val="dotted"/>
        </w:rPr>
        <w:t xml:space="preserve">                                        </w:t>
      </w:r>
    </w:p>
    <w:p>
      <w:pPr>
        <w:rPr>
          <w:rFonts w:ascii="宋体" w:hAnsi="宋体" w:cs="宋体"/>
        </w:rPr>
      </w:pPr>
      <w:r>
        <w:rPr>
          <w:rFonts w:hint="eastAsia" w:ascii="宋体" w:hAnsi="宋体" w:cs="宋体"/>
        </w:rPr>
        <w:t>授权代表：</w:t>
      </w:r>
      <w:r>
        <w:rPr>
          <w:rFonts w:hint="eastAsia" w:ascii="宋体" w:hAnsi="宋体" w:cs="宋体"/>
          <w:szCs w:val="21"/>
          <w:u w:val="dotted"/>
        </w:rPr>
        <w:t xml:space="preserve">                                    </w:t>
      </w:r>
      <w:r>
        <w:rPr>
          <w:rFonts w:hint="eastAsia" w:ascii="宋体" w:hAnsi="宋体" w:cs="宋体"/>
        </w:rPr>
        <w:t>联系电话：</w:t>
      </w:r>
      <w:r>
        <w:rPr>
          <w:rFonts w:hint="eastAsia" w:ascii="宋体" w:hAnsi="宋体" w:cs="宋体"/>
          <w:szCs w:val="21"/>
          <w:u w:val="dotted"/>
        </w:rPr>
        <w:t xml:space="preserve">                                        </w:t>
      </w:r>
    </w:p>
    <w:p>
      <w:pPr>
        <w:rPr>
          <w:rFonts w:ascii="宋体" w:hAnsi="宋体" w:cs="宋体"/>
        </w:rPr>
      </w:pPr>
      <w:r>
        <w:rPr>
          <w:rFonts w:hint="eastAsia" w:ascii="宋体" w:hAnsi="宋体" w:cs="宋体"/>
        </w:rPr>
        <w:t>地址：</w:t>
      </w:r>
      <w:r>
        <w:rPr>
          <w:rFonts w:hint="eastAsia" w:ascii="宋体" w:hAnsi="宋体" w:cs="宋体"/>
          <w:szCs w:val="21"/>
          <w:u w:val="dotted"/>
        </w:rPr>
        <w:t xml:space="preserve">                                        </w:t>
      </w:r>
      <w:r>
        <w:rPr>
          <w:rFonts w:hint="eastAsia" w:ascii="宋体" w:hAnsi="宋体" w:cs="宋体"/>
        </w:rPr>
        <w:t>邮编：</w:t>
      </w:r>
      <w:r>
        <w:rPr>
          <w:rFonts w:hint="eastAsia" w:ascii="宋体" w:hAnsi="宋体" w:cs="宋体"/>
          <w:szCs w:val="21"/>
          <w:u w:val="dotted"/>
        </w:rPr>
        <w:t xml:space="preserve">                                        </w:t>
      </w:r>
    </w:p>
    <w:p>
      <w:pPr>
        <w:rPr>
          <w:rFonts w:ascii="宋体" w:hAnsi="宋体" w:cs="宋体"/>
        </w:rPr>
      </w:pPr>
    </w:p>
    <w:p>
      <w:pPr>
        <w:rPr>
          <w:rFonts w:ascii="宋体" w:hAnsi="宋体" w:cs="宋体"/>
        </w:rPr>
      </w:pPr>
      <w:r>
        <w:rPr>
          <w:rFonts w:hint="eastAsia" w:ascii="宋体" w:hAnsi="宋体" w:cs="宋体"/>
        </w:rPr>
        <w:t>被投诉人1：</w:t>
      </w:r>
      <w:r>
        <w:rPr>
          <w:rFonts w:hint="eastAsia" w:ascii="宋体" w:hAnsi="宋体" w:cs="宋体"/>
          <w:szCs w:val="21"/>
          <w:u w:val="dotted"/>
        </w:rPr>
        <w:t xml:space="preserve">                                        </w:t>
      </w:r>
    </w:p>
    <w:p>
      <w:pPr>
        <w:rPr>
          <w:rFonts w:ascii="宋体" w:hAnsi="宋体" w:cs="宋体"/>
        </w:rPr>
      </w:pPr>
      <w:r>
        <w:rPr>
          <w:rFonts w:hint="eastAsia" w:ascii="宋体" w:hAnsi="宋体" w:cs="宋体"/>
        </w:rPr>
        <w:t>地址：</w:t>
      </w:r>
      <w:r>
        <w:rPr>
          <w:rFonts w:hint="eastAsia" w:ascii="宋体" w:hAnsi="宋体" w:cs="宋体"/>
          <w:szCs w:val="21"/>
          <w:u w:val="dotted"/>
        </w:rPr>
        <w:t xml:space="preserve">                                        </w:t>
      </w:r>
      <w:r>
        <w:rPr>
          <w:rFonts w:hint="eastAsia" w:ascii="宋体" w:hAnsi="宋体" w:cs="宋体"/>
        </w:rPr>
        <w:t>邮编：</w:t>
      </w:r>
      <w:r>
        <w:rPr>
          <w:rFonts w:hint="eastAsia" w:ascii="宋体" w:hAnsi="宋体" w:cs="宋体"/>
          <w:szCs w:val="21"/>
          <w:u w:val="dotted"/>
        </w:rPr>
        <w:t xml:space="preserve">                                        </w:t>
      </w:r>
    </w:p>
    <w:p>
      <w:pPr>
        <w:rPr>
          <w:rFonts w:ascii="宋体" w:hAnsi="宋体" w:cs="宋体"/>
        </w:rPr>
      </w:pPr>
      <w:r>
        <w:rPr>
          <w:rFonts w:hint="eastAsia" w:ascii="宋体" w:hAnsi="宋体" w:cs="宋体"/>
        </w:rPr>
        <w:t>联系人：</w:t>
      </w:r>
      <w:r>
        <w:rPr>
          <w:rFonts w:hint="eastAsia" w:ascii="宋体" w:hAnsi="宋体" w:cs="宋体"/>
          <w:szCs w:val="21"/>
          <w:u w:val="dotted"/>
        </w:rPr>
        <w:t xml:space="preserve">                                      </w:t>
      </w:r>
      <w:r>
        <w:rPr>
          <w:rFonts w:hint="eastAsia" w:ascii="宋体" w:hAnsi="宋体" w:cs="宋体"/>
        </w:rPr>
        <w:t>联系电话：</w:t>
      </w:r>
      <w:r>
        <w:rPr>
          <w:rFonts w:hint="eastAsia" w:ascii="宋体" w:hAnsi="宋体" w:cs="宋体"/>
          <w:szCs w:val="21"/>
          <w:u w:val="dotted"/>
        </w:rPr>
        <w:t xml:space="preserve">                                        </w:t>
      </w:r>
    </w:p>
    <w:p>
      <w:pPr>
        <w:rPr>
          <w:rFonts w:ascii="宋体" w:hAnsi="宋体" w:cs="宋体"/>
        </w:rPr>
      </w:pPr>
    </w:p>
    <w:p>
      <w:pPr>
        <w:rPr>
          <w:rFonts w:ascii="宋体" w:hAnsi="宋体" w:cs="宋体"/>
        </w:rPr>
      </w:pPr>
      <w:r>
        <w:rPr>
          <w:rFonts w:hint="eastAsia" w:ascii="宋体" w:hAnsi="宋体" w:cs="宋体"/>
        </w:rPr>
        <w:t>被投诉人2：</w:t>
      </w:r>
      <w:r>
        <w:rPr>
          <w:rFonts w:hint="eastAsia" w:ascii="宋体" w:hAnsi="宋体" w:cs="宋体"/>
          <w:szCs w:val="21"/>
          <w:u w:val="dotted"/>
        </w:rPr>
        <w:t xml:space="preserve">                                        </w:t>
      </w:r>
    </w:p>
    <w:p>
      <w:pPr>
        <w:rPr>
          <w:rFonts w:ascii="宋体" w:hAnsi="宋体" w:cs="宋体"/>
        </w:rPr>
      </w:pPr>
      <w:r>
        <w:rPr>
          <w:rFonts w:hint="eastAsia" w:ascii="宋体" w:hAnsi="宋体" w:cs="宋体"/>
        </w:rPr>
        <w:t>地址：</w:t>
      </w:r>
      <w:r>
        <w:rPr>
          <w:rFonts w:hint="eastAsia" w:ascii="宋体" w:hAnsi="宋体" w:cs="宋体"/>
          <w:szCs w:val="21"/>
          <w:u w:val="dotted"/>
        </w:rPr>
        <w:t xml:space="preserve">                                        </w:t>
      </w:r>
      <w:r>
        <w:rPr>
          <w:rFonts w:hint="eastAsia" w:ascii="宋体" w:hAnsi="宋体" w:cs="宋体"/>
        </w:rPr>
        <w:t>邮编：</w:t>
      </w:r>
      <w:r>
        <w:rPr>
          <w:rFonts w:hint="eastAsia" w:ascii="宋体" w:hAnsi="宋体" w:cs="宋体"/>
          <w:szCs w:val="21"/>
          <w:u w:val="dotted"/>
        </w:rPr>
        <w:t xml:space="preserve">                                        </w:t>
      </w:r>
    </w:p>
    <w:p>
      <w:pPr>
        <w:rPr>
          <w:rFonts w:ascii="宋体" w:hAnsi="宋体" w:cs="宋体"/>
        </w:rPr>
      </w:pPr>
      <w:r>
        <w:rPr>
          <w:rFonts w:hint="eastAsia" w:ascii="宋体" w:hAnsi="宋体" w:cs="宋体"/>
        </w:rPr>
        <w:t>联系人：</w:t>
      </w:r>
      <w:r>
        <w:rPr>
          <w:rFonts w:hint="eastAsia" w:ascii="宋体" w:hAnsi="宋体" w:cs="宋体"/>
          <w:szCs w:val="21"/>
          <w:u w:val="dotted"/>
        </w:rPr>
        <w:t xml:space="preserve">                                      </w:t>
      </w:r>
      <w:r>
        <w:rPr>
          <w:rFonts w:hint="eastAsia" w:ascii="宋体" w:hAnsi="宋体" w:cs="宋体"/>
        </w:rPr>
        <w:t>联系电话：</w:t>
      </w:r>
      <w:r>
        <w:rPr>
          <w:rFonts w:hint="eastAsia" w:ascii="宋体" w:hAnsi="宋体" w:cs="宋体"/>
          <w:szCs w:val="21"/>
          <w:u w:val="dotted"/>
        </w:rPr>
        <w:t xml:space="preserve">                                    </w:t>
      </w:r>
    </w:p>
    <w:p>
      <w:pPr>
        <w:rPr>
          <w:rFonts w:ascii="宋体" w:hAnsi="宋体" w:cs="宋体"/>
        </w:rPr>
      </w:pPr>
    </w:p>
    <w:p>
      <w:pPr>
        <w:rPr>
          <w:rFonts w:ascii="宋体" w:hAnsi="宋体" w:cs="宋体"/>
        </w:rPr>
      </w:pPr>
      <w:r>
        <w:rPr>
          <w:rFonts w:hint="eastAsia" w:ascii="宋体" w:hAnsi="宋体" w:cs="宋体"/>
        </w:rPr>
        <w:t>……</w:t>
      </w:r>
    </w:p>
    <w:p>
      <w:pPr>
        <w:rPr>
          <w:rFonts w:ascii="宋体" w:hAnsi="宋体" w:cs="宋体"/>
        </w:rPr>
      </w:pPr>
    </w:p>
    <w:p>
      <w:pPr>
        <w:rPr>
          <w:rFonts w:ascii="宋体" w:hAnsi="宋体" w:cs="宋体"/>
        </w:rPr>
      </w:pPr>
      <w:r>
        <w:rPr>
          <w:rFonts w:hint="eastAsia" w:ascii="宋体" w:hAnsi="宋体" w:cs="宋体"/>
        </w:rPr>
        <w:t>相关供应商：</w:t>
      </w:r>
      <w:r>
        <w:rPr>
          <w:rFonts w:hint="eastAsia" w:ascii="宋体" w:hAnsi="宋体" w:cs="宋体"/>
          <w:szCs w:val="21"/>
          <w:u w:val="dotted"/>
        </w:rPr>
        <w:t xml:space="preserve">                                        </w:t>
      </w:r>
    </w:p>
    <w:p>
      <w:pPr>
        <w:rPr>
          <w:rFonts w:ascii="宋体" w:hAnsi="宋体" w:cs="宋体"/>
        </w:rPr>
      </w:pPr>
      <w:r>
        <w:rPr>
          <w:rFonts w:hint="eastAsia" w:ascii="宋体" w:hAnsi="宋体" w:cs="宋体"/>
        </w:rPr>
        <w:t>地址：</w:t>
      </w:r>
      <w:r>
        <w:rPr>
          <w:rFonts w:hint="eastAsia" w:ascii="宋体" w:hAnsi="宋体" w:cs="宋体"/>
          <w:szCs w:val="21"/>
          <w:u w:val="dotted"/>
        </w:rPr>
        <w:t xml:space="preserve">                                        </w:t>
      </w:r>
      <w:r>
        <w:rPr>
          <w:rFonts w:hint="eastAsia" w:ascii="宋体" w:hAnsi="宋体" w:cs="宋体"/>
        </w:rPr>
        <w:t>邮编：</w:t>
      </w:r>
      <w:r>
        <w:rPr>
          <w:rFonts w:hint="eastAsia" w:ascii="宋体" w:hAnsi="宋体" w:cs="宋体"/>
          <w:szCs w:val="21"/>
          <w:u w:val="dotted"/>
        </w:rPr>
        <w:t xml:space="preserve">                                        </w:t>
      </w:r>
    </w:p>
    <w:p>
      <w:pPr>
        <w:rPr>
          <w:rFonts w:ascii="宋体" w:hAnsi="宋体" w:cs="宋体"/>
        </w:rPr>
      </w:pPr>
      <w:r>
        <w:rPr>
          <w:rFonts w:hint="eastAsia" w:ascii="宋体" w:hAnsi="宋体" w:cs="宋体"/>
        </w:rPr>
        <w:t>联系人：</w:t>
      </w:r>
      <w:r>
        <w:rPr>
          <w:rFonts w:hint="eastAsia" w:ascii="宋体" w:hAnsi="宋体" w:cs="宋体"/>
          <w:szCs w:val="21"/>
          <w:u w:val="dotted"/>
        </w:rPr>
        <w:t xml:space="preserve">                                      </w:t>
      </w:r>
      <w:r>
        <w:rPr>
          <w:rFonts w:hint="eastAsia" w:ascii="宋体" w:hAnsi="宋体" w:cs="宋体"/>
        </w:rPr>
        <w:t>联系电话：</w:t>
      </w:r>
      <w:r>
        <w:rPr>
          <w:rFonts w:hint="eastAsia" w:ascii="宋体" w:hAnsi="宋体" w:cs="宋体"/>
          <w:szCs w:val="21"/>
          <w:u w:val="dotted"/>
        </w:rPr>
        <w:t xml:space="preserve">                                        </w:t>
      </w:r>
    </w:p>
    <w:p>
      <w:pPr>
        <w:rPr>
          <w:rFonts w:ascii="宋体" w:hAnsi="宋体" w:cs="宋体"/>
        </w:rPr>
      </w:pPr>
    </w:p>
    <w:p>
      <w:pPr>
        <w:rPr>
          <w:rFonts w:ascii="宋体" w:hAnsi="宋体" w:cs="宋体"/>
        </w:rPr>
      </w:pPr>
      <w:r>
        <w:rPr>
          <w:rFonts w:hint="eastAsia" w:ascii="宋体" w:hAnsi="宋体" w:cs="宋体"/>
        </w:rPr>
        <w:t>二、投诉项目基本情况</w:t>
      </w:r>
    </w:p>
    <w:p>
      <w:pPr>
        <w:rPr>
          <w:rFonts w:ascii="宋体" w:hAnsi="宋体" w:cs="宋体"/>
        </w:rPr>
      </w:pPr>
      <w:r>
        <w:rPr>
          <w:rFonts w:hint="eastAsia" w:ascii="宋体" w:hAnsi="宋体" w:cs="宋体"/>
        </w:rPr>
        <w:t>采购项目名称：</w:t>
      </w:r>
      <w:r>
        <w:rPr>
          <w:rFonts w:hint="eastAsia" w:ascii="宋体" w:hAnsi="宋体" w:cs="宋体"/>
          <w:szCs w:val="21"/>
          <w:u w:val="dotted"/>
        </w:rPr>
        <w:t xml:space="preserve">                                        </w:t>
      </w:r>
    </w:p>
    <w:p>
      <w:pPr>
        <w:rPr>
          <w:rFonts w:ascii="宋体" w:hAnsi="宋体" w:cs="宋体"/>
        </w:rPr>
      </w:pPr>
      <w:r>
        <w:rPr>
          <w:rFonts w:hint="eastAsia" w:ascii="宋体" w:hAnsi="宋体" w:cs="宋体"/>
        </w:rPr>
        <w:t>采购项目编号：</w:t>
      </w:r>
      <w:r>
        <w:rPr>
          <w:rFonts w:hint="eastAsia" w:ascii="宋体" w:hAnsi="宋体" w:cs="宋体"/>
          <w:szCs w:val="21"/>
          <w:u w:val="dotted"/>
        </w:rPr>
        <w:t xml:space="preserve">                                        </w:t>
      </w:r>
      <w:r>
        <w:rPr>
          <w:rFonts w:hint="eastAsia" w:ascii="宋体" w:hAnsi="宋体" w:cs="宋体"/>
        </w:rPr>
        <w:t>包号：</w:t>
      </w:r>
      <w:r>
        <w:rPr>
          <w:rFonts w:hint="eastAsia" w:ascii="宋体" w:hAnsi="宋体" w:cs="宋体"/>
          <w:szCs w:val="21"/>
          <w:u w:val="dotted"/>
        </w:rPr>
        <w:t xml:space="preserve">                                        </w:t>
      </w:r>
    </w:p>
    <w:p>
      <w:pPr>
        <w:rPr>
          <w:rFonts w:ascii="宋体" w:hAnsi="宋体" w:cs="宋体"/>
        </w:rPr>
      </w:pPr>
      <w:r>
        <w:rPr>
          <w:rFonts w:hint="eastAsia" w:ascii="宋体" w:hAnsi="宋体" w:cs="宋体"/>
        </w:rPr>
        <w:t>采购人名称：</w:t>
      </w:r>
      <w:r>
        <w:rPr>
          <w:rFonts w:hint="eastAsia" w:ascii="宋体" w:hAnsi="宋体" w:cs="宋体"/>
          <w:szCs w:val="21"/>
          <w:u w:val="dotted"/>
        </w:rPr>
        <w:t xml:space="preserve">                                        </w:t>
      </w:r>
    </w:p>
    <w:p>
      <w:pPr>
        <w:rPr>
          <w:rFonts w:ascii="宋体" w:hAnsi="宋体" w:cs="宋体"/>
        </w:rPr>
      </w:pPr>
      <w:r>
        <w:rPr>
          <w:rFonts w:hint="eastAsia" w:ascii="宋体" w:hAnsi="宋体" w:cs="宋体"/>
        </w:rPr>
        <w:t>代理机构名称：</w:t>
      </w:r>
      <w:r>
        <w:rPr>
          <w:rFonts w:hint="eastAsia" w:ascii="宋体" w:hAnsi="宋体" w:cs="宋体"/>
          <w:szCs w:val="21"/>
          <w:u w:val="dotted"/>
        </w:rPr>
        <w:t xml:space="preserve">                                        </w:t>
      </w:r>
    </w:p>
    <w:p>
      <w:pPr>
        <w:rPr>
          <w:rFonts w:ascii="宋体" w:hAnsi="宋体" w:cs="宋体"/>
        </w:rPr>
      </w:pPr>
      <w:r>
        <w:rPr>
          <w:rFonts w:hint="eastAsia" w:ascii="宋体" w:hAnsi="宋体" w:cs="宋体"/>
        </w:rPr>
        <w:t>采购文件公告:是/否 公告期限：</w:t>
      </w:r>
    </w:p>
    <w:p>
      <w:pPr>
        <w:rPr>
          <w:rFonts w:ascii="宋体" w:hAnsi="宋体" w:cs="宋体"/>
        </w:rPr>
      </w:pPr>
      <w:r>
        <w:rPr>
          <w:rFonts w:hint="eastAsia" w:ascii="宋体" w:hAnsi="宋体" w:cs="宋体"/>
        </w:rPr>
        <w:t>采购结果公告:是/否 公告期限：</w:t>
      </w:r>
    </w:p>
    <w:p>
      <w:pPr>
        <w:rPr>
          <w:rFonts w:ascii="宋体" w:hAnsi="宋体" w:cs="宋体"/>
        </w:rPr>
      </w:pPr>
      <w:r>
        <w:rPr>
          <w:rFonts w:hint="eastAsia" w:ascii="宋体" w:hAnsi="宋体" w:cs="宋体"/>
        </w:rPr>
        <w:t>三、质疑基本情况</w:t>
      </w:r>
    </w:p>
    <w:p>
      <w:pPr>
        <w:rPr>
          <w:rFonts w:ascii="宋体" w:hAnsi="宋体" w:cs="宋体"/>
        </w:rPr>
      </w:pPr>
      <w:r>
        <w:rPr>
          <w:rFonts w:hint="eastAsia" w:ascii="宋体" w:hAnsi="宋体" w:cs="宋体"/>
        </w:rPr>
        <w:t>投诉人于 年月 日,向提出质疑，质疑事项为：</w:t>
      </w:r>
      <w:r>
        <w:rPr>
          <w:rFonts w:hint="eastAsia" w:ascii="宋体" w:hAnsi="宋体" w:cs="宋体"/>
          <w:szCs w:val="21"/>
          <w:u w:val="dotted"/>
        </w:rPr>
        <w:t xml:space="preserve">                                        </w:t>
      </w:r>
    </w:p>
    <w:p>
      <w:pPr>
        <w:rPr>
          <w:rFonts w:ascii="宋体" w:hAnsi="宋体" w:cs="宋体"/>
        </w:rPr>
      </w:pPr>
    </w:p>
    <w:p>
      <w:pPr>
        <w:rPr>
          <w:rFonts w:ascii="宋体" w:hAnsi="宋体" w:cs="宋体"/>
        </w:rPr>
      </w:pPr>
      <w:r>
        <w:rPr>
          <w:rFonts w:hint="eastAsia" w:ascii="宋体" w:hAnsi="宋体" w:cs="宋体"/>
        </w:rPr>
        <w:t>采购人/代理机构于 年 月 日,就质疑事项作出了答复/没有在法定期限内作出答复。</w:t>
      </w:r>
    </w:p>
    <w:p>
      <w:pPr>
        <w:rPr>
          <w:rFonts w:ascii="宋体" w:hAnsi="宋体" w:cs="宋体"/>
        </w:rPr>
      </w:pPr>
      <w:r>
        <w:rPr>
          <w:rFonts w:hint="eastAsia" w:ascii="宋体" w:hAnsi="宋体" w:cs="宋体"/>
        </w:rPr>
        <w:t>四、投诉事项具体内容</w:t>
      </w:r>
    </w:p>
    <w:p>
      <w:pPr>
        <w:rPr>
          <w:rFonts w:ascii="宋体" w:hAnsi="宋体" w:cs="宋体"/>
        </w:rPr>
      </w:pPr>
      <w:r>
        <w:rPr>
          <w:rFonts w:hint="eastAsia" w:ascii="宋体" w:hAnsi="宋体" w:cs="宋体"/>
        </w:rPr>
        <w:t>投诉事项1：</w:t>
      </w:r>
      <w:r>
        <w:rPr>
          <w:rFonts w:hint="eastAsia" w:ascii="宋体" w:hAnsi="宋体" w:cs="宋体"/>
          <w:szCs w:val="21"/>
          <w:u w:val="dotted"/>
        </w:rPr>
        <w:t xml:space="preserve">                                        </w:t>
      </w:r>
    </w:p>
    <w:p>
      <w:pPr>
        <w:rPr>
          <w:rFonts w:ascii="宋体" w:hAnsi="宋体" w:cs="宋体"/>
        </w:rPr>
      </w:pPr>
      <w:r>
        <w:rPr>
          <w:rFonts w:hint="eastAsia" w:ascii="宋体" w:hAnsi="宋体" w:cs="宋体"/>
        </w:rPr>
        <w:t>事实依据：</w:t>
      </w:r>
      <w:r>
        <w:rPr>
          <w:rFonts w:hint="eastAsia" w:ascii="宋体" w:hAnsi="宋体" w:cs="宋体"/>
          <w:szCs w:val="21"/>
          <w:u w:val="dotted"/>
        </w:rPr>
        <w:t xml:space="preserve">                                        </w:t>
      </w:r>
    </w:p>
    <w:p>
      <w:pPr>
        <w:rPr>
          <w:rFonts w:ascii="宋体" w:hAnsi="宋体" w:cs="宋体"/>
        </w:rPr>
      </w:pPr>
      <w:r>
        <w:rPr>
          <w:rFonts w:hint="eastAsia" w:ascii="宋体" w:hAnsi="宋体" w:cs="宋体"/>
        </w:rPr>
        <w:t>法律依据：</w:t>
      </w:r>
      <w:r>
        <w:rPr>
          <w:rFonts w:hint="eastAsia" w:ascii="宋体" w:hAnsi="宋体" w:cs="宋体"/>
          <w:szCs w:val="21"/>
          <w:u w:val="dotted"/>
        </w:rPr>
        <w:t xml:space="preserve">                                        </w:t>
      </w:r>
    </w:p>
    <w:p>
      <w:pPr>
        <w:rPr>
          <w:rFonts w:ascii="宋体" w:hAnsi="宋体" w:cs="宋体"/>
        </w:rPr>
      </w:pPr>
    </w:p>
    <w:p>
      <w:pPr>
        <w:rPr>
          <w:rFonts w:ascii="宋体" w:hAnsi="宋体" w:cs="宋体"/>
        </w:rPr>
      </w:pPr>
      <w:r>
        <w:rPr>
          <w:rFonts w:hint="eastAsia" w:ascii="宋体" w:hAnsi="宋体" w:cs="宋体"/>
        </w:rPr>
        <w:t>投诉事项2</w:t>
      </w:r>
      <w:r>
        <w:rPr>
          <w:rFonts w:hint="eastAsia" w:ascii="宋体" w:hAnsi="宋体" w:cs="宋体"/>
          <w:szCs w:val="21"/>
          <w:u w:val="dotted"/>
        </w:rPr>
        <w:t xml:space="preserve">                                        </w:t>
      </w:r>
    </w:p>
    <w:p>
      <w:pPr>
        <w:rPr>
          <w:rFonts w:ascii="宋体" w:hAnsi="宋体" w:cs="宋体"/>
        </w:rPr>
      </w:pPr>
    </w:p>
    <w:p>
      <w:pPr>
        <w:rPr>
          <w:rFonts w:ascii="宋体" w:hAnsi="宋体" w:cs="宋体"/>
        </w:rPr>
      </w:pPr>
      <w:r>
        <w:rPr>
          <w:rFonts w:hint="eastAsia" w:ascii="宋体" w:hAnsi="宋体" w:cs="宋体"/>
        </w:rPr>
        <w:t>……</w:t>
      </w:r>
    </w:p>
    <w:p>
      <w:pPr>
        <w:rPr>
          <w:rFonts w:ascii="宋体" w:hAnsi="宋体" w:cs="宋体"/>
        </w:rPr>
      </w:pPr>
    </w:p>
    <w:p>
      <w:pPr>
        <w:rPr>
          <w:rFonts w:ascii="宋体" w:hAnsi="宋体" w:cs="宋体"/>
        </w:rPr>
      </w:pPr>
      <w:r>
        <w:rPr>
          <w:rFonts w:hint="eastAsia" w:ascii="宋体" w:hAnsi="宋体" w:cs="宋体"/>
        </w:rPr>
        <w:t>五、与投诉事项相关的投诉请求</w:t>
      </w:r>
    </w:p>
    <w:p>
      <w:pPr>
        <w:rPr>
          <w:rFonts w:ascii="宋体" w:hAnsi="宋体" w:cs="宋体"/>
        </w:rPr>
      </w:pPr>
    </w:p>
    <w:p>
      <w:pPr>
        <w:rPr>
          <w:rFonts w:ascii="宋体" w:hAnsi="宋体" w:cs="宋体"/>
        </w:rPr>
      </w:pPr>
      <w:r>
        <w:rPr>
          <w:rFonts w:hint="eastAsia" w:ascii="宋体" w:hAnsi="宋体" w:cs="宋体"/>
        </w:rPr>
        <w:t>请求：</w:t>
      </w:r>
      <w:r>
        <w:rPr>
          <w:rFonts w:hint="eastAsia" w:ascii="宋体" w:hAnsi="宋体" w:cs="宋体"/>
          <w:szCs w:val="21"/>
          <w:u w:val="dotted"/>
        </w:rPr>
        <w:t xml:space="preserve">                                        </w:t>
      </w:r>
    </w:p>
    <w:p>
      <w:pPr>
        <w:rPr>
          <w:rFonts w:ascii="宋体" w:hAnsi="宋体" w:cs="宋体"/>
        </w:rPr>
      </w:pPr>
    </w:p>
    <w:p>
      <w:pPr>
        <w:rPr>
          <w:rFonts w:ascii="宋体" w:hAnsi="宋体" w:cs="宋体"/>
        </w:rPr>
      </w:pPr>
      <w:r>
        <w:rPr>
          <w:rFonts w:hint="eastAsia" w:ascii="宋体" w:hAnsi="宋体" w:cs="宋体"/>
        </w:rPr>
        <w:t>签字(签章)：公章：</w:t>
      </w:r>
    </w:p>
    <w:p>
      <w:pPr>
        <w:rPr>
          <w:rFonts w:ascii="宋体" w:hAnsi="宋体" w:cs="宋体"/>
        </w:rPr>
      </w:pPr>
      <w:r>
        <w:rPr>
          <w:rFonts w:hint="eastAsia" w:ascii="宋体" w:hAnsi="宋体" w:cs="宋体"/>
        </w:rPr>
        <w:t>日期：</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投诉书制作说明：</w:t>
      </w:r>
    </w:p>
    <w:p>
      <w:pPr>
        <w:rPr>
          <w:rFonts w:ascii="宋体" w:hAnsi="宋体" w:cs="宋体"/>
        </w:rPr>
      </w:pPr>
      <w:r>
        <w:rPr>
          <w:rFonts w:hint="eastAsia" w:ascii="宋体" w:hAnsi="宋体" w:cs="宋体"/>
        </w:rPr>
        <w:t>1.投诉人提起投诉时，应当提交投诉书和必要的证明材料，并按照被投诉人和与投诉事项有关的供应商数量提供投诉书副本。</w:t>
      </w:r>
    </w:p>
    <w:p>
      <w:pPr>
        <w:rPr>
          <w:rFonts w:ascii="宋体" w:hAnsi="宋体" w:cs="宋体"/>
        </w:rPr>
      </w:pPr>
      <w:r>
        <w:rPr>
          <w:rFonts w:hint="eastAsia" w:ascii="宋体" w:hAnsi="宋体" w:cs="宋体"/>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rPr>
          <w:rFonts w:ascii="宋体" w:hAnsi="宋体" w:cs="宋体"/>
        </w:rPr>
      </w:pPr>
      <w:r>
        <w:rPr>
          <w:rFonts w:hint="eastAsia" w:ascii="宋体" w:hAnsi="宋体" w:cs="宋体"/>
        </w:rPr>
        <w:t>3.投诉人若对项目的某一分包进行投诉，投诉书应列明具体分包号。</w:t>
      </w:r>
    </w:p>
    <w:p>
      <w:pPr>
        <w:rPr>
          <w:rFonts w:ascii="宋体" w:hAnsi="宋体" w:cs="宋体"/>
        </w:rPr>
      </w:pPr>
      <w:r>
        <w:rPr>
          <w:rFonts w:hint="eastAsia" w:ascii="宋体" w:hAnsi="宋体" w:cs="宋体"/>
        </w:rPr>
        <w:t>4.投诉书应简要列明质疑事项，质疑函、质疑答复等作为附件材料提供。</w:t>
      </w:r>
    </w:p>
    <w:p>
      <w:pPr>
        <w:rPr>
          <w:rFonts w:ascii="宋体" w:hAnsi="宋体" w:cs="宋体"/>
        </w:rPr>
      </w:pPr>
      <w:r>
        <w:rPr>
          <w:rFonts w:hint="eastAsia" w:ascii="宋体" w:hAnsi="宋体" w:cs="宋体"/>
        </w:rPr>
        <w:t>5.投诉书的投诉事项应具体、明确，并有必要的事实依据和法律依据。</w:t>
      </w:r>
    </w:p>
    <w:p>
      <w:pPr>
        <w:rPr>
          <w:rFonts w:ascii="宋体" w:hAnsi="宋体" w:cs="宋体"/>
        </w:rPr>
      </w:pPr>
      <w:r>
        <w:rPr>
          <w:rFonts w:hint="eastAsia" w:ascii="宋体" w:hAnsi="宋体" w:cs="宋体"/>
        </w:rPr>
        <w:t>6.投诉书的投诉请求应与投诉事项相关。</w:t>
      </w:r>
    </w:p>
    <w:p>
      <w:pPr>
        <w:rPr>
          <w:rFonts w:ascii="宋体" w:hAnsi="宋体" w:cs="宋体"/>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sectPr>
      <w:headerReference r:id="rId10" w:type="first"/>
      <w:footerReference r:id="rId11" w:type="first"/>
      <w:headerReference r:id="rId9" w:type="default"/>
      <w:pgSz w:w="11906" w:h="16838"/>
      <w:pgMar w:top="1247" w:right="849" w:bottom="124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auto"/>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Wingdings 2">
    <w:altName w:val="Standard Symbols PS"/>
    <w:panose1 w:val="05020102010507070707"/>
    <w:charset w:val="02"/>
    <w:family w:val="roman"/>
    <w:pitch w:val="default"/>
    <w:sig w:usb0="00000000" w:usb1="00000000" w:usb2="00000000" w:usb3="00000000" w:csb0="80000000" w:csb1="00000000"/>
  </w:font>
  <w:font w:name="方正书宋简体">
    <w:altName w:val="方正书宋_GBK"/>
    <w:panose1 w:val="00000000000000000000"/>
    <w:charset w:val="86"/>
    <w:family w:val="script"/>
    <w:pitch w:val="default"/>
    <w:sig w:usb0="00000000" w:usb1="00000000" w:usb2="00000010" w:usb3="00000000" w:csb0="00040000" w:csb1="00000000"/>
  </w:font>
  <w:font w:name="MS Mincho">
    <w:altName w:val="方正书宋_GBK"/>
    <w:panose1 w:val="02020609040205080304"/>
    <w:charset w:val="80"/>
    <w:family w:val="modern"/>
    <w:pitch w:val="default"/>
    <w:sig w:usb0="00000000" w:usb1="00000000" w:usb2="00000012" w:usb3="00000000" w:csb0="4002009F" w:csb1="DFD70000"/>
  </w:font>
  <w:font w:name="楷体_GB2312">
    <w:altName w:val="方正楷体_GBK"/>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altName w:val="方正黑体_GBK"/>
    <w:panose1 w:val="020B0503020204020204"/>
    <w:charset w:val="86"/>
    <w:family w:val="swiss"/>
    <w:pitch w:val="default"/>
    <w:sig w:usb0="00000000" w:usb1="00000000" w:usb2="00000016" w:usb3="00000000" w:csb0="0004001F"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PAGE   \* MERGEFORMAT</w:instrText>
    </w:r>
    <w:r>
      <w:fldChar w:fldCharType="separate"/>
    </w:r>
    <w:r>
      <w:rPr>
        <w:lang w:val="zh-CN"/>
      </w:rPr>
      <w:t>1</w: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PAGE   \* MERGEFORMAT</w:instrText>
    </w:r>
    <w:r>
      <w:fldChar w:fldCharType="separate"/>
    </w:r>
    <w:r>
      <w:rPr>
        <w:lang w:val="zh-CN"/>
      </w:rPr>
      <w:t>33</w:t>
    </w:r>
    <w:r>
      <w:fldChar w:fldCharType="end"/>
    </w:r>
  </w:p>
  <w:p>
    <w:pPr>
      <w:rPr>
        <w:rFonts w:ascii="仿宋_GB2312" w:eastAsia="仿宋_GB2312"/>
      </w:rPr>
    </w:pP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1405" w:firstLineChars="500"/>
      <w:rPr>
        <w:rFonts w:hint="eastAsia" w:ascii="宋体" w:hAnsi="Courier New" w:eastAsia="宋体" w:cs="Courier New"/>
        <w:b/>
        <w:kern w:val="2"/>
        <w:sz w:val="28"/>
        <w:szCs w:val="21"/>
        <w:lang w:val="en-US" w:eastAsia="zh-CN" w:bidi="ar-SA"/>
      </w:rPr>
    </w:pPr>
    <w:r>
      <w:rPr>
        <w:rFonts w:hint="eastAsia" w:ascii="宋体" w:hAnsi="Courier New" w:eastAsia="宋体" w:cs="Courier New"/>
        <w:b/>
        <w:kern w:val="2"/>
        <w:sz w:val="28"/>
        <w:szCs w:val="21"/>
        <w:lang w:val="en-US" w:eastAsia="zh-CN" w:bidi="ar-SA"/>
      </w:rPr>
      <w:t>教学设备公开招标采购</w:t>
    </w:r>
  </w:p>
  <w:p>
    <w:pPr>
      <w:pStyle w:val="36"/>
      <w:jc w:val="both"/>
      <w:rPr>
        <w:rFonts w:hint="eastAsia"/>
        <w:lang w:val="en-US" w:eastAsia="zh-CN"/>
      </w:rPr>
    </w:pPr>
    <w:r>
      <w:rPr>
        <w:rFonts w:hint="eastAsia"/>
      </w:rPr>
      <w:t>项目名称：</w:t>
    </w:r>
    <w:r>
      <w:rPr>
        <w:rFonts w:hint="eastAsia"/>
        <w:lang w:val="en-US" w:eastAsia="zh-CN"/>
      </w:rPr>
      <w:t>教学设备公开招标采购</w:t>
    </w:r>
  </w:p>
  <w:p>
    <w:pPr>
      <w:pStyle w:val="36"/>
      <w:jc w:val="both"/>
      <w:rPr>
        <w:rFonts w:hint="eastAsia"/>
      </w:rPr>
    </w:pPr>
    <w:r>
      <w:rPr>
        <w:rFonts w:hint="eastAsia"/>
      </w:rPr>
      <w:t>(项目编号：</w:t>
    </w:r>
    <w:r>
      <w:rPr>
        <w:rFonts w:hint="eastAsia"/>
        <w:lang w:eastAsia="zh-CN"/>
      </w:rPr>
      <w:t>BHZC2024-</w:t>
    </w:r>
    <w:r>
      <w:rPr>
        <w:rFonts w:hint="eastAsia"/>
        <w:lang w:val="en-US" w:eastAsia="zh-CN"/>
      </w:rPr>
      <w:t>G1</w:t>
    </w:r>
    <w:r>
      <w:rPr>
        <w:rFonts w:hint="eastAsia"/>
        <w:lang w:eastAsia="zh-CN"/>
      </w:rPr>
      <w:t>-0000</w:t>
    </w:r>
    <w:r>
      <w:rPr>
        <w:rFonts w:hint="eastAsia"/>
        <w:lang w:val="en-US" w:eastAsia="zh-CN"/>
      </w:rPr>
      <w:t>1</w:t>
    </w:r>
    <w:r>
      <w:rPr>
        <w:rFonts w:hint="eastAsia"/>
        <w:lang w:eastAsia="zh-CN"/>
      </w:rPr>
      <w:t>-</w:t>
    </w:r>
    <w:r>
      <w:rPr>
        <w:rFonts w:hint="eastAsia"/>
        <w:lang w:val="en-US" w:eastAsia="zh-CN"/>
      </w:rPr>
      <w:t>BTZC</w:t>
    </w:r>
    <w:r>
      <w:rPr>
        <w:rFonts w:hint="eastAsia"/>
      </w:rPr>
      <w:t xml:space="preserve">  </w:t>
    </w:r>
  </w:p>
  <w:p>
    <w:pPr>
      <w:pStyle w:val="36"/>
      <w:jc w:val="both"/>
    </w:pP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hint="eastAsia"/>
        <w:lang w:eastAsia="zh-CN"/>
      </w:rPr>
    </w:pPr>
    <w:r>
      <w:rPr>
        <w:rFonts w:hint="eastAsia"/>
      </w:rPr>
      <w:t>项目名称：</w:t>
    </w:r>
    <w:r>
      <w:rPr>
        <w:rFonts w:hint="eastAsia"/>
        <w:lang w:eastAsia="zh-CN"/>
      </w:rPr>
      <w:t>教学设备公开招标采购</w:t>
    </w:r>
  </w:p>
  <w:p>
    <w:pPr>
      <w:pStyle w:val="36"/>
      <w:jc w:val="both"/>
    </w:pPr>
    <w:r>
      <w:rPr>
        <w:rFonts w:hint="eastAsia"/>
      </w:rPr>
      <w:t>项目编号：</w:t>
    </w:r>
    <w:r>
      <w:rPr>
        <w:rFonts w:hint="eastAsia"/>
        <w:lang w:eastAsia="zh-CN"/>
      </w:rPr>
      <w:t>BHZC2024-</w:t>
    </w:r>
    <w:r>
      <w:rPr>
        <w:rFonts w:hint="eastAsia"/>
        <w:lang w:val="en-US" w:eastAsia="zh-CN"/>
      </w:rPr>
      <w:t>G1</w:t>
    </w:r>
    <w:r>
      <w:rPr>
        <w:rFonts w:hint="eastAsia"/>
        <w:lang w:eastAsia="zh-CN"/>
      </w:rPr>
      <w:t>-0000</w:t>
    </w:r>
    <w:r>
      <w:rPr>
        <w:rFonts w:hint="eastAsia"/>
        <w:lang w:val="en-US" w:eastAsia="zh-CN"/>
      </w:rPr>
      <w:t>1</w:t>
    </w:r>
    <w:r>
      <w:rPr>
        <w:rFonts w:hint="eastAsia"/>
        <w:lang w:eastAsia="zh-CN"/>
      </w:rPr>
      <w:t>-</w:t>
    </w:r>
    <w:r>
      <w:rPr>
        <w:rFonts w:hint="eastAsia"/>
        <w:lang w:val="en-US" w:eastAsia="zh-CN"/>
      </w:rPr>
      <w:t>BTZC</w:t>
    </w:r>
  </w:p>
  <w:p>
    <w:pPr>
      <w:pStyle w:val="3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hint="eastAsia"/>
        <w:lang w:eastAsia="zh-CN"/>
      </w:rPr>
    </w:pPr>
    <w:r>
      <w:rPr>
        <w:rFonts w:hint="eastAsia"/>
      </w:rPr>
      <w:t>项目名称：</w:t>
    </w:r>
    <w:r>
      <w:rPr>
        <w:rFonts w:hint="eastAsia"/>
        <w:lang w:eastAsia="zh-CN"/>
      </w:rPr>
      <w:t>教学设备公开招标采购</w:t>
    </w:r>
  </w:p>
  <w:p>
    <w:pPr>
      <w:pStyle w:val="36"/>
      <w:jc w:val="both"/>
    </w:pPr>
    <w:r>
      <w:rPr>
        <w:rFonts w:hint="eastAsia"/>
      </w:rPr>
      <w:t>项目编号：</w:t>
    </w:r>
    <w:r>
      <w:rPr>
        <w:rFonts w:hint="eastAsia"/>
        <w:lang w:eastAsia="zh-CN"/>
      </w:rPr>
      <w:t>BHZC2024-</w:t>
    </w:r>
    <w:r>
      <w:rPr>
        <w:rFonts w:hint="eastAsia"/>
        <w:lang w:val="en-US" w:eastAsia="zh-CN"/>
      </w:rPr>
      <w:t>G1</w:t>
    </w:r>
    <w:r>
      <w:rPr>
        <w:rFonts w:hint="eastAsia"/>
        <w:lang w:eastAsia="zh-CN"/>
      </w:rPr>
      <w:t>-0000</w:t>
    </w:r>
    <w:r>
      <w:rPr>
        <w:rFonts w:hint="eastAsia"/>
        <w:lang w:val="en-US" w:eastAsia="zh-CN"/>
      </w:rPr>
      <w:t>1</w:t>
    </w:r>
    <w:r>
      <w:rPr>
        <w:rFonts w:hint="eastAsia"/>
        <w:lang w:eastAsia="zh-CN"/>
      </w:rPr>
      <w:t>-</w:t>
    </w:r>
    <w:r>
      <w:rPr>
        <w:rFonts w:hint="eastAsia"/>
        <w:lang w:val="en-US" w:eastAsia="zh-CN"/>
      </w:rPr>
      <w:t>BTZC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hint="eastAsia"/>
        <w:lang w:eastAsia="zh-CN"/>
      </w:rPr>
    </w:pPr>
    <w:r>
      <w:rPr>
        <w:rFonts w:hint="eastAsia"/>
      </w:rPr>
      <w:t>项目名称：</w:t>
    </w:r>
    <w:r>
      <w:rPr>
        <w:rFonts w:hint="eastAsia"/>
        <w:lang w:eastAsia="zh-CN"/>
      </w:rPr>
      <w:t>教学设备公开招标采购</w:t>
    </w:r>
  </w:p>
  <w:p>
    <w:pPr>
      <w:pStyle w:val="36"/>
      <w:jc w:val="both"/>
    </w:pPr>
    <w:r>
      <w:rPr>
        <w:rFonts w:hint="eastAsia"/>
      </w:rPr>
      <w:t>项目编号：</w:t>
    </w:r>
    <w:r>
      <w:rPr>
        <w:rFonts w:hint="eastAsia"/>
        <w:lang w:eastAsia="zh-CN"/>
      </w:rPr>
      <w:t>BHZC2024-</w:t>
    </w:r>
    <w:r>
      <w:rPr>
        <w:rFonts w:hint="eastAsia"/>
        <w:lang w:val="en-US" w:eastAsia="zh-CN"/>
      </w:rPr>
      <w:t>G1</w:t>
    </w:r>
    <w:r>
      <w:rPr>
        <w:rFonts w:hint="eastAsia"/>
        <w:lang w:eastAsia="zh-CN"/>
      </w:rPr>
      <w:t>-0000</w:t>
    </w:r>
    <w:r>
      <w:rPr>
        <w:rFonts w:hint="eastAsia"/>
        <w:lang w:val="en-US" w:eastAsia="zh-CN"/>
      </w:rPr>
      <w:t>1</w:t>
    </w:r>
    <w:r>
      <w:rPr>
        <w:rFonts w:hint="eastAsia"/>
        <w:lang w:eastAsia="zh-CN"/>
      </w:rPr>
      <w:t>-</w:t>
    </w:r>
    <w:r>
      <w:rPr>
        <w:rFonts w:hint="eastAsia"/>
        <w:lang w:val="en-US" w:eastAsia="zh-CN"/>
      </w:rPr>
      <w:t>BTZC</w:t>
    </w: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pPr>
    <w:r>
      <w:rPr>
        <w:rFonts w:hint="eastAsia"/>
      </w:rPr>
      <w:t>2024年殡仪用品公开招标采购项目招标文件(项目编号：BHZC2024-G1-000013-CGZX)</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6A78034"/>
    <w:multiLevelType w:val="singleLevel"/>
    <w:tmpl w:val="06A78034"/>
    <w:lvl w:ilvl="0" w:tentative="0">
      <w:start w:val="1"/>
      <w:numFmt w:val="decimal"/>
      <w:lvlText w:val="%1."/>
      <w:lvlJc w:val="left"/>
      <w:pPr>
        <w:tabs>
          <w:tab w:val="left" w:pos="312"/>
        </w:tabs>
      </w:pPr>
    </w:lvl>
  </w:abstractNum>
  <w:abstractNum w:abstractNumId="7">
    <w:nsid w:val="2194194B"/>
    <w:multiLevelType w:val="singleLevel"/>
    <w:tmpl w:val="2194194B"/>
    <w:lvl w:ilvl="0" w:tentative="0">
      <w:start w:val="3"/>
      <w:numFmt w:val="decimal"/>
      <w:lvlText w:val="%1."/>
      <w:lvlJc w:val="left"/>
      <w:pPr>
        <w:tabs>
          <w:tab w:val="left" w:pos="312"/>
        </w:tabs>
      </w:pPr>
    </w:lvl>
  </w:abstractNum>
  <w:abstractNum w:abstractNumId="8">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9">
    <w:nsid w:val="612BF5D6"/>
    <w:multiLevelType w:val="singleLevel"/>
    <w:tmpl w:val="612BF5D6"/>
    <w:lvl w:ilvl="0" w:tentative="0">
      <w:start w:val="1"/>
      <w:numFmt w:val="decimal"/>
      <w:suff w:val="nothing"/>
      <w:lvlText w:val="%1、"/>
      <w:lvlJc w:val="left"/>
    </w:lvl>
  </w:abstractNum>
  <w:abstractNum w:abstractNumId="10">
    <w:nsid w:val="7A0F6431"/>
    <w:multiLevelType w:val="singleLevel"/>
    <w:tmpl w:val="7A0F6431"/>
    <w:lvl w:ilvl="0" w:tentative="0">
      <w:start w:val="1"/>
      <w:numFmt w:val="decimal"/>
      <w:suff w:val="space"/>
      <w:lvlText w:val="%1."/>
      <w:lvlJc w:val="left"/>
    </w:lvl>
  </w:abstractNum>
  <w:num w:numId="1">
    <w:abstractNumId w:val="8"/>
  </w:num>
  <w:num w:numId="2">
    <w:abstractNumId w:val="7"/>
  </w:num>
  <w:num w:numId="3">
    <w:abstractNumId w:val="9"/>
  </w:num>
  <w:num w:numId="4">
    <w:abstractNumId w:val="6"/>
  </w:num>
  <w:num w:numId="5">
    <w:abstractNumId w:val="10"/>
  </w:num>
  <w:num w:numId="6">
    <w:abstractNumId w:val="1"/>
  </w:num>
  <w:num w:numId="7">
    <w:abstractNumId w:val="5"/>
  </w:num>
  <w:num w:numId="8">
    <w:abstractNumId w:val="3"/>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MWYzNWNhYmVhYmQwYjhhODIxNjEwNDY3NmE3YzMifQ=="/>
  </w:docVars>
  <w:rsids>
    <w:rsidRoot w:val="00AB5D97"/>
    <w:rsid w:val="000007E4"/>
    <w:rsid w:val="000009C0"/>
    <w:rsid w:val="00001280"/>
    <w:rsid w:val="000016DE"/>
    <w:rsid w:val="00001C9F"/>
    <w:rsid w:val="00002154"/>
    <w:rsid w:val="00002AD6"/>
    <w:rsid w:val="00002CE2"/>
    <w:rsid w:val="00002F7C"/>
    <w:rsid w:val="00003586"/>
    <w:rsid w:val="00003FE7"/>
    <w:rsid w:val="000049FE"/>
    <w:rsid w:val="00004A62"/>
    <w:rsid w:val="00005B52"/>
    <w:rsid w:val="000061A9"/>
    <w:rsid w:val="000062CB"/>
    <w:rsid w:val="000066FB"/>
    <w:rsid w:val="000067F4"/>
    <w:rsid w:val="0000693B"/>
    <w:rsid w:val="00006943"/>
    <w:rsid w:val="00006D05"/>
    <w:rsid w:val="000074EE"/>
    <w:rsid w:val="0000751B"/>
    <w:rsid w:val="00007628"/>
    <w:rsid w:val="00007997"/>
    <w:rsid w:val="00007C06"/>
    <w:rsid w:val="00007CA1"/>
    <w:rsid w:val="000103E6"/>
    <w:rsid w:val="00010667"/>
    <w:rsid w:val="000108F4"/>
    <w:rsid w:val="00010D0E"/>
    <w:rsid w:val="0001298F"/>
    <w:rsid w:val="00012A0E"/>
    <w:rsid w:val="00012A62"/>
    <w:rsid w:val="00012C86"/>
    <w:rsid w:val="000131DF"/>
    <w:rsid w:val="000135C7"/>
    <w:rsid w:val="000136BB"/>
    <w:rsid w:val="00014596"/>
    <w:rsid w:val="00014BDE"/>
    <w:rsid w:val="00015062"/>
    <w:rsid w:val="00015115"/>
    <w:rsid w:val="0001516F"/>
    <w:rsid w:val="00015422"/>
    <w:rsid w:val="00015E69"/>
    <w:rsid w:val="0001602B"/>
    <w:rsid w:val="00016406"/>
    <w:rsid w:val="00016690"/>
    <w:rsid w:val="000168BB"/>
    <w:rsid w:val="000168BC"/>
    <w:rsid w:val="000169BB"/>
    <w:rsid w:val="00016B9D"/>
    <w:rsid w:val="00016CFF"/>
    <w:rsid w:val="00016FB6"/>
    <w:rsid w:val="000173E2"/>
    <w:rsid w:val="0001792A"/>
    <w:rsid w:val="00017C55"/>
    <w:rsid w:val="00020044"/>
    <w:rsid w:val="0002017F"/>
    <w:rsid w:val="000201E9"/>
    <w:rsid w:val="000202A0"/>
    <w:rsid w:val="000205F7"/>
    <w:rsid w:val="00020855"/>
    <w:rsid w:val="000209B5"/>
    <w:rsid w:val="000212A4"/>
    <w:rsid w:val="00021367"/>
    <w:rsid w:val="000219F6"/>
    <w:rsid w:val="00021B2D"/>
    <w:rsid w:val="00021D4B"/>
    <w:rsid w:val="00022610"/>
    <w:rsid w:val="00022981"/>
    <w:rsid w:val="00022BA0"/>
    <w:rsid w:val="00023A01"/>
    <w:rsid w:val="00023C03"/>
    <w:rsid w:val="00023D05"/>
    <w:rsid w:val="00023E3A"/>
    <w:rsid w:val="00024169"/>
    <w:rsid w:val="0002431B"/>
    <w:rsid w:val="0002491C"/>
    <w:rsid w:val="00024971"/>
    <w:rsid w:val="00025202"/>
    <w:rsid w:val="000252F1"/>
    <w:rsid w:val="00025E0B"/>
    <w:rsid w:val="00025FEA"/>
    <w:rsid w:val="0002609F"/>
    <w:rsid w:val="00026261"/>
    <w:rsid w:val="00026704"/>
    <w:rsid w:val="00026982"/>
    <w:rsid w:val="000269F3"/>
    <w:rsid w:val="00026D59"/>
    <w:rsid w:val="0002712A"/>
    <w:rsid w:val="00027162"/>
    <w:rsid w:val="0002722D"/>
    <w:rsid w:val="00027958"/>
    <w:rsid w:val="00027BE0"/>
    <w:rsid w:val="00027CD2"/>
    <w:rsid w:val="000306BA"/>
    <w:rsid w:val="00030930"/>
    <w:rsid w:val="00030A33"/>
    <w:rsid w:val="00030C51"/>
    <w:rsid w:val="0003106E"/>
    <w:rsid w:val="0003107F"/>
    <w:rsid w:val="000310F9"/>
    <w:rsid w:val="00031229"/>
    <w:rsid w:val="0003126B"/>
    <w:rsid w:val="00031AE0"/>
    <w:rsid w:val="00031BC9"/>
    <w:rsid w:val="00031CFE"/>
    <w:rsid w:val="00032D13"/>
    <w:rsid w:val="0003306F"/>
    <w:rsid w:val="0003348F"/>
    <w:rsid w:val="00033BA2"/>
    <w:rsid w:val="00033C75"/>
    <w:rsid w:val="000341B6"/>
    <w:rsid w:val="00034BBB"/>
    <w:rsid w:val="000351C8"/>
    <w:rsid w:val="000355A3"/>
    <w:rsid w:val="000358A6"/>
    <w:rsid w:val="00035A40"/>
    <w:rsid w:val="00035E02"/>
    <w:rsid w:val="00036220"/>
    <w:rsid w:val="00036481"/>
    <w:rsid w:val="00037579"/>
    <w:rsid w:val="00037E1C"/>
    <w:rsid w:val="00040516"/>
    <w:rsid w:val="00040822"/>
    <w:rsid w:val="00040827"/>
    <w:rsid w:val="000410EE"/>
    <w:rsid w:val="00041408"/>
    <w:rsid w:val="00041DC1"/>
    <w:rsid w:val="000422A3"/>
    <w:rsid w:val="00042843"/>
    <w:rsid w:val="00042A2A"/>
    <w:rsid w:val="00042EDF"/>
    <w:rsid w:val="000439A7"/>
    <w:rsid w:val="000439FC"/>
    <w:rsid w:val="00043D71"/>
    <w:rsid w:val="000447F1"/>
    <w:rsid w:val="00044BE6"/>
    <w:rsid w:val="00045F1E"/>
    <w:rsid w:val="00046120"/>
    <w:rsid w:val="00046142"/>
    <w:rsid w:val="000463F5"/>
    <w:rsid w:val="0004646C"/>
    <w:rsid w:val="00046487"/>
    <w:rsid w:val="000464E9"/>
    <w:rsid w:val="00046643"/>
    <w:rsid w:val="000467CD"/>
    <w:rsid w:val="00046E51"/>
    <w:rsid w:val="00046F99"/>
    <w:rsid w:val="00047331"/>
    <w:rsid w:val="000473AB"/>
    <w:rsid w:val="0004778E"/>
    <w:rsid w:val="00047A17"/>
    <w:rsid w:val="00047A48"/>
    <w:rsid w:val="000501C5"/>
    <w:rsid w:val="00050895"/>
    <w:rsid w:val="00050FD5"/>
    <w:rsid w:val="00051092"/>
    <w:rsid w:val="000512C2"/>
    <w:rsid w:val="0005164F"/>
    <w:rsid w:val="000519AE"/>
    <w:rsid w:val="00051BEF"/>
    <w:rsid w:val="00051E4D"/>
    <w:rsid w:val="00052142"/>
    <w:rsid w:val="000523DF"/>
    <w:rsid w:val="000526B9"/>
    <w:rsid w:val="000528C5"/>
    <w:rsid w:val="0005291E"/>
    <w:rsid w:val="00052CE1"/>
    <w:rsid w:val="00052D5A"/>
    <w:rsid w:val="0005309B"/>
    <w:rsid w:val="000530BB"/>
    <w:rsid w:val="00053120"/>
    <w:rsid w:val="00054111"/>
    <w:rsid w:val="000541D3"/>
    <w:rsid w:val="00054865"/>
    <w:rsid w:val="00054B4A"/>
    <w:rsid w:val="00054BCF"/>
    <w:rsid w:val="00054F36"/>
    <w:rsid w:val="000554B5"/>
    <w:rsid w:val="000557CD"/>
    <w:rsid w:val="00055850"/>
    <w:rsid w:val="000558DE"/>
    <w:rsid w:val="00055B14"/>
    <w:rsid w:val="00055CD1"/>
    <w:rsid w:val="00055D1D"/>
    <w:rsid w:val="0005606B"/>
    <w:rsid w:val="000562BF"/>
    <w:rsid w:val="000564DB"/>
    <w:rsid w:val="00056536"/>
    <w:rsid w:val="00056857"/>
    <w:rsid w:val="00056BCE"/>
    <w:rsid w:val="00057118"/>
    <w:rsid w:val="000579F0"/>
    <w:rsid w:val="00057A96"/>
    <w:rsid w:val="000606E2"/>
    <w:rsid w:val="00060A9D"/>
    <w:rsid w:val="00060D6A"/>
    <w:rsid w:val="000611B1"/>
    <w:rsid w:val="000611E3"/>
    <w:rsid w:val="0006126F"/>
    <w:rsid w:val="0006150F"/>
    <w:rsid w:val="00061F4E"/>
    <w:rsid w:val="0006217E"/>
    <w:rsid w:val="000628EE"/>
    <w:rsid w:val="00062A56"/>
    <w:rsid w:val="00062A88"/>
    <w:rsid w:val="00062B25"/>
    <w:rsid w:val="00062C7E"/>
    <w:rsid w:val="0006315A"/>
    <w:rsid w:val="000632E7"/>
    <w:rsid w:val="0006330B"/>
    <w:rsid w:val="00063517"/>
    <w:rsid w:val="00063FD7"/>
    <w:rsid w:val="0006411E"/>
    <w:rsid w:val="000641F2"/>
    <w:rsid w:val="000642B6"/>
    <w:rsid w:val="00064750"/>
    <w:rsid w:val="00064A8C"/>
    <w:rsid w:val="00064AAB"/>
    <w:rsid w:val="00064ACF"/>
    <w:rsid w:val="00064CAA"/>
    <w:rsid w:val="00064E53"/>
    <w:rsid w:val="00064F2C"/>
    <w:rsid w:val="00064FF3"/>
    <w:rsid w:val="00065528"/>
    <w:rsid w:val="00065A26"/>
    <w:rsid w:val="00065BA4"/>
    <w:rsid w:val="00066764"/>
    <w:rsid w:val="00066AC5"/>
    <w:rsid w:val="00066BF7"/>
    <w:rsid w:val="00067294"/>
    <w:rsid w:val="00067607"/>
    <w:rsid w:val="0006789F"/>
    <w:rsid w:val="00067C15"/>
    <w:rsid w:val="00067C3A"/>
    <w:rsid w:val="000700CC"/>
    <w:rsid w:val="00070131"/>
    <w:rsid w:val="00070171"/>
    <w:rsid w:val="0007025B"/>
    <w:rsid w:val="00070559"/>
    <w:rsid w:val="0007096D"/>
    <w:rsid w:val="00070BD0"/>
    <w:rsid w:val="00070EDE"/>
    <w:rsid w:val="00072235"/>
    <w:rsid w:val="00072400"/>
    <w:rsid w:val="000724C1"/>
    <w:rsid w:val="00072A3B"/>
    <w:rsid w:val="00073717"/>
    <w:rsid w:val="00073FEF"/>
    <w:rsid w:val="000746ED"/>
    <w:rsid w:val="00074C84"/>
    <w:rsid w:val="00074DCB"/>
    <w:rsid w:val="00074E4A"/>
    <w:rsid w:val="00074F87"/>
    <w:rsid w:val="0007570D"/>
    <w:rsid w:val="00075D31"/>
    <w:rsid w:val="0007631E"/>
    <w:rsid w:val="000766AF"/>
    <w:rsid w:val="00077360"/>
    <w:rsid w:val="0007753F"/>
    <w:rsid w:val="0007760A"/>
    <w:rsid w:val="00077A5F"/>
    <w:rsid w:val="00077AF2"/>
    <w:rsid w:val="00077D96"/>
    <w:rsid w:val="00080318"/>
    <w:rsid w:val="00080361"/>
    <w:rsid w:val="00080634"/>
    <w:rsid w:val="000806A1"/>
    <w:rsid w:val="000807D4"/>
    <w:rsid w:val="00080957"/>
    <w:rsid w:val="0008157C"/>
    <w:rsid w:val="00081824"/>
    <w:rsid w:val="00081BEC"/>
    <w:rsid w:val="00082014"/>
    <w:rsid w:val="000822F4"/>
    <w:rsid w:val="000834DA"/>
    <w:rsid w:val="00083871"/>
    <w:rsid w:val="00083981"/>
    <w:rsid w:val="0008447F"/>
    <w:rsid w:val="0008451A"/>
    <w:rsid w:val="00084DB4"/>
    <w:rsid w:val="00084E98"/>
    <w:rsid w:val="0008552C"/>
    <w:rsid w:val="00085949"/>
    <w:rsid w:val="00086A64"/>
    <w:rsid w:val="00086A6D"/>
    <w:rsid w:val="000874F9"/>
    <w:rsid w:val="000879C3"/>
    <w:rsid w:val="00087B12"/>
    <w:rsid w:val="00087EFA"/>
    <w:rsid w:val="00090281"/>
    <w:rsid w:val="00090290"/>
    <w:rsid w:val="000907D6"/>
    <w:rsid w:val="0009174D"/>
    <w:rsid w:val="00091A15"/>
    <w:rsid w:val="00091EE2"/>
    <w:rsid w:val="000925C5"/>
    <w:rsid w:val="000939E6"/>
    <w:rsid w:val="00093D4A"/>
    <w:rsid w:val="00093F6F"/>
    <w:rsid w:val="000940EB"/>
    <w:rsid w:val="00094739"/>
    <w:rsid w:val="00094BA7"/>
    <w:rsid w:val="00094E9C"/>
    <w:rsid w:val="000951D8"/>
    <w:rsid w:val="000959D2"/>
    <w:rsid w:val="00095C56"/>
    <w:rsid w:val="00095D3E"/>
    <w:rsid w:val="00095EB4"/>
    <w:rsid w:val="00095ED6"/>
    <w:rsid w:val="0009637A"/>
    <w:rsid w:val="000963BA"/>
    <w:rsid w:val="00096A85"/>
    <w:rsid w:val="00096F23"/>
    <w:rsid w:val="000A06BF"/>
    <w:rsid w:val="000A0B28"/>
    <w:rsid w:val="000A0D22"/>
    <w:rsid w:val="000A0FFD"/>
    <w:rsid w:val="000A1498"/>
    <w:rsid w:val="000A1957"/>
    <w:rsid w:val="000A1A1A"/>
    <w:rsid w:val="000A1B91"/>
    <w:rsid w:val="000A1C80"/>
    <w:rsid w:val="000A2104"/>
    <w:rsid w:val="000A215B"/>
    <w:rsid w:val="000A2168"/>
    <w:rsid w:val="000A244A"/>
    <w:rsid w:val="000A27DA"/>
    <w:rsid w:val="000A28E9"/>
    <w:rsid w:val="000A2B4E"/>
    <w:rsid w:val="000A2C84"/>
    <w:rsid w:val="000A2D31"/>
    <w:rsid w:val="000A33D8"/>
    <w:rsid w:val="000A34CC"/>
    <w:rsid w:val="000A3E46"/>
    <w:rsid w:val="000A40CB"/>
    <w:rsid w:val="000A44B3"/>
    <w:rsid w:val="000A563C"/>
    <w:rsid w:val="000A5BF5"/>
    <w:rsid w:val="000A5E9F"/>
    <w:rsid w:val="000A6188"/>
    <w:rsid w:val="000A64D9"/>
    <w:rsid w:val="000A7287"/>
    <w:rsid w:val="000A758A"/>
    <w:rsid w:val="000A7E03"/>
    <w:rsid w:val="000B005A"/>
    <w:rsid w:val="000B0625"/>
    <w:rsid w:val="000B0DC1"/>
    <w:rsid w:val="000B1110"/>
    <w:rsid w:val="000B1D9F"/>
    <w:rsid w:val="000B2275"/>
    <w:rsid w:val="000B24BF"/>
    <w:rsid w:val="000B2586"/>
    <w:rsid w:val="000B2A69"/>
    <w:rsid w:val="000B31FD"/>
    <w:rsid w:val="000B3404"/>
    <w:rsid w:val="000B3C0B"/>
    <w:rsid w:val="000B3E12"/>
    <w:rsid w:val="000B4312"/>
    <w:rsid w:val="000B45B0"/>
    <w:rsid w:val="000B4A87"/>
    <w:rsid w:val="000B4CDD"/>
    <w:rsid w:val="000B5079"/>
    <w:rsid w:val="000B507B"/>
    <w:rsid w:val="000B52D8"/>
    <w:rsid w:val="000B5C4F"/>
    <w:rsid w:val="000B5C8E"/>
    <w:rsid w:val="000B61C8"/>
    <w:rsid w:val="000B6357"/>
    <w:rsid w:val="000B667E"/>
    <w:rsid w:val="000B6DBB"/>
    <w:rsid w:val="000B7389"/>
    <w:rsid w:val="000B7E4E"/>
    <w:rsid w:val="000C0C07"/>
    <w:rsid w:val="000C0EE9"/>
    <w:rsid w:val="000C1416"/>
    <w:rsid w:val="000C1530"/>
    <w:rsid w:val="000C3BC0"/>
    <w:rsid w:val="000C407B"/>
    <w:rsid w:val="000C4330"/>
    <w:rsid w:val="000C468D"/>
    <w:rsid w:val="000C4AA1"/>
    <w:rsid w:val="000C5048"/>
    <w:rsid w:val="000C5246"/>
    <w:rsid w:val="000C5393"/>
    <w:rsid w:val="000C595E"/>
    <w:rsid w:val="000C59E9"/>
    <w:rsid w:val="000C5B76"/>
    <w:rsid w:val="000C605C"/>
    <w:rsid w:val="000C6B10"/>
    <w:rsid w:val="000C73A1"/>
    <w:rsid w:val="000C78AB"/>
    <w:rsid w:val="000C7AA6"/>
    <w:rsid w:val="000C7B88"/>
    <w:rsid w:val="000C7C99"/>
    <w:rsid w:val="000C7D20"/>
    <w:rsid w:val="000C7DC7"/>
    <w:rsid w:val="000C7F08"/>
    <w:rsid w:val="000D02D2"/>
    <w:rsid w:val="000D035F"/>
    <w:rsid w:val="000D05EA"/>
    <w:rsid w:val="000D06DD"/>
    <w:rsid w:val="000D0790"/>
    <w:rsid w:val="000D098E"/>
    <w:rsid w:val="000D1356"/>
    <w:rsid w:val="000D1575"/>
    <w:rsid w:val="000D1F66"/>
    <w:rsid w:val="000D1FA5"/>
    <w:rsid w:val="000D21BD"/>
    <w:rsid w:val="000D2576"/>
    <w:rsid w:val="000D2D5F"/>
    <w:rsid w:val="000D3C65"/>
    <w:rsid w:val="000D3D8B"/>
    <w:rsid w:val="000D404C"/>
    <w:rsid w:val="000D4474"/>
    <w:rsid w:val="000D492A"/>
    <w:rsid w:val="000D4A68"/>
    <w:rsid w:val="000D4F7D"/>
    <w:rsid w:val="000D53C1"/>
    <w:rsid w:val="000D5AF4"/>
    <w:rsid w:val="000D5B78"/>
    <w:rsid w:val="000D5BFE"/>
    <w:rsid w:val="000D5CD8"/>
    <w:rsid w:val="000D657B"/>
    <w:rsid w:val="000D67DF"/>
    <w:rsid w:val="000D6B6D"/>
    <w:rsid w:val="000D6C5E"/>
    <w:rsid w:val="000D6C6A"/>
    <w:rsid w:val="000D708C"/>
    <w:rsid w:val="000D7602"/>
    <w:rsid w:val="000D79D7"/>
    <w:rsid w:val="000E04F2"/>
    <w:rsid w:val="000E06F2"/>
    <w:rsid w:val="000E087E"/>
    <w:rsid w:val="000E0A79"/>
    <w:rsid w:val="000E0EA0"/>
    <w:rsid w:val="000E1355"/>
    <w:rsid w:val="000E1588"/>
    <w:rsid w:val="000E164F"/>
    <w:rsid w:val="000E18B7"/>
    <w:rsid w:val="000E1E61"/>
    <w:rsid w:val="000E20A5"/>
    <w:rsid w:val="000E22BF"/>
    <w:rsid w:val="000E2617"/>
    <w:rsid w:val="000E362D"/>
    <w:rsid w:val="000E3EA4"/>
    <w:rsid w:val="000E443C"/>
    <w:rsid w:val="000E4A98"/>
    <w:rsid w:val="000E4BBB"/>
    <w:rsid w:val="000E5515"/>
    <w:rsid w:val="000E56AA"/>
    <w:rsid w:val="000E5722"/>
    <w:rsid w:val="000E5A20"/>
    <w:rsid w:val="000E5AC8"/>
    <w:rsid w:val="000E5BF0"/>
    <w:rsid w:val="000E63D9"/>
    <w:rsid w:val="000E6614"/>
    <w:rsid w:val="000E68AE"/>
    <w:rsid w:val="000E7185"/>
    <w:rsid w:val="000E730B"/>
    <w:rsid w:val="000E7924"/>
    <w:rsid w:val="000E7A00"/>
    <w:rsid w:val="000E7D7A"/>
    <w:rsid w:val="000F03A3"/>
    <w:rsid w:val="000F04FB"/>
    <w:rsid w:val="000F0D3E"/>
    <w:rsid w:val="000F0DE4"/>
    <w:rsid w:val="000F0F15"/>
    <w:rsid w:val="000F17C0"/>
    <w:rsid w:val="000F1A0B"/>
    <w:rsid w:val="000F1D65"/>
    <w:rsid w:val="000F1E9D"/>
    <w:rsid w:val="000F22C5"/>
    <w:rsid w:val="000F2410"/>
    <w:rsid w:val="000F293C"/>
    <w:rsid w:val="000F29D7"/>
    <w:rsid w:val="000F2CA2"/>
    <w:rsid w:val="000F2DA3"/>
    <w:rsid w:val="000F3262"/>
    <w:rsid w:val="000F4B96"/>
    <w:rsid w:val="000F4D24"/>
    <w:rsid w:val="000F5075"/>
    <w:rsid w:val="000F513C"/>
    <w:rsid w:val="000F5589"/>
    <w:rsid w:val="000F5BA2"/>
    <w:rsid w:val="000F6199"/>
    <w:rsid w:val="000F6263"/>
    <w:rsid w:val="000F6454"/>
    <w:rsid w:val="000F6BDD"/>
    <w:rsid w:val="000F6BF7"/>
    <w:rsid w:val="000F6D7D"/>
    <w:rsid w:val="000F721B"/>
    <w:rsid w:val="000F7228"/>
    <w:rsid w:val="00100289"/>
    <w:rsid w:val="0010043E"/>
    <w:rsid w:val="001004E5"/>
    <w:rsid w:val="00100ECC"/>
    <w:rsid w:val="00100F0A"/>
    <w:rsid w:val="001010E0"/>
    <w:rsid w:val="00101332"/>
    <w:rsid w:val="001014A6"/>
    <w:rsid w:val="00101F80"/>
    <w:rsid w:val="00102516"/>
    <w:rsid w:val="00103830"/>
    <w:rsid w:val="00103CF1"/>
    <w:rsid w:val="00104740"/>
    <w:rsid w:val="0010477F"/>
    <w:rsid w:val="0010528B"/>
    <w:rsid w:val="00105336"/>
    <w:rsid w:val="0010589F"/>
    <w:rsid w:val="001060CF"/>
    <w:rsid w:val="001067A2"/>
    <w:rsid w:val="00106A10"/>
    <w:rsid w:val="00106D89"/>
    <w:rsid w:val="00107020"/>
    <w:rsid w:val="001070A3"/>
    <w:rsid w:val="00107988"/>
    <w:rsid w:val="00107DFE"/>
    <w:rsid w:val="00107FD0"/>
    <w:rsid w:val="00110145"/>
    <w:rsid w:val="001105B6"/>
    <w:rsid w:val="00110F2D"/>
    <w:rsid w:val="00111120"/>
    <w:rsid w:val="00111188"/>
    <w:rsid w:val="00111A61"/>
    <w:rsid w:val="00111BE3"/>
    <w:rsid w:val="00111D21"/>
    <w:rsid w:val="00111F4C"/>
    <w:rsid w:val="0011207E"/>
    <w:rsid w:val="00112E23"/>
    <w:rsid w:val="00112F79"/>
    <w:rsid w:val="00113333"/>
    <w:rsid w:val="0011336D"/>
    <w:rsid w:val="0011340A"/>
    <w:rsid w:val="0011349D"/>
    <w:rsid w:val="001134B4"/>
    <w:rsid w:val="00113629"/>
    <w:rsid w:val="0011381F"/>
    <w:rsid w:val="00113B33"/>
    <w:rsid w:val="001140BE"/>
    <w:rsid w:val="0011416F"/>
    <w:rsid w:val="00114FBB"/>
    <w:rsid w:val="00114FC8"/>
    <w:rsid w:val="001152EE"/>
    <w:rsid w:val="001155F6"/>
    <w:rsid w:val="00115BDE"/>
    <w:rsid w:val="00115F44"/>
    <w:rsid w:val="00116207"/>
    <w:rsid w:val="0011646F"/>
    <w:rsid w:val="0011650E"/>
    <w:rsid w:val="00116651"/>
    <w:rsid w:val="00116A63"/>
    <w:rsid w:val="00116EEA"/>
    <w:rsid w:val="00116EF3"/>
    <w:rsid w:val="00117088"/>
    <w:rsid w:val="001173D4"/>
    <w:rsid w:val="001179EE"/>
    <w:rsid w:val="00117B3D"/>
    <w:rsid w:val="00117B49"/>
    <w:rsid w:val="00117C46"/>
    <w:rsid w:val="00117E8A"/>
    <w:rsid w:val="001200A1"/>
    <w:rsid w:val="00120152"/>
    <w:rsid w:val="00120B75"/>
    <w:rsid w:val="00120F41"/>
    <w:rsid w:val="001213E8"/>
    <w:rsid w:val="00121472"/>
    <w:rsid w:val="0012163C"/>
    <w:rsid w:val="00121E32"/>
    <w:rsid w:val="0012237A"/>
    <w:rsid w:val="00122E62"/>
    <w:rsid w:val="0012325E"/>
    <w:rsid w:val="0012328D"/>
    <w:rsid w:val="00123CDB"/>
    <w:rsid w:val="00123D15"/>
    <w:rsid w:val="00123FAE"/>
    <w:rsid w:val="0012434B"/>
    <w:rsid w:val="0012457B"/>
    <w:rsid w:val="00124AC9"/>
    <w:rsid w:val="00124E10"/>
    <w:rsid w:val="00124F8C"/>
    <w:rsid w:val="00125375"/>
    <w:rsid w:val="00125A1F"/>
    <w:rsid w:val="001261D6"/>
    <w:rsid w:val="001262EA"/>
    <w:rsid w:val="001267A1"/>
    <w:rsid w:val="00126995"/>
    <w:rsid w:val="00126F03"/>
    <w:rsid w:val="00127373"/>
    <w:rsid w:val="0012768B"/>
    <w:rsid w:val="00127A90"/>
    <w:rsid w:val="00127AF1"/>
    <w:rsid w:val="00127E1C"/>
    <w:rsid w:val="00130168"/>
    <w:rsid w:val="00130333"/>
    <w:rsid w:val="001304F9"/>
    <w:rsid w:val="001308DB"/>
    <w:rsid w:val="00130E42"/>
    <w:rsid w:val="001310DE"/>
    <w:rsid w:val="001319C9"/>
    <w:rsid w:val="00131F55"/>
    <w:rsid w:val="00132334"/>
    <w:rsid w:val="00132565"/>
    <w:rsid w:val="00132710"/>
    <w:rsid w:val="00132894"/>
    <w:rsid w:val="00132D11"/>
    <w:rsid w:val="00132F1B"/>
    <w:rsid w:val="001332FB"/>
    <w:rsid w:val="0013349D"/>
    <w:rsid w:val="001337C9"/>
    <w:rsid w:val="001341DF"/>
    <w:rsid w:val="00134299"/>
    <w:rsid w:val="0013473F"/>
    <w:rsid w:val="00134816"/>
    <w:rsid w:val="001348B9"/>
    <w:rsid w:val="00134BC2"/>
    <w:rsid w:val="00134E9B"/>
    <w:rsid w:val="0013532A"/>
    <w:rsid w:val="00135412"/>
    <w:rsid w:val="00135475"/>
    <w:rsid w:val="00135533"/>
    <w:rsid w:val="001355EA"/>
    <w:rsid w:val="00135F2F"/>
    <w:rsid w:val="001365B4"/>
    <w:rsid w:val="001401B6"/>
    <w:rsid w:val="001404D2"/>
    <w:rsid w:val="00140A0E"/>
    <w:rsid w:val="00140C1E"/>
    <w:rsid w:val="00140C3C"/>
    <w:rsid w:val="00140F50"/>
    <w:rsid w:val="00141502"/>
    <w:rsid w:val="001416F6"/>
    <w:rsid w:val="001419DA"/>
    <w:rsid w:val="00141AFB"/>
    <w:rsid w:val="00141B80"/>
    <w:rsid w:val="00141CEF"/>
    <w:rsid w:val="00141CFB"/>
    <w:rsid w:val="00141D40"/>
    <w:rsid w:val="0014244C"/>
    <w:rsid w:val="001424B7"/>
    <w:rsid w:val="0014260B"/>
    <w:rsid w:val="00142782"/>
    <w:rsid w:val="00142980"/>
    <w:rsid w:val="00142994"/>
    <w:rsid w:val="00142CF5"/>
    <w:rsid w:val="0014367D"/>
    <w:rsid w:val="00143881"/>
    <w:rsid w:val="00143AAB"/>
    <w:rsid w:val="00143C81"/>
    <w:rsid w:val="00143ED5"/>
    <w:rsid w:val="00143EF4"/>
    <w:rsid w:val="001441FC"/>
    <w:rsid w:val="00144305"/>
    <w:rsid w:val="001443D7"/>
    <w:rsid w:val="001444F1"/>
    <w:rsid w:val="001445E1"/>
    <w:rsid w:val="00144957"/>
    <w:rsid w:val="00144C17"/>
    <w:rsid w:val="00144E94"/>
    <w:rsid w:val="0014505B"/>
    <w:rsid w:val="00145AD5"/>
    <w:rsid w:val="00145E27"/>
    <w:rsid w:val="00145E92"/>
    <w:rsid w:val="00145F29"/>
    <w:rsid w:val="00146863"/>
    <w:rsid w:val="00146E42"/>
    <w:rsid w:val="00146ECB"/>
    <w:rsid w:val="00147200"/>
    <w:rsid w:val="001473FA"/>
    <w:rsid w:val="00147400"/>
    <w:rsid w:val="001477D4"/>
    <w:rsid w:val="00147927"/>
    <w:rsid w:val="00147A80"/>
    <w:rsid w:val="00147B94"/>
    <w:rsid w:val="0015023F"/>
    <w:rsid w:val="00150794"/>
    <w:rsid w:val="001508A3"/>
    <w:rsid w:val="00150ABC"/>
    <w:rsid w:val="00150B67"/>
    <w:rsid w:val="00150BD4"/>
    <w:rsid w:val="00150E79"/>
    <w:rsid w:val="001512C7"/>
    <w:rsid w:val="00151492"/>
    <w:rsid w:val="0015218E"/>
    <w:rsid w:val="001521CB"/>
    <w:rsid w:val="00152656"/>
    <w:rsid w:val="00152966"/>
    <w:rsid w:val="00152B62"/>
    <w:rsid w:val="00152C6F"/>
    <w:rsid w:val="001530C3"/>
    <w:rsid w:val="001531A9"/>
    <w:rsid w:val="00153259"/>
    <w:rsid w:val="00153321"/>
    <w:rsid w:val="001537AB"/>
    <w:rsid w:val="00153BAE"/>
    <w:rsid w:val="00153C66"/>
    <w:rsid w:val="00153EC2"/>
    <w:rsid w:val="00154192"/>
    <w:rsid w:val="00154397"/>
    <w:rsid w:val="0015454F"/>
    <w:rsid w:val="001548D1"/>
    <w:rsid w:val="00154E4C"/>
    <w:rsid w:val="00155029"/>
    <w:rsid w:val="001550F9"/>
    <w:rsid w:val="0015535C"/>
    <w:rsid w:val="001555E4"/>
    <w:rsid w:val="001557E1"/>
    <w:rsid w:val="00155B12"/>
    <w:rsid w:val="00155D31"/>
    <w:rsid w:val="00156402"/>
    <w:rsid w:val="00156FD9"/>
    <w:rsid w:val="00157256"/>
    <w:rsid w:val="001574A5"/>
    <w:rsid w:val="00157ACA"/>
    <w:rsid w:val="00157B42"/>
    <w:rsid w:val="00157C3B"/>
    <w:rsid w:val="00157C50"/>
    <w:rsid w:val="00157EF1"/>
    <w:rsid w:val="0016045D"/>
    <w:rsid w:val="00160EA1"/>
    <w:rsid w:val="001611F3"/>
    <w:rsid w:val="001613C7"/>
    <w:rsid w:val="001616ED"/>
    <w:rsid w:val="00161741"/>
    <w:rsid w:val="00161BDC"/>
    <w:rsid w:val="00161EA0"/>
    <w:rsid w:val="00162241"/>
    <w:rsid w:val="00162368"/>
    <w:rsid w:val="001634FE"/>
    <w:rsid w:val="001637F8"/>
    <w:rsid w:val="00163C7C"/>
    <w:rsid w:val="00163FCF"/>
    <w:rsid w:val="001642B3"/>
    <w:rsid w:val="00164875"/>
    <w:rsid w:val="001648EA"/>
    <w:rsid w:val="00164AA9"/>
    <w:rsid w:val="00164BDB"/>
    <w:rsid w:val="00164CF0"/>
    <w:rsid w:val="00164FD6"/>
    <w:rsid w:val="001651DC"/>
    <w:rsid w:val="001652D0"/>
    <w:rsid w:val="0016534D"/>
    <w:rsid w:val="001655C2"/>
    <w:rsid w:val="00165A7C"/>
    <w:rsid w:val="00166359"/>
    <w:rsid w:val="001669BC"/>
    <w:rsid w:val="00166B06"/>
    <w:rsid w:val="00166E97"/>
    <w:rsid w:val="00167155"/>
    <w:rsid w:val="0016757F"/>
    <w:rsid w:val="0016761C"/>
    <w:rsid w:val="0016799F"/>
    <w:rsid w:val="00167FD7"/>
    <w:rsid w:val="001704C8"/>
    <w:rsid w:val="0017057D"/>
    <w:rsid w:val="0017069A"/>
    <w:rsid w:val="00170B79"/>
    <w:rsid w:val="0017150A"/>
    <w:rsid w:val="001716E0"/>
    <w:rsid w:val="00171833"/>
    <w:rsid w:val="00171893"/>
    <w:rsid w:val="00172F04"/>
    <w:rsid w:val="001733B1"/>
    <w:rsid w:val="00174154"/>
    <w:rsid w:val="0017417D"/>
    <w:rsid w:val="0017431A"/>
    <w:rsid w:val="001749C8"/>
    <w:rsid w:val="00174D82"/>
    <w:rsid w:val="00174FBF"/>
    <w:rsid w:val="00175034"/>
    <w:rsid w:val="00175621"/>
    <w:rsid w:val="00175640"/>
    <w:rsid w:val="0017565B"/>
    <w:rsid w:val="00176634"/>
    <w:rsid w:val="00176A83"/>
    <w:rsid w:val="00177112"/>
    <w:rsid w:val="0017720C"/>
    <w:rsid w:val="001772F7"/>
    <w:rsid w:val="001772FE"/>
    <w:rsid w:val="00177428"/>
    <w:rsid w:val="00177731"/>
    <w:rsid w:val="00177C0E"/>
    <w:rsid w:val="00177D20"/>
    <w:rsid w:val="00180611"/>
    <w:rsid w:val="001806C2"/>
    <w:rsid w:val="00180E5C"/>
    <w:rsid w:val="00180FDA"/>
    <w:rsid w:val="00181535"/>
    <w:rsid w:val="001818FF"/>
    <w:rsid w:val="00181917"/>
    <w:rsid w:val="00181C7B"/>
    <w:rsid w:val="00181CDA"/>
    <w:rsid w:val="00182265"/>
    <w:rsid w:val="001822AB"/>
    <w:rsid w:val="0018232E"/>
    <w:rsid w:val="00182514"/>
    <w:rsid w:val="001826FE"/>
    <w:rsid w:val="00182FA9"/>
    <w:rsid w:val="00183109"/>
    <w:rsid w:val="0018328B"/>
    <w:rsid w:val="0018402F"/>
    <w:rsid w:val="00184060"/>
    <w:rsid w:val="00184221"/>
    <w:rsid w:val="00184559"/>
    <w:rsid w:val="001849BE"/>
    <w:rsid w:val="0018544E"/>
    <w:rsid w:val="001858C7"/>
    <w:rsid w:val="001858DD"/>
    <w:rsid w:val="001859C2"/>
    <w:rsid w:val="00185AA5"/>
    <w:rsid w:val="00185B7D"/>
    <w:rsid w:val="00186CBA"/>
    <w:rsid w:val="00187065"/>
    <w:rsid w:val="00187541"/>
    <w:rsid w:val="001878D1"/>
    <w:rsid w:val="00187B50"/>
    <w:rsid w:val="00187EBC"/>
    <w:rsid w:val="00190237"/>
    <w:rsid w:val="001903E2"/>
    <w:rsid w:val="00190CB9"/>
    <w:rsid w:val="001910E5"/>
    <w:rsid w:val="001913F9"/>
    <w:rsid w:val="00191712"/>
    <w:rsid w:val="00191860"/>
    <w:rsid w:val="00191872"/>
    <w:rsid w:val="00191F25"/>
    <w:rsid w:val="0019224F"/>
    <w:rsid w:val="00192801"/>
    <w:rsid w:val="00192ABF"/>
    <w:rsid w:val="001955C9"/>
    <w:rsid w:val="00195827"/>
    <w:rsid w:val="001959CF"/>
    <w:rsid w:val="00195AB5"/>
    <w:rsid w:val="00195BFA"/>
    <w:rsid w:val="00195C25"/>
    <w:rsid w:val="00195D46"/>
    <w:rsid w:val="00196235"/>
    <w:rsid w:val="00196294"/>
    <w:rsid w:val="001962D0"/>
    <w:rsid w:val="001968DE"/>
    <w:rsid w:val="00197179"/>
    <w:rsid w:val="00197275"/>
    <w:rsid w:val="001972CB"/>
    <w:rsid w:val="00197C97"/>
    <w:rsid w:val="00197EE5"/>
    <w:rsid w:val="001A04FC"/>
    <w:rsid w:val="001A09DD"/>
    <w:rsid w:val="001A0A99"/>
    <w:rsid w:val="001A0DDD"/>
    <w:rsid w:val="001A0E34"/>
    <w:rsid w:val="001A0F22"/>
    <w:rsid w:val="001A15C1"/>
    <w:rsid w:val="001A1771"/>
    <w:rsid w:val="001A1BF7"/>
    <w:rsid w:val="001A1ECE"/>
    <w:rsid w:val="001A202A"/>
    <w:rsid w:val="001A2153"/>
    <w:rsid w:val="001A24CC"/>
    <w:rsid w:val="001A28D3"/>
    <w:rsid w:val="001A316C"/>
    <w:rsid w:val="001A32DD"/>
    <w:rsid w:val="001A349F"/>
    <w:rsid w:val="001A37E7"/>
    <w:rsid w:val="001A3E7B"/>
    <w:rsid w:val="001A3F33"/>
    <w:rsid w:val="001A42F6"/>
    <w:rsid w:val="001A4358"/>
    <w:rsid w:val="001A44FA"/>
    <w:rsid w:val="001A4528"/>
    <w:rsid w:val="001A4AB7"/>
    <w:rsid w:val="001A4B0A"/>
    <w:rsid w:val="001A4B74"/>
    <w:rsid w:val="001A4D0A"/>
    <w:rsid w:val="001A4FFC"/>
    <w:rsid w:val="001A5306"/>
    <w:rsid w:val="001A5701"/>
    <w:rsid w:val="001A58F9"/>
    <w:rsid w:val="001A5988"/>
    <w:rsid w:val="001A5B28"/>
    <w:rsid w:val="001A66FA"/>
    <w:rsid w:val="001A6B9D"/>
    <w:rsid w:val="001A74DB"/>
    <w:rsid w:val="001A7BDE"/>
    <w:rsid w:val="001A7C9C"/>
    <w:rsid w:val="001B063D"/>
    <w:rsid w:val="001B0E6F"/>
    <w:rsid w:val="001B1941"/>
    <w:rsid w:val="001B2114"/>
    <w:rsid w:val="001B2434"/>
    <w:rsid w:val="001B24EC"/>
    <w:rsid w:val="001B2C91"/>
    <w:rsid w:val="001B2E59"/>
    <w:rsid w:val="001B2F1F"/>
    <w:rsid w:val="001B30C2"/>
    <w:rsid w:val="001B3C83"/>
    <w:rsid w:val="001B45D5"/>
    <w:rsid w:val="001B48A5"/>
    <w:rsid w:val="001B6063"/>
    <w:rsid w:val="001B6111"/>
    <w:rsid w:val="001B6744"/>
    <w:rsid w:val="001C0453"/>
    <w:rsid w:val="001C0455"/>
    <w:rsid w:val="001C0505"/>
    <w:rsid w:val="001C060B"/>
    <w:rsid w:val="001C0C69"/>
    <w:rsid w:val="001C109D"/>
    <w:rsid w:val="001C1511"/>
    <w:rsid w:val="001C161E"/>
    <w:rsid w:val="001C181D"/>
    <w:rsid w:val="001C1E4D"/>
    <w:rsid w:val="001C2021"/>
    <w:rsid w:val="001C207A"/>
    <w:rsid w:val="001C2377"/>
    <w:rsid w:val="001C23A6"/>
    <w:rsid w:val="001C257A"/>
    <w:rsid w:val="001C2D73"/>
    <w:rsid w:val="001C2DC4"/>
    <w:rsid w:val="001C2E13"/>
    <w:rsid w:val="001C2F72"/>
    <w:rsid w:val="001C35DD"/>
    <w:rsid w:val="001C386C"/>
    <w:rsid w:val="001C41A3"/>
    <w:rsid w:val="001C4807"/>
    <w:rsid w:val="001C4D94"/>
    <w:rsid w:val="001C4E6C"/>
    <w:rsid w:val="001C5060"/>
    <w:rsid w:val="001C513D"/>
    <w:rsid w:val="001C521B"/>
    <w:rsid w:val="001C54C9"/>
    <w:rsid w:val="001C54E4"/>
    <w:rsid w:val="001C594D"/>
    <w:rsid w:val="001C605A"/>
    <w:rsid w:val="001C6091"/>
    <w:rsid w:val="001C632E"/>
    <w:rsid w:val="001C67EF"/>
    <w:rsid w:val="001C6D1B"/>
    <w:rsid w:val="001C6E52"/>
    <w:rsid w:val="001C6E93"/>
    <w:rsid w:val="001C7515"/>
    <w:rsid w:val="001C7E77"/>
    <w:rsid w:val="001D00E4"/>
    <w:rsid w:val="001D1BB6"/>
    <w:rsid w:val="001D1D5C"/>
    <w:rsid w:val="001D1D7C"/>
    <w:rsid w:val="001D1DDA"/>
    <w:rsid w:val="001D1F0E"/>
    <w:rsid w:val="001D28F4"/>
    <w:rsid w:val="001D2AB4"/>
    <w:rsid w:val="001D2CB6"/>
    <w:rsid w:val="001D3ADE"/>
    <w:rsid w:val="001D423D"/>
    <w:rsid w:val="001D44C9"/>
    <w:rsid w:val="001D4A70"/>
    <w:rsid w:val="001D4BC0"/>
    <w:rsid w:val="001D4D45"/>
    <w:rsid w:val="001D4FF6"/>
    <w:rsid w:val="001D50AE"/>
    <w:rsid w:val="001D52CA"/>
    <w:rsid w:val="001D57CF"/>
    <w:rsid w:val="001D6131"/>
    <w:rsid w:val="001D631E"/>
    <w:rsid w:val="001D6D5E"/>
    <w:rsid w:val="001D70FB"/>
    <w:rsid w:val="001D787F"/>
    <w:rsid w:val="001D78E3"/>
    <w:rsid w:val="001D7CB2"/>
    <w:rsid w:val="001D7F19"/>
    <w:rsid w:val="001E024C"/>
    <w:rsid w:val="001E03BE"/>
    <w:rsid w:val="001E03DF"/>
    <w:rsid w:val="001E0726"/>
    <w:rsid w:val="001E10A7"/>
    <w:rsid w:val="001E147D"/>
    <w:rsid w:val="001E1AF0"/>
    <w:rsid w:val="001E1C6A"/>
    <w:rsid w:val="001E22C2"/>
    <w:rsid w:val="001E2C48"/>
    <w:rsid w:val="001E2DDD"/>
    <w:rsid w:val="001E33CF"/>
    <w:rsid w:val="001E3AA6"/>
    <w:rsid w:val="001E3EA8"/>
    <w:rsid w:val="001E3EB6"/>
    <w:rsid w:val="001E4247"/>
    <w:rsid w:val="001E49AA"/>
    <w:rsid w:val="001E4A67"/>
    <w:rsid w:val="001E4AF4"/>
    <w:rsid w:val="001E5BBB"/>
    <w:rsid w:val="001E5E7C"/>
    <w:rsid w:val="001E6ACF"/>
    <w:rsid w:val="001E6B03"/>
    <w:rsid w:val="001E7020"/>
    <w:rsid w:val="001E77AE"/>
    <w:rsid w:val="001E790C"/>
    <w:rsid w:val="001F008F"/>
    <w:rsid w:val="001F04AC"/>
    <w:rsid w:val="001F088A"/>
    <w:rsid w:val="001F0A58"/>
    <w:rsid w:val="001F0ACC"/>
    <w:rsid w:val="001F0E8E"/>
    <w:rsid w:val="001F12C2"/>
    <w:rsid w:val="001F1F6F"/>
    <w:rsid w:val="001F22C5"/>
    <w:rsid w:val="001F26B1"/>
    <w:rsid w:val="001F26B5"/>
    <w:rsid w:val="001F2E85"/>
    <w:rsid w:val="001F311A"/>
    <w:rsid w:val="001F3FAF"/>
    <w:rsid w:val="001F4252"/>
    <w:rsid w:val="001F4455"/>
    <w:rsid w:val="001F4569"/>
    <w:rsid w:val="001F45DB"/>
    <w:rsid w:val="001F4744"/>
    <w:rsid w:val="001F4902"/>
    <w:rsid w:val="001F4B78"/>
    <w:rsid w:val="001F4E0C"/>
    <w:rsid w:val="001F5029"/>
    <w:rsid w:val="001F513A"/>
    <w:rsid w:val="001F53A0"/>
    <w:rsid w:val="001F5E34"/>
    <w:rsid w:val="001F5E88"/>
    <w:rsid w:val="001F6011"/>
    <w:rsid w:val="001F61B8"/>
    <w:rsid w:val="001F6248"/>
    <w:rsid w:val="001F6372"/>
    <w:rsid w:val="001F63D7"/>
    <w:rsid w:val="001F6A41"/>
    <w:rsid w:val="001F6C11"/>
    <w:rsid w:val="001F76BA"/>
    <w:rsid w:val="001F77E6"/>
    <w:rsid w:val="001F793E"/>
    <w:rsid w:val="001F7C86"/>
    <w:rsid w:val="00200011"/>
    <w:rsid w:val="00200C63"/>
    <w:rsid w:val="00200D83"/>
    <w:rsid w:val="002015D6"/>
    <w:rsid w:val="002017FA"/>
    <w:rsid w:val="00201A66"/>
    <w:rsid w:val="00201BD6"/>
    <w:rsid w:val="00201FBC"/>
    <w:rsid w:val="002022DD"/>
    <w:rsid w:val="00203074"/>
    <w:rsid w:val="002032C8"/>
    <w:rsid w:val="00203612"/>
    <w:rsid w:val="002038E3"/>
    <w:rsid w:val="00203952"/>
    <w:rsid w:val="00203D5E"/>
    <w:rsid w:val="00204208"/>
    <w:rsid w:val="002045AF"/>
    <w:rsid w:val="002049EC"/>
    <w:rsid w:val="00204D2D"/>
    <w:rsid w:val="00205B30"/>
    <w:rsid w:val="00206703"/>
    <w:rsid w:val="00206C31"/>
    <w:rsid w:val="00206FE0"/>
    <w:rsid w:val="0020700D"/>
    <w:rsid w:val="00207013"/>
    <w:rsid w:val="0020754D"/>
    <w:rsid w:val="0020790C"/>
    <w:rsid w:val="00211946"/>
    <w:rsid w:val="00211F35"/>
    <w:rsid w:val="0021332E"/>
    <w:rsid w:val="0021347D"/>
    <w:rsid w:val="00213B1A"/>
    <w:rsid w:val="00213C16"/>
    <w:rsid w:val="00213C55"/>
    <w:rsid w:val="00214182"/>
    <w:rsid w:val="002143FF"/>
    <w:rsid w:val="002145A4"/>
    <w:rsid w:val="00214764"/>
    <w:rsid w:val="00214C03"/>
    <w:rsid w:val="00214C5D"/>
    <w:rsid w:val="002156F3"/>
    <w:rsid w:val="00215B59"/>
    <w:rsid w:val="00215B8B"/>
    <w:rsid w:val="00215F68"/>
    <w:rsid w:val="00216412"/>
    <w:rsid w:val="002167E7"/>
    <w:rsid w:val="002168B3"/>
    <w:rsid w:val="002169C3"/>
    <w:rsid w:val="00216A2D"/>
    <w:rsid w:val="002175F6"/>
    <w:rsid w:val="00217D8C"/>
    <w:rsid w:val="002203C6"/>
    <w:rsid w:val="0022087F"/>
    <w:rsid w:val="00220A4F"/>
    <w:rsid w:val="00220AE9"/>
    <w:rsid w:val="00220D85"/>
    <w:rsid w:val="002214B7"/>
    <w:rsid w:val="002222AF"/>
    <w:rsid w:val="00223755"/>
    <w:rsid w:val="002239E5"/>
    <w:rsid w:val="00223BDF"/>
    <w:rsid w:val="00223FFB"/>
    <w:rsid w:val="002240AD"/>
    <w:rsid w:val="00224325"/>
    <w:rsid w:val="0022462C"/>
    <w:rsid w:val="002247CE"/>
    <w:rsid w:val="00224C80"/>
    <w:rsid w:val="00224CA1"/>
    <w:rsid w:val="0022520E"/>
    <w:rsid w:val="0022524E"/>
    <w:rsid w:val="002252C8"/>
    <w:rsid w:val="0022546D"/>
    <w:rsid w:val="002254A4"/>
    <w:rsid w:val="00225735"/>
    <w:rsid w:val="00225A55"/>
    <w:rsid w:val="00226FDB"/>
    <w:rsid w:val="00227367"/>
    <w:rsid w:val="0022797E"/>
    <w:rsid w:val="00227E42"/>
    <w:rsid w:val="002303B4"/>
    <w:rsid w:val="0023040F"/>
    <w:rsid w:val="002304A6"/>
    <w:rsid w:val="00230997"/>
    <w:rsid w:val="00231A5F"/>
    <w:rsid w:val="002323D6"/>
    <w:rsid w:val="00232458"/>
    <w:rsid w:val="00232476"/>
    <w:rsid w:val="002328E0"/>
    <w:rsid w:val="00233024"/>
    <w:rsid w:val="002337AD"/>
    <w:rsid w:val="00233E19"/>
    <w:rsid w:val="00233E90"/>
    <w:rsid w:val="002340F9"/>
    <w:rsid w:val="00234114"/>
    <w:rsid w:val="00234A47"/>
    <w:rsid w:val="00234EFF"/>
    <w:rsid w:val="0023525F"/>
    <w:rsid w:val="002354C2"/>
    <w:rsid w:val="00235602"/>
    <w:rsid w:val="00235A63"/>
    <w:rsid w:val="00235CF3"/>
    <w:rsid w:val="002363CB"/>
    <w:rsid w:val="00236416"/>
    <w:rsid w:val="002364DD"/>
    <w:rsid w:val="002371F0"/>
    <w:rsid w:val="0023724E"/>
    <w:rsid w:val="002373C5"/>
    <w:rsid w:val="00237786"/>
    <w:rsid w:val="00237EBA"/>
    <w:rsid w:val="00240038"/>
    <w:rsid w:val="0024027D"/>
    <w:rsid w:val="0024080E"/>
    <w:rsid w:val="0024090B"/>
    <w:rsid w:val="00240980"/>
    <w:rsid w:val="00240D5B"/>
    <w:rsid w:val="00240E9A"/>
    <w:rsid w:val="002411C7"/>
    <w:rsid w:val="002413AC"/>
    <w:rsid w:val="002413DF"/>
    <w:rsid w:val="002417F9"/>
    <w:rsid w:val="00241B18"/>
    <w:rsid w:val="00241B21"/>
    <w:rsid w:val="00241BD0"/>
    <w:rsid w:val="00242284"/>
    <w:rsid w:val="00242373"/>
    <w:rsid w:val="002424D5"/>
    <w:rsid w:val="00242A96"/>
    <w:rsid w:val="00242C85"/>
    <w:rsid w:val="00243065"/>
    <w:rsid w:val="0024339F"/>
    <w:rsid w:val="00243591"/>
    <w:rsid w:val="0024362A"/>
    <w:rsid w:val="00243AFD"/>
    <w:rsid w:val="00243CED"/>
    <w:rsid w:val="00244484"/>
    <w:rsid w:val="00244C0D"/>
    <w:rsid w:val="00244F38"/>
    <w:rsid w:val="00245977"/>
    <w:rsid w:val="00245ECF"/>
    <w:rsid w:val="002460A5"/>
    <w:rsid w:val="00246658"/>
    <w:rsid w:val="00246CB7"/>
    <w:rsid w:val="00247489"/>
    <w:rsid w:val="00247827"/>
    <w:rsid w:val="00247CD7"/>
    <w:rsid w:val="00250137"/>
    <w:rsid w:val="00250B7C"/>
    <w:rsid w:val="00250E79"/>
    <w:rsid w:val="00250FF9"/>
    <w:rsid w:val="002510E1"/>
    <w:rsid w:val="00251320"/>
    <w:rsid w:val="0025142D"/>
    <w:rsid w:val="002517CB"/>
    <w:rsid w:val="00252134"/>
    <w:rsid w:val="002523FE"/>
    <w:rsid w:val="00252706"/>
    <w:rsid w:val="00252752"/>
    <w:rsid w:val="0025305B"/>
    <w:rsid w:val="00253421"/>
    <w:rsid w:val="00253430"/>
    <w:rsid w:val="002537EE"/>
    <w:rsid w:val="00253D88"/>
    <w:rsid w:val="00254A36"/>
    <w:rsid w:val="00255074"/>
    <w:rsid w:val="0025516B"/>
    <w:rsid w:val="002553B9"/>
    <w:rsid w:val="0025545C"/>
    <w:rsid w:val="002554B6"/>
    <w:rsid w:val="00255984"/>
    <w:rsid w:val="002559D1"/>
    <w:rsid w:val="00255A79"/>
    <w:rsid w:val="00255B93"/>
    <w:rsid w:val="00256227"/>
    <w:rsid w:val="00256464"/>
    <w:rsid w:val="00256529"/>
    <w:rsid w:val="00256729"/>
    <w:rsid w:val="00256B30"/>
    <w:rsid w:val="00256B3A"/>
    <w:rsid w:val="00256F04"/>
    <w:rsid w:val="002571CC"/>
    <w:rsid w:val="00260041"/>
    <w:rsid w:val="0026076F"/>
    <w:rsid w:val="00260AAF"/>
    <w:rsid w:val="00260F12"/>
    <w:rsid w:val="00260F1A"/>
    <w:rsid w:val="00261482"/>
    <w:rsid w:val="002619E3"/>
    <w:rsid w:val="00261F9B"/>
    <w:rsid w:val="0026210A"/>
    <w:rsid w:val="0026211A"/>
    <w:rsid w:val="002623AF"/>
    <w:rsid w:val="002625D8"/>
    <w:rsid w:val="00262737"/>
    <w:rsid w:val="00262E65"/>
    <w:rsid w:val="00262E91"/>
    <w:rsid w:val="00263ECC"/>
    <w:rsid w:val="002647B7"/>
    <w:rsid w:val="00264CF7"/>
    <w:rsid w:val="00265801"/>
    <w:rsid w:val="002658E2"/>
    <w:rsid w:val="002661AC"/>
    <w:rsid w:val="002667DF"/>
    <w:rsid w:val="00266AB7"/>
    <w:rsid w:val="002675F9"/>
    <w:rsid w:val="0026769C"/>
    <w:rsid w:val="002678A9"/>
    <w:rsid w:val="002679A8"/>
    <w:rsid w:val="002679FD"/>
    <w:rsid w:val="002705E1"/>
    <w:rsid w:val="00271261"/>
    <w:rsid w:val="00271581"/>
    <w:rsid w:val="00271655"/>
    <w:rsid w:val="00271823"/>
    <w:rsid w:val="00272390"/>
    <w:rsid w:val="0027272D"/>
    <w:rsid w:val="002729B8"/>
    <w:rsid w:val="00272CDC"/>
    <w:rsid w:val="0027392E"/>
    <w:rsid w:val="00274021"/>
    <w:rsid w:val="002743D2"/>
    <w:rsid w:val="0027467E"/>
    <w:rsid w:val="0027469D"/>
    <w:rsid w:val="002747D1"/>
    <w:rsid w:val="00274D0D"/>
    <w:rsid w:val="0027541C"/>
    <w:rsid w:val="00275941"/>
    <w:rsid w:val="0027652B"/>
    <w:rsid w:val="002766A3"/>
    <w:rsid w:val="002766C1"/>
    <w:rsid w:val="00276759"/>
    <w:rsid w:val="002767D2"/>
    <w:rsid w:val="0027699A"/>
    <w:rsid w:val="002769F8"/>
    <w:rsid w:val="00276C48"/>
    <w:rsid w:val="00277054"/>
    <w:rsid w:val="00277108"/>
    <w:rsid w:val="00277144"/>
    <w:rsid w:val="00277291"/>
    <w:rsid w:val="002772E9"/>
    <w:rsid w:val="002802BB"/>
    <w:rsid w:val="00280385"/>
    <w:rsid w:val="0028041D"/>
    <w:rsid w:val="0028090C"/>
    <w:rsid w:val="00280A3A"/>
    <w:rsid w:val="00280BB2"/>
    <w:rsid w:val="00281432"/>
    <w:rsid w:val="00281A7C"/>
    <w:rsid w:val="00281DF7"/>
    <w:rsid w:val="00282037"/>
    <w:rsid w:val="00282C39"/>
    <w:rsid w:val="002846D9"/>
    <w:rsid w:val="00284D41"/>
    <w:rsid w:val="00284DE0"/>
    <w:rsid w:val="00284F20"/>
    <w:rsid w:val="00285460"/>
    <w:rsid w:val="00285A3B"/>
    <w:rsid w:val="00285A91"/>
    <w:rsid w:val="00285B89"/>
    <w:rsid w:val="00286170"/>
    <w:rsid w:val="00286321"/>
    <w:rsid w:val="00286355"/>
    <w:rsid w:val="002871BD"/>
    <w:rsid w:val="0028724F"/>
    <w:rsid w:val="002874B4"/>
    <w:rsid w:val="002877B8"/>
    <w:rsid w:val="00287A3F"/>
    <w:rsid w:val="00290290"/>
    <w:rsid w:val="00290E36"/>
    <w:rsid w:val="0029143D"/>
    <w:rsid w:val="00291A3A"/>
    <w:rsid w:val="00291F48"/>
    <w:rsid w:val="0029227D"/>
    <w:rsid w:val="00292C61"/>
    <w:rsid w:val="00292EDF"/>
    <w:rsid w:val="002938C0"/>
    <w:rsid w:val="002941BB"/>
    <w:rsid w:val="002941D9"/>
    <w:rsid w:val="002946A6"/>
    <w:rsid w:val="00294DE3"/>
    <w:rsid w:val="002952EF"/>
    <w:rsid w:val="0029574E"/>
    <w:rsid w:val="00295B63"/>
    <w:rsid w:val="00295FE2"/>
    <w:rsid w:val="0029656C"/>
    <w:rsid w:val="0029680D"/>
    <w:rsid w:val="00296E52"/>
    <w:rsid w:val="00296E77"/>
    <w:rsid w:val="0029788A"/>
    <w:rsid w:val="00297C80"/>
    <w:rsid w:val="00297C84"/>
    <w:rsid w:val="002A0058"/>
    <w:rsid w:val="002A00BA"/>
    <w:rsid w:val="002A03C5"/>
    <w:rsid w:val="002A0D16"/>
    <w:rsid w:val="002A1596"/>
    <w:rsid w:val="002A18DF"/>
    <w:rsid w:val="002A1B10"/>
    <w:rsid w:val="002A1D59"/>
    <w:rsid w:val="002A1F09"/>
    <w:rsid w:val="002A230C"/>
    <w:rsid w:val="002A23F1"/>
    <w:rsid w:val="002A2B99"/>
    <w:rsid w:val="002A2E79"/>
    <w:rsid w:val="002A2FEE"/>
    <w:rsid w:val="002A3354"/>
    <w:rsid w:val="002A386C"/>
    <w:rsid w:val="002A393C"/>
    <w:rsid w:val="002A3D44"/>
    <w:rsid w:val="002A3D6B"/>
    <w:rsid w:val="002A3EE3"/>
    <w:rsid w:val="002A415F"/>
    <w:rsid w:val="002A45F6"/>
    <w:rsid w:val="002A4B96"/>
    <w:rsid w:val="002A4BC4"/>
    <w:rsid w:val="002A4E06"/>
    <w:rsid w:val="002A52E9"/>
    <w:rsid w:val="002A557A"/>
    <w:rsid w:val="002A566A"/>
    <w:rsid w:val="002A5986"/>
    <w:rsid w:val="002A5BD4"/>
    <w:rsid w:val="002A664E"/>
    <w:rsid w:val="002A6F09"/>
    <w:rsid w:val="002A6FEB"/>
    <w:rsid w:val="002A7DA0"/>
    <w:rsid w:val="002A7EDF"/>
    <w:rsid w:val="002B0806"/>
    <w:rsid w:val="002B08DF"/>
    <w:rsid w:val="002B0E14"/>
    <w:rsid w:val="002B0F6D"/>
    <w:rsid w:val="002B1094"/>
    <w:rsid w:val="002B16C3"/>
    <w:rsid w:val="002B18D5"/>
    <w:rsid w:val="002B1CBE"/>
    <w:rsid w:val="002B1DEA"/>
    <w:rsid w:val="002B2055"/>
    <w:rsid w:val="002B2300"/>
    <w:rsid w:val="002B23F4"/>
    <w:rsid w:val="002B27BC"/>
    <w:rsid w:val="002B2A60"/>
    <w:rsid w:val="002B2F85"/>
    <w:rsid w:val="002B3218"/>
    <w:rsid w:val="002B3238"/>
    <w:rsid w:val="002B37CB"/>
    <w:rsid w:val="002B3CB2"/>
    <w:rsid w:val="002B418D"/>
    <w:rsid w:val="002B4AED"/>
    <w:rsid w:val="002B52DC"/>
    <w:rsid w:val="002B52FF"/>
    <w:rsid w:val="002B5336"/>
    <w:rsid w:val="002B6B60"/>
    <w:rsid w:val="002B7462"/>
    <w:rsid w:val="002B7AED"/>
    <w:rsid w:val="002B7F9F"/>
    <w:rsid w:val="002C06B9"/>
    <w:rsid w:val="002C08DD"/>
    <w:rsid w:val="002C0BA9"/>
    <w:rsid w:val="002C1329"/>
    <w:rsid w:val="002C175D"/>
    <w:rsid w:val="002C1AE2"/>
    <w:rsid w:val="002C1DC2"/>
    <w:rsid w:val="002C1FDF"/>
    <w:rsid w:val="002C22D2"/>
    <w:rsid w:val="002C2B3D"/>
    <w:rsid w:val="002C2B7E"/>
    <w:rsid w:val="002C3795"/>
    <w:rsid w:val="002C3C01"/>
    <w:rsid w:val="002C3D77"/>
    <w:rsid w:val="002C4117"/>
    <w:rsid w:val="002C4AB1"/>
    <w:rsid w:val="002C5129"/>
    <w:rsid w:val="002C5855"/>
    <w:rsid w:val="002C5A2C"/>
    <w:rsid w:val="002C5F43"/>
    <w:rsid w:val="002C6373"/>
    <w:rsid w:val="002C6BE8"/>
    <w:rsid w:val="002C6C6D"/>
    <w:rsid w:val="002C6F0F"/>
    <w:rsid w:val="002C6F1D"/>
    <w:rsid w:val="002C7321"/>
    <w:rsid w:val="002C74C0"/>
    <w:rsid w:val="002C7572"/>
    <w:rsid w:val="002C76BE"/>
    <w:rsid w:val="002C77A1"/>
    <w:rsid w:val="002D0737"/>
    <w:rsid w:val="002D0BAD"/>
    <w:rsid w:val="002D1D19"/>
    <w:rsid w:val="002D1E69"/>
    <w:rsid w:val="002D2B38"/>
    <w:rsid w:val="002D2C16"/>
    <w:rsid w:val="002D307C"/>
    <w:rsid w:val="002D335A"/>
    <w:rsid w:val="002D3387"/>
    <w:rsid w:val="002D34AC"/>
    <w:rsid w:val="002D3772"/>
    <w:rsid w:val="002D3CC3"/>
    <w:rsid w:val="002D468C"/>
    <w:rsid w:val="002D4CD3"/>
    <w:rsid w:val="002D5AEE"/>
    <w:rsid w:val="002D6033"/>
    <w:rsid w:val="002D6056"/>
    <w:rsid w:val="002D610B"/>
    <w:rsid w:val="002D6276"/>
    <w:rsid w:val="002D68F7"/>
    <w:rsid w:val="002D698D"/>
    <w:rsid w:val="002D6EB4"/>
    <w:rsid w:val="002D7BC3"/>
    <w:rsid w:val="002D7C4D"/>
    <w:rsid w:val="002E0312"/>
    <w:rsid w:val="002E0490"/>
    <w:rsid w:val="002E0971"/>
    <w:rsid w:val="002E0A3E"/>
    <w:rsid w:val="002E0E9F"/>
    <w:rsid w:val="002E1404"/>
    <w:rsid w:val="002E14D0"/>
    <w:rsid w:val="002E1E3F"/>
    <w:rsid w:val="002E25FF"/>
    <w:rsid w:val="002E3355"/>
    <w:rsid w:val="002E33B8"/>
    <w:rsid w:val="002E452C"/>
    <w:rsid w:val="002E45E9"/>
    <w:rsid w:val="002E4737"/>
    <w:rsid w:val="002E495C"/>
    <w:rsid w:val="002E4AE0"/>
    <w:rsid w:val="002E4B71"/>
    <w:rsid w:val="002E4E92"/>
    <w:rsid w:val="002E5509"/>
    <w:rsid w:val="002E57B9"/>
    <w:rsid w:val="002E59D5"/>
    <w:rsid w:val="002E5E20"/>
    <w:rsid w:val="002E6012"/>
    <w:rsid w:val="002E6AB8"/>
    <w:rsid w:val="002E6B64"/>
    <w:rsid w:val="002E73AD"/>
    <w:rsid w:val="002E7872"/>
    <w:rsid w:val="002E78B5"/>
    <w:rsid w:val="002E78C2"/>
    <w:rsid w:val="002F0353"/>
    <w:rsid w:val="002F0428"/>
    <w:rsid w:val="002F0EBD"/>
    <w:rsid w:val="002F0F74"/>
    <w:rsid w:val="002F1266"/>
    <w:rsid w:val="002F1A1F"/>
    <w:rsid w:val="002F1CF6"/>
    <w:rsid w:val="002F1F8A"/>
    <w:rsid w:val="002F2AD5"/>
    <w:rsid w:val="002F2CA8"/>
    <w:rsid w:val="002F3107"/>
    <w:rsid w:val="002F31D5"/>
    <w:rsid w:val="002F42BE"/>
    <w:rsid w:val="002F4427"/>
    <w:rsid w:val="002F455C"/>
    <w:rsid w:val="002F483D"/>
    <w:rsid w:val="002F486E"/>
    <w:rsid w:val="002F589D"/>
    <w:rsid w:val="002F59F8"/>
    <w:rsid w:val="002F5E61"/>
    <w:rsid w:val="002F61A8"/>
    <w:rsid w:val="002F61CD"/>
    <w:rsid w:val="002F67A3"/>
    <w:rsid w:val="002F67C7"/>
    <w:rsid w:val="002F72BB"/>
    <w:rsid w:val="002F754B"/>
    <w:rsid w:val="002F7B0E"/>
    <w:rsid w:val="002F7B70"/>
    <w:rsid w:val="002F7EB1"/>
    <w:rsid w:val="002F7F92"/>
    <w:rsid w:val="002F7FC5"/>
    <w:rsid w:val="00300119"/>
    <w:rsid w:val="00300321"/>
    <w:rsid w:val="00300586"/>
    <w:rsid w:val="0030059C"/>
    <w:rsid w:val="00300A6B"/>
    <w:rsid w:val="00300EEA"/>
    <w:rsid w:val="003013B0"/>
    <w:rsid w:val="003015C6"/>
    <w:rsid w:val="0030174F"/>
    <w:rsid w:val="00301E27"/>
    <w:rsid w:val="00301FE4"/>
    <w:rsid w:val="00302184"/>
    <w:rsid w:val="00302D14"/>
    <w:rsid w:val="00302DEA"/>
    <w:rsid w:val="00302EE3"/>
    <w:rsid w:val="003034D4"/>
    <w:rsid w:val="003036D9"/>
    <w:rsid w:val="00303AFC"/>
    <w:rsid w:val="0030423C"/>
    <w:rsid w:val="003044A4"/>
    <w:rsid w:val="0030453D"/>
    <w:rsid w:val="003049FB"/>
    <w:rsid w:val="00304A14"/>
    <w:rsid w:val="00304E1B"/>
    <w:rsid w:val="00305485"/>
    <w:rsid w:val="003064A2"/>
    <w:rsid w:val="00306534"/>
    <w:rsid w:val="0030657D"/>
    <w:rsid w:val="00306E4F"/>
    <w:rsid w:val="00306F47"/>
    <w:rsid w:val="00307151"/>
    <w:rsid w:val="0030719F"/>
    <w:rsid w:val="003073CB"/>
    <w:rsid w:val="00307AE4"/>
    <w:rsid w:val="003105C9"/>
    <w:rsid w:val="00310B99"/>
    <w:rsid w:val="0031109E"/>
    <w:rsid w:val="003112C1"/>
    <w:rsid w:val="0031161D"/>
    <w:rsid w:val="00311E25"/>
    <w:rsid w:val="003125DB"/>
    <w:rsid w:val="00312B9A"/>
    <w:rsid w:val="00313730"/>
    <w:rsid w:val="00313988"/>
    <w:rsid w:val="003139A9"/>
    <w:rsid w:val="00313C3F"/>
    <w:rsid w:val="00313FDB"/>
    <w:rsid w:val="003145F8"/>
    <w:rsid w:val="00314673"/>
    <w:rsid w:val="003147B2"/>
    <w:rsid w:val="00314CAF"/>
    <w:rsid w:val="00315361"/>
    <w:rsid w:val="00315AAC"/>
    <w:rsid w:val="00315AE4"/>
    <w:rsid w:val="003161B7"/>
    <w:rsid w:val="0031662A"/>
    <w:rsid w:val="003169F1"/>
    <w:rsid w:val="00317D5D"/>
    <w:rsid w:val="0032001E"/>
    <w:rsid w:val="0032002F"/>
    <w:rsid w:val="00320112"/>
    <w:rsid w:val="003203A1"/>
    <w:rsid w:val="00320EAA"/>
    <w:rsid w:val="003211BB"/>
    <w:rsid w:val="003212CB"/>
    <w:rsid w:val="0032156E"/>
    <w:rsid w:val="003217ED"/>
    <w:rsid w:val="00321B2F"/>
    <w:rsid w:val="00321F39"/>
    <w:rsid w:val="00322068"/>
    <w:rsid w:val="003222DB"/>
    <w:rsid w:val="00322538"/>
    <w:rsid w:val="00322A1C"/>
    <w:rsid w:val="00322B14"/>
    <w:rsid w:val="0032332B"/>
    <w:rsid w:val="00323465"/>
    <w:rsid w:val="00323479"/>
    <w:rsid w:val="00323904"/>
    <w:rsid w:val="00323C6E"/>
    <w:rsid w:val="00323F91"/>
    <w:rsid w:val="00324384"/>
    <w:rsid w:val="00324637"/>
    <w:rsid w:val="0032494B"/>
    <w:rsid w:val="00324AE6"/>
    <w:rsid w:val="00325A96"/>
    <w:rsid w:val="00325AC4"/>
    <w:rsid w:val="00326182"/>
    <w:rsid w:val="003266DC"/>
    <w:rsid w:val="00326AD8"/>
    <w:rsid w:val="00326FAF"/>
    <w:rsid w:val="00327104"/>
    <w:rsid w:val="003279C3"/>
    <w:rsid w:val="0033078E"/>
    <w:rsid w:val="00330C6C"/>
    <w:rsid w:val="00330DB4"/>
    <w:rsid w:val="00330FFC"/>
    <w:rsid w:val="003314C3"/>
    <w:rsid w:val="0033158F"/>
    <w:rsid w:val="003319F4"/>
    <w:rsid w:val="00331C47"/>
    <w:rsid w:val="00332042"/>
    <w:rsid w:val="00332A13"/>
    <w:rsid w:val="00332D08"/>
    <w:rsid w:val="00332DD6"/>
    <w:rsid w:val="0033349A"/>
    <w:rsid w:val="0033349B"/>
    <w:rsid w:val="00333AFC"/>
    <w:rsid w:val="00333E99"/>
    <w:rsid w:val="00334947"/>
    <w:rsid w:val="00334A89"/>
    <w:rsid w:val="00334ACB"/>
    <w:rsid w:val="00334FFA"/>
    <w:rsid w:val="003358F4"/>
    <w:rsid w:val="0033621A"/>
    <w:rsid w:val="00336D99"/>
    <w:rsid w:val="003371F7"/>
    <w:rsid w:val="0033739E"/>
    <w:rsid w:val="0033759A"/>
    <w:rsid w:val="0033780E"/>
    <w:rsid w:val="00337836"/>
    <w:rsid w:val="00337AC7"/>
    <w:rsid w:val="00337EA2"/>
    <w:rsid w:val="00340196"/>
    <w:rsid w:val="00340274"/>
    <w:rsid w:val="003407F4"/>
    <w:rsid w:val="00340A2D"/>
    <w:rsid w:val="0034162D"/>
    <w:rsid w:val="003416AD"/>
    <w:rsid w:val="00341877"/>
    <w:rsid w:val="003418A9"/>
    <w:rsid w:val="00341AF8"/>
    <w:rsid w:val="003423D1"/>
    <w:rsid w:val="00342522"/>
    <w:rsid w:val="003425F9"/>
    <w:rsid w:val="003427CC"/>
    <w:rsid w:val="00342D4F"/>
    <w:rsid w:val="00343787"/>
    <w:rsid w:val="0034456E"/>
    <w:rsid w:val="0034457A"/>
    <w:rsid w:val="003446A7"/>
    <w:rsid w:val="00344D65"/>
    <w:rsid w:val="00346307"/>
    <w:rsid w:val="00346837"/>
    <w:rsid w:val="00347297"/>
    <w:rsid w:val="0034729E"/>
    <w:rsid w:val="003478B0"/>
    <w:rsid w:val="00347F18"/>
    <w:rsid w:val="00347F3C"/>
    <w:rsid w:val="00347FB8"/>
    <w:rsid w:val="00350148"/>
    <w:rsid w:val="00350200"/>
    <w:rsid w:val="00350540"/>
    <w:rsid w:val="003508FD"/>
    <w:rsid w:val="00350A25"/>
    <w:rsid w:val="003510E5"/>
    <w:rsid w:val="0035185D"/>
    <w:rsid w:val="00351875"/>
    <w:rsid w:val="00351A25"/>
    <w:rsid w:val="00352060"/>
    <w:rsid w:val="003526FB"/>
    <w:rsid w:val="003528E7"/>
    <w:rsid w:val="00352B95"/>
    <w:rsid w:val="00352CB6"/>
    <w:rsid w:val="00352D71"/>
    <w:rsid w:val="0035322A"/>
    <w:rsid w:val="003533F8"/>
    <w:rsid w:val="003537EB"/>
    <w:rsid w:val="00353BD0"/>
    <w:rsid w:val="003541EF"/>
    <w:rsid w:val="003544C3"/>
    <w:rsid w:val="0035471B"/>
    <w:rsid w:val="00354B06"/>
    <w:rsid w:val="00354E00"/>
    <w:rsid w:val="003550DD"/>
    <w:rsid w:val="0035514C"/>
    <w:rsid w:val="00355182"/>
    <w:rsid w:val="0035540B"/>
    <w:rsid w:val="0035581F"/>
    <w:rsid w:val="0035593B"/>
    <w:rsid w:val="00355964"/>
    <w:rsid w:val="00356004"/>
    <w:rsid w:val="00356009"/>
    <w:rsid w:val="0035671D"/>
    <w:rsid w:val="003569B2"/>
    <w:rsid w:val="00356A0C"/>
    <w:rsid w:val="00356D0E"/>
    <w:rsid w:val="00356EC8"/>
    <w:rsid w:val="0035704E"/>
    <w:rsid w:val="0035735E"/>
    <w:rsid w:val="00357817"/>
    <w:rsid w:val="003600CD"/>
    <w:rsid w:val="003603B7"/>
    <w:rsid w:val="003609D0"/>
    <w:rsid w:val="0036130B"/>
    <w:rsid w:val="003615D5"/>
    <w:rsid w:val="00361727"/>
    <w:rsid w:val="0036174D"/>
    <w:rsid w:val="00361AB0"/>
    <w:rsid w:val="00361E60"/>
    <w:rsid w:val="00361FD7"/>
    <w:rsid w:val="00362211"/>
    <w:rsid w:val="00362218"/>
    <w:rsid w:val="00362B71"/>
    <w:rsid w:val="003643DD"/>
    <w:rsid w:val="0036457E"/>
    <w:rsid w:val="00364A24"/>
    <w:rsid w:val="00365186"/>
    <w:rsid w:val="0036542D"/>
    <w:rsid w:val="0036544E"/>
    <w:rsid w:val="00365742"/>
    <w:rsid w:val="00365AB6"/>
    <w:rsid w:val="003661C8"/>
    <w:rsid w:val="00366956"/>
    <w:rsid w:val="003670B8"/>
    <w:rsid w:val="003675F6"/>
    <w:rsid w:val="00367825"/>
    <w:rsid w:val="0037013F"/>
    <w:rsid w:val="003703B4"/>
    <w:rsid w:val="003703C5"/>
    <w:rsid w:val="00370434"/>
    <w:rsid w:val="00370956"/>
    <w:rsid w:val="00370B38"/>
    <w:rsid w:val="00371161"/>
    <w:rsid w:val="003718F3"/>
    <w:rsid w:val="003719F7"/>
    <w:rsid w:val="00371A7A"/>
    <w:rsid w:val="00371F36"/>
    <w:rsid w:val="0037215B"/>
    <w:rsid w:val="003726D1"/>
    <w:rsid w:val="00372B28"/>
    <w:rsid w:val="00372E5A"/>
    <w:rsid w:val="003730EA"/>
    <w:rsid w:val="00373331"/>
    <w:rsid w:val="00373B38"/>
    <w:rsid w:val="00373B4B"/>
    <w:rsid w:val="0037481E"/>
    <w:rsid w:val="0037487B"/>
    <w:rsid w:val="00374B7A"/>
    <w:rsid w:val="003750DC"/>
    <w:rsid w:val="003750F4"/>
    <w:rsid w:val="00375270"/>
    <w:rsid w:val="0037552F"/>
    <w:rsid w:val="00375597"/>
    <w:rsid w:val="00375A9B"/>
    <w:rsid w:val="00375F1E"/>
    <w:rsid w:val="00375F4A"/>
    <w:rsid w:val="003763B0"/>
    <w:rsid w:val="00376502"/>
    <w:rsid w:val="003768A4"/>
    <w:rsid w:val="00376E36"/>
    <w:rsid w:val="00376EBB"/>
    <w:rsid w:val="00376F69"/>
    <w:rsid w:val="0037711D"/>
    <w:rsid w:val="003773AB"/>
    <w:rsid w:val="003774BD"/>
    <w:rsid w:val="0037757C"/>
    <w:rsid w:val="00380020"/>
    <w:rsid w:val="00380500"/>
    <w:rsid w:val="003805B9"/>
    <w:rsid w:val="003805C4"/>
    <w:rsid w:val="00381ADB"/>
    <w:rsid w:val="00381E43"/>
    <w:rsid w:val="00382092"/>
    <w:rsid w:val="0038213B"/>
    <w:rsid w:val="003821CF"/>
    <w:rsid w:val="00382F4B"/>
    <w:rsid w:val="00383EEE"/>
    <w:rsid w:val="00383F80"/>
    <w:rsid w:val="00384264"/>
    <w:rsid w:val="003848E0"/>
    <w:rsid w:val="00384C25"/>
    <w:rsid w:val="003853AF"/>
    <w:rsid w:val="0038573D"/>
    <w:rsid w:val="0038582C"/>
    <w:rsid w:val="00385B31"/>
    <w:rsid w:val="00385DA5"/>
    <w:rsid w:val="003864F1"/>
    <w:rsid w:val="00386556"/>
    <w:rsid w:val="003866E9"/>
    <w:rsid w:val="0038741E"/>
    <w:rsid w:val="003875C5"/>
    <w:rsid w:val="00387EE8"/>
    <w:rsid w:val="00390113"/>
    <w:rsid w:val="003902A9"/>
    <w:rsid w:val="00390775"/>
    <w:rsid w:val="00390BD7"/>
    <w:rsid w:val="003914A5"/>
    <w:rsid w:val="00391544"/>
    <w:rsid w:val="00391787"/>
    <w:rsid w:val="003918CB"/>
    <w:rsid w:val="00391AEB"/>
    <w:rsid w:val="00391CB0"/>
    <w:rsid w:val="003920D2"/>
    <w:rsid w:val="00392221"/>
    <w:rsid w:val="00392251"/>
    <w:rsid w:val="00392338"/>
    <w:rsid w:val="00392689"/>
    <w:rsid w:val="003928E3"/>
    <w:rsid w:val="0039295C"/>
    <w:rsid w:val="0039296D"/>
    <w:rsid w:val="00392EED"/>
    <w:rsid w:val="0039306C"/>
    <w:rsid w:val="00393160"/>
    <w:rsid w:val="003946BF"/>
    <w:rsid w:val="0039489D"/>
    <w:rsid w:val="00394BC1"/>
    <w:rsid w:val="00394E63"/>
    <w:rsid w:val="00394E8A"/>
    <w:rsid w:val="003954E8"/>
    <w:rsid w:val="00395B9E"/>
    <w:rsid w:val="00395CD7"/>
    <w:rsid w:val="00395DC8"/>
    <w:rsid w:val="00395DD6"/>
    <w:rsid w:val="00395FE0"/>
    <w:rsid w:val="00396455"/>
    <w:rsid w:val="00396C9E"/>
    <w:rsid w:val="00396E25"/>
    <w:rsid w:val="00397211"/>
    <w:rsid w:val="003973D4"/>
    <w:rsid w:val="00397621"/>
    <w:rsid w:val="00397752"/>
    <w:rsid w:val="003978A8"/>
    <w:rsid w:val="003A06AC"/>
    <w:rsid w:val="003A0C53"/>
    <w:rsid w:val="003A1190"/>
    <w:rsid w:val="003A11D1"/>
    <w:rsid w:val="003A13E3"/>
    <w:rsid w:val="003A1888"/>
    <w:rsid w:val="003A1BCE"/>
    <w:rsid w:val="003A1C37"/>
    <w:rsid w:val="003A1D84"/>
    <w:rsid w:val="003A1EBB"/>
    <w:rsid w:val="003A2278"/>
    <w:rsid w:val="003A22CE"/>
    <w:rsid w:val="003A2359"/>
    <w:rsid w:val="003A3091"/>
    <w:rsid w:val="003A310B"/>
    <w:rsid w:val="003A323D"/>
    <w:rsid w:val="003A3586"/>
    <w:rsid w:val="003A3598"/>
    <w:rsid w:val="003A36D3"/>
    <w:rsid w:val="003A37E0"/>
    <w:rsid w:val="003A3BEB"/>
    <w:rsid w:val="003A3DBF"/>
    <w:rsid w:val="003A3E95"/>
    <w:rsid w:val="003A41DA"/>
    <w:rsid w:val="003A4366"/>
    <w:rsid w:val="003A4372"/>
    <w:rsid w:val="003A47B0"/>
    <w:rsid w:val="003A49AB"/>
    <w:rsid w:val="003A4D2D"/>
    <w:rsid w:val="003A51AE"/>
    <w:rsid w:val="003A5344"/>
    <w:rsid w:val="003A5675"/>
    <w:rsid w:val="003A574B"/>
    <w:rsid w:val="003A58D0"/>
    <w:rsid w:val="003A68E6"/>
    <w:rsid w:val="003A710A"/>
    <w:rsid w:val="003A738D"/>
    <w:rsid w:val="003A7C8D"/>
    <w:rsid w:val="003B049D"/>
    <w:rsid w:val="003B05D6"/>
    <w:rsid w:val="003B09EB"/>
    <w:rsid w:val="003B0DDC"/>
    <w:rsid w:val="003B0E15"/>
    <w:rsid w:val="003B1381"/>
    <w:rsid w:val="003B1B31"/>
    <w:rsid w:val="003B1DF9"/>
    <w:rsid w:val="003B23A9"/>
    <w:rsid w:val="003B2DCC"/>
    <w:rsid w:val="003B2FB1"/>
    <w:rsid w:val="003B3F00"/>
    <w:rsid w:val="003B4471"/>
    <w:rsid w:val="003B4D17"/>
    <w:rsid w:val="003B4DA3"/>
    <w:rsid w:val="003B5419"/>
    <w:rsid w:val="003B5462"/>
    <w:rsid w:val="003B5724"/>
    <w:rsid w:val="003B5B38"/>
    <w:rsid w:val="003B5E8B"/>
    <w:rsid w:val="003B67D2"/>
    <w:rsid w:val="003B6DF5"/>
    <w:rsid w:val="003B721A"/>
    <w:rsid w:val="003B7273"/>
    <w:rsid w:val="003B75C9"/>
    <w:rsid w:val="003B7E53"/>
    <w:rsid w:val="003C008C"/>
    <w:rsid w:val="003C0605"/>
    <w:rsid w:val="003C0652"/>
    <w:rsid w:val="003C0B96"/>
    <w:rsid w:val="003C176D"/>
    <w:rsid w:val="003C1A95"/>
    <w:rsid w:val="003C1AA5"/>
    <w:rsid w:val="003C1EB0"/>
    <w:rsid w:val="003C20DD"/>
    <w:rsid w:val="003C2401"/>
    <w:rsid w:val="003C24AD"/>
    <w:rsid w:val="003C251B"/>
    <w:rsid w:val="003C295A"/>
    <w:rsid w:val="003C2E66"/>
    <w:rsid w:val="003C2F15"/>
    <w:rsid w:val="003C2F7F"/>
    <w:rsid w:val="003C3555"/>
    <w:rsid w:val="003C3D24"/>
    <w:rsid w:val="003C3F09"/>
    <w:rsid w:val="003C5C43"/>
    <w:rsid w:val="003C65C1"/>
    <w:rsid w:val="003C69D4"/>
    <w:rsid w:val="003C6A82"/>
    <w:rsid w:val="003C6BEB"/>
    <w:rsid w:val="003C79C1"/>
    <w:rsid w:val="003C79F7"/>
    <w:rsid w:val="003C7C49"/>
    <w:rsid w:val="003C7E63"/>
    <w:rsid w:val="003D01A3"/>
    <w:rsid w:val="003D048E"/>
    <w:rsid w:val="003D060F"/>
    <w:rsid w:val="003D093C"/>
    <w:rsid w:val="003D0EBD"/>
    <w:rsid w:val="003D1860"/>
    <w:rsid w:val="003D205A"/>
    <w:rsid w:val="003D236A"/>
    <w:rsid w:val="003D2875"/>
    <w:rsid w:val="003D338C"/>
    <w:rsid w:val="003D3510"/>
    <w:rsid w:val="003D37F7"/>
    <w:rsid w:val="003D3E10"/>
    <w:rsid w:val="003D45A3"/>
    <w:rsid w:val="003D508E"/>
    <w:rsid w:val="003D5367"/>
    <w:rsid w:val="003D5875"/>
    <w:rsid w:val="003D58BC"/>
    <w:rsid w:val="003D5C1A"/>
    <w:rsid w:val="003D5D64"/>
    <w:rsid w:val="003D5F6C"/>
    <w:rsid w:val="003D5FB4"/>
    <w:rsid w:val="003D6606"/>
    <w:rsid w:val="003D692A"/>
    <w:rsid w:val="003D6A74"/>
    <w:rsid w:val="003D6FC9"/>
    <w:rsid w:val="003D7250"/>
    <w:rsid w:val="003D7458"/>
    <w:rsid w:val="003D7621"/>
    <w:rsid w:val="003D7997"/>
    <w:rsid w:val="003D7AA0"/>
    <w:rsid w:val="003E01FE"/>
    <w:rsid w:val="003E024D"/>
    <w:rsid w:val="003E0312"/>
    <w:rsid w:val="003E0C87"/>
    <w:rsid w:val="003E1169"/>
    <w:rsid w:val="003E1815"/>
    <w:rsid w:val="003E1A85"/>
    <w:rsid w:val="003E1BCF"/>
    <w:rsid w:val="003E1C61"/>
    <w:rsid w:val="003E21B8"/>
    <w:rsid w:val="003E320B"/>
    <w:rsid w:val="003E333D"/>
    <w:rsid w:val="003E454A"/>
    <w:rsid w:val="003E4694"/>
    <w:rsid w:val="003E4EB0"/>
    <w:rsid w:val="003E505B"/>
    <w:rsid w:val="003E5B5D"/>
    <w:rsid w:val="003E6156"/>
    <w:rsid w:val="003E6334"/>
    <w:rsid w:val="003E6860"/>
    <w:rsid w:val="003E7A8D"/>
    <w:rsid w:val="003F0054"/>
    <w:rsid w:val="003F0787"/>
    <w:rsid w:val="003F07EC"/>
    <w:rsid w:val="003F1763"/>
    <w:rsid w:val="003F17B1"/>
    <w:rsid w:val="003F259B"/>
    <w:rsid w:val="003F27B8"/>
    <w:rsid w:val="003F2B33"/>
    <w:rsid w:val="003F2CEE"/>
    <w:rsid w:val="003F2E34"/>
    <w:rsid w:val="003F494F"/>
    <w:rsid w:val="003F4ABD"/>
    <w:rsid w:val="003F4B72"/>
    <w:rsid w:val="003F4C9C"/>
    <w:rsid w:val="003F4DAA"/>
    <w:rsid w:val="003F4DDF"/>
    <w:rsid w:val="003F52DE"/>
    <w:rsid w:val="003F5407"/>
    <w:rsid w:val="003F552C"/>
    <w:rsid w:val="003F62EE"/>
    <w:rsid w:val="003F65E3"/>
    <w:rsid w:val="003F6C15"/>
    <w:rsid w:val="003F71E0"/>
    <w:rsid w:val="003F72E9"/>
    <w:rsid w:val="003F7371"/>
    <w:rsid w:val="003F73DD"/>
    <w:rsid w:val="003F79A7"/>
    <w:rsid w:val="00400163"/>
    <w:rsid w:val="004002DD"/>
    <w:rsid w:val="004005AC"/>
    <w:rsid w:val="00400972"/>
    <w:rsid w:val="00400D93"/>
    <w:rsid w:val="00401228"/>
    <w:rsid w:val="004012E3"/>
    <w:rsid w:val="004013DA"/>
    <w:rsid w:val="00401B80"/>
    <w:rsid w:val="00401CE8"/>
    <w:rsid w:val="0040256A"/>
    <w:rsid w:val="0040266F"/>
    <w:rsid w:val="0040283F"/>
    <w:rsid w:val="00402C1E"/>
    <w:rsid w:val="004030A2"/>
    <w:rsid w:val="00403F20"/>
    <w:rsid w:val="0040435C"/>
    <w:rsid w:val="00404567"/>
    <w:rsid w:val="0040492C"/>
    <w:rsid w:val="00404BEE"/>
    <w:rsid w:val="0040574E"/>
    <w:rsid w:val="004059E2"/>
    <w:rsid w:val="00405D90"/>
    <w:rsid w:val="004068E8"/>
    <w:rsid w:val="00406B67"/>
    <w:rsid w:val="00406E53"/>
    <w:rsid w:val="00406EF9"/>
    <w:rsid w:val="004072EE"/>
    <w:rsid w:val="0040778A"/>
    <w:rsid w:val="004101E8"/>
    <w:rsid w:val="004104AD"/>
    <w:rsid w:val="004108F7"/>
    <w:rsid w:val="00410C27"/>
    <w:rsid w:val="00410FF9"/>
    <w:rsid w:val="004111FF"/>
    <w:rsid w:val="0041124C"/>
    <w:rsid w:val="00411A39"/>
    <w:rsid w:val="00411B06"/>
    <w:rsid w:val="00412652"/>
    <w:rsid w:val="00412776"/>
    <w:rsid w:val="00412E43"/>
    <w:rsid w:val="00412F24"/>
    <w:rsid w:val="0041327C"/>
    <w:rsid w:val="0041332D"/>
    <w:rsid w:val="00413956"/>
    <w:rsid w:val="00413F72"/>
    <w:rsid w:val="004141A5"/>
    <w:rsid w:val="00414378"/>
    <w:rsid w:val="004147D5"/>
    <w:rsid w:val="00414FAE"/>
    <w:rsid w:val="00415382"/>
    <w:rsid w:val="00416419"/>
    <w:rsid w:val="004167C0"/>
    <w:rsid w:val="0041713F"/>
    <w:rsid w:val="00417B10"/>
    <w:rsid w:val="00417F41"/>
    <w:rsid w:val="00420039"/>
    <w:rsid w:val="004202CE"/>
    <w:rsid w:val="0042031F"/>
    <w:rsid w:val="0042051F"/>
    <w:rsid w:val="00421AA3"/>
    <w:rsid w:val="00421BE1"/>
    <w:rsid w:val="00421D2F"/>
    <w:rsid w:val="0042364E"/>
    <w:rsid w:val="004239D7"/>
    <w:rsid w:val="00424366"/>
    <w:rsid w:val="00424491"/>
    <w:rsid w:val="004245EE"/>
    <w:rsid w:val="00424725"/>
    <w:rsid w:val="004247E7"/>
    <w:rsid w:val="00424B8F"/>
    <w:rsid w:val="00424C0A"/>
    <w:rsid w:val="00424C40"/>
    <w:rsid w:val="00424CCF"/>
    <w:rsid w:val="00424E14"/>
    <w:rsid w:val="00425267"/>
    <w:rsid w:val="00425375"/>
    <w:rsid w:val="00425E3F"/>
    <w:rsid w:val="0042628E"/>
    <w:rsid w:val="004264E9"/>
    <w:rsid w:val="00426AB7"/>
    <w:rsid w:val="00426D8E"/>
    <w:rsid w:val="0042726A"/>
    <w:rsid w:val="00427547"/>
    <w:rsid w:val="00427852"/>
    <w:rsid w:val="00427E25"/>
    <w:rsid w:val="00427F47"/>
    <w:rsid w:val="004300C1"/>
    <w:rsid w:val="004304A5"/>
    <w:rsid w:val="00430E47"/>
    <w:rsid w:val="00431201"/>
    <w:rsid w:val="0043152E"/>
    <w:rsid w:val="00431D28"/>
    <w:rsid w:val="0043267D"/>
    <w:rsid w:val="00433066"/>
    <w:rsid w:val="0043332D"/>
    <w:rsid w:val="004336B3"/>
    <w:rsid w:val="00433B0A"/>
    <w:rsid w:val="00433D60"/>
    <w:rsid w:val="00434016"/>
    <w:rsid w:val="0043414E"/>
    <w:rsid w:val="004350ED"/>
    <w:rsid w:val="00435BC7"/>
    <w:rsid w:val="004368CA"/>
    <w:rsid w:val="00436CA4"/>
    <w:rsid w:val="00436DB0"/>
    <w:rsid w:val="00436F3C"/>
    <w:rsid w:val="00437364"/>
    <w:rsid w:val="004378C1"/>
    <w:rsid w:val="00437A47"/>
    <w:rsid w:val="00437D2E"/>
    <w:rsid w:val="004400F9"/>
    <w:rsid w:val="00440189"/>
    <w:rsid w:val="00440364"/>
    <w:rsid w:val="00440B90"/>
    <w:rsid w:val="004417B3"/>
    <w:rsid w:val="00441BFB"/>
    <w:rsid w:val="00442362"/>
    <w:rsid w:val="0044240C"/>
    <w:rsid w:val="0044271E"/>
    <w:rsid w:val="00442A9D"/>
    <w:rsid w:val="004433BB"/>
    <w:rsid w:val="004435A0"/>
    <w:rsid w:val="00443CC3"/>
    <w:rsid w:val="004445EA"/>
    <w:rsid w:val="00444675"/>
    <w:rsid w:val="004447C0"/>
    <w:rsid w:val="00444C23"/>
    <w:rsid w:val="0044505F"/>
    <w:rsid w:val="00445065"/>
    <w:rsid w:val="0044557B"/>
    <w:rsid w:val="0044584C"/>
    <w:rsid w:val="0044599C"/>
    <w:rsid w:val="00445A8C"/>
    <w:rsid w:val="004466CF"/>
    <w:rsid w:val="004469EE"/>
    <w:rsid w:val="00446B78"/>
    <w:rsid w:val="00446F7B"/>
    <w:rsid w:val="004474DC"/>
    <w:rsid w:val="0044757C"/>
    <w:rsid w:val="00447C6E"/>
    <w:rsid w:val="00447E0B"/>
    <w:rsid w:val="004509B6"/>
    <w:rsid w:val="00450A6E"/>
    <w:rsid w:val="00450D0C"/>
    <w:rsid w:val="0045115B"/>
    <w:rsid w:val="004518A2"/>
    <w:rsid w:val="0045193D"/>
    <w:rsid w:val="00451E3C"/>
    <w:rsid w:val="0045200A"/>
    <w:rsid w:val="00452331"/>
    <w:rsid w:val="00452B45"/>
    <w:rsid w:val="00452EEE"/>
    <w:rsid w:val="00452FB7"/>
    <w:rsid w:val="004532B6"/>
    <w:rsid w:val="004537E9"/>
    <w:rsid w:val="004538DB"/>
    <w:rsid w:val="00453E1C"/>
    <w:rsid w:val="00453EF0"/>
    <w:rsid w:val="00454250"/>
    <w:rsid w:val="0045455D"/>
    <w:rsid w:val="00454653"/>
    <w:rsid w:val="004553F7"/>
    <w:rsid w:val="00455D07"/>
    <w:rsid w:val="00455D9A"/>
    <w:rsid w:val="00455EC4"/>
    <w:rsid w:val="004563D7"/>
    <w:rsid w:val="00456429"/>
    <w:rsid w:val="004565D2"/>
    <w:rsid w:val="00456E33"/>
    <w:rsid w:val="00456EAF"/>
    <w:rsid w:val="00456FAA"/>
    <w:rsid w:val="004574B3"/>
    <w:rsid w:val="00457C65"/>
    <w:rsid w:val="00457C71"/>
    <w:rsid w:val="004607AA"/>
    <w:rsid w:val="00460AA5"/>
    <w:rsid w:val="004613E0"/>
    <w:rsid w:val="00461675"/>
    <w:rsid w:val="00461B59"/>
    <w:rsid w:val="00461D61"/>
    <w:rsid w:val="00461D87"/>
    <w:rsid w:val="00461EB8"/>
    <w:rsid w:val="00462CDC"/>
    <w:rsid w:val="0046304E"/>
    <w:rsid w:val="0046392E"/>
    <w:rsid w:val="00464418"/>
    <w:rsid w:val="0046446E"/>
    <w:rsid w:val="00464A60"/>
    <w:rsid w:val="00464B7A"/>
    <w:rsid w:val="00464EDB"/>
    <w:rsid w:val="004651D3"/>
    <w:rsid w:val="004668B0"/>
    <w:rsid w:val="00466C30"/>
    <w:rsid w:val="00466CBC"/>
    <w:rsid w:val="00467ABF"/>
    <w:rsid w:val="00467D22"/>
    <w:rsid w:val="00467F82"/>
    <w:rsid w:val="00470547"/>
    <w:rsid w:val="004707B1"/>
    <w:rsid w:val="004716AB"/>
    <w:rsid w:val="00471BE1"/>
    <w:rsid w:val="00471FDD"/>
    <w:rsid w:val="004727F2"/>
    <w:rsid w:val="00472D7B"/>
    <w:rsid w:val="00472EBA"/>
    <w:rsid w:val="00473484"/>
    <w:rsid w:val="0047348A"/>
    <w:rsid w:val="00473A11"/>
    <w:rsid w:val="00473BC1"/>
    <w:rsid w:val="00473BFA"/>
    <w:rsid w:val="00473CE6"/>
    <w:rsid w:val="00473DF0"/>
    <w:rsid w:val="00473E94"/>
    <w:rsid w:val="00474512"/>
    <w:rsid w:val="004746CF"/>
    <w:rsid w:val="00474DFF"/>
    <w:rsid w:val="00474F23"/>
    <w:rsid w:val="00475490"/>
    <w:rsid w:val="0047551E"/>
    <w:rsid w:val="004755E3"/>
    <w:rsid w:val="00475DA4"/>
    <w:rsid w:val="004765DD"/>
    <w:rsid w:val="00476947"/>
    <w:rsid w:val="00476D20"/>
    <w:rsid w:val="00476EBB"/>
    <w:rsid w:val="004770DD"/>
    <w:rsid w:val="00477258"/>
    <w:rsid w:val="00477296"/>
    <w:rsid w:val="00477794"/>
    <w:rsid w:val="00477B9D"/>
    <w:rsid w:val="00477E5B"/>
    <w:rsid w:val="004800BF"/>
    <w:rsid w:val="004808D7"/>
    <w:rsid w:val="00480901"/>
    <w:rsid w:val="00480D7B"/>
    <w:rsid w:val="0048144D"/>
    <w:rsid w:val="004819A4"/>
    <w:rsid w:val="00481AF1"/>
    <w:rsid w:val="00481C93"/>
    <w:rsid w:val="00481DC4"/>
    <w:rsid w:val="00482274"/>
    <w:rsid w:val="0048237D"/>
    <w:rsid w:val="004825B8"/>
    <w:rsid w:val="0048294E"/>
    <w:rsid w:val="004829BE"/>
    <w:rsid w:val="00482B9B"/>
    <w:rsid w:val="00482D81"/>
    <w:rsid w:val="004833D5"/>
    <w:rsid w:val="004838D9"/>
    <w:rsid w:val="00484055"/>
    <w:rsid w:val="0048428E"/>
    <w:rsid w:val="004846C1"/>
    <w:rsid w:val="0048507B"/>
    <w:rsid w:val="004853CA"/>
    <w:rsid w:val="004855F6"/>
    <w:rsid w:val="0048565D"/>
    <w:rsid w:val="00485C84"/>
    <w:rsid w:val="00486092"/>
    <w:rsid w:val="004865CE"/>
    <w:rsid w:val="00486685"/>
    <w:rsid w:val="00487D05"/>
    <w:rsid w:val="00490465"/>
    <w:rsid w:val="00490646"/>
    <w:rsid w:val="00490B50"/>
    <w:rsid w:val="00490C8F"/>
    <w:rsid w:val="0049151E"/>
    <w:rsid w:val="00491CEE"/>
    <w:rsid w:val="00491D5A"/>
    <w:rsid w:val="00491F23"/>
    <w:rsid w:val="004933AE"/>
    <w:rsid w:val="004935A1"/>
    <w:rsid w:val="00493B57"/>
    <w:rsid w:val="00493DD9"/>
    <w:rsid w:val="0049446F"/>
    <w:rsid w:val="00494968"/>
    <w:rsid w:val="00494C0D"/>
    <w:rsid w:val="00494C99"/>
    <w:rsid w:val="0049530E"/>
    <w:rsid w:val="00495CE3"/>
    <w:rsid w:val="00495ECB"/>
    <w:rsid w:val="0049608E"/>
    <w:rsid w:val="004962C4"/>
    <w:rsid w:val="004966A3"/>
    <w:rsid w:val="00496983"/>
    <w:rsid w:val="00496C4E"/>
    <w:rsid w:val="004974C1"/>
    <w:rsid w:val="0049786B"/>
    <w:rsid w:val="004979C2"/>
    <w:rsid w:val="00497A6A"/>
    <w:rsid w:val="004A0948"/>
    <w:rsid w:val="004A0E06"/>
    <w:rsid w:val="004A127A"/>
    <w:rsid w:val="004A1430"/>
    <w:rsid w:val="004A15B9"/>
    <w:rsid w:val="004A1E21"/>
    <w:rsid w:val="004A2195"/>
    <w:rsid w:val="004A2D31"/>
    <w:rsid w:val="004A3382"/>
    <w:rsid w:val="004A33AA"/>
    <w:rsid w:val="004A3F57"/>
    <w:rsid w:val="004A4CB1"/>
    <w:rsid w:val="004A4F57"/>
    <w:rsid w:val="004A54DC"/>
    <w:rsid w:val="004A5972"/>
    <w:rsid w:val="004A5BD6"/>
    <w:rsid w:val="004A5D74"/>
    <w:rsid w:val="004A5F85"/>
    <w:rsid w:val="004A668B"/>
    <w:rsid w:val="004A6703"/>
    <w:rsid w:val="004A728F"/>
    <w:rsid w:val="004A7473"/>
    <w:rsid w:val="004A77B8"/>
    <w:rsid w:val="004A7923"/>
    <w:rsid w:val="004A7B0C"/>
    <w:rsid w:val="004A7F73"/>
    <w:rsid w:val="004B039A"/>
    <w:rsid w:val="004B0563"/>
    <w:rsid w:val="004B0687"/>
    <w:rsid w:val="004B06B7"/>
    <w:rsid w:val="004B07FC"/>
    <w:rsid w:val="004B086C"/>
    <w:rsid w:val="004B0CE0"/>
    <w:rsid w:val="004B0D74"/>
    <w:rsid w:val="004B102C"/>
    <w:rsid w:val="004B1238"/>
    <w:rsid w:val="004B1968"/>
    <w:rsid w:val="004B1C53"/>
    <w:rsid w:val="004B2457"/>
    <w:rsid w:val="004B29B6"/>
    <w:rsid w:val="004B2A5C"/>
    <w:rsid w:val="004B2B71"/>
    <w:rsid w:val="004B2E08"/>
    <w:rsid w:val="004B32CF"/>
    <w:rsid w:val="004B3C0B"/>
    <w:rsid w:val="004B3C5A"/>
    <w:rsid w:val="004B46C4"/>
    <w:rsid w:val="004B4A77"/>
    <w:rsid w:val="004B4D63"/>
    <w:rsid w:val="004B5B43"/>
    <w:rsid w:val="004B65BB"/>
    <w:rsid w:val="004B713D"/>
    <w:rsid w:val="004B7637"/>
    <w:rsid w:val="004B78F5"/>
    <w:rsid w:val="004C00E5"/>
    <w:rsid w:val="004C088A"/>
    <w:rsid w:val="004C0C5D"/>
    <w:rsid w:val="004C0D20"/>
    <w:rsid w:val="004C0DC9"/>
    <w:rsid w:val="004C1740"/>
    <w:rsid w:val="004C1CEF"/>
    <w:rsid w:val="004C1F8A"/>
    <w:rsid w:val="004C249E"/>
    <w:rsid w:val="004C25F0"/>
    <w:rsid w:val="004C2663"/>
    <w:rsid w:val="004C2990"/>
    <w:rsid w:val="004C2A53"/>
    <w:rsid w:val="004C2D70"/>
    <w:rsid w:val="004C2E4A"/>
    <w:rsid w:val="004C2FA0"/>
    <w:rsid w:val="004C311C"/>
    <w:rsid w:val="004C3B92"/>
    <w:rsid w:val="004C419C"/>
    <w:rsid w:val="004C4BD5"/>
    <w:rsid w:val="004C52D0"/>
    <w:rsid w:val="004C5395"/>
    <w:rsid w:val="004C5595"/>
    <w:rsid w:val="004C5852"/>
    <w:rsid w:val="004C5C51"/>
    <w:rsid w:val="004C65BA"/>
    <w:rsid w:val="004C682A"/>
    <w:rsid w:val="004C692A"/>
    <w:rsid w:val="004C6C3D"/>
    <w:rsid w:val="004C6C86"/>
    <w:rsid w:val="004C6E5B"/>
    <w:rsid w:val="004C703C"/>
    <w:rsid w:val="004C7374"/>
    <w:rsid w:val="004C73E4"/>
    <w:rsid w:val="004C7683"/>
    <w:rsid w:val="004C7C17"/>
    <w:rsid w:val="004C7E46"/>
    <w:rsid w:val="004C7E69"/>
    <w:rsid w:val="004C7F26"/>
    <w:rsid w:val="004D022A"/>
    <w:rsid w:val="004D0507"/>
    <w:rsid w:val="004D065A"/>
    <w:rsid w:val="004D0724"/>
    <w:rsid w:val="004D0A70"/>
    <w:rsid w:val="004D0B20"/>
    <w:rsid w:val="004D0EBA"/>
    <w:rsid w:val="004D10D2"/>
    <w:rsid w:val="004D10F2"/>
    <w:rsid w:val="004D1554"/>
    <w:rsid w:val="004D1707"/>
    <w:rsid w:val="004D1DA2"/>
    <w:rsid w:val="004D1FC2"/>
    <w:rsid w:val="004D2067"/>
    <w:rsid w:val="004D327F"/>
    <w:rsid w:val="004D3735"/>
    <w:rsid w:val="004D3E5E"/>
    <w:rsid w:val="004D3FFD"/>
    <w:rsid w:val="004D49C6"/>
    <w:rsid w:val="004D4DE4"/>
    <w:rsid w:val="004D541A"/>
    <w:rsid w:val="004D5486"/>
    <w:rsid w:val="004D5A98"/>
    <w:rsid w:val="004D68A8"/>
    <w:rsid w:val="004D758E"/>
    <w:rsid w:val="004D77F6"/>
    <w:rsid w:val="004D78AA"/>
    <w:rsid w:val="004D7A25"/>
    <w:rsid w:val="004E00F8"/>
    <w:rsid w:val="004E0401"/>
    <w:rsid w:val="004E0974"/>
    <w:rsid w:val="004E0D65"/>
    <w:rsid w:val="004E0D86"/>
    <w:rsid w:val="004E147A"/>
    <w:rsid w:val="004E14C8"/>
    <w:rsid w:val="004E174E"/>
    <w:rsid w:val="004E1EB6"/>
    <w:rsid w:val="004E3446"/>
    <w:rsid w:val="004E430E"/>
    <w:rsid w:val="004E4AAF"/>
    <w:rsid w:val="004E4E8B"/>
    <w:rsid w:val="004E4EC4"/>
    <w:rsid w:val="004E51AF"/>
    <w:rsid w:val="004E5707"/>
    <w:rsid w:val="004E5898"/>
    <w:rsid w:val="004E5A4B"/>
    <w:rsid w:val="004E5BA0"/>
    <w:rsid w:val="004E5DA2"/>
    <w:rsid w:val="004E61F3"/>
    <w:rsid w:val="004E64F3"/>
    <w:rsid w:val="004E6D15"/>
    <w:rsid w:val="004E6D44"/>
    <w:rsid w:val="004E791E"/>
    <w:rsid w:val="004E7F81"/>
    <w:rsid w:val="004E7FDF"/>
    <w:rsid w:val="004F000F"/>
    <w:rsid w:val="004F0097"/>
    <w:rsid w:val="004F02FA"/>
    <w:rsid w:val="004F03D9"/>
    <w:rsid w:val="004F1554"/>
    <w:rsid w:val="004F1687"/>
    <w:rsid w:val="004F17CD"/>
    <w:rsid w:val="004F18E9"/>
    <w:rsid w:val="004F1D53"/>
    <w:rsid w:val="004F2070"/>
    <w:rsid w:val="004F27C1"/>
    <w:rsid w:val="004F2E3F"/>
    <w:rsid w:val="004F37DB"/>
    <w:rsid w:val="004F3844"/>
    <w:rsid w:val="004F440D"/>
    <w:rsid w:val="004F4B4F"/>
    <w:rsid w:val="004F4C20"/>
    <w:rsid w:val="004F52BA"/>
    <w:rsid w:val="004F56D4"/>
    <w:rsid w:val="004F66A8"/>
    <w:rsid w:val="004F70E7"/>
    <w:rsid w:val="004F713F"/>
    <w:rsid w:val="004F72BB"/>
    <w:rsid w:val="004F75CA"/>
    <w:rsid w:val="004F769F"/>
    <w:rsid w:val="004F78F2"/>
    <w:rsid w:val="004F79C2"/>
    <w:rsid w:val="004F7A47"/>
    <w:rsid w:val="004F7BC4"/>
    <w:rsid w:val="004F7D85"/>
    <w:rsid w:val="004F7E55"/>
    <w:rsid w:val="00500CFA"/>
    <w:rsid w:val="0050131D"/>
    <w:rsid w:val="005017D7"/>
    <w:rsid w:val="00502254"/>
    <w:rsid w:val="0050227E"/>
    <w:rsid w:val="00502821"/>
    <w:rsid w:val="00502889"/>
    <w:rsid w:val="00502A89"/>
    <w:rsid w:val="005032C7"/>
    <w:rsid w:val="005034BB"/>
    <w:rsid w:val="00503675"/>
    <w:rsid w:val="00503867"/>
    <w:rsid w:val="00503A58"/>
    <w:rsid w:val="00503B49"/>
    <w:rsid w:val="00504229"/>
    <w:rsid w:val="0050442F"/>
    <w:rsid w:val="005049B1"/>
    <w:rsid w:val="00504DAB"/>
    <w:rsid w:val="005053BE"/>
    <w:rsid w:val="0050553C"/>
    <w:rsid w:val="00505B2B"/>
    <w:rsid w:val="00505E42"/>
    <w:rsid w:val="0050641C"/>
    <w:rsid w:val="00506788"/>
    <w:rsid w:val="00506DF1"/>
    <w:rsid w:val="00510260"/>
    <w:rsid w:val="0051043E"/>
    <w:rsid w:val="00510466"/>
    <w:rsid w:val="005105F4"/>
    <w:rsid w:val="00510989"/>
    <w:rsid w:val="00510999"/>
    <w:rsid w:val="00510E15"/>
    <w:rsid w:val="0051110F"/>
    <w:rsid w:val="0051189B"/>
    <w:rsid w:val="0051198F"/>
    <w:rsid w:val="00512139"/>
    <w:rsid w:val="00512372"/>
    <w:rsid w:val="0051325E"/>
    <w:rsid w:val="005137CA"/>
    <w:rsid w:val="00513D09"/>
    <w:rsid w:val="005148D4"/>
    <w:rsid w:val="00514AB3"/>
    <w:rsid w:val="00514E9A"/>
    <w:rsid w:val="005151AA"/>
    <w:rsid w:val="005151BD"/>
    <w:rsid w:val="00515BFB"/>
    <w:rsid w:val="00515E24"/>
    <w:rsid w:val="00516558"/>
    <w:rsid w:val="005168D8"/>
    <w:rsid w:val="00516A51"/>
    <w:rsid w:val="00516B27"/>
    <w:rsid w:val="00516C5E"/>
    <w:rsid w:val="00516C9C"/>
    <w:rsid w:val="00517A3F"/>
    <w:rsid w:val="00517D54"/>
    <w:rsid w:val="00520A8A"/>
    <w:rsid w:val="005210E9"/>
    <w:rsid w:val="005211DE"/>
    <w:rsid w:val="0052135C"/>
    <w:rsid w:val="00521EC8"/>
    <w:rsid w:val="00521F30"/>
    <w:rsid w:val="005226DB"/>
    <w:rsid w:val="00522B6E"/>
    <w:rsid w:val="00522BF9"/>
    <w:rsid w:val="00522D32"/>
    <w:rsid w:val="00523251"/>
    <w:rsid w:val="005233CB"/>
    <w:rsid w:val="005236EB"/>
    <w:rsid w:val="00523C4F"/>
    <w:rsid w:val="00523FF3"/>
    <w:rsid w:val="00524215"/>
    <w:rsid w:val="00524BD8"/>
    <w:rsid w:val="005255EF"/>
    <w:rsid w:val="00525759"/>
    <w:rsid w:val="00525B9E"/>
    <w:rsid w:val="00527031"/>
    <w:rsid w:val="005276E1"/>
    <w:rsid w:val="00527C94"/>
    <w:rsid w:val="005300AD"/>
    <w:rsid w:val="0053040E"/>
    <w:rsid w:val="00530793"/>
    <w:rsid w:val="00531106"/>
    <w:rsid w:val="00531305"/>
    <w:rsid w:val="005315C1"/>
    <w:rsid w:val="005318D7"/>
    <w:rsid w:val="00531BA4"/>
    <w:rsid w:val="00531F49"/>
    <w:rsid w:val="0053225C"/>
    <w:rsid w:val="00532631"/>
    <w:rsid w:val="00532F44"/>
    <w:rsid w:val="0053333F"/>
    <w:rsid w:val="005333F0"/>
    <w:rsid w:val="0053385E"/>
    <w:rsid w:val="00533DAA"/>
    <w:rsid w:val="00534106"/>
    <w:rsid w:val="00534870"/>
    <w:rsid w:val="00534878"/>
    <w:rsid w:val="00534A2D"/>
    <w:rsid w:val="00535542"/>
    <w:rsid w:val="00535606"/>
    <w:rsid w:val="00535675"/>
    <w:rsid w:val="005356ED"/>
    <w:rsid w:val="0053570B"/>
    <w:rsid w:val="00535A2E"/>
    <w:rsid w:val="005362D8"/>
    <w:rsid w:val="00536308"/>
    <w:rsid w:val="0053636D"/>
    <w:rsid w:val="0053664A"/>
    <w:rsid w:val="0053679B"/>
    <w:rsid w:val="00536806"/>
    <w:rsid w:val="0053715C"/>
    <w:rsid w:val="0053761F"/>
    <w:rsid w:val="00537A35"/>
    <w:rsid w:val="00537C15"/>
    <w:rsid w:val="00537F36"/>
    <w:rsid w:val="00540A33"/>
    <w:rsid w:val="00540B47"/>
    <w:rsid w:val="00540E2C"/>
    <w:rsid w:val="00540E47"/>
    <w:rsid w:val="005418F7"/>
    <w:rsid w:val="00541938"/>
    <w:rsid w:val="00541977"/>
    <w:rsid w:val="00541F2E"/>
    <w:rsid w:val="0054231C"/>
    <w:rsid w:val="005427C7"/>
    <w:rsid w:val="00542910"/>
    <w:rsid w:val="00542C2F"/>
    <w:rsid w:val="005437C2"/>
    <w:rsid w:val="00544496"/>
    <w:rsid w:val="00544B67"/>
    <w:rsid w:val="00544DA4"/>
    <w:rsid w:val="005450AC"/>
    <w:rsid w:val="005459D6"/>
    <w:rsid w:val="00545B6E"/>
    <w:rsid w:val="00545D1A"/>
    <w:rsid w:val="00545DF0"/>
    <w:rsid w:val="00545E99"/>
    <w:rsid w:val="005460F7"/>
    <w:rsid w:val="005461D3"/>
    <w:rsid w:val="00546209"/>
    <w:rsid w:val="005462F2"/>
    <w:rsid w:val="0054651F"/>
    <w:rsid w:val="00546848"/>
    <w:rsid w:val="005476B3"/>
    <w:rsid w:val="00547C72"/>
    <w:rsid w:val="00550652"/>
    <w:rsid w:val="005506DD"/>
    <w:rsid w:val="00550ED2"/>
    <w:rsid w:val="00551046"/>
    <w:rsid w:val="005513D8"/>
    <w:rsid w:val="00551AE3"/>
    <w:rsid w:val="00552305"/>
    <w:rsid w:val="0055284D"/>
    <w:rsid w:val="005540CA"/>
    <w:rsid w:val="00554204"/>
    <w:rsid w:val="0055437E"/>
    <w:rsid w:val="005545E5"/>
    <w:rsid w:val="00554CF8"/>
    <w:rsid w:val="00555100"/>
    <w:rsid w:val="00555508"/>
    <w:rsid w:val="005556F4"/>
    <w:rsid w:val="00555877"/>
    <w:rsid w:val="00555F2F"/>
    <w:rsid w:val="005566A6"/>
    <w:rsid w:val="005569AB"/>
    <w:rsid w:val="00556FA6"/>
    <w:rsid w:val="0055723D"/>
    <w:rsid w:val="005576A0"/>
    <w:rsid w:val="0055795C"/>
    <w:rsid w:val="00557D39"/>
    <w:rsid w:val="00560043"/>
    <w:rsid w:val="0056033C"/>
    <w:rsid w:val="0056033F"/>
    <w:rsid w:val="00560474"/>
    <w:rsid w:val="00560A15"/>
    <w:rsid w:val="00560D9E"/>
    <w:rsid w:val="0056176F"/>
    <w:rsid w:val="00561B8B"/>
    <w:rsid w:val="00562285"/>
    <w:rsid w:val="005629F4"/>
    <w:rsid w:val="00562C56"/>
    <w:rsid w:val="00562DED"/>
    <w:rsid w:val="00562EEF"/>
    <w:rsid w:val="00563119"/>
    <w:rsid w:val="00563B2F"/>
    <w:rsid w:val="00563C6D"/>
    <w:rsid w:val="00563CD8"/>
    <w:rsid w:val="00563CE1"/>
    <w:rsid w:val="0056423D"/>
    <w:rsid w:val="00564390"/>
    <w:rsid w:val="00564C9D"/>
    <w:rsid w:val="00564F22"/>
    <w:rsid w:val="005653CA"/>
    <w:rsid w:val="005654E1"/>
    <w:rsid w:val="00565C23"/>
    <w:rsid w:val="00565E07"/>
    <w:rsid w:val="00565FAD"/>
    <w:rsid w:val="00565FB4"/>
    <w:rsid w:val="0056630F"/>
    <w:rsid w:val="00566909"/>
    <w:rsid w:val="00566C3E"/>
    <w:rsid w:val="005672B5"/>
    <w:rsid w:val="005677FD"/>
    <w:rsid w:val="0056793D"/>
    <w:rsid w:val="0057040A"/>
    <w:rsid w:val="00571622"/>
    <w:rsid w:val="0057162B"/>
    <w:rsid w:val="005716EB"/>
    <w:rsid w:val="00571AAF"/>
    <w:rsid w:val="00571DBD"/>
    <w:rsid w:val="00571EC2"/>
    <w:rsid w:val="00571FB6"/>
    <w:rsid w:val="0057217F"/>
    <w:rsid w:val="00572789"/>
    <w:rsid w:val="00572D0B"/>
    <w:rsid w:val="00572D85"/>
    <w:rsid w:val="00572F05"/>
    <w:rsid w:val="00572F6C"/>
    <w:rsid w:val="0057318A"/>
    <w:rsid w:val="0057327D"/>
    <w:rsid w:val="005738DD"/>
    <w:rsid w:val="0057444E"/>
    <w:rsid w:val="005749C4"/>
    <w:rsid w:val="00574BE5"/>
    <w:rsid w:val="00574F2A"/>
    <w:rsid w:val="00574FE5"/>
    <w:rsid w:val="0057551A"/>
    <w:rsid w:val="00575E85"/>
    <w:rsid w:val="00575E99"/>
    <w:rsid w:val="005760DE"/>
    <w:rsid w:val="005763EC"/>
    <w:rsid w:val="00576C61"/>
    <w:rsid w:val="00577379"/>
    <w:rsid w:val="005773A8"/>
    <w:rsid w:val="0057781D"/>
    <w:rsid w:val="00577FCC"/>
    <w:rsid w:val="00580254"/>
    <w:rsid w:val="0058088C"/>
    <w:rsid w:val="00580AAC"/>
    <w:rsid w:val="00580BE4"/>
    <w:rsid w:val="005815EB"/>
    <w:rsid w:val="005818F3"/>
    <w:rsid w:val="005819E0"/>
    <w:rsid w:val="00581F06"/>
    <w:rsid w:val="00581F49"/>
    <w:rsid w:val="0058281E"/>
    <w:rsid w:val="00582883"/>
    <w:rsid w:val="0058296E"/>
    <w:rsid w:val="00582B30"/>
    <w:rsid w:val="005838BE"/>
    <w:rsid w:val="00583EFC"/>
    <w:rsid w:val="005843D6"/>
    <w:rsid w:val="005846E4"/>
    <w:rsid w:val="005846FD"/>
    <w:rsid w:val="005849A1"/>
    <w:rsid w:val="00584AFA"/>
    <w:rsid w:val="005852CB"/>
    <w:rsid w:val="00585550"/>
    <w:rsid w:val="00586183"/>
    <w:rsid w:val="005863CF"/>
    <w:rsid w:val="00587340"/>
    <w:rsid w:val="005874FF"/>
    <w:rsid w:val="00587B89"/>
    <w:rsid w:val="00587C4B"/>
    <w:rsid w:val="00587C50"/>
    <w:rsid w:val="00587C61"/>
    <w:rsid w:val="005900B1"/>
    <w:rsid w:val="00590605"/>
    <w:rsid w:val="00590654"/>
    <w:rsid w:val="00590A07"/>
    <w:rsid w:val="00590A17"/>
    <w:rsid w:val="00590AA7"/>
    <w:rsid w:val="00590FC0"/>
    <w:rsid w:val="00591250"/>
    <w:rsid w:val="0059140C"/>
    <w:rsid w:val="00591A2C"/>
    <w:rsid w:val="00591B5D"/>
    <w:rsid w:val="00592175"/>
    <w:rsid w:val="005926B2"/>
    <w:rsid w:val="005927BF"/>
    <w:rsid w:val="0059317F"/>
    <w:rsid w:val="00593490"/>
    <w:rsid w:val="0059400F"/>
    <w:rsid w:val="005947EF"/>
    <w:rsid w:val="005948C4"/>
    <w:rsid w:val="00594A08"/>
    <w:rsid w:val="00594A4B"/>
    <w:rsid w:val="00594F4A"/>
    <w:rsid w:val="00594FD1"/>
    <w:rsid w:val="005953E0"/>
    <w:rsid w:val="00595776"/>
    <w:rsid w:val="00595F06"/>
    <w:rsid w:val="00596038"/>
    <w:rsid w:val="00596125"/>
    <w:rsid w:val="00596375"/>
    <w:rsid w:val="00596A9F"/>
    <w:rsid w:val="00596B4D"/>
    <w:rsid w:val="00596DB0"/>
    <w:rsid w:val="00596DC5"/>
    <w:rsid w:val="00596E04"/>
    <w:rsid w:val="00597502"/>
    <w:rsid w:val="00597555"/>
    <w:rsid w:val="005975D2"/>
    <w:rsid w:val="00597989"/>
    <w:rsid w:val="00597B32"/>
    <w:rsid w:val="005A06B4"/>
    <w:rsid w:val="005A0940"/>
    <w:rsid w:val="005A0A03"/>
    <w:rsid w:val="005A0B3E"/>
    <w:rsid w:val="005A0CD1"/>
    <w:rsid w:val="005A0E99"/>
    <w:rsid w:val="005A1476"/>
    <w:rsid w:val="005A17AA"/>
    <w:rsid w:val="005A17FA"/>
    <w:rsid w:val="005A1969"/>
    <w:rsid w:val="005A1AA6"/>
    <w:rsid w:val="005A1D2C"/>
    <w:rsid w:val="005A30FE"/>
    <w:rsid w:val="005A31D9"/>
    <w:rsid w:val="005A3421"/>
    <w:rsid w:val="005A358E"/>
    <w:rsid w:val="005A3A60"/>
    <w:rsid w:val="005A4276"/>
    <w:rsid w:val="005A4BB1"/>
    <w:rsid w:val="005A501C"/>
    <w:rsid w:val="005A52DB"/>
    <w:rsid w:val="005A59A1"/>
    <w:rsid w:val="005A5DD9"/>
    <w:rsid w:val="005A6223"/>
    <w:rsid w:val="005A623C"/>
    <w:rsid w:val="005A6613"/>
    <w:rsid w:val="005A6F0D"/>
    <w:rsid w:val="005A6F5E"/>
    <w:rsid w:val="005A7679"/>
    <w:rsid w:val="005A7764"/>
    <w:rsid w:val="005A7999"/>
    <w:rsid w:val="005A7BD1"/>
    <w:rsid w:val="005A7E27"/>
    <w:rsid w:val="005A7F90"/>
    <w:rsid w:val="005B0199"/>
    <w:rsid w:val="005B0315"/>
    <w:rsid w:val="005B067B"/>
    <w:rsid w:val="005B07FA"/>
    <w:rsid w:val="005B0890"/>
    <w:rsid w:val="005B097F"/>
    <w:rsid w:val="005B18E7"/>
    <w:rsid w:val="005B1943"/>
    <w:rsid w:val="005B24E3"/>
    <w:rsid w:val="005B2624"/>
    <w:rsid w:val="005B29F2"/>
    <w:rsid w:val="005B2B72"/>
    <w:rsid w:val="005B2B79"/>
    <w:rsid w:val="005B3638"/>
    <w:rsid w:val="005B38DB"/>
    <w:rsid w:val="005B3A88"/>
    <w:rsid w:val="005B3DDC"/>
    <w:rsid w:val="005B42EE"/>
    <w:rsid w:val="005B4E4B"/>
    <w:rsid w:val="005B5098"/>
    <w:rsid w:val="005B56C2"/>
    <w:rsid w:val="005B5830"/>
    <w:rsid w:val="005B586F"/>
    <w:rsid w:val="005B6174"/>
    <w:rsid w:val="005B6411"/>
    <w:rsid w:val="005B6752"/>
    <w:rsid w:val="005B6802"/>
    <w:rsid w:val="005B7140"/>
    <w:rsid w:val="005B7178"/>
    <w:rsid w:val="005B756D"/>
    <w:rsid w:val="005B7644"/>
    <w:rsid w:val="005C0241"/>
    <w:rsid w:val="005C040D"/>
    <w:rsid w:val="005C0E2E"/>
    <w:rsid w:val="005C1752"/>
    <w:rsid w:val="005C23CC"/>
    <w:rsid w:val="005C2AFB"/>
    <w:rsid w:val="005C314F"/>
    <w:rsid w:val="005C331E"/>
    <w:rsid w:val="005C340C"/>
    <w:rsid w:val="005C3525"/>
    <w:rsid w:val="005C3578"/>
    <w:rsid w:val="005C35E4"/>
    <w:rsid w:val="005C3AD5"/>
    <w:rsid w:val="005C3B90"/>
    <w:rsid w:val="005C3DF7"/>
    <w:rsid w:val="005C40E4"/>
    <w:rsid w:val="005C4173"/>
    <w:rsid w:val="005C444A"/>
    <w:rsid w:val="005C4BCA"/>
    <w:rsid w:val="005C4CCD"/>
    <w:rsid w:val="005C4E68"/>
    <w:rsid w:val="005C4FB4"/>
    <w:rsid w:val="005C51CC"/>
    <w:rsid w:val="005C5B82"/>
    <w:rsid w:val="005C5C86"/>
    <w:rsid w:val="005C5ECA"/>
    <w:rsid w:val="005C5FA6"/>
    <w:rsid w:val="005C66C6"/>
    <w:rsid w:val="005C6BB8"/>
    <w:rsid w:val="005C7011"/>
    <w:rsid w:val="005C7227"/>
    <w:rsid w:val="005C723E"/>
    <w:rsid w:val="005C7269"/>
    <w:rsid w:val="005C7938"/>
    <w:rsid w:val="005C7A31"/>
    <w:rsid w:val="005C7A4A"/>
    <w:rsid w:val="005D03C7"/>
    <w:rsid w:val="005D04FE"/>
    <w:rsid w:val="005D0601"/>
    <w:rsid w:val="005D08F4"/>
    <w:rsid w:val="005D0E67"/>
    <w:rsid w:val="005D0E7D"/>
    <w:rsid w:val="005D1D34"/>
    <w:rsid w:val="005D1DEA"/>
    <w:rsid w:val="005D1FC3"/>
    <w:rsid w:val="005D2A8D"/>
    <w:rsid w:val="005D2D77"/>
    <w:rsid w:val="005D2DE8"/>
    <w:rsid w:val="005D2FC0"/>
    <w:rsid w:val="005D3205"/>
    <w:rsid w:val="005D35E9"/>
    <w:rsid w:val="005D36C9"/>
    <w:rsid w:val="005D3EAB"/>
    <w:rsid w:val="005D4176"/>
    <w:rsid w:val="005D41A6"/>
    <w:rsid w:val="005D5581"/>
    <w:rsid w:val="005D563D"/>
    <w:rsid w:val="005D5992"/>
    <w:rsid w:val="005D5E2F"/>
    <w:rsid w:val="005D626C"/>
    <w:rsid w:val="005D640F"/>
    <w:rsid w:val="005D6789"/>
    <w:rsid w:val="005D6BA1"/>
    <w:rsid w:val="005D79EB"/>
    <w:rsid w:val="005D7D73"/>
    <w:rsid w:val="005D7E70"/>
    <w:rsid w:val="005D7F66"/>
    <w:rsid w:val="005E0955"/>
    <w:rsid w:val="005E113D"/>
    <w:rsid w:val="005E1266"/>
    <w:rsid w:val="005E144F"/>
    <w:rsid w:val="005E1BC1"/>
    <w:rsid w:val="005E1CDC"/>
    <w:rsid w:val="005E1F3F"/>
    <w:rsid w:val="005E2B5E"/>
    <w:rsid w:val="005E2B6B"/>
    <w:rsid w:val="005E2D4C"/>
    <w:rsid w:val="005E2DB1"/>
    <w:rsid w:val="005E2E1F"/>
    <w:rsid w:val="005E30F2"/>
    <w:rsid w:val="005E33B6"/>
    <w:rsid w:val="005E36A3"/>
    <w:rsid w:val="005E36CD"/>
    <w:rsid w:val="005E3861"/>
    <w:rsid w:val="005E3CF6"/>
    <w:rsid w:val="005E3E15"/>
    <w:rsid w:val="005E4569"/>
    <w:rsid w:val="005E4822"/>
    <w:rsid w:val="005E49F3"/>
    <w:rsid w:val="005E4A81"/>
    <w:rsid w:val="005E4D42"/>
    <w:rsid w:val="005E5114"/>
    <w:rsid w:val="005E5291"/>
    <w:rsid w:val="005E561F"/>
    <w:rsid w:val="005E58FA"/>
    <w:rsid w:val="005E607F"/>
    <w:rsid w:val="005E68F5"/>
    <w:rsid w:val="005E6B08"/>
    <w:rsid w:val="005E6F18"/>
    <w:rsid w:val="005E7A1E"/>
    <w:rsid w:val="005E7A76"/>
    <w:rsid w:val="005E7ACF"/>
    <w:rsid w:val="005F0C50"/>
    <w:rsid w:val="005F0E76"/>
    <w:rsid w:val="005F156B"/>
    <w:rsid w:val="005F161F"/>
    <w:rsid w:val="005F16E7"/>
    <w:rsid w:val="005F17E6"/>
    <w:rsid w:val="005F2744"/>
    <w:rsid w:val="005F2B54"/>
    <w:rsid w:val="005F2C7A"/>
    <w:rsid w:val="005F314B"/>
    <w:rsid w:val="005F32AE"/>
    <w:rsid w:val="005F3A12"/>
    <w:rsid w:val="005F4210"/>
    <w:rsid w:val="005F4231"/>
    <w:rsid w:val="005F4B28"/>
    <w:rsid w:val="005F4E50"/>
    <w:rsid w:val="005F4FB0"/>
    <w:rsid w:val="005F5005"/>
    <w:rsid w:val="005F5016"/>
    <w:rsid w:val="005F54CC"/>
    <w:rsid w:val="005F5640"/>
    <w:rsid w:val="005F5D3B"/>
    <w:rsid w:val="005F5F2B"/>
    <w:rsid w:val="005F6182"/>
    <w:rsid w:val="005F68B5"/>
    <w:rsid w:val="005F6FA8"/>
    <w:rsid w:val="005F7050"/>
    <w:rsid w:val="005F71F3"/>
    <w:rsid w:val="005F720C"/>
    <w:rsid w:val="005F7251"/>
    <w:rsid w:val="005F75E9"/>
    <w:rsid w:val="005F7D60"/>
    <w:rsid w:val="006003A1"/>
    <w:rsid w:val="006009D1"/>
    <w:rsid w:val="00601250"/>
    <w:rsid w:val="006017C1"/>
    <w:rsid w:val="00601942"/>
    <w:rsid w:val="00601991"/>
    <w:rsid w:val="00601CEC"/>
    <w:rsid w:val="006027CA"/>
    <w:rsid w:val="00602EF3"/>
    <w:rsid w:val="006032FF"/>
    <w:rsid w:val="0060350B"/>
    <w:rsid w:val="00604013"/>
    <w:rsid w:val="006042DC"/>
    <w:rsid w:val="006049AC"/>
    <w:rsid w:val="00604A5F"/>
    <w:rsid w:val="00604F25"/>
    <w:rsid w:val="00604FCE"/>
    <w:rsid w:val="00605254"/>
    <w:rsid w:val="0060553C"/>
    <w:rsid w:val="00605981"/>
    <w:rsid w:val="006067C8"/>
    <w:rsid w:val="00606981"/>
    <w:rsid w:val="006069D9"/>
    <w:rsid w:val="00606A4F"/>
    <w:rsid w:val="00606ADF"/>
    <w:rsid w:val="0060733D"/>
    <w:rsid w:val="006075FB"/>
    <w:rsid w:val="00607C89"/>
    <w:rsid w:val="006107CB"/>
    <w:rsid w:val="0061103D"/>
    <w:rsid w:val="0061127F"/>
    <w:rsid w:val="00611780"/>
    <w:rsid w:val="006125F1"/>
    <w:rsid w:val="0061294D"/>
    <w:rsid w:val="00612B2A"/>
    <w:rsid w:val="00612FDE"/>
    <w:rsid w:val="006131B5"/>
    <w:rsid w:val="0061331B"/>
    <w:rsid w:val="00613323"/>
    <w:rsid w:val="006134FE"/>
    <w:rsid w:val="00613541"/>
    <w:rsid w:val="00613664"/>
    <w:rsid w:val="00613EA5"/>
    <w:rsid w:val="00613F7D"/>
    <w:rsid w:val="00614332"/>
    <w:rsid w:val="0061434E"/>
    <w:rsid w:val="0061480D"/>
    <w:rsid w:val="006149F1"/>
    <w:rsid w:val="00615240"/>
    <w:rsid w:val="0061549B"/>
    <w:rsid w:val="00615518"/>
    <w:rsid w:val="00615B5E"/>
    <w:rsid w:val="0061609F"/>
    <w:rsid w:val="00616DFA"/>
    <w:rsid w:val="00616E1A"/>
    <w:rsid w:val="00617145"/>
    <w:rsid w:val="00617851"/>
    <w:rsid w:val="00617A3D"/>
    <w:rsid w:val="0062097E"/>
    <w:rsid w:val="00620AA7"/>
    <w:rsid w:val="00620BAC"/>
    <w:rsid w:val="00620BEF"/>
    <w:rsid w:val="00620D24"/>
    <w:rsid w:val="00621107"/>
    <w:rsid w:val="00621C34"/>
    <w:rsid w:val="00621CA0"/>
    <w:rsid w:val="006223D3"/>
    <w:rsid w:val="006226DB"/>
    <w:rsid w:val="0062295A"/>
    <w:rsid w:val="00622F9F"/>
    <w:rsid w:val="006233F2"/>
    <w:rsid w:val="0062348B"/>
    <w:rsid w:val="0062348C"/>
    <w:rsid w:val="006238A4"/>
    <w:rsid w:val="00623C79"/>
    <w:rsid w:val="00624476"/>
    <w:rsid w:val="006245B7"/>
    <w:rsid w:val="006249BA"/>
    <w:rsid w:val="006249CB"/>
    <w:rsid w:val="00625F24"/>
    <w:rsid w:val="0062689D"/>
    <w:rsid w:val="00627163"/>
    <w:rsid w:val="0062728B"/>
    <w:rsid w:val="006276A1"/>
    <w:rsid w:val="006276F0"/>
    <w:rsid w:val="00627AEE"/>
    <w:rsid w:val="00627EC0"/>
    <w:rsid w:val="00630453"/>
    <w:rsid w:val="00630D70"/>
    <w:rsid w:val="00630E32"/>
    <w:rsid w:val="006310BD"/>
    <w:rsid w:val="006328DE"/>
    <w:rsid w:val="00632FD7"/>
    <w:rsid w:val="0063315A"/>
    <w:rsid w:val="00633A24"/>
    <w:rsid w:val="00633BE4"/>
    <w:rsid w:val="00633DB0"/>
    <w:rsid w:val="00634430"/>
    <w:rsid w:val="00634487"/>
    <w:rsid w:val="0063473A"/>
    <w:rsid w:val="006349ED"/>
    <w:rsid w:val="00634C40"/>
    <w:rsid w:val="00634EFB"/>
    <w:rsid w:val="0063550D"/>
    <w:rsid w:val="00635A5A"/>
    <w:rsid w:val="0063605F"/>
    <w:rsid w:val="006361D9"/>
    <w:rsid w:val="00636D75"/>
    <w:rsid w:val="00637A15"/>
    <w:rsid w:val="00637C90"/>
    <w:rsid w:val="00637ED0"/>
    <w:rsid w:val="00640368"/>
    <w:rsid w:val="006406D7"/>
    <w:rsid w:val="00640907"/>
    <w:rsid w:val="00641691"/>
    <w:rsid w:val="00641999"/>
    <w:rsid w:val="00641CD3"/>
    <w:rsid w:val="006427EB"/>
    <w:rsid w:val="006428AD"/>
    <w:rsid w:val="00643375"/>
    <w:rsid w:val="0064392A"/>
    <w:rsid w:val="00643A58"/>
    <w:rsid w:val="00643F43"/>
    <w:rsid w:val="00643FC3"/>
    <w:rsid w:val="006441B8"/>
    <w:rsid w:val="006445D4"/>
    <w:rsid w:val="00644992"/>
    <w:rsid w:val="00644B5A"/>
    <w:rsid w:val="006450D4"/>
    <w:rsid w:val="006450F4"/>
    <w:rsid w:val="006453D4"/>
    <w:rsid w:val="00645F4B"/>
    <w:rsid w:val="00645F5A"/>
    <w:rsid w:val="0064615B"/>
    <w:rsid w:val="0064643F"/>
    <w:rsid w:val="006464E7"/>
    <w:rsid w:val="00646843"/>
    <w:rsid w:val="006470C7"/>
    <w:rsid w:val="006470D1"/>
    <w:rsid w:val="006471EC"/>
    <w:rsid w:val="006472BF"/>
    <w:rsid w:val="00647371"/>
    <w:rsid w:val="00647389"/>
    <w:rsid w:val="00647512"/>
    <w:rsid w:val="006504EE"/>
    <w:rsid w:val="00650593"/>
    <w:rsid w:val="00650A8E"/>
    <w:rsid w:val="00650B07"/>
    <w:rsid w:val="0065114C"/>
    <w:rsid w:val="00651253"/>
    <w:rsid w:val="0065134F"/>
    <w:rsid w:val="00651705"/>
    <w:rsid w:val="0065199F"/>
    <w:rsid w:val="006519DA"/>
    <w:rsid w:val="00651AEE"/>
    <w:rsid w:val="00651EAE"/>
    <w:rsid w:val="0065228A"/>
    <w:rsid w:val="006529B0"/>
    <w:rsid w:val="00652F17"/>
    <w:rsid w:val="00652F7A"/>
    <w:rsid w:val="00653D86"/>
    <w:rsid w:val="00653E7A"/>
    <w:rsid w:val="00653FCF"/>
    <w:rsid w:val="00654395"/>
    <w:rsid w:val="00654EBF"/>
    <w:rsid w:val="00655F3F"/>
    <w:rsid w:val="00656494"/>
    <w:rsid w:val="00656747"/>
    <w:rsid w:val="0065675B"/>
    <w:rsid w:val="00656977"/>
    <w:rsid w:val="00656E85"/>
    <w:rsid w:val="0065718C"/>
    <w:rsid w:val="00657508"/>
    <w:rsid w:val="0065769B"/>
    <w:rsid w:val="006579E9"/>
    <w:rsid w:val="006603AF"/>
    <w:rsid w:val="00660FEF"/>
    <w:rsid w:val="00661981"/>
    <w:rsid w:val="00661A17"/>
    <w:rsid w:val="00661F7C"/>
    <w:rsid w:val="00662279"/>
    <w:rsid w:val="00662664"/>
    <w:rsid w:val="00662DA2"/>
    <w:rsid w:val="0066388B"/>
    <w:rsid w:val="00663B65"/>
    <w:rsid w:val="00663FDF"/>
    <w:rsid w:val="00664048"/>
    <w:rsid w:val="00664281"/>
    <w:rsid w:val="00664A19"/>
    <w:rsid w:val="00664DC5"/>
    <w:rsid w:val="00665180"/>
    <w:rsid w:val="0066521D"/>
    <w:rsid w:val="0066522D"/>
    <w:rsid w:val="00665EB7"/>
    <w:rsid w:val="00666402"/>
    <w:rsid w:val="006665C9"/>
    <w:rsid w:val="0066738F"/>
    <w:rsid w:val="006674EA"/>
    <w:rsid w:val="00667AC5"/>
    <w:rsid w:val="00667D01"/>
    <w:rsid w:val="00667E88"/>
    <w:rsid w:val="00670F33"/>
    <w:rsid w:val="00671331"/>
    <w:rsid w:val="006724FB"/>
    <w:rsid w:val="006728D5"/>
    <w:rsid w:val="00672D9E"/>
    <w:rsid w:val="006732DB"/>
    <w:rsid w:val="006734F6"/>
    <w:rsid w:val="00673E99"/>
    <w:rsid w:val="00673EAC"/>
    <w:rsid w:val="0067441A"/>
    <w:rsid w:val="006744D8"/>
    <w:rsid w:val="006748D7"/>
    <w:rsid w:val="00674A34"/>
    <w:rsid w:val="00674AE6"/>
    <w:rsid w:val="00675072"/>
    <w:rsid w:val="00675362"/>
    <w:rsid w:val="00675568"/>
    <w:rsid w:val="0067567F"/>
    <w:rsid w:val="006757B4"/>
    <w:rsid w:val="00675944"/>
    <w:rsid w:val="00675992"/>
    <w:rsid w:val="00675C58"/>
    <w:rsid w:val="00675ECE"/>
    <w:rsid w:val="00675F82"/>
    <w:rsid w:val="006767F2"/>
    <w:rsid w:val="0067680A"/>
    <w:rsid w:val="00676C0A"/>
    <w:rsid w:val="00676E6D"/>
    <w:rsid w:val="00676EB2"/>
    <w:rsid w:val="006777D1"/>
    <w:rsid w:val="00677878"/>
    <w:rsid w:val="00677DA6"/>
    <w:rsid w:val="00677EB9"/>
    <w:rsid w:val="00677F94"/>
    <w:rsid w:val="006803FD"/>
    <w:rsid w:val="0068058F"/>
    <w:rsid w:val="0068086E"/>
    <w:rsid w:val="00680A82"/>
    <w:rsid w:val="00680BF3"/>
    <w:rsid w:val="00681790"/>
    <w:rsid w:val="006817F2"/>
    <w:rsid w:val="00681883"/>
    <w:rsid w:val="00681C7D"/>
    <w:rsid w:val="006820DE"/>
    <w:rsid w:val="00682406"/>
    <w:rsid w:val="006826D6"/>
    <w:rsid w:val="006829DC"/>
    <w:rsid w:val="00682CC0"/>
    <w:rsid w:val="006833FB"/>
    <w:rsid w:val="0068393B"/>
    <w:rsid w:val="00683FE1"/>
    <w:rsid w:val="00684AE5"/>
    <w:rsid w:val="00684D2A"/>
    <w:rsid w:val="00684D36"/>
    <w:rsid w:val="00684F4E"/>
    <w:rsid w:val="00685445"/>
    <w:rsid w:val="00685537"/>
    <w:rsid w:val="00685617"/>
    <w:rsid w:val="00686026"/>
    <w:rsid w:val="0068603A"/>
    <w:rsid w:val="00686261"/>
    <w:rsid w:val="006863B1"/>
    <w:rsid w:val="006870A8"/>
    <w:rsid w:val="006872FA"/>
    <w:rsid w:val="00687783"/>
    <w:rsid w:val="006878B2"/>
    <w:rsid w:val="00687B36"/>
    <w:rsid w:val="00687C82"/>
    <w:rsid w:val="0069012B"/>
    <w:rsid w:val="0069030B"/>
    <w:rsid w:val="0069058A"/>
    <w:rsid w:val="006905BE"/>
    <w:rsid w:val="00690FE7"/>
    <w:rsid w:val="006916B9"/>
    <w:rsid w:val="006919E1"/>
    <w:rsid w:val="00692046"/>
    <w:rsid w:val="006922E6"/>
    <w:rsid w:val="00692349"/>
    <w:rsid w:val="00692E28"/>
    <w:rsid w:val="00693669"/>
    <w:rsid w:val="0069377F"/>
    <w:rsid w:val="0069383F"/>
    <w:rsid w:val="00693A25"/>
    <w:rsid w:val="00693B2B"/>
    <w:rsid w:val="00693B70"/>
    <w:rsid w:val="00693B72"/>
    <w:rsid w:val="00693DA9"/>
    <w:rsid w:val="00693EF8"/>
    <w:rsid w:val="0069406B"/>
    <w:rsid w:val="00694537"/>
    <w:rsid w:val="00694DF9"/>
    <w:rsid w:val="00696240"/>
    <w:rsid w:val="00696536"/>
    <w:rsid w:val="0069677F"/>
    <w:rsid w:val="00697174"/>
    <w:rsid w:val="006972AA"/>
    <w:rsid w:val="0069797D"/>
    <w:rsid w:val="00697D8F"/>
    <w:rsid w:val="00697EA4"/>
    <w:rsid w:val="006A03A7"/>
    <w:rsid w:val="006A097E"/>
    <w:rsid w:val="006A0A86"/>
    <w:rsid w:val="006A0C84"/>
    <w:rsid w:val="006A11A6"/>
    <w:rsid w:val="006A15FA"/>
    <w:rsid w:val="006A172C"/>
    <w:rsid w:val="006A1FED"/>
    <w:rsid w:val="006A3037"/>
    <w:rsid w:val="006A3D30"/>
    <w:rsid w:val="006A40F5"/>
    <w:rsid w:val="006A46C7"/>
    <w:rsid w:val="006A4715"/>
    <w:rsid w:val="006A4936"/>
    <w:rsid w:val="006A4AAF"/>
    <w:rsid w:val="006A4D13"/>
    <w:rsid w:val="006A5143"/>
    <w:rsid w:val="006A5612"/>
    <w:rsid w:val="006A565C"/>
    <w:rsid w:val="006A5A24"/>
    <w:rsid w:val="006A5E64"/>
    <w:rsid w:val="006A5E96"/>
    <w:rsid w:val="006A62CE"/>
    <w:rsid w:val="006A65AA"/>
    <w:rsid w:val="006A67D6"/>
    <w:rsid w:val="006A6C3D"/>
    <w:rsid w:val="006A7068"/>
    <w:rsid w:val="006A708A"/>
    <w:rsid w:val="006A7151"/>
    <w:rsid w:val="006A7969"/>
    <w:rsid w:val="006A7AE3"/>
    <w:rsid w:val="006A7EAF"/>
    <w:rsid w:val="006B0B61"/>
    <w:rsid w:val="006B0F0A"/>
    <w:rsid w:val="006B132A"/>
    <w:rsid w:val="006B17F5"/>
    <w:rsid w:val="006B2387"/>
    <w:rsid w:val="006B2609"/>
    <w:rsid w:val="006B2FFD"/>
    <w:rsid w:val="006B3122"/>
    <w:rsid w:val="006B3A91"/>
    <w:rsid w:val="006B3BCE"/>
    <w:rsid w:val="006B40D1"/>
    <w:rsid w:val="006B4550"/>
    <w:rsid w:val="006B51B8"/>
    <w:rsid w:val="006B5449"/>
    <w:rsid w:val="006B5679"/>
    <w:rsid w:val="006B572D"/>
    <w:rsid w:val="006B599F"/>
    <w:rsid w:val="006B5DF8"/>
    <w:rsid w:val="006B6502"/>
    <w:rsid w:val="006B6995"/>
    <w:rsid w:val="006B699A"/>
    <w:rsid w:val="006B6CC9"/>
    <w:rsid w:val="006B6FCD"/>
    <w:rsid w:val="006B7160"/>
    <w:rsid w:val="006B726C"/>
    <w:rsid w:val="006B798C"/>
    <w:rsid w:val="006B7E8F"/>
    <w:rsid w:val="006C0046"/>
    <w:rsid w:val="006C0217"/>
    <w:rsid w:val="006C03CA"/>
    <w:rsid w:val="006C1473"/>
    <w:rsid w:val="006C1CD9"/>
    <w:rsid w:val="006C21DA"/>
    <w:rsid w:val="006C2364"/>
    <w:rsid w:val="006C28E7"/>
    <w:rsid w:val="006C36D5"/>
    <w:rsid w:val="006C3C97"/>
    <w:rsid w:val="006C3D05"/>
    <w:rsid w:val="006C3F57"/>
    <w:rsid w:val="006C5606"/>
    <w:rsid w:val="006C5641"/>
    <w:rsid w:val="006C5748"/>
    <w:rsid w:val="006C582B"/>
    <w:rsid w:val="006C60A7"/>
    <w:rsid w:val="006C6794"/>
    <w:rsid w:val="006C7E84"/>
    <w:rsid w:val="006C7FAA"/>
    <w:rsid w:val="006D038B"/>
    <w:rsid w:val="006D0923"/>
    <w:rsid w:val="006D0F0D"/>
    <w:rsid w:val="006D14D8"/>
    <w:rsid w:val="006D1686"/>
    <w:rsid w:val="006D1B01"/>
    <w:rsid w:val="006D1B18"/>
    <w:rsid w:val="006D22D5"/>
    <w:rsid w:val="006D24EA"/>
    <w:rsid w:val="006D2F50"/>
    <w:rsid w:val="006D32C2"/>
    <w:rsid w:val="006D3535"/>
    <w:rsid w:val="006D3B0B"/>
    <w:rsid w:val="006D41BD"/>
    <w:rsid w:val="006D4469"/>
    <w:rsid w:val="006D4647"/>
    <w:rsid w:val="006D474B"/>
    <w:rsid w:val="006D4753"/>
    <w:rsid w:val="006D494B"/>
    <w:rsid w:val="006D505E"/>
    <w:rsid w:val="006D5FD2"/>
    <w:rsid w:val="006D60EC"/>
    <w:rsid w:val="006D6155"/>
    <w:rsid w:val="006D6468"/>
    <w:rsid w:val="006D73EB"/>
    <w:rsid w:val="006D78A9"/>
    <w:rsid w:val="006D7A98"/>
    <w:rsid w:val="006E05EC"/>
    <w:rsid w:val="006E061D"/>
    <w:rsid w:val="006E06B6"/>
    <w:rsid w:val="006E0704"/>
    <w:rsid w:val="006E0929"/>
    <w:rsid w:val="006E09F8"/>
    <w:rsid w:val="006E0E86"/>
    <w:rsid w:val="006E12B4"/>
    <w:rsid w:val="006E16BC"/>
    <w:rsid w:val="006E1754"/>
    <w:rsid w:val="006E192C"/>
    <w:rsid w:val="006E1A7B"/>
    <w:rsid w:val="006E1EDA"/>
    <w:rsid w:val="006E1FC4"/>
    <w:rsid w:val="006E2BA8"/>
    <w:rsid w:val="006E2CB7"/>
    <w:rsid w:val="006E2DF1"/>
    <w:rsid w:val="006E2F3C"/>
    <w:rsid w:val="006E34BB"/>
    <w:rsid w:val="006E35EE"/>
    <w:rsid w:val="006E39A6"/>
    <w:rsid w:val="006E3DC9"/>
    <w:rsid w:val="006E4766"/>
    <w:rsid w:val="006E4FBF"/>
    <w:rsid w:val="006E5764"/>
    <w:rsid w:val="006E58E7"/>
    <w:rsid w:val="006E5987"/>
    <w:rsid w:val="006E60CE"/>
    <w:rsid w:val="006E64F9"/>
    <w:rsid w:val="006E6777"/>
    <w:rsid w:val="006E6B5F"/>
    <w:rsid w:val="006E6F57"/>
    <w:rsid w:val="006E75C7"/>
    <w:rsid w:val="006E75D0"/>
    <w:rsid w:val="006E791D"/>
    <w:rsid w:val="006E7ACD"/>
    <w:rsid w:val="006E7E0D"/>
    <w:rsid w:val="006E7EDF"/>
    <w:rsid w:val="006F0131"/>
    <w:rsid w:val="006F0F4E"/>
    <w:rsid w:val="006F175C"/>
    <w:rsid w:val="006F195F"/>
    <w:rsid w:val="006F1D62"/>
    <w:rsid w:val="006F240A"/>
    <w:rsid w:val="006F251B"/>
    <w:rsid w:val="006F28DD"/>
    <w:rsid w:val="006F3161"/>
    <w:rsid w:val="006F354C"/>
    <w:rsid w:val="006F38AE"/>
    <w:rsid w:val="006F4C9C"/>
    <w:rsid w:val="006F51B6"/>
    <w:rsid w:val="006F51D0"/>
    <w:rsid w:val="006F5294"/>
    <w:rsid w:val="006F660B"/>
    <w:rsid w:val="006F674D"/>
    <w:rsid w:val="006F692B"/>
    <w:rsid w:val="006F69A7"/>
    <w:rsid w:val="006F6F85"/>
    <w:rsid w:val="006F78EC"/>
    <w:rsid w:val="006F795A"/>
    <w:rsid w:val="006F7A35"/>
    <w:rsid w:val="006F7DB3"/>
    <w:rsid w:val="006F7F81"/>
    <w:rsid w:val="00700249"/>
    <w:rsid w:val="0070039E"/>
    <w:rsid w:val="00700889"/>
    <w:rsid w:val="00700DA1"/>
    <w:rsid w:val="00700DDD"/>
    <w:rsid w:val="00701506"/>
    <w:rsid w:val="00701BDE"/>
    <w:rsid w:val="00702629"/>
    <w:rsid w:val="007029F3"/>
    <w:rsid w:val="00702C63"/>
    <w:rsid w:val="00703087"/>
    <w:rsid w:val="00703751"/>
    <w:rsid w:val="007037B5"/>
    <w:rsid w:val="00703BE4"/>
    <w:rsid w:val="00704199"/>
    <w:rsid w:val="00704352"/>
    <w:rsid w:val="007044ED"/>
    <w:rsid w:val="00704539"/>
    <w:rsid w:val="007049BE"/>
    <w:rsid w:val="007052A9"/>
    <w:rsid w:val="007054C4"/>
    <w:rsid w:val="007059B7"/>
    <w:rsid w:val="00705E4C"/>
    <w:rsid w:val="00705F73"/>
    <w:rsid w:val="00706061"/>
    <w:rsid w:val="007060F9"/>
    <w:rsid w:val="00706A46"/>
    <w:rsid w:val="00707370"/>
    <w:rsid w:val="00707C27"/>
    <w:rsid w:val="00707D9C"/>
    <w:rsid w:val="00707DA6"/>
    <w:rsid w:val="0071010B"/>
    <w:rsid w:val="00710152"/>
    <w:rsid w:val="0071034C"/>
    <w:rsid w:val="007108B3"/>
    <w:rsid w:val="00711028"/>
    <w:rsid w:val="0071137D"/>
    <w:rsid w:val="00711686"/>
    <w:rsid w:val="00711716"/>
    <w:rsid w:val="0071208A"/>
    <w:rsid w:val="00712448"/>
    <w:rsid w:val="007125F3"/>
    <w:rsid w:val="007127EC"/>
    <w:rsid w:val="0071284B"/>
    <w:rsid w:val="00712C39"/>
    <w:rsid w:val="007134EE"/>
    <w:rsid w:val="00713C20"/>
    <w:rsid w:val="00713FE8"/>
    <w:rsid w:val="007146C5"/>
    <w:rsid w:val="00714864"/>
    <w:rsid w:val="007148A5"/>
    <w:rsid w:val="00714D90"/>
    <w:rsid w:val="00714E35"/>
    <w:rsid w:val="00715487"/>
    <w:rsid w:val="00715D39"/>
    <w:rsid w:val="007163E5"/>
    <w:rsid w:val="0071644A"/>
    <w:rsid w:val="007164D7"/>
    <w:rsid w:val="007168CE"/>
    <w:rsid w:val="00716953"/>
    <w:rsid w:val="007169EB"/>
    <w:rsid w:val="007173E2"/>
    <w:rsid w:val="00717552"/>
    <w:rsid w:val="00717839"/>
    <w:rsid w:val="007179D4"/>
    <w:rsid w:val="00717CA7"/>
    <w:rsid w:val="007202CF"/>
    <w:rsid w:val="0072071F"/>
    <w:rsid w:val="007210CD"/>
    <w:rsid w:val="00721676"/>
    <w:rsid w:val="00721A20"/>
    <w:rsid w:val="00721FB9"/>
    <w:rsid w:val="00722025"/>
    <w:rsid w:val="00722097"/>
    <w:rsid w:val="00722138"/>
    <w:rsid w:val="0072242F"/>
    <w:rsid w:val="0072285B"/>
    <w:rsid w:val="00722A4C"/>
    <w:rsid w:val="00722B1F"/>
    <w:rsid w:val="00722D7F"/>
    <w:rsid w:val="00723232"/>
    <w:rsid w:val="00723260"/>
    <w:rsid w:val="0072333F"/>
    <w:rsid w:val="007235CF"/>
    <w:rsid w:val="00723630"/>
    <w:rsid w:val="00723A0A"/>
    <w:rsid w:val="007243AF"/>
    <w:rsid w:val="00724485"/>
    <w:rsid w:val="00724BC7"/>
    <w:rsid w:val="00724CA6"/>
    <w:rsid w:val="00724F16"/>
    <w:rsid w:val="00726160"/>
    <w:rsid w:val="007263E6"/>
    <w:rsid w:val="0072642D"/>
    <w:rsid w:val="007267A8"/>
    <w:rsid w:val="00726BD1"/>
    <w:rsid w:val="00726E4B"/>
    <w:rsid w:val="00726E8E"/>
    <w:rsid w:val="0072705B"/>
    <w:rsid w:val="007271B3"/>
    <w:rsid w:val="00727883"/>
    <w:rsid w:val="00727D3A"/>
    <w:rsid w:val="00727FA7"/>
    <w:rsid w:val="007303D9"/>
    <w:rsid w:val="007303E3"/>
    <w:rsid w:val="00730658"/>
    <w:rsid w:val="00730901"/>
    <w:rsid w:val="007309F1"/>
    <w:rsid w:val="00730EAB"/>
    <w:rsid w:val="00731623"/>
    <w:rsid w:val="00731AA1"/>
    <w:rsid w:val="00731E10"/>
    <w:rsid w:val="007323DC"/>
    <w:rsid w:val="007324CF"/>
    <w:rsid w:val="00732F9B"/>
    <w:rsid w:val="0073338C"/>
    <w:rsid w:val="007336C9"/>
    <w:rsid w:val="007341E6"/>
    <w:rsid w:val="0073448E"/>
    <w:rsid w:val="00734910"/>
    <w:rsid w:val="00734C11"/>
    <w:rsid w:val="00734FC9"/>
    <w:rsid w:val="0073581F"/>
    <w:rsid w:val="00735BAD"/>
    <w:rsid w:val="0073610D"/>
    <w:rsid w:val="00736769"/>
    <w:rsid w:val="00736B71"/>
    <w:rsid w:val="00737B87"/>
    <w:rsid w:val="0074012F"/>
    <w:rsid w:val="00740241"/>
    <w:rsid w:val="00740301"/>
    <w:rsid w:val="007409DA"/>
    <w:rsid w:val="00740AD0"/>
    <w:rsid w:val="00740CF3"/>
    <w:rsid w:val="007410C4"/>
    <w:rsid w:val="00741527"/>
    <w:rsid w:val="007417D0"/>
    <w:rsid w:val="007418A9"/>
    <w:rsid w:val="00741B1F"/>
    <w:rsid w:val="00741CA5"/>
    <w:rsid w:val="0074204E"/>
    <w:rsid w:val="007422A5"/>
    <w:rsid w:val="0074245D"/>
    <w:rsid w:val="007429C7"/>
    <w:rsid w:val="007429D3"/>
    <w:rsid w:val="00742AD0"/>
    <w:rsid w:val="00742B97"/>
    <w:rsid w:val="00742DFA"/>
    <w:rsid w:val="00742F8E"/>
    <w:rsid w:val="007430E1"/>
    <w:rsid w:val="00743102"/>
    <w:rsid w:val="00743271"/>
    <w:rsid w:val="00743448"/>
    <w:rsid w:val="007435EC"/>
    <w:rsid w:val="007439F2"/>
    <w:rsid w:val="00743FB5"/>
    <w:rsid w:val="00743FF5"/>
    <w:rsid w:val="0074482A"/>
    <w:rsid w:val="007449E7"/>
    <w:rsid w:val="007453F0"/>
    <w:rsid w:val="0074568F"/>
    <w:rsid w:val="007456B1"/>
    <w:rsid w:val="0074595A"/>
    <w:rsid w:val="00745A72"/>
    <w:rsid w:val="00746162"/>
    <w:rsid w:val="00746177"/>
    <w:rsid w:val="007462AE"/>
    <w:rsid w:val="00746813"/>
    <w:rsid w:val="00746B86"/>
    <w:rsid w:val="00746D91"/>
    <w:rsid w:val="0074705D"/>
    <w:rsid w:val="0074730A"/>
    <w:rsid w:val="00747A11"/>
    <w:rsid w:val="00747E00"/>
    <w:rsid w:val="00747F31"/>
    <w:rsid w:val="00750EC3"/>
    <w:rsid w:val="00751071"/>
    <w:rsid w:val="00751351"/>
    <w:rsid w:val="00751A4E"/>
    <w:rsid w:val="00751AB6"/>
    <w:rsid w:val="00751E80"/>
    <w:rsid w:val="007527E9"/>
    <w:rsid w:val="007528E1"/>
    <w:rsid w:val="00752C9E"/>
    <w:rsid w:val="0075334A"/>
    <w:rsid w:val="007537F3"/>
    <w:rsid w:val="00753D9D"/>
    <w:rsid w:val="007543E0"/>
    <w:rsid w:val="00754624"/>
    <w:rsid w:val="00754A8E"/>
    <w:rsid w:val="00754BD1"/>
    <w:rsid w:val="00754E0F"/>
    <w:rsid w:val="00754E61"/>
    <w:rsid w:val="00754F15"/>
    <w:rsid w:val="007552B4"/>
    <w:rsid w:val="007553F5"/>
    <w:rsid w:val="00755BA3"/>
    <w:rsid w:val="00755EFF"/>
    <w:rsid w:val="00756387"/>
    <w:rsid w:val="007565BE"/>
    <w:rsid w:val="00756A63"/>
    <w:rsid w:val="00756CEF"/>
    <w:rsid w:val="00756E7E"/>
    <w:rsid w:val="00757165"/>
    <w:rsid w:val="007573F2"/>
    <w:rsid w:val="0075748D"/>
    <w:rsid w:val="00757B43"/>
    <w:rsid w:val="00757F94"/>
    <w:rsid w:val="00757FEB"/>
    <w:rsid w:val="007605C8"/>
    <w:rsid w:val="00760813"/>
    <w:rsid w:val="00760E94"/>
    <w:rsid w:val="00760F4E"/>
    <w:rsid w:val="0076108A"/>
    <w:rsid w:val="007613AE"/>
    <w:rsid w:val="007613BF"/>
    <w:rsid w:val="007616D6"/>
    <w:rsid w:val="00761AA6"/>
    <w:rsid w:val="00762236"/>
    <w:rsid w:val="00762BBB"/>
    <w:rsid w:val="00762D89"/>
    <w:rsid w:val="0076418F"/>
    <w:rsid w:val="0076477C"/>
    <w:rsid w:val="00764D3E"/>
    <w:rsid w:val="0076513B"/>
    <w:rsid w:val="007658FA"/>
    <w:rsid w:val="00765AA1"/>
    <w:rsid w:val="0076628C"/>
    <w:rsid w:val="007667D5"/>
    <w:rsid w:val="007669AE"/>
    <w:rsid w:val="00766CF7"/>
    <w:rsid w:val="00766D4A"/>
    <w:rsid w:val="00766E5F"/>
    <w:rsid w:val="00767176"/>
    <w:rsid w:val="00767361"/>
    <w:rsid w:val="00767931"/>
    <w:rsid w:val="007679A3"/>
    <w:rsid w:val="00767CBE"/>
    <w:rsid w:val="00770683"/>
    <w:rsid w:val="007707CC"/>
    <w:rsid w:val="00770D09"/>
    <w:rsid w:val="00771101"/>
    <w:rsid w:val="0077127D"/>
    <w:rsid w:val="00771304"/>
    <w:rsid w:val="007713F0"/>
    <w:rsid w:val="00772144"/>
    <w:rsid w:val="00772178"/>
    <w:rsid w:val="00772518"/>
    <w:rsid w:val="007731DB"/>
    <w:rsid w:val="00773244"/>
    <w:rsid w:val="00773882"/>
    <w:rsid w:val="00773FF0"/>
    <w:rsid w:val="0077565E"/>
    <w:rsid w:val="0077576D"/>
    <w:rsid w:val="007757C4"/>
    <w:rsid w:val="007757FD"/>
    <w:rsid w:val="007761AB"/>
    <w:rsid w:val="007761EA"/>
    <w:rsid w:val="0077726B"/>
    <w:rsid w:val="00777574"/>
    <w:rsid w:val="007777EB"/>
    <w:rsid w:val="00777865"/>
    <w:rsid w:val="00777E71"/>
    <w:rsid w:val="007807C8"/>
    <w:rsid w:val="00780AA9"/>
    <w:rsid w:val="00780EFE"/>
    <w:rsid w:val="00781B58"/>
    <w:rsid w:val="007826EA"/>
    <w:rsid w:val="0078343E"/>
    <w:rsid w:val="007836DE"/>
    <w:rsid w:val="007842B3"/>
    <w:rsid w:val="00784379"/>
    <w:rsid w:val="007843DA"/>
    <w:rsid w:val="00784AA8"/>
    <w:rsid w:val="00784CF7"/>
    <w:rsid w:val="00784E96"/>
    <w:rsid w:val="00785017"/>
    <w:rsid w:val="0078596C"/>
    <w:rsid w:val="00785BE2"/>
    <w:rsid w:val="007869BC"/>
    <w:rsid w:val="0078704A"/>
    <w:rsid w:val="00787370"/>
    <w:rsid w:val="007878EA"/>
    <w:rsid w:val="00787DEC"/>
    <w:rsid w:val="00790168"/>
    <w:rsid w:val="0079033D"/>
    <w:rsid w:val="00790610"/>
    <w:rsid w:val="0079103B"/>
    <w:rsid w:val="007912B0"/>
    <w:rsid w:val="007914E7"/>
    <w:rsid w:val="007920DE"/>
    <w:rsid w:val="00792718"/>
    <w:rsid w:val="00792A71"/>
    <w:rsid w:val="00792A91"/>
    <w:rsid w:val="0079330A"/>
    <w:rsid w:val="0079345C"/>
    <w:rsid w:val="0079397F"/>
    <w:rsid w:val="00793D59"/>
    <w:rsid w:val="00794174"/>
    <w:rsid w:val="00794263"/>
    <w:rsid w:val="00794AF4"/>
    <w:rsid w:val="00794B03"/>
    <w:rsid w:val="00794CB5"/>
    <w:rsid w:val="00794F19"/>
    <w:rsid w:val="0079523D"/>
    <w:rsid w:val="0079541C"/>
    <w:rsid w:val="00795A0B"/>
    <w:rsid w:val="00796010"/>
    <w:rsid w:val="0079689F"/>
    <w:rsid w:val="00796902"/>
    <w:rsid w:val="00796AD9"/>
    <w:rsid w:val="00796B4D"/>
    <w:rsid w:val="00796EEA"/>
    <w:rsid w:val="007971B7"/>
    <w:rsid w:val="00797417"/>
    <w:rsid w:val="00797E35"/>
    <w:rsid w:val="007A064E"/>
    <w:rsid w:val="007A0748"/>
    <w:rsid w:val="007A09C6"/>
    <w:rsid w:val="007A14D2"/>
    <w:rsid w:val="007A159B"/>
    <w:rsid w:val="007A15AD"/>
    <w:rsid w:val="007A1B9E"/>
    <w:rsid w:val="007A2533"/>
    <w:rsid w:val="007A2D8D"/>
    <w:rsid w:val="007A2EA2"/>
    <w:rsid w:val="007A2EBF"/>
    <w:rsid w:val="007A3A35"/>
    <w:rsid w:val="007A40F4"/>
    <w:rsid w:val="007A4620"/>
    <w:rsid w:val="007A4A2B"/>
    <w:rsid w:val="007A4EC3"/>
    <w:rsid w:val="007A5408"/>
    <w:rsid w:val="007A5488"/>
    <w:rsid w:val="007A550F"/>
    <w:rsid w:val="007A56EC"/>
    <w:rsid w:val="007A57F9"/>
    <w:rsid w:val="007A5ECE"/>
    <w:rsid w:val="007A6343"/>
    <w:rsid w:val="007A684A"/>
    <w:rsid w:val="007A68BB"/>
    <w:rsid w:val="007A6F8E"/>
    <w:rsid w:val="007A7155"/>
    <w:rsid w:val="007A7BB7"/>
    <w:rsid w:val="007A7DA0"/>
    <w:rsid w:val="007B01B7"/>
    <w:rsid w:val="007B0394"/>
    <w:rsid w:val="007B04CB"/>
    <w:rsid w:val="007B09F9"/>
    <w:rsid w:val="007B11DA"/>
    <w:rsid w:val="007B1495"/>
    <w:rsid w:val="007B153C"/>
    <w:rsid w:val="007B1F69"/>
    <w:rsid w:val="007B2670"/>
    <w:rsid w:val="007B27C2"/>
    <w:rsid w:val="007B27E3"/>
    <w:rsid w:val="007B2F57"/>
    <w:rsid w:val="007B3287"/>
    <w:rsid w:val="007B37D7"/>
    <w:rsid w:val="007B3ED1"/>
    <w:rsid w:val="007B44A3"/>
    <w:rsid w:val="007B4578"/>
    <w:rsid w:val="007B462F"/>
    <w:rsid w:val="007B4B53"/>
    <w:rsid w:val="007B51E4"/>
    <w:rsid w:val="007B5EE7"/>
    <w:rsid w:val="007B6109"/>
    <w:rsid w:val="007B6179"/>
    <w:rsid w:val="007B716D"/>
    <w:rsid w:val="007B73F8"/>
    <w:rsid w:val="007B7E14"/>
    <w:rsid w:val="007C0042"/>
    <w:rsid w:val="007C01E2"/>
    <w:rsid w:val="007C0D87"/>
    <w:rsid w:val="007C0D91"/>
    <w:rsid w:val="007C1509"/>
    <w:rsid w:val="007C1693"/>
    <w:rsid w:val="007C1E41"/>
    <w:rsid w:val="007C1F96"/>
    <w:rsid w:val="007C2254"/>
    <w:rsid w:val="007C252E"/>
    <w:rsid w:val="007C2ECC"/>
    <w:rsid w:val="007C31E5"/>
    <w:rsid w:val="007C330B"/>
    <w:rsid w:val="007C3A55"/>
    <w:rsid w:val="007C3FBE"/>
    <w:rsid w:val="007C4ED7"/>
    <w:rsid w:val="007C6370"/>
    <w:rsid w:val="007C6568"/>
    <w:rsid w:val="007C727E"/>
    <w:rsid w:val="007C795A"/>
    <w:rsid w:val="007C7C7D"/>
    <w:rsid w:val="007C7E3F"/>
    <w:rsid w:val="007D0579"/>
    <w:rsid w:val="007D05AE"/>
    <w:rsid w:val="007D05B8"/>
    <w:rsid w:val="007D06B6"/>
    <w:rsid w:val="007D0D27"/>
    <w:rsid w:val="007D0F7B"/>
    <w:rsid w:val="007D127D"/>
    <w:rsid w:val="007D1353"/>
    <w:rsid w:val="007D1D0F"/>
    <w:rsid w:val="007D24B6"/>
    <w:rsid w:val="007D2C1D"/>
    <w:rsid w:val="007D2E10"/>
    <w:rsid w:val="007D2E19"/>
    <w:rsid w:val="007D30BA"/>
    <w:rsid w:val="007D3125"/>
    <w:rsid w:val="007D3F6C"/>
    <w:rsid w:val="007D4424"/>
    <w:rsid w:val="007D466E"/>
    <w:rsid w:val="007D467E"/>
    <w:rsid w:val="007D46C5"/>
    <w:rsid w:val="007D478F"/>
    <w:rsid w:val="007D47CF"/>
    <w:rsid w:val="007D483E"/>
    <w:rsid w:val="007D49C1"/>
    <w:rsid w:val="007D4B10"/>
    <w:rsid w:val="007D4B9F"/>
    <w:rsid w:val="007D53C7"/>
    <w:rsid w:val="007D5932"/>
    <w:rsid w:val="007D5B76"/>
    <w:rsid w:val="007D5CF0"/>
    <w:rsid w:val="007D6024"/>
    <w:rsid w:val="007D609D"/>
    <w:rsid w:val="007D61BA"/>
    <w:rsid w:val="007D6B95"/>
    <w:rsid w:val="007D6CD7"/>
    <w:rsid w:val="007D6E77"/>
    <w:rsid w:val="007D7091"/>
    <w:rsid w:val="007D73D6"/>
    <w:rsid w:val="007D786B"/>
    <w:rsid w:val="007D78EA"/>
    <w:rsid w:val="007D7CD4"/>
    <w:rsid w:val="007E0004"/>
    <w:rsid w:val="007E02C4"/>
    <w:rsid w:val="007E0F24"/>
    <w:rsid w:val="007E1087"/>
    <w:rsid w:val="007E116F"/>
    <w:rsid w:val="007E14AD"/>
    <w:rsid w:val="007E1676"/>
    <w:rsid w:val="007E1741"/>
    <w:rsid w:val="007E1E2B"/>
    <w:rsid w:val="007E2193"/>
    <w:rsid w:val="007E22B8"/>
    <w:rsid w:val="007E22DD"/>
    <w:rsid w:val="007E22E7"/>
    <w:rsid w:val="007E2421"/>
    <w:rsid w:val="007E2422"/>
    <w:rsid w:val="007E2532"/>
    <w:rsid w:val="007E25AF"/>
    <w:rsid w:val="007E2933"/>
    <w:rsid w:val="007E30D6"/>
    <w:rsid w:val="007E3122"/>
    <w:rsid w:val="007E3C4F"/>
    <w:rsid w:val="007E3DD3"/>
    <w:rsid w:val="007E43BD"/>
    <w:rsid w:val="007E446F"/>
    <w:rsid w:val="007E4F94"/>
    <w:rsid w:val="007E527C"/>
    <w:rsid w:val="007E5893"/>
    <w:rsid w:val="007E5D92"/>
    <w:rsid w:val="007E5E2B"/>
    <w:rsid w:val="007E5F68"/>
    <w:rsid w:val="007E6135"/>
    <w:rsid w:val="007E6389"/>
    <w:rsid w:val="007E63AE"/>
    <w:rsid w:val="007E699E"/>
    <w:rsid w:val="007E6CB3"/>
    <w:rsid w:val="007E72FB"/>
    <w:rsid w:val="007E7806"/>
    <w:rsid w:val="007F035B"/>
    <w:rsid w:val="007F03FF"/>
    <w:rsid w:val="007F0819"/>
    <w:rsid w:val="007F12B8"/>
    <w:rsid w:val="007F1CF6"/>
    <w:rsid w:val="007F1E36"/>
    <w:rsid w:val="007F1F87"/>
    <w:rsid w:val="007F2076"/>
    <w:rsid w:val="007F2366"/>
    <w:rsid w:val="007F281D"/>
    <w:rsid w:val="007F2F2D"/>
    <w:rsid w:val="007F3296"/>
    <w:rsid w:val="007F415D"/>
    <w:rsid w:val="007F4AC8"/>
    <w:rsid w:val="007F4B71"/>
    <w:rsid w:val="007F4D3E"/>
    <w:rsid w:val="007F51EC"/>
    <w:rsid w:val="007F5732"/>
    <w:rsid w:val="007F5EE4"/>
    <w:rsid w:val="007F6157"/>
    <w:rsid w:val="007F62BD"/>
    <w:rsid w:val="007F6AA3"/>
    <w:rsid w:val="007F717D"/>
    <w:rsid w:val="007F7C88"/>
    <w:rsid w:val="007F7F8D"/>
    <w:rsid w:val="008002A7"/>
    <w:rsid w:val="00800333"/>
    <w:rsid w:val="008006B3"/>
    <w:rsid w:val="00800D56"/>
    <w:rsid w:val="00801190"/>
    <w:rsid w:val="00801862"/>
    <w:rsid w:val="00801FA5"/>
    <w:rsid w:val="008028E9"/>
    <w:rsid w:val="0080306B"/>
    <w:rsid w:val="008030BD"/>
    <w:rsid w:val="008034CB"/>
    <w:rsid w:val="0080365C"/>
    <w:rsid w:val="00803699"/>
    <w:rsid w:val="00803ED3"/>
    <w:rsid w:val="00803FBF"/>
    <w:rsid w:val="00804087"/>
    <w:rsid w:val="0080473D"/>
    <w:rsid w:val="00804FEC"/>
    <w:rsid w:val="00805B1C"/>
    <w:rsid w:val="00805D8E"/>
    <w:rsid w:val="00805F1F"/>
    <w:rsid w:val="00805FD2"/>
    <w:rsid w:val="00806370"/>
    <w:rsid w:val="00806527"/>
    <w:rsid w:val="008066D3"/>
    <w:rsid w:val="008069A0"/>
    <w:rsid w:val="00806DE9"/>
    <w:rsid w:val="00806EF4"/>
    <w:rsid w:val="00807BF2"/>
    <w:rsid w:val="00807D1F"/>
    <w:rsid w:val="008108F8"/>
    <w:rsid w:val="00810A8C"/>
    <w:rsid w:val="008117F5"/>
    <w:rsid w:val="00811F85"/>
    <w:rsid w:val="00813687"/>
    <w:rsid w:val="00813745"/>
    <w:rsid w:val="00813EDF"/>
    <w:rsid w:val="0081448A"/>
    <w:rsid w:val="00815C08"/>
    <w:rsid w:val="008161F7"/>
    <w:rsid w:val="00817554"/>
    <w:rsid w:val="00817E6B"/>
    <w:rsid w:val="00817EB4"/>
    <w:rsid w:val="00820148"/>
    <w:rsid w:val="00820247"/>
    <w:rsid w:val="0082025A"/>
    <w:rsid w:val="008205AE"/>
    <w:rsid w:val="00820C84"/>
    <w:rsid w:val="00821507"/>
    <w:rsid w:val="008219FB"/>
    <w:rsid w:val="00822248"/>
    <w:rsid w:val="00822D5F"/>
    <w:rsid w:val="00823001"/>
    <w:rsid w:val="00823483"/>
    <w:rsid w:val="0082352A"/>
    <w:rsid w:val="008246EE"/>
    <w:rsid w:val="00824849"/>
    <w:rsid w:val="00824AC4"/>
    <w:rsid w:val="00824AE6"/>
    <w:rsid w:val="00825B99"/>
    <w:rsid w:val="00826B4C"/>
    <w:rsid w:val="00827614"/>
    <w:rsid w:val="00827A7C"/>
    <w:rsid w:val="00827F60"/>
    <w:rsid w:val="00830B92"/>
    <w:rsid w:val="00830F4F"/>
    <w:rsid w:val="0083173D"/>
    <w:rsid w:val="008318F4"/>
    <w:rsid w:val="00831DD0"/>
    <w:rsid w:val="00831F94"/>
    <w:rsid w:val="00832002"/>
    <w:rsid w:val="00832657"/>
    <w:rsid w:val="00832860"/>
    <w:rsid w:val="00832EA4"/>
    <w:rsid w:val="00833862"/>
    <w:rsid w:val="0083399B"/>
    <w:rsid w:val="0083404B"/>
    <w:rsid w:val="00834994"/>
    <w:rsid w:val="00834A91"/>
    <w:rsid w:val="0083507D"/>
    <w:rsid w:val="0083559C"/>
    <w:rsid w:val="00835927"/>
    <w:rsid w:val="00835ABD"/>
    <w:rsid w:val="00835AD5"/>
    <w:rsid w:val="00835CD2"/>
    <w:rsid w:val="00835E5B"/>
    <w:rsid w:val="00835E6E"/>
    <w:rsid w:val="0083650C"/>
    <w:rsid w:val="00836A77"/>
    <w:rsid w:val="00837726"/>
    <w:rsid w:val="00837AB4"/>
    <w:rsid w:val="00837BAF"/>
    <w:rsid w:val="0084011B"/>
    <w:rsid w:val="00840653"/>
    <w:rsid w:val="00840A6F"/>
    <w:rsid w:val="008414AA"/>
    <w:rsid w:val="00841913"/>
    <w:rsid w:val="00841F9C"/>
    <w:rsid w:val="0084213C"/>
    <w:rsid w:val="008425C0"/>
    <w:rsid w:val="00842C35"/>
    <w:rsid w:val="00843550"/>
    <w:rsid w:val="00843C0B"/>
    <w:rsid w:val="00843C39"/>
    <w:rsid w:val="00843CF5"/>
    <w:rsid w:val="00844A18"/>
    <w:rsid w:val="008451EE"/>
    <w:rsid w:val="008452C8"/>
    <w:rsid w:val="00845740"/>
    <w:rsid w:val="00845A6B"/>
    <w:rsid w:val="00845AC6"/>
    <w:rsid w:val="00845C83"/>
    <w:rsid w:val="00846263"/>
    <w:rsid w:val="008462E1"/>
    <w:rsid w:val="00846B65"/>
    <w:rsid w:val="00846FB0"/>
    <w:rsid w:val="00847808"/>
    <w:rsid w:val="00847A28"/>
    <w:rsid w:val="00850195"/>
    <w:rsid w:val="00850306"/>
    <w:rsid w:val="008505B6"/>
    <w:rsid w:val="0085077B"/>
    <w:rsid w:val="0085115C"/>
    <w:rsid w:val="008513A2"/>
    <w:rsid w:val="00851851"/>
    <w:rsid w:val="00851A9D"/>
    <w:rsid w:val="00851C80"/>
    <w:rsid w:val="00851D58"/>
    <w:rsid w:val="008520ED"/>
    <w:rsid w:val="008527CA"/>
    <w:rsid w:val="008529E8"/>
    <w:rsid w:val="00852C30"/>
    <w:rsid w:val="00852CED"/>
    <w:rsid w:val="00852DDA"/>
    <w:rsid w:val="00853746"/>
    <w:rsid w:val="008537CD"/>
    <w:rsid w:val="00853DB2"/>
    <w:rsid w:val="00854363"/>
    <w:rsid w:val="008548CD"/>
    <w:rsid w:val="00854B22"/>
    <w:rsid w:val="00854EA7"/>
    <w:rsid w:val="00854FA4"/>
    <w:rsid w:val="008554B7"/>
    <w:rsid w:val="008556C1"/>
    <w:rsid w:val="008558B3"/>
    <w:rsid w:val="00855A1F"/>
    <w:rsid w:val="00855AC1"/>
    <w:rsid w:val="008561A5"/>
    <w:rsid w:val="00856A1B"/>
    <w:rsid w:val="008571B3"/>
    <w:rsid w:val="00857980"/>
    <w:rsid w:val="00857A2B"/>
    <w:rsid w:val="00860001"/>
    <w:rsid w:val="008600F1"/>
    <w:rsid w:val="008600F7"/>
    <w:rsid w:val="008604FF"/>
    <w:rsid w:val="008606C7"/>
    <w:rsid w:val="00860BE3"/>
    <w:rsid w:val="008614BE"/>
    <w:rsid w:val="00861E5B"/>
    <w:rsid w:val="008621B8"/>
    <w:rsid w:val="0086260F"/>
    <w:rsid w:val="008629CD"/>
    <w:rsid w:val="00862D91"/>
    <w:rsid w:val="00862DF3"/>
    <w:rsid w:val="00863330"/>
    <w:rsid w:val="00864CB8"/>
    <w:rsid w:val="008650E1"/>
    <w:rsid w:val="00865428"/>
    <w:rsid w:val="00865442"/>
    <w:rsid w:val="008662EC"/>
    <w:rsid w:val="0086666F"/>
    <w:rsid w:val="008667CC"/>
    <w:rsid w:val="0086683D"/>
    <w:rsid w:val="00866B2A"/>
    <w:rsid w:val="00867780"/>
    <w:rsid w:val="0087017B"/>
    <w:rsid w:val="00870B9A"/>
    <w:rsid w:val="00870E04"/>
    <w:rsid w:val="00871191"/>
    <w:rsid w:val="008720F0"/>
    <w:rsid w:val="00872744"/>
    <w:rsid w:val="00872BBA"/>
    <w:rsid w:val="00872D18"/>
    <w:rsid w:val="0087342C"/>
    <w:rsid w:val="00873E01"/>
    <w:rsid w:val="008749F7"/>
    <w:rsid w:val="00874A2E"/>
    <w:rsid w:val="00874CDA"/>
    <w:rsid w:val="008753F2"/>
    <w:rsid w:val="008759F9"/>
    <w:rsid w:val="00875D8E"/>
    <w:rsid w:val="008764E5"/>
    <w:rsid w:val="0087654E"/>
    <w:rsid w:val="00876CF3"/>
    <w:rsid w:val="00877041"/>
    <w:rsid w:val="008773B7"/>
    <w:rsid w:val="00877D70"/>
    <w:rsid w:val="00877FA1"/>
    <w:rsid w:val="008802D3"/>
    <w:rsid w:val="0088092B"/>
    <w:rsid w:val="008809E8"/>
    <w:rsid w:val="00880CC1"/>
    <w:rsid w:val="00880DAE"/>
    <w:rsid w:val="00881991"/>
    <w:rsid w:val="008822F5"/>
    <w:rsid w:val="008827FE"/>
    <w:rsid w:val="00882B94"/>
    <w:rsid w:val="00882EC1"/>
    <w:rsid w:val="00882EEE"/>
    <w:rsid w:val="008836E9"/>
    <w:rsid w:val="00883819"/>
    <w:rsid w:val="008842FD"/>
    <w:rsid w:val="00884872"/>
    <w:rsid w:val="00884B92"/>
    <w:rsid w:val="00884F85"/>
    <w:rsid w:val="008851E5"/>
    <w:rsid w:val="00885A6D"/>
    <w:rsid w:val="00885A98"/>
    <w:rsid w:val="00885C98"/>
    <w:rsid w:val="00886265"/>
    <w:rsid w:val="008865DF"/>
    <w:rsid w:val="00887542"/>
    <w:rsid w:val="008876FC"/>
    <w:rsid w:val="00887AAB"/>
    <w:rsid w:val="008902C7"/>
    <w:rsid w:val="00890694"/>
    <w:rsid w:val="008907B2"/>
    <w:rsid w:val="00890DC2"/>
    <w:rsid w:val="00891000"/>
    <w:rsid w:val="008912D0"/>
    <w:rsid w:val="0089134B"/>
    <w:rsid w:val="008913CB"/>
    <w:rsid w:val="00891C35"/>
    <w:rsid w:val="00891E14"/>
    <w:rsid w:val="00891E67"/>
    <w:rsid w:val="008923C2"/>
    <w:rsid w:val="00892C67"/>
    <w:rsid w:val="00892EB7"/>
    <w:rsid w:val="008934FE"/>
    <w:rsid w:val="00893540"/>
    <w:rsid w:val="0089377E"/>
    <w:rsid w:val="00893B7E"/>
    <w:rsid w:val="00893D7F"/>
    <w:rsid w:val="00894841"/>
    <w:rsid w:val="00894922"/>
    <w:rsid w:val="00894AB1"/>
    <w:rsid w:val="00894E1F"/>
    <w:rsid w:val="00894E9E"/>
    <w:rsid w:val="008953A0"/>
    <w:rsid w:val="00895D3D"/>
    <w:rsid w:val="00896244"/>
    <w:rsid w:val="008962AC"/>
    <w:rsid w:val="008963AC"/>
    <w:rsid w:val="00896591"/>
    <w:rsid w:val="00896D1B"/>
    <w:rsid w:val="00896DBA"/>
    <w:rsid w:val="008970DA"/>
    <w:rsid w:val="00897301"/>
    <w:rsid w:val="0089782D"/>
    <w:rsid w:val="00897E78"/>
    <w:rsid w:val="008A0036"/>
    <w:rsid w:val="008A08E2"/>
    <w:rsid w:val="008A0A96"/>
    <w:rsid w:val="008A1400"/>
    <w:rsid w:val="008A1A21"/>
    <w:rsid w:val="008A2235"/>
    <w:rsid w:val="008A2546"/>
    <w:rsid w:val="008A29B4"/>
    <w:rsid w:val="008A2EF6"/>
    <w:rsid w:val="008A3679"/>
    <w:rsid w:val="008A39F5"/>
    <w:rsid w:val="008A3CF7"/>
    <w:rsid w:val="008A3D37"/>
    <w:rsid w:val="008A3E14"/>
    <w:rsid w:val="008A3F8F"/>
    <w:rsid w:val="008A4176"/>
    <w:rsid w:val="008A485C"/>
    <w:rsid w:val="008A4A61"/>
    <w:rsid w:val="008A4D24"/>
    <w:rsid w:val="008A4E21"/>
    <w:rsid w:val="008A4E88"/>
    <w:rsid w:val="008A501B"/>
    <w:rsid w:val="008A57E0"/>
    <w:rsid w:val="008A5C89"/>
    <w:rsid w:val="008A5FA1"/>
    <w:rsid w:val="008A6153"/>
    <w:rsid w:val="008A615A"/>
    <w:rsid w:val="008A6E1D"/>
    <w:rsid w:val="008A6FD8"/>
    <w:rsid w:val="008A7046"/>
    <w:rsid w:val="008A7D24"/>
    <w:rsid w:val="008A7D29"/>
    <w:rsid w:val="008A7DBA"/>
    <w:rsid w:val="008B0191"/>
    <w:rsid w:val="008B0B46"/>
    <w:rsid w:val="008B0B7A"/>
    <w:rsid w:val="008B12AF"/>
    <w:rsid w:val="008B130E"/>
    <w:rsid w:val="008B1BA7"/>
    <w:rsid w:val="008B1C9E"/>
    <w:rsid w:val="008B1DDA"/>
    <w:rsid w:val="008B2421"/>
    <w:rsid w:val="008B2BD3"/>
    <w:rsid w:val="008B2D56"/>
    <w:rsid w:val="008B2DA2"/>
    <w:rsid w:val="008B3349"/>
    <w:rsid w:val="008B33FA"/>
    <w:rsid w:val="008B392A"/>
    <w:rsid w:val="008B3A92"/>
    <w:rsid w:val="008B3B55"/>
    <w:rsid w:val="008B3C25"/>
    <w:rsid w:val="008B44EA"/>
    <w:rsid w:val="008B4AB7"/>
    <w:rsid w:val="008B5538"/>
    <w:rsid w:val="008B5658"/>
    <w:rsid w:val="008B5A67"/>
    <w:rsid w:val="008B65BD"/>
    <w:rsid w:val="008B7259"/>
    <w:rsid w:val="008B739A"/>
    <w:rsid w:val="008B7512"/>
    <w:rsid w:val="008B75AD"/>
    <w:rsid w:val="008B7811"/>
    <w:rsid w:val="008B794D"/>
    <w:rsid w:val="008B7F54"/>
    <w:rsid w:val="008C069F"/>
    <w:rsid w:val="008C0B36"/>
    <w:rsid w:val="008C0CCD"/>
    <w:rsid w:val="008C1342"/>
    <w:rsid w:val="008C15C0"/>
    <w:rsid w:val="008C167D"/>
    <w:rsid w:val="008C1BB7"/>
    <w:rsid w:val="008C1FC6"/>
    <w:rsid w:val="008C25E6"/>
    <w:rsid w:val="008C26F5"/>
    <w:rsid w:val="008C2DF7"/>
    <w:rsid w:val="008C3045"/>
    <w:rsid w:val="008C3667"/>
    <w:rsid w:val="008C37DE"/>
    <w:rsid w:val="008C3B47"/>
    <w:rsid w:val="008C413D"/>
    <w:rsid w:val="008C41BC"/>
    <w:rsid w:val="008C43A1"/>
    <w:rsid w:val="008C4853"/>
    <w:rsid w:val="008C4976"/>
    <w:rsid w:val="008C4D6F"/>
    <w:rsid w:val="008C4DF2"/>
    <w:rsid w:val="008C51D2"/>
    <w:rsid w:val="008C592B"/>
    <w:rsid w:val="008C5BE5"/>
    <w:rsid w:val="008C5C1E"/>
    <w:rsid w:val="008C5DC6"/>
    <w:rsid w:val="008C6176"/>
    <w:rsid w:val="008C6199"/>
    <w:rsid w:val="008C6498"/>
    <w:rsid w:val="008C654A"/>
    <w:rsid w:val="008C67CD"/>
    <w:rsid w:val="008D028D"/>
    <w:rsid w:val="008D02AB"/>
    <w:rsid w:val="008D03F1"/>
    <w:rsid w:val="008D1300"/>
    <w:rsid w:val="008D1811"/>
    <w:rsid w:val="008D1C0B"/>
    <w:rsid w:val="008D1C8A"/>
    <w:rsid w:val="008D1D43"/>
    <w:rsid w:val="008D23FD"/>
    <w:rsid w:val="008D26A5"/>
    <w:rsid w:val="008D27A9"/>
    <w:rsid w:val="008D2A2D"/>
    <w:rsid w:val="008D2DA7"/>
    <w:rsid w:val="008D30A6"/>
    <w:rsid w:val="008D321C"/>
    <w:rsid w:val="008D34C1"/>
    <w:rsid w:val="008D39BF"/>
    <w:rsid w:val="008D3DBF"/>
    <w:rsid w:val="008D3DFC"/>
    <w:rsid w:val="008D421B"/>
    <w:rsid w:val="008D4253"/>
    <w:rsid w:val="008D48F7"/>
    <w:rsid w:val="008D4AE8"/>
    <w:rsid w:val="008D4D15"/>
    <w:rsid w:val="008D5057"/>
    <w:rsid w:val="008D540D"/>
    <w:rsid w:val="008D5595"/>
    <w:rsid w:val="008D5665"/>
    <w:rsid w:val="008D57E5"/>
    <w:rsid w:val="008D5811"/>
    <w:rsid w:val="008D60DE"/>
    <w:rsid w:val="008D6432"/>
    <w:rsid w:val="008D6E2B"/>
    <w:rsid w:val="008D766E"/>
    <w:rsid w:val="008D7863"/>
    <w:rsid w:val="008D79ED"/>
    <w:rsid w:val="008E0270"/>
    <w:rsid w:val="008E054E"/>
    <w:rsid w:val="008E0B9E"/>
    <w:rsid w:val="008E10AC"/>
    <w:rsid w:val="008E1681"/>
    <w:rsid w:val="008E170F"/>
    <w:rsid w:val="008E1BA1"/>
    <w:rsid w:val="008E24DC"/>
    <w:rsid w:val="008E2A72"/>
    <w:rsid w:val="008E3B41"/>
    <w:rsid w:val="008E3B4B"/>
    <w:rsid w:val="008E4120"/>
    <w:rsid w:val="008E48D8"/>
    <w:rsid w:val="008E4AA6"/>
    <w:rsid w:val="008E5A77"/>
    <w:rsid w:val="008E5A7A"/>
    <w:rsid w:val="008E6283"/>
    <w:rsid w:val="008E6873"/>
    <w:rsid w:val="008E6C82"/>
    <w:rsid w:val="008E7D92"/>
    <w:rsid w:val="008E7FBB"/>
    <w:rsid w:val="008F0002"/>
    <w:rsid w:val="008F01C9"/>
    <w:rsid w:val="008F07FA"/>
    <w:rsid w:val="008F1214"/>
    <w:rsid w:val="008F15EB"/>
    <w:rsid w:val="008F16AA"/>
    <w:rsid w:val="008F1A32"/>
    <w:rsid w:val="008F21C4"/>
    <w:rsid w:val="008F233B"/>
    <w:rsid w:val="008F2700"/>
    <w:rsid w:val="008F2A68"/>
    <w:rsid w:val="008F2BB0"/>
    <w:rsid w:val="008F2C13"/>
    <w:rsid w:val="008F2EC3"/>
    <w:rsid w:val="008F3175"/>
    <w:rsid w:val="008F31C0"/>
    <w:rsid w:val="008F342E"/>
    <w:rsid w:val="008F389D"/>
    <w:rsid w:val="008F38A4"/>
    <w:rsid w:val="008F3B05"/>
    <w:rsid w:val="008F42AA"/>
    <w:rsid w:val="008F4342"/>
    <w:rsid w:val="008F4428"/>
    <w:rsid w:val="008F4703"/>
    <w:rsid w:val="008F475B"/>
    <w:rsid w:val="008F4772"/>
    <w:rsid w:val="008F4B28"/>
    <w:rsid w:val="008F4B37"/>
    <w:rsid w:val="008F545E"/>
    <w:rsid w:val="008F55F5"/>
    <w:rsid w:val="008F57FE"/>
    <w:rsid w:val="008F581F"/>
    <w:rsid w:val="008F6236"/>
    <w:rsid w:val="008F62A0"/>
    <w:rsid w:val="008F6799"/>
    <w:rsid w:val="008F6880"/>
    <w:rsid w:val="008F6B7F"/>
    <w:rsid w:val="008F749A"/>
    <w:rsid w:val="008F769B"/>
    <w:rsid w:val="008F7A83"/>
    <w:rsid w:val="00900BFC"/>
    <w:rsid w:val="00900F70"/>
    <w:rsid w:val="00901082"/>
    <w:rsid w:val="00901767"/>
    <w:rsid w:val="00901DCF"/>
    <w:rsid w:val="009020EA"/>
    <w:rsid w:val="00902C8C"/>
    <w:rsid w:val="0090332A"/>
    <w:rsid w:val="009035AA"/>
    <w:rsid w:val="009036E4"/>
    <w:rsid w:val="00903750"/>
    <w:rsid w:val="00903912"/>
    <w:rsid w:val="00903C8F"/>
    <w:rsid w:val="00904001"/>
    <w:rsid w:val="0090494E"/>
    <w:rsid w:val="00904EA4"/>
    <w:rsid w:val="00905013"/>
    <w:rsid w:val="009050DD"/>
    <w:rsid w:val="0090598C"/>
    <w:rsid w:val="0090608A"/>
    <w:rsid w:val="0090612D"/>
    <w:rsid w:val="009066CF"/>
    <w:rsid w:val="009072BA"/>
    <w:rsid w:val="00907387"/>
    <w:rsid w:val="009079BA"/>
    <w:rsid w:val="0091051E"/>
    <w:rsid w:val="00911662"/>
    <w:rsid w:val="00911A53"/>
    <w:rsid w:val="00911A5A"/>
    <w:rsid w:val="00911C0F"/>
    <w:rsid w:val="0091210B"/>
    <w:rsid w:val="0091361B"/>
    <w:rsid w:val="00913B7A"/>
    <w:rsid w:val="009148CE"/>
    <w:rsid w:val="00914F6C"/>
    <w:rsid w:val="00914FF7"/>
    <w:rsid w:val="009158F6"/>
    <w:rsid w:val="00915AD8"/>
    <w:rsid w:val="00915C5D"/>
    <w:rsid w:val="00915D69"/>
    <w:rsid w:val="00915ED2"/>
    <w:rsid w:val="00916495"/>
    <w:rsid w:val="0091682B"/>
    <w:rsid w:val="00916A2E"/>
    <w:rsid w:val="00917158"/>
    <w:rsid w:val="00917509"/>
    <w:rsid w:val="00917789"/>
    <w:rsid w:val="0092007D"/>
    <w:rsid w:val="00920CD4"/>
    <w:rsid w:val="00920D3F"/>
    <w:rsid w:val="009210B3"/>
    <w:rsid w:val="00921424"/>
    <w:rsid w:val="00922033"/>
    <w:rsid w:val="00922095"/>
    <w:rsid w:val="009221C5"/>
    <w:rsid w:val="00923202"/>
    <w:rsid w:val="009235BF"/>
    <w:rsid w:val="009243DE"/>
    <w:rsid w:val="00924C67"/>
    <w:rsid w:val="00925251"/>
    <w:rsid w:val="00925BEF"/>
    <w:rsid w:val="00925D01"/>
    <w:rsid w:val="00926B27"/>
    <w:rsid w:val="00926DAF"/>
    <w:rsid w:val="00927052"/>
    <w:rsid w:val="00927666"/>
    <w:rsid w:val="00927902"/>
    <w:rsid w:val="00927F77"/>
    <w:rsid w:val="00930310"/>
    <w:rsid w:val="009309C0"/>
    <w:rsid w:val="00930BF2"/>
    <w:rsid w:val="00930F06"/>
    <w:rsid w:val="00930FEB"/>
    <w:rsid w:val="00931A2F"/>
    <w:rsid w:val="00931AD9"/>
    <w:rsid w:val="00931B12"/>
    <w:rsid w:val="00931ECA"/>
    <w:rsid w:val="0093215B"/>
    <w:rsid w:val="009326BF"/>
    <w:rsid w:val="0093273E"/>
    <w:rsid w:val="00932CC5"/>
    <w:rsid w:val="00932E55"/>
    <w:rsid w:val="00933072"/>
    <w:rsid w:val="009331AE"/>
    <w:rsid w:val="0093355E"/>
    <w:rsid w:val="0093362C"/>
    <w:rsid w:val="00933722"/>
    <w:rsid w:val="00933B49"/>
    <w:rsid w:val="00933EFF"/>
    <w:rsid w:val="00933F48"/>
    <w:rsid w:val="00934189"/>
    <w:rsid w:val="009344FB"/>
    <w:rsid w:val="009346EF"/>
    <w:rsid w:val="0093481E"/>
    <w:rsid w:val="009348DB"/>
    <w:rsid w:val="00935603"/>
    <w:rsid w:val="0093562A"/>
    <w:rsid w:val="009357FD"/>
    <w:rsid w:val="00935A98"/>
    <w:rsid w:val="00935FCD"/>
    <w:rsid w:val="009360E9"/>
    <w:rsid w:val="0093648D"/>
    <w:rsid w:val="00936729"/>
    <w:rsid w:val="00937094"/>
    <w:rsid w:val="00937800"/>
    <w:rsid w:val="0093794D"/>
    <w:rsid w:val="00940011"/>
    <w:rsid w:val="009400AB"/>
    <w:rsid w:val="00940429"/>
    <w:rsid w:val="009415B3"/>
    <w:rsid w:val="009415BB"/>
    <w:rsid w:val="00941861"/>
    <w:rsid w:val="00941CD7"/>
    <w:rsid w:val="009421BB"/>
    <w:rsid w:val="00942816"/>
    <w:rsid w:val="00942B78"/>
    <w:rsid w:val="00942B97"/>
    <w:rsid w:val="00942D89"/>
    <w:rsid w:val="00943316"/>
    <w:rsid w:val="00944014"/>
    <w:rsid w:val="00944995"/>
    <w:rsid w:val="00945797"/>
    <w:rsid w:val="00945C39"/>
    <w:rsid w:val="00945CBC"/>
    <w:rsid w:val="00945CD9"/>
    <w:rsid w:val="00946BC3"/>
    <w:rsid w:val="00946F60"/>
    <w:rsid w:val="009475C2"/>
    <w:rsid w:val="00947AAA"/>
    <w:rsid w:val="00947F96"/>
    <w:rsid w:val="00947FD1"/>
    <w:rsid w:val="00950090"/>
    <w:rsid w:val="009501B9"/>
    <w:rsid w:val="0095021D"/>
    <w:rsid w:val="0095063C"/>
    <w:rsid w:val="00950890"/>
    <w:rsid w:val="009508F5"/>
    <w:rsid w:val="009533CE"/>
    <w:rsid w:val="0095356E"/>
    <w:rsid w:val="00953A99"/>
    <w:rsid w:val="00953F18"/>
    <w:rsid w:val="00953FEE"/>
    <w:rsid w:val="00954990"/>
    <w:rsid w:val="00954AC2"/>
    <w:rsid w:val="0095509F"/>
    <w:rsid w:val="00955194"/>
    <w:rsid w:val="00955309"/>
    <w:rsid w:val="0095552E"/>
    <w:rsid w:val="009555F4"/>
    <w:rsid w:val="00955655"/>
    <w:rsid w:val="00955798"/>
    <w:rsid w:val="009561E1"/>
    <w:rsid w:val="009562FD"/>
    <w:rsid w:val="009565BF"/>
    <w:rsid w:val="00956799"/>
    <w:rsid w:val="009567A5"/>
    <w:rsid w:val="00956913"/>
    <w:rsid w:val="0095691F"/>
    <w:rsid w:val="0095733B"/>
    <w:rsid w:val="009575CF"/>
    <w:rsid w:val="00957981"/>
    <w:rsid w:val="00957AC3"/>
    <w:rsid w:val="00957D01"/>
    <w:rsid w:val="00957D76"/>
    <w:rsid w:val="00960D11"/>
    <w:rsid w:val="00962643"/>
    <w:rsid w:val="0096271B"/>
    <w:rsid w:val="009629B1"/>
    <w:rsid w:val="00962BF0"/>
    <w:rsid w:val="00962FF4"/>
    <w:rsid w:val="00963DB7"/>
    <w:rsid w:val="00963F1B"/>
    <w:rsid w:val="009646C7"/>
    <w:rsid w:val="00964744"/>
    <w:rsid w:val="00964C7D"/>
    <w:rsid w:val="00964DF5"/>
    <w:rsid w:val="009650EF"/>
    <w:rsid w:val="0096516B"/>
    <w:rsid w:val="00965903"/>
    <w:rsid w:val="00965959"/>
    <w:rsid w:val="00965B4C"/>
    <w:rsid w:val="009667A0"/>
    <w:rsid w:val="009668CE"/>
    <w:rsid w:val="009668E5"/>
    <w:rsid w:val="0096708B"/>
    <w:rsid w:val="00967224"/>
    <w:rsid w:val="0096797F"/>
    <w:rsid w:val="00967F7A"/>
    <w:rsid w:val="009708F4"/>
    <w:rsid w:val="00970DAE"/>
    <w:rsid w:val="00971CCB"/>
    <w:rsid w:val="0097259D"/>
    <w:rsid w:val="00972656"/>
    <w:rsid w:val="00972686"/>
    <w:rsid w:val="00973174"/>
    <w:rsid w:val="009731BD"/>
    <w:rsid w:val="0097362A"/>
    <w:rsid w:val="009738F1"/>
    <w:rsid w:val="0097477E"/>
    <w:rsid w:val="00975701"/>
    <w:rsid w:val="009757A2"/>
    <w:rsid w:val="00975A07"/>
    <w:rsid w:val="00975B2F"/>
    <w:rsid w:val="00975EBF"/>
    <w:rsid w:val="0097604C"/>
    <w:rsid w:val="00976384"/>
    <w:rsid w:val="00976763"/>
    <w:rsid w:val="009767D3"/>
    <w:rsid w:val="009767EC"/>
    <w:rsid w:val="00976B3D"/>
    <w:rsid w:val="00976FA7"/>
    <w:rsid w:val="00977A9E"/>
    <w:rsid w:val="0098004E"/>
    <w:rsid w:val="0098047C"/>
    <w:rsid w:val="00980B5F"/>
    <w:rsid w:val="00980D68"/>
    <w:rsid w:val="0098142E"/>
    <w:rsid w:val="009818F5"/>
    <w:rsid w:val="0098203E"/>
    <w:rsid w:val="00982BB8"/>
    <w:rsid w:val="00983152"/>
    <w:rsid w:val="00983296"/>
    <w:rsid w:val="00983337"/>
    <w:rsid w:val="009837A7"/>
    <w:rsid w:val="009849F2"/>
    <w:rsid w:val="00984A7F"/>
    <w:rsid w:val="00984EB2"/>
    <w:rsid w:val="00984EB3"/>
    <w:rsid w:val="009851D0"/>
    <w:rsid w:val="00985B26"/>
    <w:rsid w:val="00985CDC"/>
    <w:rsid w:val="00986296"/>
    <w:rsid w:val="009866CC"/>
    <w:rsid w:val="0098676B"/>
    <w:rsid w:val="00986810"/>
    <w:rsid w:val="00986A1B"/>
    <w:rsid w:val="00986BD5"/>
    <w:rsid w:val="00987ACE"/>
    <w:rsid w:val="00987D5A"/>
    <w:rsid w:val="00987ED9"/>
    <w:rsid w:val="009901C0"/>
    <w:rsid w:val="009902F3"/>
    <w:rsid w:val="0099121F"/>
    <w:rsid w:val="00991872"/>
    <w:rsid w:val="00992622"/>
    <w:rsid w:val="00992C77"/>
    <w:rsid w:val="00993732"/>
    <w:rsid w:val="00993877"/>
    <w:rsid w:val="00993B32"/>
    <w:rsid w:val="00993CDD"/>
    <w:rsid w:val="00993F83"/>
    <w:rsid w:val="009942DC"/>
    <w:rsid w:val="00994512"/>
    <w:rsid w:val="0099481C"/>
    <w:rsid w:val="00994830"/>
    <w:rsid w:val="00994A6D"/>
    <w:rsid w:val="00994E93"/>
    <w:rsid w:val="009952B6"/>
    <w:rsid w:val="009953F6"/>
    <w:rsid w:val="0099541B"/>
    <w:rsid w:val="009962C2"/>
    <w:rsid w:val="00996437"/>
    <w:rsid w:val="00996550"/>
    <w:rsid w:val="00996B1D"/>
    <w:rsid w:val="00996D34"/>
    <w:rsid w:val="00996DE9"/>
    <w:rsid w:val="0099712B"/>
    <w:rsid w:val="009971FB"/>
    <w:rsid w:val="009975A1"/>
    <w:rsid w:val="00997964"/>
    <w:rsid w:val="00997B9F"/>
    <w:rsid w:val="009A081B"/>
    <w:rsid w:val="009A0C6E"/>
    <w:rsid w:val="009A119B"/>
    <w:rsid w:val="009A183C"/>
    <w:rsid w:val="009A1AED"/>
    <w:rsid w:val="009A1FE4"/>
    <w:rsid w:val="009A2654"/>
    <w:rsid w:val="009A2FCA"/>
    <w:rsid w:val="009A3273"/>
    <w:rsid w:val="009A3BF9"/>
    <w:rsid w:val="009A3ECA"/>
    <w:rsid w:val="009A4F5E"/>
    <w:rsid w:val="009A55D3"/>
    <w:rsid w:val="009A5621"/>
    <w:rsid w:val="009A56E1"/>
    <w:rsid w:val="009A5808"/>
    <w:rsid w:val="009A5857"/>
    <w:rsid w:val="009A58A3"/>
    <w:rsid w:val="009A5B3E"/>
    <w:rsid w:val="009A5C50"/>
    <w:rsid w:val="009A5E27"/>
    <w:rsid w:val="009A64FA"/>
    <w:rsid w:val="009A7654"/>
    <w:rsid w:val="009A7DBD"/>
    <w:rsid w:val="009B0687"/>
    <w:rsid w:val="009B0726"/>
    <w:rsid w:val="009B0F00"/>
    <w:rsid w:val="009B1301"/>
    <w:rsid w:val="009B1C46"/>
    <w:rsid w:val="009B1E00"/>
    <w:rsid w:val="009B1ED6"/>
    <w:rsid w:val="009B20CB"/>
    <w:rsid w:val="009B2209"/>
    <w:rsid w:val="009B25B3"/>
    <w:rsid w:val="009B271D"/>
    <w:rsid w:val="009B3518"/>
    <w:rsid w:val="009B356F"/>
    <w:rsid w:val="009B3ECC"/>
    <w:rsid w:val="009B3F7E"/>
    <w:rsid w:val="009B43AD"/>
    <w:rsid w:val="009B43FD"/>
    <w:rsid w:val="009B4BDD"/>
    <w:rsid w:val="009B4EEC"/>
    <w:rsid w:val="009B52CA"/>
    <w:rsid w:val="009B57EE"/>
    <w:rsid w:val="009B5818"/>
    <w:rsid w:val="009B5926"/>
    <w:rsid w:val="009B59CC"/>
    <w:rsid w:val="009B5B93"/>
    <w:rsid w:val="009B5DDB"/>
    <w:rsid w:val="009B5EE6"/>
    <w:rsid w:val="009B5FFE"/>
    <w:rsid w:val="009B63CE"/>
    <w:rsid w:val="009B6464"/>
    <w:rsid w:val="009B65D0"/>
    <w:rsid w:val="009B66A0"/>
    <w:rsid w:val="009B6786"/>
    <w:rsid w:val="009B72B2"/>
    <w:rsid w:val="009B78BE"/>
    <w:rsid w:val="009B7AF5"/>
    <w:rsid w:val="009B7FBA"/>
    <w:rsid w:val="009C0373"/>
    <w:rsid w:val="009C04B6"/>
    <w:rsid w:val="009C05BD"/>
    <w:rsid w:val="009C07EF"/>
    <w:rsid w:val="009C0D0C"/>
    <w:rsid w:val="009C0FA3"/>
    <w:rsid w:val="009C13DA"/>
    <w:rsid w:val="009C13FF"/>
    <w:rsid w:val="009C14F8"/>
    <w:rsid w:val="009C15EC"/>
    <w:rsid w:val="009C1670"/>
    <w:rsid w:val="009C1933"/>
    <w:rsid w:val="009C1BB0"/>
    <w:rsid w:val="009C1F14"/>
    <w:rsid w:val="009C202E"/>
    <w:rsid w:val="009C235A"/>
    <w:rsid w:val="009C2584"/>
    <w:rsid w:val="009C25B5"/>
    <w:rsid w:val="009C2D3A"/>
    <w:rsid w:val="009C2D56"/>
    <w:rsid w:val="009C2ED4"/>
    <w:rsid w:val="009C340E"/>
    <w:rsid w:val="009C367C"/>
    <w:rsid w:val="009C3798"/>
    <w:rsid w:val="009C37EF"/>
    <w:rsid w:val="009C39A6"/>
    <w:rsid w:val="009C3ED2"/>
    <w:rsid w:val="009C3FCA"/>
    <w:rsid w:val="009C40E3"/>
    <w:rsid w:val="009C4170"/>
    <w:rsid w:val="009C45BC"/>
    <w:rsid w:val="009C45E7"/>
    <w:rsid w:val="009C49C0"/>
    <w:rsid w:val="009C544A"/>
    <w:rsid w:val="009C5482"/>
    <w:rsid w:val="009C553D"/>
    <w:rsid w:val="009C558C"/>
    <w:rsid w:val="009C5D06"/>
    <w:rsid w:val="009C5D97"/>
    <w:rsid w:val="009C5E71"/>
    <w:rsid w:val="009C6472"/>
    <w:rsid w:val="009C6497"/>
    <w:rsid w:val="009C68BB"/>
    <w:rsid w:val="009C6959"/>
    <w:rsid w:val="009C6B77"/>
    <w:rsid w:val="009C7558"/>
    <w:rsid w:val="009C7799"/>
    <w:rsid w:val="009C7884"/>
    <w:rsid w:val="009C7C12"/>
    <w:rsid w:val="009C7CC8"/>
    <w:rsid w:val="009C7D08"/>
    <w:rsid w:val="009C7DF8"/>
    <w:rsid w:val="009D076B"/>
    <w:rsid w:val="009D07AA"/>
    <w:rsid w:val="009D0AD8"/>
    <w:rsid w:val="009D0E2A"/>
    <w:rsid w:val="009D1154"/>
    <w:rsid w:val="009D14B5"/>
    <w:rsid w:val="009D17B3"/>
    <w:rsid w:val="009D1E81"/>
    <w:rsid w:val="009D1F8E"/>
    <w:rsid w:val="009D27E1"/>
    <w:rsid w:val="009D28CA"/>
    <w:rsid w:val="009D2D9F"/>
    <w:rsid w:val="009D33AC"/>
    <w:rsid w:val="009D34F8"/>
    <w:rsid w:val="009D35A1"/>
    <w:rsid w:val="009D36F6"/>
    <w:rsid w:val="009D380F"/>
    <w:rsid w:val="009D3996"/>
    <w:rsid w:val="009D3C45"/>
    <w:rsid w:val="009D3D5D"/>
    <w:rsid w:val="009D432D"/>
    <w:rsid w:val="009D4447"/>
    <w:rsid w:val="009D45A8"/>
    <w:rsid w:val="009D46FE"/>
    <w:rsid w:val="009D492D"/>
    <w:rsid w:val="009D53A2"/>
    <w:rsid w:val="009D53B5"/>
    <w:rsid w:val="009D577C"/>
    <w:rsid w:val="009D57D7"/>
    <w:rsid w:val="009D587E"/>
    <w:rsid w:val="009D58C7"/>
    <w:rsid w:val="009D58EE"/>
    <w:rsid w:val="009D5C1E"/>
    <w:rsid w:val="009D5EB9"/>
    <w:rsid w:val="009D6242"/>
    <w:rsid w:val="009D6FFC"/>
    <w:rsid w:val="009D7656"/>
    <w:rsid w:val="009D7868"/>
    <w:rsid w:val="009D7AA2"/>
    <w:rsid w:val="009D7BE4"/>
    <w:rsid w:val="009D7C4E"/>
    <w:rsid w:val="009E0261"/>
    <w:rsid w:val="009E0A93"/>
    <w:rsid w:val="009E1522"/>
    <w:rsid w:val="009E16CC"/>
    <w:rsid w:val="009E1F9E"/>
    <w:rsid w:val="009E26C6"/>
    <w:rsid w:val="009E26E4"/>
    <w:rsid w:val="009E42C3"/>
    <w:rsid w:val="009E43F9"/>
    <w:rsid w:val="009E4BEB"/>
    <w:rsid w:val="009E52C5"/>
    <w:rsid w:val="009E52F5"/>
    <w:rsid w:val="009E55E0"/>
    <w:rsid w:val="009E56A8"/>
    <w:rsid w:val="009E5971"/>
    <w:rsid w:val="009E5E21"/>
    <w:rsid w:val="009E5FFB"/>
    <w:rsid w:val="009E658C"/>
    <w:rsid w:val="009E72D4"/>
    <w:rsid w:val="009E7432"/>
    <w:rsid w:val="009E76C2"/>
    <w:rsid w:val="009E78B7"/>
    <w:rsid w:val="009E78F4"/>
    <w:rsid w:val="009E795D"/>
    <w:rsid w:val="009E7B48"/>
    <w:rsid w:val="009E7D57"/>
    <w:rsid w:val="009E7EA5"/>
    <w:rsid w:val="009F0067"/>
    <w:rsid w:val="009F0069"/>
    <w:rsid w:val="009F0286"/>
    <w:rsid w:val="009F0B5F"/>
    <w:rsid w:val="009F0B7B"/>
    <w:rsid w:val="009F1126"/>
    <w:rsid w:val="009F1214"/>
    <w:rsid w:val="009F1C3E"/>
    <w:rsid w:val="009F1EEA"/>
    <w:rsid w:val="009F1F85"/>
    <w:rsid w:val="009F295F"/>
    <w:rsid w:val="009F3008"/>
    <w:rsid w:val="009F3229"/>
    <w:rsid w:val="009F32A4"/>
    <w:rsid w:val="009F3615"/>
    <w:rsid w:val="009F3F2C"/>
    <w:rsid w:val="009F3F9B"/>
    <w:rsid w:val="009F4AE8"/>
    <w:rsid w:val="009F4F19"/>
    <w:rsid w:val="009F528C"/>
    <w:rsid w:val="009F52C8"/>
    <w:rsid w:val="009F5371"/>
    <w:rsid w:val="009F55FA"/>
    <w:rsid w:val="009F5699"/>
    <w:rsid w:val="009F5710"/>
    <w:rsid w:val="009F5937"/>
    <w:rsid w:val="009F5C17"/>
    <w:rsid w:val="009F5F9F"/>
    <w:rsid w:val="009F6614"/>
    <w:rsid w:val="009F6D96"/>
    <w:rsid w:val="009F7024"/>
    <w:rsid w:val="009F70BF"/>
    <w:rsid w:val="009F73F0"/>
    <w:rsid w:val="00A000D5"/>
    <w:rsid w:val="00A00356"/>
    <w:rsid w:val="00A00458"/>
    <w:rsid w:val="00A006C7"/>
    <w:rsid w:val="00A007C8"/>
    <w:rsid w:val="00A00988"/>
    <w:rsid w:val="00A00BD2"/>
    <w:rsid w:val="00A00FD1"/>
    <w:rsid w:val="00A010B2"/>
    <w:rsid w:val="00A010EF"/>
    <w:rsid w:val="00A011AC"/>
    <w:rsid w:val="00A016A7"/>
    <w:rsid w:val="00A01B50"/>
    <w:rsid w:val="00A01C11"/>
    <w:rsid w:val="00A02057"/>
    <w:rsid w:val="00A0210E"/>
    <w:rsid w:val="00A02386"/>
    <w:rsid w:val="00A023C4"/>
    <w:rsid w:val="00A02596"/>
    <w:rsid w:val="00A025E8"/>
    <w:rsid w:val="00A02A73"/>
    <w:rsid w:val="00A02CF9"/>
    <w:rsid w:val="00A02EE2"/>
    <w:rsid w:val="00A02FD8"/>
    <w:rsid w:val="00A036D5"/>
    <w:rsid w:val="00A037BB"/>
    <w:rsid w:val="00A03C87"/>
    <w:rsid w:val="00A03E64"/>
    <w:rsid w:val="00A040A1"/>
    <w:rsid w:val="00A0452D"/>
    <w:rsid w:val="00A045BB"/>
    <w:rsid w:val="00A04C8E"/>
    <w:rsid w:val="00A04DF2"/>
    <w:rsid w:val="00A0500A"/>
    <w:rsid w:val="00A0548B"/>
    <w:rsid w:val="00A055A2"/>
    <w:rsid w:val="00A05FB9"/>
    <w:rsid w:val="00A06081"/>
    <w:rsid w:val="00A07000"/>
    <w:rsid w:val="00A07C77"/>
    <w:rsid w:val="00A1044F"/>
    <w:rsid w:val="00A10502"/>
    <w:rsid w:val="00A10648"/>
    <w:rsid w:val="00A10859"/>
    <w:rsid w:val="00A10D52"/>
    <w:rsid w:val="00A1163E"/>
    <w:rsid w:val="00A11851"/>
    <w:rsid w:val="00A11F89"/>
    <w:rsid w:val="00A12553"/>
    <w:rsid w:val="00A12F40"/>
    <w:rsid w:val="00A12F8F"/>
    <w:rsid w:val="00A13332"/>
    <w:rsid w:val="00A135F9"/>
    <w:rsid w:val="00A13FBB"/>
    <w:rsid w:val="00A14210"/>
    <w:rsid w:val="00A14826"/>
    <w:rsid w:val="00A14B89"/>
    <w:rsid w:val="00A14C9E"/>
    <w:rsid w:val="00A1544C"/>
    <w:rsid w:val="00A1565F"/>
    <w:rsid w:val="00A15923"/>
    <w:rsid w:val="00A160A8"/>
    <w:rsid w:val="00A16481"/>
    <w:rsid w:val="00A16EAD"/>
    <w:rsid w:val="00A16F6F"/>
    <w:rsid w:val="00A1720C"/>
    <w:rsid w:val="00A17B12"/>
    <w:rsid w:val="00A17B85"/>
    <w:rsid w:val="00A17E63"/>
    <w:rsid w:val="00A17F1C"/>
    <w:rsid w:val="00A20190"/>
    <w:rsid w:val="00A20315"/>
    <w:rsid w:val="00A20828"/>
    <w:rsid w:val="00A2099C"/>
    <w:rsid w:val="00A20CA4"/>
    <w:rsid w:val="00A20D0D"/>
    <w:rsid w:val="00A21419"/>
    <w:rsid w:val="00A2210A"/>
    <w:rsid w:val="00A221F5"/>
    <w:rsid w:val="00A22254"/>
    <w:rsid w:val="00A2225C"/>
    <w:rsid w:val="00A223B8"/>
    <w:rsid w:val="00A225C5"/>
    <w:rsid w:val="00A22654"/>
    <w:rsid w:val="00A22BDC"/>
    <w:rsid w:val="00A22DBE"/>
    <w:rsid w:val="00A231A2"/>
    <w:rsid w:val="00A231FF"/>
    <w:rsid w:val="00A23935"/>
    <w:rsid w:val="00A23AC9"/>
    <w:rsid w:val="00A23BDC"/>
    <w:rsid w:val="00A2451E"/>
    <w:rsid w:val="00A24D11"/>
    <w:rsid w:val="00A266A5"/>
    <w:rsid w:val="00A267D4"/>
    <w:rsid w:val="00A26B0D"/>
    <w:rsid w:val="00A26BEF"/>
    <w:rsid w:val="00A26ECA"/>
    <w:rsid w:val="00A30011"/>
    <w:rsid w:val="00A30205"/>
    <w:rsid w:val="00A3028B"/>
    <w:rsid w:val="00A302FC"/>
    <w:rsid w:val="00A30437"/>
    <w:rsid w:val="00A304DF"/>
    <w:rsid w:val="00A3058F"/>
    <w:rsid w:val="00A3087F"/>
    <w:rsid w:val="00A30994"/>
    <w:rsid w:val="00A309DB"/>
    <w:rsid w:val="00A30B9A"/>
    <w:rsid w:val="00A31157"/>
    <w:rsid w:val="00A31453"/>
    <w:rsid w:val="00A31B79"/>
    <w:rsid w:val="00A31EA1"/>
    <w:rsid w:val="00A3287A"/>
    <w:rsid w:val="00A32C42"/>
    <w:rsid w:val="00A33F80"/>
    <w:rsid w:val="00A34DC5"/>
    <w:rsid w:val="00A351C7"/>
    <w:rsid w:val="00A35689"/>
    <w:rsid w:val="00A357E5"/>
    <w:rsid w:val="00A35807"/>
    <w:rsid w:val="00A35D18"/>
    <w:rsid w:val="00A36878"/>
    <w:rsid w:val="00A36B0D"/>
    <w:rsid w:val="00A375CE"/>
    <w:rsid w:val="00A401BD"/>
    <w:rsid w:val="00A407C1"/>
    <w:rsid w:val="00A40C1A"/>
    <w:rsid w:val="00A40DDA"/>
    <w:rsid w:val="00A40FE8"/>
    <w:rsid w:val="00A41098"/>
    <w:rsid w:val="00A41CBB"/>
    <w:rsid w:val="00A41F94"/>
    <w:rsid w:val="00A42210"/>
    <w:rsid w:val="00A426CE"/>
    <w:rsid w:val="00A4271D"/>
    <w:rsid w:val="00A42DE6"/>
    <w:rsid w:val="00A42E69"/>
    <w:rsid w:val="00A4344A"/>
    <w:rsid w:val="00A43B06"/>
    <w:rsid w:val="00A43B0E"/>
    <w:rsid w:val="00A440CC"/>
    <w:rsid w:val="00A443B5"/>
    <w:rsid w:val="00A44881"/>
    <w:rsid w:val="00A449CD"/>
    <w:rsid w:val="00A44B9A"/>
    <w:rsid w:val="00A44CA8"/>
    <w:rsid w:val="00A44DF5"/>
    <w:rsid w:val="00A454CD"/>
    <w:rsid w:val="00A45B35"/>
    <w:rsid w:val="00A46316"/>
    <w:rsid w:val="00A46419"/>
    <w:rsid w:val="00A466EF"/>
    <w:rsid w:val="00A46767"/>
    <w:rsid w:val="00A46837"/>
    <w:rsid w:val="00A47103"/>
    <w:rsid w:val="00A47239"/>
    <w:rsid w:val="00A47D40"/>
    <w:rsid w:val="00A50179"/>
    <w:rsid w:val="00A50646"/>
    <w:rsid w:val="00A50C9B"/>
    <w:rsid w:val="00A5113C"/>
    <w:rsid w:val="00A5194D"/>
    <w:rsid w:val="00A5205A"/>
    <w:rsid w:val="00A5209E"/>
    <w:rsid w:val="00A52272"/>
    <w:rsid w:val="00A522D9"/>
    <w:rsid w:val="00A525EA"/>
    <w:rsid w:val="00A52767"/>
    <w:rsid w:val="00A52CA8"/>
    <w:rsid w:val="00A52CE5"/>
    <w:rsid w:val="00A52DD2"/>
    <w:rsid w:val="00A52FF9"/>
    <w:rsid w:val="00A5361F"/>
    <w:rsid w:val="00A536C2"/>
    <w:rsid w:val="00A5396F"/>
    <w:rsid w:val="00A53A58"/>
    <w:rsid w:val="00A5403D"/>
    <w:rsid w:val="00A542A6"/>
    <w:rsid w:val="00A547BC"/>
    <w:rsid w:val="00A55339"/>
    <w:rsid w:val="00A55532"/>
    <w:rsid w:val="00A5560C"/>
    <w:rsid w:val="00A55977"/>
    <w:rsid w:val="00A55A7D"/>
    <w:rsid w:val="00A55FA0"/>
    <w:rsid w:val="00A56191"/>
    <w:rsid w:val="00A56534"/>
    <w:rsid w:val="00A56B9D"/>
    <w:rsid w:val="00A56D48"/>
    <w:rsid w:val="00A575C7"/>
    <w:rsid w:val="00A576BD"/>
    <w:rsid w:val="00A5786D"/>
    <w:rsid w:val="00A579DE"/>
    <w:rsid w:val="00A6004D"/>
    <w:rsid w:val="00A600BB"/>
    <w:rsid w:val="00A600C7"/>
    <w:rsid w:val="00A600D6"/>
    <w:rsid w:val="00A601AA"/>
    <w:rsid w:val="00A60489"/>
    <w:rsid w:val="00A6063E"/>
    <w:rsid w:val="00A608F8"/>
    <w:rsid w:val="00A60AA0"/>
    <w:rsid w:val="00A60C15"/>
    <w:rsid w:val="00A60EF7"/>
    <w:rsid w:val="00A6146E"/>
    <w:rsid w:val="00A615DD"/>
    <w:rsid w:val="00A61650"/>
    <w:rsid w:val="00A61E6B"/>
    <w:rsid w:val="00A61E93"/>
    <w:rsid w:val="00A61EEA"/>
    <w:rsid w:val="00A625D7"/>
    <w:rsid w:val="00A62702"/>
    <w:rsid w:val="00A62CBA"/>
    <w:rsid w:val="00A62DC4"/>
    <w:rsid w:val="00A631AB"/>
    <w:rsid w:val="00A632CE"/>
    <w:rsid w:val="00A63326"/>
    <w:rsid w:val="00A6336D"/>
    <w:rsid w:val="00A63407"/>
    <w:rsid w:val="00A63AD3"/>
    <w:rsid w:val="00A63E8B"/>
    <w:rsid w:val="00A645C1"/>
    <w:rsid w:val="00A64B30"/>
    <w:rsid w:val="00A64C9E"/>
    <w:rsid w:val="00A64CFF"/>
    <w:rsid w:val="00A65767"/>
    <w:rsid w:val="00A65F4D"/>
    <w:rsid w:val="00A665D0"/>
    <w:rsid w:val="00A667F3"/>
    <w:rsid w:val="00A66AFA"/>
    <w:rsid w:val="00A66FA0"/>
    <w:rsid w:val="00A6715F"/>
    <w:rsid w:val="00A67264"/>
    <w:rsid w:val="00A675F4"/>
    <w:rsid w:val="00A702CE"/>
    <w:rsid w:val="00A703E4"/>
    <w:rsid w:val="00A70889"/>
    <w:rsid w:val="00A70DF3"/>
    <w:rsid w:val="00A71014"/>
    <w:rsid w:val="00A712F7"/>
    <w:rsid w:val="00A71379"/>
    <w:rsid w:val="00A717A2"/>
    <w:rsid w:val="00A71B30"/>
    <w:rsid w:val="00A71C0E"/>
    <w:rsid w:val="00A71DB2"/>
    <w:rsid w:val="00A71F69"/>
    <w:rsid w:val="00A724CE"/>
    <w:rsid w:val="00A7306D"/>
    <w:rsid w:val="00A733F1"/>
    <w:rsid w:val="00A737F6"/>
    <w:rsid w:val="00A73801"/>
    <w:rsid w:val="00A73933"/>
    <w:rsid w:val="00A73A85"/>
    <w:rsid w:val="00A73EDA"/>
    <w:rsid w:val="00A7407A"/>
    <w:rsid w:val="00A740F6"/>
    <w:rsid w:val="00A74297"/>
    <w:rsid w:val="00A74772"/>
    <w:rsid w:val="00A74EF7"/>
    <w:rsid w:val="00A7542E"/>
    <w:rsid w:val="00A7561B"/>
    <w:rsid w:val="00A757BC"/>
    <w:rsid w:val="00A75C5E"/>
    <w:rsid w:val="00A76634"/>
    <w:rsid w:val="00A76FEC"/>
    <w:rsid w:val="00A770A2"/>
    <w:rsid w:val="00A778D6"/>
    <w:rsid w:val="00A77C7B"/>
    <w:rsid w:val="00A77F21"/>
    <w:rsid w:val="00A80013"/>
    <w:rsid w:val="00A80188"/>
    <w:rsid w:val="00A8048A"/>
    <w:rsid w:val="00A806CD"/>
    <w:rsid w:val="00A806F9"/>
    <w:rsid w:val="00A80836"/>
    <w:rsid w:val="00A8093E"/>
    <w:rsid w:val="00A80C94"/>
    <w:rsid w:val="00A812C1"/>
    <w:rsid w:val="00A81FBC"/>
    <w:rsid w:val="00A823CB"/>
    <w:rsid w:val="00A82820"/>
    <w:rsid w:val="00A830C7"/>
    <w:rsid w:val="00A83252"/>
    <w:rsid w:val="00A83A29"/>
    <w:rsid w:val="00A83D93"/>
    <w:rsid w:val="00A83F45"/>
    <w:rsid w:val="00A83FA4"/>
    <w:rsid w:val="00A8465C"/>
    <w:rsid w:val="00A8486B"/>
    <w:rsid w:val="00A84B60"/>
    <w:rsid w:val="00A84D98"/>
    <w:rsid w:val="00A85156"/>
    <w:rsid w:val="00A85229"/>
    <w:rsid w:val="00A852C2"/>
    <w:rsid w:val="00A854E9"/>
    <w:rsid w:val="00A8569C"/>
    <w:rsid w:val="00A85FAB"/>
    <w:rsid w:val="00A8633F"/>
    <w:rsid w:val="00A86392"/>
    <w:rsid w:val="00A863A8"/>
    <w:rsid w:val="00A86432"/>
    <w:rsid w:val="00A86AA8"/>
    <w:rsid w:val="00A86F79"/>
    <w:rsid w:val="00A870B8"/>
    <w:rsid w:val="00A87482"/>
    <w:rsid w:val="00A87A82"/>
    <w:rsid w:val="00A87BD4"/>
    <w:rsid w:val="00A87DCB"/>
    <w:rsid w:val="00A904B2"/>
    <w:rsid w:val="00A90973"/>
    <w:rsid w:val="00A90A76"/>
    <w:rsid w:val="00A90DD5"/>
    <w:rsid w:val="00A90E35"/>
    <w:rsid w:val="00A90FCD"/>
    <w:rsid w:val="00A91152"/>
    <w:rsid w:val="00A9123C"/>
    <w:rsid w:val="00A915DE"/>
    <w:rsid w:val="00A91EC3"/>
    <w:rsid w:val="00A920B5"/>
    <w:rsid w:val="00A92924"/>
    <w:rsid w:val="00A92962"/>
    <w:rsid w:val="00A929C8"/>
    <w:rsid w:val="00A930CA"/>
    <w:rsid w:val="00A9347A"/>
    <w:rsid w:val="00A9375B"/>
    <w:rsid w:val="00A93E9D"/>
    <w:rsid w:val="00A9420C"/>
    <w:rsid w:val="00A947E6"/>
    <w:rsid w:val="00A94BC9"/>
    <w:rsid w:val="00A95886"/>
    <w:rsid w:val="00A960AC"/>
    <w:rsid w:val="00A961FD"/>
    <w:rsid w:val="00A971E8"/>
    <w:rsid w:val="00A9795F"/>
    <w:rsid w:val="00AA0004"/>
    <w:rsid w:val="00AA0896"/>
    <w:rsid w:val="00AA0FDD"/>
    <w:rsid w:val="00AA1C71"/>
    <w:rsid w:val="00AA1E56"/>
    <w:rsid w:val="00AA1E60"/>
    <w:rsid w:val="00AA221A"/>
    <w:rsid w:val="00AA239C"/>
    <w:rsid w:val="00AA2725"/>
    <w:rsid w:val="00AA2790"/>
    <w:rsid w:val="00AA2AB0"/>
    <w:rsid w:val="00AA37BD"/>
    <w:rsid w:val="00AA40B4"/>
    <w:rsid w:val="00AA4700"/>
    <w:rsid w:val="00AA47C0"/>
    <w:rsid w:val="00AA4A1D"/>
    <w:rsid w:val="00AA4C87"/>
    <w:rsid w:val="00AA5247"/>
    <w:rsid w:val="00AA55D7"/>
    <w:rsid w:val="00AA624B"/>
    <w:rsid w:val="00AA625B"/>
    <w:rsid w:val="00AA674A"/>
    <w:rsid w:val="00AA6CA2"/>
    <w:rsid w:val="00AA76FC"/>
    <w:rsid w:val="00AA79D2"/>
    <w:rsid w:val="00AA7EA7"/>
    <w:rsid w:val="00AB013F"/>
    <w:rsid w:val="00AB0276"/>
    <w:rsid w:val="00AB03B0"/>
    <w:rsid w:val="00AB13CB"/>
    <w:rsid w:val="00AB1594"/>
    <w:rsid w:val="00AB1B07"/>
    <w:rsid w:val="00AB1E0D"/>
    <w:rsid w:val="00AB1EE5"/>
    <w:rsid w:val="00AB1F19"/>
    <w:rsid w:val="00AB290A"/>
    <w:rsid w:val="00AB2F26"/>
    <w:rsid w:val="00AB35D0"/>
    <w:rsid w:val="00AB3944"/>
    <w:rsid w:val="00AB3A09"/>
    <w:rsid w:val="00AB470B"/>
    <w:rsid w:val="00AB4856"/>
    <w:rsid w:val="00AB50E5"/>
    <w:rsid w:val="00AB5D97"/>
    <w:rsid w:val="00AB5EA7"/>
    <w:rsid w:val="00AB61D3"/>
    <w:rsid w:val="00AB6925"/>
    <w:rsid w:val="00AB7198"/>
    <w:rsid w:val="00AB7E13"/>
    <w:rsid w:val="00AC0119"/>
    <w:rsid w:val="00AC039E"/>
    <w:rsid w:val="00AC0520"/>
    <w:rsid w:val="00AC05F3"/>
    <w:rsid w:val="00AC0BEB"/>
    <w:rsid w:val="00AC235F"/>
    <w:rsid w:val="00AC2904"/>
    <w:rsid w:val="00AC29CD"/>
    <w:rsid w:val="00AC3299"/>
    <w:rsid w:val="00AC34D2"/>
    <w:rsid w:val="00AC34DF"/>
    <w:rsid w:val="00AC366F"/>
    <w:rsid w:val="00AC39BF"/>
    <w:rsid w:val="00AC3A9C"/>
    <w:rsid w:val="00AC3CEC"/>
    <w:rsid w:val="00AC3F46"/>
    <w:rsid w:val="00AC41E4"/>
    <w:rsid w:val="00AC4432"/>
    <w:rsid w:val="00AC530F"/>
    <w:rsid w:val="00AC559A"/>
    <w:rsid w:val="00AC55B4"/>
    <w:rsid w:val="00AC5AC2"/>
    <w:rsid w:val="00AC5E3A"/>
    <w:rsid w:val="00AC6058"/>
    <w:rsid w:val="00AC613F"/>
    <w:rsid w:val="00AC643F"/>
    <w:rsid w:val="00AC658A"/>
    <w:rsid w:val="00AC6B36"/>
    <w:rsid w:val="00AC6D9B"/>
    <w:rsid w:val="00AC6E08"/>
    <w:rsid w:val="00AC7B6F"/>
    <w:rsid w:val="00AC7E20"/>
    <w:rsid w:val="00AD0E09"/>
    <w:rsid w:val="00AD136D"/>
    <w:rsid w:val="00AD1493"/>
    <w:rsid w:val="00AD20E9"/>
    <w:rsid w:val="00AD215E"/>
    <w:rsid w:val="00AD3070"/>
    <w:rsid w:val="00AD4239"/>
    <w:rsid w:val="00AD4AFE"/>
    <w:rsid w:val="00AD4D1D"/>
    <w:rsid w:val="00AD55FB"/>
    <w:rsid w:val="00AD5754"/>
    <w:rsid w:val="00AD5F58"/>
    <w:rsid w:val="00AD5F8F"/>
    <w:rsid w:val="00AD6242"/>
    <w:rsid w:val="00AD6247"/>
    <w:rsid w:val="00AD646E"/>
    <w:rsid w:val="00AD6F7E"/>
    <w:rsid w:val="00AD72E9"/>
    <w:rsid w:val="00AD7322"/>
    <w:rsid w:val="00AD77EF"/>
    <w:rsid w:val="00AD7D09"/>
    <w:rsid w:val="00AE027C"/>
    <w:rsid w:val="00AE03E8"/>
    <w:rsid w:val="00AE0738"/>
    <w:rsid w:val="00AE0C5C"/>
    <w:rsid w:val="00AE0E8C"/>
    <w:rsid w:val="00AE1341"/>
    <w:rsid w:val="00AE1C01"/>
    <w:rsid w:val="00AE21D6"/>
    <w:rsid w:val="00AE2E54"/>
    <w:rsid w:val="00AE33D1"/>
    <w:rsid w:val="00AE36E5"/>
    <w:rsid w:val="00AE378E"/>
    <w:rsid w:val="00AE39E4"/>
    <w:rsid w:val="00AE3AB4"/>
    <w:rsid w:val="00AE3DEA"/>
    <w:rsid w:val="00AE3E99"/>
    <w:rsid w:val="00AE467A"/>
    <w:rsid w:val="00AE4AD6"/>
    <w:rsid w:val="00AE4CBF"/>
    <w:rsid w:val="00AE4DEF"/>
    <w:rsid w:val="00AE4F8F"/>
    <w:rsid w:val="00AE51E8"/>
    <w:rsid w:val="00AE5763"/>
    <w:rsid w:val="00AE590C"/>
    <w:rsid w:val="00AE597E"/>
    <w:rsid w:val="00AE5E15"/>
    <w:rsid w:val="00AE63FA"/>
    <w:rsid w:val="00AE6F6B"/>
    <w:rsid w:val="00AE6F7C"/>
    <w:rsid w:val="00AE706E"/>
    <w:rsid w:val="00AE71D9"/>
    <w:rsid w:val="00AE77C0"/>
    <w:rsid w:val="00AE7970"/>
    <w:rsid w:val="00AF0687"/>
    <w:rsid w:val="00AF079C"/>
    <w:rsid w:val="00AF07AE"/>
    <w:rsid w:val="00AF0844"/>
    <w:rsid w:val="00AF0A1A"/>
    <w:rsid w:val="00AF1183"/>
    <w:rsid w:val="00AF15EB"/>
    <w:rsid w:val="00AF177C"/>
    <w:rsid w:val="00AF178A"/>
    <w:rsid w:val="00AF180F"/>
    <w:rsid w:val="00AF2168"/>
    <w:rsid w:val="00AF2611"/>
    <w:rsid w:val="00AF2D51"/>
    <w:rsid w:val="00AF2E3B"/>
    <w:rsid w:val="00AF2F97"/>
    <w:rsid w:val="00AF32BD"/>
    <w:rsid w:val="00AF3F2C"/>
    <w:rsid w:val="00AF45DD"/>
    <w:rsid w:val="00AF47A3"/>
    <w:rsid w:val="00AF480C"/>
    <w:rsid w:val="00AF4C0C"/>
    <w:rsid w:val="00AF4E17"/>
    <w:rsid w:val="00AF5752"/>
    <w:rsid w:val="00AF58B6"/>
    <w:rsid w:val="00AF5C0C"/>
    <w:rsid w:val="00AF6074"/>
    <w:rsid w:val="00AF615D"/>
    <w:rsid w:val="00AF61B5"/>
    <w:rsid w:val="00AF647D"/>
    <w:rsid w:val="00AF6702"/>
    <w:rsid w:val="00AF6A4F"/>
    <w:rsid w:val="00AF6BAC"/>
    <w:rsid w:val="00AF6F27"/>
    <w:rsid w:val="00AF71B0"/>
    <w:rsid w:val="00AF722F"/>
    <w:rsid w:val="00AF73E4"/>
    <w:rsid w:val="00AF7518"/>
    <w:rsid w:val="00AF764D"/>
    <w:rsid w:val="00AF7735"/>
    <w:rsid w:val="00AF7A04"/>
    <w:rsid w:val="00AF7BA2"/>
    <w:rsid w:val="00AF7C1D"/>
    <w:rsid w:val="00AF7D2E"/>
    <w:rsid w:val="00B00983"/>
    <w:rsid w:val="00B010F3"/>
    <w:rsid w:val="00B01214"/>
    <w:rsid w:val="00B0130B"/>
    <w:rsid w:val="00B0178A"/>
    <w:rsid w:val="00B01A76"/>
    <w:rsid w:val="00B01E59"/>
    <w:rsid w:val="00B020F1"/>
    <w:rsid w:val="00B02812"/>
    <w:rsid w:val="00B02E19"/>
    <w:rsid w:val="00B02E3F"/>
    <w:rsid w:val="00B02E8C"/>
    <w:rsid w:val="00B03E1E"/>
    <w:rsid w:val="00B0484A"/>
    <w:rsid w:val="00B0528B"/>
    <w:rsid w:val="00B059BC"/>
    <w:rsid w:val="00B05CAC"/>
    <w:rsid w:val="00B06772"/>
    <w:rsid w:val="00B0723B"/>
    <w:rsid w:val="00B072EF"/>
    <w:rsid w:val="00B0780D"/>
    <w:rsid w:val="00B078F9"/>
    <w:rsid w:val="00B07DA7"/>
    <w:rsid w:val="00B10812"/>
    <w:rsid w:val="00B108F0"/>
    <w:rsid w:val="00B10D74"/>
    <w:rsid w:val="00B110EE"/>
    <w:rsid w:val="00B1189B"/>
    <w:rsid w:val="00B11CD2"/>
    <w:rsid w:val="00B12CF2"/>
    <w:rsid w:val="00B12F67"/>
    <w:rsid w:val="00B132B3"/>
    <w:rsid w:val="00B137DE"/>
    <w:rsid w:val="00B13A4D"/>
    <w:rsid w:val="00B14674"/>
    <w:rsid w:val="00B14F33"/>
    <w:rsid w:val="00B156AF"/>
    <w:rsid w:val="00B156F3"/>
    <w:rsid w:val="00B1579E"/>
    <w:rsid w:val="00B157C1"/>
    <w:rsid w:val="00B157DA"/>
    <w:rsid w:val="00B15971"/>
    <w:rsid w:val="00B15D53"/>
    <w:rsid w:val="00B165B1"/>
    <w:rsid w:val="00B16BAA"/>
    <w:rsid w:val="00B16F83"/>
    <w:rsid w:val="00B17523"/>
    <w:rsid w:val="00B1777D"/>
    <w:rsid w:val="00B207D6"/>
    <w:rsid w:val="00B20A95"/>
    <w:rsid w:val="00B20CA2"/>
    <w:rsid w:val="00B21533"/>
    <w:rsid w:val="00B217CE"/>
    <w:rsid w:val="00B21BE4"/>
    <w:rsid w:val="00B22145"/>
    <w:rsid w:val="00B2219F"/>
    <w:rsid w:val="00B22631"/>
    <w:rsid w:val="00B22A08"/>
    <w:rsid w:val="00B22B80"/>
    <w:rsid w:val="00B2309D"/>
    <w:rsid w:val="00B231D8"/>
    <w:rsid w:val="00B232F7"/>
    <w:rsid w:val="00B23E06"/>
    <w:rsid w:val="00B23F41"/>
    <w:rsid w:val="00B2454A"/>
    <w:rsid w:val="00B245D7"/>
    <w:rsid w:val="00B247E9"/>
    <w:rsid w:val="00B24A7C"/>
    <w:rsid w:val="00B24B4B"/>
    <w:rsid w:val="00B24D2E"/>
    <w:rsid w:val="00B258FD"/>
    <w:rsid w:val="00B2591C"/>
    <w:rsid w:val="00B259A5"/>
    <w:rsid w:val="00B25B9D"/>
    <w:rsid w:val="00B271DB"/>
    <w:rsid w:val="00B272CB"/>
    <w:rsid w:val="00B27369"/>
    <w:rsid w:val="00B27A01"/>
    <w:rsid w:val="00B27ED1"/>
    <w:rsid w:val="00B3003E"/>
    <w:rsid w:val="00B3028B"/>
    <w:rsid w:val="00B30400"/>
    <w:rsid w:val="00B3043B"/>
    <w:rsid w:val="00B3067B"/>
    <w:rsid w:val="00B30838"/>
    <w:rsid w:val="00B31286"/>
    <w:rsid w:val="00B312B8"/>
    <w:rsid w:val="00B31A43"/>
    <w:rsid w:val="00B31C0C"/>
    <w:rsid w:val="00B31FB6"/>
    <w:rsid w:val="00B32096"/>
    <w:rsid w:val="00B32CB5"/>
    <w:rsid w:val="00B32E24"/>
    <w:rsid w:val="00B32E25"/>
    <w:rsid w:val="00B330BB"/>
    <w:rsid w:val="00B33374"/>
    <w:rsid w:val="00B33859"/>
    <w:rsid w:val="00B33CC1"/>
    <w:rsid w:val="00B33D14"/>
    <w:rsid w:val="00B33D30"/>
    <w:rsid w:val="00B33F15"/>
    <w:rsid w:val="00B35436"/>
    <w:rsid w:val="00B35826"/>
    <w:rsid w:val="00B362F8"/>
    <w:rsid w:val="00B364C2"/>
    <w:rsid w:val="00B3664A"/>
    <w:rsid w:val="00B36C27"/>
    <w:rsid w:val="00B36D3C"/>
    <w:rsid w:val="00B3701A"/>
    <w:rsid w:val="00B37213"/>
    <w:rsid w:val="00B3742D"/>
    <w:rsid w:val="00B377EB"/>
    <w:rsid w:val="00B405BB"/>
    <w:rsid w:val="00B40728"/>
    <w:rsid w:val="00B41A08"/>
    <w:rsid w:val="00B41B31"/>
    <w:rsid w:val="00B41B58"/>
    <w:rsid w:val="00B41E7A"/>
    <w:rsid w:val="00B42115"/>
    <w:rsid w:val="00B421AA"/>
    <w:rsid w:val="00B4229F"/>
    <w:rsid w:val="00B42A82"/>
    <w:rsid w:val="00B42D65"/>
    <w:rsid w:val="00B42E36"/>
    <w:rsid w:val="00B43160"/>
    <w:rsid w:val="00B434DB"/>
    <w:rsid w:val="00B4358C"/>
    <w:rsid w:val="00B44448"/>
    <w:rsid w:val="00B444E7"/>
    <w:rsid w:val="00B446B9"/>
    <w:rsid w:val="00B447AF"/>
    <w:rsid w:val="00B448DB"/>
    <w:rsid w:val="00B44A82"/>
    <w:rsid w:val="00B44C13"/>
    <w:rsid w:val="00B44CEE"/>
    <w:rsid w:val="00B44EFD"/>
    <w:rsid w:val="00B4502D"/>
    <w:rsid w:val="00B45050"/>
    <w:rsid w:val="00B45067"/>
    <w:rsid w:val="00B4509F"/>
    <w:rsid w:val="00B4519B"/>
    <w:rsid w:val="00B45395"/>
    <w:rsid w:val="00B453DD"/>
    <w:rsid w:val="00B45648"/>
    <w:rsid w:val="00B45770"/>
    <w:rsid w:val="00B465B1"/>
    <w:rsid w:val="00B46705"/>
    <w:rsid w:val="00B46C8F"/>
    <w:rsid w:val="00B46EFF"/>
    <w:rsid w:val="00B471F8"/>
    <w:rsid w:val="00B473C9"/>
    <w:rsid w:val="00B4753D"/>
    <w:rsid w:val="00B477DC"/>
    <w:rsid w:val="00B47B3E"/>
    <w:rsid w:val="00B47BA8"/>
    <w:rsid w:val="00B47C0E"/>
    <w:rsid w:val="00B50462"/>
    <w:rsid w:val="00B50D54"/>
    <w:rsid w:val="00B518EB"/>
    <w:rsid w:val="00B525C6"/>
    <w:rsid w:val="00B52696"/>
    <w:rsid w:val="00B52F92"/>
    <w:rsid w:val="00B532D4"/>
    <w:rsid w:val="00B53336"/>
    <w:rsid w:val="00B53850"/>
    <w:rsid w:val="00B54592"/>
    <w:rsid w:val="00B5492C"/>
    <w:rsid w:val="00B54966"/>
    <w:rsid w:val="00B54F98"/>
    <w:rsid w:val="00B55900"/>
    <w:rsid w:val="00B55F12"/>
    <w:rsid w:val="00B560F0"/>
    <w:rsid w:val="00B561D0"/>
    <w:rsid w:val="00B56291"/>
    <w:rsid w:val="00B562D7"/>
    <w:rsid w:val="00B56A34"/>
    <w:rsid w:val="00B570F9"/>
    <w:rsid w:val="00B5763F"/>
    <w:rsid w:val="00B57A2D"/>
    <w:rsid w:val="00B6019E"/>
    <w:rsid w:val="00B6050A"/>
    <w:rsid w:val="00B60734"/>
    <w:rsid w:val="00B60821"/>
    <w:rsid w:val="00B60DCF"/>
    <w:rsid w:val="00B6116D"/>
    <w:rsid w:val="00B61A20"/>
    <w:rsid w:val="00B62249"/>
    <w:rsid w:val="00B62325"/>
    <w:rsid w:val="00B62832"/>
    <w:rsid w:val="00B62BAB"/>
    <w:rsid w:val="00B63004"/>
    <w:rsid w:val="00B632C5"/>
    <w:rsid w:val="00B63375"/>
    <w:rsid w:val="00B63DBA"/>
    <w:rsid w:val="00B6410A"/>
    <w:rsid w:val="00B645E4"/>
    <w:rsid w:val="00B64660"/>
    <w:rsid w:val="00B64770"/>
    <w:rsid w:val="00B64A64"/>
    <w:rsid w:val="00B64B0C"/>
    <w:rsid w:val="00B64F1B"/>
    <w:rsid w:val="00B653C8"/>
    <w:rsid w:val="00B66004"/>
    <w:rsid w:val="00B66349"/>
    <w:rsid w:val="00B6634B"/>
    <w:rsid w:val="00B66AE4"/>
    <w:rsid w:val="00B66E40"/>
    <w:rsid w:val="00B70369"/>
    <w:rsid w:val="00B710A3"/>
    <w:rsid w:val="00B71485"/>
    <w:rsid w:val="00B714A5"/>
    <w:rsid w:val="00B715B1"/>
    <w:rsid w:val="00B71760"/>
    <w:rsid w:val="00B71F3D"/>
    <w:rsid w:val="00B72017"/>
    <w:rsid w:val="00B724C1"/>
    <w:rsid w:val="00B729D1"/>
    <w:rsid w:val="00B732E1"/>
    <w:rsid w:val="00B73A9A"/>
    <w:rsid w:val="00B73AE0"/>
    <w:rsid w:val="00B73ED4"/>
    <w:rsid w:val="00B7424E"/>
    <w:rsid w:val="00B74272"/>
    <w:rsid w:val="00B74FF0"/>
    <w:rsid w:val="00B75E74"/>
    <w:rsid w:val="00B769BD"/>
    <w:rsid w:val="00B76E63"/>
    <w:rsid w:val="00B76F86"/>
    <w:rsid w:val="00B771E6"/>
    <w:rsid w:val="00B77969"/>
    <w:rsid w:val="00B779EF"/>
    <w:rsid w:val="00B77D4E"/>
    <w:rsid w:val="00B77DB1"/>
    <w:rsid w:val="00B77E61"/>
    <w:rsid w:val="00B77F99"/>
    <w:rsid w:val="00B800F4"/>
    <w:rsid w:val="00B8024F"/>
    <w:rsid w:val="00B80452"/>
    <w:rsid w:val="00B807BF"/>
    <w:rsid w:val="00B80B76"/>
    <w:rsid w:val="00B80D11"/>
    <w:rsid w:val="00B8129D"/>
    <w:rsid w:val="00B8133C"/>
    <w:rsid w:val="00B8147C"/>
    <w:rsid w:val="00B8163A"/>
    <w:rsid w:val="00B81777"/>
    <w:rsid w:val="00B81924"/>
    <w:rsid w:val="00B82095"/>
    <w:rsid w:val="00B8268E"/>
    <w:rsid w:val="00B82732"/>
    <w:rsid w:val="00B828BA"/>
    <w:rsid w:val="00B82D2F"/>
    <w:rsid w:val="00B82FDB"/>
    <w:rsid w:val="00B83099"/>
    <w:rsid w:val="00B832CD"/>
    <w:rsid w:val="00B838ED"/>
    <w:rsid w:val="00B83BC4"/>
    <w:rsid w:val="00B8420B"/>
    <w:rsid w:val="00B84250"/>
    <w:rsid w:val="00B84424"/>
    <w:rsid w:val="00B849C6"/>
    <w:rsid w:val="00B84AFB"/>
    <w:rsid w:val="00B85953"/>
    <w:rsid w:val="00B85A85"/>
    <w:rsid w:val="00B85EF9"/>
    <w:rsid w:val="00B86282"/>
    <w:rsid w:val="00B86837"/>
    <w:rsid w:val="00B86A68"/>
    <w:rsid w:val="00B871AC"/>
    <w:rsid w:val="00B872D0"/>
    <w:rsid w:val="00B8736D"/>
    <w:rsid w:val="00B876BE"/>
    <w:rsid w:val="00B877EE"/>
    <w:rsid w:val="00B87872"/>
    <w:rsid w:val="00B879C9"/>
    <w:rsid w:val="00B9076C"/>
    <w:rsid w:val="00B909AC"/>
    <w:rsid w:val="00B90B6D"/>
    <w:rsid w:val="00B90B8C"/>
    <w:rsid w:val="00B91120"/>
    <w:rsid w:val="00B9178C"/>
    <w:rsid w:val="00B922C8"/>
    <w:rsid w:val="00B92408"/>
    <w:rsid w:val="00B9243A"/>
    <w:rsid w:val="00B92A9A"/>
    <w:rsid w:val="00B92EE2"/>
    <w:rsid w:val="00B92FC8"/>
    <w:rsid w:val="00B9332E"/>
    <w:rsid w:val="00B9336F"/>
    <w:rsid w:val="00B9354C"/>
    <w:rsid w:val="00B935EC"/>
    <w:rsid w:val="00B936D8"/>
    <w:rsid w:val="00B945D3"/>
    <w:rsid w:val="00B94B73"/>
    <w:rsid w:val="00B94C72"/>
    <w:rsid w:val="00B9549F"/>
    <w:rsid w:val="00B9582C"/>
    <w:rsid w:val="00B959AD"/>
    <w:rsid w:val="00B959BB"/>
    <w:rsid w:val="00B95D04"/>
    <w:rsid w:val="00B95D7E"/>
    <w:rsid w:val="00B96B86"/>
    <w:rsid w:val="00B972E6"/>
    <w:rsid w:val="00B97343"/>
    <w:rsid w:val="00B973AF"/>
    <w:rsid w:val="00BA000B"/>
    <w:rsid w:val="00BA04A8"/>
    <w:rsid w:val="00BA0E42"/>
    <w:rsid w:val="00BA13DC"/>
    <w:rsid w:val="00BA15DB"/>
    <w:rsid w:val="00BA1962"/>
    <w:rsid w:val="00BA1C88"/>
    <w:rsid w:val="00BA2072"/>
    <w:rsid w:val="00BA2EC5"/>
    <w:rsid w:val="00BA4A8D"/>
    <w:rsid w:val="00BA4C5D"/>
    <w:rsid w:val="00BA558E"/>
    <w:rsid w:val="00BA5D20"/>
    <w:rsid w:val="00BA631A"/>
    <w:rsid w:val="00BA688E"/>
    <w:rsid w:val="00BA68E9"/>
    <w:rsid w:val="00BA6B4E"/>
    <w:rsid w:val="00BA6BB2"/>
    <w:rsid w:val="00BA6DF6"/>
    <w:rsid w:val="00BA7432"/>
    <w:rsid w:val="00BA7640"/>
    <w:rsid w:val="00BA77A0"/>
    <w:rsid w:val="00BB001C"/>
    <w:rsid w:val="00BB002C"/>
    <w:rsid w:val="00BB019C"/>
    <w:rsid w:val="00BB0420"/>
    <w:rsid w:val="00BB0572"/>
    <w:rsid w:val="00BB0706"/>
    <w:rsid w:val="00BB085E"/>
    <w:rsid w:val="00BB0A71"/>
    <w:rsid w:val="00BB0E1C"/>
    <w:rsid w:val="00BB11F9"/>
    <w:rsid w:val="00BB140C"/>
    <w:rsid w:val="00BB1486"/>
    <w:rsid w:val="00BB150E"/>
    <w:rsid w:val="00BB1CB7"/>
    <w:rsid w:val="00BB1ED8"/>
    <w:rsid w:val="00BB2261"/>
    <w:rsid w:val="00BB2DD7"/>
    <w:rsid w:val="00BB3256"/>
    <w:rsid w:val="00BB344F"/>
    <w:rsid w:val="00BB37BB"/>
    <w:rsid w:val="00BB38F1"/>
    <w:rsid w:val="00BB3C1F"/>
    <w:rsid w:val="00BB45D7"/>
    <w:rsid w:val="00BB4D3D"/>
    <w:rsid w:val="00BB52C8"/>
    <w:rsid w:val="00BB5761"/>
    <w:rsid w:val="00BB57E9"/>
    <w:rsid w:val="00BB5BE5"/>
    <w:rsid w:val="00BB60E2"/>
    <w:rsid w:val="00BB66F7"/>
    <w:rsid w:val="00BB70AA"/>
    <w:rsid w:val="00BB7272"/>
    <w:rsid w:val="00BB78CF"/>
    <w:rsid w:val="00BB7D9E"/>
    <w:rsid w:val="00BC026A"/>
    <w:rsid w:val="00BC03A1"/>
    <w:rsid w:val="00BC03A3"/>
    <w:rsid w:val="00BC0E37"/>
    <w:rsid w:val="00BC10B3"/>
    <w:rsid w:val="00BC113A"/>
    <w:rsid w:val="00BC1244"/>
    <w:rsid w:val="00BC133E"/>
    <w:rsid w:val="00BC195E"/>
    <w:rsid w:val="00BC2158"/>
    <w:rsid w:val="00BC2232"/>
    <w:rsid w:val="00BC25CE"/>
    <w:rsid w:val="00BC266B"/>
    <w:rsid w:val="00BC2EE9"/>
    <w:rsid w:val="00BC33CA"/>
    <w:rsid w:val="00BC38A9"/>
    <w:rsid w:val="00BC39AA"/>
    <w:rsid w:val="00BC40B9"/>
    <w:rsid w:val="00BC4350"/>
    <w:rsid w:val="00BC43FC"/>
    <w:rsid w:val="00BC44D3"/>
    <w:rsid w:val="00BC4BA9"/>
    <w:rsid w:val="00BC5472"/>
    <w:rsid w:val="00BC59BB"/>
    <w:rsid w:val="00BC5B78"/>
    <w:rsid w:val="00BC62ED"/>
    <w:rsid w:val="00BC6552"/>
    <w:rsid w:val="00BC6559"/>
    <w:rsid w:val="00BC6904"/>
    <w:rsid w:val="00BC69DF"/>
    <w:rsid w:val="00BC6BB2"/>
    <w:rsid w:val="00BC6C6B"/>
    <w:rsid w:val="00BC6E20"/>
    <w:rsid w:val="00BC6E2B"/>
    <w:rsid w:val="00BC6E36"/>
    <w:rsid w:val="00BC6E78"/>
    <w:rsid w:val="00BC73FD"/>
    <w:rsid w:val="00BC7428"/>
    <w:rsid w:val="00BC77EB"/>
    <w:rsid w:val="00BC7A8E"/>
    <w:rsid w:val="00BC7B45"/>
    <w:rsid w:val="00BD05F4"/>
    <w:rsid w:val="00BD0F34"/>
    <w:rsid w:val="00BD121A"/>
    <w:rsid w:val="00BD1987"/>
    <w:rsid w:val="00BD261B"/>
    <w:rsid w:val="00BD32C7"/>
    <w:rsid w:val="00BD33D8"/>
    <w:rsid w:val="00BD33E2"/>
    <w:rsid w:val="00BD341B"/>
    <w:rsid w:val="00BD35FF"/>
    <w:rsid w:val="00BD3835"/>
    <w:rsid w:val="00BD3AF4"/>
    <w:rsid w:val="00BD3DA9"/>
    <w:rsid w:val="00BD3FDA"/>
    <w:rsid w:val="00BD4022"/>
    <w:rsid w:val="00BD43B3"/>
    <w:rsid w:val="00BD456E"/>
    <w:rsid w:val="00BD4DA0"/>
    <w:rsid w:val="00BD549B"/>
    <w:rsid w:val="00BD54E4"/>
    <w:rsid w:val="00BD5A05"/>
    <w:rsid w:val="00BD6BBF"/>
    <w:rsid w:val="00BD6D3A"/>
    <w:rsid w:val="00BD6F90"/>
    <w:rsid w:val="00BD7437"/>
    <w:rsid w:val="00BD7784"/>
    <w:rsid w:val="00BD79A2"/>
    <w:rsid w:val="00BD7B32"/>
    <w:rsid w:val="00BD7C42"/>
    <w:rsid w:val="00BE019F"/>
    <w:rsid w:val="00BE05B7"/>
    <w:rsid w:val="00BE1360"/>
    <w:rsid w:val="00BE14DA"/>
    <w:rsid w:val="00BE1B8F"/>
    <w:rsid w:val="00BE2275"/>
    <w:rsid w:val="00BE235B"/>
    <w:rsid w:val="00BE293C"/>
    <w:rsid w:val="00BE2B8D"/>
    <w:rsid w:val="00BE3174"/>
    <w:rsid w:val="00BE37C9"/>
    <w:rsid w:val="00BE389A"/>
    <w:rsid w:val="00BE3971"/>
    <w:rsid w:val="00BE39CE"/>
    <w:rsid w:val="00BE4214"/>
    <w:rsid w:val="00BE44F1"/>
    <w:rsid w:val="00BE463C"/>
    <w:rsid w:val="00BE4761"/>
    <w:rsid w:val="00BE50A7"/>
    <w:rsid w:val="00BE5272"/>
    <w:rsid w:val="00BE5BAF"/>
    <w:rsid w:val="00BE67AF"/>
    <w:rsid w:val="00BE68A1"/>
    <w:rsid w:val="00BE77F5"/>
    <w:rsid w:val="00BE7CD4"/>
    <w:rsid w:val="00BE7F07"/>
    <w:rsid w:val="00BF0433"/>
    <w:rsid w:val="00BF052F"/>
    <w:rsid w:val="00BF05A9"/>
    <w:rsid w:val="00BF072C"/>
    <w:rsid w:val="00BF11F0"/>
    <w:rsid w:val="00BF145F"/>
    <w:rsid w:val="00BF16B9"/>
    <w:rsid w:val="00BF1A0D"/>
    <w:rsid w:val="00BF1BDC"/>
    <w:rsid w:val="00BF1C27"/>
    <w:rsid w:val="00BF22A1"/>
    <w:rsid w:val="00BF2591"/>
    <w:rsid w:val="00BF2C4C"/>
    <w:rsid w:val="00BF3014"/>
    <w:rsid w:val="00BF3470"/>
    <w:rsid w:val="00BF35DD"/>
    <w:rsid w:val="00BF475B"/>
    <w:rsid w:val="00BF4E1A"/>
    <w:rsid w:val="00BF4EDC"/>
    <w:rsid w:val="00BF5150"/>
    <w:rsid w:val="00BF55F1"/>
    <w:rsid w:val="00BF5C06"/>
    <w:rsid w:val="00BF5C85"/>
    <w:rsid w:val="00BF6736"/>
    <w:rsid w:val="00BF68E3"/>
    <w:rsid w:val="00BF6A0F"/>
    <w:rsid w:val="00BF6ADD"/>
    <w:rsid w:val="00BF6B68"/>
    <w:rsid w:val="00BF74E0"/>
    <w:rsid w:val="00BF7558"/>
    <w:rsid w:val="00BF7E6F"/>
    <w:rsid w:val="00C00069"/>
    <w:rsid w:val="00C000D8"/>
    <w:rsid w:val="00C00953"/>
    <w:rsid w:val="00C00FCB"/>
    <w:rsid w:val="00C012A7"/>
    <w:rsid w:val="00C0180B"/>
    <w:rsid w:val="00C01A9C"/>
    <w:rsid w:val="00C01D02"/>
    <w:rsid w:val="00C01D5E"/>
    <w:rsid w:val="00C02B06"/>
    <w:rsid w:val="00C02DEA"/>
    <w:rsid w:val="00C03285"/>
    <w:rsid w:val="00C032D9"/>
    <w:rsid w:val="00C037BA"/>
    <w:rsid w:val="00C038B4"/>
    <w:rsid w:val="00C039DC"/>
    <w:rsid w:val="00C04236"/>
    <w:rsid w:val="00C04B0B"/>
    <w:rsid w:val="00C058FC"/>
    <w:rsid w:val="00C05A3A"/>
    <w:rsid w:val="00C05BAA"/>
    <w:rsid w:val="00C05C64"/>
    <w:rsid w:val="00C0620F"/>
    <w:rsid w:val="00C06EAB"/>
    <w:rsid w:val="00C06EB6"/>
    <w:rsid w:val="00C07044"/>
    <w:rsid w:val="00C0714E"/>
    <w:rsid w:val="00C07178"/>
    <w:rsid w:val="00C078B2"/>
    <w:rsid w:val="00C078BB"/>
    <w:rsid w:val="00C07A1A"/>
    <w:rsid w:val="00C07A38"/>
    <w:rsid w:val="00C109FC"/>
    <w:rsid w:val="00C11552"/>
    <w:rsid w:val="00C117B3"/>
    <w:rsid w:val="00C11C99"/>
    <w:rsid w:val="00C11CAC"/>
    <w:rsid w:val="00C11EE2"/>
    <w:rsid w:val="00C12336"/>
    <w:rsid w:val="00C12FE9"/>
    <w:rsid w:val="00C134AE"/>
    <w:rsid w:val="00C1361B"/>
    <w:rsid w:val="00C1397E"/>
    <w:rsid w:val="00C139D1"/>
    <w:rsid w:val="00C13E59"/>
    <w:rsid w:val="00C13F08"/>
    <w:rsid w:val="00C13F70"/>
    <w:rsid w:val="00C14453"/>
    <w:rsid w:val="00C14AD5"/>
    <w:rsid w:val="00C15514"/>
    <w:rsid w:val="00C15720"/>
    <w:rsid w:val="00C163C3"/>
    <w:rsid w:val="00C164EB"/>
    <w:rsid w:val="00C16B70"/>
    <w:rsid w:val="00C16E48"/>
    <w:rsid w:val="00C170D0"/>
    <w:rsid w:val="00C171DB"/>
    <w:rsid w:val="00C17549"/>
    <w:rsid w:val="00C17558"/>
    <w:rsid w:val="00C1769B"/>
    <w:rsid w:val="00C17D4D"/>
    <w:rsid w:val="00C17D6F"/>
    <w:rsid w:val="00C17F5C"/>
    <w:rsid w:val="00C20916"/>
    <w:rsid w:val="00C20A19"/>
    <w:rsid w:val="00C20C4F"/>
    <w:rsid w:val="00C20C9F"/>
    <w:rsid w:val="00C20FAF"/>
    <w:rsid w:val="00C21851"/>
    <w:rsid w:val="00C21905"/>
    <w:rsid w:val="00C21962"/>
    <w:rsid w:val="00C21B71"/>
    <w:rsid w:val="00C21C95"/>
    <w:rsid w:val="00C223A0"/>
    <w:rsid w:val="00C2249F"/>
    <w:rsid w:val="00C225AF"/>
    <w:rsid w:val="00C22838"/>
    <w:rsid w:val="00C22839"/>
    <w:rsid w:val="00C22D46"/>
    <w:rsid w:val="00C22EFA"/>
    <w:rsid w:val="00C23159"/>
    <w:rsid w:val="00C2369C"/>
    <w:rsid w:val="00C239C4"/>
    <w:rsid w:val="00C23DDE"/>
    <w:rsid w:val="00C23E81"/>
    <w:rsid w:val="00C2403F"/>
    <w:rsid w:val="00C240A8"/>
    <w:rsid w:val="00C24602"/>
    <w:rsid w:val="00C24E4D"/>
    <w:rsid w:val="00C24E54"/>
    <w:rsid w:val="00C250A4"/>
    <w:rsid w:val="00C25246"/>
    <w:rsid w:val="00C252CD"/>
    <w:rsid w:val="00C252D0"/>
    <w:rsid w:val="00C257FC"/>
    <w:rsid w:val="00C25988"/>
    <w:rsid w:val="00C2677F"/>
    <w:rsid w:val="00C26881"/>
    <w:rsid w:val="00C26A70"/>
    <w:rsid w:val="00C27372"/>
    <w:rsid w:val="00C273C2"/>
    <w:rsid w:val="00C27462"/>
    <w:rsid w:val="00C2767C"/>
    <w:rsid w:val="00C27DAD"/>
    <w:rsid w:val="00C304B2"/>
    <w:rsid w:val="00C30FEE"/>
    <w:rsid w:val="00C31091"/>
    <w:rsid w:val="00C31541"/>
    <w:rsid w:val="00C31E88"/>
    <w:rsid w:val="00C32069"/>
    <w:rsid w:val="00C32272"/>
    <w:rsid w:val="00C32BDC"/>
    <w:rsid w:val="00C32E0D"/>
    <w:rsid w:val="00C333AD"/>
    <w:rsid w:val="00C333DB"/>
    <w:rsid w:val="00C33439"/>
    <w:rsid w:val="00C338E1"/>
    <w:rsid w:val="00C33E4D"/>
    <w:rsid w:val="00C33F46"/>
    <w:rsid w:val="00C34943"/>
    <w:rsid w:val="00C34AFE"/>
    <w:rsid w:val="00C34FB0"/>
    <w:rsid w:val="00C35003"/>
    <w:rsid w:val="00C35172"/>
    <w:rsid w:val="00C353B5"/>
    <w:rsid w:val="00C357AF"/>
    <w:rsid w:val="00C3608E"/>
    <w:rsid w:val="00C365B3"/>
    <w:rsid w:val="00C366A9"/>
    <w:rsid w:val="00C36AB1"/>
    <w:rsid w:val="00C36E31"/>
    <w:rsid w:val="00C37ED3"/>
    <w:rsid w:val="00C4047D"/>
    <w:rsid w:val="00C404FF"/>
    <w:rsid w:val="00C406D6"/>
    <w:rsid w:val="00C4096D"/>
    <w:rsid w:val="00C40A4D"/>
    <w:rsid w:val="00C41019"/>
    <w:rsid w:val="00C412AD"/>
    <w:rsid w:val="00C415A8"/>
    <w:rsid w:val="00C417FB"/>
    <w:rsid w:val="00C4187F"/>
    <w:rsid w:val="00C41AB9"/>
    <w:rsid w:val="00C41EEC"/>
    <w:rsid w:val="00C4208A"/>
    <w:rsid w:val="00C422E2"/>
    <w:rsid w:val="00C42415"/>
    <w:rsid w:val="00C42802"/>
    <w:rsid w:val="00C4286C"/>
    <w:rsid w:val="00C42A3F"/>
    <w:rsid w:val="00C42B2E"/>
    <w:rsid w:val="00C430DC"/>
    <w:rsid w:val="00C43364"/>
    <w:rsid w:val="00C434FB"/>
    <w:rsid w:val="00C4391E"/>
    <w:rsid w:val="00C43DB7"/>
    <w:rsid w:val="00C44207"/>
    <w:rsid w:val="00C445F3"/>
    <w:rsid w:val="00C458EB"/>
    <w:rsid w:val="00C45995"/>
    <w:rsid w:val="00C45FCE"/>
    <w:rsid w:val="00C462FD"/>
    <w:rsid w:val="00C463B0"/>
    <w:rsid w:val="00C46760"/>
    <w:rsid w:val="00C46EC3"/>
    <w:rsid w:val="00C47182"/>
    <w:rsid w:val="00C47297"/>
    <w:rsid w:val="00C479CE"/>
    <w:rsid w:val="00C5020C"/>
    <w:rsid w:val="00C5040C"/>
    <w:rsid w:val="00C50418"/>
    <w:rsid w:val="00C50562"/>
    <w:rsid w:val="00C50B3E"/>
    <w:rsid w:val="00C50D57"/>
    <w:rsid w:val="00C51051"/>
    <w:rsid w:val="00C5120E"/>
    <w:rsid w:val="00C51507"/>
    <w:rsid w:val="00C51D49"/>
    <w:rsid w:val="00C51DAA"/>
    <w:rsid w:val="00C5260E"/>
    <w:rsid w:val="00C527C4"/>
    <w:rsid w:val="00C52B10"/>
    <w:rsid w:val="00C531A6"/>
    <w:rsid w:val="00C53482"/>
    <w:rsid w:val="00C53AF6"/>
    <w:rsid w:val="00C541FB"/>
    <w:rsid w:val="00C5458C"/>
    <w:rsid w:val="00C54ACA"/>
    <w:rsid w:val="00C55547"/>
    <w:rsid w:val="00C55A23"/>
    <w:rsid w:val="00C55ED5"/>
    <w:rsid w:val="00C560FD"/>
    <w:rsid w:val="00C5649A"/>
    <w:rsid w:val="00C5725C"/>
    <w:rsid w:val="00C576F0"/>
    <w:rsid w:val="00C57751"/>
    <w:rsid w:val="00C57E4D"/>
    <w:rsid w:val="00C57E95"/>
    <w:rsid w:val="00C611BC"/>
    <w:rsid w:val="00C6159C"/>
    <w:rsid w:val="00C61921"/>
    <w:rsid w:val="00C61E73"/>
    <w:rsid w:val="00C6244F"/>
    <w:rsid w:val="00C62524"/>
    <w:rsid w:val="00C62A0A"/>
    <w:rsid w:val="00C62E93"/>
    <w:rsid w:val="00C62EAC"/>
    <w:rsid w:val="00C632FB"/>
    <w:rsid w:val="00C636D1"/>
    <w:rsid w:val="00C638CA"/>
    <w:rsid w:val="00C64474"/>
    <w:rsid w:val="00C64A72"/>
    <w:rsid w:val="00C64D45"/>
    <w:rsid w:val="00C653A5"/>
    <w:rsid w:val="00C65D22"/>
    <w:rsid w:val="00C6619A"/>
    <w:rsid w:val="00C6624D"/>
    <w:rsid w:val="00C664C5"/>
    <w:rsid w:val="00C665BB"/>
    <w:rsid w:val="00C66A2D"/>
    <w:rsid w:val="00C6757A"/>
    <w:rsid w:val="00C67722"/>
    <w:rsid w:val="00C67F10"/>
    <w:rsid w:val="00C70293"/>
    <w:rsid w:val="00C7058B"/>
    <w:rsid w:val="00C705DB"/>
    <w:rsid w:val="00C707BD"/>
    <w:rsid w:val="00C70BF7"/>
    <w:rsid w:val="00C70D53"/>
    <w:rsid w:val="00C7199E"/>
    <w:rsid w:val="00C71A45"/>
    <w:rsid w:val="00C71DA8"/>
    <w:rsid w:val="00C71ED7"/>
    <w:rsid w:val="00C72604"/>
    <w:rsid w:val="00C72632"/>
    <w:rsid w:val="00C726E3"/>
    <w:rsid w:val="00C72E39"/>
    <w:rsid w:val="00C7324E"/>
    <w:rsid w:val="00C74035"/>
    <w:rsid w:val="00C74A01"/>
    <w:rsid w:val="00C74BD8"/>
    <w:rsid w:val="00C74CB5"/>
    <w:rsid w:val="00C74CC9"/>
    <w:rsid w:val="00C75009"/>
    <w:rsid w:val="00C751DF"/>
    <w:rsid w:val="00C757FC"/>
    <w:rsid w:val="00C75864"/>
    <w:rsid w:val="00C764D6"/>
    <w:rsid w:val="00C765F6"/>
    <w:rsid w:val="00C7723D"/>
    <w:rsid w:val="00C77307"/>
    <w:rsid w:val="00C777C8"/>
    <w:rsid w:val="00C77835"/>
    <w:rsid w:val="00C7788D"/>
    <w:rsid w:val="00C77CC9"/>
    <w:rsid w:val="00C800D8"/>
    <w:rsid w:val="00C80163"/>
    <w:rsid w:val="00C8040A"/>
    <w:rsid w:val="00C80977"/>
    <w:rsid w:val="00C80C4D"/>
    <w:rsid w:val="00C80C5D"/>
    <w:rsid w:val="00C80DB1"/>
    <w:rsid w:val="00C81068"/>
    <w:rsid w:val="00C81085"/>
    <w:rsid w:val="00C81198"/>
    <w:rsid w:val="00C813CE"/>
    <w:rsid w:val="00C8142B"/>
    <w:rsid w:val="00C814F4"/>
    <w:rsid w:val="00C8181B"/>
    <w:rsid w:val="00C818E6"/>
    <w:rsid w:val="00C818EC"/>
    <w:rsid w:val="00C81985"/>
    <w:rsid w:val="00C81F41"/>
    <w:rsid w:val="00C82A4E"/>
    <w:rsid w:val="00C82D61"/>
    <w:rsid w:val="00C82EB2"/>
    <w:rsid w:val="00C83EFC"/>
    <w:rsid w:val="00C84358"/>
    <w:rsid w:val="00C8566A"/>
    <w:rsid w:val="00C85B24"/>
    <w:rsid w:val="00C85B94"/>
    <w:rsid w:val="00C85D1E"/>
    <w:rsid w:val="00C85E16"/>
    <w:rsid w:val="00C85FFB"/>
    <w:rsid w:val="00C861EA"/>
    <w:rsid w:val="00C8657E"/>
    <w:rsid w:val="00C866A1"/>
    <w:rsid w:val="00C8676D"/>
    <w:rsid w:val="00C867C7"/>
    <w:rsid w:val="00C86AA2"/>
    <w:rsid w:val="00C86BAE"/>
    <w:rsid w:val="00C86E58"/>
    <w:rsid w:val="00C871A8"/>
    <w:rsid w:val="00C8750E"/>
    <w:rsid w:val="00C87B92"/>
    <w:rsid w:val="00C9003C"/>
    <w:rsid w:val="00C903A1"/>
    <w:rsid w:val="00C90406"/>
    <w:rsid w:val="00C90500"/>
    <w:rsid w:val="00C90884"/>
    <w:rsid w:val="00C90C6C"/>
    <w:rsid w:val="00C91849"/>
    <w:rsid w:val="00C91D77"/>
    <w:rsid w:val="00C91E47"/>
    <w:rsid w:val="00C92305"/>
    <w:rsid w:val="00C923F5"/>
    <w:rsid w:val="00C924AF"/>
    <w:rsid w:val="00C929E1"/>
    <w:rsid w:val="00C930FC"/>
    <w:rsid w:val="00C93154"/>
    <w:rsid w:val="00C931C7"/>
    <w:rsid w:val="00C932D0"/>
    <w:rsid w:val="00C93AA7"/>
    <w:rsid w:val="00C93E10"/>
    <w:rsid w:val="00C93EF5"/>
    <w:rsid w:val="00C94A83"/>
    <w:rsid w:val="00C94BAC"/>
    <w:rsid w:val="00C950EF"/>
    <w:rsid w:val="00C95802"/>
    <w:rsid w:val="00C95947"/>
    <w:rsid w:val="00C9607A"/>
    <w:rsid w:val="00C960F8"/>
    <w:rsid w:val="00C961D7"/>
    <w:rsid w:val="00C962F2"/>
    <w:rsid w:val="00C9640E"/>
    <w:rsid w:val="00C96C31"/>
    <w:rsid w:val="00C96ECD"/>
    <w:rsid w:val="00C9779E"/>
    <w:rsid w:val="00C977A4"/>
    <w:rsid w:val="00C97F26"/>
    <w:rsid w:val="00C97FEB"/>
    <w:rsid w:val="00CA0101"/>
    <w:rsid w:val="00CA03DA"/>
    <w:rsid w:val="00CA0714"/>
    <w:rsid w:val="00CA078E"/>
    <w:rsid w:val="00CA0990"/>
    <w:rsid w:val="00CA0B67"/>
    <w:rsid w:val="00CA0D72"/>
    <w:rsid w:val="00CA0FA6"/>
    <w:rsid w:val="00CA128B"/>
    <w:rsid w:val="00CA1602"/>
    <w:rsid w:val="00CA16CA"/>
    <w:rsid w:val="00CA2368"/>
    <w:rsid w:val="00CA295C"/>
    <w:rsid w:val="00CA2A2D"/>
    <w:rsid w:val="00CA2C0C"/>
    <w:rsid w:val="00CA3252"/>
    <w:rsid w:val="00CA331A"/>
    <w:rsid w:val="00CA3452"/>
    <w:rsid w:val="00CA34AE"/>
    <w:rsid w:val="00CA459A"/>
    <w:rsid w:val="00CA5391"/>
    <w:rsid w:val="00CA5C7B"/>
    <w:rsid w:val="00CA5D5D"/>
    <w:rsid w:val="00CA5DAD"/>
    <w:rsid w:val="00CA60A5"/>
    <w:rsid w:val="00CA610E"/>
    <w:rsid w:val="00CA62E6"/>
    <w:rsid w:val="00CA63AB"/>
    <w:rsid w:val="00CA64F6"/>
    <w:rsid w:val="00CA67AF"/>
    <w:rsid w:val="00CA69EA"/>
    <w:rsid w:val="00CB0064"/>
    <w:rsid w:val="00CB01D6"/>
    <w:rsid w:val="00CB09C9"/>
    <w:rsid w:val="00CB103A"/>
    <w:rsid w:val="00CB1851"/>
    <w:rsid w:val="00CB20CD"/>
    <w:rsid w:val="00CB235F"/>
    <w:rsid w:val="00CB23D2"/>
    <w:rsid w:val="00CB2672"/>
    <w:rsid w:val="00CB28E4"/>
    <w:rsid w:val="00CB2B0A"/>
    <w:rsid w:val="00CB2B2C"/>
    <w:rsid w:val="00CB2B63"/>
    <w:rsid w:val="00CB2C8D"/>
    <w:rsid w:val="00CB30D1"/>
    <w:rsid w:val="00CB322C"/>
    <w:rsid w:val="00CB33EA"/>
    <w:rsid w:val="00CB382E"/>
    <w:rsid w:val="00CB38ED"/>
    <w:rsid w:val="00CB459A"/>
    <w:rsid w:val="00CB52DE"/>
    <w:rsid w:val="00CB5860"/>
    <w:rsid w:val="00CB5AD4"/>
    <w:rsid w:val="00CB5D20"/>
    <w:rsid w:val="00CB5F70"/>
    <w:rsid w:val="00CB5FE5"/>
    <w:rsid w:val="00CB6239"/>
    <w:rsid w:val="00CB6AC0"/>
    <w:rsid w:val="00CB6CD9"/>
    <w:rsid w:val="00CB6F17"/>
    <w:rsid w:val="00CB71A6"/>
    <w:rsid w:val="00CB71E3"/>
    <w:rsid w:val="00CB7724"/>
    <w:rsid w:val="00CB797E"/>
    <w:rsid w:val="00CB7E29"/>
    <w:rsid w:val="00CC017D"/>
    <w:rsid w:val="00CC0677"/>
    <w:rsid w:val="00CC0921"/>
    <w:rsid w:val="00CC0961"/>
    <w:rsid w:val="00CC0A31"/>
    <w:rsid w:val="00CC0ED8"/>
    <w:rsid w:val="00CC1329"/>
    <w:rsid w:val="00CC1365"/>
    <w:rsid w:val="00CC1631"/>
    <w:rsid w:val="00CC18C2"/>
    <w:rsid w:val="00CC1A32"/>
    <w:rsid w:val="00CC1E97"/>
    <w:rsid w:val="00CC24BE"/>
    <w:rsid w:val="00CC252A"/>
    <w:rsid w:val="00CC2962"/>
    <w:rsid w:val="00CC2B07"/>
    <w:rsid w:val="00CC2FFD"/>
    <w:rsid w:val="00CC3109"/>
    <w:rsid w:val="00CC34E0"/>
    <w:rsid w:val="00CC39A2"/>
    <w:rsid w:val="00CC3B18"/>
    <w:rsid w:val="00CC3B20"/>
    <w:rsid w:val="00CC41D5"/>
    <w:rsid w:val="00CC4454"/>
    <w:rsid w:val="00CC46AA"/>
    <w:rsid w:val="00CC4CD3"/>
    <w:rsid w:val="00CC50F5"/>
    <w:rsid w:val="00CC530C"/>
    <w:rsid w:val="00CC5D3D"/>
    <w:rsid w:val="00CC6577"/>
    <w:rsid w:val="00CC65A2"/>
    <w:rsid w:val="00CC6BE3"/>
    <w:rsid w:val="00CC6C53"/>
    <w:rsid w:val="00CC7882"/>
    <w:rsid w:val="00CC7B52"/>
    <w:rsid w:val="00CC7FDA"/>
    <w:rsid w:val="00CD0B29"/>
    <w:rsid w:val="00CD0BC1"/>
    <w:rsid w:val="00CD0C00"/>
    <w:rsid w:val="00CD1084"/>
    <w:rsid w:val="00CD1814"/>
    <w:rsid w:val="00CD18FC"/>
    <w:rsid w:val="00CD19A9"/>
    <w:rsid w:val="00CD1B47"/>
    <w:rsid w:val="00CD1E15"/>
    <w:rsid w:val="00CD2B7D"/>
    <w:rsid w:val="00CD2EF2"/>
    <w:rsid w:val="00CD30C1"/>
    <w:rsid w:val="00CD3107"/>
    <w:rsid w:val="00CD3130"/>
    <w:rsid w:val="00CD33DE"/>
    <w:rsid w:val="00CD446F"/>
    <w:rsid w:val="00CD45BC"/>
    <w:rsid w:val="00CD4894"/>
    <w:rsid w:val="00CD4C00"/>
    <w:rsid w:val="00CD51E8"/>
    <w:rsid w:val="00CD5300"/>
    <w:rsid w:val="00CD564B"/>
    <w:rsid w:val="00CD6106"/>
    <w:rsid w:val="00CD6321"/>
    <w:rsid w:val="00CD65A1"/>
    <w:rsid w:val="00CD6681"/>
    <w:rsid w:val="00CD6D35"/>
    <w:rsid w:val="00CD6D76"/>
    <w:rsid w:val="00CD6FDE"/>
    <w:rsid w:val="00CD70D1"/>
    <w:rsid w:val="00CD713F"/>
    <w:rsid w:val="00CD71DA"/>
    <w:rsid w:val="00CD7245"/>
    <w:rsid w:val="00CD729B"/>
    <w:rsid w:val="00CD749F"/>
    <w:rsid w:val="00CD7BD8"/>
    <w:rsid w:val="00CE05D2"/>
    <w:rsid w:val="00CE0811"/>
    <w:rsid w:val="00CE0872"/>
    <w:rsid w:val="00CE1732"/>
    <w:rsid w:val="00CE1E94"/>
    <w:rsid w:val="00CE205D"/>
    <w:rsid w:val="00CE2CD3"/>
    <w:rsid w:val="00CE2DFB"/>
    <w:rsid w:val="00CE2FD6"/>
    <w:rsid w:val="00CE30BA"/>
    <w:rsid w:val="00CE31BC"/>
    <w:rsid w:val="00CE328B"/>
    <w:rsid w:val="00CE3766"/>
    <w:rsid w:val="00CE405E"/>
    <w:rsid w:val="00CE41AE"/>
    <w:rsid w:val="00CE42AB"/>
    <w:rsid w:val="00CE49A5"/>
    <w:rsid w:val="00CE5123"/>
    <w:rsid w:val="00CE513C"/>
    <w:rsid w:val="00CE5858"/>
    <w:rsid w:val="00CE5C25"/>
    <w:rsid w:val="00CE66C5"/>
    <w:rsid w:val="00CE67DB"/>
    <w:rsid w:val="00CE6B35"/>
    <w:rsid w:val="00CE73A7"/>
    <w:rsid w:val="00CE771C"/>
    <w:rsid w:val="00CE7E89"/>
    <w:rsid w:val="00CE7F0B"/>
    <w:rsid w:val="00CF0053"/>
    <w:rsid w:val="00CF0545"/>
    <w:rsid w:val="00CF0777"/>
    <w:rsid w:val="00CF07DE"/>
    <w:rsid w:val="00CF0839"/>
    <w:rsid w:val="00CF09B9"/>
    <w:rsid w:val="00CF0B1E"/>
    <w:rsid w:val="00CF1381"/>
    <w:rsid w:val="00CF15A3"/>
    <w:rsid w:val="00CF18A8"/>
    <w:rsid w:val="00CF1FA5"/>
    <w:rsid w:val="00CF1FAC"/>
    <w:rsid w:val="00CF2215"/>
    <w:rsid w:val="00CF2526"/>
    <w:rsid w:val="00CF2659"/>
    <w:rsid w:val="00CF2B83"/>
    <w:rsid w:val="00CF2F7E"/>
    <w:rsid w:val="00CF3022"/>
    <w:rsid w:val="00CF3263"/>
    <w:rsid w:val="00CF3600"/>
    <w:rsid w:val="00CF3677"/>
    <w:rsid w:val="00CF3686"/>
    <w:rsid w:val="00CF3818"/>
    <w:rsid w:val="00CF3A17"/>
    <w:rsid w:val="00CF4224"/>
    <w:rsid w:val="00CF4333"/>
    <w:rsid w:val="00CF4734"/>
    <w:rsid w:val="00CF4D1E"/>
    <w:rsid w:val="00CF5A22"/>
    <w:rsid w:val="00CF5BC6"/>
    <w:rsid w:val="00CF5E77"/>
    <w:rsid w:val="00CF5E87"/>
    <w:rsid w:val="00CF5F51"/>
    <w:rsid w:val="00CF644A"/>
    <w:rsid w:val="00CF6865"/>
    <w:rsid w:val="00CF6BDF"/>
    <w:rsid w:val="00CF6DA3"/>
    <w:rsid w:val="00CF7637"/>
    <w:rsid w:val="00D002B2"/>
    <w:rsid w:val="00D00F08"/>
    <w:rsid w:val="00D01473"/>
    <w:rsid w:val="00D01538"/>
    <w:rsid w:val="00D01567"/>
    <w:rsid w:val="00D01745"/>
    <w:rsid w:val="00D01856"/>
    <w:rsid w:val="00D0192A"/>
    <w:rsid w:val="00D019DC"/>
    <w:rsid w:val="00D02063"/>
    <w:rsid w:val="00D02175"/>
    <w:rsid w:val="00D022B4"/>
    <w:rsid w:val="00D02424"/>
    <w:rsid w:val="00D024B8"/>
    <w:rsid w:val="00D025C9"/>
    <w:rsid w:val="00D0284A"/>
    <w:rsid w:val="00D02F9A"/>
    <w:rsid w:val="00D033D0"/>
    <w:rsid w:val="00D033DB"/>
    <w:rsid w:val="00D037EE"/>
    <w:rsid w:val="00D03B4B"/>
    <w:rsid w:val="00D03B77"/>
    <w:rsid w:val="00D04A3A"/>
    <w:rsid w:val="00D05353"/>
    <w:rsid w:val="00D063AD"/>
    <w:rsid w:val="00D0696F"/>
    <w:rsid w:val="00D06F13"/>
    <w:rsid w:val="00D07350"/>
    <w:rsid w:val="00D076E9"/>
    <w:rsid w:val="00D10421"/>
    <w:rsid w:val="00D10550"/>
    <w:rsid w:val="00D10792"/>
    <w:rsid w:val="00D10A7A"/>
    <w:rsid w:val="00D10FA6"/>
    <w:rsid w:val="00D11090"/>
    <w:rsid w:val="00D1128F"/>
    <w:rsid w:val="00D11752"/>
    <w:rsid w:val="00D11C22"/>
    <w:rsid w:val="00D127E7"/>
    <w:rsid w:val="00D127FD"/>
    <w:rsid w:val="00D129C5"/>
    <w:rsid w:val="00D1344A"/>
    <w:rsid w:val="00D136C5"/>
    <w:rsid w:val="00D13A9B"/>
    <w:rsid w:val="00D1422A"/>
    <w:rsid w:val="00D143AC"/>
    <w:rsid w:val="00D149C4"/>
    <w:rsid w:val="00D14A51"/>
    <w:rsid w:val="00D14AF0"/>
    <w:rsid w:val="00D1500F"/>
    <w:rsid w:val="00D15738"/>
    <w:rsid w:val="00D15C18"/>
    <w:rsid w:val="00D15DA1"/>
    <w:rsid w:val="00D16207"/>
    <w:rsid w:val="00D164F9"/>
    <w:rsid w:val="00D164FC"/>
    <w:rsid w:val="00D1652B"/>
    <w:rsid w:val="00D16583"/>
    <w:rsid w:val="00D1680B"/>
    <w:rsid w:val="00D16FD4"/>
    <w:rsid w:val="00D1710C"/>
    <w:rsid w:val="00D17165"/>
    <w:rsid w:val="00D17964"/>
    <w:rsid w:val="00D17C6D"/>
    <w:rsid w:val="00D208EA"/>
    <w:rsid w:val="00D213E4"/>
    <w:rsid w:val="00D21515"/>
    <w:rsid w:val="00D215E5"/>
    <w:rsid w:val="00D21824"/>
    <w:rsid w:val="00D21883"/>
    <w:rsid w:val="00D21956"/>
    <w:rsid w:val="00D21963"/>
    <w:rsid w:val="00D21AEF"/>
    <w:rsid w:val="00D21B8B"/>
    <w:rsid w:val="00D21D19"/>
    <w:rsid w:val="00D21DDF"/>
    <w:rsid w:val="00D223D6"/>
    <w:rsid w:val="00D22DAF"/>
    <w:rsid w:val="00D22EB7"/>
    <w:rsid w:val="00D23E32"/>
    <w:rsid w:val="00D241A4"/>
    <w:rsid w:val="00D24581"/>
    <w:rsid w:val="00D248B7"/>
    <w:rsid w:val="00D24B01"/>
    <w:rsid w:val="00D251C4"/>
    <w:rsid w:val="00D252B4"/>
    <w:rsid w:val="00D25984"/>
    <w:rsid w:val="00D25A97"/>
    <w:rsid w:val="00D25BA7"/>
    <w:rsid w:val="00D260CF"/>
    <w:rsid w:val="00D266BA"/>
    <w:rsid w:val="00D269C8"/>
    <w:rsid w:val="00D26EAC"/>
    <w:rsid w:val="00D2734C"/>
    <w:rsid w:val="00D2748E"/>
    <w:rsid w:val="00D301CB"/>
    <w:rsid w:val="00D30CB7"/>
    <w:rsid w:val="00D31749"/>
    <w:rsid w:val="00D31B31"/>
    <w:rsid w:val="00D31C70"/>
    <w:rsid w:val="00D32247"/>
    <w:rsid w:val="00D32603"/>
    <w:rsid w:val="00D330B7"/>
    <w:rsid w:val="00D33230"/>
    <w:rsid w:val="00D3386F"/>
    <w:rsid w:val="00D339AD"/>
    <w:rsid w:val="00D34045"/>
    <w:rsid w:val="00D34700"/>
    <w:rsid w:val="00D34BBA"/>
    <w:rsid w:val="00D34C72"/>
    <w:rsid w:val="00D34F1D"/>
    <w:rsid w:val="00D350AD"/>
    <w:rsid w:val="00D355DD"/>
    <w:rsid w:val="00D3574E"/>
    <w:rsid w:val="00D35CBE"/>
    <w:rsid w:val="00D361ED"/>
    <w:rsid w:val="00D3625F"/>
    <w:rsid w:val="00D36980"/>
    <w:rsid w:val="00D36B28"/>
    <w:rsid w:val="00D36E1E"/>
    <w:rsid w:val="00D372C0"/>
    <w:rsid w:val="00D37901"/>
    <w:rsid w:val="00D37E00"/>
    <w:rsid w:val="00D404D8"/>
    <w:rsid w:val="00D40600"/>
    <w:rsid w:val="00D408C9"/>
    <w:rsid w:val="00D40D62"/>
    <w:rsid w:val="00D41266"/>
    <w:rsid w:val="00D412B9"/>
    <w:rsid w:val="00D41F83"/>
    <w:rsid w:val="00D42192"/>
    <w:rsid w:val="00D426E4"/>
    <w:rsid w:val="00D42BF8"/>
    <w:rsid w:val="00D43006"/>
    <w:rsid w:val="00D43367"/>
    <w:rsid w:val="00D43952"/>
    <w:rsid w:val="00D43D05"/>
    <w:rsid w:val="00D43E70"/>
    <w:rsid w:val="00D44702"/>
    <w:rsid w:val="00D4470E"/>
    <w:rsid w:val="00D447C5"/>
    <w:rsid w:val="00D44815"/>
    <w:rsid w:val="00D44965"/>
    <w:rsid w:val="00D44EB5"/>
    <w:rsid w:val="00D45174"/>
    <w:rsid w:val="00D454DE"/>
    <w:rsid w:val="00D457BE"/>
    <w:rsid w:val="00D45BA0"/>
    <w:rsid w:val="00D4605F"/>
    <w:rsid w:val="00D462B9"/>
    <w:rsid w:val="00D46A42"/>
    <w:rsid w:val="00D4780D"/>
    <w:rsid w:val="00D47BCE"/>
    <w:rsid w:val="00D5022F"/>
    <w:rsid w:val="00D507A9"/>
    <w:rsid w:val="00D50A23"/>
    <w:rsid w:val="00D50BC5"/>
    <w:rsid w:val="00D51534"/>
    <w:rsid w:val="00D520B0"/>
    <w:rsid w:val="00D523E9"/>
    <w:rsid w:val="00D52749"/>
    <w:rsid w:val="00D53939"/>
    <w:rsid w:val="00D53AA3"/>
    <w:rsid w:val="00D53AD1"/>
    <w:rsid w:val="00D53DFC"/>
    <w:rsid w:val="00D53F7E"/>
    <w:rsid w:val="00D54286"/>
    <w:rsid w:val="00D5482A"/>
    <w:rsid w:val="00D54F52"/>
    <w:rsid w:val="00D55007"/>
    <w:rsid w:val="00D5609F"/>
    <w:rsid w:val="00D566EF"/>
    <w:rsid w:val="00D570B7"/>
    <w:rsid w:val="00D57236"/>
    <w:rsid w:val="00D574C4"/>
    <w:rsid w:val="00D5791E"/>
    <w:rsid w:val="00D5793A"/>
    <w:rsid w:val="00D57C9E"/>
    <w:rsid w:val="00D57FC5"/>
    <w:rsid w:val="00D600DF"/>
    <w:rsid w:val="00D60696"/>
    <w:rsid w:val="00D60787"/>
    <w:rsid w:val="00D60A41"/>
    <w:rsid w:val="00D60C84"/>
    <w:rsid w:val="00D618B6"/>
    <w:rsid w:val="00D61B89"/>
    <w:rsid w:val="00D61F32"/>
    <w:rsid w:val="00D61F5C"/>
    <w:rsid w:val="00D6231B"/>
    <w:rsid w:val="00D628A3"/>
    <w:rsid w:val="00D628B6"/>
    <w:rsid w:val="00D62966"/>
    <w:rsid w:val="00D62D5E"/>
    <w:rsid w:val="00D62DF3"/>
    <w:rsid w:val="00D63484"/>
    <w:rsid w:val="00D6450C"/>
    <w:rsid w:val="00D6469D"/>
    <w:rsid w:val="00D64B2E"/>
    <w:rsid w:val="00D65002"/>
    <w:rsid w:val="00D65751"/>
    <w:rsid w:val="00D65F90"/>
    <w:rsid w:val="00D66372"/>
    <w:rsid w:val="00D663DC"/>
    <w:rsid w:val="00D6671D"/>
    <w:rsid w:val="00D66BBF"/>
    <w:rsid w:val="00D67ABC"/>
    <w:rsid w:val="00D67F98"/>
    <w:rsid w:val="00D700E5"/>
    <w:rsid w:val="00D70833"/>
    <w:rsid w:val="00D70A9A"/>
    <w:rsid w:val="00D70B15"/>
    <w:rsid w:val="00D713DE"/>
    <w:rsid w:val="00D716D6"/>
    <w:rsid w:val="00D7178A"/>
    <w:rsid w:val="00D71AD9"/>
    <w:rsid w:val="00D71C49"/>
    <w:rsid w:val="00D71F0A"/>
    <w:rsid w:val="00D722E9"/>
    <w:rsid w:val="00D72577"/>
    <w:rsid w:val="00D72829"/>
    <w:rsid w:val="00D72AF9"/>
    <w:rsid w:val="00D73494"/>
    <w:rsid w:val="00D738EC"/>
    <w:rsid w:val="00D73A48"/>
    <w:rsid w:val="00D73C86"/>
    <w:rsid w:val="00D740E6"/>
    <w:rsid w:val="00D740EE"/>
    <w:rsid w:val="00D7447E"/>
    <w:rsid w:val="00D745E6"/>
    <w:rsid w:val="00D747A8"/>
    <w:rsid w:val="00D747AA"/>
    <w:rsid w:val="00D749FC"/>
    <w:rsid w:val="00D757CA"/>
    <w:rsid w:val="00D76054"/>
    <w:rsid w:val="00D766EC"/>
    <w:rsid w:val="00D76D39"/>
    <w:rsid w:val="00D77307"/>
    <w:rsid w:val="00D77310"/>
    <w:rsid w:val="00D7743A"/>
    <w:rsid w:val="00D778AA"/>
    <w:rsid w:val="00D77EE4"/>
    <w:rsid w:val="00D80202"/>
    <w:rsid w:val="00D803FD"/>
    <w:rsid w:val="00D804C8"/>
    <w:rsid w:val="00D80516"/>
    <w:rsid w:val="00D80AD2"/>
    <w:rsid w:val="00D8144D"/>
    <w:rsid w:val="00D81C8B"/>
    <w:rsid w:val="00D82B2F"/>
    <w:rsid w:val="00D832FA"/>
    <w:rsid w:val="00D83379"/>
    <w:rsid w:val="00D83514"/>
    <w:rsid w:val="00D8375A"/>
    <w:rsid w:val="00D8393D"/>
    <w:rsid w:val="00D84753"/>
    <w:rsid w:val="00D8514D"/>
    <w:rsid w:val="00D860AE"/>
    <w:rsid w:val="00D863E3"/>
    <w:rsid w:val="00D86DB8"/>
    <w:rsid w:val="00D870EB"/>
    <w:rsid w:val="00D871CD"/>
    <w:rsid w:val="00D87787"/>
    <w:rsid w:val="00D87E4B"/>
    <w:rsid w:val="00D87EE2"/>
    <w:rsid w:val="00D90367"/>
    <w:rsid w:val="00D905BF"/>
    <w:rsid w:val="00D90A5A"/>
    <w:rsid w:val="00D90ABE"/>
    <w:rsid w:val="00D90ACE"/>
    <w:rsid w:val="00D910F0"/>
    <w:rsid w:val="00D91582"/>
    <w:rsid w:val="00D91677"/>
    <w:rsid w:val="00D9191B"/>
    <w:rsid w:val="00D91968"/>
    <w:rsid w:val="00D91D10"/>
    <w:rsid w:val="00D91F03"/>
    <w:rsid w:val="00D921F0"/>
    <w:rsid w:val="00D92929"/>
    <w:rsid w:val="00D930D6"/>
    <w:rsid w:val="00D9406E"/>
    <w:rsid w:val="00D94339"/>
    <w:rsid w:val="00D94351"/>
    <w:rsid w:val="00D944FB"/>
    <w:rsid w:val="00D94A69"/>
    <w:rsid w:val="00D94A6F"/>
    <w:rsid w:val="00D95915"/>
    <w:rsid w:val="00D95A47"/>
    <w:rsid w:val="00D96117"/>
    <w:rsid w:val="00D96382"/>
    <w:rsid w:val="00D9668C"/>
    <w:rsid w:val="00D96CAC"/>
    <w:rsid w:val="00D9794D"/>
    <w:rsid w:val="00D97A9E"/>
    <w:rsid w:val="00D97AFE"/>
    <w:rsid w:val="00D97E37"/>
    <w:rsid w:val="00DA12D1"/>
    <w:rsid w:val="00DA18FB"/>
    <w:rsid w:val="00DA1AF9"/>
    <w:rsid w:val="00DA1C8E"/>
    <w:rsid w:val="00DA1E15"/>
    <w:rsid w:val="00DA216F"/>
    <w:rsid w:val="00DA25AA"/>
    <w:rsid w:val="00DA2B15"/>
    <w:rsid w:val="00DA2C2D"/>
    <w:rsid w:val="00DA3071"/>
    <w:rsid w:val="00DA341D"/>
    <w:rsid w:val="00DA3775"/>
    <w:rsid w:val="00DA37CA"/>
    <w:rsid w:val="00DA380C"/>
    <w:rsid w:val="00DA387D"/>
    <w:rsid w:val="00DA3D3F"/>
    <w:rsid w:val="00DA3F5C"/>
    <w:rsid w:val="00DA4F06"/>
    <w:rsid w:val="00DA5040"/>
    <w:rsid w:val="00DA5A3E"/>
    <w:rsid w:val="00DA5CEB"/>
    <w:rsid w:val="00DA658C"/>
    <w:rsid w:val="00DA6912"/>
    <w:rsid w:val="00DA6B7D"/>
    <w:rsid w:val="00DA72D9"/>
    <w:rsid w:val="00DA797D"/>
    <w:rsid w:val="00DA7D60"/>
    <w:rsid w:val="00DB0D01"/>
    <w:rsid w:val="00DB1083"/>
    <w:rsid w:val="00DB10C0"/>
    <w:rsid w:val="00DB1AF9"/>
    <w:rsid w:val="00DB219F"/>
    <w:rsid w:val="00DB2C75"/>
    <w:rsid w:val="00DB333E"/>
    <w:rsid w:val="00DB33D8"/>
    <w:rsid w:val="00DB35AA"/>
    <w:rsid w:val="00DB3651"/>
    <w:rsid w:val="00DB3AA3"/>
    <w:rsid w:val="00DB3DAA"/>
    <w:rsid w:val="00DB4212"/>
    <w:rsid w:val="00DB44E0"/>
    <w:rsid w:val="00DB4513"/>
    <w:rsid w:val="00DB45E9"/>
    <w:rsid w:val="00DB4B52"/>
    <w:rsid w:val="00DB4C5B"/>
    <w:rsid w:val="00DB5695"/>
    <w:rsid w:val="00DB5D28"/>
    <w:rsid w:val="00DB61BE"/>
    <w:rsid w:val="00DB664A"/>
    <w:rsid w:val="00DB66B8"/>
    <w:rsid w:val="00DB6ADD"/>
    <w:rsid w:val="00DB6B12"/>
    <w:rsid w:val="00DB6F8A"/>
    <w:rsid w:val="00DB7315"/>
    <w:rsid w:val="00DB75E2"/>
    <w:rsid w:val="00DB7A0B"/>
    <w:rsid w:val="00DB7E4C"/>
    <w:rsid w:val="00DC0583"/>
    <w:rsid w:val="00DC174C"/>
    <w:rsid w:val="00DC217A"/>
    <w:rsid w:val="00DC23D4"/>
    <w:rsid w:val="00DC24F6"/>
    <w:rsid w:val="00DC2703"/>
    <w:rsid w:val="00DC2B15"/>
    <w:rsid w:val="00DC3408"/>
    <w:rsid w:val="00DC37FA"/>
    <w:rsid w:val="00DC3893"/>
    <w:rsid w:val="00DC38D7"/>
    <w:rsid w:val="00DC3DB0"/>
    <w:rsid w:val="00DC4D5C"/>
    <w:rsid w:val="00DC53E3"/>
    <w:rsid w:val="00DC5E24"/>
    <w:rsid w:val="00DC6004"/>
    <w:rsid w:val="00DC6050"/>
    <w:rsid w:val="00DC65CB"/>
    <w:rsid w:val="00DC670F"/>
    <w:rsid w:val="00DC6E39"/>
    <w:rsid w:val="00DC6E78"/>
    <w:rsid w:val="00DC7005"/>
    <w:rsid w:val="00DC7E0A"/>
    <w:rsid w:val="00DD0113"/>
    <w:rsid w:val="00DD04DE"/>
    <w:rsid w:val="00DD0665"/>
    <w:rsid w:val="00DD0897"/>
    <w:rsid w:val="00DD0DA8"/>
    <w:rsid w:val="00DD1457"/>
    <w:rsid w:val="00DD1511"/>
    <w:rsid w:val="00DD1625"/>
    <w:rsid w:val="00DD1A8C"/>
    <w:rsid w:val="00DD2380"/>
    <w:rsid w:val="00DD2903"/>
    <w:rsid w:val="00DD2C7F"/>
    <w:rsid w:val="00DD2F36"/>
    <w:rsid w:val="00DD3270"/>
    <w:rsid w:val="00DD3354"/>
    <w:rsid w:val="00DD425F"/>
    <w:rsid w:val="00DD45D8"/>
    <w:rsid w:val="00DD4B36"/>
    <w:rsid w:val="00DD558C"/>
    <w:rsid w:val="00DD595A"/>
    <w:rsid w:val="00DD5C4D"/>
    <w:rsid w:val="00DD5C6C"/>
    <w:rsid w:val="00DD5E38"/>
    <w:rsid w:val="00DD6175"/>
    <w:rsid w:val="00DD676F"/>
    <w:rsid w:val="00DD6ECF"/>
    <w:rsid w:val="00DD729B"/>
    <w:rsid w:val="00DD72A7"/>
    <w:rsid w:val="00DD77F9"/>
    <w:rsid w:val="00DE06CC"/>
    <w:rsid w:val="00DE135E"/>
    <w:rsid w:val="00DE170D"/>
    <w:rsid w:val="00DE17A6"/>
    <w:rsid w:val="00DE186E"/>
    <w:rsid w:val="00DE1951"/>
    <w:rsid w:val="00DE1ECB"/>
    <w:rsid w:val="00DE2057"/>
    <w:rsid w:val="00DE231A"/>
    <w:rsid w:val="00DE2EE0"/>
    <w:rsid w:val="00DE3CD4"/>
    <w:rsid w:val="00DE44DE"/>
    <w:rsid w:val="00DE4DE6"/>
    <w:rsid w:val="00DE5067"/>
    <w:rsid w:val="00DE550E"/>
    <w:rsid w:val="00DE56F4"/>
    <w:rsid w:val="00DE5AD4"/>
    <w:rsid w:val="00DE5ADA"/>
    <w:rsid w:val="00DE5CE4"/>
    <w:rsid w:val="00DE5E8C"/>
    <w:rsid w:val="00DE601F"/>
    <w:rsid w:val="00DE6122"/>
    <w:rsid w:val="00DE629D"/>
    <w:rsid w:val="00DE6408"/>
    <w:rsid w:val="00DE691D"/>
    <w:rsid w:val="00DE7563"/>
    <w:rsid w:val="00DE76D1"/>
    <w:rsid w:val="00DE7890"/>
    <w:rsid w:val="00DF0616"/>
    <w:rsid w:val="00DF0D60"/>
    <w:rsid w:val="00DF108D"/>
    <w:rsid w:val="00DF127F"/>
    <w:rsid w:val="00DF1723"/>
    <w:rsid w:val="00DF1C0C"/>
    <w:rsid w:val="00DF1C12"/>
    <w:rsid w:val="00DF23B0"/>
    <w:rsid w:val="00DF41F0"/>
    <w:rsid w:val="00DF48C8"/>
    <w:rsid w:val="00DF49D1"/>
    <w:rsid w:val="00DF4D03"/>
    <w:rsid w:val="00DF5152"/>
    <w:rsid w:val="00DF5239"/>
    <w:rsid w:val="00DF5666"/>
    <w:rsid w:val="00DF56C2"/>
    <w:rsid w:val="00DF5783"/>
    <w:rsid w:val="00DF5E48"/>
    <w:rsid w:val="00DF6234"/>
    <w:rsid w:val="00DF627B"/>
    <w:rsid w:val="00DF6D95"/>
    <w:rsid w:val="00DF7AFF"/>
    <w:rsid w:val="00E000DB"/>
    <w:rsid w:val="00E0013D"/>
    <w:rsid w:val="00E005A0"/>
    <w:rsid w:val="00E00B69"/>
    <w:rsid w:val="00E00C27"/>
    <w:rsid w:val="00E00D17"/>
    <w:rsid w:val="00E0137B"/>
    <w:rsid w:val="00E015BF"/>
    <w:rsid w:val="00E0171D"/>
    <w:rsid w:val="00E0250A"/>
    <w:rsid w:val="00E02BAE"/>
    <w:rsid w:val="00E02BED"/>
    <w:rsid w:val="00E0324B"/>
    <w:rsid w:val="00E03642"/>
    <w:rsid w:val="00E03703"/>
    <w:rsid w:val="00E0386B"/>
    <w:rsid w:val="00E03BFC"/>
    <w:rsid w:val="00E03D9B"/>
    <w:rsid w:val="00E03FF9"/>
    <w:rsid w:val="00E041A7"/>
    <w:rsid w:val="00E0480B"/>
    <w:rsid w:val="00E04811"/>
    <w:rsid w:val="00E048BC"/>
    <w:rsid w:val="00E04CC8"/>
    <w:rsid w:val="00E04E07"/>
    <w:rsid w:val="00E04FC4"/>
    <w:rsid w:val="00E05150"/>
    <w:rsid w:val="00E05B04"/>
    <w:rsid w:val="00E05B9B"/>
    <w:rsid w:val="00E05E31"/>
    <w:rsid w:val="00E06003"/>
    <w:rsid w:val="00E0682F"/>
    <w:rsid w:val="00E068A7"/>
    <w:rsid w:val="00E06C27"/>
    <w:rsid w:val="00E07620"/>
    <w:rsid w:val="00E076E4"/>
    <w:rsid w:val="00E07A03"/>
    <w:rsid w:val="00E07F9A"/>
    <w:rsid w:val="00E10C50"/>
    <w:rsid w:val="00E10C94"/>
    <w:rsid w:val="00E11023"/>
    <w:rsid w:val="00E11282"/>
    <w:rsid w:val="00E11424"/>
    <w:rsid w:val="00E11A38"/>
    <w:rsid w:val="00E1265C"/>
    <w:rsid w:val="00E12D85"/>
    <w:rsid w:val="00E12F1D"/>
    <w:rsid w:val="00E130EE"/>
    <w:rsid w:val="00E137DE"/>
    <w:rsid w:val="00E13F2C"/>
    <w:rsid w:val="00E143E1"/>
    <w:rsid w:val="00E146B2"/>
    <w:rsid w:val="00E14742"/>
    <w:rsid w:val="00E147B7"/>
    <w:rsid w:val="00E14951"/>
    <w:rsid w:val="00E149C1"/>
    <w:rsid w:val="00E14A3A"/>
    <w:rsid w:val="00E14A5C"/>
    <w:rsid w:val="00E14DB6"/>
    <w:rsid w:val="00E14ED4"/>
    <w:rsid w:val="00E15323"/>
    <w:rsid w:val="00E15663"/>
    <w:rsid w:val="00E1568B"/>
    <w:rsid w:val="00E157E8"/>
    <w:rsid w:val="00E1599D"/>
    <w:rsid w:val="00E15B7B"/>
    <w:rsid w:val="00E15EB5"/>
    <w:rsid w:val="00E16042"/>
    <w:rsid w:val="00E164D5"/>
    <w:rsid w:val="00E16530"/>
    <w:rsid w:val="00E16539"/>
    <w:rsid w:val="00E167EE"/>
    <w:rsid w:val="00E16A9C"/>
    <w:rsid w:val="00E16E79"/>
    <w:rsid w:val="00E16F4B"/>
    <w:rsid w:val="00E170B5"/>
    <w:rsid w:val="00E17159"/>
    <w:rsid w:val="00E17847"/>
    <w:rsid w:val="00E17DB8"/>
    <w:rsid w:val="00E17F76"/>
    <w:rsid w:val="00E2025A"/>
    <w:rsid w:val="00E2037E"/>
    <w:rsid w:val="00E20792"/>
    <w:rsid w:val="00E207B5"/>
    <w:rsid w:val="00E20A81"/>
    <w:rsid w:val="00E20AF8"/>
    <w:rsid w:val="00E20CF5"/>
    <w:rsid w:val="00E21724"/>
    <w:rsid w:val="00E2175B"/>
    <w:rsid w:val="00E21837"/>
    <w:rsid w:val="00E21FEB"/>
    <w:rsid w:val="00E22503"/>
    <w:rsid w:val="00E23C8F"/>
    <w:rsid w:val="00E24524"/>
    <w:rsid w:val="00E246E4"/>
    <w:rsid w:val="00E24EC2"/>
    <w:rsid w:val="00E25493"/>
    <w:rsid w:val="00E255B3"/>
    <w:rsid w:val="00E256EC"/>
    <w:rsid w:val="00E25CFE"/>
    <w:rsid w:val="00E25D71"/>
    <w:rsid w:val="00E2701C"/>
    <w:rsid w:val="00E2724B"/>
    <w:rsid w:val="00E2784E"/>
    <w:rsid w:val="00E27A3B"/>
    <w:rsid w:val="00E27D9A"/>
    <w:rsid w:val="00E27FBE"/>
    <w:rsid w:val="00E30701"/>
    <w:rsid w:val="00E30908"/>
    <w:rsid w:val="00E30F7C"/>
    <w:rsid w:val="00E31A6C"/>
    <w:rsid w:val="00E322FC"/>
    <w:rsid w:val="00E326FF"/>
    <w:rsid w:val="00E33383"/>
    <w:rsid w:val="00E335B1"/>
    <w:rsid w:val="00E336D9"/>
    <w:rsid w:val="00E33805"/>
    <w:rsid w:val="00E33AE2"/>
    <w:rsid w:val="00E344FE"/>
    <w:rsid w:val="00E3460C"/>
    <w:rsid w:val="00E348AC"/>
    <w:rsid w:val="00E34BE8"/>
    <w:rsid w:val="00E3575D"/>
    <w:rsid w:val="00E36301"/>
    <w:rsid w:val="00E36641"/>
    <w:rsid w:val="00E370B7"/>
    <w:rsid w:val="00E37130"/>
    <w:rsid w:val="00E3748F"/>
    <w:rsid w:val="00E37738"/>
    <w:rsid w:val="00E37756"/>
    <w:rsid w:val="00E377A6"/>
    <w:rsid w:val="00E37889"/>
    <w:rsid w:val="00E3796F"/>
    <w:rsid w:val="00E407DB"/>
    <w:rsid w:val="00E40D45"/>
    <w:rsid w:val="00E4120A"/>
    <w:rsid w:val="00E4147E"/>
    <w:rsid w:val="00E4167D"/>
    <w:rsid w:val="00E419C8"/>
    <w:rsid w:val="00E41FD7"/>
    <w:rsid w:val="00E427C7"/>
    <w:rsid w:val="00E4293F"/>
    <w:rsid w:val="00E42B49"/>
    <w:rsid w:val="00E43177"/>
    <w:rsid w:val="00E432B4"/>
    <w:rsid w:val="00E44DF6"/>
    <w:rsid w:val="00E44EDD"/>
    <w:rsid w:val="00E451E5"/>
    <w:rsid w:val="00E4548D"/>
    <w:rsid w:val="00E454D2"/>
    <w:rsid w:val="00E45DF6"/>
    <w:rsid w:val="00E46239"/>
    <w:rsid w:val="00E46D78"/>
    <w:rsid w:val="00E47931"/>
    <w:rsid w:val="00E47E42"/>
    <w:rsid w:val="00E50972"/>
    <w:rsid w:val="00E50A51"/>
    <w:rsid w:val="00E50BF1"/>
    <w:rsid w:val="00E50C32"/>
    <w:rsid w:val="00E50E2D"/>
    <w:rsid w:val="00E50F68"/>
    <w:rsid w:val="00E510D5"/>
    <w:rsid w:val="00E510E4"/>
    <w:rsid w:val="00E515B1"/>
    <w:rsid w:val="00E515F3"/>
    <w:rsid w:val="00E51A96"/>
    <w:rsid w:val="00E51B75"/>
    <w:rsid w:val="00E52CE5"/>
    <w:rsid w:val="00E52D53"/>
    <w:rsid w:val="00E52F7D"/>
    <w:rsid w:val="00E531E7"/>
    <w:rsid w:val="00E538AC"/>
    <w:rsid w:val="00E53914"/>
    <w:rsid w:val="00E53D80"/>
    <w:rsid w:val="00E541FD"/>
    <w:rsid w:val="00E5434F"/>
    <w:rsid w:val="00E54B6D"/>
    <w:rsid w:val="00E55030"/>
    <w:rsid w:val="00E55481"/>
    <w:rsid w:val="00E55A77"/>
    <w:rsid w:val="00E55B26"/>
    <w:rsid w:val="00E55C66"/>
    <w:rsid w:val="00E5635B"/>
    <w:rsid w:val="00E56463"/>
    <w:rsid w:val="00E56749"/>
    <w:rsid w:val="00E56BAF"/>
    <w:rsid w:val="00E57033"/>
    <w:rsid w:val="00E57054"/>
    <w:rsid w:val="00E57CBB"/>
    <w:rsid w:val="00E6006D"/>
    <w:rsid w:val="00E6049D"/>
    <w:rsid w:val="00E60816"/>
    <w:rsid w:val="00E608D3"/>
    <w:rsid w:val="00E60BAB"/>
    <w:rsid w:val="00E6132D"/>
    <w:rsid w:val="00E613D3"/>
    <w:rsid w:val="00E614CF"/>
    <w:rsid w:val="00E619C8"/>
    <w:rsid w:val="00E61A6B"/>
    <w:rsid w:val="00E61D76"/>
    <w:rsid w:val="00E61F03"/>
    <w:rsid w:val="00E61F48"/>
    <w:rsid w:val="00E62109"/>
    <w:rsid w:val="00E62474"/>
    <w:rsid w:val="00E62839"/>
    <w:rsid w:val="00E6347B"/>
    <w:rsid w:val="00E6362E"/>
    <w:rsid w:val="00E63815"/>
    <w:rsid w:val="00E6382C"/>
    <w:rsid w:val="00E639DA"/>
    <w:rsid w:val="00E63B1B"/>
    <w:rsid w:val="00E63DB5"/>
    <w:rsid w:val="00E63E8B"/>
    <w:rsid w:val="00E64488"/>
    <w:rsid w:val="00E64966"/>
    <w:rsid w:val="00E65321"/>
    <w:rsid w:val="00E6549B"/>
    <w:rsid w:val="00E66BA1"/>
    <w:rsid w:val="00E66F5F"/>
    <w:rsid w:val="00E671BA"/>
    <w:rsid w:val="00E675F8"/>
    <w:rsid w:val="00E677C7"/>
    <w:rsid w:val="00E67915"/>
    <w:rsid w:val="00E67FD4"/>
    <w:rsid w:val="00E70445"/>
    <w:rsid w:val="00E70588"/>
    <w:rsid w:val="00E70667"/>
    <w:rsid w:val="00E70704"/>
    <w:rsid w:val="00E70F95"/>
    <w:rsid w:val="00E7104B"/>
    <w:rsid w:val="00E71500"/>
    <w:rsid w:val="00E71ADA"/>
    <w:rsid w:val="00E71D14"/>
    <w:rsid w:val="00E71D59"/>
    <w:rsid w:val="00E72139"/>
    <w:rsid w:val="00E723A5"/>
    <w:rsid w:val="00E72A1F"/>
    <w:rsid w:val="00E72F9A"/>
    <w:rsid w:val="00E73388"/>
    <w:rsid w:val="00E73B12"/>
    <w:rsid w:val="00E73D3E"/>
    <w:rsid w:val="00E74371"/>
    <w:rsid w:val="00E749FC"/>
    <w:rsid w:val="00E74B17"/>
    <w:rsid w:val="00E75363"/>
    <w:rsid w:val="00E75515"/>
    <w:rsid w:val="00E757E4"/>
    <w:rsid w:val="00E75C3B"/>
    <w:rsid w:val="00E75C69"/>
    <w:rsid w:val="00E75EA1"/>
    <w:rsid w:val="00E76177"/>
    <w:rsid w:val="00E76517"/>
    <w:rsid w:val="00E7673F"/>
    <w:rsid w:val="00E769BA"/>
    <w:rsid w:val="00E76D8D"/>
    <w:rsid w:val="00E7783F"/>
    <w:rsid w:val="00E80294"/>
    <w:rsid w:val="00E80518"/>
    <w:rsid w:val="00E80A71"/>
    <w:rsid w:val="00E80AEF"/>
    <w:rsid w:val="00E80C4B"/>
    <w:rsid w:val="00E80E48"/>
    <w:rsid w:val="00E81877"/>
    <w:rsid w:val="00E81938"/>
    <w:rsid w:val="00E81D0F"/>
    <w:rsid w:val="00E81DC5"/>
    <w:rsid w:val="00E81DD0"/>
    <w:rsid w:val="00E81F51"/>
    <w:rsid w:val="00E82F96"/>
    <w:rsid w:val="00E82FDE"/>
    <w:rsid w:val="00E83053"/>
    <w:rsid w:val="00E83320"/>
    <w:rsid w:val="00E8357E"/>
    <w:rsid w:val="00E83636"/>
    <w:rsid w:val="00E83B77"/>
    <w:rsid w:val="00E83CBA"/>
    <w:rsid w:val="00E83E5B"/>
    <w:rsid w:val="00E84008"/>
    <w:rsid w:val="00E841E1"/>
    <w:rsid w:val="00E8458C"/>
    <w:rsid w:val="00E84DCD"/>
    <w:rsid w:val="00E85940"/>
    <w:rsid w:val="00E85945"/>
    <w:rsid w:val="00E85B84"/>
    <w:rsid w:val="00E85CE3"/>
    <w:rsid w:val="00E864AA"/>
    <w:rsid w:val="00E866C5"/>
    <w:rsid w:val="00E868D2"/>
    <w:rsid w:val="00E87C11"/>
    <w:rsid w:val="00E87E63"/>
    <w:rsid w:val="00E90925"/>
    <w:rsid w:val="00E90D0A"/>
    <w:rsid w:val="00E9148D"/>
    <w:rsid w:val="00E92AA7"/>
    <w:rsid w:val="00E931D3"/>
    <w:rsid w:val="00E93501"/>
    <w:rsid w:val="00E93774"/>
    <w:rsid w:val="00E93E44"/>
    <w:rsid w:val="00E9457B"/>
    <w:rsid w:val="00E9473A"/>
    <w:rsid w:val="00E948CC"/>
    <w:rsid w:val="00E94A81"/>
    <w:rsid w:val="00E94A8E"/>
    <w:rsid w:val="00E94ACF"/>
    <w:rsid w:val="00E94AF0"/>
    <w:rsid w:val="00E95445"/>
    <w:rsid w:val="00E95646"/>
    <w:rsid w:val="00E9575C"/>
    <w:rsid w:val="00E957AE"/>
    <w:rsid w:val="00E962DD"/>
    <w:rsid w:val="00E96739"/>
    <w:rsid w:val="00E967BC"/>
    <w:rsid w:val="00E96C84"/>
    <w:rsid w:val="00E96D81"/>
    <w:rsid w:val="00E96EB5"/>
    <w:rsid w:val="00E9702C"/>
    <w:rsid w:val="00E9707B"/>
    <w:rsid w:val="00E970DB"/>
    <w:rsid w:val="00E97469"/>
    <w:rsid w:val="00E9778C"/>
    <w:rsid w:val="00E9788E"/>
    <w:rsid w:val="00E97F11"/>
    <w:rsid w:val="00EA0129"/>
    <w:rsid w:val="00EA054F"/>
    <w:rsid w:val="00EA0F44"/>
    <w:rsid w:val="00EA0F7C"/>
    <w:rsid w:val="00EA149C"/>
    <w:rsid w:val="00EA14E3"/>
    <w:rsid w:val="00EA1B2F"/>
    <w:rsid w:val="00EA1BF7"/>
    <w:rsid w:val="00EA1E18"/>
    <w:rsid w:val="00EA2417"/>
    <w:rsid w:val="00EA2936"/>
    <w:rsid w:val="00EA2CB0"/>
    <w:rsid w:val="00EA2EC7"/>
    <w:rsid w:val="00EA3170"/>
    <w:rsid w:val="00EA36BE"/>
    <w:rsid w:val="00EA3BAB"/>
    <w:rsid w:val="00EA3FEC"/>
    <w:rsid w:val="00EA4065"/>
    <w:rsid w:val="00EA4B62"/>
    <w:rsid w:val="00EA4FAD"/>
    <w:rsid w:val="00EA570A"/>
    <w:rsid w:val="00EA5A14"/>
    <w:rsid w:val="00EA61DC"/>
    <w:rsid w:val="00EA6AC6"/>
    <w:rsid w:val="00EA6D60"/>
    <w:rsid w:val="00EA7888"/>
    <w:rsid w:val="00EA78FC"/>
    <w:rsid w:val="00EA795C"/>
    <w:rsid w:val="00EB01D8"/>
    <w:rsid w:val="00EB0A15"/>
    <w:rsid w:val="00EB0CBC"/>
    <w:rsid w:val="00EB1705"/>
    <w:rsid w:val="00EB17DE"/>
    <w:rsid w:val="00EB1FA9"/>
    <w:rsid w:val="00EB28E0"/>
    <w:rsid w:val="00EB2A85"/>
    <w:rsid w:val="00EB2A94"/>
    <w:rsid w:val="00EB2B31"/>
    <w:rsid w:val="00EB2D8D"/>
    <w:rsid w:val="00EB3148"/>
    <w:rsid w:val="00EB3179"/>
    <w:rsid w:val="00EB32BF"/>
    <w:rsid w:val="00EB39DB"/>
    <w:rsid w:val="00EB431A"/>
    <w:rsid w:val="00EB45E1"/>
    <w:rsid w:val="00EB4659"/>
    <w:rsid w:val="00EB4B92"/>
    <w:rsid w:val="00EB4DE8"/>
    <w:rsid w:val="00EB52F8"/>
    <w:rsid w:val="00EB5930"/>
    <w:rsid w:val="00EB5A5D"/>
    <w:rsid w:val="00EB5BCE"/>
    <w:rsid w:val="00EB5DE1"/>
    <w:rsid w:val="00EB5FA4"/>
    <w:rsid w:val="00EB65CB"/>
    <w:rsid w:val="00EB665E"/>
    <w:rsid w:val="00EB6A9E"/>
    <w:rsid w:val="00EB6B25"/>
    <w:rsid w:val="00EB6F68"/>
    <w:rsid w:val="00EB769D"/>
    <w:rsid w:val="00EB79EC"/>
    <w:rsid w:val="00EC0439"/>
    <w:rsid w:val="00EC0BDF"/>
    <w:rsid w:val="00EC0E33"/>
    <w:rsid w:val="00EC0EA6"/>
    <w:rsid w:val="00EC0F2A"/>
    <w:rsid w:val="00EC1013"/>
    <w:rsid w:val="00EC10A9"/>
    <w:rsid w:val="00EC11CE"/>
    <w:rsid w:val="00EC1AFF"/>
    <w:rsid w:val="00EC1CC1"/>
    <w:rsid w:val="00EC211F"/>
    <w:rsid w:val="00EC2A0A"/>
    <w:rsid w:val="00EC2B02"/>
    <w:rsid w:val="00EC317A"/>
    <w:rsid w:val="00EC332B"/>
    <w:rsid w:val="00EC36C0"/>
    <w:rsid w:val="00EC37FA"/>
    <w:rsid w:val="00EC3903"/>
    <w:rsid w:val="00EC4595"/>
    <w:rsid w:val="00EC4641"/>
    <w:rsid w:val="00EC4DAA"/>
    <w:rsid w:val="00EC50E4"/>
    <w:rsid w:val="00EC57CB"/>
    <w:rsid w:val="00EC5872"/>
    <w:rsid w:val="00EC5A24"/>
    <w:rsid w:val="00EC5A64"/>
    <w:rsid w:val="00EC5D80"/>
    <w:rsid w:val="00EC607A"/>
    <w:rsid w:val="00EC61A8"/>
    <w:rsid w:val="00EC61F2"/>
    <w:rsid w:val="00EC6612"/>
    <w:rsid w:val="00EC7195"/>
    <w:rsid w:val="00EC7E28"/>
    <w:rsid w:val="00ED03BD"/>
    <w:rsid w:val="00ED0427"/>
    <w:rsid w:val="00ED0509"/>
    <w:rsid w:val="00ED066E"/>
    <w:rsid w:val="00ED0BE9"/>
    <w:rsid w:val="00ED111E"/>
    <w:rsid w:val="00ED1494"/>
    <w:rsid w:val="00ED1721"/>
    <w:rsid w:val="00ED17BB"/>
    <w:rsid w:val="00ED19C3"/>
    <w:rsid w:val="00ED19EF"/>
    <w:rsid w:val="00ED1DE3"/>
    <w:rsid w:val="00ED1DEB"/>
    <w:rsid w:val="00ED2710"/>
    <w:rsid w:val="00ED29EE"/>
    <w:rsid w:val="00ED2F66"/>
    <w:rsid w:val="00ED2FB8"/>
    <w:rsid w:val="00ED30F0"/>
    <w:rsid w:val="00ED3509"/>
    <w:rsid w:val="00ED3BEF"/>
    <w:rsid w:val="00ED4255"/>
    <w:rsid w:val="00ED4688"/>
    <w:rsid w:val="00ED52C3"/>
    <w:rsid w:val="00ED55A6"/>
    <w:rsid w:val="00ED5934"/>
    <w:rsid w:val="00ED5A0B"/>
    <w:rsid w:val="00ED5F8E"/>
    <w:rsid w:val="00ED6017"/>
    <w:rsid w:val="00ED60E2"/>
    <w:rsid w:val="00ED6808"/>
    <w:rsid w:val="00ED69B6"/>
    <w:rsid w:val="00ED6A49"/>
    <w:rsid w:val="00ED6AC3"/>
    <w:rsid w:val="00ED7A73"/>
    <w:rsid w:val="00ED7B11"/>
    <w:rsid w:val="00ED7EF5"/>
    <w:rsid w:val="00ED7FB5"/>
    <w:rsid w:val="00ED7FD0"/>
    <w:rsid w:val="00EE025D"/>
    <w:rsid w:val="00EE026C"/>
    <w:rsid w:val="00EE0559"/>
    <w:rsid w:val="00EE070B"/>
    <w:rsid w:val="00EE0718"/>
    <w:rsid w:val="00EE07BB"/>
    <w:rsid w:val="00EE0854"/>
    <w:rsid w:val="00EE0C40"/>
    <w:rsid w:val="00EE0F74"/>
    <w:rsid w:val="00EE1068"/>
    <w:rsid w:val="00EE1955"/>
    <w:rsid w:val="00EE1B64"/>
    <w:rsid w:val="00EE22DE"/>
    <w:rsid w:val="00EE28ED"/>
    <w:rsid w:val="00EE2FCB"/>
    <w:rsid w:val="00EE301B"/>
    <w:rsid w:val="00EE3724"/>
    <w:rsid w:val="00EE3A59"/>
    <w:rsid w:val="00EE42BA"/>
    <w:rsid w:val="00EE43B8"/>
    <w:rsid w:val="00EE43EE"/>
    <w:rsid w:val="00EE4B0E"/>
    <w:rsid w:val="00EE5111"/>
    <w:rsid w:val="00EE52F2"/>
    <w:rsid w:val="00EE56A8"/>
    <w:rsid w:val="00EE5E08"/>
    <w:rsid w:val="00EE5F52"/>
    <w:rsid w:val="00EE62FB"/>
    <w:rsid w:val="00EE638E"/>
    <w:rsid w:val="00EE6786"/>
    <w:rsid w:val="00EE76DF"/>
    <w:rsid w:val="00EE78B6"/>
    <w:rsid w:val="00EE79F1"/>
    <w:rsid w:val="00EE7A3B"/>
    <w:rsid w:val="00EE7CC2"/>
    <w:rsid w:val="00EF043A"/>
    <w:rsid w:val="00EF064D"/>
    <w:rsid w:val="00EF0671"/>
    <w:rsid w:val="00EF0A38"/>
    <w:rsid w:val="00EF17C0"/>
    <w:rsid w:val="00EF2DDE"/>
    <w:rsid w:val="00EF33A9"/>
    <w:rsid w:val="00EF351E"/>
    <w:rsid w:val="00EF3541"/>
    <w:rsid w:val="00EF3694"/>
    <w:rsid w:val="00EF3D0B"/>
    <w:rsid w:val="00EF3DEB"/>
    <w:rsid w:val="00EF407D"/>
    <w:rsid w:val="00EF4366"/>
    <w:rsid w:val="00EF5310"/>
    <w:rsid w:val="00EF5834"/>
    <w:rsid w:val="00EF5BBC"/>
    <w:rsid w:val="00EF5D47"/>
    <w:rsid w:val="00EF6402"/>
    <w:rsid w:val="00EF6D52"/>
    <w:rsid w:val="00EF7367"/>
    <w:rsid w:val="00EF736B"/>
    <w:rsid w:val="00EF73E0"/>
    <w:rsid w:val="00EF73F9"/>
    <w:rsid w:val="00EF7795"/>
    <w:rsid w:val="00EF7A74"/>
    <w:rsid w:val="00F00455"/>
    <w:rsid w:val="00F01537"/>
    <w:rsid w:val="00F01AAD"/>
    <w:rsid w:val="00F01E2D"/>
    <w:rsid w:val="00F0202E"/>
    <w:rsid w:val="00F02173"/>
    <w:rsid w:val="00F022C4"/>
    <w:rsid w:val="00F02542"/>
    <w:rsid w:val="00F026F8"/>
    <w:rsid w:val="00F027E9"/>
    <w:rsid w:val="00F0282F"/>
    <w:rsid w:val="00F03136"/>
    <w:rsid w:val="00F0338E"/>
    <w:rsid w:val="00F0362F"/>
    <w:rsid w:val="00F03909"/>
    <w:rsid w:val="00F03CF3"/>
    <w:rsid w:val="00F03D9F"/>
    <w:rsid w:val="00F03ED7"/>
    <w:rsid w:val="00F045A4"/>
    <w:rsid w:val="00F0493D"/>
    <w:rsid w:val="00F04A44"/>
    <w:rsid w:val="00F04AE9"/>
    <w:rsid w:val="00F04B72"/>
    <w:rsid w:val="00F04CA4"/>
    <w:rsid w:val="00F05505"/>
    <w:rsid w:val="00F05748"/>
    <w:rsid w:val="00F05B1B"/>
    <w:rsid w:val="00F05F86"/>
    <w:rsid w:val="00F06018"/>
    <w:rsid w:val="00F061D0"/>
    <w:rsid w:val="00F0648B"/>
    <w:rsid w:val="00F06EFF"/>
    <w:rsid w:val="00F07033"/>
    <w:rsid w:val="00F07D46"/>
    <w:rsid w:val="00F10944"/>
    <w:rsid w:val="00F109DF"/>
    <w:rsid w:val="00F10D7D"/>
    <w:rsid w:val="00F11381"/>
    <w:rsid w:val="00F11ADF"/>
    <w:rsid w:val="00F11F27"/>
    <w:rsid w:val="00F12C48"/>
    <w:rsid w:val="00F12ECD"/>
    <w:rsid w:val="00F133BE"/>
    <w:rsid w:val="00F137C9"/>
    <w:rsid w:val="00F13E4E"/>
    <w:rsid w:val="00F141FB"/>
    <w:rsid w:val="00F14A2F"/>
    <w:rsid w:val="00F14F9C"/>
    <w:rsid w:val="00F151BE"/>
    <w:rsid w:val="00F15622"/>
    <w:rsid w:val="00F15723"/>
    <w:rsid w:val="00F15B18"/>
    <w:rsid w:val="00F15EBF"/>
    <w:rsid w:val="00F1620E"/>
    <w:rsid w:val="00F16708"/>
    <w:rsid w:val="00F16C27"/>
    <w:rsid w:val="00F16E43"/>
    <w:rsid w:val="00F1722A"/>
    <w:rsid w:val="00F17322"/>
    <w:rsid w:val="00F176C6"/>
    <w:rsid w:val="00F1775D"/>
    <w:rsid w:val="00F2081D"/>
    <w:rsid w:val="00F20961"/>
    <w:rsid w:val="00F20973"/>
    <w:rsid w:val="00F20C12"/>
    <w:rsid w:val="00F21026"/>
    <w:rsid w:val="00F21336"/>
    <w:rsid w:val="00F2135B"/>
    <w:rsid w:val="00F21DC2"/>
    <w:rsid w:val="00F22061"/>
    <w:rsid w:val="00F2232C"/>
    <w:rsid w:val="00F22423"/>
    <w:rsid w:val="00F22485"/>
    <w:rsid w:val="00F224EF"/>
    <w:rsid w:val="00F227A2"/>
    <w:rsid w:val="00F228FF"/>
    <w:rsid w:val="00F229A8"/>
    <w:rsid w:val="00F22B61"/>
    <w:rsid w:val="00F22BD3"/>
    <w:rsid w:val="00F22C6A"/>
    <w:rsid w:val="00F22E2E"/>
    <w:rsid w:val="00F23322"/>
    <w:rsid w:val="00F235F7"/>
    <w:rsid w:val="00F23D9E"/>
    <w:rsid w:val="00F2459E"/>
    <w:rsid w:val="00F2496A"/>
    <w:rsid w:val="00F24DB1"/>
    <w:rsid w:val="00F2510E"/>
    <w:rsid w:val="00F25382"/>
    <w:rsid w:val="00F256EF"/>
    <w:rsid w:val="00F258B0"/>
    <w:rsid w:val="00F25908"/>
    <w:rsid w:val="00F25997"/>
    <w:rsid w:val="00F25E18"/>
    <w:rsid w:val="00F2655E"/>
    <w:rsid w:val="00F268C2"/>
    <w:rsid w:val="00F26C4E"/>
    <w:rsid w:val="00F26C75"/>
    <w:rsid w:val="00F271D1"/>
    <w:rsid w:val="00F2723D"/>
    <w:rsid w:val="00F27253"/>
    <w:rsid w:val="00F273EC"/>
    <w:rsid w:val="00F274FD"/>
    <w:rsid w:val="00F276AC"/>
    <w:rsid w:val="00F276F0"/>
    <w:rsid w:val="00F27C9E"/>
    <w:rsid w:val="00F27CCB"/>
    <w:rsid w:val="00F27D8C"/>
    <w:rsid w:val="00F30E42"/>
    <w:rsid w:val="00F31006"/>
    <w:rsid w:val="00F31203"/>
    <w:rsid w:val="00F31853"/>
    <w:rsid w:val="00F31A84"/>
    <w:rsid w:val="00F322BE"/>
    <w:rsid w:val="00F32565"/>
    <w:rsid w:val="00F32834"/>
    <w:rsid w:val="00F32877"/>
    <w:rsid w:val="00F32CA9"/>
    <w:rsid w:val="00F32E06"/>
    <w:rsid w:val="00F33258"/>
    <w:rsid w:val="00F3325F"/>
    <w:rsid w:val="00F3374F"/>
    <w:rsid w:val="00F346DF"/>
    <w:rsid w:val="00F34AEE"/>
    <w:rsid w:val="00F34BFF"/>
    <w:rsid w:val="00F352C3"/>
    <w:rsid w:val="00F35521"/>
    <w:rsid w:val="00F35A0C"/>
    <w:rsid w:val="00F367AA"/>
    <w:rsid w:val="00F368AC"/>
    <w:rsid w:val="00F369BB"/>
    <w:rsid w:val="00F36B85"/>
    <w:rsid w:val="00F36EEB"/>
    <w:rsid w:val="00F37053"/>
    <w:rsid w:val="00F376CA"/>
    <w:rsid w:val="00F40659"/>
    <w:rsid w:val="00F40BF7"/>
    <w:rsid w:val="00F40C53"/>
    <w:rsid w:val="00F40CF2"/>
    <w:rsid w:val="00F4112F"/>
    <w:rsid w:val="00F41E48"/>
    <w:rsid w:val="00F42541"/>
    <w:rsid w:val="00F42D91"/>
    <w:rsid w:val="00F42E13"/>
    <w:rsid w:val="00F43231"/>
    <w:rsid w:val="00F43634"/>
    <w:rsid w:val="00F43EDE"/>
    <w:rsid w:val="00F442E7"/>
    <w:rsid w:val="00F44E2D"/>
    <w:rsid w:val="00F4501A"/>
    <w:rsid w:val="00F451F5"/>
    <w:rsid w:val="00F45A40"/>
    <w:rsid w:val="00F45A6D"/>
    <w:rsid w:val="00F460CF"/>
    <w:rsid w:val="00F462FE"/>
    <w:rsid w:val="00F46372"/>
    <w:rsid w:val="00F46B4C"/>
    <w:rsid w:val="00F46B84"/>
    <w:rsid w:val="00F47085"/>
    <w:rsid w:val="00F47544"/>
    <w:rsid w:val="00F476B0"/>
    <w:rsid w:val="00F478A7"/>
    <w:rsid w:val="00F47C57"/>
    <w:rsid w:val="00F50073"/>
    <w:rsid w:val="00F509E2"/>
    <w:rsid w:val="00F50AC0"/>
    <w:rsid w:val="00F50BDE"/>
    <w:rsid w:val="00F50DDA"/>
    <w:rsid w:val="00F50E05"/>
    <w:rsid w:val="00F50EBD"/>
    <w:rsid w:val="00F50ECC"/>
    <w:rsid w:val="00F51BC1"/>
    <w:rsid w:val="00F51D7D"/>
    <w:rsid w:val="00F51F1F"/>
    <w:rsid w:val="00F5218A"/>
    <w:rsid w:val="00F525DC"/>
    <w:rsid w:val="00F52E82"/>
    <w:rsid w:val="00F532AE"/>
    <w:rsid w:val="00F5344C"/>
    <w:rsid w:val="00F53729"/>
    <w:rsid w:val="00F53E3A"/>
    <w:rsid w:val="00F5466B"/>
    <w:rsid w:val="00F5471F"/>
    <w:rsid w:val="00F5475F"/>
    <w:rsid w:val="00F547B1"/>
    <w:rsid w:val="00F548FD"/>
    <w:rsid w:val="00F54A97"/>
    <w:rsid w:val="00F54F81"/>
    <w:rsid w:val="00F5538F"/>
    <w:rsid w:val="00F55783"/>
    <w:rsid w:val="00F557D5"/>
    <w:rsid w:val="00F559C1"/>
    <w:rsid w:val="00F56637"/>
    <w:rsid w:val="00F56E2C"/>
    <w:rsid w:val="00F56E5B"/>
    <w:rsid w:val="00F573E7"/>
    <w:rsid w:val="00F5765E"/>
    <w:rsid w:val="00F5769D"/>
    <w:rsid w:val="00F57C8F"/>
    <w:rsid w:val="00F6040D"/>
    <w:rsid w:val="00F607C4"/>
    <w:rsid w:val="00F6086F"/>
    <w:rsid w:val="00F60C87"/>
    <w:rsid w:val="00F60D7F"/>
    <w:rsid w:val="00F6122D"/>
    <w:rsid w:val="00F61797"/>
    <w:rsid w:val="00F617C4"/>
    <w:rsid w:val="00F61E5E"/>
    <w:rsid w:val="00F61F52"/>
    <w:rsid w:val="00F62177"/>
    <w:rsid w:val="00F62A78"/>
    <w:rsid w:val="00F6316B"/>
    <w:rsid w:val="00F63C40"/>
    <w:rsid w:val="00F63D55"/>
    <w:rsid w:val="00F63FD9"/>
    <w:rsid w:val="00F640B0"/>
    <w:rsid w:val="00F6471B"/>
    <w:rsid w:val="00F647E4"/>
    <w:rsid w:val="00F648DF"/>
    <w:rsid w:val="00F651C6"/>
    <w:rsid w:val="00F655D5"/>
    <w:rsid w:val="00F65694"/>
    <w:rsid w:val="00F6579E"/>
    <w:rsid w:val="00F661A9"/>
    <w:rsid w:val="00F661C9"/>
    <w:rsid w:val="00F662DC"/>
    <w:rsid w:val="00F6660E"/>
    <w:rsid w:val="00F66869"/>
    <w:rsid w:val="00F668F0"/>
    <w:rsid w:val="00F66C82"/>
    <w:rsid w:val="00F67489"/>
    <w:rsid w:val="00F700F8"/>
    <w:rsid w:val="00F70386"/>
    <w:rsid w:val="00F703A7"/>
    <w:rsid w:val="00F703FF"/>
    <w:rsid w:val="00F70443"/>
    <w:rsid w:val="00F7058D"/>
    <w:rsid w:val="00F708CE"/>
    <w:rsid w:val="00F70BD5"/>
    <w:rsid w:val="00F70F0D"/>
    <w:rsid w:val="00F7112F"/>
    <w:rsid w:val="00F71264"/>
    <w:rsid w:val="00F71779"/>
    <w:rsid w:val="00F71BC1"/>
    <w:rsid w:val="00F71DB7"/>
    <w:rsid w:val="00F72217"/>
    <w:rsid w:val="00F7248A"/>
    <w:rsid w:val="00F7289F"/>
    <w:rsid w:val="00F72F14"/>
    <w:rsid w:val="00F7306E"/>
    <w:rsid w:val="00F7320E"/>
    <w:rsid w:val="00F7361A"/>
    <w:rsid w:val="00F737B3"/>
    <w:rsid w:val="00F737E7"/>
    <w:rsid w:val="00F73CCA"/>
    <w:rsid w:val="00F74BC1"/>
    <w:rsid w:val="00F750BB"/>
    <w:rsid w:val="00F7519E"/>
    <w:rsid w:val="00F75D8C"/>
    <w:rsid w:val="00F76144"/>
    <w:rsid w:val="00F76591"/>
    <w:rsid w:val="00F766A4"/>
    <w:rsid w:val="00F76D07"/>
    <w:rsid w:val="00F773E0"/>
    <w:rsid w:val="00F777CE"/>
    <w:rsid w:val="00F8079F"/>
    <w:rsid w:val="00F8104D"/>
    <w:rsid w:val="00F8146E"/>
    <w:rsid w:val="00F814AA"/>
    <w:rsid w:val="00F814E6"/>
    <w:rsid w:val="00F81BEC"/>
    <w:rsid w:val="00F81F0A"/>
    <w:rsid w:val="00F8205C"/>
    <w:rsid w:val="00F82E87"/>
    <w:rsid w:val="00F82F4E"/>
    <w:rsid w:val="00F840EA"/>
    <w:rsid w:val="00F853B8"/>
    <w:rsid w:val="00F855EB"/>
    <w:rsid w:val="00F85920"/>
    <w:rsid w:val="00F8613B"/>
    <w:rsid w:val="00F869A2"/>
    <w:rsid w:val="00F86F36"/>
    <w:rsid w:val="00F87052"/>
    <w:rsid w:val="00F87081"/>
    <w:rsid w:val="00F90047"/>
    <w:rsid w:val="00F9041A"/>
    <w:rsid w:val="00F90437"/>
    <w:rsid w:val="00F907AA"/>
    <w:rsid w:val="00F90BFE"/>
    <w:rsid w:val="00F90D04"/>
    <w:rsid w:val="00F90E1C"/>
    <w:rsid w:val="00F91036"/>
    <w:rsid w:val="00F92762"/>
    <w:rsid w:val="00F92C19"/>
    <w:rsid w:val="00F92CB3"/>
    <w:rsid w:val="00F92E84"/>
    <w:rsid w:val="00F9319B"/>
    <w:rsid w:val="00F93538"/>
    <w:rsid w:val="00F93892"/>
    <w:rsid w:val="00F93919"/>
    <w:rsid w:val="00F94137"/>
    <w:rsid w:val="00F94177"/>
    <w:rsid w:val="00F94292"/>
    <w:rsid w:val="00F94546"/>
    <w:rsid w:val="00F94D76"/>
    <w:rsid w:val="00F95053"/>
    <w:rsid w:val="00F9510D"/>
    <w:rsid w:val="00F951ED"/>
    <w:rsid w:val="00F953DA"/>
    <w:rsid w:val="00F95400"/>
    <w:rsid w:val="00F95615"/>
    <w:rsid w:val="00F95628"/>
    <w:rsid w:val="00F95848"/>
    <w:rsid w:val="00F95A57"/>
    <w:rsid w:val="00F95DA9"/>
    <w:rsid w:val="00F95EAD"/>
    <w:rsid w:val="00F9649F"/>
    <w:rsid w:val="00F965A0"/>
    <w:rsid w:val="00F96922"/>
    <w:rsid w:val="00F96EF3"/>
    <w:rsid w:val="00F97096"/>
    <w:rsid w:val="00F9735B"/>
    <w:rsid w:val="00F97756"/>
    <w:rsid w:val="00F977C6"/>
    <w:rsid w:val="00F97B1C"/>
    <w:rsid w:val="00F97FA1"/>
    <w:rsid w:val="00FA0286"/>
    <w:rsid w:val="00FA0583"/>
    <w:rsid w:val="00FA0822"/>
    <w:rsid w:val="00FA0862"/>
    <w:rsid w:val="00FA0A1E"/>
    <w:rsid w:val="00FA0AEE"/>
    <w:rsid w:val="00FA0D20"/>
    <w:rsid w:val="00FA0F74"/>
    <w:rsid w:val="00FA1078"/>
    <w:rsid w:val="00FA14FB"/>
    <w:rsid w:val="00FA1E15"/>
    <w:rsid w:val="00FA1E91"/>
    <w:rsid w:val="00FA1EB9"/>
    <w:rsid w:val="00FA1F4C"/>
    <w:rsid w:val="00FA24FA"/>
    <w:rsid w:val="00FA2F8E"/>
    <w:rsid w:val="00FA34F3"/>
    <w:rsid w:val="00FA3A9F"/>
    <w:rsid w:val="00FA3AD9"/>
    <w:rsid w:val="00FA3E5A"/>
    <w:rsid w:val="00FA4483"/>
    <w:rsid w:val="00FA4D75"/>
    <w:rsid w:val="00FA4F7F"/>
    <w:rsid w:val="00FA4FDD"/>
    <w:rsid w:val="00FA547D"/>
    <w:rsid w:val="00FA573B"/>
    <w:rsid w:val="00FA5D2C"/>
    <w:rsid w:val="00FA61C9"/>
    <w:rsid w:val="00FA61F3"/>
    <w:rsid w:val="00FA649F"/>
    <w:rsid w:val="00FA6D3B"/>
    <w:rsid w:val="00FA6DB9"/>
    <w:rsid w:val="00FA751C"/>
    <w:rsid w:val="00FA777C"/>
    <w:rsid w:val="00FA7827"/>
    <w:rsid w:val="00FB00F9"/>
    <w:rsid w:val="00FB02AE"/>
    <w:rsid w:val="00FB085E"/>
    <w:rsid w:val="00FB0A2E"/>
    <w:rsid w:val="00FB0B67"/>
    <w:rsid w:val="00FB0D12"/>
    <w:rsid w:val="00FB0DE4"/>
    <w:rsid w:val="00FB0EC3"/>
    <w:rsid w:val="00FB15EA"/>
    <w:rsid w:val="00FB1D81"/>
    <w:rsid w:val="00FB2058"/>
    <w:rsid w:val="00FB2BE6"/>
    <w:rsid w:val="00FB2BF6"/>
    <w:rsid w:val="00FB2EA5"/>
    <w:rsid w:val="00FB32E1"/>
    <w:rsid w:val="00FB3591"/>
    <w:rsid w:val="00FB3AF1"/>
    <w:rsid w:val="00FB3B8D"/>
    <w:rsid w:val="00FB3F35"/>
    <w:rsid w:val="00FB418C"/>
    <w:rsid w:val="00FB433D"/>
    <w:rsid w:val="00FB438E"/>
    <w:rsid w:val="00FB43AD"/>
    <w:rsid w:val="00FB4599"/>
    <w:rsid w:val="00FB46AC"/>
    <w:rsid w:val="00FB48D3"/>
    <w:rsid w:val="00FB4A20"/>
    <w:rsid w:val="00FB4ACA"/>
    <w:rsid w:val="00FB4C54"/>
    <w:rsid w:val="00FB4FFF"/>
    <w:rsid w:val="00FB5C17"/>
    <w:rsid w:val="00FB621B"/>
    <w:rsid w:val="00FB633A"/>
    <w:rsid w:val="00FB66AC"/>
    <w:rsid w:val="00FB674B"/>
    <w:rsid w:val="00FB6B64"/>
    <w:rsid w:val="00FC09D1"/>
    <w:rsid w:val="00FC12B4"/>
    <w:rsid w:val="00FC1740"/>
    <w:rsid w:val="00FC1A31"/>
    <w:rsid w:val="00FC1F19"/>
    <w:rsid w:val="00FC2751"/>
    <w:rsid w:val="00FC2763"/>
    <w:rsid w:val="00FC296A"/>
    <w:rsid w:val="00FC2A7E"/>
    <w:rsid w:val="00FC2CE3"/>
    <w:rsid w:val="00FC32F3"/>
    <w:rsid w:val="00FC349D"/>
    <w:rsid w:val="00FC391D"/>
    <w:rsid w:val="00FC40E2"/>
    <w:rsid w:val="00FC4123"/>
    <w:rsid w:val="00FC45AF"/>
    <w:rsid w:val="00FC4AF8"/>
    <w:rsid w:val="00FC52E3"/>
    <w:rsid w:val="00FC5437"/>
    <w:rsid w:val="00FC57ED"/>
    <w:rsid w:val="00FC596B"/>
    <w:rsid w:val="00FC5AA8"/>
    <w:rsid w:val="00FC5C3C"/>
    <w:rsid w:val="00FC5CE9"/>
    <w:rsid w:val="00FC6D42"/>
    <w:rsid w:val="00FC70BF"/>
    <w:rsid w:val="00FC70E8"/>
    <w:rsid w:val="00FC7C72"/>
    <w:rsid w:val="00FD00B5"/>
    <w:rsid w:val="00FD02B2"/>
    <w:rsid w:val="00FD0A81"/>
    <w:rsid w:val="00FD0B0B"/>
    <w:rsid w:val="00FD0BD4"/>
    <w:rsid w:val="00FD0CC6"/>
    <w:rsid w:val="00FD1909"/>
    <w:rsid w:val="00FD1D10"/>
    <w:rsid w:val="00FD1E57"/>
    <w:rsid w:val="00FD1EAD"/>
    <w:rsid w:val="00FD23C4"/>
    <w:rsid w:val="00FD2A5E"/>
    <w:rsid w:val="00FD2B01"/>
    <w:rsid w:val="00FD2CDF"/>
    <w:rsid w:val="00FD3288"/>
    <w:rsid w:val="00FD32A0"/>
    <w:rsid w:val="00FD35D4"/>
    <w:rsid w:val="00FD3C9A"/>
    <w:rsid w:val="00FD401D"/>
    <w:rsid w:val="00FD420C"/>
    <w:rsid w:val="00FD4612"/>
    <w:rsid w:val="00FD46E7"/>
    <w:rsid w:val="00FD4741"/>
    <w:rsid w:val="00FD48E5"/>
    <w:rsid w:val="00FD4986"/>
    <w:rsid w:val="00FD522F"/>
    <w:rsid w:val="00FD5941"/>
    <w:rsid w:val="00FD6045"/>
    <w:rsid w:val="00FD624F"/>
    <w:rsid w:val="00FD6407"/>
    <w:rsid w:val="00FD65E6"/>
    <w:rsid w:val="00FD6A2A"/>
    <w:rsid w:val="00FD6B82"/>
    <w:rsid w:val="00FD7273"/>
    <w:rsid w:val="00FD72D8"/>
    <w:rsid w:val="00FD788E"/>
    <w:rsid w:val="00FD7949"/>
    <w:rsid w:val="00FD7E03"/>
    <w:rsid w:val="00FE0997"/>
    <w:rsid w:val="00FE0AE4"/>
    <w:rsid w:val="00FE0DEB"/>
    <w:rsid w:val="00FE0F07"/>
    <w:rsid w:val="00FE1843"/>
    <w:rsid w:val="00FE1B29"/>
    <w:rsid w:val="00FE1BFF"/>
    <w:rsid w:val="00FE2633"/>
    <w:rsid w:val="00FE277A"/>
    <w:rsid w:val="00FE341B"/>
    <w:rsid w:val="00FE39A3"/>
    <w:rsid w:val="00FE3C31"/>
    <w:rsid w:val="00FE3C47"/>
    <w:rsid w:val="00FE470C"/>
    <w:rsid w:val="00FE4D47"/>
    <w:rsid w:val="00FE4FD0"/>
    <w:rsid w:val="00FE54CB"/>
    <w:rsid w:val="00FE5A30"/>
    <w:rsid w:val="00FE61EE"/>
    <w:rsid w:val="00FE63A7"/>
    <w:rsid w:val="00FE6A95"/>
    <w:rsid w:val="00FE6F07"/>
    <w:rsid w:val="00FE71A7"/>
    <w:rsid w:val="00FE784A"/>
    <w:rsid w:val="00FE7BF0"/>
    <w:rsid w:val="00FE7C68"/>
    <w:rsid w:val="00FE7FB4"/>
    <w:rsid w:val="00FF0186"/>
    <w:rsid w:val="00FF0488"/>
    <w:rsid w:val="00FF0BE0"/>
    <w:rsid w:val="00FF0D6D"/>
    <w:rsid w:val="00FF0EAA"/>
    <w:rsid w:val="00FF1757"/>
    <w:rsid w:val="00FF21B6"/>
    <w:rsid w:val="00FF2499"/>
    <w:rsid w:val="00FF2A9E"/>
    <w:rsid w:val="00FF3724"/>
    <w:rsid w:val="00FF3817"/>
    <w:rsid w:val="00FF3B82"/>
    <w:rsid w:val="00FF3B8C"/>
    <w:rsid w:val="00FF4E14"/>
    <w:rsid w:val="00FF5D02"/>
    <w:rsid w:val="00FF5DF1"/>
    <w:rsid w:val="00FF6480"/>
    <w:rsid w:val="00FF65F3"/>
    <w:rsid w:val="00FF6A07"/>
    <w:rsid w:val="00FF6C1E"/>
    <w:rsid w:val="00FF75A4"/>
    <w:rsid w:val="00FF796E"/>
    <w:rsid w:val="00FF7FE0"/>
    <w:rsid w:val="013435B5"/>
    <w:rsid w:val="0141260C"/>
    <w:rsid w:val="014B4189"/>
    <w:rsid w:val="01CA0051"/>
    <w:rsid w:val="01E21124"/>
    <w:rsid w:val="027B06EB"/>
    <w:rsid w:val="027D280C"/>
    <w:rsid w:val="02FB1E51"/>
    <w:rsid w:val="03340204"/>
    <w:rsid w:val="038A2C9F"/>
    <w:rsid w:val="03BE6A23"/>
    <w:rsid w:val="03E404A0"/>
    <w:rsid w:val="03E60B93"/>
    <w:rsid w:val="03E81CE5"/>
    <w:rsid w:val="03EE1F8E"/>
    <w:rsid w:val="04156E1B"/>
    <w:rsid w:val="04422046"/>
    <w:rsid w:val="0448506B"/>
    <w:rsid w:val="046E0B2F"/>
    <w:rsid w:val="047076D1"/>
    <w:rsid w:val="04D72FD3"/>
    <w:rsid w:val="04E03757"/>
    <w:rsid w:val="04E87616"/>
    <w:rsid w:val="053F7BF3"/>
    <w:rsid w:val="054E66A5"/>
    <w:rsid w:val="055C4F54"/>
    <w:rsid w:val="05992529"/>
    <w:rsid w:val="05BC6DAC"/>
    <w:rsid w:val="05D3715B"/>
    <w:rsid w:val="06115D36"/>
    <w:rsid w:val="06593AED"/>
    <w:rsid w:val="06814669"/>
    <w:rsid w:val="06884A54"/>
    <w:rsid w:val="068A4286"/>
    <w:rsid w:val="06B50198"/>
    <w:rsid w:val="06C17106"/>
    <w:rsid w:val="06D66ACC"/>
    <w:rsid w:val="07153FE1"/>
    <w:rsid w:val="07435E13"/>
    <w:rsid w:val="07C662B2"/>
    <w:rsid w:val="07C7376C"/>
    <w:rsid w:val="07D739D0"/>
    <w:rsid w:val="07F258AA"/>
    <w:rsid w:val="08764C2B"/>
    <w:rsid w:val="08A30705"/>
    <w:rsid w:val="08A81915"/>
    <w:rsid w:val="08F8266B"/>
    <w:rsid w:val="08F91214"/>
    <w:rsid w:val="08FE6E05"/>
    <w:rsid w:val="091510FC"/>
    <w:rsid w:val="091F0856"/>
    <w:rsid w:val="09255B5F"/>
    <w:rsid w:val="092C7EED"/>
    <w:rsid w:val="093A4248"/>
    <w:rsid w:val="09580622"/>
    <w:rsid w:val="09684FA9"/>
    <w:rsid w:val="09770269"/>
    <w:rsid w:val="098C640D"/>
    <w:rsid w:val="09F72D3A"/>
    <w:rsid w:val="0A373E2E"/>
    <w:rsid w:val="0A5D434F"/>
    <w:rsid w:val="0A6843EF"/>
    <w:rsid w:val="0A8269E5"/>
    <w:rsid w:val="0ABB4E7D"/>
    <w:rsid w:val="0AF04FDB"/>
    <w:rsid w:val="0B026716"/>
    <w:rsid w:val="0B0B2455"/>
    <w:rsid w:val="0B2C5D7E"/>
    <w:rsid w:val="0B490751"/>
    <w:rsid w:val="0B532434"/>
    <w:rsid w:val="0B88509C"/>
    <w:rsid w:val="0B9D1D6C"/>
    <w:rsid w:val="0BE90467"/>
    <w:rsid w:val="0C0836D0"/>
    <w:rsid w:val="0C2A5F64"/>
    <w:rsid w:val="0C5467F8"/>
    <w:rsid w:val="0C5B27F2"/>
    <w:rsid w:val="0C653409"/>
    <w:rsid w:val="0CA559B3"/>
    <w:rsid w:val="0CF32F5D"/>
    <w:rsid w:val="0D074494"/>
    <w:rsid w:val="0D345EAE"/>
    <w:rsid w:val="0D3C69D9"/>
    <w:rsid w:val="0D8458C1"/>
    <w:rsid w:val="0D8F4688"/>
    <w:rsid w:val="0D986BD7"/>
    <w:rsid w:val="0DB621E2"/>
    <w:rsid w:val="0DE111F0"/>
    <w:rsid w:val="0E05169A"/>
    <w:rsid w:val="0E1E2125"/>
    <w:rsid w:val="0E4B48E9"/>
    <w:rsid w:val="0E706E38"/>
    <w:rsid w:val="0E83412B"/>
    <w:rsid w:val="0E8F6A24"/>
    <w:rsid w:val="0EAB0FD9"/>
    <w:rsid w:val="0F011A8C"/>
    <w:rsid w:val="0F0129AD"/>
    <w:rsid w:val="0F85759A"/>
    <w:rsid w:val="0FDD68F7"/>
    <w:rsid w:val="0FF0755C"/>
    <w:rsid w:val="0FFC0D26"/>
    <w:rsid w:val="102C7752"/>
    <w:rsid w:val="104A3AC4"/>
    <w:rsid w:val="1061670F"/>
    <w:rsid w:val="10643D9D"/>
    <w:rsid w:val="107228FB"/>
    <w:rsid w:val="10B11E18"/>
    <w:rsid w:val="10B32D2F"/>
    <w:rsid w:val="10FC1BF5"/>
    <w:rsid w:val="112932F4"/>
    <w:rsid w:val="117C7A68"/>
    <w:rsid w:val="11CA6D66"/>
    <w:rsid w:val="11F272A1"/>
    <w:rsid w:val="12034ADB"/>
    <w:rsid w:val="120806FB"/>
    <w:rsid w:val="12194130"/>
    <w:rsid w:val="12477A8D"/>
    <w:rsid w:val="12C32562"/>
    <w:rsid w:val="12D21F40"/>
    <w:rsid w:val="13051E53"/>
    <w:rsid w:val="13142254"/>
    <w:rsid w:val="13163C98"/>
    <w:rsid w:val="13305842"/>
    <w:rsid w:val="134C781A"/>
    <w:rsid w:val="138F7B26"/>
    <w:rsid w:val="1399669D"/>
    <w:rsid w:val="13A73A0D"/>
    <w:rsid w:val="13E81CF4"/>
    <w:rsid w:val="14192099"/>
    <w:rsid w:val="14196AC8"/>
    <w:rsid w:val="14413646"/>
    <w:rsid w:val="144B3AE7"/>
    <w:rsid w:val="147E3C62"/>
    <w:rsid w:val="14BB2DA7"/>
    <w:rsid w:val="15095F69"/>
    <w:rsid w:val="1543259B"/>
    <w:rsid w:val="15495671"/>
    <w:rsid w:val="15852429"/>
    <w:rsid w:val="158E44A3"/>
    <w:rsid w:val="159B6966"/>
    <w:rsid w:val="15BFAE97"/>
    <w:rsid w:val="15DF0F76"/>
    <w:rsid w:val="15F10C2B"/>
    <w:rsid w:val="160E6A31"/>
    <w:rsid w:val="161F128E"/>
    <w:rsid w:val="16225E7B"/>
    <w:rsid w:val="16B0291F"/>
    <w:rsid w:val="16E91D95"/>
    <w:rsid w:val="16EC1A59"/>
    <w:rsid w:val="1740285C"/>
    <w:rsid w:val="17EF6D73"/>
    <w:rsid w:val="18CB677F"/>
    <w:rsid w:val="190A3122"/>
    <w:rsid w:val="19250C48"/>
    <w:rsid w:val="194E0DA1"/>
    <w:rsid w:val="19D305B6"/>
    <w:rsid w:val="19D9457F"/>
    <w:rsid w:val="19F259DD"/>
    <w:rsid w:val="1A093C33"/>
    <w:rsid w:val="1A426A3E"/>
    <w:rsid w:val="1A6467CD"/>
    <w:rsid w:val="1A7843EF"/>
    <w:rsid w:val="1A86054B"/>
    <w:rsid w:val="1A9C0473"/>
    <w:rsid w:val="1AE35F10"/>
    <w:rsid w:val="1B0D0755"/>
    <w:rsid w:val="1B1D0AE8"/>
    <w:rsid w:val="1B1E62F4"/>
    <w:rsid w:val="1B20065B"/>
    <w:rsid w:val="1B234FF4"/>
    <w:rsid w:val="1B2A3050"/>
    <w:rsid w:val="1B3432FF"/>
    <w:rsid w:val="1B4E5755"/>
    <w:rsid w:val="1B6B770A"/>
    <w:rsid w:val="1B8849C8"/>
    <w:rsid w:val="1B885FA1"/>
    <w:rsid w:val="1BCF7B5D"/>
    <w:rsid w:val="1C336FAD"/>
    <w:rsid w:val="1CB23151"/>
    <w:rsid w:val="1CE44B05"/>
    <w:rsid w:val="1CE87BAD"/>
    <w:rsid w:val="1D0E7E58"/>
    <w:rsid w:val="1D3D373B"/>
    <w:rsid w:val="1D5012BE"/>
    <w:rsid w:val="1D5B1FD4"/>
    <w:rsid w:val="1D8E1E1C"/>
    <w:rsid w:val="1DA17E5B"/>
    <w:rsid w:val="1DC6667B"/>
    <w:rsid w:val="1DE6685E"/>
    <w:rsid w:val="1DF662AF"/>
    <w:rsid w:val="1E2D23BB"/>
    <w:rsid w:val="1E346777"/>
    <w:rsid w:val="1E562DC5"/>
    <w:rsid w:val="1E7F6AF9"/>
    <w:rsid w:val="1EC43CA4"/>
    <w:rsid w:val="1ECF4669"/>
    <w:rsid w:val="1F106FB8"/>
    <w:rsid w:val="1F2C38BD"/>
    <w:rsid w:val="1F74425E"/>
    <w:rsid w:val="1FB71844"/>
    <w:rsid w:val="1FCA3C35"/>
    <w:rsid w:val="1FE20FC1"/>
    <w:rsid w:val="202D73EF"/>
    <w:rsid w:val="203B00A0"/>
    <w:rsid w:val="20AC0B6E"/>
    <w:rsid w:val="210D5D91"/>
    <w:rsid w:val="21306EA4"/>
    <w:rsid w:val="216E1A6E"/>
    <w:rsid w:val="224746E2"/>
    <w:rsid w:val="22AE1DE0"/>
    <w:rsid w:val="22BD5EF0"/>
    <w:rsid w:val="230610D6"/>
    <w:rsid w:val="23842A0A"/>
    <w:rsid w:val="23D72AD8"/>
    <w:rsid w:val="23DD4B71"/>
    <w:rsid w:val="23EE6873"/>
    <w:rsid w:val="240A65E4"/>
    <w:rsid w:val="240F50BD"/>
    <w:rsid w:val="244A36E4"/>
    <w:rsid w:val="244F2331"/>
    <w:rsid w:val="245A261A"/>
    <w:rsid w:val="24D03DB9"/>
    <w:rsid w:val="250234DF"/>
    <w:rsid w:val="25407828"/>
    <w:rsid w:val="255167B3"/>
    <w:rsid w:val="25562D35"/>
    <w:rsid w:val="258D66AC"/>
    <w:rsid w:val="25C73461"/>
    <w:rsid w:val="25C867F3"/>
    <w:rsid w:val="25E330C5"/>
    <w:rsid w:val="261B1094"/>
    <w:rsid w:val="26B37986"/>
    <w:rsid w:val="26BD5C77"/>
    <w:rsid w:val="26CC2D61"/>
    <w:rsid w:val="26DB2D68"/>
    <w:rsid w:val="27043F59"/>
    <w:rsid w:val="27207FB4"/>
    <w:rsid w:val="27585021"/>
    <w:rsid w:val="276C6B17"/>
    <w:rsid w:val="27811004"/>
    <w:rsid w:val="27A21D15"/>
    <w:rsid w:val="27C77343"/>
    <w:rsid w:val="283C227C"/>
    <w:rsid w:val="287A722F"/>
    <w:rsid w:val="28C108B1"/>
    <w:rsid w:val="28C46A1B"/>
    <w:rsid w:val="28D1765D"/>
    <w:rsid w:val="2914516F"/>
    <w:rsid w:val="2973706E"/>
    <w:rsid w:val="29890311"/>
    <w:rsid w:val="299D595A"/>
    <w:rsid w:val="29C35B09"/>
    <w:rsid w:val="2A0D0E7F"/>
    <w:rsid w:val="2A4868D8"/>
    <w:rsid w:val="2A652D23"/>
    <w:rsid w:val="2A8775D4"/>
    <w:rsid w:val="2A9F4AAD"/>
    <w:rsid w:val="2AA44FBC"/>
    <w:rsid w:val="2B2218B0"/>
    <w:rsid w:val="2B343ECC"/>
    <w:rsid w:val="2B4C75CA"/>
    <w:rsid w:val="2B5C2B9C"/>
    <w:rsid w:val="2B730039"/>
    <w:rsid w:val="2BB0461E"/>
    <w:rsid w:val="2BEB139E"/>
    <w:rsid w:val="2C1D3AF0"/>
    <w:rsid w:val="2C2D168A"/>
    <w:rsid w:val="2C3C748E"/>
    <w:rsid w:val="2C4D7D3C"/>
    <w:rsid w:val="2C5059DA"/>
    <w:rsid w:val="2C5E4774"/>
    <w:rsid w:val="2C5E6EBA"/>
    <w:rsid w:val="2C8E2972"/>
    <w:rsid w:val="2C913A5F"/>
    <w:rsid w:val="2C944132"/>
    <w:rsid w:val="2CB847EB"/>
    <w:rsid w:val="2CC81B6F"/>
    <w:rsid w:val="2CF32326"/>
    <w:rsid w:val="2D401482"/>
    <w:rsid w:val="2D6B4049"/>
    <w:rsid w:val="2E060B47"/>
    <w:rsid w:val="2E675CB6"/>
    <w:rsid w:val="2E97662E"/>
    <w:rsid w:val="2EAA4635"/>
    <w:rsid w:val="2EC34221"/>
    <w:rsid w:val="2ED67FE4"/>
    <w:rsid w:val="2F2A0BB8"/>
    <w:rsid w:val="2F326A92"/>
    <w:rsid w:val="2F952EB1"/>
    <w:rsid w:val="2FBF4A1A"/>
    <w:rsid w:val="2FC65301"/>
    <w:rsid w:val="301B203D"/>
    <w:rsid w:val="30225048"/>
    <w:rsid w:val="302F5D7D"/>
    <w:rsid w:val="307034AB"/>
    <w:rsid w:val="308F751E"/>
    <w:rsid w:val="30A02C68"/>
    <w:rsid w:val="30EF6AE6"/>
    <w:rsid w:val="30F0631C"/>
    <w:rsid w:val="31117382"/>
    <w:rsid w:val="31282E77"/>
    <w:rsid w:val="3128472F"/>
    <w:rsid w:val="317C17F7"/>
    <w:rsid w:val="31BD0A69"/>
    <w:rsid w:val="31D0139D"/>
    <w:rsid w:val="31EF5519"/>
    <w:rsid w:val="31F61910"/>
    <w:rsid w:val="322E06A4"/>
    <w:rsid w:val="32321AB9"/>
    <w:rsid w:val="32333150"/>
    <w:rsid w:val="32427031"/>
    <w:rsid w:val="324B7619"/>
    <w:rsid w:val="32540E0E"/>
    <w:rsid w:val="32A62C41"/>
    <w:rsid w:val="32B466AC"/>
    <w:rsid w:val="32E809F5"/>
    <w:rsid w:val="32F22EDD"/>
    <w:rsid w:val="32F42B33"/>
    <w:rsid w:val="333D436A"/>
    <w:rsid w:val="33740DD2"/>
    <w:rsid w:val="337629C2"/>
    <w:rsid w:val="33836629"/>
    <w:rsid w:val="33CB4AB8"/>
    <w:rsid w:val="34402732"/>
    <w:rsid w:val="34A8376D"/>
    <w:rsid w:val="357356CD"/>
    <w:rsid w:val="3595390E"/>
    <w:rsid w:val="35CE37DB"/>
    <w:rsid w:val="35F15E12"/>
    <w:rsid w:val="3623408C"/>
    <w:rsid w:val="368657FE"/>
    <w:rsid w:val="369A2019"/>
    <w:rsid w:val="369A4EA6"/>
    <w:rsid w:val="36AA5BC6"/>
    <w:rsid w:val="36C319E6"/>
    <w:rsid w:val="371640F9"/>
    <w:rsid w:val="37765B89"/>
    <w:rsid w:val="380713C4"/>
    <w:rsid w:val="381A2644"/>
    <w:rsid w:val="38303BA2"/>
    <w:rsid w:val="38360931"/>
    <w:rsid w:val="383D6B0A"/>
    <w:rsid w:val="385A3FC5"/>
    <w:rsid w:val="3871422B"/>
    <w:rsid w:val="38BE3AFE"/>
    <w:rsid w:val="392B1DC5"/>
    <w:rsid w:val="39A20341"/>
    <w:rsid w:val="39A60397"/>
    <w:rsid w:val="39D038E2"/>
    <w:rsid w:val="3A1C391E"/>
    <w:rsid w:val="3A223197"/>
    <w:rsid w:val="3A623D5C"/>
    <w:rsid w:val="3A910196"/>
    <w:rsid w:val="3AAB09E1"/>
    <w:rsid w:val="3AB071B2"/>
    <w:rsid w:val="3AE034D3"/>
    <w:rsid w:val="3B021A6B"/>
    <w:rsid w:val="3B041427"/>
    <w:rsid w:val="3B1F059D"/>
    <w:rsid w:val="3B2D612D"/>
    <w:rsid w:val="3B376954"/>
    <w:rsid w:val="3B3B50FA"/>
    <w:rsid w:val="3B6F15F6"/>
    <w:rsid w:val="3B871DEE"/>
    <w:rsid w:val="3BFB4B8C"/>
    <w:rsid w:val="3C0F7E93"/>
    <w:rsid w:val="3C1F1CCD"/>
    <w:rsid w:val="3C4E0FF5"/>
    <w:rsid w:val="3C545A23"/>
    <w:rsid w:val="3C6E26F4"/>
    <w:rsid w:val="3C730AAF"/>
    <w:rsid w:val="3C9764A7"/>
    <w:rsid w:val="3CF576C7"/>
    <w:rsid w:val="3CF578AF"/>
    <w:rsid w:val="3D0B63DF"/>
    <w:rsid w:val="3D2422AA"/>
    <w:rsid w:val="3D2B3CA1"/>
    <w:rsid w:val="3D3408DF"/>
    <w:rsid w:val="3D6312F3"/>
    <w:rsid w:val="3D63681A"/>
    <w:rsid w:val="3D725AE4"/>
    <w:rsid w:val="3D823F5C"/>
    <w:rsid w:val="3D84372B"/>
    <w:rsid w:val="3DD03784"/>
    <w:rsid w:val="3DE44A24"/>
    <w:rsid w:val="3DEB6749"/>
    <w:rsid w:val="3E0A4767"/>
    <w:rsid w:val="3E181764"/>
    <w:rsid w:val="3E1A3266"/>
    <w:rsid w:val="3E3A0F7B"/>
    <w:rsid w:val="3E3D2C9F"/>
    <w:rsid w:val="3E416D58"/>
    <w:rsid w:val="3E9A0817"/>
    <w:rsid w:val="3E9C4FEB"/>
    <w:rsid w:val="3EC51C48"/>
    <w:rsid w:val="3EF035F0"/>
    <w:rsid w:val="3F26A11D"/>
    <w:rsid w:val="3F3F1C7B"/>
    <w:rsid w:val="3F7E258B"/>
    <w:rsid w:val="3F8B5733"/>
    <w:rsid w:val="3FCF74C7"/>
    <w:rsid w:val="3FF41FFE"/>
    <w:rsid w:val="40385F17"/>
    <w:rsid w:val="40422B4D"/>
    <w:rsid w:val="40913CF0"/>
    <w:rsid w:val="40CF68EE"/>
    <w:rsid w:val="40D51A4D"/>
    <w:rsid w:val="40F92AEB"/>
    <w:rsid w:val="411F7AC0"/>
    <w:rsid w:val="412B3317"/>
    <w:rsid w:val="41380617"/>
    <w:rsid w:val="413B49B3"/>
    <w:rsid w:val="416E5004"/>
    <w:rsid w:val="41863430"/>
    <w:rsid w:val="420C5EA8"/>
    <w:rsid w:val="422E33BF"/>
    <w:rsid w:val="42640DB4"/>
    <w:rsid w:val="42AA4FB7"/>
    <w:rsid w:val="42DF0E14"/>
    <w:rsid w:val="43320C92"/>
    <w:rsid w:val="43821F94"/>
    <w:rsid w:val="43953C9F"/>
    <w:rsid w:val="43991E2B"/>
    <w:rsid w:val="43B13FCC"/>
    <w:rsid w:val="43C442BF"/>
    <w:rsid w:val="43E40D93"/>
    <w:rsid w:val="4422224D"/>
    <w:rsid w:val="44400397"/>
    <w:rsid w:val="449C39BD"/>
    <w:rsid w:val="44DB37D7"/>
    <w:rsid w:val="45013C32"/>
    <w:rsid w:val="450A7497"/>
    <w:rsid w:val="451775D7"/>
    <w:rsid w:val="45412757"/>
    <w:rsid w:val="454C754D"/>
    <w:rsid w:val="461C75E6"/>
    <w:rsid w:val="464A2374"/>
    <w:rsid w:val="467E0039"/>
    <w:rsid w:val="46DFBB2E"/>
    <w:rsid w:val="470F4F38"/>
    <w:rsid w:val="4743461B"/>
    <w:rsid w:val="47747257"/>
    <w:rsid w:val="47766798"/>
    <w:rsid w:val="477D5A01"/>
    <w:rsid w:val="47804960"/>
    <w:rsid w:val="4792492B"/>
    <w:rsid w:val="47986729"/>
    <w:rsid w:val="47D137A5"/>
    <w:rsid w:val="47E54532"/>
    <w:rsid w:val="48276F53"/>
    <w:rsid w:val="48546022"/>
    <w:rsid w:val="48793A17"/>
    <w:rsid w:val="48A811B2"/>
    <w:rsid w:val="48C87725"/>
    <w:rsid w:val="48EC444D"/>
    <w:rsid w:val="48F72B06"/>
    <w:rsid w:val="4920770E"/>
    <w:rsid w:val="492A22B5"/>
    <w:rsid w:val="496A3C15"/>
    <w:rsid w:val="497C6B0E"/>
    <w:rsid w:val="49825EAF"/>
    <w:rsid w:val="49933AB3"/>
    <w:rsid w:val="4A483B90"/>
    <w:rsid w:val="4A4F06B0"/>
    <w:rsid w:val="4A506F20"/>
    <w:rsid w:val="4A874CBD"/>
    <w:rsid w:val="4AA47CEF"/>
    <w:rsid w:val="4AE90790"/>
    <w:rsid w:val="4B150276"/>
    <w:rsid w:val="4B1E2899"/>
    <w:rsid w:val="4B210E8A"/>
    <w:rsid w:val="4B517CEF"/>
    <w:rsid w:val="4B620D12"/>
    <w:rsid w:val="4B7F5EA7"/>
    <w:rsid w:val="4B976D48"/>
    <w:rsid w:val="4BAC418D"/>
    <w:rsid w:val="4BBC7ADE"/>
    <w:rsid w:val="4C4D4A97"/>
    <w:rsid w:val="4C7059F4"/>
    <w:rsid w:val="4C8B6D4F"/>
    <w:rsid w:val="4CD36DC8"/>
    <w:rsid w:val="4CD70849"/>
    <w:rsid w:val="4D2C78F8"/>
    <w:rsid w:val="4D5536C5"/>
    <w:rsid w:val="4D8134F9"/>
    <w:rsid w:val="4D9B2AFA"/>
    <w:rsid w:val="4DE4359B"/>
    <w:rsid w:val="4DF430BF"/>
    <w:rsid w:val="4DFD2848"/>
    <w:rsid w:val="4E0823CB"/>
    <w:rsid w:val="4E11154A"/>
    <w:rsid w:val="4E1C3279"/>
    <w:rsid w:val="4E404B20"/>
    <w:rsid w:val="4E890D29"/>
    <w:rsid w:val="4EA6738E"/>
    <w:rsid w:val="4ED55CF0"/>
    <w:rsid w:val="4F090633"/>
    <w:rsid w:val="4F1249D0"/>
    <w:rsid w:val="4F162507"/>
    <w:rsid w:val="4F2B5B1C"/>
    <w:rsid w:val="4F6F61CB"/>
    <w:rsid w:val="4F7E3917"/>
    <w:rsid w:val="4F8C1667"/>
    <w:rsid w:val="4F8C4CD5"/>
    <w:rsid w:val="4FF9325D"/>
    <w:rsid w:val="50726824"/>
    <w:rsid w:val="509739EF"/>
    <w:rsid w:val="510137EB"/>
    <w:rsid w:val="511150E9"/>
    <w:rsid w:val="511A6966"/>
    <w:rsid w:val="51536AA5"/>
    <w:rsid w:val="51E70702"/>
    <w:rsid w:val="51FF2A45"/>
    <w:rsid w:val="52173FBA"/>
    <w:rsid w:val="5255651D"/>
    <w:rsid w:val="529458CE"/>
    <w:rsid w:val="52990BF7"/>
    <w:rsid w:val="529A0A1E"/>
    <w:rsid w:val="52AE2277"/>
    <w:rsid w:val="52B03DC0"/>
    <w:rsid w:val="52B94A03"/>
    <w:rsid w:val="52DB152B"/>
    <w:rsid w:val="531707EC"/>
    <w:rsid w:val="53335530"/>
    <w:rsid w:val="533A3D69"/>
    <w:rsid w:val="53500C19"/>
    <w:rsid w:val="53D71141"/>
    <w:rsid w:val="540F3590"/>
    <w:rsid w:val="54320703"/>
    <w:rsid w:val="543E4715"/>
    <w:rsid w:val="5451004C"/>
    <w:rsid w:val="54FC3DE1"/>
    <w:rsid w:val="5522484B"/>
    <w:rsid w:val="558A22AC"/>
    <w:rsid w:val="558E6ABB"/>
    <w:rsid w:val="55A355F9"/>
    <w:rsid w:val="55E82A81"/>
    <w:rsid w:val="56302D26"/>
    <w:rsid w:val="56331170"/>
    <w:rsid w:val="563A6413"/>
    <w:rsid w:val="564911C2"/>
    <w:rsid w:val="56AB7E7B"/>
    <w:rsid w:val="57123B2E"/>
    <w:rsid w:val="57552B9B"/>
    <w:rsid w:val="575E21DA"/>
    <w:rsid w:val="57631A68"/>
    <w:rsid w:val="57795016"/>
    <w:rsid w:val="57887785"/>
    <w:rsid w:val="578E7BD3"/>
    <w:rsid w:val="57BB7307"/>
    <w:rsid w:val="57CB3ED8"/>
    <w:rsid w:val="57EA0264"/>
    <w:rsid w:val="5812458E"/>
    <w:rsid w:val="581E7071"/>
    <w:rsid w:val="582F5586"/>
    <w:rsid w:val="58442023"/>
    <w:rsid w:val="587A5997"/>
    <w:rsid w:val="588F4F06"/>
    <w:rsid w:val="58EF51E1"/>
    <w:rsid w:val="58F87317"/>
    <w:rsid w:val="590C70E6"/>
    <w:rsid w:val="597DF442"/>
    <w:rsid w:val="59BD00B7"/>
    <w:rsid w:val="59DD0CCE"/>
    <w:rsid w:val="5A44100C"/>
    <w:rsid w:val="5A4630A9"/>
    <w:rsid w:val="5A4B58AF"/>
    <w:rsid w:val="5A765831"/>
    <w:rsid w:val="5A7E678F"/>
    <w:rsid w:val="5AAB2FC1"/>
    <w:rsid w:val="5AD54702"/>
    <w:rsid w:val="5AFC0D72"/>
    <w:rsid w:val="5B0B08EB"/>
    <w:rsid w:val="5B255345"/>
    <w:rsid w:val="5B2A53E5"/>
    <w:rsid w:val="5B773FA4"/>
    <w:rsid w:val="5BD40309"/>
    <w:rsid w:val="5BD64942"/>
    <w:rsid w:val="5C0B7082"/>
    <w:rsid w:val="5C2B4A66"/>
    <w:rsid w:val="5C322AFD"/>
    <w:rsid w:val="5C446B7B"/>
    <w:rsid w:val="5C530B22"/>
    <w:rsid w:val="5C585369"/>
    <w:rsid w:val="5C5B037B"/>
    <w:rsid w:val="5CFB41A1"/>
    <w:rsid w:val="5D102374"/>
    <w:rsid w:val="5D3021F2"/>
    <w:rsid w:val="5D3530B4"/>
    <w:rsid w:val="5D672797"/>
    <w:rsid w:val="5DA0223F"/>
    <w:rsid w:val="5DC0637E"/>
    <w:rsid w:val="5DCC7928"/>
    <w:rsid w:val="5E2F137A"/>
    <w:rsid w:val="5E461F43"/>
    <w:rsid w:val="5E5E5545"/>
    <w:rsid w:val="5E6F35AF"/>
    <w:rsid w:val="5EB66F47"/>
    <w:rsid w:val="5EBB50C7"/>
    <w:rsid w:val="5EDE1B19"/>
    <w:rsid w:val="5F0E251D"/>
    <w:rsid w:val="5F2343C8"/>
    <w:rsid w:val="5F2C7FA2"/>
    <w:rsid w:val="5F302399"/>
    <w:rsid w:val="5F481876"/>
    <w:rsid w:val="5F4929A6"/>
    <w:rsid w:val="5F63756F"/>
    <w:rsid w:val="5F6A7E1E"/>
    <w:rsid w:val="5F70255B"/>
    <w:rsid w:val="5F72040A"/>
    <w:rsid w:val="5F873308"/>
    <w:rsid w:val="5FA016B7"/>
    <w:rsid w:val="6005239A"/>
    <w:rsid w:val="602142BA"/>
    <w:rsid w:val="60261C49"/>
    <w:rsid w:val="605D7CD4"/>
    <w:rsid w:val="60952502"/>
    <w:rsid w:val="60AB5358"/>
    <w:rsid w:val="60AD60D5"/>
    <w:rsid w:val="60AE78E6"/>
    <w:rsid w:val="60DC6EB3"/>
    <w:rsid w:val="60FC1A14"/>
    <w:rsid w:val="61477354"/>
    <w:rsid w:val="61690CDF"/>
    <w:rsid w:val="61E52C2B"/>
    <w:rsid w:val="61EE7ABE"/>
    <w:rsid w:val="62AA4627"/>
    <w:rsid w:val="62C64CAB"/>
    <w:rsid w:val="62C87364"/>
    <w:rsid w:val="62F31AFE"/>
    <w:rsid w:val="6347415F"/>
    <w:rsid w:val="635A292F"/>
    <w:rsid w:val="63A04A4A"/>
    <w:rsid w:val="63EC64DE"/>
    <w:rsid w:val="63F66130"/>
    <w:rsid w:val="64160AED"/>
    <w:rsid w:val="641A1978"/>
    <w:rsid w:val="64236907"/>
    <w:rsid w:val="643979E4"/>
    <w:rsid w:val="644B4B7C"/>
    <w:rsid w:val="64A06D7E"/>
    <w:rsid w:val="64AA3C02"/>
    <w:rsid w:val="64FA7EF1"/>
    <w:rsid w:val="64FF1530"/>
    <w:rsid w:val="653553E4"/>
    <w:rsid w:val="6540672C"/>
    <w:rsid w:val="655807AC"/>
    <w:rsid w:val="663040C8"/>
    <w:rsid w:val="667B2EB6"/>
    <w:rsid w:val="66CE76AA"/>
    <w:rsid w:val="66D5B7A0"/>
    <w:rsid w:val="66DB2DEC"/>
    <w:rsid w:val="673C3B20"/>
    <w:rsid w:val="676D1C85"/>
    <w:rsid w:val="678E43D7"/>
    <w:rsid w:val="67C97B76"/>
    <w:rsid w:val="67D743F6"/>
    <w:rsid w:val="67F851A0"/>
    <w:rsid w:val="68154B28"/>
    <w:rsid w:val="681F3395"/>
    <w:rsid w:val="68436C40"/>
    <w:rsid w:val="68A70B9F"/>
    <w:rsid w:val="68F2617C"/>
    <w:rsid w:val="69125294"/>
    <w:rsid w:val="691F576F"/>
    <w:rsid w:val="69393F40"/>
    <w:rsid w:val="69463BD4"/>
    <w:rsid w:val="69601D71"/>
    <w:rsid w:val="69737906"/>
    <w:rsid w:val="697C2493"/>
    <w:rsid w:val="698860B8"/>
    <w:rsid w:val="69AC3539"/>
    <w:rsid w:val="69D06BAD"/>
    <w:rsid w:val="6A147AC8"/>
    <w:rsid w:val="6A272F10"/>
    <w:rsid w:val="6A2C6D24"/>
    <w:rsid w:val="6A3C00A1"/>
    <w:rsid w:val="6A3F268B"/>
    <w:rsid w:val="6A6B73C3"/>
    <w:rsid w:val="6A78794D"/>
    <w:rsid w:val="6AF70951"/>
    <w:rsid w:val="6B0F70AC"/>
    <w:rsid w:val="6B31457B"/>
    <w:rsid w:val="6BA501B5"/>
    <w:rsid w:val="6BBA01E1"/>
    <w:rsid w:val="6BCA4759"/>
    <w:rsid w:val="6BF04A9C"/>
    <w:rsid w:val="6C0F3D11"/>
    <w:rsid w:val="6C201AF0"/>
    <w:rsid w:val="6C2A34FC"/>
    <w:rsid w:val="6C2B29D4"/>
    <w:rsid w:val="6C2F1B9C"/>
    <w:rsid w:val="6C3727C2"/>
    <w:rsid w:val="6C727114"/>
    <w:rsid w:val="6C8175EB"/>
    <w:rsid w:val="6CA6349E"/>
    <w:rsid w:val="6D3D5201"/>
    <w:rsid w:val="6D8D05FA"/>
    <w:rsid w:val="6D9335A3"/>
    <w:rsid w:val="6DE75FE9"/>
    <w:rsid w:val="6E11072D"/>
    <w:rsid w:val="6E4858CF"/>
    <w:rsid w:val="6E8C764F"/>
    <w:rsid w:val="6EC56427"/>
    <w:rsid w:val="6EF572A8"/>
    <w:rsid w:val="6F227D11"/>
    <w:rsid w:val="6F3203A1"/>
    <w:rsid w:val="6F545F0B"/>
    <w:rsid w:val="6F8952E6"/>
    <w:rsid w:val="6FA327D2"/>
    <w:rsid w:val="6FE40F11"/>
    <w:rsid w:val="7010148B"/>
    <w:rsid w:val="70271E38"/>
    <w:rsid w:val="702D43C9"/>
    <w:rsid w:val="70632937"/>
    <w:rsid w:val="7078073D"/>
    <w:rsid w:val="71065F09"/>
    <w:rsid w:val="712A435C"/>
    <w:rsid w:val="712E1021"/>
    <w:rsid w:val="7134285C"/>
    <w:rsid w:val="716B34BC"/>
    <w:rsid w:val="717808D4"/>
    <w:rsid w:val="71AF6028"/>
    <w:rsid w:val="71D97F52"/>
    <w:rsid w:val="71F62C58"/>
    <w:rsid w:val="71F91F19"/>
    <w:rsid w:val="720211C8"/>
    <w:rsid w:val="724F582C"/>
    <w:rsid w:val="7253166C"/>
    <w:rsid w:val="72647B46"/>
    <w:rsid w:val="72AC0816"/>
    <w:rsid w:val="72D42670"/>
    <w:rsid w:val="731A2D19"/>
    <w:rsid w:val="731D5DA3"/>
    <w:rsid w:val="735469B1"/>
    <w:rsid w:val="73657015"/>
    <w:rsid w:val="738344D6"/>
    <w:rsid w:val="73C76C0F"/>
    <w:rsid w:val="74234FA4"/>
    <w:rsid w:val="74D15131"/>
    <w:rsid w:val="74E925F3"/>
    <w:rsid w:val="750217DB"/>
    <w:rsid w:val="7515366C"/>
    <w:rsid w:val="755A14C0"/>
    <w:rsid w:val="75895C34"/>
    <w:rsid w:val="759A3867"/>
    <w:rsid w:val="75C66DE4"/>
    <w:rsid w:val="75EB3815"/>
    <w:rsid w:val="75EDC5C8"/>
    <w:rsid w:val="7642621F"/>
    <w:rsid w:val="7698562C"/>
    <w:rsid w:val="769B26AD"/>
    <w:rsid w:val="76C9109B"/>
    <w:rsid w:val="770A266F"/>
    <w:rsid w:val="772124BC"/>
    <w:rsid w:val="77411964"/>
    <w:rsid w:val="776B6BBF"/>
    <w:rsid w:val="7772531A"/>
    <w:rsid w:val="77842945"/>
    <w:rsid w:val="77AD476B"/>
    <w:rsid w:val="77B7581D"/>
    <w:rsid w:val="77D9206F"/>
    <w:rsid w:val="77DC1B06"/>
    <w:rsid w:val="78187E7A"/>
    <w:rsid w:val="781C169F"/>
    <w:rsid w:val="78345E13"/>
    <w:rsid w:val="7876440E"/>
    <w:rsid w:val="789372C0"/>
    <w:rsid w:val="78A5634E"/>
    <w:rsid w:val="78D51031"/>
    <w:rsid w:val="79561463"/>
    <w:rsid w:val="795C5A04"/>
    <w:rsid w:val="797DFF4F"/>
    <w:rsid w:val="798E06BC"/>
    <w:rsid w:val="79D95C3C"/>
    <w:rsid w:val="7A2D5E35"/>
    <w:rsid w:val="7A343008"/>
    <w:rsid w:val="7A652575"/>
    <w:rsid w:val="7A711B09"/>
    <w:rsid w:val="7A9E089B"/>
    <w:rsid w:val="7AAB0A4C"/>
    <w:rsid w:val="7ABE4771"/>
    <w:rsid w:val="7AC44622"/>
    <w:rsid w:val="7AD7404E"/>
    <w:rsid w:val="7AFF621C"/>
    <w:rsid w:val="7B03411C"/>
    <w:rsid w:val="7B1C3ABE"/>
    <w:rsid w:val="7B496D47"/>
    <w:rsid w:val="7B5A23DF"/>
    <w:rsid w:val="7B7E3DDE"/>
    <w:rsid w:val="7BBED980"/>
    <w:rsid w:val="7C2049B9"/>
    <w:rsid w:val="7C300C1D"/>
    <w:rsid w:val="7C3A1460"/>
    <w:rsid w:val="7C5B3806"/>
    <w:rsid w:val="7C5E7C42"/>
    <w:rsid w:val="7C910A76"/>
    <w:rsid w:val="7C9B7D23"/>
    <w:rsid w:val="7D06121F"/>
    <w:rsid w:val="7D1B5A7A"/>
    <w:rsid w:val="7D5F7950"/>
    <w:rsid w:val="7D8A509E"/>
    <w:rsid w:val="7D8D4E59"/>
    <w:rsid w:val="7DA912DF"/>
    <w:rsid w:val="7DCA37F5"/>
    <w:rsid w:val="7DD40070"/>
    <w:rsid w:val="7E063AC9"/>
    <w:rsid w:val="7E252092"/>
    <w:rsid w:val="7E80056C"/>
    <w:rsid w:val="7EB24E86"/>
    <w:rsid w:val="7EBD3909"/>
    <w:rsid w:val="7EC765B2"/>
    <w:rsid w:val="7EF7288E"/>
    <w:rsid w:val="7F1FAA9D"/>
    <w:rsid w:val="7F2001D7"/>
    <w:rsid w:val="7F3C24B7"/>
    <w:rsid w:val="7F4967B5"/>
    <w:rsid w:val="7F5829C9"/>
    <w:rsid w:val="7FFE6C9E"/>
    <w:rsid w:val="98E6E26F"/>
    <w:rsid w:val="AFDC6C03"/>
    <w:rsid w:val="BB67F695"/>
    <w:rsid w:val="BFFAAAA4"/>
    <w:rsid w:val="DCCF5147"/>
    <w:rsid w:val="EF9ECB0E"/>
    <w:rsid w:val="EFB187F4"/>
    <w:rsid w:val="EFDC7B2E"/>
    <w:rsid w:val="FDBF67C5"/>
    <w:rsid w:val="FE7DDEB7"/>
    <w:rsid w:val="FEF1CEBC"/>
    <w:rsid w:val="FFAF29AC"/>
    <w:rsid w:val="FFB8E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semiHidden="0" w:name="endnote text"/>
    <w:lsdException w:uiPriority="99" w:name="table of authorities"/>
    <w:lsdException w:uiPriority="99" w:name="macro"/>
    <w:lsdException w:qFormat="1"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14"/>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109"/>
    <w:qFormat/>
    <w:uiPriority w:val="0"/>
    <w:pPr>
      <w:keepNext/>
      <w:keepLines/>
      <w:spacing w:before="60" w:after="60" w:line="413" w:lineRule="auto"/>
      <w:outlineLvl w:val="1"/>
    </w:pPr>
    <w:rPr>
      <w:rFonts w:ascii="Arial" w:hAnsi="Arial" w:eastAsia="黑体"/>
      <w:b/>
      <w:bCs/>
      <w:kern w:val="0"/>
      <w:sz w:val="20"/>
      <w:szCs w:val="32"/>
    </w:rPr>
  </w:style>
  <w:style w:type="paragraph" w:styleId="4">
    <w:name w:val="heading 3"/>
    <w:basedOn w:val="1"/>
    <w:next w:val="1"/>
    <w:link w:val="260"/>
    <w:qFormat/>
    <w:uiPriority w:val="0"/>
    <w:pPr>
      <w:keepNext/>
      <w:keepLines/>
      <w:spacing w:line="360" w:lineRule="auto"/>
      <w:outlineLvl w:val="2"/>
    </w:pPr>
    <w:rPr>
      <w:rFonts w:ascii="Times New Roman" w:hAnsi="Times New Roman" w:eastAsia="黑体"/>
      <w:b/>
      <w:bCs/>
      <w:kern w:val="0"/>
      <w:sz w:val="20"/>
      <w:szCs w:val="32"/>
    </w:rPr>
  </w:style>
  <w:style w:type="paragraph" w:styleId="5">
    <w:name w:val="heading 4"/>
    <w:basedOn w:val="1"/>
    <w:next w:val="1"/>
    <w:link w:val="241"/>
    <w:qFormat/>
    <w:uiPriority w:val="0"/>
    <w:pPr>
      <w:keepNext/>
      <w:keepLines/>
      <w:spacing w:line="360" w:lineRule="auto"/>
      <w:outlineLvl w:val="3"/>
    </w:pPr>
    <w:rPr>
      <w:rFonts w:ascii="Arial" w:hAnsi="Arial"/>
      <w:b/>
      <w:bCs/>
      <w:kern w:val="0"/>
      <w:sz w:val="20"/>
      <w:szCs w:val="28"/>
    </w:rPr>
  </w:style>
  <w:style w:type="paragraph" w:styleId="6">
    <w:name w:val="heading 5"/>
    <w:basedOn w:val="1"/>
    <w:next w:val="7"/>
    <w:link w:val="258"/>
    <w:qFormat/>
    <w:uiPriority w:val="0"/>
    <w:pPr>
      <w:keepNext/>
      <w:keepLines/>
      <w:numPr>
        <w:ilvl w:val="4"/>
        <w:numId w:val="1"/>
      </w:numPr>
      <w:spacing w:before="280" w:after="290" w:line="376" w:lineRule="auto"/>
      <w:outlineLvl w:val="4"/>
    </w:pPr>
    <w:rPr>
      <w:b/>
      <w:kern w:val="0"/>
      <w:sz w:val="28"/>
    </w:rPr>
  </w:style>
  <w:style w:type="paragraph" w:styleId="8">
    <w:name w:val="heading 6"/>
    <w:basedOn w:val="1"/>
    <w:next w:val="7"/>
    <w:link w:val="182"/>
    <w:qFormat/>
    <w:uiPriority w:val="0"/>
    <w:pPr>
      <w:keepNext/>
      <w:keepLines/>
      <w:numPr>
        <w:ilvl w:val="5"/>
        <w:numId w:val="1"/>
      </w:numPr>
      <w:spacing w:before="240" w:after="64" w:line="320" w:lineRule="auto"/>
      <w:outlineLvl w:val="5"/>
    </w:pPr>
    <w:rPr>
      <w:rFonts w:ascii="Arial" w:hAnsi="Arial" w:eastAsia="黑体"/>
      <w:b/>
      <w:kern w:val="0"/>
      <w:sz w:val="24"/>
    </w:rPr>
  </w:style>
  <w:style w:type="paragraph" w:styleId="9">
    <w:name w:val="heading 7"/>
    <w:basedOn w:val="1"/>
    <w:next w:val="7"/>
    <w:link w:val="289"/>
    <w:qFormat/>
    <w:uiPriority w:val="0"/>
    <w:pPr>
      <w:keepNext/>
      <w:keepLines/>
      <w:numPr>
        <w:ilvl w:val="6"/>
        <w:numId w:val="1"/>
      </w:numPr>
      <w:spacing w:before="240" w:after="64" w:line="320" w:lineRule="auto"/>
      <w:outlineLvl w:val="6"/>
    </w:pPr>
    <w:rPr>
      <w:b/>
      <w:kern w:val="0"/>
      <w:sz w:val="24"/>
    </w:rPr>
  </w:style>
  <w:style w:type="paragraph" w:styleId="10">
    <w:name w:val="heading 8"/>
    <w:basedOn w:val="1"/>
    <w:next w:val="7"/>
    <w:link w:val="281"/>
    <w:qFormat/>
    <w:uiPriority w:val="0"/>
    <w:pPr>
      <w:keepNext/>
      <w:keepLines/>
      <w:numPr>
        <w:ilvl w:val="7"/>
        <w:numId w:val="1"/>
      </w:numPr>
      <w:spacing w:before="240" w:after="64" w:line="320" w:lineRule="auto"/>
      <w:outlineLvl w:val="7"/>
    </w:pPr>
    <w:rPr>
      <w:rFonts w:ascii="Arial" w:hAnsi="Arial" w:eastAsia="黑体"/>
      <w:kern w:val="0"/>
      <w:sz w:val="24"/>
    </w:rPr>
  </w:style>
  <w:style w:type="paragraph" w:styleId="11">
    <w:name w:val="heading 9"/>
    <w:basedOn w:val="1"/>
    <w:next w:val="7"/>
    <w:link w:val="180"/>
    <w:qFormat/>
    <w:uiPriority w:val="0"/>
    <w:pPr>
      <w:keepNext/>
      <w:keepLines/>
      <w:numPr>
        <w:ilvl w:val="8"/>
        <w:numId w:val="1"/>
      </w:numPr>
      <w:spacing w:before="240" w:after="64" w:line="320" w:lineRule="auto"/>
      <w:outlineLvl w:val="8"/>
    </w:pPr>
    <w:rPr>
      <w:rFonts w:ascii="Arial" w:hAnsi="Arial" w:eastAsia="黑体"/>
      <w:kern w:val="0"/>
      <w:sz w:val="20"/>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218"/>
    <w:qFormat/>
    <w:uiPriority w:val="0"/>
    <w:pPr>
      <w:ind w:firstLine="420"/>
    </w:pPr>
    <w:rPr>
      <w:rFonts w:ascii="Times New Roman" w:hAnsi="Times New Roman"/>
      <w:kern w:val="0"/>
      <w:sz w:val="20"/>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39"/>
    <w:pPr>
      <w:ind w:left="2520" w:leftChars="1200"/>
    </w:pPr>
    <w:rPr>
      <w:szCs w:val="22"/>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250"/>
    <w:semiHidden/>
    <w:qFormat/>
    <w:uiPriority w:val="0"/>
    <w:pPr>
      <w:shd w:val="clear" w:color="auto" w:fill="000080"/>
    </w:pPr>
    <w:rPr>
      <w:rFonts w:ascii="Times New Roman" w:hAnsi="Times New Roman"/>
      <w:kern w:val="0"/>
      <w:sz w:val="20"/>
    </w:rPr>
  </w:style>
  <w:style w:type="paragraph" w:styleId="17">
    <w:name w:val="toa heading"/>
    <w:basedOn w:val="1"/>
    <w:next w:val="1"/>
    <w:unhideWhenUsed/>
    <w:qFormat/>
    <w:uiPriority w:val="0"/>
    <w:pPr>
      <w:widowControl/>
    </w:pPr>
    <w:rPr>
      <w:rFonts w:ascii="Arial" w:hAnsi="Arial"/>
      <w:sz w:val="24"/>
      <w:szCs w:val="20"/>
    </w:rPr>
  </w:style>
  <w:style w:type="paragraph" w:styleId="18">
    <w:name w:val="annotation text"/>
    <w:basedOn w:val="1"/>
    <w:link w:val="116"/>
    <w:unhideWhenUsed/>
    <w:qFormat/>
    <w:uiPriority w:val="0"/>
    <w:pPr>
      <w:jc w:val="left"/>
    </w:pPr>
    <w:rPr>
      <w:rFonts w:ascii="Times New Roman" w:hAnsi="Times New Roman"/>
      <w:kern w:val="0"/>
      <w:sz w:val="20"/>
    </w:rPr>
  </w:style>
  <w:style w:type="paragraph" w:styleId="19">
    <w:name w:val="Salutation"/>
    <w:basedOn w:val="1"/>
    <w:next w:val="1"/>
    <w:link w:val="82"/>
    <w:qFormat/>
    <w:uiPriority w:val="0"/>
    <w:rPr>
      <w:rFonts w:ascii="Times New Roman" w:hAnsi="Times New Roman"/>
      <w:kern w:val="0"/>
      <w:sz w:val="28"/>
    </w:rPr>
  </w:style>
  <w:style w:type="paragraph" w:styleId="20">
    <w:name w:val="Body Text 3"/>
    <w:basedOn w:val="1"/>
    <w:link w:val="134"/>
    <w:qFormat/>
    <w:uiPriority w:val="0"/>
    <w:pPr>
      <w:spacing w:line="500" w:lineRule="exact"/>
    </w:pPr>
    <w:rPr>
      <w:rFonts w:ascii="Times New Roman" w:hAnsi="Times New Roman"/>
      <w:b/>
      <w:bCs/>
      <w:kern w:val="0"/>
      <w:sz w:val="24"/>
    </w:rPr>
  </w:style>
  <w:style w:type="paragraph" w:styleId="21">
    <w:name w:val="Body Text"/>
    <w:basedOn w:val="1"/>
    <w:next w:val="1"/>
    <w:link w:val="271"/>
    <w:qFormat/>
    <w:uiPriority w:val="0"/>
    <w:pPr>
      <w:spacing w:line="380" w:lineRule="exact"/>
    </w:pPr>
    <w:rPr>
      <w:rFonts w:ascii="Times New Roman" w:hAnsi="Times New Roman"/>
      <w:kern w:val="0"/>
      <w:sz w:val="24"/>
    </w:rPr>
  </w:style>
  <w:style w:type="paragraph" w:styleId="22">
    <w:name w:val="Body Text Indent"/>
    <w:basedOn w:val="1"/>
    <w:link w:val="244"/>
    <w:qFormat/>
    <w:uiPriority w:val="0"/>
    <w:pPr>
      <w:ind w:firstLine="830" w:firstLineChars="352"/>
    </w:pPr>
    <w:rPr>
      <w:rFonts w:ascii="仿宋_GB2312" w:hAnsi="Times New Roman" w:eastAsia="仿宋_GB2312"/>
      <w:kern w:val="0"/>
      <w:sz w:val="32"/>
      <w:szCs w:val="20"/>
    </w:rPr>
  </w:style>
  <w:style w:type="paragraph" w:styleId="23">
    <w:name w:val="List Number 3"/>
    <w:basedOn w:val="1"/>
    <w:qFormat/>
    <w:uiPriority w:val="0"/>
    <w:pPr>
      <w:tabs>
        <w:tab w:val="left" w:pos="1200"/>
      </w:tabs>
      <w:ind w:left="1200" w:leftChars="400" w:hanging="360" w:hangingChars="20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index 4"/>
    <w:basedOn w:val="1"/>
    <w:next w:val="1"/>
    <w:qFormat/>
    <w:uiPriority w:val="0"/>
    <w:pPr>
      <w:ind w:left="600" w:leftChars="600"/>
    </w:pPr>
  </w:style>
  <w:style w:type="paragraph" w:styleId="27">
    <w:name w:val="toc 5"/>
    <w:basedOn w:val="1"/>
    <w:next w:val="1"/>
    <w:qFormat/>
    <w:uiPriority w:val="39"/>
    <w:pPr>
      <w:ind w:left="1680" w:leftChars="800"/>
    </w:pPr>
    <w:rPr>
      <w:szCs w:val="22"/>
    </w:rPr>
  </w:style>
  <w:style w:type="paragraph" w:styleId="28">
    <w:name w:val="toc 3"/>
    <w:basedOn w:val="1"/>
    <w:next w:val="1"/>
    <w:qFormat/>
    <w:uiPriority w:val="39"/>
    <w:pPr>
      <w:ind w:left="840" w:leftChars="400"/>
    </w:pPr>
  </w:style>
  <w:style w:type="paragraph" w:styleId="29">
    <w:name w:val="Plain Text"/>
    <w:basedOn w:val="1"/>
    <w:next w:val="5"/>
    <w:link w:val="270"/>
    <w:qFormat/>
    <w:uiPriority w:val="0"/>
    <w:rPr>
      <w:rFonts w:ascii="宋体" w:hAnsi="Courier New"/>
      <w:kern w:val="0"/>
      <w:sz w:val="20"/>
      <w:szCs w:val="21"/>
    </w:rPr>
  </w:style>
  <w:style w:type="paragraph" w:styleId="30">
    <w:name w:val="toc 8"/>
    <w:basedOn w:val="1"/>
    <w:next w:val="1"/>
    <w:qFormat/>
    <w:uiPriority w:val="39"/>
    <w:pPr>
      <w:ind w:left="2940" w:leftChars="1400"/>
    </w:pPr>
    <w:rPr>
      <w:szCs w:val="22"/>
    </w:rPr>
  </w:style>
  <w:style w:type="paragraph" w:styleId="31">
    <w:name w:val="Date"/>
    <w:basedOn w:val="1"/>
    <w:next w:val="1"/>
    <w:link w:val="114"/>
    <w:qFormat/>
    <w:uiPriority w:val="0"/>
    <w:pPr>
      <w:ind w:left="100" w:leftChars="2500"/>
    </w:pPr>
    <w:rPr>
      <w:rFonts w:ascii="宋体" w:hAnsi="Courier New"/>
      <w:kern w:val="0"/>
      <w:sz w:val="20"/>
      <w:szCs w:val="21"/>
    </w:rPr>
  </w:style>
  <w:style w:type="paragraph" w:styleId="32">
    <w:name w:val="Body Text Indent 2"/>
    <w:basedOn w:val="1"/>
    <w:link w:val="76"/>
    <w:qFormat/>
    <w:uiPriority w:val="0"/>
    <w:pPr>
      <w:ind w:firstLine="630"/>
    </w:pPr>
    <w:rPr>
      <w:rFonts w:ascii="Times New Roman" w:hAnsi="Times New Roman"/>
      <w:kern w:val="0"/>
      <w:sz w:val="32"/>
      <w:szCs w:val="20"/>
    </w:rPr>
  </w:style>
  <w:style w:type="paragraph" w:styleId="33">
    <w:name w:val="endnote text"/>
    <w:basedOn w:val="1"/>
    <w:link w:val="118"/>
    <w:unhideWhenUsed/>
    <w:qFormat/>
    <w:uiPriority w:val="0"/>
    <w:pPr>
      <w:snapToGrid w:val="0"/>
      <w:jc w:val="left"/>
    </w:pPr>
    <w:rPr>
      <w:kern w:val="0"/>
      <w:sz w:val="20"/>
      <w:szCs w:val="20"/>
    </w:rPr>
  </w:style>
  <w:style w:type="paragraph" w:styleId="34">
    <w:name w:val="Balloon Text"/>
    <w:basedOn w:val="1"/>
    <w:link w:val="130"/>
    <w:qFormat/>
    <w:uiPriority w:val="0"/>
    <w:rPr>
      <w:rFonts w:ascii="Times New Roman" w:hAnsi="Times New Roman"/>
      <w:kern w:val="0"/>
      <w:sz w:val="18"/>
      <w:szCs w:val="18"/>
    </w:rPr>
  </w:style>
  <w:style w:type="paragraph" w:styleId="35">
    <w:name w:val="footer"/>
    <w:basedOn w:val="1"/>
    <w:link w:val="288"/>
    <w:qFormat/>
    <w:uiPriority w:val="0"/>
    <w:pPr>
      <w:tabs>
        <w:tab w:val="center" w:pos="4153"/>
        <w:tab w:val="right" w:pos="8306"/>
      </w:tabs>
      <w:snapToGrid w:val="0"/>
      <w:jc w:val="left"/>
    </w:pPr>
    <w:rPr>
      <w:rFonts w:ascii="Times New Roman" w:hAnsi="Times New Roman"/>
      <w:kern w:val="0"/>
      <w:sz w:val="18"/>
      <w:szCs w:val="18"/>
    </w:rPr>
  </w:style>
  <w:style w:type="paragraph" w:styleId="36">
    <w:name w:val="header"/>
    <w:basedOn w:val="1"/>
    <w:link w:val="111"/>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37">
    <w:name w:val="toc 1"/>
    <w:basedOn w:val="1"/>
    <w:next w:val="1"/>
    <w:qFormat/>
    <w:uiPriority w:val="39"/>
    <w:pPr>
      <w:tabs>
        <w:tab w:val="right" w:leader="dot" w:pos="9360"/>
      </w:tabs>
      <w:spacing w:line="600" w:lineRule="exact"/>
    </w:pPr>
    <w:rPr>
      <w:rFonts w:ascii="宋体" w:hAnsi="宋体"/>
      <w:b/>
      <w:szCs w:val="21"/>
    </w:rPr>
  </w:style>
  <w:style w:type="paragraph" w:styleId="38">
    <w:name w:val="toc 4"/>
    <w:basedOn w:val="1"/>
    <w:next w:val="1"/>
    <w:qFormat/>
    <w:uiPriority w:val="39"/>
    <w:pPr>
      <w:ind w:left="1260" w:leftChars="600"/>
    </w:pPr>
    <w:rPr>
      <w:szCs w:val="22"/>
    </w:rPr>
  </w:style>
  <w:style w:type="paragraph" w:styleId="39">
    <w:name w:val="Subtitle"/>
    <w:basedOn w:val="1"/>
    <w:next w:val="1"/>
    <w:link w:val="266"/>
    <w:qFormat/>
    <w:uiPriority w:val="0"/>
    <w:pPr>
      <w:spacing w:before="240" w:after="60" w:line="312" w:lineRule="auto"/>
      <w:jc w:val="center"/>
      <w:outlineLvl w:val="1"/>
    </w:pPr>
    <w:rPr>
      <w:rFonts w:ascii="Cambria" w:hAnsi="Cambria"/>
      <w:b/>
      <w:bCs/>
      <w:kern w:val="28"/>
      <w:sz w:val="32"/>
      <w:szCs w:val="32"/>
    </w:rPr>
  </w:style>
  <w:style w:type="paragraph" w:styleId="40">
    <w:name w:val="List"/>
    <w:basedOn w:val="1"/>
    <w:qFormat/>
    <w:uiPriority w:val="0"/>
    <w:pPr>
      <w:ind w:left="200" w:hanging="200" w:hangingChars="200"/>
    </w:pPr>
    <w:rPr>
      <w:sz w:val="28"/>
    </w:rPr>
  </w:style>
  <w:style w:type="paragraph" w:styleId="41">
    <w:name w:val="footnote text"/>
    <w:basedOn w:val="1"/>
    <w:link w:val="259"/>
    <w:qFormat/>
    <w:uiPriority w:val="0"/>
    <w:pPr>
      <w:adjustRightInd w:val="0"/>
      <w:spacing w:line="312" w:lineRule="atLeast"/>
      <w:jc w:val="left"/>
      <w:textAlignment w:val="baseline"/>
    </w:pPr>
    <w:rPr>
      <w:kern w:val="0"/>
      <w:sz w:val="18"/>
      <w:szCs w:val="20"/>
    </w:rPr>
  </w:style>
  <w:style w:type="paragraph" w:styleId="42">
    <w:name w:val="toc 6"/>
    <w:basedOn w:val="1"/>
    <w:next w:val="1"/>
    <w:qFormat/>
    <w:uiPriority w:val="39"/>
    <w:pPr>
      <w:ind w:left="2100" w:leftChars="1000"/>
    </w:pPr>
    <w:rPr>
      <w:szCs w:val="22"/>
    </w:rPr>
  </w:style>
  <w:style w:type="paragraph" w:styleId="43">
    <w:name w:val="List 5"/>
    <w:basedOn w:val="1"/>
    <w:qFormat/>
    <w:uiPriority w:val="0"/>
    <w:pPr>
      <w:ind w:left="2100" w:hanging="420"/>
    </w:pPr>
    <w:rPr>
      <w:szCs w:val="20"/>
    </w:rPr>
  </w:style>
  <w:style w:type="paragraph" w:styleId="44">
    <w:name w:val="Body Text Indent 3"/>
    <w:basedOn w:val="1"/>
    <w:link w:val="104"/>
    <w:qFormat/>
    <w:uiPriority w:val="0"/>
    <w:pPr>
      <w:spacing w:after="120"/>
      <w:ind w:left="420" w:leftChars="200"/>
    </w:pPr>
    <w:rPr>
      <w:rFonts w:ascii="Times New Roman" w:hAnsi="Times New Roman"/>
      <w:kern w:val="0"/>
      <w:sz w:val="16"/>
      <w:szCs w:val="16"/>
    </w:rPr>
  </w:style>
  <w:style w:type="paragraph" w:styleId="45">
    <w:name w:val="table of figures"/>
    <w:basedOn w:val="1"/>
    <w:next w:val="1"/>
    <w:semiHidden/>
    <w:qFormat/>
    <w:uiPriority w:val="0"/>
    <w:pPr>
      <w:ind w:left="420" w:hanging="420"/>
      <w:jc w:val="left"/>
    </w:pPr>
    <w:rPr>
      <w:smallCaps/>
      <w:sz w:val="20"/>
      <w:szCs w:val="20"/>
    </w:rPr>
  </w:style>
  <w:style w:type="paragraph" w:styleId="46">
    <w:name w:val="toc 2"/>
    <w:basedOn w:val="1"/>
    <w:next w:val="1"/>
    <w:qFormat/>
    <w:uiPriority w:val="39"/>
    <w:pPr>
      <w:tabs>
        <w:tab w:val="right" w:leader="dot" w:pos="9360"/>
      </w:tabs>
      <w:ind w:left="420" w:leftChars="200"/>
    </w:pPr>
  </w:style>
  <w:style w:type="paragraph" w:styleId="47">
    <w:name w:val="toc 9"/>
    <w:basedOn w:val="1"/>
    <w:next w:val="1"/>
    <w:qFormat/>
    <w:uiPriority w:val="39"/>
    <w:pPr>
      <w:ind w:left="3360" w:leftChars="1600"/>
    </w:pPr>
    <w:rPr>
      <w:szCs w:val="22"/>
    </w:rPr>
  </w:style>
  <w:style w:type="paragraph" w:styleId="48">
    <w:name w:val="Body Text 2"/>
    <w:basedOn w:val="1"/>
    <w:link w:val="145"/>
    <w:qFormat/>
    <w:uiPriority w:val="0"/>
    <w:pPr>
      <w:spacing w:after="120" w:line="480" w:lineRule="auto"/>
    </w:pPr>
    <w:rPr>
      <w:rFonts w:ascii="Times New Roman" w:hAnsi="Times New Roman"/>
      <w:kern w:val="0"/>
      <w:sz w:val="20"/>
    </w:rPr>
  </w:style>
  <w:style w:type="paragraph" w:styleId="49">
    <w:name w:val="List 4"/>
    <w:basedOn w:val="1"/>
    <w:qFormat/>
    <w:uiPriority w:val="0"/>
    <w:pPr>
      <w:ind w:left="100" w:leftChars="600" w:hanging="200" w:hangingChars="200"/>
    </w:pPr>
  </w:style>
  <w:style w:type="paragraph" w:styleId="50">
    <w:name w:val="List Continue 2"/>
    <w:basedOn w:val="1"/>
    <w:qFormat/>
    <w:uiPriority w:val="0"/>
    <w:pPr>
      <w:spacing w:after="120"/>
      <w:ind w:left="840" w:leftChars="400"/>
    </w:pPr>
  </w:style>
  <w:style w:type="paragraph" w:styleId="51">
    <w:name w:val="HTML Preformatted"/>
    <w:basedOn w:val="1"/>
    <w:link w:val="1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index 1"/>
    <w:basedOn w:val="1"/>
    <w:next w:val="1"/>
    <w:semiHidden/>
    <w:qFormat/>
    <w:uiPriority w:val="0"/>
    <w:pPr>
      <w:spacing w:line="400" w:lineRule="exact"/>
      <w:ind w:firstLine="420" w:firstLineChars="200"/>
    </w:pPr>
    <w:rPr>
      <w:rFonts w:ascii="宋体" w:hAnsi="Courier New"/>
      <w:b/>
      <w:szCs w:val="20"/>
    </w:rPr>
  </w:style>
  <w:style w:type="paragraph" w:styleId="54">
    <w:name w:val="Title"/>
    <w:basedOn w:val="1"/>
    <w:next w:val="1"/>
    <w:link w:val="185"/>
    <w:qFormat/>
    <w:uiPriority w:val="0"/>
    <w:pPr>
      <w:spacing w:before="240" w:after="60"/>
      <w:jc w:val="center"/>
      <w:outlineLvl w:val="0"/>
    </w:pPr>
    <w:rPr>
      <w:rFonts w:ascii="Cambria" w:hAnsi="Cambria"/>
      <w:b/>
      <w:bCs/>
      <w:kern w:val="0"/>
      <w:sz w:val="32"/>
      <w:szCs w:val="32"/>
    </w:rPr>
  </w:style>
  <w:style w:type="paragraph" w:styleId="55">
    <w:name w:val="annotation subject"/>
    <w:basedOn w:val="18"/>
    <w:next w:val="18"/>
    <w:link w:val="127"/>
    <w:qFormat/>
    <w:uiPriority w:val="0"/>
    <w:rPr>
      <w:rFonts w:ascii="Calibri" w:hAnsi="Calibri"/>
      <w:b/>
      <w:bCs/>
    </w:rPr>
  </w:style>
  <w:style w:type="paragraph" w:styleId="56">
    <w:name w:val="Body Text First Indent"/>
    <w:basedOn w:val="21"/>
    <w:link w:val="284"/>
    <w:qFormat/>
    <w:uiPriority w:val="0"/>
    <w:pPr>
      <w:spacing w:after="120" w:line="240" w:lineRule="auto"/>
      <w:ind w:firstLine="420" w:firstLineChars="100"/>
    </w:pPr>
    <w:rPr>
      <w:sz w:val="21"/>
    </w:rPr>
  </w:style>
  <w:style w:type="paragraph" w:styleId="57">
    <w:name w:val="Body Text First Indent 2"/>
    <w:basedOn w:val="22"/>
    <w:link w:val="293"/>
    <w:qFormat/>
    <w:uiPriority w:val="0"/>
    <w:pPr>
      <w:spacing w:after="120"/>
      <w:ind w:left="420" w:leftChars="200" w:firstLine="420" w:firstLineChars="200"/>
    </w:pPr>
    <w:rPr>
      <w:rFonts w:ascii="Times New Roman" w:eastAsia="宋体"/>
      <w:szCs w:val="24"/>
    </w:r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0"/>
    <w:rPr>
      <w:b/>
      <w:bCs/>
    </w:rPr>
  </w:style>
  <w:style w:type="character" w:styleId="62">
    <w:name w:val="page number"/>
    <w:qFormat/>
    <w:uiPriority w:val="0"/>
  </w:style>
  <w:style w:type="character" w:styleId="63">
    <w:name w:val="FollowedHyperlink"/>
    <w:qFormat/>
    <w:uiPriority w:val="99"/>
    <w:rPr>
      <w:color w:val="000000"/>
      <w:sz w:val="24"/>
      <w:szCs w:val="24"/>
      <w:u w:val="none"/>
    </w:rPr>
  </w:style>
  <w:style w:type="character" w:styleId="64">
    <w:name w:val="Emphasis"/>
    <w:qFormat/>
    <w:uiPriority w:val="20"/>
    <w:rPr>
      <w:i/>
      <w:iCs/>
    </w:rPr>
  </w:style>
  <w:style w:type="character" w:styleId="65">
    <w:name w:val="Hyperlink"/>
    <w:qFormat/>
    <w:uiPriority w:val="99"/>
    <w:rPr>
      <w:color w:val="000000"/>
      <w:sz w:val="24"/>
      <w:szCs w:val="24"/>
      <w:u w:val="none"/>
    </w:rPr>
  </w:style>
  <w:style w:type="character" w:styleId="66">
    <w:name w:val="HTML Code"/>
    <w:qFormat/>
    <w:uiPriority w:val="0"/>
    <w:rPr>
      <w:rFonts w:ascii="宋体" w:hAnsi="宋体" w:eastAsia="宋体" w:cs="宋体"/>
      <w:sz w:val="24"/>
      <w:szCs w:val="24"/>
    </w:rPr>
  </w:style>
  <w:style w:type="character" w:styleId="67">
    <w:name w:val="annotation reference"/>
    <w:qFormat/>
    <w:uiPriority w:val="0"/>
    <w:rPr>
      <w:sz w:val="21"/>
      <w:szCs w:val="21"/>
    </w:rPr>
  </w:style>
  <w:style w:type="character" w:customStyle="1" w:styleId="68">
    <w:name w:val="纯文本 Char2"/>
    <w:qFormat/>
    <w:uiPriority w:val="0"/>
    <w:rPr>
      <w:rFonts w:ascii="宋体" w:hAnsi="Courier New" w:eastAsia="宋体" w:cs="Courier New"/>
      <w:szCs w:val="21"/>
    </w:rPr>
  </w:style>
  <w:style w:type="character" w:customStyle="1" w:styleId="69">
    <w:name w:val="正文首行缩进 Char1"/>
    <w:semiHidden/>
    <w:qFormat/>
    <w:uiPriority w:val="99"/>
    <w:rPr>
      <w:rFonts w:ascii="Times New Roman" w:hAnsi="Times New Roman" w:eastAsia="宋体" w:cs="Times New Roman"/>
      <w:kern w:val="2"/>
      <w:sz w:val="21"/>
      <w:szCs w:val="24"/>
    </w:rPr>
  </w:style>
  <w:style w:type="character" w:customStyle="1" w:styleId="70">
    <w:name w:val="Char Char21"/>
    <w:qFormat/>
    <w:uiPriority w:val="0"/>
    <w:rPr>
      <w:rFonts w:ascii="Arial" w:hAnsi="Arial" w:eastAsia="黑体" w:cs="Times New Roman"/>
      <w:b/>
      <w:bCs/>
      <w:sz w:val="32"/>
      <w:szCs w:val="32"/>
    </w:rPr>
  </w:style>
  <w:style w:type="character" w:customStyle="1" w:styleId="71">
    <w:name w:val="font91"/>
    <w:qFormat/>
    <w:uiPriority w:val="0"/>
    <w:rPr>
      <w:rFonts w:hint="eastAsia" w:ascii="宋体" w:hAnsi="宋体" w:eastAsia="宋体" w:cs="宋体"/>
      <w:color w:val="000000"/>
      <w:sz w:val="20"/>
      <w:szCs w:val="20"/>
      <w:u w:val="none"/>
      <w:vertAlign w:val="superscript"/>
    </w:rPr>
  </w:style>
  <w:style w:type="character" w:customStyle="1" w:styleId="72">
    <w:name w:val="标题4 Char Char"/>
    <w:qFormat/>
    <w:uiPriority w:val="0"/>
    <w:rPr>
      <w:rFonts w:ascii="Arial" w:hAnsi="Arial"/>
      <w:b/>
      <w:bCs/>
      <w:sz w:val="24"/>
      <w:szCs w:val="32"/>
      <w:lang w:bidi="ar-SA"/>
    </w:rPr>
  </w:style>
  <w:style w:type="character" w:customStyle="1" w:styleId="73">
    <w:name w:val="Char Char23"/>
    <w:qFormat/>
    <w:uiPriority w:val="0"/>
    <w:rPr>
      <w:rFonts w:ascii="Times New Roman" w:hAnsi="Times New Roman" w:eastAsia="宋体" w:cs="Times New Roman"/>
      <w:b/>
      <w:bCs/>
      <w:kern w:val="44"/>
      <w:sz w:val="44"/>
      <w:szCs w:val="44"/>
    </w:rPr>
  </w:style>
  <w:style w:type="character" w:customStyle="1" w:styleId="74">
    <w:name w:val="尾注文本 Char1"/>
    <w:semiHidden/>
    <w:qFormat/>
    <w:uiPriority w:val="99"/>
    <w:rPr>
      <w:rFonts w:ascii="Times New Roman" w:hAnsi="Times New Roman" w:eastAsia="宋体" w:cs="Times New Roman"/>
      <w:szCs w:val="24"/>
    </w:rPr>
  </w:style>
  <w:style w:type="character" w:customStyle="1" w:styleId="75">
    <w:name w:val="Char Char25"/>
    <w:qFormat/>
    <w:uiPriority w:val="0"/>
    <w:rPr>
      <w:rFonts w:eastAsia="宋体"/>
      <w:b/>
      <w:bCs/>
      <w:sz w:val="32"/>
      <w:szCs w:val="32"/>
      <w:lang w:bidi="ar-SA"/>
    </w:rPr>
  </w:style>
  <w:style w:type="character" w:customStyle="1" w:styleId="76">
    <w:name w:val="正文文本缩进 2 Char"/>
    <w:link w:val="32"/>
    <w:qFormat/>
    <w:uiPriority w:val="0"/>
    <w:rPr>
      <w:rFonts w:ascii="Times New Roman" w:hAnsi="Times New Roman" w:eastAsia="宋体" w:cs="Times New Roman"/>
      <w:sz w:val="32"/>
      <w:szCs w:val="20"/>
    </w:rPr>
  </w:style>
  <w:style w:type="character" w:customStyle="1" w:styleId="77">
    <w:name w:val="Char Char20"/>
    <w:qFormat/>
    <w:uiPriority w:val="0"/>
    <w:rPr>
      <w:rFonts w:ascii="Times New Roman" w:hAnsi="Times New Roman" w:eastAsia="宋体" w:cs="Times New Roman"/>
      <w:b/>
      <w:bCs/>
      <w:sz w:val="24"/>
      <w:szCs w:val="32"/>
    </w:rPr>
  </w:style>
  <w:style w:type="character" w:customStyle="1" w:styleId="78">
    <w:name w:val="font101"/>
    <w:qFormat/>
    <w:uiPriority w:val="0"/>
    <w:rPr>
      <w:rFonts w:hint="default" w:ascii="Times New Roman" w:hAnsi="Times New Roman" w:cs="Times New Roman"/>
      <w:color w:val="000000"/>
      <w:sz w:val="20"/>
      <w:szCs w:val="20"/>
      <w:u w:val="none"/>
    </w:rPr>
  </w:style>
  <w:style w:type="character" w:customStyle="1" w:styleId="79">
    <w:name w:val="Char Char28"/>
    <w:qFormat/>
    <w:uiPriority w:val="0"/>
    <w:rPr>
      <w:rFonts w:eastAsia="宋体"/>
      <w:kern w:val="2"/>
      <w:sz w:val="16"/>
      <w:szCs w:val="16"/>
      <w:lang w:val="en-US" w:eastAsia="zh-CN" w:bidi="ar-SA"/>
    </w:rPr>
  </w:style>
  <w:style w:type="character" w:customStyle="1" w:styleId="80">
    <w:name w:val="param-name"/>
    <w:qFormat/>
    <w:uiPriority w:val="0"/>
  </w:style>
  <w:style w:type="character" w:customStyle="1" w:styleId="81">
    <w:name w:val="HTML 预设格式 Char1"/>
    <w:semiHidden/>
    <w:qFormat/>
    <w:uiPriority w:val="99"/>
    <w:rPr>
      <w:rFonts w:ascii="Courier New" w:hAnsi="Courier New" w:eastAsia="宋体" w:cs="Courier New"/>
      <w:sz w:val="20"/>
      <w:szCs w:val="20"/>
    </w:rPr>
  </w:style>
  <w:style w:type="character" w:customStyle="1" w:styleId="82">
    <w:name w:val="称呼 Char"/>
    <w:link w:val="19"/>
    <w:qFormat/>
    <w:uiPriority w:val="0"/>
    <w:rPr>
      <w:rFonts w:ascii="Times New Roman" w:hAnsi="Times New Roman" w:eastAsia="宋体" w:cs="Times New Roman"/>
      <w:sz w:val="28"/>
      <w:szCs w:val="24"/>
    </w:rPr>
  </w:style>
  <w:style w:type="character" w:customStyle="1" w:styleId="83">
    <w:name w:val="纯文本 字符1"/>
    <w:qFormat/>
    <w:uiPriority w:val="0"/>
    <w:rPr>
      <w:rFonts w:ascii="宋体" w:hAnsi="Courier New" w:eastAsia="宋体" w:cs="Courier New"/>
      <w:szCs w:val="21"/>
    </w:rPr>
  </w:style>
  <w:style w:type="character" w:customStyle="1" w:styleId="84">
    <w:name w:val="content2"/>
    <w:qFormat/>
    <w:uiPriority w:val="0"/>
  </w:style>
  <w:style w:type="character" w:customStyle="1" w:styleId="85">
    <w:name w:val="Title3 Char1"/>
    <w:qFormat/>
    <w:uiPriority w:val="0"/>
    <w:rPr>
      <w:rFonts w:eastAsia="宋体"/>
      <w:b/>
      <w:bCs/>
      <w:kern w:val="2"/>
      <w:sz w:val="32"/>
      <w:szCs w:val="32"/>
      <w:lang w:val="en-US" w:eastAsia="zh-CN" w:bidi="ar-SA"/>
    </w:rPr>
  </w:style>
  <w:style w:type="character" w:customStyle="1" w:styleId="86">
    <w:name w:val="Char Char18"/>
    <w:qFormat/>
    <w:uiPriority w:val="0"/>
    <w:rPr>
      <w:rFonts w:ascii="Times New Roman" w:hAnsi="Times New Roman" w:eastAsia="宋体" w:cs="Times New Roman"/>
      <w:b/>
      <w:bCs/>
      <w:sz w:val="28"/>
      <w:szCs w:val="28"/>
    </w:rPr>
  </w:style>
  <w:style w:type="character" w:customStyle="1" w:styleId="87">
    <w:name w:val="正文文本缩进 3 Char1"/>
    <w:semiHidden/>
    <w:qFormat/>
    <w:uiPriority w:val="99"/>
    <w:rPr>
      <w:rFonts w:ascii="Times New Roman" w:hAnsi="Times New Roman" w:eastAsia="宋体" w:cs="Times New Roman"/>
      <w:sz w:val="16"/>
      <w:szCs w:val="16"/>
    </w:rPr>
  </w:style>
  <w:style w:type="character" w:customStyle="1" w:styleId="88">
    <w:name w:val="Comment Text Char1"/>
    <w:qFormat/>
    <w:uiPriority w:val="0"/>
    <w:rPr>
      <w:sz w:val="24"/>
      <w:lang w:bidi="ar-SA"/>
    </w:rPr>
  </w:style>
  <w:style w:type="character" w:customStyle="1" w:styleId="89">
    <w:name w:val="仿宋缩进2字符 Char"/>
    <w:link w:val="90"/>
    <w:qFormat/>
    <w:uiPriority w:val="0"/>
    <w:rPr>
      <w:rFonts w:ascii="仿宋" w:hAnsi="仿宋" w:eastAsia="仿宋"/>
      <w:kern w:val="2"/>
      <w:sz w:val="28"/>
      <w:szCs w:val="28"/>
    </w:rPr>
  </w:style>
  <w:style w:type="paragraph" w:customStyle="1" w:styleId="90">
    <w:name w:val="仿宋缩进2字符"/>
    <w:basedOn w:val="1"/>
    <w:link w:val="89"/>
    <w:qFormat/>
    <w:uiPriority w:val="0"/>
    <w:pPr>
      <w:spacing w:line="360" w:lineRule="auto"/>
      <w:ind w:firstLine="200" w:firstLineChars="200"/>
    </w:pPr>
    <w:rPr>
      <w:rFonts w:ascii="仿宋" w:hAnsi="仿宋" w:eastAsia="仿宋"/>
      <w:sz w:val="28"/>
      <w:szCs w:val="28"/>
    </w:rPr>
  </w:style>
  <w:style w:type="character" w:customStyle="1" w:styleId="91">
    <w:name w:val="unnamed3"/>
    <w:qFormat/>
    <w:uiPriority w:val="0"/>
  </w:style>
  <w:style w:type="character" w:customStyle="1" w:styleId="92">
    <w:name w:val="font21"/>
    <w:qFormat/>
    <w:uiPriority w:val="0"/>
    <w:rPr>
      <w:rFonts w:hint="eastAsia" w:ascii="宋体" w:hAnsi="宋体" w:eastAsia="宋体" w:cs="宋体"/>
      <w:color w:val="000000"/>
      <w:sz w:val="20"/>
      <w:szCs w:val="20"/>
      <w:u w:val="none"/>
    </w:rPr>
  </w:style>
  <w:style w:type="character" w:customStyle="1" w:styleId="93">
    <w:name w:val="普通文字 Char Char4"/>
    <w:qFormat/>
    <w:uiPriority w:val="0"/>
    <w:rPr>
      <w:rFonts w:ascii="宋体" w:hAnsi="Courier New" w:eastAsia="宋体" w:cs="Courier New"/>
      <w:kern w:val="2"/>
      <w:sz w:val="21"/>
      <w:szCs w:val="21"/>
      <w:lang w:val="en-US" w:eastAsia="zh-CN" w:bidi="ar-SA"/>
    </w:rPr>
  </w:style>
  <w:style w:type="character" w:customStyle="1" w:styleId="94">
    <w:name w:val="正文文本缩进 2 Char1"/>
    <w:semiHidden/>
    <w:qFormat/>
    <w:uiPriority w:val="99"/>
    <w:rPr>
      <w:rFonts w:ascii="Times New Roman" w:hAnsi="Times New Roman" w:eastAsia="宋体" w:cs="Times New Roman"/>
      <w:szCs w:val="24"/>
    </w:rPr>
  </w:style>
  <w:style w:type="character" w:customStyle="1" w:styleId="95">
    <w:name w:val="Char Char211"/>
    <w:qFormat/>
    <w:uiPriority w:val="0"/>
    <w:rPr>
      <w:rFonts w:ascii="Arial" w:hAnsi="Arial" w:eastAsia="黑体"/>
      <w:b/>
      <w:kern w:val="2"/>
      <w:sz w:val="24"/>
      <w:szCs w:val="24"/>
      <w:lang w:val="en-US" w:eastAsia="zh-CN" w:bidi="ar-SA"/>
    </w:rPr>
  </w:style>
  <w:style w:type="character" w:customStyle="1" w:styleId="96">
    <w:name w:val="mark"/>
    <w:qFormat/>
    <w:uiPriority w:val="0"/>
  </w:style>
  <w:style w:type="character" w:customStyle="1" w:styleId="97">
    <w:name w:val="引用 Char"/>
    <w:link w:val="98"/>
    <w:qFormat/>
    <w:uiPriority w:val="0"/>
    <w:rPr>
      <w:i/>
      <w:iCs/>
      <w:color w:val="000000"/>
    </w:rPr>
  </w:style>
  <w:style w:type="paragraph" w:styleId="98">
    <w:name w:val="Quote"/>
    <w:basedOn w:val="1"/>
    <w:next w:val="1"/>
    <w:link w:val="97"/>
    <w:qFormat/>
    <w:uiPriority w:val="0"/>
    <w:rPr>
      <w:i/>
      <w:iCs/>
      <w:color w:val="000000"/>
      <w:kern w:val="0"/>
      <w:sz w:val="20"/>
      <w:szCs w:val="20"/>
    </w:rPr>
  </w:style>
  <w:style w:type="character" w:customStyle="1" w:styleId="99">
    <w:name w:val="style54"/>
    <w:qFormat/>
    <w:uiPriority w:val="0"/>
  </w:style>
  <w:style w:type="character" w:customStyle="1" w:styleId="100">
    <w:name w:val="Heading 3 Char"/>
    <w:qFormat/>
    <w:uiPriority w:val="0"/>
    <w:rPr>
      <w:rFonts w:cs="Times New Roman"/>
      <w:b/>
      <w:bCs/>
      <w:kern w:val="2"/>
      <w:sz w:val="32"/>
      <w:szCs w:val="32"/>
    </w:rPr>
  </w:style>
  <w:style w:type="character" w:customStyle="1" w:styleId="101">
    <w:name w:val="case31"/>
    <w:qFormat/>
    <w:uiPriority w:val="0"/>
    <w:rPr>
      <w:rFonts w:hint="default"/>
      <w:spacing w:val="390"/>
      <w:sz w:val="21"/>
      <w:szCs w:val="21"/>
    </w:rPr>
  </w:style>
  <w:style w:type="character" w:customStyle="1" w:styleId="102">
    <w:name w:val="font51"/>
    <w:qFormat/>
    <w:uiPriority w:val="0"/>
    <w:rPr>
      <w:rFonts w:hint="eastAsia" w:ascii="宋体" w:hAnsi="宋体" w:eastAsia="宋体" w:cs="宋体"/>
      <w:color w:val="000000"/>
      <w:sz w:val="20"/>
      <w:szCs w:val="20"/>
      <w:u w:val="none"/>
      <w:vertAlign w:val="superscript"/>
    </w:rPr>
  </w:style>
  <w:style w:type="character" w:customStyle="1" w:styleId="103">
    <w:name w:val="日期 Char1"/>
    <w:qFormat/>
    <w:uiPriority w:val="0"/>
    <w:rPr>
      <w:rFonts w:ascii="Times New Roman" w:hAnsi="Times New Roman" w:eastAsia="宋体" w:cs="Times New Roman"/>
      <w:szCs w:val="24"/>
    </w:rPr>
  </w:style>
  <w:style w:type="character" w:customStyle="1" w:styleId="104">
    <w:name w:val="正文文本缩进 3 Char"/>
    <w:link w:val="44"/>
    <w:qFormat/>
    <w:uiPriority w:val="0"/>
    <w:rPr>
      <w:rFonts w:ascii="Times New Roman" w:hAnsi="Times New Roman" w:eastAsia="宋体" w:cs="Times New Roman"/>
      <w:sz w:val="16"/>
      <w:szCs w:val="16"/>
    </w:rPr>
  </w:style>
  <w:style w:type="character" w:customStyle="1" w:styleId="105">
    <w:name w:val="font71"/>
    <w:qFormat/>
    <w:uiPriority w:val="0"/>
    <w:rPr>
      <w:rFonts w:hint="eastAsia" w:ascii="宋体" w:hAnsi="宋体" w:eastAsia="宋体" w:cs="宋体"/>
      <w:color w:val="000000"/>
      <w:sz w:val="20"/>
      <w:szCs w:val="20"/>
      <w:u w:val="none"/>
    </w:rPr>
  </w:style>
  <w:style w:type="character" w:customStyle="1" w:styleId="106">
    <w:name w:val="Char Char44"/>
    <w:qFormat/>
    <w:uiPriority w:val="0"/>
    <w:rPr>
      <w:rFonts w:ascii="Arial" w:hAnsi="Arial" w:eastAsia="黑体" w:cs="Times New Roman"/>
      <w:b/>
      <w:bCs/>
      <w:szCs w:val="32"/>
    </w:rPr>
  </w:style>
  <w:style w:type="character" w:customStyle="1" w:styleId="107">
    <w:name w:val="明显引用 Char1"/>
    <w:qFormat/>
    <w:uiPriority w:val="0"/>
    <w:rPr>
      <w:rFonts w:ascii="Times New Roman" w:hAnsi="Times New Roman" w:eastAsia="宋体" w:cs="Times New Roman"/>
      <w:b/>
      <w:bCs/>
      <w:i/>
      <w:iCs/>
      <w:color w:val="4F81BD"/>
      <w:szCs w:val="24"/>
    </w:rPr>
  </w:style>
  <w:style w:type="character" w:customStyle="1" w:styleId="108">
    <w:name w:val="Char Char24"/>
    <w:qFormat/>
    <w:uiPriority w:val="0"/>
    <w:rPr>
      <w:rFonts w:ascii="Arial" w:hAnsi="Arial" w:eastAsia="黑体"/>
      <w:sz w:val="28"/>
      <w:lang w:bidi="ar-SA"/>
    </w:rPr>
  </w:style>
  <w:style w:type="character" w:customStyle="1" w:styleId="109">
    <w:name w:val="标题 2 Char"/>
    <w:link w:val="3"/>
    <w:qFormat/>
    <w:uiPriority w:val="0"/>
    <w:rPr>
      <w:rFonts w:ascii="Arial" w:hAnsi="Arial" w:eastAsia="黑体" w:cs="Times New Roman"/>
      <w:b/>
      <w:bCs/>
      <w:szCs w:val="32"/>
    </w:rPr>
  </w:style>
  <w:style w:type="character" w:customStyle="1" w:styleId="110">
    <w:name w:val="cubane_hilight1"/>
    <w:qFormat/>
    <w:uiPriority w:val="0"/>
    <w:rPr>
      <w:color w:val="CC0000"/>
    </w:rPr>
  </w:style>
  <w:style w:type="character" w:customStyle="1" w:styleId="111">
    <w:name w:val="页眉 Char"/>
    <w:link w:val="36"/>
    <w:qFormat/>
    <w:uiPriority w:val="0"/>
    <w:rPr>
      <w:rFonts w:ascii="Times New Roman" w:hAnsi="Times New Roman" w:eastAsia="宋体" w:cs="Times New Roman"/>
      <w:sz w:val="18"/>
      <w:szCs w:val="18"/>
    </w:rPr>
  </w:style>
  <w:style w:type="character" w:customStyle="1" w:styleId="112">
    <w:name w:val="Char Char9"/>
    <w:qFormat/>
    <w:uiPriority w:val="0"/>
    <w:rPr>
      <w:rFonts w:eastAsia="宋体"/>
      <w:b/>
      <w:bCs/>
      <w:kern w:val="44"/>
      <w:sz w:val="32"/>
      <w:szCs w:val="44"/>
      <w:lang w:val="en-US" w:eastAsia="zh-CN" w:bidi="ar-SA"/>
    </w:rPr>
  </w:style>
  <w:style w:type="character" w:customStyle="1" w:styleId="113">
    <w:name w:val="fo Char"/>
    <w:qFormat/>
    <w:uiPriority w:val="0"/>
    <w:rPr>
      <w:rFonts w:eastAsia="宋体"/>
      <w:kern w:val="2"/>
      <w:sz w:val="18"/>
      <w:szCs w:val="18"/>
      <w:lang w:val="en-US" w:eastAsia="zh-CN" w:bidi="ar-SA"/>
    </w:rPr>
  </w:style>
  <w:style w:type="character" w:customStyle="1" w:styleId="114">
    <w:name w:val="日期 Char"/>
    <w:link w:val="31"/>
    <w:qFormat/>
    <w:uiPriority w:val="0"/>
    <w:rPr>
      <w:rFonts w:ascii="宋体" w:hAnsi="Courier New" w:eastAsia="宋体" w:cs="Courier New"/>
      <w:szCs w:val="21"/>
    </w:rPr>
  </w:style>
  <w:style w:type="character" w:customStyle="1" w:styleId="115">
    <w:name w:val="标题 3 Char Char Char"/>
    <w:qFormat/>
    <w:locked/>
    <w:uiPriority w:val="0"/>
    <w:rPr>
      <w:rFonts w:ascii="宋体" w:hAnsi="宋体" w:eastAsia="宋体"/>
      <w:b/>
      <w:bCs/>
      <w:sz w:val="24"/>
      <w:szCs w:val="32"/>
      <w:lang w:val="en-US" w:eastAsia="zh-CN" w:bidi="ar-SA"/>
    </w:rPr>
  </w:style>
  <w:style w:type="character" w:customStyle="1" w:styleId="116">
    <w:name w:val="批注文字 Char4"/>
    <w:link w:val="18"/>
    <w:qFormat/>
    <w:uiPriority w:val="0"/>
    <w:rPr>
      <w:rFonts w:ascii="Times New Roman" w:hAnsi="Times New Roman" w:eastAsia="宋体" w:cs="Times New Roman"/>
      <w:szCs w:val="24"/>
    </w:rPr>
  </w:style>
  <w:style w:type="character" w:customStyle="1" w:styleId="117">
    <w:name w:val="Intense Reference"/>
    <w:qFormat/>
    <w:uiPriority w:val="0"/>
    <w:rPr>
      <w:b/>
      <w:bCs/>
      <w:smallCaps/>
      <w:color w:val="C0504D"/>
      <w:spacing w:val="5"/>
      <w:u w:val="single"/>
    </w:rPr>
  </w:style>
  <w:style w:type="character" w:customStyle="1" w:styleId="118">
    <w:name w:val="尾注文本 Char"/>
    <w:link w:val="33"/>
    <w:qFormat/>
    <w:uiPriority w:val="0"/>
    <w:rPr>
      <w:rFonts w:ascii="Calibri" w:hAnsi="Calibri" w:eastAsia="宋体" w:cs="Times New Roman"/>
    </w:rPr>
  </w:style>
  <w:style w:type="character" w:customStyle="1" w:styleId="119">
    <w:name w:val="Char Char30"/>
    <w:qFormat/>
    <w:uiPriority w:val="0"/>
    <w:rPr>
      <w:rFonts w:ascii="Times New Roman" w:hAnsi="Times New Roman" w:eastAsia="宋体" w:cs="Times New Roman"/>
      <w:szCs w:val="24"/>
    </w:rPr>
  </w:style>
  <w:style w:type="character" w:customStyle="1" w:styleId="120">
    <w:name w:val="font31"/>
    <w:qFormat/>
    <w:uiPriority w:val="0"/>
    <w:rPr>
      <w:rFonts w:hint="eastAsia" w:ascii="宋体" w:hAnsi="宋体" w:eastAsia="宋体" w:cs="宋体"/>
      <w:b/>
      <w:color w:val="000000"/>
      <w:sz w:val="24"/>
      <w:szCs w:val="24"/>
      <w:u w:val="none"/>
    </w:rPr>
  </w:style>
  <w:style w:type="character" w:customStyle="1" w:styleId="121">
    <w:name w:val="批注文字 Char1"/>
    <w:qFormat/>
    <w:uiPriority w:val="0"/>
    <w:rPr>
      <w:rFonts w:ascii="Times New Roman" w:hAnsi="Times New Roman" w:eastAsia="宋体" w:cs="Times New Roman"/>
      <w:szCs w:val="24"/>
    </w:rPr>
  </w:style>
  <w:style w:type="character" w:customStyle="1" w:styleId="122">
    <w:name w:val="text11"/>
    <w:qFormat/>
    <w:uiPriority w:val="0"/>
    <w:rPr>
      <w:rFonts w:hint="default" w:ascii="Verdana" w:hAnsi="Verdana"/>
      <w:color w:val="4E4E4E"/>
      <w:sz w:val="18"/>
      <w:szCs w:val="18"/>
    </w:rPr>
  </w:style>
  <w:style w:type="character" w:customStyle="1" w:styleId="123">
    <w:name w:val="正文文本 字符"/>
    <w:qFormat/>
    <w:uiPriority w:val="99"/>
    <w:rPr>
      <w:rFonts w:ascii="Times New Roman" w:hAnsi="Times New Roman" w:eastAsia="宋体" w:cs="Times New Roman"/>
      <w:sz w:val="24"/>
      <w:szCs w:val="24"/>
    </w:rPr>
  </w:style>
  <w:style w:type="character" w:customStyle="1" w:styleId="124">
    <w:name w:val="Heading 3 Char1"/>
    <w:qFormat/>
    <w:uiPriority w:val="0"/>
    <w:rPr>
      <w:rFonts w:eastAsia="宋体"/>
      <w:b/>
      <w:bCs/>
      <w:kern w:val="2"/>
      <w:sz w:val="24"/>
      <w:szCs w:val="32"/>
      <w:lang w:val="en-US" w:eastAsia="zh-CN" w:bidi="ar-SA"/>
    </w:rPr>
  </w:style>
  <w:style w:type="character" w:customStyle="1" w:styleId="125">
    <w:name w:val="无间隔 Char Char"/>
    <w:qFormat/>
    <w:uiPriority w:val="0"/>
    <w:rPr>
      <w:rFonts w:ascii="Calibri" w:hAnsi="Calibri" w:eastAsia="宋体"/>
      <w:sz w:val="22"/>
      <w:szCs w:val="22"/>
      <w:lang w:val="en-US" w:eastAsia="zh-CN" w:bidi="ar-SA"/>
    </w:rPr>
  </w:style>
  <w:style w:type="character" w:customStyle="1" w:styleId="126">
    <w:name w:val="Char Char14"/>
    <w:qFormat/>
    <w:uiPriority w:val="0"/>
    <w:rPr>
      <w:sz w:val="18"/>
      <w:szCs w:val="18"/>
    </w:rPr>
  </w:style>
  <w:style w:type="character" w:customStyle="1" w:styleId="127">
    <w:name w:val="批注主题 Char"/>
    <w:link w:val="55"/>
    <w:qFormat/>
    <w:uiPriority w:val="0"/>
    <w:rPr>
      <w:b/>
      <w:bCs/>
      <w:szCs w:val="24"/>
    </w:rPr>
  </w:style>
  <w:style w:type="character" w:customStyle="1" w:styleId="128">
    <w:name w:val="标题 Char1"/>
    <w:qFormat/>
    <w:uiPriority w:val="0"/>
    <w:rPr>
      <w:rFonts w:ascii="Cambria" w:hAnsi="Cambria" w:eastAsia="宋体" w:cs="Times New Roman"/>
      <w:b/>
      <w:bCs/>
      <w:sz w:val="32"/>
      <w:szCs w:val="32"/>
    </w:rPr>
  </w:style>
  <w:style w:type="character" w:customStyle="1" w:styleId="129">
    <w:name w:val="批注文字 Char3"/>
    <w:qFormat/>
    <w:uiPriority w:val="0"/>
    <w:rPr>
      <w:rFonts w:eastAsia="宋体"/>
      <w:kern w:val="2"/>
      <w:sz w:val="21"/>
      <w:szCs w:val="24"/>
      <w:lang w:val="en-US" w:eastAsia="zh-CN" w:bidi="ar-SA"/>
    </w:rPr>
  </w:style>
  <w:style w:type="character" w:customStyle="1" w:styleId="130">
    <w:name w:val="批注框文本 Char"/>
    <w:link w:val="34"/>
    <w:qFormat/>
    <w:uiPriority w:val="0"/>
    <w:rPr>
      <w:rFonts w:ascii="Times New Roman" w:hAnsi="Times New Roman" w:eastAsia="宋体" w:cs="Times New Roman"/>
      <w:sz w:val="18"/>
      <w:szCs w:val="18"/>
    </w:rPr>
  </w:style>
  <w:style w:type="character" w:customStyle="1" w:styleId="131">
    <w:name w:val="white"/>
    <w:qFormat/>
    <w:uiPriority w:val="0"/>
  </w:style>
  <w:style w:type="character" w:customStyle="1" w:styleId="132">
    <w:name w:val="正文文本缩进 Char1"/>
    <w:semiHidden/>
    <w:qFormat/>
    <w:uiPriority w:val="99"/>
    <w:rPr>
      <w:rFonts w:ascii="Times New Roman" w:hAnsi="Times New Roman" w:eastAsia="宋体" w:cs="Times New Roman"/>
      <w:szCs w:val="24"/>
    </w:rPr>
  </w:style>
  <w:style w:type="character" w:customStyle="1" w:styleId="133">
    <w:name w:val="Char Char33"/>
    <w:qFormat/>
    <w:uiPriority w:val="0"/>
    <w:rPr>
      <w:rFonts w:ascii="宋体" w:hAnsi="Courier New" w:eastAsia="宋体" w:cs="Courier New"/>
      <w:szCs w:val="21"/>
    </w:rPr>
  </w:style>
  <w:style w:type="character" w:customStyle="1" w:styleId="134">
    <w:name w:val="正文文本 3 Char"/>
    <w:link w:val="20"/>
    <w:qFormat/>
    <w:uiPriority w:val="0"/>
    <w:rPr>
      <w:rFonts w:ascii="Times New Roman" w:hAnsi="Times New Roman" w:eastAsia="宋体" w:cs="Times New Roman"/>
      <w:b/>
      <w:bCs/>
      <w:sz w:val="24"/>
      <w:szCs w:val="24"/>
    </w:rPr>
  </w:style>
  <w:style w:type="character" w:customStyle="1" w:styleId="135">
    <w:name w:val="列出段落 Char"/>
    <w:link w:val="136"/>
    <w:qFormat/>
    <w:uiPriority w:val="0"/>
    <w:rPr>
      <w:rFonts w:ascii="Calibri" w:hAnsi="Calibri" w:eastAsia="宋体" w:cs="Times New Roman"/>
    </w:rPr>
  </w:style>
  <w:style w:type="paragraph" w:customStyle="1" w:styleId="136">
    <w:name w:val="列出段落2"/>
    <w:basedOn w:val="1"/>
    <w:link w:val="135"/>
    <w:qFormat/>
    <w:uiPriority w:val="0"/>
    <w:pPr>
      <w:ind w:firstLine="420" w:firstLineChars="200"/>
    </w:pPr>
    <w:rPr>
      <w:kern w:val="0"/>
      <w:sz w:val="20"/>
      <w:szCs w:val="20"/>
    </w:rPr>
  </w:style>
  <w:style w:type="character" w:customStyle="1" w:styleId="137">
    <w:name w:val="Subtle Reference"/>
    <w:qFormat/>
    <w:uiPriority w:val="0"/>
    <w:rPr>
      <w:smallCaps/>
      <w:color w:val="C0504D"/>
      <w:u w:val="single"/>
    </w:rPr>
  </w:style>
  <w:style w:type="character" w:customStyle="1" w:styleId="138">
    <w:name w:val="p1"/>
    <w:qFormat/>
    <w:uiPriority w:val="0"/>
  </w:style>
  <w:style w:type="character" w:customStyle="1" w:styleId="139">
    <w:name w:val="Char Char6"/>
    <w:qFormat/>
    <w:uiPriority w:val="0"/>
    <w:rPr>
      <w:rFonts w:eastAsia="宋体"/>
      <w:b/>
      <w:bCs/>
      <w:kern w:val="44"/>
      <w:sz w:val="32"/>
      <w:szCs w:val="44"/>
      <w:lang w:val="en-US" w:eastAsia="zh-CN" w:bidi="ar-SA"/>
    </w:rPr>
  </w:style>
  <w:style w:type="character" w:customStyle="1" w:styleId="140">
    <w:name w:val="Heading 4 Char"/>
    <w:qFormat/>
    <w:uiPriority w:val="0"/>
    <w:rPr>
      <w:rFonts w:ascii="Arial" w:hAnsi="Arial" w:eastAsia="宋体"/>
      <w:b/>
      <w:bCs/>
      <w:kern w:val="2"/>
      <w:sz w:val="21"/>
      <w:szCs w:val="28"/>
      <w:lang w:val="en-US" w:eastAsia="zh-CN" w:bidi="ar-SA"/>
    </w:rPr>
  </w:style>
  <w:style w:type="character" w:customStyle="1" w:styleId="141">
    <w:name w:val="纯文本 Char"/>
    <w:qFormat/>
    <w:uiPriority w:val="0"/>
    <w:rPr>
      <w:rFonts w:ascii="宋体" w:hAnsi="Courier New" w:eastAsia="宋体" w:cs="Courier New"/>
      <w:szCs w:val="21"/>
    </w:rPr>
  </w:style>
  <w:style w:type="character" w:customStyle="1" w:styleId="142">
    <w:name w:val="Date Char"/>
    <w:qFormat/>
    <w:uiPriority w:val="0"/>
    <w:rPr>
      <w:rFonts w:eastAsia="宋体"/>
      <w:kern w:val="2"/>
      <w:sz w:val="21"/>
      <w:szCs w:val="24"/>
      <w:lang w:val="en-US" w:eastAsia="zh-CN" w:bidi="ar-SA"/>
    </w:rPr>
  </w:style>
  <w:style w:type="character" w:customStyle="1" w:styleId="143">
    <w:name w:val="header odd Char Char"/>
    <w:qFormat/>
    <w:uiPriority w:val="0"/>
    <w:rPr>
      <w:rFonts w:ascii="宋体" w:hAnsi="Courier New" w:eastAsia="宋体"/>
      <w:kern w:val="2"/>
      <w:sz w:val="18"/>
      <w:lang w:val="en-US" w:eastAsia="zh-CN" w:bidi="ar-SA"/>
    </w:rPr>
  </w:style>
  <w:style w:type="character" w:customStyle="1" w:styleId="144">
    <w:name w:val="H2 Char"/>
    <w:qFormat/>
    <w:uiPriority w:val="0"/>
    <w:rPr>
      <w:rFonts w:ascii="Arial" w:hAnsi="Arial" w:eastAsia="黑体" w:cs="Times New Roman"/>
      <w:b/>
      <w:bCs/>
      <w:sz w:val="32"/>
      <w:szCs w:val="32"/>
    </w:rPr>
  </w:style>
  <w:style w:type="character" w:customStyle="1" w:styleId="145">
    <w:name w:val="正文文本 2 Char"/>
    <w:link w:val="48"/>
    <w:qFormat/>
    <w:uiPriority w:val="0"/>
    <w:rPr>
      <w:rFonts w:ascii="Times New Roman" w:hAnsi="Times New Roman" w:eastAsia="宋体" w:cs="Times New Roman"/>
      <w:szCs w:val="24"/>
    </w:rPr>
  </w:style>
  <w:style w:type="character" w:customStyle="1" w:styleId="146">
    <w:name w:val="Char Char26"/>
    <w:qFormat/>
    <w:uiPriority w:val="0"/>
    <w:rPr>
      <w:rFonts w:ascii="Arial" w:hAnsi="Arial" w:eastAsia="黑体"/>
      <w:b/>
      <w:bCs/>
      <w:sz w:val="32"/>
      <w:szCs w:val="32"/>
      <w:lang w:bidi="ar-SA"/>
    </w:rPr>
  </w:style>
  <w:style w:type="character" w:customStyle="1" w:styleId="147">
    <w:name w:val="正文首行缩进 2 Char1"/>
    <w:semiHidden/>
    <w:qFormat/>
    <w:uiPriority w:val="99"/>
  </w:style>
  <w:style w:type="character" w:customStyle="1" w:styleId="148">
    <w:name w:val="gray12"/>
    <w:qFormat/>
    <w:uiPriority w:val="0"/>
  </w:style>
  <w:style w:type="character" w:customStyle="1" w:styleId="149">
    <w:name w:val="Body Text Indent 2 Char"/>
    <w:qFormat/>
    <w:uiPriority w:val="0"/>
    <w:rPr>
      <w:rFonts w:eastAsia="宋体"/>
      <w:kern w:val="2"/>
      <w:sz w:val="21"/>
      <w:szCs w:val="24"/>
      <w:lang w:val="en-US" w:eastAsia="zh-CN" w:bidi="ar-SA"/>
    </w:rPr>
  </w:style>
  <w:style w:type="character" w:customStyle="1" w:styleId="150">
    <w:name w:val="Char Char Char Char Char"/>
    <w:qFormat/>
    <w:uiPriority w:val="0"/>
    <w:rPr>
      <w:rFonts w:eastAsia="宋体"/>
      <w:b/>
      <w:bCs/>
      <w:kern w:val="44"/>
      <w:sz w:val="44"/>
      <w:szCs w:val="44"/>
      <w:lang w:val="en-US" w:eastAsia="zh-CN" w:bidi="ar-SA"/>
    </w:rPr>
  </w:style>
  <w:style w:type="character" w:customStyle="1" w:styleId="151">
    <w:name w:val="目录文字 Char"/>
    <w:link w:val="152"/>
    <w:qFormat/>
    <w:locked/>
    <w:uiPriority w:val="0"/>
    <w:rPr>
      <w:rFonts w:ascii="宋体" w:hAnsi="宋体" w:eastAsia="宋体" w:cs="Times New Roman"/>
      <w:kern w:val="0"/>
      <w:sz w:val="24"/>
      <w:szCs w:val="20"/>
    </w:rPr>
  </w:style>
  <w:style w:type="paragraph" w:customStyle="1" w:styleId="152">
    <w:name w:val="目录文字"/>
    <w:basedOn w:val="1"/>
    <w:link w:val="151"/>
    <w:qFormat/>
    <w:uiPriority w:val="0"/>
    <w:pPr>
      <w:widowControl/>
      <w:spacing w:line="480" w:lineRule="auto"/>
      <w:jc w:val="left"/>
    </w:pPr>
    <w:rPr>
      <w:rFonts w:ascii="宋体" w:hAnsi="宋体"/>
      <w:kern w:val="0"/>
      <w:sz w:val="24"/>
      <w:szCs w:val="20"/>
    </w:rPr>
  </w:style>
  <w:style w:type="character" w:customStyle="1" w:styleId="153">
    <w:name w:val="Char Char12"/>
    <w:qFormat/>
    <w:uiPriority w:val="0"/>
    <w:rPr>
      <w:sz w:val="18"/>
    </w:rPr>
  </w:style>
  <w:style w:type="character" w:customStyle="1" w:styleId="154">
    <w:name w:val="Char Char212"/>
    <w:qFormat/>
    <w:uiPriority w:val="0"/>
    <w:rPr>
      <w:rFonts w:ascii="Arial" w:hAnsi="Arial" w:eastAsia="黑体"/>
      <w:b/>
      <w:kern w:val="2"/>
      <w:sz w:val="24"/>
      <w:szCs w:val="24"/>
      <w:lang w:val="en-US" w:eastAsia="zh-CN" w:bidi="ar-SA"/>
    </w:rPr>
  </w:style>
  <w:style w:type="character" w:customStyle="1" w:styleId="155">
    <w:name w:val="Char Char27"/>
    <w:qFormat/>
    <w:uiPriority w:val="0"/>
    <w:rPr>
      <w:rFonts w:eastAsia="宋体"/>
      <w:b/>
      <w:bCs/>
      <w:kern w:val="44"/>
      <w:sz w:val="44"/>
      <w:szCs w:val="44"/>
      <w:lang w:val="en-US" w:eastAsia="zh-CN" w:bidi="ar-SA"/>
    </w:rPr>
  </w:style>
  <w:style w:type="character" w:customStyle="1" w:styleId="156">
    <w:name w:val="Char Char241"/>
    <w:qFormat/>
    <w:uiPriority w:val="0"/>
    <w:rPr>
      <w:rFonts w:ascii="Arial" w:hAnsi="Arial" w:eastAsia="黑体"/>
      <w:sz w:val="28"/>
      <w:lang w:bidi="ar-SA"/>
    </w:rPr>
  </w:style>
  <w:style w:type="character" w:customStyle="1" w:styleId="157">
    <w:name w:val="脚注文本 Char1"/>
    <w:semiHidden/>
    <w:qFormat/>
    <w:uiPriority w:val="99"/>
    <w:rPr>
      <w:rFonts w:ascii="Times New Roman" w:hAnsi="Times New Roman" w:eastAsia="宋体" w:cs="Times New Roman"/>
      <w:sz w:val="18"/>
      <w:szCs w:val="18"/>
    </w:rPr>
  </w:style>
  <w:style w:type="character" w:customStyle="1" w:styleId="158">
    <w:name w:val="标题5 Char Char"/>
    <w:link w:val="159"/>
    <w:qFormat/>
    <w:uiPriority w:val="0"/>
    <w:rPr>
      <w:rFonts w:ascii="Arial" w:hAnsi="Arial"/>
      <w:b/>
      <w:bCs/>
      <w:sz w:val="24"/>
      <w:szCs w:val="32"/>
    </w:rPr>
  </w:style>
  <w:style w:type="paragraph" w:customStyle="1" w:styleId="159">
    <w:name w:val="标题5"/>
    <w:basedOn w:val="4"/>
    <w:link w:val="158"/>
    <w:qFormat/>
    <w:uiPriority w:val="0"/>
    <w:pPr>
      <w:spacing w:before="260" w:after="260" w:line="413" w:lineRule="auto"/>
    </w:pPr>
    <w:rPr>
      <w:rFonts w:ascii="Arial" w:hAnsi="Arial" w:eastAsia="宋体"/>
      <w:sz w:val="24"/>
    </w:rPr>
  </w:style>
  <w:style w:type="character" w:customStyle="1" w:styleId="160">
    <w:name w:val="Report Text Char"/>
    <w:link w:val="161"/>
    <w:qFormat/>
    <w:uiPriority w:val="0"/>
    <w:rPr>
      <w:rFonts w:ascii="Arial" w:hAnsi="Arial" w:eastAsia="宋体" w:cs="Tahoma"/>
      <w:kern w:val="28"/>
      <w:sz w:val="22"/>
      <w:szCs w:val="20"/>
    </w:rPr>
  </w:style>
  <w:style w:type="paragraph" w:customStyle="1" w:styleId="161">
    <w:name w:val="Report Text"/>
    <w:basedOn w:val="1"/>
    <w:link w:val="160"/>
    <w:qFormat/>
    <w:uiPriority w:val="0"/>
    <w:pPr>
      <w:widowControl/>
      <w:spacing w:before="240" w:after="120"/>
      <w:ind w:left="1080"/>
    </w:pPr>
    <w:rPr>
      <w:rFonts w:ascii="Arial" w:hAnsi="Arial"/>
      <w:kern w:val="28"/>
      <w:sz w:val="22"/>
      <w:szCs w:val="20"/>
    </w:rPr>
  </w:style>
  <w:style w:type="character" w:customStyle="1" w:styleId="162">
    <w:name w:val="f151"/>
    <w:qFormat/>
    <w:uiPriority w:val="0"/>
    <w:rPr>
      <w:sz w:val="23"/>
      <w:szCs w:val="23"/>
    </w:rPr>
  </w:style>
  <w:style w:type="character" w:customStyle="1" w:styleId="163">
    <w:name w:val="Book Title"/>
    <w:qFormat/>
    <w:uiPriority w:val="0"/>
    <w:rPr>
      <w:b/>
      <w:bCs/>
      <w:smallCaps/>
      <w:spacing w:val="5"/>
    </w:rPr>
  </w:style>
  <w:style w:type="character" w:customStyle="1" w:styleId="164">
    <w:name w:val="普通文字 Char Char3"/>
    <w:qFormat/>
    <w:uiPriority w:val="0"/>
    <w:rPr>
      <w:rFonts w:ascii="宋体" w:hAnsi="Courier New" w:eastAsia="宋体"/>
      <w:szCs w:val="21"/>
      <w:lang w:bidi="ar-SA"/>
    </w:rPr>
  </w:style>
  <w:style w:type="character" w:customStyle="1" w:styleId="165">
    <w:name w:val="apple-style-span"/>
    <w:qFormat/>
    <w:uiPriority w:val="0"/>
  </w:style>
  <w:style w:type="character" w:customStyle="1" w:styleId="166">
    <w:name w:val="Balloon Text Char"/>
    <w:qFormat/>
    <w:uiPriority w:val="0"/>
    <w:rPr>
      <w:sz w:val="18"/>
      <w:lang w:bidi="ar-SA"/>
    </w:rPr>
  </w:style>
  <w:style w:type="character" w:customStyle="1" w:styleId="167">
    <w:name w:val="批注文字 Char Char"/>
    <w:qFormat/>
    <w:uiPriority w:val="0"/>
    <w:rPr>
      <w:rFonts w:ascii="宋体" w:hAnsi="Times New Roman" w:eastAsia="宋体" w:cs="Times New Roman"/>
      <w:sz w:val="28"/>
      <w:szCs w:val="20"/>
    </w:rPr>
  </w:style>
  <w:style w:type="character" w:customStyle="1" w:styleId="168">
    <w:name w:val="引用 Char1"/>
    <w:qFormat/>
    <w:uiPriority w:val="0"/>
    <w:rPr>
      <w:rFonts w:ascii="Times New Roman" w:hAnsi="Times New Roman" w:eastAsia="宋体" w:cs="Times New Roman"/>
      <w:i/>
      <w:iCs/>
      <w:color w:val="000000"/>
      <w:szCs w:val="24"/>
    </w:rPr>
  </w:style>
  <w:style w:type="character" w:customStyle="1" w:styleId="169">
    <w:name w:val="Plain Text Char"/>
    <w:link w:val="170"/>
    <w:qFormat/>
    <w:uiPriority w:val="0"/>
    <w:rPr>
      <w:rFonts w:ascii="宋体" w:hAnsi="Courier New" w:eastAsia="宋体"/>
      <w:sz w:val="24"/>
    </w:rPr>
  </w:style>
  <w:style w:type="paragraph" w:customStyle="1" w:styleId="170">
    <w:name w:val="纯文本11"/>
    <w:basedOn w:val="1"/>
    <w:link w:val="169"/>
    <w:qFormat/>
    <w:uiPriority w:val="0"/>
    <w:rPr>
      <w:rFonts w:ascii="宋体" w:hAnsi="Courier New"/>
      <w:kern w:val="0"/>
      <w:sz w:val="24"/>
      <w:szCs w:val="20"/>
    </w:rPr>
  </w:style>
  <w:style w:type="character" w:customStyle="1" w:styleId="171">
    <w:name w:val="Char Char22"/>
    <w:qFormat/>
    <w:uiPriority w:val="0"/>
    <w:rPr>
      <w:rFonts w:ascii="Times New Roman" w:hAnsi="Times New Roman" w:eastAsia="宋体" w:cs="Times New Roman"/>
      <w:b/>
      <w:bCs/>
      <w:kern w:val="44"/>
      <w:sz w:val="32"/>
      <w:szCs w:val="44"/>
    </w:rPr>
  </w:style>
  <w:style w:type="character" w:customStyle="1" w:styleId="172">
    <w:name w:val="Char Char29"/>
    <w:qFormat/>
    <w:uiPriority w:val="0"/>
    <w:rPr>
      <w:rFonts w:ascii="宋体" w:hAnsi="Courier New" w:eastAsia="宋体" w:cs="Courier New"/>
      <w:kern w:val="2"/>
      <w:sz w:val="21"/>
      <w:szCs w:val="21"/>
      <w:lang w:val="en-US" w:eastAsia="zh-CN" w:bidi="ar-SA"/>
    </w:rPr>
  </w:style>
  <w:style w:type="character" w:customStyle="1" w:styleId="173">
    <w:name w:val="H1 Char1"/>
    <w:qFormat/>
    <w:uiPriority w:val="0"/>
    <w:rPr>
      <w:rFonts w:eastAsia="宋体"/>
      <w:b/>
      <w:bCs/>
      <w:kern w:val="2"/>
      <w:sz w:val="21"/>
      <w:szCs w:val="24"/>
      <w:lang w:val="en-US" w:eastAsia="zh-CN" w:bidi="ar-SA"/>
    </w:rPr>
  </w:style>
  <w:style w:type="character" w:customStyle="1" w:styleId="174">
    <w:name w:val="正文文本 2 Char1"/>
    <w:semiHidden/>
    <w:qFormat/>
    <w:uiPriority w:val="99"/>
    <w:rPr>
      <w:rFonts w:ascii="Times New Roman" w:hAnsi="Times New Roman" w:eastAsia="宋体" w:cs="Times New Roman"/>
      <w:szCs w:val="24"/>
    </w:rPr>
  </w:style>
  <w:style w:type="character" w:customStyle="1" w:styleId="175">
    <w:name w:val="Char Char291"/>
    <w:qFormat/>
    <w:uiPriority w:val="0"/>
    <w:rPr>
      <w:rFonts w:ascii="宋体" w:hAnsi="Courier New" w:eastAsia="宋体" w:cs="Courier New"/>
      <w:kern w:val="2"/>
      <w:sz w:val="21"/>
      <w:szCs w:val="21"/>
      <w:lang w:val="en-US" w:eastAsia="zh-CN" w:bidi="ar-SA"/>
    </w:rPr>
  </w:style>
  <w:style w:type="character" w:customStyle="1" w:styleId="176">
    <w:name w:val="标题 Char2"/>
    <w:qFormat/>
    <w:uiPriority w:val="0"/>
    <w:rPr>
      <w:rFonts w:ascii="Cambria" w:hAnsi="Cambria" w:eastAsia="宋体" w:cs="Times New Roman"/>
      <w:b/>
      <w:bCs/>
      <w:sz w:val="32"/>
      <w:szCs w:val="32"/>
    </w:rPr>
  </w:style>
  <w:style w:type="character" w:customStyle="1" w:styleId="177">
    <w:name w:val="Char Char11"/>
    <w:qFormat/>
    <w:uiPriority w:val="0"/>
    <w:rPr>
      <w:rFonts w:ascii="Times New Roman" w:hAnsi="Times New Roman" w:eastAsia="宋体" w:cs="Times New Roman"/>
      <w:sz w:val="30"/>
      <w:szCs w:val="24"/>
    </w:rPr>
  </w:style>
  <w:style w:type="character" w:customStyle="1" w:styleId="178">
    <w:name w:val="Char Char231"/>
    <w:qFormat/>
    <w:uiPriority w:val="0"/>
    <w:rPr>
      <w:rFonts w:ascii="Times New Roman" w:hAnsi="Times New Roman" w:eastAsia="宋体" w:cs="Times New Roman"/>
      <w:b/>
      <w:bCs/>
      <w:kern w:val="44"/>
      <w:sz w:val="44"/>
      <w:szCs w:val="44"/>
    </w:rPr>
  </w:style>
  <w:style w:type="character" w:customStyle="1" w:styleId="179">
    <w:name w:val="Char Char15"/>
    <w:qFormat/>
    <w:uiPriority w:val="0"/>
    <w:rPr>
      <w:sz w:val="18"/>
      <w:szCs w:val="18"/>
    </w:rPr>
  </w:style>
  <w:style w:type="character" w:customStyle="1" w:styleId="180">
    <w:name w:val="标题 9 Char"/>
    <w:link w:val="11"/>
    <w:qFormat/>
    <w:uiPriority w:val="0"/>
    <w:rPr>
      <w:rFonts w:ascii="Arial" w:hAnsi="Arial" w:eastAsia="黑体"/>
      <w:szCs w:val="24"/>
      <w:lang w:bidi="ar-SA"/>
    </w:rPr>
  </w:style>
  <w:style w:type="character" w:customStyle="1" w:styleId="181">
    <w:name w:val="HTML 预设格式 Char"/>
    <w:link w:val="51"/>
    <w:qFormat/>
    <w:uiPriority w:val="0"/>
    <w:rPr>
      <w:rFonts w:ascii="黑体" w:hAnsi="Courier New" w:eastAsia="黑体" w:cs="Courier New"/>
      <w:kern w:val="0"/>
      <w:sz w:val="20"/>
      <w:szCs w:val="20"/>
    </w:rPr>
  </w:style>
  <w:style w:type="character" w:customStyle="1" w:styleId="182">
    <w:name w:val="标题 6 Char"/>
    <w:link w:val="8"/>
    <w:qFormat/>
    <w:uiPriority w:val="0"/>
    <w:rPr>
      <w:rFonts w:ascii="Arial" w:hAnsi="Arial" w:eastAsia="黑体"/>
      <w:b/>
      <w:sz w:val="24"/>
      <w:szCs w:val="24"/>
      <w:lang w:bidi="ar-SA"/>
    </w:rPr>
  </w:style>
  <w:style w:type="character" w:customStyle="1" w:styleId="183">
    <w:name w:val="Char Char331"/>
    <w:qFormat/>
    <w:uiPriority w:val="0"/>
    <w:rPr>
      <w:rFonts w:ascii="宋体" w:hAnsi="Courier New" w:eastAsia="宋体" w:cs="Courier New"/>
      <w:szCs w:val="21"/>
    </w:rPr>
  </w:style>
  <w:style w:type="character" w:customStyle="1" w:styleId="184">
    <w:name w:val="style11"/>
    <w:qFormat/>
    <w:uiPriority w:val="0"/>
    <w:rPr>
      <w:rFonts w:hint="default" w:ascii="Arial" w:hAnsi="Arial" w:cs="Arial"/>
    </w:rPr>
  </w:style>
  <w:style w:type="character" w:customStyle="1" w:styleId="185">
    <w:name w:val="标题 Char"/>
    <w:link w:val="54"/>
    <w:qFormat/>
    <w:uiPriority w:val="0"/>
    <w:rPr>
      <w:rFonts w:ascii="Cambria" w:hAnsi="Cambria"/>
      <w:b/>
      <w:bCs/>
      <w:sz w:val="32"/>
      <w:szCs w:val="32"/>
    </w:rPr>
  </w:style>
  <w:style w:type="character" w:customStyle="1" w:styleId="186">
    <w:name w:val="H1 Char"/>
    <w:qFormat/>
    <w:uiPriority w:val="0"/>
    <w:rPr>
      <w:rFonts w:eastAsia="宋体"/>
      <w:b/>
      <w:bCs/>
      <w:kern w:val="44"/>
      <w:sz w:val="44"/>
      <w:szCs w:val="44"/>
      <w:lang w:val="en-US" w:eastAsia="zh-CN" w:bidi="ar-SA"/>
    </w:rPr>
  </w:style>
  <w:style w:type="character" w:customStyle="1" w:styleId="187">
    <w:name w:val="批注主题 Char2"/>
    <w:semiHidden/>
    <w:qFormat/>
    <w:uiPriority w:val="99"/>
    <w:rPr>
      <w:rFonts w:ascii="Times New Roman" w:hAnsi="Times New Roman" w:eastAsia="宋体" w:cs="Times New Roman"/>
      <w:b/>
      <w:bCs/>
      <w:szCs w:val="24"/>
    </w:rPr>
  </w:style>
  <w:style w:type="character" w:customStyle="1" w:styleId="188">
    <w:name w:val="textcontents"/>
    <w:qFormat/>
    <w:uiPriority w:val="0"/>
    <w:rPr>
      <w:rFonts w:cs="Times New Roman"/>
    </w:rPr>
  </w:style>
  <w:style w:type="character" w:customStyle="1" w:styleId="189">
    <w:name w:val="普通文字 Char Char2"/>
    <w:qFormat/>
    <w:uiPriority w:val="0"/>
    <w:rPr>
      <w:rFonts w:ascii="宋体" w:hAnsi="Courier New" w:eastAsia="宋体"/>
      <w:kern w:val="2"/>
      <w:sz w:val="21"/>
      <w:lang w:val="en-US" w:eastAsia="zh-CN" w:bidi="ar-SA"/>
    </w:rPr>
  </w:style>
  <w:style w:type="character" w:customStyle="1" w:styleId="190">
    <w:name w:val="style21"/>
    <w:qFormat/>
    <w:uiPriority w:val="0"/>
    <w:rPr>
      <w:sz w:val="17"/>
      <w:szCs w:val="17"/>
    </w:rPr>
  </w:style>
  <w:style w:type="character" w:customStyle="1" w:styleId="191">
    <w:name w:val="Char Char19"/>
    <w:qFormat/>
    <w:uiPriority w:val="0"/>
    <w:rPr>
      <w:rFonts w:ascii="Arial" w:hAnsi="Arial" w:eastAsia="宋体" w:cs="Times New Roman"/>
      <w:b/>
      <w:bCs/>
      <w:szCs w:val="28"/>
    </w:rPr>
  </w:style>
  <w:style w:type="character" w:customStyle="1" w:styleId="192">
    <w:name w:val="llyf92"/>
    <w:qFormat/>
    <w:uiPriority w:val="0"/>
    <w:rPr>
      <w:sz w:val="18"/>
      <w:szCs w:val="18"/>
    </w:rPr>
  </w:style>
  <w:style w:type="character" w:customStyle="1" w:styleId="193">
    <w:name w:val="小标题 Char"/>
    <w:qFormat/>
    <w:uiPriority w:val="0"/>
    <w:rPr>
      <w:rFonts w:eastAsia="宋体"/>
      <w:b/>
      <w:bCs/>
      <w:kern w:val="2"/>
      <w:sz w:val="32"/>
      <w:szCs w:val="32"/>
      <w:lang w:val="en-US" w:eastAsia="zh-CN" w:bidi="ar-SA"/>
    </w:rPr>
  </w:style>
  <w:style w:type="character" w:customStyle="1" w:styleId="194">
    <w:name w:val="Heading 2 Char"/>
    <w:qFormat/>
    <w:uiPriority w:val="0"/>
    <w:rPr>
      <w:rFonts w:ascii="Arial" w:hAnsi="Arial" w:eastAsia="黑体"/>
      <w:b/>
      <w:bCs/>
      <w:kern w:val="2"/>
      <w:sz w:val="32"/>
      <w:szCs w:val="32"/>
      <w:lang w:val="en-US" w:eastAsia="zh-CN" w:bidi="ar-SA"/>
    </w:rPr>
  </w:style>
  <w:style w:type="character" w:customStyle="1" w:styleId="195">
    <w:name w:val="font41"/>
    <w:qFormat/>
    <w:uiPriority w:val="0"/>
    <w:rPr>
      <w:rFonts w:hint="eastAsia" w:ascii="宋体" w:hAnsi="宋体" w:eastAsia="宋体" w:cs="宋体"/>
      <w:color w:val="000000"/>
      <w:sz w:val="20"/>
      <w:szCs w:val="20"/>
      <w:u w:val="none"/>
    </w:rPr>
  </w:style>
  <w:style w:type="character" w:customStyle="1" w:styleId="196">
    <w:name w:val="批注文字 Char"/>
    <w:qFormat/>
    <w:uiPriority w:val="0"/>
    <w:rPr>
      <w:kern w:val="2"/>
      <w:sz w:val="21"/>
      <w:szCs w:val="24"/>
    </w:rPr>
  </w:style>
  <w:style w:type="character" w:customStyle="1" w:styleId="197">
    <w:name w:val="param-name param-explain"/>
    <w:qFormat/>
    <w:uiPriority w:val="0"/>
  </w:style>
  <w:style w:type="character" w:customStyle="1" w:styleId="198">
    <w:name w:val="Footer Char"/>
    <w:qFormat/>
    <w:uiPriority w:val="0"/>
    <w:rPr>
      <w:rFonts w:eastAsia="宋体"/>
      <w:kern w:val="2"/>
      <w:sz w:val="18"/>
      <w:szCs w:val="18"/>
      <w:lang w:val="en-US" w:eastAsia="zh-CN" w:bidi="ar-SA"/>
    </w:rPr>
  </w:style>
  <w:style w:type="character" w:customStyle="1" w:styleId="199">
    <w:name w:val="正文文本 Char1"/>
    <w:qFormat/>
    <w:uiPriority w:val="0"/>
    <w:rPr>
      <w:kern w:val="2"/>
      <w:sz w:val="21"/>
      <w:szCs w:val="22"/>
    </w:rPr>
  </w:style>
  <w:style w:type="character" w:customStyle="1" w:styleId="200">
    <w:name w:val="Heading 1 Char"/>
    <w:qFormat/>
    <w:uiPriority w:val="0"/>
    <w:rPr>
      <w:rFonts w:eastAsia="宋体"/>
      <w:b/>
      <w:bCs/>
      <w:kern w:val="44"/>
      <w:sz w:val="32"/>
      <w:szCs w:val="44"/>
      <w:lang w:val="en-US" w:eastAsia="zh-CN" w:bidi="ar-SA"/>
    </w:rPr>
  </w:style>
  <w:style w:type="character" w:customStyle="1" w:styleId="201">
    <w:name w:val="Char Char16"/>
    <w:qFormat/>
    <w:uiPriority w:val="0"/>
    <w:rPr>
      <w:rFonts w:ascii="Arial" w:hAnsi="Arial" w:eastAsia="宋体"/>
      <w:b/>
      <w:bCs/>
      <w:kern w:val="2"/>
      <w:sz w:val="32"/>
      <w:szCs w:val="32"/>
      <w:lang w:bidi="ar-SA"/>
    </w:rPr>
  </w:style>
  <w:style w:type="character" w:customStyle="1" w:styleId="202">
    <w:name w:val="Body Text Indent Char"/>
    <w:qFormat/>
    <w:uiPriority w:val="0"/>
    <w:rPr>
      <w:rFonts w:ascii="宋体" w:hAnsi="宋体" w:eastAsia="宋体"/>
      <w:kern w:val="2"/>
      <w:sz w:val="21"/>
      <w:lang w:val="en-US" w:eastAsia="zh-CN" w:bidi="ar-SA"/>
    </w:rPr>
  </w:style>
  <w:style w:type="character" w:customStyle="1" w:styleId="203">
    <w:name w:val="Char Char281"/>
    <w:qFormat/>
    <w:uiPriority w:val="0"/>
    <w:rPr>
      <w:rFonts w:eastAsia="宋体"/>
      <w:kern w:val="2"/>
      <w:sz w:val="16"/>
      <w:szCs w:val="16"/>
      <w:lang w:val="en-US" w:eastAsia="zh-CN" w:bidi="ar-SA"/>
    </w:rPr>
  </w:style>
  <w:style w:type="character" w:customStyle="1" w:styleId="204">
    <w:name w:val="正文文本 3 Char1"/>
    <w:semiHidden/>
    <w:qFormat/>
    <w:uiPriority w:val="99"/>
    <w:rPr>
      <w:rFonts w:ascii="Times New Roman" w:hAnsi="Times New Roman" w:eastAsia="宋体" w:cs="Times New Roman"/>
      <w:sz w:val="16"/>
      <w:szCs w:val="16"/>
    </w:rPr>
  </w:style>
  <w:style w:type="character" w:customStyle="1" w:styleId="205">
    <w:name w:val="页眉 Char1"/>
    <w:semiHidden/>
    <w:qFormat/>
    <w:uiPriority w:val="99"/>
    <w:rPr>
      <w:rFonts w:ascii="Times New Roman" w:hAnsi="Times New Roman" w:eastAsia="宋体" w:cs="Times New Roman"/>
      <w:sz w:val="18"/>
      <w:szCs w:val="18"/>
    </w:rPr>
  </w:style>
  <w:style w:type="character" w:customStyle="1" w:styleId="206">
    <w:name w:val="Char Char171"/>
    <w:qFormat/>
    <w:uiPriority w:val="0"/>
    <w:rPr>
      <w:rFonts w:hint="default" w:ascii="Times New Roman" w:hAnsi="Times New Roman" w:cs="Times New Roman"/>
      <w:b/>
      <w:bCs/>
      <w:kern w:val="2"/>
      <w:sz w:val="21"/>
      <w:szCs w:val="24"/>
    </w:rPr>
  </w:style>
  <w:style w:type="character" w:customStyle="1" w:styleId="207">
    <w:name w:val="h Char"/>
    <w:qFormat/>
    <w:uiPriority w:val="0"/>
    <w:rPr>
      <w:rFonts w:eastAsia="宋体"/>
      <w:kern w:val="2"/>
      <w:sz w:val="18"/>
      <w:szCs w:val="18"/>
      <w:lang w:val="en-US" w:eastAsia="zh-CN" w:bidi="ar-SA"/>
    </w:rPr>
  </w:style>
  <w:style w:type="character" w:customStyle="1" w:styleId="208">
    <w:name w:val="Comment Subject Char"/>
    <w:qFormat/>
    <w:uiPriority w:val="0"/>
    <w:rPr>
      <w:b/>
      <w:sz w:val="24"/>
      <w:lang w:bidi="ar-SA"/>
    </w:rPr>
  </w:style>
  <w:style w:type="character" w:customStyle="1" w:styleId="209">
    <w:name w:val="批注框文本 Char1"/>
    <w:qFormat/>
    <w:uiPriority w:val="0"/>
    <w:rPr>
      <w:rFonts w:ascii="Times New Roman" w:hAnsi="Times New Roman" w:eastAsia="宋体" w:cs="Times New Roman"/>
      <w:sz w:val="18"/>
      <w:szCs w:val="18"/>
    </w:rPr>
  </w:style>
  <w:style w:type="character" w:customStyle="1" w:styleId="210">
    <w:name w:val="Char Char221"/>
    <w:qFormat/>
    <w:uiPriority w:val="0"/>
    <w:rPr>
      <w:rFonts w:eastAsia="宋体"/>
      <w:b/>
      <w:kern w:val="2"/>
      <w:sz w:val="28"/>
      <w:szCs w:val="24"/>
      <w:lang w:val="en-US" w:eastAsia="zh-CN" w:bidi="ar-SA"/>
    </w:rPr>
  </w:style>
  <w:style w:type="character" w:customStyle="1" w:styleId="211">
    <w:name w:val="f141"/>
    <w:qFormat/>
    <w:uiPriority w:val="0"/>
    <w:rPr>
      <w:sz w:val="21"/>
      <w:szCs w:val="21"/>
    </w:rPr>
  </w:style>
  <w:style w:type="character" w:customStyle="1" w:styleId="212">
    <w:name w:val="Char Char251"/>
    <w:qFormat/>
    <w:uiPriority w:val="0"/>
    <w:rPr>
      <w:rFonts w:eastAsia="宋体"/>
      <w:b/>
      <w:bCs/>
      <w:sz w:val="32"/>
      <w:szCs w:val="32"/>
      <w:lang w:bidi="ar-SA"/>
    </w:rPr>
  </w:style>
  <w:style w:type="character" w:customStyle="1" w:styleId="213">
    <w:name w:val="Char Char191"/>
    <w:qFormat/>
    <w:uiPriority w:val="0"/>
    <w:rPr>
      <w:rFonts w:ascii="Arial" w:hAnsi="Arial" w:eastAsia="黑体"/>
      <w:kern w:val="2"/>
      <w:sz w:val="24"/>
      <w:szCs w:val="24"/>
      <w:lang w:val="en-US" w:eastAsia="zh-CN" w:bidi="ar-SA"/>
    </w:rPr>
  </w:style>
  <w:style w:type="character" w:customStyle="1" w:styleId="214">
    <w:name w:val="标题 1 Char"/>
    <w:link w:val="2"/>
    <w:qFormat/>
    <w:uiPriority w:val="0"/>
    <w:rPr>
      <w:rFonts w:ascii="Times New Roman" w:hAnsi="Times New Roman" w:eastAsia="宋体" w:cs="Times New Roman"/>
      <w:b/>
      <w:bCs/>
      <w:kern w:val="44"/>
      <w:sz w:val="44"/>
      <w:szCs w:val="44"/>
    </w:rPr>
  </w:style>
  <w:style w:type="character" w:customStyle="1" w:styleId="215">
    <w:name w:val="标题 Char3"/>
    <w:qFormat/>
    <w:uiPriority w:val="0"/>
    <w:rPr>
      <w:rFonts w:ascii="Cambria" w:hAnsi="Cambria" w:eastAsia="宋体" w:cs="Times New Roman"/>
      <w:b/>
      <w:bCs/>
      <w:sz w:val="32"/>
      <w:szCs w:val="32"/>
    </w:rPr>
  </w:style>
  <w:style w:type="character" w:customStyle="1" w:styleId="216">
    <w:name w:val="H5 Char"/>
    <w:qFormat/>
    <w:uiPriority w:val="0"/>
    <w:rPr>
      <w:rFonts w:eastAsia="宋体"/>
      <w:b/>
      <w:kern w:val="2"/>
      <w:sz w:val="28"/>
      <w:lang w:val="en-US" w:eastAsia="zh-CN" w:bidi="ar-SA"/>
    </w:rPr>
  </w:style>
  <w:style w:type="character" w:customStyle="1" w:styleId="217">
    <w:name w:val="Char Char1811"/>
    <w:qFormat/>
    <w:uiPriority w:val="0"/>
    <w:rPr>
      <w:rFonts w:ascii="Arial" w:hAnsi="Arial" w:eastAsia="黑体"/>
      <w:kern w:val="2"/>
      <w:sz w:val="21"/>
      <w:szCs w:val="24"/>
      <w:lang w:val="en-US" w:eastAsia="zh-CN" w:bidi="ar-SA"/>
    </w:rPr>
  </w:style>
  <w:style w:type="character" w:customStyle="1" w:styleId="218">
    <w:name w:val="正文缩进 Char"/>
    <w:link w:val="7"/>
    <w:qFormat/>
    <w:locked/>
    <w:uiPriority w:val="0"/>
    <w:rPr>
      <w:rFonts w:ascii="Times New Roman" w:hAnsi="Times New Roman" w:eastAsia="宋体" w:cs="Times New Roman"/>
      <w:szCs w:val="20"/>
    </w:rPr>
  </w:style>
  <w:style w:type="character" w:customStyle="1" w:styleId="219">
    <w:name w:val="Document Map Char"/>
    <w:qFormat/>
    <w:uiPriority w:val="0"/>
    <w:rPr>
      <w:rFonts w:eastAsia="宋体"/>
      <w:kern w:val="2"/>
      <w:sz w:val="21"/>
      <w:szCs w:val="24"/>
      <w:lang w:val="en-US" w:eastAsia="zh-CN" w:bidi="ar-SA"/>
    </w:rPr>
  </w:style>
  <w:style w:type="character" w:customStyle="1" w:styleId="220">
    <w:name w:val="font141"/>
    <w:qFormat/>
    <w:uiPriority w:val="0"/>
    <w:rPr>
      <w:rFonts w:hint="eastAsia" w:ascii="宋体" w:hAnsi="宋体" w:eastAsia="宋体" w:cs="宋体"/>
      <w:color w:val="000000"/>
      <w:sz w:val="20"/>
      <w:szCs w:val="20"/>
      <w:u w:val="none"/>
      <w:vertAlign w:val="superscript"/>
    </w:rPr>
  </w:style>
  <w:style w:type="character" w:customStyle="1" w:styleId="221">
    <w:name w:val="Subtle Emphasis"/>
    <w:qFormat/>
    <w:uiPriority w:val="0"/>
    <w:rPr>
      <w:i/>
      <w:iCs/>
      <w:color w:val="808080"/>
    </w:rPr>
  </w:style>
  <w:style w:type="character" w:customStyle="1" w:styleId="222">
    <w:name w:val="style161"/>
    <w:qFormat/>
    <w:uiPriority w:val="0"/>
    <w:rPr>
      <w:color w:val="666666"/>
    </w:rPr>
  </w:style>
  <w:style w:type="character" w:customStyle="1" w:styleId="223">
    <w:name w:val="称呼 Char1"/>
    <w:semiHidden/>
    <w:qFormat/>
    <w:uiPriority w:val="99"/>
    <w:rPr>
      <w:rFonts w:ascii="Times New Roman" w:hAnsi="Times New Roman" w:eastAsia="宋体" w:cs="Times New Roman"/>
      <w:szCs w:val="24"/>
    </w:rPr>
  </w:style>
  <w:style w:type="character" w:customStyle="1" w:styleId="224">
    <w:name w:val="Char Char181"/>
    <w:qFormat/>
    <w:uiPriority w:val="0"/>
    <w:rPr>
      <w:rFonts w:ascii="Arial" w:hAnsi="Arial" w:eastAsia="黑体"/>
      <w:kern w:val="2"/>
      <w:sz w:val="21"/>
      <w:szCs w:val="24"/>
      <w:lang w:val="en-US" w:eastAsia="zh-CN" w:bidi="ar-SA"/>
    </w:rPr>
  </w:style>
  <w:style w:type="character" w:customStyle="1" w:styleId="225">
    <w:name w:val="1ji Char Char"/>
    <w:qFormat/>
    <w:locked/>
    <w:uiPriority w:val="0"/>
    <w:rPr>
      <w:rFonts w:ascii="宋体" w:hAnsi="宋体" w:eastAsia="宋体"/>
      <w:b/>
      <w:bCs/>
      <w:kern w:val="44"/>
      <w:sz w:val="36"/>
      <w:szCs w:val="44"/>
    </w:rPr>
  </w:style>
  <w:style w:type="character" w:customStyle="1" w:styleId="226">
    <w:name w:val="批注文字 Char2"/>
    <w:qFormat/>
    <w:uiPriority w:val="0"/>
    <w:rPr>
      <w:rFonts w:eastAsia="宋体"/>
      <w:kern w:val="2"/>
      <w:sz w:val="21"/>
      <w:szCs w:val="24"/>
      <w:lang w:val="en-US" w:eastAsia="zh-CN" w:bidi="ar-SA"/>
    </w:rPr>
  </w:style>
  <w:style w:type="character" w:customStyle="1" w:styleId="227">
    <w:name w:val="Char Char201"/>
    <w:qFormat/>
    <w:uiPriority w:val="0"/>
    <w:rPr>
      <w:rFonts w:eastAsia="宋体"/>
      <w:b/>
      <w:kern w:val="2"/>
      <w:sz w:val="24"/>
      <w:szCs w:val="24"/>
      <w:lang w:val="en-US" w:eastAsia="zh-CN" w:bidi="ar-SA"/>
    </w:rPr>
  </w:style>
  <w:style w:type="character" w:customStyle="1" w:styleId="228">
    <w:name w:val="small"/>
    <w:qFormat/>
    <w:uiPriority w:val="0"/>
  </w:style>
  <w:style w:type="character" w:customStyle="1" w:styleId="229">
    <w:name w:val="Heading 5 Char"/>
    <w:qFormat/>
    <w:uiPriority w:val="0"/>
    <w:rPr>
      <w:rFonts w:eastAsia="宋体"/>
      <w:b/>
      <w:bCs/>
      <w:kern w:val="2"/>
      <w:sz w:val="28"/>
      <w:szCs w:val="28"/>
      <w:lang w:val="en-US" w:eastAsia="zh-CN" w:bidi="ar-SA"/>
    </w:rPr>
  </w:style>
  <w:style w:type="character" w:customStyle="1" w:styleId="230">
    <w:name w:val="ca-0"/>
    <w:qFormat/>
    <w:uiPriority w:val="0"/>
  </w:style>
  <w:style w:type="character" w:customStyle="1" w:styleId="231">
    <w:name w:val="Char Char242"/>
    <w:qFormat/>
    <w:uiPriority w:val="0"/>
    <w:rPr>
      <w:rFonts w:eastAsia="宋体"/>
      <w:b/>
      <w:bCs/>
      <w:kern w:val="44"/>
      <w:sz w:val="32"/>
      <w:szCs w:val="44"/>
      <w:lang w:val="en-US" w:eastAsia="zh-CN" w:bidi="ar-SA"/>
    </w:rPr>
  </w:style>
  <w:style w:type="character" w:customStyle="1" w:styleId="232">
    <w:name w:val="Footnote Text Char"/>
    <w:qFormat/>
    <w:uiPriority w:val="0"/>
    <w:rPr>
      <w:rFonts w:eastAsia="宋体"/>
      <w:sz w:val="18"/>
      <w:lang w:val="en-US" w:eastAsia="zh-CN" w:bidi="ar-SA"/>
    </w:rPr>
  </w:style>
  <w:style w:type="character" w:customStyle="1" w:styleId="233">
    <w:name w:val="Char Char Char Char Char1"/>
    <w:qFormat/>
    <w:uiPriority w:val="0"/>
    <w:rPr>
      <w:rFonts w:eastAsia="宋体"/>
      <w:b/>
      <w:bCs/>
      <w:kern w:val="44"/>
      <w:sz w:val="44"/>
      <w:szCs w:val="44"/>
      <w:lang w:val="en-US" w:eastAsia="zh-CN" w:bidi="ar-SA"/>
    </w:rPr>
  </w:style>
  <w:style w:type="character" w:customStyle="1" w:styleId="234">
    <w:name w:val="font81"/>
    <w:qFormat/>
    <w:uiPriority w:val="0"/>
    <w:rPr>
      <w:rFonts w:hint="default" w:ascii="Times New Roman" w:hAnsi="Times New Roman" w:cs="Times New Roman"/>
      <w:color w:val="000000"/>
      <w:sz w:val="20"/>
      <w:szCs w:val="20"/>
      <w:u w:val="none"/>
    </w:rPr>
  </w:style>
  <w:style w:type="character" w:customStyle="1" w:styleId="235">
    <w:name w:val="Comment Text Char"/>
    <w:qFormat/>
    <w:uiPriority w:val="0"/>
    <w:rPr>
      <w:rFonts w:cs="Times New Roman"/>
      <w:sz w:val="24"/>
      <w:szCs w:val="24"/>
    </w:rPr>
  </w:style>
  <w:style w:type="character" w:customStyle="1" w:styleId="236">
    <w:name w:val="普通文字 Char Char1"/>
    <w:qFormat/>
    <w:uiPriority w:val="0"/>
    <w:rPr>
      <w:rFonts w:ascii="宋体" w:hAnsi="Courier New" w:eastAsia="宋体"/>
      <w:kern w:val="2"/>
      <w:sz w:val="21"/>
      <w:lang w:val="en-US" w:eastAsia="zh-CN" w:bidi="ar-SA"/>
    </w:rPr>
  </w:style>
  <w:style w:type="character" w:customStyle="1" w:styleId="237">
    <w:name w:val="Intense Emphasis"/>
    <w:qFormat/>
    <w:uiPriority w:val="0"/>
    <w:rPr>
      <w:b/>
      <w:bCs/>
      <w:i/>
      <w:iCs/>
      <w:color w:val="4F81BD"/>
    </w:rPr>
  </w:style>
  <w:style w:type="character" w:customStyle="1" w:styleId="238">
    <w:name w:val="mark8"/>
    <w:qFormat/>
    <w:uiPriority w:val="0"/>
    <w:rPr>
      <w:b/>
      <w:bCs/>
      <w:sz w:val="21"/>
      <w:szCs w:val="21"/>
    </w:rPr>
  </w:style>
  <w:style w:type="character" w:customStyle="1" w:styleId="239">
    <w:name w:val="Header Char"/>
    <w:qFormat/>
    <w:uiPriority w:val="0"/>
    <w:rPr>
      <w:rFonts w:eastAsia="宋体"/>
      <w:kern w:val="2"/>
      <w:sz w:val="18"/>
      <w:szCs w:val="18"/>
      <w:lang w:val="en-US" w:eastAsia="zh-CN" w:bidi="ar-SA"/>
    </w:rPr>
  </w:style>
  <w:style w:type="character" w:customStyle="1" w:styleId="240">
    <w:name w:val="自定义标题一 Char Char"/>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241">
    <w:name w:val="标题 4 Char"/>
    <w:link w:val="5"/>
    <w:qFormat/>
    <w:uiPriority w:val="0"/>
    <w:rPr>
      <w:rFonts w:ascii="Arial" w:hAnsi="Arial" w:eastAsia="宋体" w:cs="Times New Roman"/>
      <w:b/>
      <w:bCs/>
      <w:szCs w:val="28"/>
    </w:rPr>
  </w:style>
  <w:style w:type="character" w:customStyle="1" w:styleId="242">
    <w:name w:val="Char Char261"/>
    <w:qFormat/>
    <w:uiPriority w:val="0"/>
    <w:rPr>
      <w:rFonts w:ascii="Arial" w:hAnsi="Arial" w:eastAsia="黑体"/>
      <w:b/>
      <w:bCs/>
      <w:sz w:val="32"/>
      <w:szCs w:val="32"/>
      <w:lang w:bidi="ar-SA"/>
    </w:rPr>
  </w:style>
  <w:style w:type="character" w:customStyle="1" w:styleId="243">
    <w:name w:val="批注主题 Char1"/>
    <w:qFormat/>
    <w:uiPriority w:val="0"/>
    <w:rPr>
      <w:rFonts w:ascii="Times New Roman" w:hAnsi="Times New Roman" w:eastAsia="宋体" w:cs="Times New Roman"/>
      <w:b/>
      <w:bCs/>
      <w:szCs w:val="24"/>
    </w:rPr>
  </w:style>
  <w:style w:type="character" w:customStyle="1" w:styleId="244">
    <w:name w:val="正文文本缩进 Char"/>
    <w:link w:val="22"/>
    <w:qFormat/>
    <w:uiPriority w:val="0"/>
    <w:rPr>
      <w:rFonts w:ascii="仿宋_GB2312" w:hAnsi="Times New Roman" w:eastAsia="仿宋_GB2312" w:cs="Times New Roman"/>
      <w:sz w:val="32"/>
      <w:szCs w:val="20"/>
    </w:rPr>
  </w:style>
  <w:style w:type="character" w:customStyle="1" w:styleId="245">
    <w:name w:val="Char Char202"/>
    <w:qFormat/>
    <w:uiPriority w:val="0"/>
    <w:rPr>
      <w:rFonts w:eastAsia="宋体"/>
      <w:b/>
      <w:kern w:val="2"/>
      <w:sz w:val="24"/>
      <w:szCs w:val="24"/>
      <w:lang w:val="en-US" w:eastAsia="zh-CN" w:bidi="ar-SA"/>
    </w:rPr>
  </w:style>
  <w:style w:type="character" w:customStyle="1" w:styleId="246">
    <w:name w:val="明显引用 Char"/>
    <w:link w:val="247"/>
    <w:qFormat/>
    <w:uiPriority w:val="0"/>
    <w:rPr>
      <w:b/>
      <w:bCs/>
      <w:i/>
      <w:iCs/>
      <w:color w:val="4F81BD"/>
    </w:rPr>
  </w:style>
  <w:style w:type="paragraph" w:styleId="247">
    <w:name w:val="Intense Quote"/>
    <w:basedOn w:val="1"/>
    <w:next w:val="1"/>
    <w:link w:val="246"/>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248">
    <w:name w:val="graytext1"/>
    <w:qFormat/>
    <w:uiPriority w:val="0"/>
    <w:rPr>
      <w:color w:val="666666"/>
    </w:rPr>
  </w:style>
  <w:style w:type="character" w:customStyle="1" w:styleId="249">
    <w:name w:val="Char Char271"/>
    <w:qFormat/>
    <w:uiPriority w:val="0"/>
    <w:rPr>
      <w:rFonts w:eastAsia="宋体"/>
      <w:b/>
      <w:bCs/>
      <w:kern w:val="44"/>
      <w:sz w:val="44"/>
      <w:szCs w:val="44"/>
      <w:lang w:val="en-US" w:eastAsia="zh-CN" w:bidi="ar-SA"/>
    </w:rPr>
  </w:style>
  <w:style w:type="character" w:customStyle="1" w:styleId="250">
    <w:name w:val="文档结构图 Char"/>
    <w:link w:val="16"/>
    <w:semiHidden/>
    <w:qFormat/>
    <w:uiPriority w:val="0"/>
    <w:rPr>
      <w:rFonts w:ascii="Times New Roman" w:hAnsi="Times New Roman" w:eastAsia="宋体" w:cs="Times New Roman"/>
      <w:szCs w:val="24"/>
      <w:shd w:val="clear" w:color="auto" w:fill="000080"/>
    </w:rPr>
  </w:style>
  <w:style w:type="character" w:customStyle="1" w:styleId="251">
    <w:name w:val="style15"/>
    <w:qFormat/>
    <w:uiPriority w:val="0"/>
  </w:style>
  <w:style w:type="character" w:customStyle="1" w:styleId="252">
    <w:name w:val="Char Char441"/>
    <w:qFormat/>
    <w:uiPriority w:val="0"/>
    <w:rPr>
      <w:rFonts w:ascii="Arial" w:hAnsi="Arial" w:eastAsia="黑体" w:cs="Times New Roman"/>
      <w:b/>
      <w:bCs/>
      <w:szCs w:val="32"/>
    </w:rPr>
  </w:style>
  <w:style w:type="character" w:customStyle="1" w:styleId="253">
    <w:name w:val="style31"/>
    <w:qFormat/>
    <w:uiPriority w:val="0"/>
    <w:rPr>
      <w:sz w:val="18"/>
      <w:szCs w:val="18"/>
    </w:rPr>
  </w:style>
  <w:style w:type="character" w:customStyle="1" w:styleId="254">
    <w:name w:val="Char Char2"/>
    <w:qFormat/>
    <w:uiPriority w:val="0"/>
    <w:rPr>
      <w:rFonts w:ascii="宋体" w:hAnsi="Courier New" w:eastAsia="宋体"/>
      <w:kern w:val="2"/>
      <w:sz w:val="21"/>
      <w:szCs w:val="24"/>
      <w:lang w:val="en-US" w:eastAsia="zh-CN" w:bidi="ar-SA"/>
    </w:rPr>
  </w:style>
  <w:style w:type="character" w:customStyle="1" w:styleId="255">
    <w:name w:val="标题 3 Char"/>
    <w:qFormat/>
    <w:uiPriority w:val="0"/>
    <w:rPr>
      <w:rFonts w:ascii="Times New Roman" w:hAnsi="Times New Roman" w:eastAsia="宋体" w:cs="Times New Roman"/>
      <w:b/>
      <w:bCs/>
      <w:sz w:val="32"/>
      <w:szCs w:val="32"/>
    </w:rPr>
  </w:style>
  <w:style w:type="character" w:customStyle="1" w:styleId="256">
    <w:name w:val="font112"/>
    <w:qFormat/>
    <w:uiPriority w:val="0"/>
    <w:rPr>
      <w:rFonts w:ascii="Wingdings 2" w:hAnsi="Wingdings 2" w:eastAsia="Wingdings 2" w:cs="Wingdings 2"/>
      <w:color w:val="000000"/>
      <w:sz w:val="20"/>
      <w:szCs w:val="20"/>
      <w:u w:val="none"/>
    </w:rPr>
  </w:style>
  <w:style w:type="character" w:customStyle="1" w:styleId="257">
    <w:name w:val="Para head"/>
    <w:qFormat/>
    <w:uiPriority w:val="0"/>
    <w:rPr>
      <w:rFonts w:ascii="Arial" w:hAnsi="Arial" w:eastAsia="Times New Roman"/>
      <w:sz w:val="20"/>
    </w:rPr>
  </w:style>
  <w:style w:type="character" w:customStyle="1" w:styleId="258">
    <w:name w:val="标题 5 Char"/>
    <w:link w:val="6"/>
    <w:qFormat/>
    <w:uiPriority w:val="0"/>
    <w:rPr>
      <w:rFonts w:eastAsia="宋体"/>
      <w:b/>
      <w:sz w:val="28"/>
      <w:szCs w:val="24"/>
      <w:lang w:bidi="ar-SA"/>
    </w:rPr>
  </w:style>
  <w:style w:type="character" w:customStyle="1" w:styleId="259">
    <w:name w:val="脚注文本 Char"/>
    <w:link w:val="41"/>
    <w:qFormat/>
    <w:uiPriority w:val="0"/>
    <w:rPr>
      <w:sz w:val="18"/>
    </w:rPr>
  </w:style>
  <w:style w:type="character" w:customStyle="1" w:styleId="260">
    <w:name w:val="标题 3 Char1"/>
    <w:link w:val="4"/>
    <w:qFormat/>
    <w:uiPriority w:val="0"/>
    <w:rPr>
      <w:rFonts w:ascii="Times New Roman" w:hAnsi="Times New Roman" w:eastAsia="黑体" w:cs="Times New Roman"/>
      <w:b/>
      <w:bCs/>
      <w:szCs w:val="32"/>
    </w:rPr>
  </w:style>
  <w:style w:type="character" w:customStyle="1" w:styleId="261">
    <w:name w:val="文档结构图 Char1"/>
    <w:qFormat/>
    <w:uiPriority w:val="0"/>
    <w:rPr>
      <w:rFonts w:ascii="宋体" w:hAnsi="Times New Roman" w:eastAsia="宋体" w:cs="Times New Roman"/>
      <w:sz w:val="18"/>
      <w:szCs w:val="18"/>
    </w:rPr>
  </w:style>
  <w:style w:type="character" w:customStyle="1" w:styleId="262">
    <w:name w:val="页脚 Char1"/>
    <w:semiHidden/>
    <w:qFormat/>
    <w:uiPriority w:val="99"/>
    <w:rPr>
      <w:rFonts w:ascii="Times New Roman" w:hAnsi="Times New Roman" w:eastAsia="宋体" w:cs="Times New Roman"/>
      <w:sz w:val="18"/>
      <w:szCs w:val="18"/>
    </w:rPr>
  </w:style>
  <w:style w:type="character" w:customStyle="1" w:styleId="263">
    <w:name w:val="Char Char301"/>
    <w:qFormat/>
    <w:uiPriority w:val="0"/>
    <w:rPr>
      <w:rFonts w:ascii="Times New Roman" w:hAnsi="Times New Roman" w:eastAsia="宋体" w:cs="Times New Roman"/>
      <w:szCs w:val="24"/>
    </w:rPr>
  </w:style>
  <w:style w:type="character" w:customStyle="1" w:styleId="264">
    <w:name w:val="unnamed21"/>
    <w:qFormat/>
    <w:uiPriority w:val="0"/>
  </w:style>
  <w:style w:type="character" w:customStyle="1" w:styleId="265">
    <w:name w:val="st"/>
    <w:qFormat/>
    <w:uiPriority w:val="0"/>
  </w:style>
  <w:style w:type="character" w:customStyle="1" w:styleId="266">
    <w:name w:val="副标题 Char"/>
    <w:link w:val="39"/>
    <w:qFormat/>
    <w:uiPriority w:val="0"/>
    <w:rPr>
      <w:rFonts w:ascii="Cambria" w:hAnsi="Cambria" w:eastAsia="宋体" w:cs="Times New Roman"/>
      <w:b/>
      <w:bCs/>
      <w:kern w:val="28"/>
      <w:sz w:val="32"/>
      <w:szCs w:val="32"/>
    </w:rPr>
  </w:style>
  <w:style w:type="character" w:customStyle="1" w:styleId="267">
    <w:name w:val="1051"/>
    <w:qFormat/>
    <w:uiPriority w:val="0"/>
    <w:rPr>
      <w:sz w:val="21"/>
      <w:szCs w:val="21"/>
    </w:rPr>
  </w:style>
  <w:style w:type="character" w:customStyle="1" w:styleId="268">
    <w:name w:val="1ji Char"/>
    <w:link w:val="269"/>
    <w:qFormat/>
    <w:uiPriority w:val="0"/>
    <w:rPr>
      <w:rFonts w:ascii="宋体" w:hAnsi="宋体" w:eastAsia="宋体" w:cs="Times New Roman"/>
      <w:b/>
      <w:bCs/>
      <w:kern w:val="44"/>
      <w:sz w:val="36"/>
      <w:szCs w:val="44"/>
    </w:rPr>
  </w:style>
  <w:style w:type="paragraph" w:customStyle="1" w:styleId="269">
    <w:name w:val="1ji"/>
    <w:basedOn w:val="2"/>
    <w:link w:val="268"/>
    <w:qFormat/>
    <w:uiPriority w:val="0"/>
    <w:pPr>
      <w:keepLines w:val="0"/>
      <w:widowControl/>
      <w:spacing w:before="0" w:after="0" w:line="240" w:lineRule="auto"/>
      <w:jc w:val="center"/>
    </w:pPr>
    <w:rPr>
      <w:rFonts w:ascii="宋体" w:hAnsi="宋体"/>
      <w:sz w:val="36"/>
    </w:rPr>
  </w:style>
  <w:style w:type="character" w:customStyle="1" w:styleId="270">
    <w:name w:val="纯文本 Char1"/>
    <w:link w:val="29"/>
    <w:qFormat/>
    <w:uiPriority w:val="0"/>
    <w:rPr>
      <w:rFonts w:ascii="宋体" w:hAnsi="Courier New" w:eastAsia="宋体" w:cs="Courier New"/>
      <w:szCs w:val="21"/>
    </w:rPr>
  </w:style>
  <w:style w:type="character" w:customStyle="1" w:styleId="271">
    <w:name w:val="正文文本 Char"/>
    <w:link w:val="21"/>
    <w:qFormat/>
    <w:uiPriority w:val="0"/>
    <w:rPr>
      <w:rFonts w:ascii="Times New Roman" w:hAnsi="Times New Roman" w:eastAsia="宋体" w:cs="Times New Roman"/>
      <w:sz w:val="24"/>
      <w:szCs w:val="24"/>
    </w:rPr>
  </w:style>
  <w:style w:type="character" w:customStyle="1" w:styleId="272">
    <w:name w:val="Char Char222"/>
    <w:qFormat/>
    <w:uiPriority w:val="0"/>
    <w:rPr>
      <w:rFonts w:eastAsia="宋体"/>
      <w:b/>
      <w:kern w:val="2"/>
      <w:sz w:val="28"/>
      <w:szCs w:val="24"/>
      <w:lang w:val="en-US" w:eastAsia="zh-CN" w:bidi="ar-SA"/>
    </w:rPr>
  </w:style>
  <w:style w:type="character" w:customStyle="1" w:styleId="273">
    <w:name w:val="Char Char91"/>
    <w:qFormat/>
    <w:uiPriority w:val="0"/>
    <w:rPr>
      <w:rFonts w:eastAsia="宋体"/>
      <w:sz w:val="24"/>
      <w:lang w:bidi="ar-SA"/>
    </w:rPr>
  </w:style>
  <w:style w:type="character" w:customStyle="1" w:styleId="274">
    <w:name w:val="无间隔 Char"/>
    <w:link w:val="275"/>
    <w:qFormat/>
    <w:uiPriority w:val="1"/>
    <w:rPr>
      <w:szCs w:val="24"/>
      <w:lang w:val="en-US" w:eastAsia="zh-CN" w:bidi="ar-SA"/>
    </w:rPr>
  </w:style>
  <w:style w:type="paragraph" w:styleId="275">
    <w:name w:val="No Spacing"/>
    <w:link w:val="274"/>
    <w:qFormat/>
    <w:uiPriority w:val="1"/>
    <w:pPr>
      <w:widowControl w:val="0"/>
      <w:jc w:val="both"/>
    </w:pPr>
    <w:rPr>
      <w:rFonts w:ascii="Calibri" w:hAnsi="Calibri" w:eastAsia="宋体" w:cs="Times New Roman"/>
      <w:szCs w:val="24"/>
      <w:lang w:val="en-US" w:eastAsia="zh-CN" w:bidi="ar-SA"/>
    </w:rPr>
  </w:style>
  <w:style w:type="character" w:customStyle="1" w:styleId="276">
    <w:name w:val="062"/>
    <w:qFormat/>
    <w:uiPriority w:val="0"/>
    <w:rPr>
      <w:rFonts w:ascii="宋体" w:hAnsi="宋体"/>
      <w:b/>
      <w:bCs/>
      <w:sz w:val="32"/>
    </w:rPr>
  </w:style>
  <w:style w:type="character" w:customStyle="1" w:styleId="277">
    <w:name w:val="手改 Char Char"/>
    <w:qFormat/>
    <w:uiPriority w:val="0"/>
    <w:rPr>
      <w:rFonts w:ascii="宋体" w:eastAsia="宋体"/>
      <w:sz w:val="34"/>
      <w:lang w:val="en-US" w:eastAsia="zh-CN" w:bidi="ar-SA"/>
    </w:rPr>
  </w:style>
  <w:style w:type="character" w:customStyle="1" w:styleId="278">
    <w:name w:val="Title Char"/>
    <w:qFormat/>
    <w:uiPriority w:val="0"/>
    <w:rPr>
      <w:rFonts w:ascii="Cambria" w:hAnsi="Cambria"/>
      <w:b/>
      <w:sz w:val="32"/>
      <w:lang w:bidi="ar-SA"/>
    </w:rPr>
  </w:style>
  <w:style w:type="character" w:customStyle="1" w:styleId="279">
    <w:name w:val="正文文字首行缩进 Char"/>
    <w:qFormat/>
    <w:uiPriority w:val="0"/>
    <w:rPr>
      <w:rFonts w:ascii="仿宋_GB2312" w:eastAsia="仿宋_GB2312"/>
      <w:kern w:val="2"/>
      <w:sz w:val="32"/>
      <w:lang w:val="en-US" w:eastAsia="zh-CN" w:bidi="ar-SA"/>
    </w:rPr>
  </w:style>
  <w:style w:type="character" w:customStyle="1" w:styleId="280">
    <w:name w:val="副标题 Char1"/>
    <w:qFormat/>
    <w:uiPriority w:val="11"/>
    <w:rPr>
      <w:rFonts w:ascii="Cambria" w:hAnsi="Cambria" w:eastAsia="宋体" w:cs="Times New Roman"/>
      <w:b/>
      <w:bCs/>
      <w:kern w:val="28"/>
      <w:sz w:val="32"/>
      <w:szCs w:val="32"/>
    </w:rPr>
  </w:style>
  <w:style w:type="character" w:customStyle="1" w:styleId="281">
    <w:name w:val="标题 8 Char"/>
    <w:link w:val="10"/>
    <w:qFormat/>
    <w:uiPriority w:val="0"/>
    <w:rPr>
      <w:rFonts w:ascii="Arial" w:hAnsi="Arial" w:eastAsia="黑体"/>
      <w:sz w:val="24"/>
      <w:szCs w:val="24"/>
      <w:lang w:bidi="ar-SA"/>
    </w:rPr>
  </w:style>
  <w:style w:type="character" w:customStyle="1" w:styleId="282">
    <w:name w:val="Body Text Char"/>
    <w:qFormat/>
    <w:locked/>
    <w:uiPriority w:val="0"/>
    <w:rPr>
      <w:rFonts w:eastAsia="宋体"/>
      <w:kern w:val="2"/>
      <w:sz w:val="24"/>
      <w:szCs w:val="24"/>
      <w:lang w:val="en-US" w:eastAsia="zh-CN" w:bidi="ar-SA"/>
    </w:rPr>
  </w:style>
  <w:style w:type="character" w:customStyle="1" w:styleId="283">
    <w:name w:val="Char Char17"/>
    <w:qFormat/>
    <w:uiPriority w:val="0"/>
    <w:rPr>
      <w:rFonts w:eastAsia="黑体"/>
      <w:b/>
      <w:bCs/>
      <w:kern w:val="44"/>
      <w:sz w:val="32"/>
      <w:szCs w:val="44"/>
    </w:rPr>
  </w:style>
  <w:style w:type="character" w:customStyle="1" w:styleId="284">
    <w:name w:val="正文首行缩进 Char"/>
    <w:link w:val="56"/>
    <w:qFormat/>
    <w:uiPriority w:val="0"/>
  </w:style>
  <w:style w:type="character" w:customStyle="1" w:styleId="285">
    <w:name w:val="纯文本 字符"/>
    <w:qFormat/>
    <w:uiPriority w:val="0"/>
    <w:rPr>
      <w:rFonts w:ascii="宋体" w:hAnsi="Courier New" w:eastAsia="宋体" w:cs="Courier New"/>
      <w:szCs w:val="21"/>
    </w:rPr>
  </w:style>
  <w:style w:type="character" w:customStyle="1" w:styleId="286">
    <w:name w:val="自定义标题一 Char"/>
    <w:link w:val="287"/>
    <w:qFormat/>
    <w:uiPriority w:val="0"/>
    <w:rPr>
      <w:rFonts w:ascii="黑体" w:hAnsi="黑体" w:eastAsia="黑体"/>
      <w:b/>
      <w:bCs/>
      <w:kern w:val="44"/>
      <w:sz w:val="44"/>
      <w:szCs w:val="44"/>
      <w14:shadow w14:blurRad="50800" w14:dist="38100" w14:dir="2700000" w14:sx="100000" w14:sy="100000" w14:kx="0" w14:ky="0" w14:algn="tl">
        <w14:srgbClr w14:val="000000">
          <w14:alpha w14:val="60000"/>
        </w14:srgbClr>
      </w14:shadow>
    </w:rPr>
  </w:style>
  <w:style w:type="paragraph" w:customStyle="1" w:styleId="287">
    <w:name w:val="自定义标题一"/>
    <w:basedOn w:val="2"/>
    <w:link w:val="286"/>
    <w:qFormat/>
    <w:uiPriority w:val="0"/>
    <w:pPr>
      <w:pageBreakBefore/>
      <w:tabs>
        <w:tab w:val="left" w:pos="144"/>
      </w:tabs>
      <w:spacing w:before="0" w:after="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288">
    <w:name w:val="页脚 Char"/>
    <w:link w:val="35"/>
    <w:qFormat/>
    <w:uiPriority w:val="0"/>
    <w:rPr>
      <w:rFonts w:ascii="Times New Roman" w:hAnsi="Times New Roman" w:eastAsia="宋体" w:cs="Times New Roman"/>
      <w:sz w:val="18"/>
      <w:szCs w:val="18"/>
    </w:rPr>
  </w:style>
  <w:style w:type="character" w:customStyle="1" w:styleId="289">
    <w:name w:val="标题 7 Char"/>
    <w:link w:val="9"/>
    <w:qFormat/>
    <w:uiPriority w:val="0"/>
    <w:rPr>
      <w:rFonts w:eastAsia="宋体"/>
      <w:b/>
      <w:sz w:val="24"/>
      <w:szCs w:val="24"/>
      <w:lang w:bidi="ar-SA"/>
    </w:rPr>
  </w:style>
  <w:style w:type="character" w:customStyle="1" w:styleId="290">
    <w:name w:val="Char Char232"/>
    <w:qFormat/>
    <w:uiPriority w:val="0"/>
    <w:rPr>
      <w:rFonts w:eastAsia="宋体"/>
      <w:b/>
      <w:bCs/>
      <w:kern w:val="44"/>
      <w:sz w:val="32"/>
      <w:szCs w:val="44"/>
      <w:lang w:val="en-US" w:eastAsia="zh-CN" w:bidi="ar-SA"/>
    </w:rPr>
  </w:style>
  <w:style w:type="character" w:customStyle="1" w:styleId="291">
    <w:name w:val="style51"/>
    <w:qFormat/>
    <w:uiPriority w:val="0"/>
  </w:style>
  <w:style w:type="character" w:customStyle="1" w:styleId="292">
    <w:name w:val="Char Char172"/>
    <w:qFormat/>
    <w:uiPriority w:val="0"/>
    <w:rPr>
      <w:rFonts w:eastAsia="黑体"/>
      <w:b/>
      <w:bCs/>
      <w:kern w:val="44"/>
      <w:sz w:val="32"/>
      <w:szCs w:val="44"/>
    </w:rPr>
  </w:style>
  <w:style w:type="character" w:customStyle="1" w:styleId="293">
    <w:name w:val="正文首行缩进 2 Char"/>
    <w:link w:val="57"/>
    <w:qFormat/>
    <w:uiPriority w:val="0"/>
    <w:rPr>
      <w:rFonts w:ascii="Times New Roman" w:hAnsi="Times New Roman" w:eastAsia="宋体" w:cs="Times New Roman"/>
      <w:sz w:val="32"/>
      <w:szCs w:val="24"/>
    </w:rPr>
  </w:style>
  <w:style w:type="character" w:customStyle="1" w:styleId="294">
    <w:name w:val="Char Char192"/>
    <w:qFormat/>
    <w:uiPriority w:val="0"/>
    <w:rPr>
      <w:rFonts w:ascii="Arial" w:hAnsi="Arial" w:eastAsia="黑体"/>
      <w:kern w:val="2"/>
      <w:sz w:val="24"/>
      <w:szCs w:val="24"/>
      <w:lang w:val="en-US" w:eastAsia="zh-CN" w:bidi="ar-SA"/>
    </w:rPr>
  </w:style>
  <w:style w:type="character" w:customStyle="1" w:styleId="295">
    <w:name w:val="apple-converted-space"/>
    <w:qFormat/>
    <w:uiPriority w:val="0"/>
  </w:style>
  <w:style w:type="character" w:customStyle="1" w:styleId="296">
    <w:name w:val="font131"/>
    <w:qFormat/>
    <w:uiPriority w:val="0"/>
    <w:rPr>
      <w:rFonts w:hint="eastAsia" w:ascii="宋体" w:hAnsi="宋体" w:eastAsia="宋体" w:cs="宋体"/>
      <w:color w:val="000000"/>
      <w:sz w:val="20"/>
      <w:szCs w:val="20"/>
      <w:u w:val="none"/>
      <w:vertAlign w:val="superscript"/>
    </w:rPr>
  </w:style>
  <w:style w:type="character" w:customStyle="1" w:styleId="297">
    <w:name w:val="正文文本首行缩进 2 字符"/>
    <w:link w:val="298"/>
    <w:qFormat/>
    <w:uiPriority w:val="0"/>
    <w:rPr>
      <w:rFonts w:ascii="Times New Roman" w:hAnsi="Times New Roman" w:eastAsia="宋体" w:cs="Times New Roman"/>
      <w:sz w:val="32"/>
      <w:szCs w:val="24"/>
    </w:rPr>
  </w:style>
  <w:style w:type="paragraph" w:customStyle="1" w:styleId="298">
    <w:name w:val="_Style 285"/>
    <w:basedOn w:val="22"/>
    <w:next w:val="57"/>
    <w:link w:val="297"/>
    <w:qFormat/>
    <w:uiPriority w:val="0"/>
    <w:pPr>
      <w:spacing w:after="120"/>
      <w:ind w:left="420" w:leftChars="200" w:firstLine="420" w:firstLineChars="200"/>
    </w:pPr>
    <w:rPr>
      <w:rFonts w:ascii="Times New Roman" w:eastAsia="宋体"/>
      <w:szCs w:val="24"/>
    </w:rPr>
  </w:style>
  <w:style w:type="character" w:customStyle="1" w:styleId="299">
    <w:name w:val="正文文本 字符1"/>
    <w:qFormat/>
    <w:uiPriority w:val="99"/>
    <w:rPr>
      <w:rFonts w:ascii="Times New Roman" w:hAnsi="Times New Roman" w:eastAsia="宋体" w:cs="Times New Roman"/>
      <w:sz w:val="24"/>
      <w:szCs w:val="24"/>
    </w:rPr>
  </w:style>
  <w:style w:type="paragraph" w:customStyle="1" w:styleId="300">
    <w:name w:val="表格文字1121"/>
    <w:basedOn w:val="1"/>
    <w:qFormat/>
    <w:uiPriority w:val="0"/>
    <w:rPr>
      <w:bCs/>
      <w:spacing w:val="10"/>
      <w:kern w:val="0"/>
    </w:rPr>
  </w:style>
  <w:style w:type="paragraph" w:customStyle="1" w:styleId="301">
    <w:name w:val="Char"/>
    <w:basedOn w:val="16"/>
    <w:qFormat/>
    <w:uiPriority w:val="0"/>
    <w:pPr>
      <w:widowControl/>
      <w:ind w:firstLine="454"/>
      <w:jc w:val="left"/>
    </w:pPr>
    <w:rPr>
      <w:rFonts w:ascii="Tahoma" w:hAnsi="Tahoma" w:cs="宋体"/>
      <w:sz w:val="24"/>
      <w:szCs w:val="20"/>
    </w:rPr>
  </w:style>
  <w:style w:type="paragraph" w:customStyle="1" w:styleId="302">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303">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304">
    <w:name w:val="表格文字1151"/>
    <w:basedOn w:val="1"/>
    <w:qFormat/>
    <w:uiPriority w:val="0"/>
    <w:pPr>
      <w:spacing w:before="25" w:after="25"/>
      <w:jc w:val="left"/>
    </w:pPr>
    <w:rPr>
      <w:bCs/>
      <w:spacing w:val="10"/>
      <w:kern w:val="0"/>
      <w:sz w:val="24"/>
    </w:rPr>
  </w:style>
  <w:style w:type="paragraph" w:customStyle="1" w:styleId="305">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306">
    <w:name w:val="默认段落字体 Para Char Char Char Char Char Char Char Char Char1 Char Char Char Char"/>
    <w:basedOn w:val="1"/>
    <w:qFormat/>
    <w:uiPriority w:val="0"/>
    <w:rPr>
      <w:rFonts w:ascii="Tahoma" w:hAnsi="Tahoma"/>
      <w:sz w:val="24"/>
      <w:szCs w:val="20"/>
    </w:rPr>
  </w:style>
  <w:style w:type="paragraph" w:customStyle="1" w:styleId="307">
    <w:name w:val="五号正文（标准）"/>
    <w:basedOn w:val="1"/>
    <w:qFormat/>
    <w:uiPriority w:val="0"/>
    <w:pPr>
      <w:spacing w:line="360" w:lineRule="auto"/>
      <w:ind w:right="55" w:firstLine="560" w:firstLineChars="200"/>
    </w:pPr>
    <w:rPr>
      <w:rFonts w:eastAsia="仿宋_GB2312"/>
      <w:sz w:val="28"/>
      <w:szCs w:val="20"/>
    </w:rPr>
  </w:style>
  <w:style w:type="paragraph" w:customStyle="1" w:styleId="308">
    <w:name w:val="Char Char Char Char Char Char111"/>
    <w:basedOn w:val="1"/>
    <w:qFormat/>
    <w:uiPriority w:val="0"/>
    <w:pPr>
      <w:widowControl/>
      <w:spacing w:after="160" w:line="240" w:lineRule="exact"/>
    </w:pPr>
    <w:rPr>
      <w:rFonts w:ascii="Arial" w:hAnsi="Arial" w:eastAsia="Times New Roman"/>
      <w:b/>
      <w:kern w:val="0"/>
      <w:szCs w:val="20"/>
      <w:lang w:eastAsia="en-US"/>
    </w:rPr>
  </w:style>
  <w:style w:type="paragraph" w:customStyle="1" w:styleId="309">
    <w:name w:val="标题1"/>
    <w:basedOn w:val="2"/>
    <w:qFormat/>
    <w:uiPriority w:val="0"/>
    <w:pPr>
      <w:keepLines w:val="0"/>
      <w:widowControl/>
      <w:pBdr>
        <w:bottom w:val="single" w:color="auto" w:sz="8" w:space="6"/>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310">
    <w:name w:val="表格文字1152"/>
    <w:basedOn w:val="1"/>
    <w:qFormat/>
    <w:uiPriority w:val="0"/>
    <w:pPr>
      <w:spacing w:before="25" w:after="25"/>
      <w:jc w:val="left"/>
    </w:pPr>
    <w:rPr>
      <w:bCs/>
      <w:spacing w:val="10"/>
      <w:kern w:val="0"/>
      <w:sz w:val="24"/>
    </w:rPr>
  </w:style>
  <w:style w:type="paragraph" w:customStyle="1" w:styleId="311">
    <w:name w:val="表格表头"/>
    <w:next w:val="1"/>
    <w:qFormat/>
    <w:uiPriority w:val="0"/>
    <w:pPr>
      <w:jc w:val="center"/>
    </w:pPr>
    <w:rPr>
      <w:rFonts w:ascii="Calibri" w:hAnsi="Calibri" w:eastAsia="方正书宋简体" w:cs="Times New Roman"/>
      <w:w w:val="90"/>
      <w:kern w:val="2"/>
      <w:sz w:val="32"/>
      <w:szCs w:val="32"/>
      <w:lang w:val="en-US" w:eastAsia="zh-CN" w:bidi="ar-SA"/>
    </w:rPr>
  </w:style>
  <w:style w:type="paragraph" w:customStyle="1" w:styleId="31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13">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314">
    <w:name w:val="Char Char1 Char Char Char Char1"/>
    <w:basedOn w:val="16"/>
    <w:qFormat/>
    <w:uiPriority w:val="0"/>
    <w:rPr>
      <w:rFonts w:ascii="Tahoma" w:hAnsi="Tahoma"/>
      <w:sz w:val="24"/>
    </w:rPr>
  </w:style>
  <w:style w:type="paragraph" w:customStyle="1" w:styleId="315">
    <w:name w:val="表格文字11211"/>
    <w:basedOn w:val="1"/>
    <w:qFormat/>
    <w:uiPriority w:val="0"/>
    <w:pPr>
      <w:spacing w:before="25" w:after="25"/>
      <w:jc w:val="left"/>
    </w:pPr>
    <w:rPr>
      <w:bCs/>
      <w:spacing w:val="10"/>
      <w:kern w:val="0"/>
      <w:sz w:val="24"/>
    </w:rPr>
  </w:style>
  <w:style w:type="paragraph" w:customStyle="1" w:styleId="316">
    <w:name w:val="Char Char Char Char Char Char Char Char Char Char Char Char Char"/>
    <w:basedOn w:val="16"/>
    <w:qFormat/>
    <w:uiPriority w:val="0"/>
    <w:rPr>
      <w:rFonts w:ascii="Tahoma" w:hAnsi="Tahoma"/>
      <w:kern w:val="2"/>
      <w:sz w:val="24"/>
    </w:rPr>
  </w:style>
  <w:style w:type="paragraph" w:customStyle="1" w:styleId="317">
    <w:name w:val="默认段落字体 Para Char Char Char Char Char Char Char Char Char Char"/>
    <w:basedOn w:val="1"/>
    <w:qFormat/>
    <w:uiPriority w:val="0"/>
    <w:rPr>
      <w:kern w:val="0"/>
      <w:szCs w:val="20"/>
    </w:rPr>
  </w:style>
  <w:style w:type="paragraph" w:customStyle="1" w:styleId="318">
    <w:name w:val="Char Char Char Char Char Char Char1"/>
    <w:basedOn w:val="1"/>
    <w:qFormat/>
    <w:uiPriority w:val="0"/>
  </w:style>
  <w:style w:type="paragraph" w:customStyle="1" w:styleId="319">
    <w:name w:val="Char Char Char Char Char Char211"/>
    <w:basedOn w:val="1"/>
    <w:qFormat/>
    <w:uiPriority w:val="0"/>
    <w:pPr>
      <w:widowControl/>
      <w:spacing w:after="160" w:line="240" w:lineRule="exact"/>
    </w:pPr>
    <w:rPr>
      <w:rFonts w:ascii="Arial" w:hAnsi="Arial"/>
      <w:b/>
      <w:kern w:val="0"/>
      <w:szCs w:val="20"/>
      <w:lang w:eastAsia="en-US"/>
    </w:rPr>
  </w:style>
  <w:style w:type="paragraph" w:customStyle="1" w:styleId="320">
    <w:name w:val="xl8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21">
    <w:name w:val="表格文字1"/>
    <w:basedOn w:val="1"/>
    <w:qFormat/>
    <w:uiPriority w:val="0"/>
    <w:pPr>
      <w:spacing w:before="25" w:after="25"/>
      <w:jc w:val="left"/>
    </w:pPr>
    <w:rPr>
      <w:bCs/>
      <w:spacing w:val="10"/>
      <w:kern w:val="0"/>
      <w:sz w:val="24"/>
    </w:rPr>
  </w:style>
  <w:style w:type="paragraph" w:customStyle="1" w:styleId="32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323">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24">
    <w:name w:val="Char Char Char"/>
    <w:basedOn w:val="16"/>
    <w:qFormat/>
    <w:uiPriority w:val="0"/>
    <w:rPr>
      <w:rFonts w:ascii="Tahoma" w:hAnsi="Tahoma"/>
      <w:kern w:val="2"/>
      <w:sz w:val="24"/>
    </w:rPr>
  </w:style>
  <w:style w:type="paragraph" w:customStyle="1" w:styleId="32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326">
    <w:name w:val="F2"/>
    <w:basedOn w:val="1"/>
    <w:qFormat/>
    <w:uiPriority w:val="0"/>
    <w:pPr>
      <w:autoSpaceDE w:val="0"/>
      <w:autoSpaceDN w:val="0"/>
      <w:adjustRightInd w:val="0"/>
      <w:ind w:firstLine="601"/>
      <w:textAlignment w:val="baseline"/>
    </w:pPr>
    <w:rPr>
      <w:kern w:val="0"/>
      <w:sz w:val="24"/>
      <w:szCs w:val="20"/>
    </w:rPr>
  </w:style>
  <w:style w:type="paragraph" w:customStyle="1" w:styleId="327">
    <w:name w:val="Char Char Char Char Char Char1 Char1"/>
    <w:basedOn w:val="16"/>
    <w:qFormat/>
    <w:uiPriority w:val="0"/>
    <w:rPr>
      <w:rFonts w:ascii="Tahoma" w:hAnsi="Tahoma"/>
      <w:sz w:val="24"/>
    </w:rPr>
  </w:style>
  <w:style w:type="paragraph" w:customStyle="1" w:styleId="328">
    <w:name w:val="目录"/>
    <w:basedOn w:val="1"/>
    <w:qFormat/>
    <w:uiPriority w:val="0"/>
    <w:pPr>
      <w:widowControl/>
      <w:jc w:val="center"/>
    </w:pPr>
    <w:rPr>
      <w:rFonts w:ascii="宋体"/>
      <w:b/>
      <w:kern w:val="0"/>
      <w:sz w:val="36"/>
      <w:szCs w:val="20"/>
    </w:rPr>
  </w:style>
  <w:style w:type="paragraph" w:customStyle="1" w:styleId="329">
    <w:name w:val="表格文字112"/>
    <w:basedOn w:val="1"/>
    <w:qFormat/>
    <w:uiPriority w:val="0"/>
    <w:rPr>
      <w:bCs/>
      <w:spacing w:val="10"/>
      <w:kern w:val="0"/>
    </w:rPr>
  </w:style>
  <w:style w:type="paragraph" w:customStyle="1" w:styleId="33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331">
    <w:name w:val="List Paragraph1"/>
    <w:basedOn w:val="1"/>
    <w:qFormat/>
    <w:uiPriority w:val="0"/>
    <w:pPr>
      <w:ind w:firstLine="420" w:firstLineChars="200"/>
    </w:pPr>
    <w:rPr>
      <w:szCs w:val="22"/>
    </w:rPr>
  </w:style>
  <w:style w:type="paragraph" w:customStyle="1" w:styleId="332">
    <w:name w:val="Main_heading"/>
    <w:basedOn w:val="1"/>
    <w:next w:val="1"/>
    <w:qFormat/>
    <w:uiPriority w:val="0"/>
    <w:pPr>
      <w:widowControl/>
      <w:spacing w:before="240" w:after="240" w:line="240" w:lineRule="atLeast"/>
      <w:jc w:val="left"/>
    </w:pPr>
    <w:rPr>
      <w:rFonts w:eastAsia="MS Mincho"/>
      <w:b/>
      <w:kern w:val="0"/>
      <w:sz w:val="28"/>
      <w:szCs w:val="20"/>
      <w:lang w:eastAsia="ja-JP"/>
    </w:rPr>
  </w:style>
  <w:style w:type="paragraph" w:customStyle="1" w:styleId="333">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34">
    <w:name w:val="表格文字1122"/>
    <w:basedOn w:val="1"/>
    <w:qFormat/>
    <w:uiPriority w:val="0"/>
    <w:rPr>
      <w:bCs/>
      <w:spacing w:val="10"/>
      <w:kern w:val="0"/>
    </w:rPr>
  </w:style>
  <w:style w:type="paragraph" w:customStyle="1" w:styleId="335">
    <w:name w:val="表格"/>
    <w:basedOn w:val="1"/>
    <w:qFormat/>
    <w:uiPriority w:val="0"/>
    <w:pPr>
      <w:spacing w:line="400" w:lineRule="exact"/>
    </w:pPr>
    <w:rPr>
      <w:sz w:val="24"/>
    </w:rPr>
  </w:style>
  <w:style w:type="paragraph" w:customStyle="1" w:styleId="336">
    <w:name w:val="Char Char4 Char Char Char Char"/>
    <w:basedOn w:val="1"/>
    <w:qFormat/>
    <w:uiPriority w:val="0"/>
    <w:pPr>
      <w:widowControl/>
      <w:spacing w:after="160" w:line="240" w:lineRule="exact"/>
      <w:jc w:val="left"/>
    </w:pPr>
  </w:style>
  <w:style w:type="paragraph" w:customStyle="1" w:styleId="337">
    <w:name w:val="目录3"/>
    <w:basedOn w:val="1"/>
    <w:next w:val="1"/>
    <w:qFormat/>
    <w:uiPriority w:val="0"/>
    <w:pPr>
      <w:widowControl/>
      <w:tabs>
        <w:tab w:val="left" w:leader="dot" w:pos="8503"/>
      </w:tabs>
      <w:spacing w:line="317" w:lineRule="atLeast"/>
      <w:ind w:firstLine="419"/>
      <w:textAlignment w:val="baseline"/>
    </w:pPr>
    <w:rPr>
      <w:color w:val="000000"/>
      <w:kern w:val="0"/>
      <w:szCs w:val="20"/>
      <w:u w:color="000000"/>
    </w:rPr>
  </w:style>
  <w:style w:type="paragraph" w:customStyle="1" w:styleId="338">
    <w:name w:val="列出段落1"/>
    <w:basedOn w:val="1"/>
    <w:qFormat/>
    <w:uiPriority w:val="0"/>
    <w:pPr>
      <w:ind w:firstLine="420" w:firstLineChars="200"/>
    </w:pPr>
    <w:rPr>
      <w:szCs w:val="22"/>
    </w:rPr>
  </w:style>
  <w:style w:type="paragraph" w:customStyle="1" w:styleId="33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340">
    <w:name w:val="Char Char4 Char Char Char Char1"/>
    <w:basedOn w:val="1"/>
    <w:qFormat/>
    <w:uiPriority w:val="0"/>
    <w:pPr>
      <w:widowControl/>
      <w:spacing w:after="160" w:line="240" w:lineRule="exact"/>
      <w:jc w:val="left"/>
    </w:pPr>
  </w:style>
  <w:style w:type="paragraph" w:customStyle="1" w:styleId="3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43">
    <w:name w:val="正文段"/>
    <w:basedOn w:val="1"/>
    <w:qFormat/>
    <w:uiPriority w:val="0"/>
    <w:pPr>
      <w:widowControl/>
      <w:snapToGrid w:val="0"/>
      <w:spacing w:afterLines="50"/>
      <w:ind w:firstLine="200" w:firstLineChars="200"/>
    </w:pPr>
    <w:rPr>
      <w:kern w:val="0"/>
      <w:sz w:val="24"/>
      <w:szCs w:val="20"/>
    </w:rPr>
  </w:style>
  <w:style w:type="paragraph" w:customStyle="1" w:styleId="344">
    <w:name w:val="Char Char Char Char Char Char242"/>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345">
    <w:name w:val="_Style 5"/>
    <w:basedOn w:val="1"/>
    <w:qFormat/>
    <w:uiPriority w:val="0"/>
    <w:pPr>
      <w:spacing w:afterLines="25"/>
    </w:pPr>
    <w:rPr>
      <w:rFonts w:ascii="Arial" w:hAnsi="Arial"/>
    </w:rPr>
  </w:style>
  <w:style w:type="paragraph" w:customStyle="1" w:styleId="346">
    <w:name w:val="TOC Heading"/>
    <w:basedOn w:val="2"/>
    <w:next w:val="1"/>
    <w:qFormat/>
    <w:uiPriority w:val="0"/>
    <w:pPr>
      <w:spacing w:line="576" w:lineRule="auto"/>
      <w:outlineLvl w:val="9"/>
    </w:pPr>
    <w:rPr>
      <w:rFonts w:ascii="Calibri" w:hAnsi="Calibri" w:eastAsia="黑体"/>
    </w:rPr>
  </w:style>
  <w:style w:type="paragraph" w:customStyle="1" w:styleId="347">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48">
    <w:name w:val="Char Char Char Char Char Char512"/>
    <w:basedOn w:val="1"/>
    <w:qFormat/>
    <w:uiPriority w:val="0"/>
    <w:pPr>
      <w:widowControl/>
      <w:spacing w:after="160" w:line="240" w:lineRule="exact"/>
      <w:jc w:val="left"/>
    </w:pPr>
    <w:rPr>
      <w:rFonts w:ascii="Arial" w:hAnsi="Arial"/>
      <w:b/>
      <w:kern w:val="0"/>
      <w:sz w:val="24"/>
      <w:szCs w:val="20"/>
      <w:lang w:eastAsia="en-US"/>
    </w:rPr>
  </w:style>
  <w:style w:type="paragraph" w:customStyle="1" w:styleId="349">
    <w:name w:val="列表段落1"/>
    <w:basedOn w:val="1"/>
    <w:qFormat/>
    <w:uiPriority w:val="34"/>
    <w:pPr>
      <w:ind w:firstLine="420" w:firstLineChars="200"/>
    </w:pPr>
    <w:rPr>
      <w:szCs w:val="22"/>
    </w:rPr>
  </w:style>
  <w:style w:type="paragraph" w:customStyle="1" w:styleId="350">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351">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35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styleId="353">
    <w:name w:val="List Paragraph"/>
    <w:basedOn w:val="1"/>
    <w:qFormat/>
    <w:uiPriority w:val="34"/>
    <w:pPr>
      <w:spacing w:line="360" w:lineRule="auto"/>
      <w:ind w:firstLine="420" w:firstLineChars="200"/>
    </w:pPr>
    <w:rPr>
      <w:sz w:val="28"/>
    </w:rPr>
  </w:style>
  <w:style w:type="paragraph" w:customStyle="1" w:styleId="354">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355">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356">
    <w:name w:val="菲页(卷)"/>
    <w:basedOn w:val="2"/>
    <w:next w:val="303"/>
    <w:qFormat/>
    <w:uiPriority w:val="0"/>
    <w:pPr>
      <w:keepLines w:val="0"/>
      <w:widowControl/>
      <w:tabs>
        <w:tab w:val="left" w:pos="900"/>
      </w:tabs>
      <w:spacing w:before="0" w:after="0" w:line="240" w:lineRule="auto"/>
      <w:ind w:left="900" w:hanging="360"/>
      <w:jc w:val="center"/>
      <w:outlineLvl w:val="1"/>
    </w:pPr>
    <w:rPr>
      <w:rFonts w:ascii="黑体" w:eastAsia="黑体"/>
      <w:b w:val="0"/>
      <w:bCs w:val="0"/>
      <w:kern w:val="0"/>
      <w:sz w:val="52"/>
      <w:szCs w:val="20"/>
    </w:rPr>
  </w:style>
  <w:style w:type="paragraph" w:customStyle="1" w:styleId="357">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358">
    <w:name w:val="Char Char Char Char Char Char Char Char Char1 Char1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359">
    <w:name w:val="Revision"/>
    <w:qFormat/>
    <w:uiPriority w:val="99"/>
    <w:rPr>
      <w:rFonts w:ascii="Calibri" w:hAnsi="Calibri" w:eastAsia="宋体" w:cs="Times New Roman"/>
      <w:kern w:val="2"/>
      <w:sz w:val="21"/>
      <w:szCs w:val="24"/>
      <w:lang w:val="en-US" w:eastAsia="zh-CN" w:bidi="ar-SA"/>
    </w:rPr>
  </w:style>
  <w:style w:type="paragraph" w:customStyle="1" w:styleId="360">
    <w:name w:val="表内文字"/>
    <w:basedOn w:val="1"/>
    <w:qFormat/>
    <w:uiPriority w:val="0"/>
    <w:pPr>
      <w:snapToGrid w:val="0"/>
      <w:spacing w:line="320" w:lineRule="exact"/>
      <w:ind w:firstLine="452" w:firstLineChars="150"/>
    </w:pPr>
    <w:rPr>
      <w:rFonts w:ascii="宋体" w:hAnsi="宋体"/>
      <w:b/>
      <w:sz w:val="30"/>
      <w:szCs w:val="30"/>
    </w:rPr>
  </w:style>
  <w:style w:type="paragraph" w:customStyle="1" w:styleId="36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6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63">
    <w:name w:val="Char Char Char Char Char Char2423"/>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364">
    <w:name w:val="tgt1"/>
    <w:basedOn w:val="1"/>
    <w:qFormat/>
    <w:uiPriority w:val="0"/>
    <w:pPr>
      <w:widowControl/>
      <w:spacing w:after="150"/>
      <w:jc w:val="left"/>
    </w:pPr>
    <w:rPr>
      <w:rFonts w:ascii="宋体" w:hAnsi="宋体" w:cs="宋体"/>
      <w:kern w:val="0"/>
      <w:sz w:val="24"/>
    </w:rPr>
  </w:style>
  <w:style w:type="paragraph" w:customStyle="1" w:styleId="365">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66">
    <w:name w:val="表格文字113"/>
    <w:basedOn w:val="1"/>
    <w:qFormat/>
    <w:uiPriority w:val="0"/>
    <w:pPr>
      <w:jc w:val="left"/>
    </w:pPr>
    <w:rPr>
      <w:bCs/>
      <w:spacing w:val="10"/>
      <w:kern w:val="0"/>
    </w:rPr>
  </w:style>
  <w:style w:type="paragraph" w:customStyle="1" w:styleId="367">
    <w:name w:val="cn"/>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368">
    <w:name w:val="Char Char Char Char Char Char4"/>
    <w:basedOn w:val="1"/>
    <w:qFormat/>
    <w:uiPriority w:val="0"/>
    <w:pPr>
      <w:widowControl/>
      <w:spacing w:after="160" w:line="240" w:lineRule="exact"/>
      <w:jc w:val="left"/>
    </w:pPr>
    <w:rPr>
      <w:rFonts w:ascii="Arial" w:hAnsi="Arial"/>
      <w:b/>
      <w:kern w:val="0"/>
      <w:sz w:val="24"/>
      <w:szCs w:val="20"/>
      <w:lang w:eastAsia="en-US"/>
    </w:rPr>
  </w:style>
  <w:style w:type="paragraph" w:customStyle="1" w:styleId="369">
    <w:name w:val="xl7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70">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372">
    <w:name w:val="Char Char1 Char Char Char Char"/>
    <w:basedOn w:val="16"/>
    <w:qFormat/>
    <w:uiPriority w:val="0"/>
    <w:rPr>
      <w:rFonts w:ascii="Tahoma" w:hAnsi="Tahoma"/>
      <w:sz w:val="24"/>
    </w:rPr>
  </w:style>
  <w:style w:type="paragraph" w:customStyle="1" w:styleId="373">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4">
    <w:name w:val="Char Char Char Char Char Char2112"/>
    <w:basedOn w:val="1"/>
    <w:qFormat/>
    <w:uiPriority w:val="0"/>
    <w:pPr>
      <w:widowControl/>
      <w:spacing w:after="160" w:line="240" w:lineRule="exact"/>
    </w:pPr>
    <w:rPr>
      <w:rFonts w:ascii="Arial" w:hAnsi="Arial"/>
      <w:b/>
      <w:kern w:val="0"/>
      <w:szCs w:val="20"/>
      <w:lang w:eastAsia="en-US"/>
    </w:rPr>
  </w:style>
  <w:style w:type="paragraph" w:customStyle="1" w:styleId="375">
    <w:name w:val="表格题注"/>
    <w:next w:val="1"/>
    <w:qFormat/>
    <w:uiPriority w:val="0"/>
    <w:pPr>
      <w:keepLines/>
      <w:spacing w:beforeLines="100"/>
      <w:ind w:left="1089" w:hanging="369"/>
      <w:jc w:val="center"/>
    </w:pPr>
    <w:rPr>
      <w:rFonts w:ascii="Arial" w:hAnsi="Arial" w:eastAsia="宋体" w:cs="Times New Roman"/>
      <w:sz w:val="18"/>
      <w:szCs w:val="18"/>
      <w:lang w:val="en-US" w:eastAsia="zh-CN" w:bidi="ar-SA"/>
    </w:rPr>
  </w:style>
  <w:style w:type="paragraph" w:customStyle="1" w:styleId="376">
    <w:name w:val="文章附标题"/>
    <w:basedOn w:val="1"/>
    <w:next w:val="2"/>
    <w:qFormat/>
    <w:uiPriority w:val="0"/>
    <w:pPr>
      <w:widowControl/>
      <w:spacing w:before="187" w:after="175" w:line="374" w:lineRule="atLeast"/>
      <w:jc w:val="center"/>
      <w:textAlignment w:val="baseline"/>
    </w:pPr>
    <w:rPr>
      <w:color w:val="000000"/>
      <w:kern w:val="0"/>
      <w:sz w:val="36"/>
      <w:szCs w:val="20"/>
      <w:u w:color="000000"/>
    </w:rPr>
  </w:style>
  <w:style w:type="paragraph" w:customStyle="1" w:styleId="377">
    <w:name w:val="样式3"/>
    <w:basedOn w:val="21"/>
    <w:qFormat/>
    <w:uiPriority w:val="0"/>
    <w:pPr>
      <w:spacing w:after="120" w:line="360" w:lineRule="auto"/>
    </w:pPr>
    <w:rPr>
      <w:rFonts w:ascii="宋体"/>
      <w:sz w:val="21"/>
    </w:rPr>
  </w:style>
  <w:style w:type="paragraph" w:customStyle="1" w:styleId="378">
    <w:name w:val="样式 正文缩进 + 首行缩进:  2 字符 段前: 0.5 行"/>
    <w:basedOn w:val="1"/>
    <w:qFormat/>
    <w:uiPriority w:val="0"/>
    <w:pPr>
      <w:spacing w:beforeLines="50" w:line="300" w:lineRule="auto"/>
      <w:ind w:firstLine="480" w:firstLineChars="200"/>
    </w:pPr>
    <w:rPr>
      <w:rFonts w:cs="宋体"/>
      <w:szCs w:val="20"/>
    </w:rPr>
  </w:style>
  <w:style w:type="paragraph" w:customStyle="1" w:styleId="379">
    <w:name w:val="Char Char Char Char Char Char2422"/>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380">
    <w:name w:val="bb"/>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81">
    <w:name w:val="reader-word-layer reader-word-s1-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2">
    <w:name w:val="_Style 35"/>
    <w:basedOn w:val="16"/>
    <w:qFormat/>
    <w:uiPriority w:val="0"/>
    <w:pPr>
      <w:widowControl/>
      <w:ind w:firstLine="454"/>
      <w:jc w:val="left"/>
    </w:pPr>
  </w:style>
  <w:style w:type="paragraph" w:customStyle="1" w:styleId="38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384">
    <w:name w:val="目录2"/>
    <w:basedOn w:val="1"/>
    <w:next w:val="1"/>
    <w:qFormat/>
    <w:uiPriority w:val="0"/>
    <w:pPr>
      <w:widowControl/>
      <w:tabs>
        <w:tab w:val="left" w:leader="dot" w:pos="8503"/>
      </w:tabs>
      <w:spacing w:line="317" w:lineRule="atLeast"/>
      <w:ind w:firstLine="209"/>
      <w:textAlignment w:val="baseline"/>
    </w:pPr>
    <w:rPr>
      <w:color w:val="000000"/>
      <w:kern w:val="0"/>
      <w:szCs w:val="20"/>
      <w:u w:color="000000"/>
    </w:rPr>
  </w:style>
  <w:style w:type="paragraph" w:customStyle="1" w:styleId="385">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386">
    <w:name w:val="样式 标题 3 + (中文) 黑体 小四 非加粗 段前: 7.8 磅 段后: 0 磅 行距: 固定值 20 磅"/>
    <w:basedOn w:val="4"/>
    <w:qFormat/>
    <w:uiPriority w:val="0"/>
    <w:pPr>
      <w:spacing w:line="400" w:lineRule="exact"/>
    </w:pPr>
    <w:rPr>
      <w:rFonts w:cs="宋体"/>
      <w:b w:val="0"/>
      <w:bCs w:val="0"/>
      <w:szCs w:val="20"/>
    </w:rPr>
  </w:style>
  <w:style w:type="paragraph" w:customStyle="1" w:styleId="387">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388">
    <w:name w:val="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9">
    <w:name w:val="Char Char1 Char Char Char Char2"/>
    <w:basedOn w:val="16"/>
    <w:qFormat/>
    <w:uiPriority w:val="0"/>
    <w:rPr>
      <w:rFonts w:ascii="Tahoma" w:hAnsi="Tahoma"/>
      <w:kern w:val="2"/>
      <w:sz w:val="24"/>
    </w:rPr>
  </w:style>
  <w:style w:type="paragraph" w:customStyle="1" w:styleId="390">
    <w:name w:val="样式 标题 2 + (西文) 宋体 非加粗 居中"/>
    <w:basedOn w:val="3"/>
    <w:qFormat/>
    <w:uiPriority w:val="0"/>
    <w:pPr>
      <w:spacing w:before="260" w:after="260" w:line="416" w:lineRule="auto"/>
      <w:jc w:val="center"/>
    </w:pPr>
    <w:rPr>
      <w:rFonts w:ascii="宋体" w:hAnsi="宋体" w:cs="宋体"/>
      <w:b w:val="0"/>
      <w:bCs w:val="0"/>
      <w:spacing w:val="2"/>
      <w:sz w:val="28"/>
      <w:szCs w:val="20"/>
    </w:rPr>
  </w:style>
  <w:style w:type="paragraph" w:customStyle="1" w:styleId="39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39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93">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394">
    <w:name w:val="Char Char Char Char Char Char Char"/>
    <w:basedOn w:val="1"/>
    <w:qFormat/>
    <w:uiPriority w:val="0"/>
    <w:pPr>
      <w:widowControl/>
      <w:spacing w:after="160" w:line="240" w:lineRule="exact"/>
      <w:jc w:val="left"/>
    </w:pPr>
  </w:style>
  <w:style w:type="paragraph" w:customStyle="1" w:styleId="39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39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39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398">
    <w:name w:val="表格文字111"/>
    <w:basedOn w:val="1"/>
    <w:qFormat/>
    <w:uiPriority w:val="0"/>
    <w:pPr>
      <w:jc w:val="left"/>
    </w:pPr>
    <w:rPr>
      <w:bCs/>
      <w:spacing w:val="10"/>
      <w:kern w:val="0"/>
    </w:rPr>
  </w:style>
  <w:style w:type="paragraph" w:customStyle="1" w:styleId="399">
    <w:name w:val="4"/>
    <w:basedOn w:val="5"/>
    <w:next w:val="311"/>
    <w:qFormat/>
    <w:uiPriority w:val="0"/>
    <w:pPr>
      <w:tabs>
        <w:tab w:val="left" w:pos="1575"/>
      </w:tabs>
      <w:spacing w:before="60" w:after="60" w:line="300" w:lineRule="auto"/>
    </w:pPr>
    <w:rPr>
      <w:rFonts w:ascii="Times New Roman" w:hAnsi="Times New Roman"/>
      <w:b w:val="0"/>
      <w:bCs w:val="0"/>
      <w:sz w:val="24"/>
      <w:szCs w:val="20"/>
    </w:rPr>
  </w:style>
  <w:style w:type="paragraph" w:customStyle="1" w:styleId="400">
    <w:name w:val="样式 首行缩进:  2 字符"/>
    <w:basedOn w:val="1"/>
    <w:qFormat/>
    <w:uiPriority w:val="0"/>
    <w:pPr>
      <w:spacing w:line="400" w:lineRule="exact"/>
      <w:ind w:firstLine="200" w:firstLineChars="200"/>
    </w:pPr>
    <w:rPr>
      <w:rFonts w:cs="宋体"/>
      <w:sz w:val="24"/>
    </w:rPr>
  </w:style>
  <w:style w:type="paragraph" w:customStyle="1" w:styleId="40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0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03">
    <w:name w:val="Char Char Char Char Char Char Char Char Char"/>
    <w:basedOn w:val="1"/>
    <w:qFormat/>
    <w:uiPriority w:val="0"/>
    <w:pPr>
      <w:widowControl/>
      <w:spacing w:after="160" w:line="240" w:lineRule="exact"/>
      <w:jc w:val="left"/>
    </w:pPr>
    <w:rPr>
      <w:szCs w:val="20"/>
    </w:rPr>
  </w:style>
  <w:style w:type="paragraph" w:customStyle="1" w:styleId="404">
    <w:name w:val="表格文字12"/>
    <w:basedOn w:val="1"/>
    <w:qFormat/>
    <w:uiPriority w:val="0"/>
    <w:pPr>
      <w:spacing w:before="25" w:after="25"/>
      <w:jc w:val="left"/>
    </w:pPr>
    <w:rPr>
      <w:bCs/>
      <w:spacing w:val="10"/>
      <w:kern w:val="0"/>
      <w:sz w:val="24"/>
    </w:rPr>
  </w:style>
  <w:style w:type="paragraph" w:customStyle="1" w:styleId="40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06">
    <w:name w:val="Char Char Char1"/>
    <w:basedOn w:val="16"/>
    <w:qFormat/>
    <w:uiPriority w:val="0"/>
    <w:rPr>
      <w:rFonts w:ascii="Tahoma" w:hAnsi="Tahoma"/>
      <w:sz w:val="24"/>
    </w:rPr>
  </w:style>
  <w:style w:type="paragraph" w:customStyle="1" w:styleId="407">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408">
    <w:name w:val="正文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0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10">
    <w:name w:val="Char Char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411">
    <w:name w:val="xl77"/>
    <w:basedOn w:val="1"/>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412">
    <w:name w:val="默认段落字体 Para Char"/>
    <w:basedOn w:val="1"/>
    <w:qFormat/>
    <w:uiPriority w:val="0"/>
    <w:pPr>
      <w:adjustRightInd w:val="0"/>
      <w:spacing w:line="360" w:lineRule="auto"/>
    </w:pPr>
    <w:rPr>
      <w:kern w:val="0"/>
      <w:sz w:val="24"/>
      <w:szCs w:val="20"/>
    </w:rPr>
  </w:style>
  <w:style w:type="paragraph" w:customStyle="1" w:styleId="413">
    <w:name w:val="Char Char Char Char Char Char Char Char Char Char Char Char Char Char Char Char11"/>
    <w:basedOn w:val="1"/>
    <w:qFormat/>
    <w:uiPriority w:val="0"/>
    <w:pPr>
      <w:tabs>
        <w:tab w:val="left" w:pos="360"/>
      </w:tabs>
      <w:spacing w:line="360" w:lineRule="auto"/>
      <w:ind w:left="482" w:firstLine="200" w:firstLineChars="200"/>
    </w:pPr>
    <w:rPr>
      <w:rFonts w:ascii="宋体"/>
      <w:sz w:val="24"/>
    </w:rPr>
  </w:style>
  <w:style w:type="paragraph" w:customStyle="1" w:styleId="414">
    <w:name w:val="Char Char Char2"/>
    <w:basedOn w:val="1"/>
    <w:qFormat/>
    <w:uiPriority w:val="0"/>
    <w:rPr>
      <w:rFonts w:ascii="Tahoma" w:hAnsi="Tahoma"/>
      <w:sz w:val="24"/>
      <w:szCs w:val="20"/>
    </w:rPr>
  </w:style>
  <w:style w:type="paragraph" w:customStyle="1" w:styleId="415">
    <w:name w:val="2-2ji"/>
    <w:basedOn w:val="3"/>
    <w:qFormat/>
    <w:uiPriority w:val="0"/>
    <w:pPr>
      <w:spacing w:before="0" w:after="0" w:line="360" w:lineRule="auto"/>
      <w:jc w:val="center"/>
    </w:pPr>
    <w:rPr>
      <w:rFonts w:ascii="宋体" w:hAnsi="宋体" w:eastAsia="宋体"/>
      <w:sz w:val="36"/>
      <w:szCs w:val="24"/>
    </w:rPr>
  </w:style>
  <w:style w:type="paragraph" w:customStyle="1" w:styleId="41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17">
    <w:name w:val="菲页2"/>
    <w:basedOn w:val="4"/>
    <w:qFormat/>
    <w:uiPriority w:val="0"/>
    <w:pPr>
      <w:widowControl/>
      <w:tabs>
        <w:tab w:val="left" w:pos="1800"/>
      </w:tabs>
      <w:spacing w:before="120" w:after="120"/>
      <w:ind w:left="1800" w:hanging="420"/>
      <w:jc w:val="center"/>
    </w:pPr>
    <w:rPr>
      <w:rFonts w:ascii="黑体" w:hAnsi="宋体"/>
      <w:b w:val="0"/>
      <w:bCs w:val="0"/>
      <w:sz w:val="44"/>
      <w:szCs w:val="20"/>
    </w:rPr>
  </w:style>
  <w:style w:type="paragraph" w:customStyle="1" w:styleId="41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19">
    <w:name w:val="_Style 518"/>
    <w:basedOn w:val="22"/>
    <w:next w:val="57"/>
    <w:qFormat/>
    <w:uiPriority w:val="0"/>
    <w:pPr>
      <w:spacing w:after="120"/>
      <w:ind w:left="420" w:leftChars="200" w:firstLine="420" w:firstLineChars="200"/>
    </w:pPr>
    <w:rPr>
      <w:rFonts w:ascii="Times New Roman" w:eastAsia="宋体"/>
      <w:szCs w:val="24"/>
    </w:rPr>
  </w:style>
  <w:style w:type="paragraph" w:customStyle="1" w:styleId="420">
    <w:name w:val="p22"/>
    <w:basedOn w:val="1"/>
    <w:qFormat/>
    <w:uiPriority w:val="0"/>
    <w:pPr>
      <w:widowControl/>
      <w:ind w:firstLine="420"/>
    </w:pPr>
    <w:rPr>
      <w:rFonts w:ascii="Arial" w:hAnsi="Arial" w:cs="Arial"/>
      <w:kern w:val="0"/>
      <w:sz w:val="28"/>
      <w:szCs w:val="28"/>
    </w:rPr>
  </w:style>
  <w:style w:type="paragraph" w:customStyle="1" w:styleId="42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2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23">
    <w:name w:val="Char Char Char Char Char Char Char Char Char Char Char Char Char Char Char Char1"/>
    <w:basedOn w:val="1"/>
    <w:qFormat/>
    <w:uiPriority w:val="0"/>
    <w:pPr>
      <w:tabs>
        <w:tab w:val="left" w:pos="360"/>
      </w:tabs>
      <w:spacing w:line="360" w:lineRule="auto"/>
      <w:ind w:left="482" w:firstLine="200" w:firstLineChars="200"/>
    </w:pPr>
  </w:style>
  <w:style w:type="paragraph" w:customStyle="1" w:styleId="424">
    <w:name w:val="表格文字115"/>
    <w:basedOn w:val="1"/>
    <w:qFormat/>
    <w:uiPriority w:val="0"/>
    <w:pPr>
      <w:spacing w:before="25" w:after="25"/>
      <w:jc w:val="left"/>
    </w:pPr>
    <w:rPr>
      <w:bCs/>
      <w:spacing w:val="10"/>
      <w:kern w:val="0"/>
      <w:sz w:val="24"/>
    </w:rPr>
  </w:style>
  <w:style w:type="paragraph" w:customStyle="1" w:styleId="425">
    <w:name w:val="纯文本2"/>
    <w:basedOn w:val="1"/>
    <w:qFormat/>
    <w:uiPriority w:val="0"/>
    <w:rPr>
      <w:rFonts w:ascii="宋体" w:hAnsi="Courier New"/>
      <w:kern w:val="0"/>
      <w:sz w:val="24"/>
      <w:szCs w:val="20"/>
    </w:rPr>
  </w:style>
  <w:style w:type="paragraph" w:customStyle="1" w:styleId="426">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427">
    <w:name w:val="xl75"/>
    <w:basedOn w:val="1"/>
    <w:qFormat/>
    <w:uiPriority w:val="0"/>
    <w:pPr>
      <w:widowControl/>
      <w:spacing w:before="100" w:beforeAutospacing="1" w:after="100" w:afterAutospacing="1"/>
      <w:jc w:val="left"/>
    </w:pPr>
    <w:rPr>
      <w:rFonts w:ascii="宋体" w:hAnsi="宋体" w:cs="宋体"/>
      <w:kern w:val="0"/>
      <w:sz w:val="24"/>
    </w:rPr>
  </w:style>
  <w:style w:type="paragraph" w:customStyle="1" w:styleId="428">
    <w:name w:val="Char3"/>
    <w:basedOn w:val="16"/>
    <w:qFormat/>
    <w:uiPriority w:val="0"/>
    <w:pPr>
      <w:widowControl/>
      <w:ind w:firstLine="454"/>
      <w:jc w:val="left"/>
    </w:pPr>
    <w:rPr>
      <w:rFonts w:ascii="Tahoma" w:hAnsi="Tahoma" w:cs="宋体"/>
      <w:sz w:val="24"/>
      <w:szCs w:val="20"/>
    </w:rPr>
  </w:style>
  <w:style w:type="paragraph" w:customStyle="1" w:styleId="429">
    <w:name w:val="表格文字11"/>
    <w:basedOn w:val="1"/>
    <w:qFormat/>
    <w:uiPriority w:val="0"/>
    <w:pPr>
      <w:jc w:val="left"/>
    </w:pPr>
    <w:rPr>
      <w:bCs/>
      <w:spacing w:val="10"/>
      <w:kern w:val="0"/>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43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32">
    <w:name w:val="列出段落3"/>
    <w:basedOn w:val="1"/>
    <w:qFormat/>
    <w:uiPriority w:val="0"/>
    <w:pPr>
      <w:ind w:firstLine="420" w:firstLineChars="200"/>
    </w:pPr>
  </w:style>
  <w:style w:type="paragraph" w:customStyle="1" w:styleId="43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34">
    <w:name w:val="p0"/>
    <w:basedOn w:val="1"/>
    <w:qFormat/>
    <w:uiPriority w:val="0"/>
    <w:pPr>
      <w:widowControl/>
    </w:pPr>
    <w:rPr>
      <w:rFonts w:cs="宋体"/>
      <w:kern w:val="0"/>
      <w:szCs w:val="21"/>
    </w:rPr>
  </w:style>
  <w:style w:type="paragraph" w:customStyle="1" w:styleId="435">
    <w:name w:val="Char Char Char Char Char Char21"/>
    <w:basedOn w:val="1"/>
    <w:qFormat/>
    <w:uiPriority w:val="0"/>
    <w:pPr>
      <w:widowControl/>
      <w:spacing w:after="160" w:line="240" w:lineRule="exact"/>
    </w:pPr>
    <w:rPr>
      <w:rFonts w:ascii="Arial" w:hAnsi="Arial"/>
      <w:b/>
      <w:kern w:val="0"/>
      <w:szCs w:val="20"/>
      <w:lang w:eastAsia="en-US"/>
    </w:rPr>
  </w:style>
  <w:style w:type="paragraph" w:customStyle="1" w:styleId="436">
    <w:name w:val="Char Char Char Char Char Char24211"/>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43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38">
    <w:name w:val="xl82"/>
    <w:basedOn w:val="1"/>
    <w:qFormat/>
    <w:uiPriority w:val="0"/>
    <w:pPr>
      <w:widowControl/>
      <w:spacing w:before="100" w:beforeAutospacing="1" w:after="100" w:afterAutospacing="1"/>
      <w:jc w:val="left"/>
      <w:textAlignment w:val="top"/>
    </w:pPr>
    <w:rPr>
      <w:rFonts w:ascii="宋体" w:hAnsi="宋体" w:cs="宋体"/>
      <w:kern w:val="0"/>
      <w:sz w:val="24"/>
    </w:rPr>
  </w:style>
  <w:style w:type="paragraph" w:customStyle="1" w:styleId="43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40">
    <w:name w:val="xl7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41">
    <w:name w:val="Char Char Char Char Char Char511"/>
    <w:basedOn w:val="1"/>
    <w:qFormat/>
    <w:uiPriority w:val="0"/>
    <w:pPr>
      <w:widowControl/>
      <w:spacing w:after="160" w:line="240" w:lineRule="exact"/>
      <w:jc w:val="left"/>
    </w:pPr>
    <w:rPr>
      <w:rFonts w:ascii="Arial" w:hAnsi="Arial"/>
      <w:b/>
      <w:kern w:val="0"/>
      <w:sz w:val="24"/>
      <w:szCs w:val="20"/>
      <w:lang w:eastAsia="en-US"/>
    </w:rPr>
  </w:style>
  <w:style w:type="paragraph" w:customStyle="1" w:styleId="44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43">
    <w:name w:val="Char Char Char Char Char Char242111"/>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444">
    <w:name w:val="2ji"/>
    <w:basedOn w:val="3"/>
    <w:qFormat/>
    <w:uiPriority w:val="0"/>
    <w:pPr>
      <w:adjustRightInd w:val="0"/>
      <w:spacing w:before="0" w:after="0" w:line="360" w:lineRule="auto"/>
      <w:textAlignment w:val="baseline"/>
    </w:pPr>
    <w:rPr>
      <w:rFonts w:ascii="宋体" w:hAnsi="宋体" w:eastAsia="宋体"/>
      <w:szCs w:val="21"/>
    </w:rPr>
  </w:style>
  <w:style w:type="paragraph" w:customStyle="1" w:styleId="445">
    <w:name w:val="reader-word-layer reader-word-s2-3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446">
    <w:name w:val="p15"/>
    <w:basedOn w:val="1"/>
    <w:qFormat/>
    <w:uiPriority w:val="0"/>
    <w:pPr>
      <w:widowControl/>
    </w:pPr>
    <w:rPr>
      <w:rFonts w:ascii="宋体" w:hAnsi="宋体" w:cs="宋体"/>
      <w:kern w:val="0"/>
      <w:szCs w:val="21"/>
    </w:rPr>
  </w:style>
  <w:style w:type="paragraph" w:customStyle="1" w:styleId="447">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48">
    <w:name w:val="Char Char Char Char Char Char11"/>
    <w:basedOn w:val="1"/>
    <w:qFormat/>
    <w:uiPriority w:val="0"/>
    <w:pPr>
      <w:widowControl/>
      <w:spacing w:after="160" w:line="240" w:lineRule="exact"/>
    </w:pPr>
    <w:rPr>
      <w:rFonts w:ascii="Arial" w:hAnsi="Arial" w:eastAsia="Times New Roman"/>
      <w:b/>
      <w:kern w:val="0"/>
      <w:szCs w:val="20"/>
      <w:lang w:eastAsia="en-US"/>
    </w:rPr>
  </w:style>
  <w:style w:type="paragraph" w:customStyle="1" w:styleId="449">
    <w:name w:val="p16"/>
    <w:basedOn w:val="1"/>
    <w:qFormat/>
    <w:uiPriority w:val="0"/>
    <w:pPr>
      <w:widowControl/>
    </w:pPr>
    <w:rPr>
      <w:rFonts w:ascii="宋体" w:hAnsi="宋体" w:cs="宋体"/>
      <w:kern w:val="0"/>
      <w:szCs w:val="21"/>
    </w:rPr>
  </w:style>
  <w:style w:type="paragraph" w:customStyle="1" w:styleId="450">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451">
    <w:name w:val="标书正文"/>
    <w:basedOn w:val="1"/>
    <w:qFormat/>
    <w:uiPriority w:val="0"/>
    <w:pPr>
      <w:adjustRightInd w:val="0"/>
      <w:snapToGrid w:val="0"/>
      <w:spacing w:line="360" w:lineRule="auto"/>
      <w:jc w:val="left"/>
    </w:pPr>
    <w:rPr>
      <w:rFonts w:cs="宋体"/>
      <w:sz w:val="24"/>
    </w:rPr>
  </w:style>
  <w:style w:type="paragraph" w:customStyle="1" w:styleId="452">
    <w:name w:val="菲页1"/>
    <w:basedOn w:val="3"/>
    <w:qFormat/>
    <w:uiPriority w:val="0"/>
    <w:pPr>
      <w:widowControl/>
      <w:spacing w:before="260" w:after="260" w:line="416" w:lineRule="auto"/>
      <w:jc w:val="center"/>
    </w:pPr>
    <w:rPr>
      <w:rFonts w:ascii="黑体" w:hAnsi="宋体" w:eastAsia="宋体"/>
      <w:b w:val="0"/>
      <w:bCs w:val="0"/>
      <w:sz w:val="52"/>
      <w:szCs w:val="20"/>
    </w:rPr>
  </w:style>
  <w:style w:type="paragraph" w:customStyle="1" w:styleId="453">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454">
    <w:name w:val="节标题"/>
    <w:basedOn w:val="1"/>
    <w:next w:val="455"/>
    <w:qFormat/>
    <w:uiPriority w:val="0"/>
    <w:pPr>
      <w:widowControl/>
      <w:spacing w:line="289" w:lineRule="atLeast"/>
      <w:jc w:val="center"/>
      <w:textAlignment w:val="baseline"/>
    </w:pPr>
    <w:rPr>
      <w:color w:val="000000"/>
      <w:kern w:val="0"/>
      <w:sz w:val="28"/>
      <w:szCs w:val="20"/>
      <w:u w:color="000000"/>
    </w:rPr>
  </w:style>
  <w:style w:type="paragraph" w:customStyle="1" w:styleId="455">
    <w:name w:val="小节标题"/>
    <w:basedOn w:val="1"/>
    <w:next w:val="1"/>
    <w:qFormat/>
    <w:uiPriority w:val="0"/>
    <w:pPr>
      <w:widowControl/>
      <w:spacing w:before="175" w:after="102" w:line="351" w:lineRule="atLeast"/>
      <w:textAlignment w:val="baseline"/>
    </w:pPr>
    <w:rPr>
      <w:rFonts w:eastAsia="黑体"/>
      <w:color w:val="000000"/>
      <w:kern w:val="0"/>
      <w:szCs w:val="20"/>
      <w:u w:color="000000"/>
    </w:rPr>
  </w:style>
  <w:style w:type="paragraph" w:customStyle="1" w:styleId="456">
    <w:name w:val="正文首行缩进两字符"/>
    <w:basedOn w:val="1"/>
    <w:qFormat/>
    <w:uiPriority w:val="0"/>
    <w:pPr>
      <w:spacing w:line="360" w:lineRule="auto"/>
      <w:ind w:firstLine="200" w:firstLineChars="200"/>
    </w:pPr>
  </w:style>
  <w:style w:type="paragraph" w:customStyle="1" w:styleId="457">
    <w:name w:val="纯文本1"/>
    <w:basedOn w:val="1"/>
    <w:qFormat/>
    <w:uiPriority w:val="0"/>
    <w:rPr>
      <w:rFonts w:ascii="宋体" w:hAnsi="Courier New"/>
      <w:kern w:val="0"/>
      <w:sz w:val="24"/>
      <w:szCs w:val="20"/>
    </w:rPr>
  </w:style>
  <w:style w:type="paragraph" w:customStyle="1" w:styleId="458">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459">
    <w:name w:val="正文2"/>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460">
    <w:name w:val="表格文字1153"/>
    <w:basedOn w:val="1"/>
    <w:qFormat/>
    <w:uiPriority w:val="0"/>
    <w:pPr>
      <w:spacing w:before="25" w:after="25"/>
      <w:jc w:val="left"/>
    </w:pPr>
    <w:rPr>
      <w:bCs/>
      <w:spacing w:val="10"/>
      <w:kern w:val="0"/>
      <w:sz w:val="24"/>
    </w:rPr>
  </w:style>
  <w:style w:type="paragraph" w:customStyle="1" w:styleId="46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62">
    <w:name w:val="次小点说明 Char"/>
    <w:basedOn w:val="7"/>
    <w:qFormat/>
    <w:uiPriority w:val="0"/>
    <w:pPr>
      <w:ind w:firstLine="0"/>
    </w:pPr>
    <w:rPr>
      <w:sz w:val="24"/>
      <w:szCs w:val="24"/>
    </w:rPr>
  </w:style>
  <w:style w:type="paragraph" w:customStyle="1" w:styleId="463">
    <w:name w:val="Char Char Char Char Char Char Char Char Char Char Char Char Char1"/>
    <w:basedOn w:val="16"/>
    <w:qFormat/>
    <w:uiPriority w:val="0"/>
    <w:rPr>
      <w:rFonts w:ascii="Tahoma" w:hAnsi="Tahoma"/>
      <w:sz w:val="24"/>
    </w:rPr>
  </w:style>
  <w:style w:type="paragraph" w:customStyle="1" w:styleId="464">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46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6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67">
    <w:name w:val="Char Char Char Char Char Char212"/>
    <w:basedOn w:val="1"/>
    <w:qFormat/>
    <w:uiPriority w:val="0"/>
    <w:pPr>
      <w:widowControl/>
      <w:spacing w:after="160" w:line="240" w:lineRule="exact"/>
    </w:pPr>
    <w:rPr>
      <w:rFonts w:ascii="Arial" w:hAnsi="Arial"/>
      <w:b/>
      <w:kern w:val="0"/>
      <w:szCs w:val="20"/>
      <w:lang w:eastAsia="en-US"/>
    </w:rPr>
  </w:style>
  <w:style w:type="paragraph" w:customStyle="1" w:styleId="468">
    <w:name w:val="font6"/>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469">
    <w:name w:val="表格文字13"/>
    <w:basedOn w:val="1"/>
    <w:qFormat/>
    <w:uiPriority w:val="0"/>
    <w:rPr>
      <w:bCs/>
      <w:spacing w:val="10"/>
      <w:kern w:val="0"/>
    </w:rPr>
  </w:style>
  <w:style w:type="paragraph" w:customStyle="1" w:styleId="470">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471">
    <w:name w:val="列出段落31"/>
    <w:basedOn w:val="1"/>
    <w:qFormat/>
    <w:uiPriority w:val="0"/>
    <w:pPr>
      <w:ind w:firstLine="420" w:firstLineChars="200"/>
    </w:pPr>
    <w:rPr>
      <w:szCs w:val="22"/>
    </w:rPr>
  </w:style>
  <w:style w:type="paragraph" w:customStyle="1" w:styleId="472">
    <w:name w:val="Char Char Char Char Char Char2111"/>
    <w:basedOn w:val="1"/>
    <w:qFormat/>
    <w:uiPriority w:val="0"/>
    <w:pPr>
      <w:widowControl/>
      <w:spacing w:after="160" w:line="240" w:lineRule="exact"/>
    </w:pPr>
    <w:rPr>
      <w:rFonts w:ascii="Arial" w:hAnsi="Arial"/>
      <w:b/>
      <w:kern w:val="0"/>
      <w:szCs w:val="20"/>
      <w:lang w:eastAsia="en-US"/>
    </w:rPr>
  </w:style>
  <w:style w:type="paragraph" w:customStyle="1" w:styleId="473">
    <w:name w:val="xl76"/>
    <w:basedOn w:val="1"/>
    <w:qFormat/>
    <w:uiPriority w:val="0"/>
    <w:pPr>
      <w:widowControl/>
      <w:spacing w:before="100" w:beforeAutospacing="1" w:after="100" w:afterAutospacing="1"/>
      <w:jc w:val="center"/>
    </w:pPr>
    <w:rPr>
      <w:rFonts w:ascii="宋体" w:hAnsi="宋体" w:cs="宋体"/>
      <w:b/>
      <w:bCs/>
      <w:kern w:val="0"/>
      <w:sz w:val="18"/>
      <w:szCs w:val="18"/>
    </w:rPr>
  </w:style>
  <w:style w:type="paragraph" w:customStyle="1" w:styleId="474">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75">
    <w:name w:val="_Style 37"/>
    <w:basedOn w:val="1"/>
    <w:next w:val="1"/>
    <w:qFormat/>
    <w:uiPriority w:val="0"/>
  </w:style>
  <w:style w:type="paragraph" w:customStyle="1" w:styleId="476">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7">
    <w:name w:val="Char Char Char Char2"/>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478">
    <w:name w:val="缺省文本"/>
    <w:basedOn w:val="1"/>
    <w:qFormat/>
    <w:uiPriority w:val="0"/>
    <w:pPr>
      <w:autoSpaceDE w:val="0"/>
      <w:autoSpaceDN w:val="0"/>
      <w:adjustRightInd w:val="0"/>
      <w:spacing w:line="360" w:lineRule="auto"/>
      <w:jc w:val="left"/>
    </w:pPr>
    <w:rPr>
      <w:kern w:val="0"/>
      <w:sz w:val="24"/>
      <w:szCs w:val="20"/>
    </w:rPr>
  </w:style>
  <w:style w:type="paragraph" w:customStyle="1" w:styleId="479">
    <w:name w:val="Char1 Char Char Char Char Char Char"/>
    <w:basedOn w:val="1"/>
    <w:qFormat/>
    <w:uiPriority w:val="0"/>
    <w:rPr>
      <w:rFonts w:ascii="Tahoma" w:hAnsi="Tahoma"/>
      <w:sz w:val="24"/>
      <w:szCs w:val="20"/>
    </w:rPr>
  </w:style>
  <w:style w:type="paragraph" w:customStyle="1" w:styleId="480">
    <w:name w:val="Report List"/>
    <w:basedOn w:val="1"/>
    <w:qFormat/>
    <w:uiPriority w:val="0"/>
    <w:pPr>
      <w:widowControl/>
      <w:tabs>
        <w:tab w:val="left" w:pos="1440"/>
      </w:tabs>
      <w:spacing w:before="120" w:after="120"/>
      <w:ind w:left="1440" w:hanging="360"/>
    </w:pPr>
    <w:rPr>
      <w:rFonts w:ascii="Arial" w:hAnsi="Arial" w:cs="Tahoma"/>
      <w:kern w:val="28"/>
      <w:sz w:val="22"/>
      <w:szCs w:val="20"/>
    </w:rPr>
  </w:style>
  <w:style w:type="paragraph" w:customStyle="1" w:styleId="481">
    <w:name w:val="xl81"/>
    <w:basedOn w:val="1"/>
    <w:qFormat/>
    <w:uiPriority w:val="0"/>
    <w:pPr>
      <w:widowControl/>
      <w:spacing w:before="100" w:beforeAutospacing="1" w:after="100" w:afterAutospacing="1"/>
      <w:jc w:val="left"/>
    </w:pPr>
    <w:rPr>
      <w:rFonts w:ascii="宋体" w:hAnsi="宋体" w:cs="宋体"/>
      <w:kern w:val="0"/>
      <w:sz w:val="24"/>
    </w:rPr>
  </w:style>
  <w:style w:type="paragraph" w:customStyle="1" w:styleId="482">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483">
    <w:name w:val="Char1 Char Char Char Char Char Char1"/>
    <w:basedOn w:val="1"/>
    <w:qFormat/>
    <w:uiPriority w:val="0"/>
    <w:rPr>
      <w:rFonts w:ascii="Tahoma" w:hAnsi="Tahoma"/>
      <w:sz w:val="24"/>
      <w:szCs w:val="20"/>
    </w:rPr>
  </w:style>
  <w:style w:type="paragraph" w:customStyle="1" w:styleId="48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85">
    <w:name w:val="Char Char Char Char Char Char2421"/>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48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87">
    <w:name w:val="Char1"/>
    <w:basedOn w:val="1"/>
    <w:qFormat/>
    <w:uiPriority w:val="0"/>
    <w:rPr>
      <w:szCs w:val="21"/>
    </w:rPr>
  </w:style>
  <w:style w:type="paragraph" w:customStyle="1" w:styleId="488">
    <w:name w:val="xl74"/>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489">
    <w:name w:val="Char22"/>
    <w:basedOn w:val="1"/>
    <w:qFormat/>
    <w:uiPriority w:val="0"/>
    <w:pPr>
      <w:widowControl/>
      <w:spacing w:after="160" w:line="240" w:lineRule="exact"/>
      <w:jc w:val="left"/>
    </w:pPr>
    <w:rPr>
      <w:rFonts w:ascii="Verdana" w:hAnsi="Verdana"/>
      <w:kern w:val="0"/>
      <w:szCs w:val="20"/>
      <w:lang w:eastAsia="en-US"/>
    </w:rPr>
  </w:style>
  <w:style w:type="paragraph" w:customStyle="1" w:styleId="4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91">
    <w:name w:val="表格文字"/>
    <w:basedOn w:val="1"/>
    <w:qFormat/>
    <w:uiPriority w:val="99"/>
    <w:rPr>
      <w:bCs/>
      <w:spacing w:val="10"/>
      <w:kern w:val="0"/>
    </w:rPr>
  </w:style>
  <w:style w:type="paragraph" w:customStyle="1" w:styleId="492">
    <w:name w:val="正文文本缩进 Char Char Char Char"/>
    <w:basedOn w:val="1"/>
    <w:qFormat/>
    <w:uiPriority w:val="0"/>
    <w:pPr>
      <w:ind w:firstLine="540"/>
    </w:pPr>
    <w:rPr>
      <w:rFonts w:hint="eastAsia" w:ascii="宋体" w:hAnsi="Courier New"/>
      <w:szCs w:val="20"/>
    </w:rPr>
  </w:style>
  <w:style w:type="paragraph" w:customStyle="1" w:styleId="49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仿宋_GB2312" w:hAnsi="宋体" w:eastAsia="仿宋_GB2312" w:cs="宋体"/>
      <w:kern w:val="0"/>
      <w:sz w:val="20"/>
      <w:szCs w:val="20"/>
    </w:rPr>
  </w:style>
  <w:style w:type="paragraph" w:customStyle="1" w:styleId="494">
    <w:name w:val="文章总标题"/>
    <w:basedOn w:val="1"/>
    <w:next w:val="376"/>
    <w:qFormat/>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495">
    <w:name w:val="1"/>
    <w:basedOn w:val="1"/>
    <w:next w:val="29"/>
    <w:qFormat/>
    <w:uiPriority w:val="0"/>
    <w:rPr>
      <w:rFonts w:ascii="宋体" w:hAnsi="Courier New"/>
      <w:szCs w:val="20"/>
    </w:rPr>
  </w:style>
  <w:style w:type="paragraph" w:customStyle="1" w:styleId="496">
    <w:name w:val="Char Char Char Char Char Char1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97">
    <w:name w:val="Char1 Char Char Char"/>
    <w:basedOn w:val="1"/>
    <w:qFormat/>
    <w:uiPriority w:val="0"/>
    <w:rPr>
      <w:rFonts w:ascii="Tahoma" w:hAnsi="Tahoma"/>
      <w:sz w:val="24"/>
      <w:szCs w:val="20"/>
    </w:rPr>
  </w:style>
  <w:style w:type="paragraph" w:customStyle="1" w:styleId="498">
    <w:name w:val="xl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499">
    <w:name w:val="444"/>
    <w:basedOn w:val="1"/>
    <w:qFormat/>
    <w:uiPriority w:val="0"/>
    <w:pPr>
      <w:adjustRightInd w:val="0"/>
      <w:spacing w:line="312" w:lineRule="atLeast"/>
      <w:jc w:val="center"/>
      <w:textAlignment w:val="baseline"/>
    </w:pPr>
    <w:rPr>
      <w:b/>
      <w:kern w:val="0"/>
      <w:sz w:val="36"/>
      <w:szCs w:val="36"/>
    </w:rPr>
  </w:style>
  <w:style w:type="paragraph" w:customStyle="1" w:styleId="50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01">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502">
    <w:name w:val="Body"/>
    <w:basedOn w:val="1"/>
    <w:qFormat/>
    <w:uiPriority w:val="0"/>
    <w:pPr>
      <w:widowControl/>
      <w:tabs>
        <w:tab w:val="left" w:pos="1980"/>
      </w:tabs>
      <w:spacing w:before="80" w:after="80" w:line="360" w:lineRule="auto"/>
      <w:jc w:val="center"/>
    </w:pPr>
    <w:rPr>
      <w:szCs w:val="21"/>
    </w:rPr>
  </w:style>
  <w:style w:type="paragraph" w:customStyle="1" w:styleId="50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04">
    <w:name w:val="目录4"/>
    <w:basedOn w:val="1"/>
    <w:next w:val="1"/>
    <w:qFormat/>
    <w:uiPriority w:val="0"/>
    <w:pPr>
      <w:widowControl/>
      <w:tabs>
        <w:tab w:val="left" w:leader="dot" w:pos="8503"/>
      </w:tabs>
      <w:spacing w:line="317" w:lineRule="atLeast"/>
      <w:ind w:firstLine="629"/>
      <w:textAlignment w:val="baseline"/>
    </w:pPr>
    <w:rPr>
      <w:color w:val="000000"/>
      <w:kern w:val="0"/>
      <w:szCs w:val="20"/>
      <w:u w:color="000000"/>
    </w:rPr>
  </w:style>
  <w:style w:type="paragraph" w:customStyle="1" w:styleId="50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0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07">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50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509">
    <w:name w:val="样式 正文文字 + 小四 段后: 0 磅 行距: 1.5 倍行距"/>
    <w:basedOn w:val="21"/>
    <w:qFormat/>
    <w:uiPriority w:val="0"/>
    <w:pPr>
      <w:spacing w:line="360" w:lineRule="auto"/>
      <w:ind w:firstLine="480" w:firstLineChars="200"/>
    </w:pPr>
    <w:rPr>
      <w:rFonts w:cs="宋体"/>
      <w:szCs w:val="20"/>
    </w:rPr>
  </w:style>
  <w:style w:type="paragraph" w:customStyle="1" w:styleId="510">
    <w:name w:val="Char Char Char Char Char Char Char2"/>
    <w:basedOn w:val="1"/>
    <w:qFormat/>
    <w:uiPriority w:val="0"/>
  </w:style>
  <w:style w:type="paragraph" w:customStyle="1" w:styleId="511">
    <w:name w:val="Char1 Char Char Char1"/>
    <w:basedOn w:val="1"/>
    <w:qFormat/>
    <w:uiPriority w:val="0"/>
    <w:rPr>
      <w:rFonts w:ascii="Tahoma" w:hAnsi="Tahoma"/>
      <w:sz w:val="24"/>
      <w:szCs w:val="20"/>
    </w:rPr>
  </w:style>
  <w:style w:type="paragraph" w:customStyle="1" w:styleId="512">
    <w:name w:val="标题3"/>
    <w:basedOn w:val="4"/>
    <w:qFormat/>
    <w:uiPriority w:val="0"/>
    <w:pPr>
      <w:keepLines w:val="0"/>
      <w:widowControl/>
      <w:tabs>
        <w:tab w:val="left" w:pos="1247"/>
      </w:tabs>
      <w:spacing w:before="240" w:after="120"/>
      <w:ind w:left="1247" w:hanging="1247"/>
      <w:jc w:val="left"/>
    </w:pPr>
    <w:rPr>
      <w:rFonts w:ascii="Arial" w:hAnsi="Arial" w:eastAsia="宋体"/>
      <w:sz w:val="52"/>
      <w:szCs w:val="52"/>
    </w:rPr>
  </w:style>
  <w:style w:type="paragraph" w:customStyle="1" w:styleId="513">
    <w:name w:val="样式1"/>
    <w:basedOn w:val="1"/>
    <w:next w:val="5"/>
    <w:qFormat/>
    <w:uiPriority w:val="0"/>
    <w:pPr>
      <w:spacing w:line="360" w:lineRule="auto"/>
      <w:ind w:firstLine="420" w:firstLineChars="200"/>
    </w:pPr>
    <w:rPr>
      <w:rFonts w:ascii="宋体" w:hAnsi="宋体"/>
      <w:szCs w:val="21"/>
    </w:rPr>
  </w:style>
  <w:style w:type="paragraph" w:customStyle="1" w:styleId="514">
    <w:name w:val="Char4"/>
    <w:basedOn w:val="16"/>
    <w:qFormat/>
    <w:uiPriority w:val="0"/>
    <w:pPr>
      <w:widowControl/>
      <w:ind w:firstLine="454"/>
      <w:jc w:val="left"/>
    </w:pPr>
    <w:rPr>
      <w:rFonts w:ascii="Tahoma" w:hAnsi="Tahoma" w:cs="宋体"/>
      <w:sz w:val="24"/>
      <w:szCs w:val="20"/>
    </w:rPr>
  </w:style>
  <w:style w:type="paragraph" w:customStyle="1" w:styleId="515">
    <w:name w:val="插图题注"/>
    <w:next w:val="1"/>
    <w:qFormat/>
    <w:uiPriority w:val="0"/>
    <w:pPr>
      <w:spacing w:afterLines="100"/>
      <w:ind w:left="1089" w:hanging="369"/>
      <w:jc w:val="center"/>
    </w:pPr>
    <w:rPr>
      <w:rFonts w:ascii="Arial" w:hAnsi="Arial" w:eastAsia="宋体" w:cs="Times New Roman"/>
      <w:sz w:val="18"/>
      <w:szCs w:val="18"/>
      <w:lang w:val="en-US" w:eastAsia="zh-CN" w:bidi="ar-SA"/>
    </w:rPr>
  </w:style>
  <w:style w:type="paragraph" w:customStyle="1" w:styleId="516">
    <w:name w:val="目录1"/>
    <w:basedOn w:val="1"/>
    <w:next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517">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table" w:customStyle="1" w:styleId="518">
    <w:name w:val="网格型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9">
    <w:name w:val="网格型2"/>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21">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22">
    <w:name w:val="Table Paragraph_file_341"/>
    <w:basedOn w:val="523"/>
    <w:qFormat/>
    <w:uiPriority w:val="1"/>
    <w:pPr>
      <w:autoSpaceDE w:val="0"/>
      <w:autoSpaceDN w:val="0"/>
      <w:adjustRightInd w:val="0"/>
      <w:jc w:val="left"/>
    </w:pPr>
    <w:rPr>
      <w:rFonts w:ascii="黑体" w:eastAsia="黑体" w:cs="黑体"/>
      <w:kern w:val="0"/>
      <w:sz w:val="24"/>
    </w:rPr>
  </w:style>
  <w:style w:type="paragraph" w:customStyle="1" w:styleId="523">
    <w:name w:val="Normal_file_341"/>
    <w:next w:val="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108</Pages>
  <Words>82676</Words>
  <Characters>89210</Characters>
  <Lines>390</Lines>
  <Paragraphs>109</Paragraphs>
  <TotalTime>64</TotalTime>
  <ScaleCrop>false</ScaleCrop>
  <LinksUpToDate>false</LinksUpToDate>
  <CharactersWithSpaces>96987</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2024-05-02T00:29:00Z</dcterms:created>
  <dc:creator>User</dc:creator>
  <cp:lastModifiedBy>guest</cp:lastModifiedBy>
  <cp:lastPrinted>2024-04-30T07:41:00Z</cp:lastPrinted>
  <dcterms:modified xsi:type="dcterms:W3CDTF">2024-08-28T10:47:37Z</dcterms:modified>
  <dc:title>北 海 市 政 府 采 购 中 心</dc:title>
  <cp:revision>347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1C73677F9F45458AB2DA796A077A69FA</vt:lpwstr>
  </property>
</Properties>
</file>