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C1B4B">
      <w:pPr>
        <w:pStyle w:val="2"/>
        <w:jc w:val="center"/>
        <w:rPr>
          <w:rFonts w:hint="eastAsia"/>
          <w:color w:val="auto"/>
          <w:highlight w:val="none"/>
        </w:rPr>
      </w:pPr>
      <w:bookmarkStart w:id="1" w:name="_GoBack"/>
      <w:bookmarkEnd w:id="1"/>
      <w:r>
        <w:rPr>
          <w:rFonts w:hint="eastAsia"/>
          <w:color w:val="auto"/>
          <w:highlight w:val="none"/>
        </w:rPr>
        <w:t>采购需求</w:t>
      </w:r>
    </w:p>
    <w:p w14:paraId="536D58C2">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056B30A3">
      <w:pPr>
        <w:spacing w:line="360" w:lineRule="exact"/>
        <w:ind w:firstLine="420" w:firstLineChars="200"/>
        <w:jc w:val="left"/>
        <w:rPr>
          <w:rFonts w:hint="eastAsia"/>
          <w:color w:val="auto"/>
          <w:highlight w:val="none"/>
        </w:rPr>
      </w:pPr>
      <w:r>
        <w:rPr>
          <w:rFonts w:hint="eastAsia" w:ascii="宋体" w:hAnsi="宋体"/>
          <w:color w:val="auto"/>
          <w:highlight w:val="none"/>
        </w:rPr>
        <w:t>1</w:t>
      </w:r>
      <w:r>
        <w:rPr>
          <w:rFonts w:hint="eastAsia"/>
          <w:color w:val="auto"/>
          <w:highlight w:val="none"/>
        </w:rPr>
        <w:t>. 为落实政府采购政策需满足的要求</w:t>
      </w:r>
    </w:p>
    <w:p w14:paraId="71318ECE">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及《防城港市财政局关于进一步发挥政府采购政策功能促进企业发展的通知》（防财采〔2022〕12号）的规定。</w:t>
      </w:r>
    </w:p>
    <w:p w14:paraId="20B93144">
      <w:pPr>
        <w:spacing w:line="36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037B5168">
      <w:pPr>
        <w:spacing w:line="360" w:lineRule="exact"/>
        <w:ind w:firstLine="424" w:firstLineChars="202"/>
        <w:jc w:val="left"/>
        <w:rPr>
          <w:rFonts w:hint="eastAsia"/>
          <w:color w:val="auto"/>
          <w:highlight w:val="none"/>
        </w:rPr>
      </w:pPr>
      <w:r>
        <w:rPr>
          <w:rFonts w:hint="eastAsia" w:ascii="宋体" w:hAnsi="宋体" w:cs="宋体"/>
          <w:color w:val="auto"/>
          <w:szCs w:val="21"/>
          <w:highlight w:val="none"/>
        </w:rPr>
        <w:t>3.供应商应根据自身实际情况如实响应磋商文件</w:t>
      </w:r>
      <w:r>
        <w:rPr>
          <w:rFonts w:hint="eastAsia" w:ascii="宋体" w:hAnsi="宋体"/>
          <w:color w:val="auto"/>
          <w:szCs w:val="21"/>
          <w:highlight w:val="none"/>
        </w:rPr>
        <w:t>，</w:t>
      </w:r>
      <w:r>
        <w:rPr>
          <w:rFonts w:hint="eastAsia"/>
          <w:color w:val="auto"/>
          <w:highlight w:val="none"/>
        </w:rPr>
        <w:t>对于重要技术条款或技术参数应当在响应文件中提供技术支持资料，技术支持资料以磋商文件中规定的形式为准，否则将视为无效技术支持资料。</w:t>
      </w:r>
    </w:p>
    <w:p w14:paraId="2E74DB00">
      <w:pPr>
        <w:spacing w:line="360" w:lineRule="exact"/>
        <w:ind w:firstLine="424" w:firstLineChars="202"/>
        <w:jc w:val="left"/>
        <w:rPr>
          <w:rFonts w:hint="eastAsia" w:ascii="宋体" w:hAnsi="宋体"/>
          <w:color w:val="auto"/>
          <w:szCs w:val="21"/>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p w14:paraId="78E4E4FB">
      <w:pPr>
        <w:spacing w:line="360" w:lineRule="exact"/>
        <w:ind w:firstLine="420" w:firstLineChars="200"/>
        <w:rPr>
          <w:rFonts w:hint="eastAsia" w:ascii="宋体" w:hAnsi="宋体" w:eastAsia="宋体"/>
          <w:iCs/>
          <w:color w:val="auto"/>
          <w:szCs w:val="21"/>
          <w:highlight w:val="none"/>
          <w:lang w:eastAsia="zh-CN"/>
        </w:rPr>
      </w:pPr>
      <w:r>
        <w:rPr>
          <w:rFonts w:hint="eastAsia" w:ascii="宋体" w:hAnsi="宋体" w:cs="Arial"/>
          <w:bCs/>
          <w:iCs/>
          <w:color w:val="auto"/>
          <w:szCs w:val="21"/>
          <w:highlight w:val="none"/>
        </w:rPr>
        <w:t>5.</w:t>
      </w:r>
      <w:r>
        <w:rPr>
          <w:rFonts w:hint="eastAsia" w:ascii="宋体" w:hAnsi="宋体"/>
          <w:b/>
          <w:color w:val="auto"/>
          <w:szCs w:val="21"/>
          <w:highlight w:val="none"/>
        </w:rPr>
        <w:t xml:space="preserve"> 采购预算：</w:t>
      </w:r>
      <w:r>
        <w:rPr>
          <w:rFonts w:hint="eastAsia"/>
          <w:b/>
          <w:bCs/>
          <w:color w:val="auto"/>
          <w:highlight w:val="none"/>
          <w:lang w:eastAsia="zh-CN"/>
        </w:rPr>
        <w:t>人民币壹佰陆拾万元整（¥1600000.00）</w:t>
      </w:r>
    </w:p>
    <w:p w14:paraId="3BFE71FD">
      <w:pPr>
        <w:pStyle w:val="3"/>
        <w:spacing w:line="360" w:lineRule="exact"/>
        <w:rPr>
          <w:rFonts w:hint="eastAsia"/>
          <w:color w:val="auto"/>
          <w:highlight w:val="none"/>
        </w:rPr>
      </w:pPr>
      <w:r>
        <w:rPr>
          <w:rFonts w:hint="eastAsia"/>
          <w:color w:val="auto"/>
          <w:highlight w:val="none"/>
        </w:rPr>
        <w:t>6. 采购需求一览表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874"/>
        <w:gridCol w:w="625"/>
        <w:gridCol w:w="41"/>
        <w:gridCol w:w="687"/>
        <w:gridCol w:w="6369"/>
      </w:tblGrid>
      <w:tr w14:paraId="0DCC7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9251" w:type="dxa"/>
            <w:gridSpan w:val="6"/>
            <w:noWrap w:val="0"/>
            <w:vAlign w:val="center"/>
          </w:tcPr>
          <w:p w14:paraId="446EAADC">
            <w:pPr>
              <w:tabs>
                <w:tab w:val="left" w:pos="180"/>
                <w:tab w:val="left" w:pos="1620"/>
              </w:tabs>
              <w:spacing w:line="36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一、服务要求</w:t>
            </w:r>
          </w:p>
        </w:tc>
      </w:tr>
      <w:tr w14:paraId="47669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noWrap w:val="0"/>
            <w:vAlign w:val="center"/>
          </w:tcPr>
          <w:p w14:paraId="4142A558">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874" w:type="dxa"/>
            <w:noWrap w:val="0"/>
            <w:vAlign w:val="center"/>
          </w:tcPr>
          <w:p w14:paraId="066926E7">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666" w:type="dxa"/>
            <w:gridSpan w:val="2"/>
            <w:noWrap w:val="0"/>
            <w:vAlign w:val="center"/>
          </w:tcPr>
          <w:p w14:paraId="66FC4C69">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687" w:type="dxa"/>
            <w:noWrap w:val="0"/>
            <w:vAlign w:val="center"/>
          </w:tcPr>
          <w:p w14:paraId="02560352">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所属</w:t>
            </w:r>
          </w:p>
          <w:p w14:paraId="65278819">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6369" w:type="dxa"/>
            <w:noWrap w:val="0"/>
            <w:vAlign w:val="center"/>
          </w:tcPr>
          <w:p w14:paraId="4BC9CF9B">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技术要求</w:t>
            </w:r>
          </w:p>
        </w:tc>
      </w:tr>
      <w:tr w14:paraId="17120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655" w:type="dxa"/>
            <w:noWrap w:val="0"/>
            <w:vAlign w:val="center"/>
          </w:tcPr>
          <w:p w14:paraId="42A851C4">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74" w:type="dxa"/>
            <w:noWrap w:val="0"/>
            <w:vAlign w:val="center"/>
          </w:tcPr>
          <w:p w14:paraId="1A300D98">
            <w:pPr>
              <w:tabs>
                <w:tab w:val="left" w:pos="180"/>
                <w:tab w:val="left" w:pos="1620"/>
              </w:tabs>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专利转化示范园区建设项目</w:t>
            </w:r>
          </w:p>
        </w:tc>
        <w:tc>
          <w:tcPr>
            <w:tcW w:w="666" w:type="dxa"/>
            <w:gridSpan w:val="2"/>
            <w:noWrap w:val="0"/>
            <w:vAlign w:val="center"/>
          </w:tcPr>
          <w:p w14:paraId="21B46106">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687" w:type="dxa"/>
            <w:noWrap w:val="0"/>
            <w:vAlign w:val="center"/>
          </w:tcPr>
          <w:p w14:paraId="3B6CE30B">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69" w:type="dxa"/>
            <w:noWrap w:val="0"/>
            <w:vAlign w:val="center"/>
          </w:tcPr>
          <w:p w14:paraId="2A194F01">
            <w:pPr>
              <w:spacing w:line="360" w:lineRule="exact"/>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一、项目任务</w:t>
            </w:r>
          </w:p>
          <w:p w14:paraId="15E3BE7D">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default" w:ascii="宋体" w:hAnsi="宋体" w:eastAsia="宋体" w:cs="Times New Roman"/>
                <w:color w:val="auto"/>
                <w:szCs w:val="21"/>
                <w:highlight w:val="none"/>
                <w:lang w:val="en-US" w:eastAsia="zh-CN"/>
              </w:rPr>
              <w:t>建立产业知识产权运营中心，组织企业开展专利转让、许可、作价入股、质押融资等专利运营转化工作，为园区企业提供“一站式”的知识产权服务。</w:t>
            </w:r>
          </w:p>
          <w:p w14:paraId="6D02719B">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w:t>
            </w:r>
            <w:r>
              <w:rPr>
                <w:rFonts w:hint="default" w:ascii="宋体" w:hAnsi="宋体" w:eastAsia="宋体" w:cs="Times New Roman"/>
                <w:color w:val="auto"/>
                <w:szCs w:val="21"/>
                <w:highlight w:val="none"/>
                <w:lang w:val="en-US" w:eastAsia="zh-CN"/>
              </w:rPr>
              <w:t>围绕主导产业构建产业专利池，助力产业补链强链延链。</w:t>
            </w:r>
          </w:p>
          <w:p w14:paraId="483DE608">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default" w:ascii="宋体" w:hAnsi="宋体" w:eastAsia="宋体" w:cs="Times New Roman"/>
                <w:color w:val="auto"/>
                <w:szCs w:val="21"/>
                <w:highlight w:val="none"/>
                <w:lang w:val="en-US" w:eastAsia="zh-CN"/>
              </w:rPr>
              <w:t>开展主导产业专利导航，为产业发展及专利转化运用提供科学指引，助力产业精准招商。</w:t>
            </w:r>
          </w:p>
          <w:p w14:paraId="52F82CAA">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开展高价值专利培育和转化工作，通过专利运营转化支撑园区产业高质量发展。</w:t>
            </w:r>
          </w:p>
          <w:p w14:paraId="1F15E497">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default" w:ascii="宋体" w:hAnsi="宋体" w:eastAsia="宋体" w:cs="Times New Roman"/>
                <w:color w:val="auto"/>
                <w:szCs w:val="21"/>
                <w:highlight w:val="none"/>
                <w:lang w:val="en-US" w:eastAsia="zh-CN"/>
              </w:rPr>
              <w:t>建立园区企业专利现状统计分析发布制度，开展园区企业知识产权监控，推动园区企业实施创新过程知识产权管理国际标准。</w:t>
            </w:r>
          </w:p>
          <w:p w14:paraId="570B2922">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开展园区企业专利技术需求征集，形成专利技术需求清单，向园区企业推送专利供给相关信息。</w:t>
            </w:r>
          </w:p>
          <w:p w14:paraId="33224834">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default" w:ascii="宋体" w:hAnsi="宋体" w:eastAsia="宋体" w:cs="Times New Roman"/>
                <w:color w:val="auto"/>
                <w:szCs w:val="21"/>
                <w:highlight w:val="none"/>
                <w:lang w:val="en-US" w:eastAsia="zh-CN"/>
              </w:rPr>
              <w:t>组织开展专利转化的相关宣传、培训、交流等活动，加强专利转化实务人才、管理人才的培养工作。</w:t>
            </w:r>
          </w:p>
          <w:p w14:paraId="5D3B291E">
            <w:pPr>
              <w:spacing w:line="360" w:lineRule="exact"/>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二、任务目标</w:t>
            </w:r>
          </w:p>
          <w:p w14:paraId="7CFDC7C4">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1.阶段验收目标</w:t>
            </w:r>
          </w:p>
          <w:p w14:paraId="2C01552E">
            <w:pPr>
              <w:numPr>
                <w:ilvl w:val="0"/>
                <w:numId w:val="0"/>
              </w:num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default" w:ascii="宋体" w:hAnsi="宋体" w:eastAsia="宋体" w:cs="Times New Roman"/>
                <w:color w:val="auto"/>
                <w:szCs w:val="21"/>
                <w:highlight w:val="none"/>
                <w:lang w:val="en-US" w:eastAsia="zh-CN"/>
              </w:rPr>
              <w:t>建设1个产业知识产权运营中心，制定相关规章和管理制度，配备不少于5名知识产权服务人员。</w:t>
            </w:r>
          </w:p>
          <w:p w14:paraId="4504BF4E">
            <w:pPr>
              <w:numPr>
                <w:ilvl w:val="0"/>
                <w:numId w:val="0"/>
              </w:num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w:t>
            </w:r>
            <w:r>
              <w:rPr>
                <w:rFonts w:hint="default" w:ascii="宋体" w:hAnsi="宋体" w:eastAsia="宋体" w:cs="Times New Roman"/>
                <w:color w:val="auto"/>
                <w:szCs w:val="21"/>
                <w:highlight w:val="none"/>
                <w:lang w:val="en-US" w:eastAsia="zh-CN"/>
              </w:rPr>
              <w:t>促成园区内的中小微企业接受高校院所专利转让许可的次数不低于75次，促成接受高校院所专利转让许可的中小微企业数量不低于 15 家。</w:t>
            </w:r>
          </w:p>
          <w:p w14:paraId="2D3B02F3">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default" w:ascii="宋体" w:hAnsi="宋体" w:eastAsia="宋体" w:cs="Times New Roman"/>
                <w:color w:val="auto"/>
                <w:szCs w:val="21"/>
                <w:highlight w:val="none"/>
                <w:lang w:val="en-US" w:eastAsia="zh-CN"/>
              </w:rPr>
              <w:t>园区企业专利质押登记金额不少于1000万元。</w:t>
            </w:r>
          </w:p>
          <w:p w14:paraId="2C39661B">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产业专利池入池转化运营的专利数量不少于20 件。</w:t>
            </w:r>
          </w:p>
          <w:p w14:paraId="5B6C1D44">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default" w:ascii="宋体" w:hAnsi="宋体" w:eastAsia="宋体" w:cs="Times New Roman"/>
                <w:color w:val="auto"/>
                <w:szCs w:val="21"/>
                <w:highlight w:val="none"/>
                <w:lang w:val="en-US" w:eastAsia="zh-CN"/>
              </w:rPr>
              <w:t>完成1份主导产业专利导航报告。</w:t>
            </w:r>
          </w:p>
          <w:p w14:paraId="232D8C6B">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完成1份园区专利分级分类统计报告。</w:t>
            </w:r>
          </w:p>
          <w:p w14:paraId="2670204D">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default" w:ascii="宋体" w:hAnsi="宋体" w:eastAsia="宋体" w:cs="Times New Roman"/>
                <w:color w:val="auto"/>
                <w:szCs w:val="21"/>
                <w:highlight w:val="none"/>
                <w:lang w:val="en-US" w:eastAsia="zh-CN"/>
              </w:rPr>
              <w:t>建立园区企业专利技术需求清单，在广西知识产权交易中心挂牌专利(含供给、需求)不低于100件(条)。</w:t>
            </w:r>
          </w:p>
          <w:p w14:paraId="70FABCD5">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完成时间：</w:t>
            </w:r>
            <w:r>
              <w:rPr>
                <w:rFonts w:hint="eastAsia" w:ascii="宋体" w:hAnsi="宋体" w:cs="Courier New"/>
                <w:color w:val="auto"/>
                <w:szCs w:val="21"/>
                <w:highlight w:val="none"/>
                <w:lang w:val="en-US" w:eastAsia="zh-CN"/>
              </w:rPr>
              <w:t>2024年10</w:t>
            </w:r>
            <w:r>
              <w:rPr>
                <w:rFonts w:hint="eastAsia" w:ascii="宋体" w:hAnsi="宋体" w:cs="Courier New"/>
                <w:color w:val="auto"/>
                <w:szCs w:val="21"/>
                <w:highlight w:val="none"/>
              </w:rPr>
              <w:t>月30日前完成阶段验收</w:t>
            </w:r>
          </w:p>
          <w:p w14:paraId="1D76AC6B">
            <w:pPr>
              <w:numPr>
                <w:ilvl w:val="0"/>
                <w:numId w:val="1"/>
              </w:numPr>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结题验收</w:t>
            </w:r>
          </w:p>
          <w:p w14:paraId="1DC75171">
            <w:pPr>
              <w:numPr>
                <w:ilvl w:val="0"/>
                <w:numId w:val="2"/>
              </w:numPr>
              <w:spacing w:line="360" w:lineRule="exact"/>
              <w:jc w:val="left"/>
              <w:rPr>
                <w:rFonts w:hint="default" w:ascii="宋体" w:hAnsi="宋体" w:cs="Courier New"/>
                <w:color w:val="auto"/>
                <w:szCs w:val="21"/>
                <w:highlight w:val="none"/>
                <w:lang w:val="en-US" w:eastAsia="zh-CN"/>
              </w:rPr>
            </w:pPr>
            <w:r>
              <w:rPr>
                <w:rFonts w:hint="default" w:ascii="宋体" w:hAnsi="宋体" w:cs="Courier New"/>
                <w:color w:val="auto"/>
                <w:szCs w:val="21"/>
                <w:highlight w:val="none"/>
                <w:lang w:val="en-US" w:eastAsia="zh-CN"/>
              </w:rPr>
              <w:t>建设1个产业知识产权运营中心，制定相关规章和管理制度，配备不少于5名知识产权服务人员。</w:t>
            </w:r>
          </w:p>
          <w:p w14:paraId="218DCEBE">
            <w:pPr>
              <w:numPr>
                <w:ilvl w:val="0"/>
                <w:numId w:val="2"/>
              </w:numPr>
              <w:spacing w:line="360" w:lineRule="exact"/>
              <w:jc w:val="left"/>
              <w:rPr>
                <w:rFonts w:hint="default" w:ascii="宋体" w:hAnsi="宋体" w:cs="Courier New"/>
                <w:color w:val="auto"/>
                <w:szCs w:val="21"/>
                <w:highlight w:val="none"/>
                <w:lang w:val="en-US" w:eastAsia="zh-CN"/>
              </w:rPr>
            </w:pPr>
            <w:r>
              <w:rPr>
                <w:rFonts w:hint="default" w:ascii="宋体" w:hAnsi="宋体" w:cs="Courier New"/>
                <w:color w:val="auto"/>
                <w:szCs w:val="21"/>
                <w:highlight w:val="none"/>
                <w:lang w:val="en-US" w:eastAsia="zh-CN"/>
              </w:rPr>
              <w:t>园区企业通过转让、许可</w:t>
            </w:r>
            <w:r>
              <w:rPr>
                <w:rFonts w:hint="default" w:ascii="宋体" w:hAnsi="宋体" w:eastAsia="宋体" w:cs="Courier New"/>
                <w:color w:val="auto"/>
                <w:szCs w:val="21"/>
                <w:highlight w:val="none"/>
                <w:lang w:val="en-US" w:eastAsia="zh-CN"/>
              </w:rPr>
              <w:t>、作价入股等方式转化实施的高校院所发明专利的数量和金额较2023年底增幅不低于15%</w:t>
            </w:r>
            <w:r>
              <w:rPr>
                <w:rFonts w:hint="eastAsia" w:ascii="宋体" w:hAnsi="宋体" w:eastAsia="宋体" w:cs="Courier New"/>
                <w:color w:val="auto"/>
                <w:szCs w:val="21"/>
                <w:highlight w:val="none"/>
                <w:lang w:val="en-US" w:eastAsia="zh-CN"/>
              </w:rPr>
              <w:t>，</w:t>
            </w:r>
            <w:r>
              <w:rPr>
                <w:rFonts w:hint="default" w:ascii="宋体" w:hAnsi="宋体" w:eastAsia="宋体" w:cs="Courier New"/>
                <w:color w:val="auto"/>
                <w:szCs w:val="21"/>
                <w:highlight w:val="none"/>
                <w:lang w:val="en-US" w:eastAsia="zh-CN"/>
              </w:rPr>
              <w:t>即115件</w:t>
            </w:r>
            <w:r>
              <w:rPr>
                <w:rFonts w:hint="eastAsia" w:ascii="宋体" w:hAnsi="宋体" w:eastAsia="宋体" w:cs="Courier New"/>
                <w:color w:val="auto"/>
                <w:szCs w:val="21"/>
                <w:highlight w:val="none"/>
                <w:lang w:val="en-US" w:eastAsia="zh-CN"/>
              </w:rPr>
              <w:t>；</w:t>
            </w:r>
            <w:r>
              <w:rPr>
                <w:rFonts w:hint="default" w:ascii="宋体" w:hAnsi="宋体" w:eastAsia="宋体" w:cs="Courier New"/>
                <w:color w:val="auto"/>
                <w:szCs w:val="21"/>
                <w:highlight w:val="none"/>
                <w:lang w:val="en-US" w:eastAsia="zh-CN"/>
              </w:rPr>
              <w:t>促成园区内的中小微企业接受高校院所专利转让许可的次数不低于150次，促成接受高校院所专利转让许可的中小微企业数量不</w:t>
            </w:r>
            <w:r>
              <w:rPr>
                <w:rFonts w:hint="default" w:ascii="宋体" w:hAnsi="宋体" w:cs="Courier New"/>
                <w:color w:val="auto"/>
                <w:szCs w:val="21"/>
                <w:highlight w:val="none"/>
                <w:lang w:val="en-US" w:eastAsia="zh-CN"/>
              </w:rPr>
              <w:t>低于 30家。</w:t>
            </w:r>
          </w:p>
          <w:p w14:paraId="6D1D46DF">
            <w:pPr>
              <w:numPr>
                <w:ilvl w:val="0"/>
                <w:numId w:val="0"/>
              </w:numPr>
              <w:spacing w:line="360" w:lineRule="exact"/>
              <w:jc w:val="left"/>
              <w:rPr>
                <w:rFonts w:hint="default" w:ascii="宋体" w:hAnsi="宋体" w:eastAsia="宋体" w:cs="Courier New"/>
                <w:color w:val="auto"/>
                <w:szCs w:val="21"/>
                <w:highlight w:val="none"/>
                <w:lang w:val="en-US" w:eastAsia="zh-CN"/>
              </w:rPr>
            </w:pPr>
            <w:r>
              <w:rPr>
                <w:rFonts w:hint="eastAsia" w:ascii="宋体" w:hAnsi="宋体" w:cs="Courier New"/>
                <w:color w:val="auto"/>
                <w:szCs w:val="21"/>
                <w:highlight w:val="none"/>
                <w:lang w:val="en-US" w:eastAsia="zh-CN"/>
              </w:rPr>
              <w:t>（3）</w:t>
            </w:r>
            <w:r>
              <w:rPr>
                <w:rFonts w:hint="default" w:ascii="宋体" w:hAnsi="宋体" w:cs="Courier New"/>
                <w:color w:val="auto"/>
                <w:szCs w:val="21"/>
                <w:highlight w:val="none"/>
                <w:lang w:val="en-US" w:eastAsia="zh-CN"/>
              </w:rPr>
              <w:t>园</w:t>
            </w:r>
            <w:r>
              <w:rPr>
                <w:rFonts w:hint="default" w:ascii="宋体" w:hAnsi="宋体" w:eastAsia="宋体" w:cs="Courier New"/>
                <w:color w:val="auto"/>
                <w:szCs w:val="21"/>
                <w:highlight w:val="none"/>
                <w:lang w:val="en-US" w:eastAsia="zh-CN"/>
              </w:rPr>
              <w:t>区企业专利质押登记金额、普惠性贷款惠及企业数量较2023年底增幅不低于15%，即2.3亿元</w:t>
            </w:r>
            <w:r>
              <w:rPr>
                <w:rFonts w:hint="eastAsia" w:ascii="宋体" w:hAnsi="宋体" w:eastAsia="宋体" w:cs="Courier New"/>
                <w:color w:val="auto"/>
                <w:szCs w:val="21"/>
                <w:highlight w:val="none"/>
                <w:lang w:val="en-US" w:eastAsia="zh-CN"/>
              </w:rPr>
              <w:t>。</w:t>
            </w:r>
            <w:r>
              <w:rPr>
                <w:rFonts w:hint="default" w:ascii="宋体" w:hAnsi="宋体" w:eastAsia="宋体" w:cs="Courier New"/>
                <w:color w:val="auto"/>
                <w:szCs w:val="21"/>
                <w:highlight w:val="none"/>
                <w:lang w:val="en-US" w:eastAsia="zh-CN"/>
              </w:rPr>
              <w:t>普惠性贷款惠及企业数量不少于4家。</w:t>
            </w:r>
          </w:p>
          <w:p w14:paraId="4F77F736">
            <w:pPr>
              <w:numPr>
                <w:ilvl w:val="0"/>
                <w:numId w:val="0"/>
              </w:numPr>
              <w:spacing w:line="360" w:lineRule="exact"/>
              <w:jc w:val="left"/>
              <w:rPr>
                <w:rFonts w:hint="default" w:ascii="宋体" w:hAnsi="宋体" w:cs="Courier New"/>
                <w:color w:val="auto"/>
                <w:szCs w:val="21"/>
                <w:highlight w:val="none"/>
                <w:lang w:val="en-US" w:eastAsia="zh-CN"/>
              </w:rPr>
            </w:pPr>
            <w:r>
              <w:rPr>
                <w:rFonts w:hint="eastAsia" w:ascii="宋体" w:hAnsi="宋体" w:cs="Courier New"/>
                <w:color w:val="auto"/>
                <w:szCs w:val="21"/>
                <w:highlight w:val="none"/>
                <w:lang w:val="en-US" w:eastAsia="zh-CN"/>
              </w:rPr>
              <w:t>（4）</w:t>
            </w:r>
            <w:r>
              <w:rPr>
                <w:rFonts w:hint="default" w:ascii="宋体" w:hAnsi="宋体" w:cs="Courier New"/>
                <w:color w:val="auto"/>
                <w:szCs w:val="21"/>
                <w:highlight w:val="none"/>
                <w:lang w:val="en-US" w:eastAsia="zh-CN"/>
              </w:rPr>
              <w:t>产业专利池入池转化运营的专利数量不少于50件，达</w:t>
            </w:r>
          </w:p>
          <w:p w14:paraId="6475AB42">
            <w:pPr>
              <w:numPr>
                <w:ilvl w:val="0"/>
                <w:numId w:val="0"/>
              </w:numPr>
              <w:spacing w:line="360" w:lineRule="exact"/>
              <w:jc w:val="left"/>
              <w:rPr>
                <w:rFonts w:hint="default" w:ascii="宋体" w:hAnsi="宋体" w:cs="Courier New"/>
                <w:color w:val="auto"/>
                <w:szCs w:val="21"/>
                <w:highlight w:val="none"/>
                <w:lang w:val="en-US" w:eastAsia="zh-CN"/>
              </w:rPr>
            </w:pPr>
            <w:r>
              <w:rPr>
                <w:rFonts w:hint="default" w:ascii="宋体" w:hAnsi="宋体" w:cs="Courier New"/>
                <w:color w:val="auto"/>
                <w:szCs w:val="21"/>
                <w:highlight w:val="none"/>
                <w:lang w:val="en-US" w:eastAsia="zh-CN"/>
              </w:rPr>
              <w:t>成专利开放许可数量不低于 10件。</w:t>
            </w:r>
          </w:p>
          <w:p w14:paraId="6A491330">
            <w:pPr>
              <w:numPr>
                <w:ilvl w:val="0"/>
                <w:numId w:val="0"/>
              </w:numPr>
              <w:spacing w:line="360" w:lineRule="exact"/>
              <w:jc w:val="left"/>
              <w:rPr>
                <w:rFonts w:hint="default" w:ascii="宋体" w:hAnsi="宋体" w:cs="Courier New"/>
                <w:color w:val="auto"/>
                <w:szCs w:val="21"/>
                <w:highlight w:val="none"/>
                <w:lang w:val="en-US" w:eastAsia="zh-CN"/>
              </w:rPr>
            </w:pPr>
            <w:r>
              <w:rPr>
                <w:rFonts w:hint="eastAsia" w:ascii="宋体" w:hAnsi="宋体" w:cs="Courier New"/>
                <w:color w:val="auto"/>
                <w:szCs w:val="21"/>
                <w:highlight w:val="none"/>
                <w:lang w:val="en-US" w:eastAsia="zh-CN"/>
              </w:rPr>
              <w:t>（5）</w:t>
            </w:r>
            <w:r>
              <w:rPr>
                <w:rFonts w:hint="default" w:ascii="宋体" w:hAnsi="宋体" w:cs="Courier New"/>
                <w:color w:val="auto"/>
                <w:szCs w:val="21"/>
                <w:highlight w:val="none"/>
              </w:rPr>
              <w:t>参照《专利导航指南 第3部分：产业规划》（GB/T 39551.3- 2020），对园区2个主导产业开展专利导航分析，完成2份主导产业专利导航报告。</w:t>
            </w:r>
          </w:p>
          <w:p w14:paraId="1B4B182D">
            <w:pPr>
              <w:numPr>
                <w:ilvl w:val="0"/>
                <w:numId w:val="0"/>
              </w:numPr>
              <w:spacing w:line="360" w:lineRule="exact"/>
              <w:jc w:val="left"/>
              <w:rPr>
                <w:rFonts w:hint="default" w:ascii="宋体" w:hAnsi="宋体" w:cs="Courier New"/>
                <w:color w:val="auto"/>
                <w:szCs w:val="21"/>
                <w:highlight w:val="none"/>
                <w:lang w:val="en-US" w:eastAsia="zh-CN"/>
              </w:rPr>
            </w:pPr>
            <w:r>
              <w:rPr>
                <w:rFonts w:hint="eastAsia" w:ascii="宋体" w:hAnsi="宋体" w:cs="Courier New"/>
                <w:color w:val="auto"/>
                <w:szCs w:val="21"/>
                <w:highlight w:val="none"/>
                <w:lang w:val="en-US" w:eastAsia="zh-CN"/>
              </w:rPr>
              <w:t>（6）</w:t>
            </w:r>
            <w:r>
              <w:rPr>
                <w:rFonts w:hint="default" w:ascii="宋体" w:hAnsi="宋体" w:cs="Courier New"/>
                <w:color w:val="auto"/>
                <w:szCs w:val="21"/>
                <w:highlight w:val="none"/>
                <w:lang w:val="en-US" w:eastAsia="zh-CN"/>
              </w:rPr>
              <w:t>完成1份园区专利分级分类统计报告。</w:t>
            </w:r>
          </w:p>
          <w:p w14:paraId="4498CD35">
            <w:pPr>
              <w:numPr>
                <w:ilvl w:val="0"/>
                <w:numId w:val="0"/>
              </w:numPr>
              <w:spacing w:line="360" w:lineRule="exact"/>
              <w:jc w:val="left"/>
              <w:rPr>
                <w:rFonts w:hint="default" w:ascii="宋体" w:hAnsi="宋体" w:cs="Courier New"/>
                <w:color w:val="auto"/>
                <w:szCs w:val="21"/>
                <w:highlight w:val="none"/>
                <w:lang w:val="en-US" w:eastAsia="zh-CN"/>
              </w:rPr>
            </w:pPr>
            <w:r>
              <w:rPr>
                <w:rFonts w:hint="eastAsia" w:ascii="宋体" w:hAnsi="宋体" w:cs="Courier New"/>
                <w:color w:val="auto"/>
                <w:szCs w:val="21"/>
                <w:highlight w:val="none"/>
                <w:lang w:val="en-US" w:eastAsia="zh-CN"/>
              </w:rPr>
              <w:t>（7）</w:t>
            </w:r>
            <w:r>
              <w:rPr>
                <w:rFonts w:hint="default" w:ascii="宋体" w:hAnsi="宋体" w:cs="Courier New"/>
                <w:color w:val="auto"/>
                <w:szCs w:val="21"/>
                <w:highlight w:val="none"/>
                <w:lang w:val="en-US" w:eastAsia="zh-CN"/>
              </w:rPr>
              <w:t>建立园区企业专利技术需求清单，在广西知识产权交易中心挂牌专利(含供给、需求)不低于300件(条)。</w:t>
            </w:r>
          </w:p>
          <w:p w14:paraId="43417602">
            <w:pPr>
              <w:numPr>
                <w:ilvl w:val="0"/>
                <w:numId w:val="0"/>
              </w:numPr>
              <w:spacing w:line="360" w:lineRule="exact"/>
              <w:jc w:val="left"/>
              <w:rPr>
                <w:rFonts w:hint="default" w:ascii="宋体" w:hAnsi="宋体" w:cs="Courier New"/>
                <w:color w:val="auto"/>
                <w:szCs w:val="21"/>
                <w:highlight w:val="none"/>
                <w:lang w:val="en-US" w:eastAsia="zh-CN"/>
              </w:rPr>
            </w:pPr>
            <w:r>
              <w:rPr>
                <w:rFonts w:hint="eastAsia" w:ascii="宋体" w:hAnsi="宋体" w:cs="Courier New"/>
                <w:color w:val="auto"/>
                <w:szCs w:val="21"/>
                <w:highlight w:val="none"/>
                <w:lang w:val="en-US" w:eastAsia="zh-CN"/>
              </w:rPr>
              <w:t>（8）</w:t>
            </w:r>
            <w:r>
              <w:rPr>
                <w:rFonts w:hint="default" w:ascii="宋体" w:hAnsi="宋体" w:cs="Courier New"/>
                <w:color w:val="auto"/>
                <w:szCs w:val="21"/>
                <w:highlight w:val="none"/>
                <w:lang w:val="en-US" w:eastAsia="zh-CN"/>
              </w:rPr>
              <w:t>园区企业专利产品备案不少于30件。</w:t>
            </w:r>
          </w:p>
          <w:p w14:paraId="15F5D2C4">
            <w:pPr>
              <w:numPr>
                <w:ilvl w:val="0"/>
                <w:numId w:val="0"/>
              </w:numPr>
              <w:spacing w:line="360" w:lineRule="exact"/>
              <w:jc w:val="left"/>
              <w:rPr>
                <w:rFonts w:hint="default" w:ascii="宋体" w:hAnsi="宋体" w:cs="Courier New"/>
                <w:color w:val="auto"/>
                <w:szCs w:val="21"/>
                <w:highlight w:val="none"/>
                <w:lang w:val="en-US" w:eastAsia="zh-CN"/>
              </w:rPr>
            </w:pPr>
            <w:r>
              <w:rPr>
                <w:rFonts w:hint="eastAsia" w:ascii="宋体" w:hAnsi="宋体" w:cs="Courier New"/>
                <w:color w:val="auto"/>
                <w:szCs w:val="21"/>
                <w:highlight w:val="none"/>
                <w:lang w:val="en-US" w:eastAsia="zh-CN"/>
              </w:rPr>
              <w:t>（9）</w:t>
            </w:r>
            <w:r>
              <w:rPr>
                <w:rFonts w:hint="default" w:ascii="宋体" w:hAnsi="宋体" w:cs="Courier New"/>
                <w:color w:val="auto"/>
                <w:szCs w:val="21"/>
                <w:highlight w:val="none"/>
                <w:lang w:val="en-US" w:eastAsia="zh-CN"/>
              </w:rPr>
              <w:t>总结形成专利转化示范园区建设可复制可推广的经验做法(典型案例)。</w:t>
            </w:r>
          </w:p>
          <w:p w14:paraId="14C03AAC">
            <w:pPr>
              <w:numPr>
                <w:ilvl w:val="0"/>
                <w:numId w:val="0"/>
              </w:numPr>
              <w:spacing w:line="360" w:lineRule="exact"/>
              <w:jc w:val="left"/>
              <w:rPr>
                <w:rFonts w:hint="default" w:ascii="宋体" w:hAnsi="宋体" w:cs="Courier New"/>
                <w:color w:val="auto"/>
                <w:szCs w:val="21"/>
                <w:highlight w:val="none"/>
                <w:lang w:val="en-US" w:eastAsia="zh-CN"/>
              </w:rPr>
            </w:pPr>
            <w:r>
              <w:rPr>
                <w:rFonts w:hint="eastAsia" w:ascii="宋体" w:hAnsi="宋体" w:cs="Courier New"/>
                <w:color w:val="auto"/>
                <w:szCs w:val="21"/>
                <w:highlight w:val="none"/>
                <w:lang w:val="en-US" w:eastAsia="zh-CN"/>
              </w:rPr>
              <w:t>完成时间：2024年</w:t>
            </w:r>
            <w:r>
              <w:rPr>
                <w:rFonts w:hint="eastAsia" w:ascii="宋体" w:hAnsi="宋体" w:cs="Courier New"/>
                <w:color w:val="auto"/>
                <w:szCs w:val="21"/>
                <w:highlight w:val="none"/>
              </w:rPr>
              <w:t>12月15日前完成结题验收</w:t>
            </w:r>
            <w:r>
              <w:rPr>
                <w:rFonts w:hint="eastAsia" w:ascii="宋体" w:hAnsi="宋体" w:cs="Courier New"/>
                <w:color w:val="auto"/>
                <w:szCs w:val="21"/>
                <w:highlight w:val="none"/>
                <w:lang w:eastAsia="zh-CN"/>
              </w:rPr>
              <w:t>。</w:t>
            </w:r>
          </w:p>
        </w:tc>
      </w:tr>
      <w:tr w14:paraId="04F84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9251" w:type="dxa"/>
            <w:gridSpan w:val="6"/>
            <w:noWrap w:val="0"/>
            <w:vAlign w:val="center"/>
          </w:tcPr>
          <w:p w14:paraId="6953A03E">
            <w:pPr>
              <w:snapToGrid w:val="0"/>
              <w:spacing w:line="360" w:lineRule="exact"/>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二、商务要求</w:t>
            </w:r>
          </w:p>
        </w:tc>
      </w:tr>
      <w:tr w14:paraId="5CF3D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154" w:type="dxa"/>
            <w:gridSpan w:val="3"/>
            <w:tcBorders>
              <w:right w:val="single" w:color="auto" w:sz="4" w:space="0"/>
            </w:tcBorders>
            <w:noWrap w:val="0"/>
            <w:vAlign w:val="center"/>
          </w:tcPr>
          <w:p w14:paraId="53D3A138">
            <w:pPr>
              <w:adjustRightInd w:val="0"/>
              <w:spacing w:line="360" w:lineRule="exact"/>
              <w:ind w:left="6"/>
              <w:jc w:val="center"/>
              <w:rPr>
                <w:rFonts w:ascii="宋体" w:hAnsi="宋体"/>
                <w:color w:val="auto"/>
                <w:szCs w:val="21"/>
                <w:highlight w:val="none"/>
              </w:rPr>
            </w:pPr>
            <w:r>
              <w:rPr>
                <w:rFonts w:hint="eastAsia" w:ascii="宋体" w:hAnsi="宋体"/>
                <w:color w:val="auto"/>
                <w:szCs w:val="21"/>
                <w:highlight w:val="none"/>
              </w:rPr>
              <w:t>报价要求</w:t>
            </w:r>
          </w:p>
        </w:tc>
        <w:tc>
          <w:tcPr>
            <w:tcW w:w="7097" w:type="dxa"/>
            <w:gridSpan w:val="3"/>
            <w:tcBorders>
              <w:left w:val="single" w:color="auto" w:sz="4" w:space="0"/>
            </w:tcBorders>
            <w:noWrap w:val="0"/>
            <w:vAlign w:val="center"/>
          </w:tcPr>
          <w:p w14:paraId="0953B122">
            <w:pPr>
              <w:snapToGrid w:val="0"/>
              <w:spacing w:line="360" w:lineRule="exact"/>
              <w:rPr>
                <w:rFonts w:ascii="宋体" w:hAnsi="宋体" w:cs="宋体"/>
                <w:bCs/>
                <w:color w:val="auto"/>
                <w:szCs w:val="21"/>
                <w:highlight w:val="none"/>
              </w:rPr>
            </w:pPr>
            <w:bookmarkStart w:id="0" w:name="_Toc66804042"/>
            <w:r>
              <w:rPr>
                <w:rFonts w:hint="eastAsia" w:ascii="宋体" w:hAnsi="宋体" w:cs="宋体"/>
                <w:bCs/>
                <w:color w:val="auto"/>
                <w:szCs w:val="21"/>
                <w:highlight w:val="none"/>
              </w:rPr>
              <w:t>1.磋商报价：</w:t>
            </w:r>
          </w:p>
          <w:p w14:paraId="312EC55C">
            <w:pPr>
              <w:snapToGri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（1）服务的价格（如劳务、管理、协调、售后服务、调研费用、编写报告费用、税费、人工差旅费及评审费等其它费用）。</w:t>
            </w:r>
          </w:p>
          <w:p w14:paraId="0F3A41A5">
            <w:pPr>
              <w:snapToGri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（2）必要的保险费用和各项税金；</w:t>
            </w:r>
          </w:p>
          <w:p w14:paraId="701AD428">
            <w:pPr>
              <w:snapToGri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（3）该项目全程服务过程中所发生的一切费用均由服务方自行承担。磋商报价中应包含以上全部内容，成交后采购人不再另行支付额外费用。</w:t>
            </w:r>
          </w:p>
          <w:p w14:paraId="17A40A58">
            <w:pPr>
              <w:snapToGrid w:val="0"/>
              <w:spacing w:line="360" w:lineRule="exact"/>
              <w:rPr>
                <w:rFonts w:ascii="宋体" w:hAnsi="宋体" w:cs="Courier New"/>
                <w:color w:val="auto"/>
                <w:szCs w:val="21"/>
                <w:highlight w:val="none"/>
              </w:rPr>
            </w:pPr>
            <w:r>
              <w:rPr>
                <w:rFonts w:hint="eastAsia" w:ascii="宋体" w:hAnsi="宋体" w:cs="宋体"/>
                <w:bCs/>
                <w:color w:val="auto"/>
                <w:szCs w:val="21"/>
                <w:highlight w:val="none"/>
              </w:rPr>
              <w:t>2.磋商供应商磋商报价超出采购预算金额的，其磋商无效。</w:t>
            </w:r>
            <w:bookmarkEnd w:id="0"/>
          </w:p>
        </w:tc>
      </w:tr>
      <w:tr w14:paraId="782F9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2154" w:type="dxa"/>
            <w:gridSpan w:val="3"/>
            <w:tcBorders>
              <w:right w:val="single" w:color="auto" w:sz="4" w:space="0"/>
            </w:tcBorders>
            <w:noWrap w:val="0"/>
            <w:vAlign w:val="center"/>
          </w:tcPr>
          <w:p w14:paraId="4DEEADA9">
            <w:pPr>
              <w:snapToGrid w:val="0"/>
              <w:spacing w:line="360" w:lineRule="exact"/>
              <w:jc w:val="center"/>
              <w:rPr>
                <w:rFonts w:ascii="宋体" w:hAnsi="宋体"/>
                <w:color w:val="auto"/>
                <w:szCs w:val="21"/>
                <w:highlight w:val="none"/>
              </w:rPr>
            </w:pPr>
            <w:r>
              <w:rPr>
                <w:rFonts w:hint="eastAsia" w:ascii="宋体" w:hAnsi="宋体"/>
                <w:color w:val="auto"/>
                <w:szCs w:val="21"/>
                <w:highlight w:val="none"/>
                <w:lang w:bidi="hi-IN"/>
              </w:rPr>
              <w:t>成果交付时间</w:t>
            </w:r>
            <w:r>
              <w:rPr>
                <w:rFonts w:hint="eastAsia" w:ascii="宋体" w:hAnsi="宋体"/>
                <w:color w:val="auto"/>
                <w:szCs w:val="21"/>
                <w:highlight w:val="none"/>
              </w:rPr>
              <w:t>及地点</w:t>
            </w:r>
          </w:p>
        </w:tc>
        <w:tc>
          <w:tcPr>
            <w:tcW w:w="7097" w:type="dxa"/>
            <w:gridSpan w:val="3"/>
            <w:tcBorders>
              <w:left w:val="single" w:color="auto" w:sz="4" w:space="0"/>
            </w:tcBorders>
            <w:noWrap w:val="0"/>
            <w:vAlign w:val="center"/>
          </w:tcPr>
          <w:p w14:paraId="4202F676">
            <w:pPr>
              <w:adjustRightInd w:val="0"/>
              <w:spacing w:line="360" w:lineRule="exact"/>
              <w:ind w:left="6"/>
              <w:outlineLvl w:val="0"/>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1.成果交付时间：</w:t>
            </w:r>
            <w:r>
              <w:rPr>
                <w:rFonts w:hint="eastAsia" w:ascii="宋体" w:hAnsi="宋体" w:cs="Courier New"/>
                <w:color w:val="auto"/>
                <w:szCs w:val="21"/>
                <w:highlight w:val="none"/>
                <w:lang w:val="en-US" w:eastAsia="zh-CN"/>
              </w:rPr>
              <w:t>2024年10</w:t>
            </w:r>
            <w:r>
              <w:rPr>
                <w:rFonts w:hint="eastAsia" w:ascii="宋体" w:hAnsi="宋体" w:cs="Courier New"/>
                <w:color w:val="auto"/>
                <w:szCs w:val="21"/>
                <w:highlight w:val="none"/>
              </w:rPr>
              <w:t>月30日前完成阶段验收，</w:t>
            </w:r>
            <w:r>
              <w:rPr>
                <w:rFonts w:hint="eastAsia" w:ascii="宋体" w:hAnsi="宋体" w:cs="Courier New"/>
                <w:color w:val="auto"/>
                <w:szCs w:val="21"/>
                <w:highlight w:val="none"/>
                <w:lang w:val="en-US" w:eastAsia="zh-CN"/>
              </w:rPr>
              <w:t>2024年</w:t>
            </w:r>
            <w:r>
              <w:rPr>
                <w:rFonts w:hint="eastAsia" w:ascii="宋体" w:hAnsi="宋体" w:cs="Courier New"/>
                <w:color w:val="auto"/>
                <w:szCs w:val="21"/>
                <w:highlight w:val="none"/>
              </w:rPr>
              <w:t>12月15日前完成结题验收</w:t>
            </w:r>
            <w:r>
              <w:rPr>
                <w:rFonts w:hint="eastAsia" w:ascii="宋体" w:hAnsi="宋体" w:cs="Courier New"/>
                <w:color w:val="auto"/>
                <w:szCs w:val="21"/>
                <w:highlight w:val="none"/>
                <w:lang w:eastAsia="zh-CN"/>
              </w:rPr>
              <w:t>。</w:t>
            </w:r>
          </w:p>
          <w:p w14:paraId="6350F9C9">
            <w:pPr>
              <w:adjustRightInd w:val="0"/>
              <w:spacing w:line="360" w:lineRule="exact"/>
              <w:ind w:left="6"/>
              <w:outlineLvl w:val="0"/>
              <w:rPr>
                <w:rFonts w:ascii="宋体" w:hAnsi="宋体"/>
                <w:color w:val="auto"/>
                <w:szCs w:val="21"/>
                <w:highlight w:val="none"/>
                <w:lang w:bidi="hi-IN"/>
              </w:rPr>
            </w:pPr>
            <w:r>
              <w:rPr>
                <w:rFonts w:hint="eastAsia" w:ascii="宋体" w:hAnsi="宋体" w:cs="Courier New"/>
                <w:color w:val="auto"/>
                <w:szCs w:val="21"/>
                <w:highlight w:val="none"/>
              </w:rPr>
              <w:t>2.成果交付地点：防城港市采购人指定地点。</w:t>
            </w:r>
          </w:p>
        </w:tc>
      </w:tr>
      <w:tr w14:paraId="262EC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154" w:type="dxa"/>
            <w:gridSpan w:val="3"/>
            <w:tcBorders>
              <w:right w:val="single" w:color="auto" w:sz="4" w:space="0"/>
            </w:tcBorders>
            <w:noWrap w:val="0"/>
            <w:vAlign w:val="center"/>
          </w:tcPr>
          <w:p w14:paraId="329E38B0">
            <w:pPr>
              <w:spacing w:line="360" w:lineRule="exact"/>
              <w:jc w:val="center"/>
              <w:rPr>
                <w:rFonts w:ascii="宋体" w:hAnsi="宋体"/>
                <w:color w:val="auto"/>
                <w:szCs w:val="21"/>
                <w:highlight w:val="none"/>
              </w:rPr>
            </w:pPr>
            <w:r>
              <w:rPr>
                <w:rFonts w:hint="eastAsia" w:ascii="宋体" w:hAnsi="宋体"/>
                <w:color w:val="auto"/>
                <w:szCs w:val="21"/>
                <w:highlight w:val="none"/>
              </w:rPr>
              <w:t>合同签订期</w:t>
            </w:r>
          </w:p>
        </w:tc>
        <w:tc>
          <w:tcPr>
            <w:tcW w:w="7097" w:type="dxa"/>
            <w:gridSpan w:val="3"/>
            <w:tcBorders>
              <w:left w:val="single" w:color="auto" w:sz="4" w:space="0"/>
            </w:tcBorders>
            <w:noWrap w:val="0"/>
            <w:vAlign w:val="center"/>
          </w:tcPr>
          <w:p w14:paraId="1B2998A8">
            <w:pPr>
              <w:adjustRightInd w:val="0"/>
              <w:spacing w:line="360" w:lineRule="exact"/>
              <w:ind w:left="6"/>
              <w:rPr>
                <w:rFonts w:ascii="宋体" w:hAnsi="宋体"/>
                <w:color w:val="auto"/>
                <w:szCs w:val="21"/>
                <w:highlight w:val="none"/>
              </w:rPr>
            </w:pPr>
            <w:r>
              <w:rPr>
                <w:rFonts w:hint="eastAsia" w:ascii="宋体" w:hAnsi="宋体"/>
                <w:color w:val="auto"/>
                <w:szCs w:val="21"/>
                <w:highlight w:val="none"/>
              </w:rPr>
              <w:t>成交通知书发出后2</w:t>
            </w:r>
            <w:r>
              <w:rPr>
                <w:rFonts w:hint="eastAsia" w:ascii="宋体" w:hAnsi="宋体"/>
                <w:color w:val="auto"/>
                <w:szCs w:val="21"/>
                <w:highlight w:val="none"/>
                <w:lang w:val="en-US" w:eastAsia="zh-CN"/>
              </w:rPr>
              <w:t>5</w:t>
            </w:r>
            <w:r>
              <w:rPr>
                <w:rFonts w:hint="eastAsia" w:ascii="宋体" w:hAnsi="宋体"/>
                <w:color w:val="auto"/>
                <w:szCs w:val="21"/>
                <w:highlight w:val="none"/>
              </w:rPr>
              <w:t>日内。</w:t>
            </w:r>
          </w:p>
        </w:tc>
      </w:tr>
      <w:tr w14:paraId="7D40E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154" w:type="dxa"/>
            <w:gridSpan w:val="3"/>
            <w:tcBorders>
              <w:right w:val="single" w:color="auto" w:sz="4" w:space="0"/>
            </w:tcBorders>
            <w:noWrap w:val="0"/>
            <w:vAlign w:val="center"/>
          </w:tcPr>
          <w:p w14:paraId="790E34CB">
            <w:pPr>
              <w:snapToGrid w:val="0"/>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付款</w:t>
            </w:r>
            <w:r>
              <w:rPr>
                <w:rFonts w:hint="eastAsia" w:ascii="宋体" w:hAnsi="宋体"/>
                <w:color w:val="auto"/>
                <w:szCs w:val="21"/>
                <w:highlight w:val="none"/>
                <w:lang w:eastAsia="zh-CN"/>
              </w:rPr>
              <w:t>方式</w:t>
            </w:r>
          </w:p>
        </w:tc>
        <w:tc>
          <w:tcPr>
            <w:tcW w:w="7097" w:type="dxa"/>
            <w:gridSpan w:val="3"/>
            <w:tcBorders>
              <w:left w:val="single" w:color="auto" w:sz="4" w:space="0"/>
            </w:tcBorders>
            <w:noWrap w:val="0"/>
            <w:vAlign w:val="center"/>
          </w:tcPr>
          <w:p w14:paraId="47DF4FBF">
            <w:pPr>
              <w:spacing w:line="360" w:lineRule="exact"/>
              <w:ind w:firstLine="420" w:firstLineChars="200"/>
              <w:rPr>
                <w:rFonts w:hint="eastAsia" w:ascii="宋体" w:hAnsi="宋体" w:eastAsia="宋体" w:cs="方正仿宋_GBK"/>
                <w:bCs/>
                <w:color w:val="auto"/>
                <w:szCs w:val="21"/>
                <w:highlight w:val="none"/>
              </w:rPr>
            </w:pPr>
            <w:r>
              <w:rPr>
                <w:rFonts w:hint="eastAsia" w:ascii="宋体" w:hAnsi="宋体" w:cs="方正仿宋_GBK"/>
                <w:bCs/>
                <w:color w:val="auto"/>
                <w:szCs w:val="21"/>
                <w:highlight w:val="none"/>
                <w:lang w:eastAsia="zh-CN"/>
              </w:rPr>
              <w:t>1</w:t>
            </w:r>
            <w:r>
              <w:rPr>
                <w:rFonts w:hint="eastAsia" w:ascii="宋体" w:hAnsi="宋体" w:cs="方正仿宋_GBK"/>
                <w:bCs/>
                <w:color w:val="auto"/>
                <w:szCs w:val="21"/>
                <w:highlight w:val="none"/>
                <w:lang w:val="en-US" w:eastAsia="zh-CN"/>
              </w:rPr>
              <w:t>.</w:t>
            </w:r>
            <w:r>
              <w:rPr>
                <w:rFonts w:hint="eastAsia" w:ascii="宋体" w:hAnsi="宋体" w:cs="方正仿宋_GBK"/>
                <w:bCs/>
                <w:color w:val="auto"/>
                <w:szCs w:val="21"/>
                <w:highlight w:val="none"/>
              </w:rPr>
              <w:t>合同</w:t>
            </w:r>
            <w:r>
              <w:rPr>
                <w:rFonts w:hint="eastAsia" w:ascii="宋体" w:hAnsi="宋体" w:eastAsia="宋体" w:cs="方正仿宋_GBK"/>
                <w:bCs/>
                <w:color w:val="auto"/>
                <w:szCs w:val="21"/>
                <w:highlight w:val="none"/>
              </w:rPr>
              <w:t>签订后，自治区市场监督管理局下达项目立项经费至甲方账户后15个工作日内支付合同总金额的</w:t>
            </w:r>
            <w:r>
              <w:rPr>
                <w:rFonts w:hint="eastAsia" w:ascii="宋体" w:hAnsi="宋体" w:eastAsia="宋体" w:cs="方正仿宋_GBK"/>
                <w:bCs/>
                <w:color w:val="auto"/>
                <w:szCs w:val="21"/>
                <w:highlight w:val="none"/>
                <w:lang w:eastAsia="zh-CN"/>
              </w:rPr>
              <w:t>4</w:t>
            </w:r>
            <w:r>
              <w:rPr>
                <w:rFonts w:hint="eastAsia" w:ascii="宋体" w:hAnsi="宋体" w:eastAsia="宋体" w:cs="方正仿宋_GBK"/>
                <w:bCs/>
                <w:color w:val="auto"/>
                <w:szCs w:val="21"/>
                <w:highlight w:val="none"/>
                <w:lang w:val="en-US" w:eastAsia="zh-CN"/>
              </w:rPr>
              <w:t>5</w:t>
            </w:r>
            <w:r>
              <w:rPr>
                <w:rFonts w:hint="eastAsia" w:ascii="宋体" w:hAnsi="宋体" w:eastAsia="宋体" w:cs="方正仿宋_GBK"/>
                <w:bCs/>
                <w:color w:val="auto"/>
                <w:szCs w:val="21"/>
                <w:highlight w:val="none"/>
              </w:rPr>
              <w:t>%为预付款。</w:t>
            </w:r>
          </w:p>
          <w:p w14:paraId="54A3C435">
            <w:pPr>
              <w:spacing w:line="360" w:lineRule="exact"/>
              <w:ind w:firstLine="420" w:firstLineChars="200"/>
              <w:rPr>
                <w:rFonts w:hint="eastAsia" w:ascii="宋体" w:hAnsi="宋体" w:eastAsia="宋体" w:cs="方正仿宋_GBK"/>
                <w:bCs/>
                <w:color w:val="auto"/>
                <w:szCs w:val="21"/>
                <w:highlight w:val="none"/>
              </w:rPr>
            </w:pPr>
            <w:r>
              <w:rPr>
                <w:rFonts w:hint="eastAsia" w:ascii="宋体" w:hAnsi="宋体" w:eastAsia="宋体" w:cs="方正仿宋_GBK"/>
                <w:bCs/>
                <w:color w:val="auto"/>
                <w:szCs w:val="21"/>
                <w:highlight w:val="none"/>
                <w:lang w:eastAsia="zh-CN"/>
              </w:rPr>
              <w:t>2</w:t>
            </w:r>
            <w:r>
              <w:rPr>
                <w:rFonts w:hint="eastAsia" w:ascii="宋体" w:hAnsi="宋体" w:eastAsia="宋体" w:cs="方正仿宋_GBK"/>
                <w:bCs/>
                <w:color w:val="auto"/>
                <w:szCs w:val="21"/>
                <w:highlight w:val="none"/>
                <w:lang w:val="en-US" w:eastAsia="zh-CN"/>
              </w:rPr>
              <w:t>.</w:t>
            </w:r>
            <w:r>
              <w:rPr>
                <w:rFonts w:hint="eastAsia" w:ascii="宋体" w:hAnsi="宋体" w:eastAsia="宋体" w:cs="方正仿宋_GBK"/>
                <w:bCs/>
                <w:color w:val="auto"/>
                <w:szCs w:val="21"/>
                <w:highlight w:val="none"/>
              </w:rPr>
              <w:t>乙方按要求提交项目阶段验收材料，并经自治区市场监督管局验收通过后，在阶段验收资金下达到甲方账户后15个工作日内支付合同总金额的</w:t>
            </w:r>
            <w:r>
              <w:rPr>
                <w:rFonts w:hint="eastAsia" w:ascii="宋体" w:hAnsi="宋体" w:eastAsia="宋体" w:cs="方正仿宋_GBK"/>
                <w:bCs/>
                <w:color w:val="auto"/>
                <w:szCs w:val="21"/>
                <w:highlight w:val="none"/>
                <w:lang w:eastAsia="zh-CN"/>
              </w:rPr>
              <w:t>3</w:t>
            </w:r>
            <w:r>
              <w:rPr>
                <w:rFonts w:hint="eastAsia" w:ascii="宋体" w:hAnsi="宋体" w:eastAsia="宋体" w:cs="方正仿宋_GBK"/>
                <w:bCs/>
                <w:color w:val="auto"/>
                <w:szCs w:val="21"/>
                <w:highlight w:val="none"/>
                <w:lang w:val="en-US" w:eastAsia="zh-CN"/>
              </w:rPr>
              <w:t>5</w:t>
            </w:r>
            <w:r>
              <w:rPr>
                <w:rFonts w:hint="eastAsia" w:ascii="宋体" w:hAnsi="宋体" w:eastAsia="宋体" w:cs="方正仿宋_GBK"/>
                <w:bCs/>
                <w:color w:val="auto"/>
                <w:szCs w:val="21"/>
                <w:highlight w:val="none"/>
              </w:rPr>
              <w:t>%；</w:t>
            </w:r>
          </w:p>
          <w:p w14:paraId="22A28191">
            <w:pPr>
              <w:spacing w:line="360" w:lineRule="exact"/>
              <w:ind w:firstLine="420" w:firstLineChars="200"/>
              <w:rPr>
                <w:rFonts w:ascii="宋体" w:hAnsi="宋体"/>
                <w:color w:val="auto"/>
                <w:szCs w:val="21"/>
                <w:highlight w:val="none"/>
              </w:rPr>
            </w:pPr>
            <w:r>
              <w:rPr>
                <w:rFonts w:hint="eastAsia" w:ascii="宋体" w:hAnsi="宋体" w:eastAsia="宋体" w:cs="方正仿宋_GBK"/>
                <w:bCs/>
                <w:color w:val="auto"/>
                <w:szCs w:val="21"/>
                <w:highlight w:val="none"/>
                <w:lang w:eastAsia="zh-CN"/>
              </w:rPr>
              <w:t>3</w:t>
            </w:r>
            <w:r>
              <w:rPr>
                <w:rFonts w:hint="eastAsia" w:ascii="宋体" w:hAnsi="宋体" w:eastAsia="宋体" w:cs="方正仿宋_GBK"/>
                <w:bCs/>
                <w:color w:val="auto"/>
                <w:szCs w:val="21"/>
                <w:highlight w:val="none"/>
                <w:lang w:val="en-US" w:eastAsia="zh-CN"/>
              </w:rPr>
              <w:t>.</w:t>
            </w:r>
            <w:r>
              <w:rPr>
                <w:rFonts w:hint="eastAsia" w:ascii="宋体" w:hAnsi="宋体" w:eastAsia="宋体" w:cs="方正仿宋_GBK"/>
                <w:bCs/>
                <w:color w:val="auto"/>
                <w:szCs w:val="21"/>
                <w:highlight w:val="none"/>
              </w:rPr>
              <w:t>甲方收到自治区市场监督管理局下达的阶段验收资金，乙方按要求提交项目结题验收材料，并经自治区市场监督管局验收通过后15个工作日内支付合同总金额的</w:t>
            </w:r>
            <w:r>
              <w:rPr>
                <w:rFonts w:hint="eastAsia" w:ascii="宋体" w:hAnsi="宋体" w:eastAsia="宋体" w:cs="方正仿宋_GBK"/>
                <w:bCs/>
                <w:color w:val="auto"/>
                <w:szCs w:val="21"/>
                <w:highlight w:val="none"/>
                <w:lang w:eastAsia="zh-CN"/>
              </w:rPr>
              <w:t>2</w:t>
            </w:r>
            <w:r>
              <w:rPr>
                <w:rFonts w:hint="eastAsia" w:ascii="宋体" w:hAnsi="宋体" w:eastAsia="宋体" w:cs="方正仿宋_GBK"/>
                <w:bCs/>
                <w:color w:val="auto"/>
                <w:szCs w:val="21"/>
                <w:highlight w:val="none"/>
                <w:lang w:val="en-US" w:eastAsia="zh-CN"/>
              </w:rPr>
              <w:t>0</w:t>
            </w:r>
            <w:r>
              <w:rPr>
                <w:rFonts w:hint="eastAsia" w:ascii="宋体" w:hAnsi="宋体" w:eastAsia="宋体" w:cs="方正仿宋_GBK"/>
                <w:bCs/>
                <w:color w:val="auto"/>
                <w:szCs w:val="21"/>
                <w:highlight w:val="none"/>
              </w:rPr>
              <w:t>%；</w:t>
            </w:r>
          </w:p>
        </w:tc>
      </w:tr>
      <w:tr w14:paraId="479F8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154" w:type="dxa"/>
            <w:gridSpan w:val="3"/>
            <w:tcBorders>
              <w:right w:val="single" w:color="auto" w:sz="4" w:space="0"/>
            </w:tcBorders>
            <w:noWrap w:val="0"/>
            <w:vAlign w:val="center"/>
          </w:tcPr>
          <w:p w14:paraId="2ADA70B4">
            <w:pPr>
              <w:spacing w:line="360" w:lineRule="exact"/>
              <w:jc w:val="center"/>
              <w:rPr>
                <w:color w:val="auto"/>
                <w:szCs w:val="21"/>
                <w:highlight w:val="none"/>
              </w:rPr>
            </w:pPr>
            <w:r>
              <w:rPr>
                <w:rFonts w:hAnsi="宋体"/>
                <w:color w:val="auto"/>
                <w:szCs w:val="21"/>
                <w:highlight w:val="none"/>
              </w:rPr>
              <w:t>质量及</w:t>
            </w:r>
            <w:r>
              <w:rPr>
                <w:rFonts w:hint="eastAsia"/>
                <w:color w:val="auto"/>
                <w:highlight w:val="none"/>
              </w:rPr>
              <w:t>验收标准</w:t>
            </w:r>
          </w:p>
        </w:tc>
        <w:tc>
          <w:tcPr>
            <w:tcW w:w="7097" w:type="dxa"/>
            <w:gridSpan w:val="3"/>
            <w:tcBorders>
              <w:left w:val="single" w:color="auto" w:sz="4" w:space="0"/>
            </w:tcBorders>
            <w:noWrap w:val="0"/>
            <w:vAlign w:val="center"/>
          </w:tcPr>
          <w:p w14:paraId="6FF5AF7B">
            <w:pPr>
              <w:adjustRightInd w:val="0"/>
              <w:snapToGrid w:val="0"/>
              <w:spacing w:line="360" w:lineRule="exact"/>
              <w:rPr>
                <w:rFonts w:ascii="宋体" w:hAnsi="宋体"/>
                <w:color w:val="auto"/>
                <w:szCs w:val="21"/>
                <w:highlight w:val="none"/>
              </w:rPr>
            </w:pPr>
            <w:r>
              <w:rPr>
                <w:color w:val="auto"/>
                <w:highlight w:val="none"/>
              </w:rPr>
              <w:t>符合国家及行业现行有关规范、标准，并通过相关部门组织的</w:t>
            </w:r>
            <w:r>
              <w:rPr>
                <w:color w:val="auto"/>
                <w:spacing w:val="-1"/>
                <w:highlight w:val="none"/>
              </w:rPr>
              <w:t>审查与评审。</w:t>
            </w:r>
          </w:p>
        </w:tc>
      </w:tr>
      <w:tr w14:paraId="01029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154" w:type="dxa"/>
            <w:gridSpan w:val="3"/>
            <w:tcBorders>
              <w:right w:val="single" w:color="auto" w:sz="4" w:space="0"/>
            </w:tcBorders>
            <w:noWrap w:val="0"/>
            <w:vAlign w:val="center"/>
          </w:tcPr>
          <w:p w14:paraId="7D6146B9">
            <w:pPr>
              <w:adjustRightInd w:val="0"/>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其他要求</w:t>
            </w:r>
          </w:p>
        </w:tc>
        <w:tc>
          <w:tcPr>
            <w:tcW w:w="7097" w:type="dxa"/>
            <w:gridSpan w:val="3"/>
            <w:tcBorders>
              <w:left w:val="single" w:color="auto" w:sz="4" w:space="0"/>
            </w:tcBorders>
            <w:noWrap w:val="0"/>
            <w:vAlign w:val="center"/>
          </w:tcPr>
          <w:p w14:paraId="6E49A4ED">
            <w:pPr>
              <w:spacing w:line="360" w:lineRule="exact"/>
              <w:ind w:firstLine="420" w:firstLineChars="200"/>
              <w:rPr>
                <w:rFonts w:hint="eastAsia" w:ascii="宋体" w:hAnsi="宋体" w:eastAsia="宋体" w:cs="方正仿宋_GBK"/>
                <w:bCs/>
                <w:color w:val="auto"/>
                <w:szCs w:val="21"/>
                <w:highlight w:val="none"/>
                <w:lang w:val="en-US" w:eastAsia="zh-CN"/>
              </w:rPr>
            </w:pPr>
            <w:r>
              <w:rPr>
                <w:rFonts w:hint="eastAsia" w:ascii="宋体" w:hAnsi="宋体" w:eastAsia="宋体" w:cs="方正仿宋_GBK"/>
                <w:bCs/>
                <w:color w:val="auto"/>
                <w:szCs w:val="21"/>
                <w:highlight w:val="none"/>
                <w:lang w:val="en-US" w:eastAsia="zh-CN"/>
              </w:rPr>
              <w:t>1.成交供应商应按合同要求按时、按质、按量推进项目工作。</w:t>
            </w:r>
          </w:p>
          <w:p w14:paraId="7FA339E1">
            <w:pPr>
              <w:spacing w:line="360" w:lineRule="exact"/>
              <w:ind w:firstLine="420" w:firstLineChars="200"/>
              <w:rPr>
                <w:rFonts w:hint="eastAsia" w:ascii="宋体" w:hAnsi="宋体" w:eastAsia="宋体" w:cs="方正仿宋_GBK"/>
                <w:bCs/>
                <w:color w:val="auto"/>
                <w:szCs w:val="21"/>
                <w:highlight w:val="none"/>
                <w:lang w:val="en-US" w:eastAsia="zh-CN"/>
              </w:rPr>
            </w:pPr>
            <w:r>
              <w:rPr>
                <w:rFonts w:hint="eastAsia" w:ascii="宋体" w:hAnsi="宋体" w:eastAsia="宋体" w:cs="方正仿宋_GBK"/>
                <w:bCs/>
                <w:color w:val="auto"/>
                <w:szCs w:val="21"/>
                <w:highlight w:val="none"/>
                <w:lang w:val="en-US" w:eastAsia="zh-CN"/>
              </w:rPr>
              <w:t>2.成交供应商应参加采购人要求的本项目的审查和讨论的工作会议。</w:t>
            </w:r>
          </w:p>
          <w:p w14:paraId="4F0C9B5C">
            <w:pPr>
              <w:spacing w:line="360" w:lineRule="exact"/>
              <w:ind w:firstLine="420" w:firstLineChars="200"/>
              <w:rPr>
                <w:rFonts w:ascii="宋体" w:hAnsi="宋体"/>
                <w:b/>
                <w:bCs/>
                <w:color w:val="auto"/>
                <w:szCs w:val="21"/>
                <w:highlight w:val="none"/>
              </w:rPr>
            </w:pPr>
            <w:r>
              <w:rPr>
                <w:rFonts w:hint="eastAsia" w:ascii="宋体" w:hAnsi="宋体" w:eastAsia="宋体" w:cs="方正仿宋_GBK"/>
                <w:bCs/>
                <w:color w:val="auto"/>
                <w:szCs w:val="21"/>
                <w:highlight w:val="none"/>
                <w:lang w:val="en-US" w:eastAsia="zh-CN"/>
              </w:rPr>
              <w:t>3.必须服从采购人的任务分配并在采购人规定的时间内完成项目任务并提交合格成果文件。</w:t>
            </w:r>
          </w:p>
        </w:tc>
      </w:tr>
      <w:tr w14:paraId="7B4BC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154" w:type="dxa"/>
            <w:gridSpan w:val="3"/>
            <w:tcBorders>
              <w:right w:val="single" w:color="auto" w:sz="4" w:space="0"/>
            </w:tcBorders>
            <w:noWrap w:val="0"/>
            <w:vAlign w:val="top"/>
          </w:tcPr>
          <w:p w14:paraId="2C01CD24">
            <w:pPr>
              <w:snapToGrid w:val="0"/>
              <w:spacing w:line="360" w:lineRule="exact"/>
              <w:jc w:val="center"/>
              <w:rPr>
                <w:rFonts w:ascii="宋体" w:hAnsi="宋体"/>
                <w:color w:val="auto"/>
                <w:szCs w:val="21"/>
                <w:highlight w:val="none"/>
              </w:rPr>
            </w:pPr>
          </w:p>
          <w:p w14:paraId="42680354">
            <w:pPr>
              <w:snapToGrid w:val="0"/>
              <w:spacing w:line="360" w:lineRule="exact"/>
              <w:jc w:val="center"/>
              <w:rPr>
                <w:rFonts w:ascii="宋体" w:hAnsi="宋体"/>
                <w:color w:val="auto"/>
                <w:szCs w:val="21"/>
                <w:highlight w:val="none"/>
              </w:rPr>
            </w:pPr>
          </w:p>
          <w:p w14:paraId="715F2583">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知识产权</w:t>
            </w:r>
          </w:p>
        </w:tc>
        <w:tc>
          <w:tcPr>
            <w:tcW w:w="7097" w:type="dxa"/>
            <w:gridSpan w:val="3"/>
            <w:tcBorders>
              <w:left w:val="single" w:color="auto" w:sz="4" w:space="0"/>
            </w:tcBorders>
            <w:noWrap w:val="0"/>
            <w:vAlign w:val="top"/>
          </w:tcPr>
          <w:p w14:paraId="649C2CFD">
            <w:pPr>
              <w:snapToGrid w:val="0"/>
              <w:spacing w:line="360" w:lineRule="exact"/>
              <w:jc w:val="left"/>
              <w:rPr>
                <w:rFonts w:ascii="宋体" w:hAnsi="宋体"/>
                <w:color w:val="auto"/>
                <w:szCs w:val="21"/>
                <w:highlight w:val="none"/>
              </w:rPr>
            </w:pPr>
            <w:r>
              <w:rPr>
                <w:rFonts w:hint="eastAsia" w:ascii="宋体" w:hAnsi="宋体"/>
                <w:color w:val="auto"/>
                <w:szCs w:val="21"/>
                <w:highlight w:val="none"/>
              </w:rPr>
              <w:t>本项目所形成的数据和报告归采购人所有。未经采购人允许，不得将数据和报告发送给任何第三方。对工作开展过程中知悉的国家秘密、商业秘密和个人信息，应予以保密。采购人在中华人民共和国境内使用成交人提供的产品及服务时免受第三方提出的侵犯其专利权或其它知识产权的起诉。如果第三方提出侵权指控，成交人应承担由此而引起的一切法律责任和费用。</w:t>
            </w:r>
          </w:p>
        </w:tc>
      </w:tr>
    </w:tbl>
    <w:p w14:paraId="2810B9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73F2C"/>
    <w:multiLevelType w:val="singleLevel"/>
    <w:tmpl w:val="C3873F2C"/>
    <w:lvl w:ilvl="0" w:tentative="0">
      <w:start w:val="2"/>
      <w:numFmt w:val="decimal"/>
      <w:lvlText w:val="%1."/>
      <w:lvlJc w:val="left"/>
      <w:pPr>
        <w:tabs>
          <w:tab w:val="left" w:pos="312"/>
        </w:tabs>
      </w:pPr>
    </w:lvl>
  </w:abstractNum>
  <w:abstractNum w:abstractNumId="1">
    <w:nsid w:val="34652352"/>
    <w:multiLevelType w:val="singleLevel"/>
    <w:tmpl w:val="3465235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MGExNjAzZTNjZDdjMTc5ZmZkODNlNGY4NzAxN2MifQ=="/>
  </w:docVars>
  <w:rsids>
    <w:rsidRoot w:val="00000000"/>
    <w:rsid w:val="33AF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99"/>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2024-09-18T03:16:54Z</dcterms:created>
  <dc:creator>Administrator</dc:creator>
  <cp:lastModifiedBy>小猪</cp:lastModifiedBy>
  <dcterms:modified xsi:type="dcterms:W3CDTF">2024-09-18T03:17:01Z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770F35881F9B40BF9843F31DD1B4BC56_12</vt:lpwstr>
  </property>
</Properties>
</file>