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97570">
      <w:pPr>
        <w:pStyle w:val="2"/>
        <w:jc w:val="center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采购需求</w:t>
      </w:r>
    </w:p>
    <w:p w14:paraId="6C500E17">
      <w:pPr>
        <w:spacing w:line="360" w:lineRule="auto"/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说明：</w:t>
      </w:r>
    </w:p>
    <w:p w14:paraId="6DCE5384"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为落实政府采购政策需满足的要求</w:t>
      </w:r>
    </w:p>
    <w:p w14:paraId="3E342B2D"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ascii="宋体" w:hAnsi="宋体" w:cs="Arial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（1）本竞争性谈判采购文件所称中小企业必须符合《政府采购促进中小企业发展管理办法》（财库〔2020〕46号）的规定。</w:t>
      </w:r>
      <w:bookmarkStart w:id="0" w:name="_Hlk48036094"/>
    </w:p>
    <w:bookmarkEnd w:id="0"/>
    <w:p w14:paraId="06A88F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288" w:lineRule="auto"/>
        <w:ind w:firstLine="431"/>
        <w:rPr>
          <w:rFonts w:hint="eastAsia" w:ascii="宋体" w:hAnsi="宋体" w:cs="Arial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采购预算：</w:t>
      </w:r>
      <w:r>
        <w:rPr>
          <w:rFonts w:hint="eastAsia" w:ascii="宋体" w:hAnsi="宋体" w:cs="Arial"/>
          <w:b/>
          <w:bCs w:val="0"/>
          <w:color w:val="auto"/>
          <w:szCs w:val="21"/>
          <w:highlight w:val="none"/>
          <w:u w:val="single"/>
        </w:rPr>
        <w:t xml:space="preserve"> 102.947904万元</w:t>
      </w:r>
    </w:p>
    <w:p w14:paraId="714FF1F7">
      <w:pPr>
        <w:spacing w:line="360" w:lineRule="auto"/>
        <w:ind w:firstLine="308" w:firstLineChars="147"/>
        <w:jc w:val="left"/>
        <w:rPr>
          <w:rFonts w:ascii="宋体" w:hAnsi="宋体" w:cs="Arial"/>
          <w:bCs/>
          <w:color w:val="auto"/>
          <w:szCs w:val="21"/>
          <w:highlight w:val="none"/>
          <w:u w:val="single"/>
        </w:rPr>
      </w:pPr>
    </w:p>
    <w:tbl>
      <w:tblPr>
        <w:tblStyle w:val="3"/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60"/>
        <w:gridCol w:w="1092"/>
        <w:gridCol w:w="585"/>
        <w:gridCol w:w="540"/>
        <w:gridCol w:w="4560"/>
        <w:gridCol w:w="900"/>
        <w:gridCol w:w="1272"/>
      </w:tblGrid>
      <w:tr w14:paraId="779A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12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C41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服务需求一览表</w:t>
            </w:r>
          </w:p>
        </w:tc>
      </w:tr>
      <w:tr w14:paraId="1876B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1FE5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采购清单及技术参数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4AD1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38701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采购服务名称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BDDC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5E03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08026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5204DDBB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C1C4F08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服务要求和参数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A1F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预算合计（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015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中小企业划分标准所属行业名称（行业名称及划分见本章附件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</w:t>
            </w:r>
          </w:p>
        </w:tc>
      </w:tr>
      <w:tr w14:paraId="2CA73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A11BA7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DD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C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广西凭祥产业园办公楼租赁采购项目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4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2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F6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一、采购内容</w:t>
            </w:r>
          </w:p>
          <w:p w14:paraId="4104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广西凭祥产业园规划范围内，租赁面积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不小于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9000平方米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、能满足150-200人日常办公、用餐、停车需求的办公楼。</w:t>
            </w:r>
          </w:p>
          <w:p w14:paraId="6938B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1.要求办公场地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位于广西凭祥产业园规划范围内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4A4FC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2.总建筑面积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㎡以上。</w:t>
            </w:r>
          </w:p>
          <w:p w14:paraId="72382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办公人员多，须满足电梯不少于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61AD5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4.租赁场地须装有独立水、电表。</w:t>
            </w:r>
          </w:p>
          <w:p w14:paraId="3D0E5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5.房屋产权明晣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租赁场地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必须为竞标人所有，不接受转租。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提供房屋产权证明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或房屋使用证明或土地使用证明或规划建设许可证明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E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102.947904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D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租赁和商务服务业</w:t>
            </w:r>
          </w:p>
        </w:tc>
      </w:tr>
      <w:tr w14:paraId="4A01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2549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1182E40B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447472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▲</w:t>
            </w:r>
          </w:p>
          <w:p w14:paraId="7A67E5D0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商务条款</w:t>
            </w:r>
          </w:p>
        </w:tc>
        <w:tc>
          <w:tcPr>
            <w:tcW w:w="9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FF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（一）合同签订期：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自成交通知书发出之日起15日内，因不可抗力原因延迟签订合同的，自不可抗力事由消除之日起5个工作日内完成合同签订事宜。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15708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（二）服务期限：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合同签订之日起1年。如采购人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办公场地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存在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调整，需要提前终止的，提前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个月告知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成交供应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如采购人项目业务主管部门对项目期限延续审批进行明确的，以主管部门相关文件要求为准，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中标商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不得有异议。</w:t>
            </w:r>
          </w:p>
          <w:p w14:paraId="16C65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（三）付款方式：租金按季提前支付，先交租后使用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，签订合同后，乙方每季度末2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日前将租金发票送达甲方，甲方在收到乙方租金发票之日起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0个工作日向乙方以转账方式支付季度租金，乙方未提交正式发票，甲方有权暂不付款且不构成违约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。如提前终止合同，最终按实际租用期进行结算。</w:t>
            </w:r>
          </w:p>
          <w:p w14:paraId="08192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（四）其他要求</w:t>
            </w:r>
          </w:p>
          <w:p w14:paraId="5D498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1.所有服务均严格按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文件上购买服务内容的实质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要求、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响应和承诺的服务内容等有关标准进行验收，达不到要求的不予验收。</w:t>
            </w:r>
          </w:p>
          <w:p w14:paraId="0A18F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2.本项目年度预算金额为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：1029479.04元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1FEC1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3.租赁期：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合同签订之日起1年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 w14:paraId="6CBAE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协商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报价应包括本次招标采购范围内办公场地的租金、税金、承诺的服务以及其他所有成本费用的总和。</w:t>
            </w:r>
          </w:p>
          <w:p w14:paraId="2CB46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根据本项目需求及自身情况，于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文件中提供相应的服务方案，该方案内容包括但不限于服务保障措施、增值服务方案。</w:t>
            </w:r>
          </w:p>
          <w:p w14:paraId="4CA37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6.成交供应商未按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文件中《需求一览表》中的内容提供服务或服务未达标准的，采购人可解除本合同。</w:t>
            </w:r>
          </w:p>
          <w:p w14:paraId="4C54A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7.租赁期间所发生的水电费、物业管理费、卫生垃圾费、城管费等费用由采购人支付。 </w:t>
            </w:r>
          </w:p>
          <w:p w14:paraId="74BB5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8.采购人改变场地结构、装修等均须事先征得成交供应商的书面同意后方可施工。采购人在合同期满后不再续租的，依附于场地拆除有损房屋的结构、墙面、地面、天花板的装修物无偿归成交供应商所有。</w:t>
            </w:r>
          </w:p>
          <w:p w14:paraId="50EC3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9.如因政府或政策性因素需要采购人搬迁的，成交供应商应在接到书面通知2日内告知采购人，采购人应按政府要求做好搬迁工作；采购人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成交供应商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不承担责任；同时双方结清相应租金。</w:t>
            </w:r>
          </w:p>
        </w:tc>
      </w:tr>
      <w:tr w14:paraId="68E8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4902">
            <w:pPr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其他说明</w:t>
            </w:r>
          </w:p>
        </w:tc>
        <w:tc>
          <w:tcPr>
            <w:tcW w:w="9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C63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</w:tbl>
    <w:p w14:paraId="3DC667E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34BEE"/>
    <w:multiLevelType w:val="singleLevel"/>
    <w:tmpl w:val="98634BE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尚︱燚(yi)洛</cp:lastModifiedBy>
  <dcterms:modified xsi:type="dcterms:W3CDTF">2025-04-10T07:44:58Z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eyJoZGlkIjoiOGYwYjkwMzY2YzBkMDI4NmFiNjFlYzFiNzI5MjRkZTIiLCJ1c2VySWQiOiI0MDcwNTQwNjYifQ==</vt:lpwstr>
  </property>
  <property fmtid="{D5CDD505-2E9C-101B-9397-08002B2CF9AE}" pid="4" name="ICV">
    <vt:lpwstr>2BC79EB648E84E35AA774E46DBBAEABE_12</vt:lpwstr>
  </property>
</Properties>
</file>