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E15943">
      <w:pPr>
        <w:spacing w:before="169" w:line="360" w:lineRule="auto"/>
        <w:ind w:left="3028"/>
        <w:outlineLvl w:val="0"/>
        <w:rPr>
          <w:rFonts w:ascii="宋体" w:hAnsi="宋体" w:cs="宋体"/>
          <w:color w:val="auto"/>
          <w:sz w:val="52"/>
          <w:szCs w:val="52"/>
        </w:rPr>
      </w:pPr>
      <w:bookmarkStart w:id="0" w:name="_Toc13570"/>
      <w:bookmarkStart w:id="1" w:name="_Hlk172189281"/>
      <w:r>
        <w:rPr>
          <w:rFonts w:hint="eastAsia" w:ascii="宋体" w:hAnsi="宋体" w:cs="宋体"/>
          <w:color w:val="auto"/>
          <w:spacing w:val="-5"/>
          <w:sz w:val="52"/>
          <w:szCs w:val="52"/>
        </w:rPr>
        <w:t>南</w:t>
      </w:r>
      <w:r>
        <w:rPr>
          <w:rFonts w:hint="eastAsia" w:ascii="宋体" w:hAnsi="宋体" w:cs="宋体"/>
          <w:color w:val="auto"/>
          <w:spacing w:val="-3"/>
          <w:sz w:val="52"/>
          <w:szCs w:val="52"/>
        </w:rPr>
        <w:t>宁市政府采购</w:t>
      </w:r>
      <w:bookmarkEnd w:id="0"/>
    </w:p>
    <w:p w14:paraId="3853F5C0">
      <w:pPr>
        <w:spacing w:line="360" w:lineRule="auto"/>
        <w:rPr>
          <w:rFonts w:ascii="宋体" w:hAnsi="宋体" w:cs="宋体"/>
          <w:color w:val="auto"/>
        </w:rPr>
      </w:pPr>
    </w:p>
    <w:p w14:paraId="2C7C42B8">
      <w:pPr>
        <w:spacing w:before="169" w:line="360" w:lineRule="auto"/>
        <w:ind w:left="1728"/>
        <w:rPr>
          <w:rFonts w:ascii="宋体" w:hAnsi="宋体" w:cs="宋体"/>
          <w:color w:val="auto"/>
          <w:sz w:val="52"/>
          <w:szCs w:val="52"/>
        </w:rPr>
      </w:pPr>
      <w:r>
        <w:rPr>
          <w:rFonts w:hint="eastAsia" w:ascii="宋体" w:hAnsi="宋体" w:cs="宋体"/>
          <w:color w:val="auto"/>
          <w:spacing w:val="23"/>
          <w:sz w:val="52"/>
          <w:szCs w:val="52"/>
        </w:rPr>
        <w:t>竞</w:t>
      </w:r>
      <w:r>
        <w:rPr>
          <w:rFonts w:hint="eastAsia" w:ascii="宋体" w:hAnsi="宋体" w:cs="宋体"/>
          <w:color w:val="auto"/>
          <w:spacing w:val="16"/>
          <w:sz w:val="52"/>
          <w:szCs w:val="52"/>
        </w:rPr>
        <w:t>争性磋商文件(服务类)</w:t>
      </w:r>
    </w:p>
    <w:p w14:paraId="0652612A">
      <w:pPr>
        <w:spacing w:line="360" w:lineRule="auto"/>
        <w:rPr>
          <w:rFonts w:ascii="宋体" w:hAnsi="宋体" w:cs="宋体"/>
          <w:color w:val="auto"/>
        </w:rPr>
      </w:pPr>
    </w:p>
    <w:p w14:paraId="30F389B5">
      <w:pPr>
        <w:spacing w:line="360" w:lineRule="auto"/>
        <w:rPr>
          <w:rFonts w:ascii="宋体" w:hAnsi="宋体" w:cs="宋体"/>
          <w:color w:val="auto"/>
        </w:rPr>
      </w:pPr>
    </w:p>
    <w:p w14:paraId="2B8A8B3A">
      <w:pPr>
        <w:spacing w:before="234" w:line="360" w:lineRule="auto"/>
        <w:ind w:left="2369"/>
        <w:outlineLvl w:val="0"/>
        <w:rPr>
          <w:rFonts w:ascii="宋体" w:hAnsi="宋体" w:cs="宋体"/>
          <w:color w:val="auto"/>
        </w:rPr>
      </w:pPr>
      <w:bookmarkStart w:id="2" w:name="_Toc8068"/>
      <w:r>
        <w:rPr>
          <w:rFonts w:hint="eastAsia" w:ascii="宋体" w:hAnsi="宋体" w:cs="宋体"/>
          <w:color w:val="auto"/>
          <w:spacing w:val="-11"/>
          <w:sz w:val="72"/>
          <w:szCs w:val="72"/>
        </w:rPr>
        <w:t>竞</w:t>
      </w:r>
      <w:r>
        <w:rPr>
          <w:rFonts w:hint="eastAsia" w:ascii="宋体" w:hAnsi="宋体" w:cs="宋体"/>
          <w:color w:val="auto"/>
          <w:spacing w:val="-8"/>
          <w:sz w:val="72"/>
          <w:szCs w:val="72"/>
        </w:rPr>
        <w:t>争性磋商文件</w:t>
      </w:r>
      <w:bookmarkEnd w:id="2"/>
    </w:p>
    <w:p w14:paraId="05C31BED">
      <w:pPr>
        <w:spacing w:line="360" w:lineRule="auto"/>
        <w:rPr>
          <w:rFonts w:ascii="宋体" w:hAnsi="宋体" w:cs="宋体"/>
          <w:color w:val="auto"/>
        </w:rPr>
      </w:pPr>
    </w:p>
    <w:p w14:paraId="416B007A">
      <w:pPr>
        <w:spacing w:before="68" w:line="360" w:lineRule="auto"/>
        <w:ind w:left="3785"/>
        <w:rPr>
          <w:rFonts w:ascii="宋体" w:hAnsi="宋体" w:cs="宋体"/>
          <w:color w:val="auto"/>
          <w:szCs w:val="21"/>
        </w:rPr>
      </w:pPr>
      <w:r>
        <w:rPr>
          <w:rFonts w:hint="eastAsia" w:ascii="宋体" w:hAnsi="宋体" w:cs="宋体"/>
          <w:color w:val="auto"/>
          <w:spacing w:val="14"/>
          <w:szCs w:val="21"/>
        </w:rPr>
        <w:t>(</w:t>
      </w:r>
      <w:r>
        <w:rPr>
          <w:rFonts w:hint="eastAsia" w:ascii="宋体" w:hAnsi="宋体" w:cs="宋体"/>
          <w:color w:val="auto"/>
          <w:spacing w:val="7"/>
          <w:szCs w:val="21"/>
        </w:rPr>
        <w:t>全流程电子化评标)</w:t>
      </w:r>
    </w:p>
    <w:p w14:paraId="161004BA">
      <w:pPr>
        <w:spacing w:line="360" w:lineRule="auto"/>
        <w:rPr>
          <w:rFonts w:ascii="宋体" w:hAnsi="宋体" w:cs="宋体"/>
          <w:color w:val="auto"/>
        </w:rPr>
      </w:pPr>
    </w:p>
    <w:p w14:paraId="494499EC">
      <w:pPr>
        <w:spacing w:line="360" w:lineRule="auto"/>
        <w:rPr>
          <w:rFonts w:ascii="宋体" w:hAnsi="宋体" w:cs="宋体"/>
          <w:color w:val="auto"/>
        </w:rPr>
      </w:pPr>
    </w:p>
    <w:p w14:paraId="18F64460">
      <w:pPr>
        <w:spacing w:line="360" w:lineRule="auto"/>
        <w:rPr>
          <w:rFonts w:ascii="宋体" w:hAnsi="宋体" w:cs="宋体"/>
          <w:color w:val="auto"/>
        </w:rPr>
      </w:pPr>
    </w:p>
    <w:p w14:paraId="174227F0">
      <w:pPr>
        <w:spacing w:line="360" w:lineRule="auto"/>
        <w:rPr>
          <w:rFonts w:ascii="宋体" w:hAnsi="宋体" w:cs="宋体"/>
          <w:color w:val="auto"/>
        </w:rPr>
      </w:pPr>
    </w:p>
    <w:p w14:paraId="60457BF7">
      <w:pPr>
        <w:spacing w:line="360" w:lineRule="auto"/>
        <w:rPr>
          <w:rFonts w:ascii="宋体" w:hAnsi="宋体" w:cs="宋体"/>
          <w:color w:val="auto"/>
        </w:rPr>
      </w:pPr>
    </w:p>
    <w:p w14:paraId="27CCDC5E">
      <w:pPr>
        <w:spacing w:line="360" w:lineRule="auto"/>
        <w:rPr>
          <w:rFonts w:ascii="宋体" w:hAnsi="宋体" w:cs="宋体"/>
          <w:color w:val="auto"/>
        </w:rPr>
      </w:pPr>
    </w:p>
    <w:p w14:paraId="5541CA20">
      <w:pPr>
        <w:spacing w:line="360" w:lineRule="auto"/>
        <w:rPr>
          <w:rFonts w:ascii="宋体" w:hAnsi="宋体" w:cs="宋体"/>
          <w:color w:val="auto"/>
        </w:rPr>
      </w:pPr>
    </w:p>
    <w:p w14:paraId="70F3DDAA">
      <w:pPr>
        <w:spacing w:line="360" w:lineRule="auto"/>
        <w:ind w:firstLine="849" w:firstLineChars="283"/>
        <w:rPr>
          <w:rFonts w:ascii="宋体" w:hAnsi="宋体"/>
          <w:color w:val="auto"/>
          <w:sz w:val="30"/>
          <w:szCs w:val="30"/>
        </w:rPr>
      </w:pPr>
      <w:r>
        <w:rPr>
          <w:rFonts w:hint="eastAsia" w:ascii="宋体" w:hAnsi="宋体"/>
          <w:color w:val="auto"/>
          <w:sz w:val="30"/>
          <w:szCs w:val="30"/>
        </w:rPr>
        <w:t>项目名称：移动流量与短信租用服务采购</w:t>
      </w:r>
    </w:p>
    <w:p w14:paraId="7378AD1F">
      <w:pPr>
        <w:spacing w:line="360" w:lineRule="auto"/>
        <w:ind w:firstLine="849" w:firstLineChars="283"/>
        <w:rPr>
          <w:rFonts w:hint="eastAsia" w:ascii="宋体" w:hAnsi="宋体" w:eastAsia="宋体"/>
          <w:color w:val="auto"/>
          <w:sz w:val="30"/>
          <w:szCs w:val="30"/>
          <w:lang w:eastAsia="zh-CN"/>
        </w:rPr>
      </w:pPr>
      <w:r>
        <w:rPr>
          <w:rFonts w:hint="eastAsia" w:ascii="宋体" w:hAnsi="宋体"/>
          <w:color w:val="auto"/>
          <w:sz w:val="30"/>
          <w:szCs w:val="30"/>
        </w:rPr>
        <w:t>项目编号：</w:t>
      </w:r>
      <w:r>
        <w:rPr>
          <w:rFonts w:hint="eastAsia" w:ascii="宋体" w:hAnsi="宋体"/>
          <w:color w:val="auto"/>
          <w:sz w:val="30"/>
          <w:szCs w:val="30"/>
          <w:lang w:eastAsia="zh-CN"/>
        </w:rPr>
        <w:t>NNZC2024-C3-991810-GXJH</w:t>
      </w:r>
    </w:p>
    <w:p w14:paraId="3C06BE3C">
      <w:pPr>
        <w:spacing w:line="360" w:lineRule="auto"/>
        <w:ind w:firstLine="849" w:firstLineChars="283"/>
        <w:rPr>
          <w:rFonts w:ascii="宋体" w:hAnsi="宋体"/>
          <w:color w:val="auto"/>
          <w:sz w:val="30"/>
          <w:szCs w:val="30"/>
        </w:rPr>
      </w:pPr>
      <w:r>
        <w:rPr>
          <w:rFonts w:hint="eastAsia" w:ascii="宋体" w:hAnsi="宋体"/>
          <w:color w:val="auto"/>
          <w:sz w:val="30"/>
          <w:szCs w:val="30"/>
        </w:rPr>
        <w:t>项目所属区划：</w:t>
      </w:r>
      <w:r>
        <w:rPr>
          <w:rFonts w:hint="eastAsia" w:ascii="宋体" w:hAnsi="宋体"/>
          <w:color w:val="auto"/>
          <w:sz w:val="30"/>
          <w:szCs w:val="30"/>
          <w:u w:val="single"/>
        </w:rPr>
        <w:t>南宁市本级</w:t>
      </w:r>
      <w:r>
        <w:rPr>
          <w:rFonts w:hint="eastAsia" w:ascii="宋体" w:hAnsi="宋体"/>
          <w:color w:val="auto"/>
          <w:sz w:val="30"/>
          <w:szCs w:val="30"/>
        </w:rPr>
        <w:t xml:space="preserve">               </w:t>
      </w:r>
    </w:p>
    <w:p w14:paraId="57A72AAB">
      <w:pPr>
        <w:spacing w:line="360" w:lineRule="auto"/>
        <w:ind w:firstLine="849" w:firstLineChars="283"/>
        <w:rPr>
          <w:rFonts w:ascii="宋体" w:hAnsi="宋体"/>
          <w:color w:val="auto"/>
          <w:sz w:val="30"/>
          <w:szCs w:val="30"/>
        </w:rPr>
      </w:pPr>
      <w:r>
        <w:rPr>
          <w:rFonts w:hint="eastAsia" w:ascii="宋体" w:hAnsi="宋体"/>
          <w:color w:val="auto"/>
          <w:sz w:val="30"/>
          <w:szCs w:val="30"/>
        </w:rPr>
        <w:t>采 购 人：南宁市数据局</w:t>
      </w:r>
    </w:p>
    <w:p w14:paraId="24AAFC1D">
      <w:pPr>
        <w:ind w:firstLine="900" w:firstLineChars="300"/>
        <w:rPr>
          <w:rFonts w:hint="eastAsia" w:ascii="宋体" w:hAnsi="宋体" w:eastAsia="宋体"/>
          <w:color w:val="auto"/>
          <w:sz w:val="30"/>
          <w:szCs w:val="30"/>
          <w:lang w:eastAsia="zh-CN"/>
        </w:rPr>
      </w:pPr>
      <w:r>
        <w:rPr>
          <w:rFonts w:hint="eastAsia" w:ascii="宋体" w:hAnsi="宋体"/>
          <w:color w:val="auto"/>
          <w:sz w:val="30"/>
          <w:szCs w:val="30"/>
        </w:rPr>
        <w:t>采购代理机构：</w:t>
      </w:r>
      <w:r>
        <w:rPr>
          <w:rFonts w:hint="eastAsia" w:ascii="宋体" w:hAnsi="宋体"/>
          <w:color w:val="auto"/>
          <w:sz w:val="30"/>
          <w:szCs w:val="30"/>
          <w:lang w:eastAsia="zh-CN"/>
        </w:rPr>
        <w:t>广西锦辉项目管理有限公司</w:t>
      </w:r>
    </w:p>
    <w:p w14:paraId="42834EC1">
      <w:pPr>
        <w:ind w:firstLine="900" w:firstLineChars="300"/>
        <w:rPr>
          <w:rFonts w:ascii="宋体" w:hAnsi="宋体"/>
          <w:color w:val="auto"/>
          <w:sz w:val="30"/>
          <w:szCs w:val="30"/>
        </w:rPr>
      </w:pPr>
    </w:p>
    <w:p w14:paraId="5D3A6B76">
      <w:pPr>
        <w:ind w:firstLine="900" w:firstLineChars="300"/>
        <w:rPr>
          <w:rFonts w:ascii="宋体" w:hAnsi="宋体"/>
          <w:color w:val="auto"/>
          <w:sz w:val="30"/>
          <w:szCs w:val="30"/>
        </w:rPr>
      </w:pPr>
      <w:r>
        <w:rPr>
          <w:rFonts w:hint="eastAsia" w:ascii="宋体" w:hAnsi="宋体"/>
          <w:color w:val="auto"/>
          <w:sz w:val="30"/>
          <w:szCs w:val="30"/>
        </w:rPr>
        <w:t>2024年</w:t>
      </w:r>
      <w:r>
        <w:rPr>
          <w:rFonts w:hint="eastAsia" w:ascii="宋体" w:hAnsi="宋体"/>
          <w:color w:val="auto"/>
          <w:sz w:val="30"/>
          <w:szCs w:val="30"/>
          <w:lang w:val="en-US" w:eastAsia="zh-CN"/>
        </w:rPr>
        <w:t>12</w:t>
      </w:r>
      <w:r>
        <w:rPr>
          <w:rFonts w:hint="eastAsia" w:ascii="宋体" w:hAnsi="宋体"/>
          <w:color w:val="auto"/>
          <w:sz w:val="30"/>
          <w:szCs w:val="30"/>
        </w:rPr>
        <w:t>月</w:t>
      </w:r>
      <w:bookmarkStart w:id="28" w:name="_GoBack"/>
      <w:bookmarkEnd w:id="28"/>
    </w:p>
    <w:p w14:paraId="5C488817">
      <w:pPr>
        <w:spacing w:line="360" w:lineRule="auto"/>
        <w:rPr>
          <w:rFonts w:ascii="宋体" w:hAnsi="宋体" w:cs="宋体"/>
          <w:color w:val="auto"/>
        </w:rPr>
        <w:sectPr>
          <w:pgSz w:w="11905" w:h="16838"/>
          <w:pgMar w:top="1417" w:right="1134" w:bottom="1417" w:left="1100" w:header="703" w:footer="703" w:gutter="0"/>
          <w:cols w:space="720" w:num="1"/>
        </w:sectPr>
      </w:pPr>
    </w:p>
    <w:p w14:paraId="0B58ABAD">
      <w:pPr>
        <w:spacing w:line="360" w:lineRule="auto"/>
        <w:rPr>
          <w:rFonts w:ascii="宋体" w:hAnsi="宋体" w:cs="宋体"/>
          <w:color w:val="auto"/>
        </w:rPr>
      </w:pPr>
    </w:p>
    <w:p w14:paraId="224934AA">
      <w:pPr>
        <w:spacing w:line="360" w:lineRule="auto"/>
        <w:jc w:val="center"/>
        <w:rPr>
          <w:rFonts w:ascii="宋体" w:hAnsi="宋体" w:cs="仿宋"/>
          <w:color w:val="auto"/>
          <w:sz w:val="32"/>
          <w:szCs w:val="32"/>
        </w:rPr>
      </w:pPr>
      <w:r>
        <w:rPr>
          <w:rFonts w:hint="eastAsia" w:ascii="宋体" w:hAnsi="宋体" w:cs="仿宋"/>
          <w:b/>
          <w:bCs/>
          <w:color w:val="auto"/>
          <w:sz w:val="32"/>
          <w:szCs w:val="32"/>
        </w:rPr>
        <w:t>目录</w:t>
      </w:r>
      <w:r>
        <w:rPr>
          <w:rFonts w:hint="eastAsia" w:ascii="宋体" w:hAnsi="宋体" w:cs="仿宋"/>
          <w:color w:val="auto"/>
          <w:sz w:val="32"/>
          <w:szCs w:val="32"/>
        </w:rPr>
        <w:fldChar w:fldCharType="begin"/>
      </w:r>
      <w:r>
        <w:rPr>
          <w:rFonts w:hint="eastAsia" w:ascii="宋体" w:hAnsi="宋体" w:cs="仿宋"/>
          <w:color w:val="auto"/>
          <w:sz w:val="32"/>
          <w:szCs w:val="32"/>
        </w:rPr>
        <w:instrText xml:space="preserve">TOC \o "1-1" \h \u </w:instrText>
      </w:r>
      <w:r>
        <w:rPr>
          <w:rFonts w:hint="eastAsia" w:ascii="宋体" w:hAnsi="宋体" w:cs="仿宋"/>
          <w:color w:val="auto"/>
          <w:sz w:val="32"/>
          <w:szCs w:val="32"/>
        </w:rPr>
        <w:fldChar w:fldCharType="separate"/>
      </w:r>
    </w:p>
    <w:p w14:paraId="18B47E05">
      <w:pPr>
        <w:pStyle w:val="90"/>
        <w:tabs>
          <w:tab w:val="right" w:leader="dot" w:pos="9639"/>
        </w:tabs>
        <w:spacing w:line="360" w:lineRule="auto"/>
        <w:rPr>
          <w:rFonts w:ascii="宋体" w:hAnsi="宋体" w:cs="仿宋"/>
          <w:color w:val="auto"/>
          <w:sz w:val="32"/>
          <w:szCs w:val="32"/>
        </w:rPr>
      </w:pPr>
      <w:r>
        <w:rPr>
          <w:color w:val="auto"/>
        </w:rPr>
        <w:fldChar w:fldCharType="begin"/>
      </w:r>
      <w:r>
        <w:rPr>
          <w:color w:val="auto"/>
        </w:rPr>
        <w:instrText xml:space="preserve"> HYPERLINK \l "_Toc16075" </w:instrText>
      </w:r>
      <w:r>
        <w:rPr>
          <w:color w:val="auto"/>
        </w:rPr>
        <w:fldChar w:fldCharType="separate"/>
      </w:r>
      <w:r>
        <w:rPr>
          <w:rFonts w:hint="eastAsia" w:ascii="宋体" w:hAnsi="宋体" w:cs="仿宋"/>
          <w:color w:val="auto"/>
          <w:spacing w:val="-14"/>
          <w:sz w:val="32"/>
          <w:szCs w:val="32"/>
        </w:rPr>
        <w:t>第</w:t>
      </w:r>
      <w:r>
        <w:rPr>
          <w:rFonts w:hint="eastAsia" w:ascii="宋体" w:hAnsi="宋体" w:cs="仿宋"/>
          <w:color w:val="auto"/>
          <w:spacing w:val="-11"/>
          <w:sz w:val="32"/>
          <w:szCs w:val="32"/>
        </w:rPr>
        <w:t>一章 竞争性磋商公告</w:t>
      </w:r>
      <w:r>
        <w:rPr>
          <w:rFonts w:hint="eastAsia" w:ascii="宋体" w:hAnsi="宋体" w:cs="仿宋"/>
          <w:color w:val="auto"/>
          <w:sz w:val="32"/>
          <w:szCs w:val="32"/>
        </w:rPr>
        <w:tab/>
      </w:r>
      <w:r>
        <w:rPr>
          <w:rFonts w:hint="eastAsia" w:ascii="宋体" w:hAnsi="宋体" w:cs="仿宋"/>
          <w:color w:val="auto"/>
          <w:sz w:val="32"/>
          <w:szCs w:val="32"/>
        </w:rPr>
        <w:fldChar w:fldCharType="begin"/>
      </w:r>
      <w:r>
        <w:rPr>
          <w:rFonts w:hint="eastAsia" w:ascii="宋体" w:hAnsi="宋体" w:cs="仿宋"/>
          <w:color w:val="auto"/>
          <w:sz w:val="32"/>
          <w:szCs w:val="32"/>
        </w:rPr>
        <w:instrText xml:space="preserve"> PAGEREF _Toc16075 \h </w:instrText>
      </w:r>
      <w:r>
        <w:rPr>
          <w:rFonts w:hint="eastAsia" w:ascii="宋体" w:hAnsi="宋体" w:cs="仿宋"/>
          <w:color w:val="auto"/>
          <w:sz w:val="32"/>
          <w:szCs w:val="32"/>
        </w:rPr>
        <w:fldChar w:fldCharType="separate"/>
      </w:r>
      <w:r>
        <w:rPr>
          <w:rFonts w:hint="eastAsia" w:ascii="宋体" w:hAnsi="宋体" w:cs="仿宋"/>
          <w:color w:val="auto"/>
          <w:sz w:val="32"/>
          <w:szCs w:val="32"/>
        </w:rPr>
        <w:t>1</w:t>
      </w:r>
      <w:r>
        <w:rPr>
          <w:rFonts w:hint="eastAsia" w:ascii="宋体" w:hAnsi="宋体" w:cs="仿宋"/>
          <w:color w:val="auto"/>
          <w:sz w:val="32"/>
          <w:szCs w:val="32"/>
        </w:rPr>
        <w:fldChar w:fldCharType="end"/>
      </w:r>
      <w:r>
        <w:rPr>
          <w:rFonts w:hint="eastAsia" w:ascii="宋体" w:hAnsi="宋体" w:cs="仿宋"/>
          <w:color w:val="auto"/>
          <w:sz w:val="32"/>
          <w:szCs w:val="32"/>
        </w:rPr>
        <w:fldChar w:fldCharType="end"/>
      </w:r>
    </w:p>
    <w:p w14:paraId="36C282B3">
      <w:pPr>
        <w:pStyle w:val="90"/>
        <w:tabs>
          <w:tab w:val="right" w:leader="dot" w:pos="9639"/>
        </w:tabs>
        <w:spacing w:line="360" w:lineRule="auto"/>
        <w:rPr>
          <w:rFonts w:ascii="宋体" w:hAnsi="宋体" w:cs="仿宋"/>
          <w:color w:val="auto"/>
          <w:sz w:val="32"/>
          <w:szCs w:val="32"/>
        </w:rPr>
      </w:pPr>
      <w:r>
        <w:rPr>
          <w:color w:val="auto"/>
        </w:rPr>
        <w:fldChar w:fldCharType="begin"/>
      </w:r>
      <w:r>
        <w:rPr>
          <w:color w:val="auto"/>
        </w:rPr>
        <w:instrText xml:space="preserve"> HYPERLINK \l "_Toc1789" </w:instrText>
      </w:r>
      <w:r>
        <w:rPr>
          <w:color w:val="auto"/>
        </w:rPr>
        <w:fldChar w:fldCharType="separate"/>
      </w:r>
      <w:r>
        <w:rPr>
          <w:rFonts w:hint="eastAsia" w:ascii="宋体" w:hAnsi="宋体" w:cs="仿宋"/>
          <w:color w:val="auto"/>
          <w:spacing w:val="-16"/>
          <w:sz w:val="32"/>
          <w:szCs w:val="32"/>
        </w:rPr>
        <w:t>第</w:t>
      </w:r>
      <w:r>
        <w:rPr>
          <w:rFonts w:hint="eastAsia" w:ascii="宋体" w:hAnsi="宋体" w:cs="仿宋"/>
          <w:color w:val="auto"/>
          <w:spacing w:val="-12"/>
          <w:sz w:val="32"/>
          <w:szCs w:val="32"/>
        </w:rPr>
        <w:t>二章 采购需求</w:t>
      </w:r>
      <w:r>
        <w:rPr>
          <w:rFonts w:hint="eastAsia" w:ascii="宋体" w:hAnsi="宋体" w:cs="仿宋"/>
          <w:color w:val="auto"/>
          <w:sz w:val="32"/>
          <w:szCs w:val="32"/>
        </w:rPr>
        <w:tab/>
      </w:r>
      <w:r>
        <w:rPr>
          <w:rFonts w:hint="eastAsia" w:ascii="宋体" w:hAnsi="宋体" w:cs="仿宋"/>
          <w:color w:val="auto"/>
          <w:sz w:val="32"/>
          <w:szCs w:val="32"/>
        </w:rPr>
        <w:fldChar w:fldCharType="begin"/>
      </w:r>
      <w:r>
        <w:rPr>
          <w:rFonts w:hint="eastAsia" w:ascii="宋体" w:hAnsi="宋体" w:cs="仿宋"/>
          <w:color w:val="auto"/>
          <w:sz w:val="32"/>
          <w:szCs w:val="32"/>
        </w:rPr>
        <w:instrText xml:space="preserve"> PAGEREF _Toc1789 \h </w:instrText>
      </w:r>
      <w:r>
        <w:rPr>
          <w:rFonts w:hint="eastAsia" w:ascii="宋体" w:hAnsi="宋体" w:cs="仿宋"/>
          <w:color w:val="auto"/>
          <w:sz w:val="32"/>
          <w:szCs w:val="32"/>
        </w:rPr>
        <w:fldChar w:fldCharType="separate"/>
      </w:r>
      <w:r>
        <w:rPr>
          <w:rFonts w:hint="eastAsia" w:ascii="宋体" w:hAnsi="宋体" w:cs="仿宋"/>
          <w:color w:val="auto"/>
          <w:sz w:val="32"/>
          <w:szCs w:val="32"/>
        </w:rPr>
        <w:t>5</w:t>
      </w:r>
      <w:r>
        <w:rPr>
          <w:rFonts w:hint="eastAsia" w:ascii="宋体" w:hAnsi="宋体" w:cs="仿宋"/>
          <w:color w:val="auto"/>
          <w:sz w:val="32"/>
          <w:szCs w:val="32"/>
        </w:rPr>
        <w:fldChar w:fldCharType="end"/>
      </w:r>
      <w:r>
        <w:rPr>
          <w:rFonts w:hint="eastAsia" w:ascii="宋体" w:hAnsi="宋体" w:cs="仿宋"/>
          <w:color w:val="auto"/>
          <w:sz w:val="32"/>
          <w:szCs w:val="32"/>
        </w:rPr>
        <w:fldChar w:fldCharType="end"/>
      </w:r>
    </w:p>
    <w:p w14:paraId="2D529A4F">
      <w:pPr>
        <w:pStyle w:val="90"/>
        <w:tabs>
          <w:tab w:val="right" w:leader="dot" w:pos="9639"/>
        </w:tabs>
        <w:spacing w:line="360" w:lineRule="auto"/>
        <w:rPr>
          <w:rFonts w:ascii="宋体" w:hAnsi="宋体" w:cs="仿宋"/>
          <w:color w:val="auto"/>
          <w:sz w:val="32"/>
          <w:szCs w:val="32"/>
        </w:rPr>
      </w:pPr>
      <w:r>
        <w:rPr>
          <w:color w:val="auto"/>
        </w:rPr>
        <w:fldChar w:fldCharType="begin"/>
      </w:r>
      <w:r>
        <w:rPr>
          <w:color w:val="auto"/>
        </w:rPr>
        <w:instrText xml:space="preserve"> HYPERLINK \l "_Toc27908" </w:instrText>
      </w:r>
      <w:r>
        <w:rPr>
          <w:color w:val="auto"/>
        </w:rPr>
        <w:fldChar w:fldCharType="separate"/>
      </w:r>
      <w:r>
        <w:rPr>
          <w:rFonts w:hint="eastAsia" w:ascii="宋体" w:hAnsi="宋体" w:cs="仿宋"/>
          <w:color w:val="auto"/>
          <w:spacing w:val="-12"/>
          <w:sz w:val="32"/>
          <w:szCs w:val="32"/>
        </w:rPr>
        <w:t>第</w:t>
      </w:r>
      <w:r>
        <w:rPr>
          <w:rFonts w:hint="eastAsia" w:ascii="宋体" w:hAnsi="宋体" w:cs="仿宋"/>
          <w:color w:val="auto"/>
          <w:spacing w:val="-11"/>
          <w:sz w:val="32"/>
          <w:szCs w:val="32"/>
        </w:rPr>
        <w:t>三章 供应商须知</w:t>
      </w:r>
      <w:r>
        <w:rPr>
          <w:rFonts w:hint="eastAsia" w:ascii="宋体" w:hAnsi="宋体" w:cs="仿宋"/>
          <w:color w:val="auto"/>
          <w:sz w:val="32"/>
          <w:szCs w:val="32"/>
        </w:rPr>
        <w:tab/>
      </w:r>
      <w:r>
        <w:rPr>
          <w:rFonts w:hint="eastAsia" w:ascii="宋体" w:hAnsi="宋体" w:cs="仿宋"/>
          <w:color w:val="auto"/>
          <w:sz w:val="32"/>
          <w:szCs w:val="32"/>
        </w:rPr>
        <w:fldChar w:fldCharType="begin"/>
      </w:r>
      <w:r>
        <w:rPr>
          <w:rFonts w:hint="eastAsia" w:ascii="宋体" w:hAnsi="宋体" w:cs="仿宋"/>
          <w:color w:val="auto"/>
          <w:sz w:val="32"/>
          <w:szCs w:val="32"/>
        </w:rPr>
        <w:instrText xml:space="preserve"> PAGEREF _Toc27908 \h </w:instrText>
      </w:r>
      <w:r>
        <w:rPr>
          <w:rFonts w:hint="eastAsia" w:ascii="宋体" w:hAnsi="宋体" w:cs="仿宋"/>
          <w:color w:val="auto"/>
          <w:sz w:val="32"/>
          <w:szCs w:val="32"/>
        </w:rPr>
        <w:fldChar w:fldCharType="separate"/>
      </w:r>
      <w:r>
        <w:rPr>
          <w:rFonts w:hint="eastAsia" w:ascii="宋体" w:hAnsi="宋体" w:cs="仿宋"/>
          <w:color w:val="auto"/>
          <w:sz w:val="32"/>
          <w:szCs w:val="32"/>
        </w:rPr>
        <w:t>16</w:t>
      </w:r>
      <w:r>
        <w:rPr>
          <w:rFonts w:hint="eastAsia" w:ascii="宋体" w:hAnsi="宋体" w:cs="仿宋"/>
          <w:color w:val="auto"/>
          <w:sz w:val="32"/>
          <w:szCs w:val="32"/>
        </w:rPr>
        <w:fldChar w:fldCharType="end"/>
      </w:r>
      <w:r>
        <w:rPr>
          <w:rFonts w:hint="eastAsia" w:ascii="宋体" w:hAnsi="宋体" w:cs="仿宋"/>
          <w:color w:val="auto"/>
          <w:sz w:val="32"/>
          <w:szCs w:val="32"/>
        </w:rPr>
        <w:fldChar w:fldCharType="end"/>
      </w:r>
    </w:p>
    <w:p w14:paraId="2EAB86AD">
      <w:pPr>
        <w:pStyle w:val="90"/>
        <w:tabs>
          <w:tab w:val="right" w:leader="dot" w:pos="9639"/>
        </w:tabs>
        <w:spacing w:line="360" w:lineRule="auto"/>
        <w:rPr>
          <w:rFonts w:ascii="宋体" w:hAnsi="宋体" w:cs="仿宋"/>
          <w:color w:val="auto"/>
          <w:sz w:val="32"/>
          <w:szCs w:val="32"/>
        </w:rPr>
      </w:pPr>
      <w:r>
        <w:rPr>
          <w:color w:val="auto"/>
        </w:rPr>
        <w:fldChar w:fldCharType="begin"/>
      </w:r>
      <w:r>
        <w:rPr>
          <w:color w:val="auto"/>
        </w:rPr>
        <w:instrText xml:space="preserve"> HYPERLINK \l "_Toc15596" </w:instrText>
      </w:r>
      <w:r>
        <w:rPr>
          <w:color w:val="auto"/>
        </w:rPr>
        <w:fldChar w:fldCharType="separate"/>
      </w:r>
      <w:r>
        <w:rPr>
          <w:rFonts w:hint="eastAsia" w:ascii="宋体" w:hAnsi="宋体" w:cs="仿宋"/>
          <w:color w:val="auto"/>
          <w:spacing w:val="-1"/>
          <w:sz w:val="32"/>
          <w:szCs w:val="32"/>
        </w:rPr>
        <w:t>第四章 评审程序、评审方法和评审标准</w:t>
      </w:r>
      <w:r>
        <w:rPr>
          <w:rFonts w:hint="eastAsia" w:ascii="宋体" w:hAnsi="宋体" w:cs="仿宋"/>
          <w:color w:val="auto"/>
          <w:sz w:val="32"/>
          <w:szCs w:val="32"/>
        </w:rPr>
        <w:tab/>
      </w:r>
      <w:r>
        <w:rPr>
          <w:rFonts w:hint="eastAsia" w:ascii="宋体" w:hAnsi="宋体" w:cs="仿宋"/>
          <w:color w:val="auto"/>
          <w:sz w:val="32"/>
          <w:szCs w:val="32"/>
        </w:rPr>
        <w:fldChar w:fldCharType="begin"/>
      </w:r>
      <w:r>
        <w:rPr>
          <w:rFonts w:hint="eastAsia" w:ascii="宋体" w:hAnsi="宋体" w:cs="仿宋"/>
          <w:color w:val="auto"/>
          <w:sz w:val="32"/>
          <w:szCs w:val="32"/>
        </w:rPr>
        <w:instrText xml:space="preserve"> PAGEREF _Toc15596 \h </w:instrText>
      </w:r>
      <w:r>
        <w:rPr>
          <w:rFonts w:hint="eastAsia" w:ascii="宋体" w:hAnsi="宋体" w:cs="仿宋"/>
          <w:color w:val="auto"/>
          <w:sz w:val="32"/>
          <w:szCs w:val="32"/>
        </w:rPr>
        <w:fldChar w:fldCharType="separate"/>
      </w:r>
      <w:r>
        <w:rPr>
          <w:rFonts w:hint="eastAsia" w:ascii="宋体" w:hAnsi="宋体" w:cs="仿宋"/>
          <w:color w:val="auto"/>
          <w:sz w:val="32"/>
          <w:szCs w:val="32"/>
        </w:rPr>
        <w:t>34</w:t>
      </w:r>
      <w:r>
        <w:rPr>
          <w:rFonts w:hint="eastAsia" w:ascii="宋体" w:hAnsi="宋体" w:cs="仿宋"/>
          <w:color w:val="auto"/>
          <w:sz w:val="32"/>
          <w:szCs w:val="32"/>
        </w:rPr>
        <w:fldChar w:fldCharType="end"/>
      </w:r>
      <w:r>
        <w:rPr>
          <w:rFonts w:hint="eastAsia" w:ascii="宋体" w:hAnsi="宋体" w:cs="仿宋"/>
          <w:color w:val="auto"/>
          <w:sz w:val="32"/>
          <w:szCs w:val="32"/>
        </w:rPr>
        <w:fldChar w:fldCharType="end"/>
      </w:r>
    </w:p>
    <w:p w14:paraId="0349FEA3">
      <w:pPr>
        <w:pStyle w:val="90"/>
        <w:tabs>
          <w:tab w:val="right" w:leader="dot" w:pos="9639"/>
        </w:tabs>
        <w:spacing w:line="360" w:lineRule="auto"/>
        <w:rPr>
          <w:rFonts w:ascii="宋体" w:hAnsi="宋体" w:cs="仿宋"/>
          <w:color w:val="auto"/>
          <w:sz w:val="32"/>
          <w:szCs w:val="32"/>
        </w:rPr>
      </w:pPr>
      <w:r>
        <w:rPr>
          <w:color w:val="auto"/>
        </w:rPr>
        <w:fldChar w:fldCharType="begin"/>
      </w:r>
      <w:r>
        <w:rPr>
          <w:color w:val="auto"/>
        </w:rPr>
        <w:instrText xml:space="preserve"> HYPERLINK \l "_Toc27387" </w:instrText>
      </w:r>
      <w:r>
        <w:rPr>
          <w:color w:val="auto"/>
        </w:rPr>
        <w:fldChar w:fldCharType="separate"/>
      </w:r>
      <w:r>
        <w:rPr>
          <w:rFonts w:hint="eastAsia" w:ascii="宋体" w:hAnsi="宋体" w:cs="仿宋"/>
          <w:color w:val="auto"/>
          <w:spacing w:val="-20"/>
          <w:sz w:val="32"/>
          <w:szCs w:val="32"/>
        </w:rPr>
        <w:t>第</w:t>
      </w:r>
      <w:r>
        <w:rPr>
          <w:rFonts w:hint="eastAsia" w:ascii="宋体" w:hAnsi="宋体" w:cs="仿宋"/>
          <w:color w:val="auto"/>
          <w:spacing w:val="-12"/>
          <w:sz w:val="32"/>
          <w:szCs w:val="32"/>
        </w:rPr>
        <w:t>五章  响应文件格式</w:t>
      </w:r>
      <w:r>
        <w:rPr>
          <w:rFonts w:hint="eastAsia" w:ascii="宋体" w:hAnsi="宋体" w:cs="仿宋"/>
          <w:color w:val="auto"/>
          <w:sz w:val="32"/>
          <w:szCs w:val="32"/>
        </w:rPr>
        <w:tab/>
      </w:r>
      <w:r>
        <w:rPr>
          <w:rFonts w:hint="eastAsia" w:ascii="宋体" w:hAnsi="宋体" w:cs="仿宋"/>
          <w:color w:val="auto"/>
          <w:sz w:val="32"/>
          <w:szCs w:val="32"/>
        </w:rPr>
        <w:fldChar w:fldCharType="begin"/>
      </w:r>
      <w:r>
        <w:rPr>
          <w:rFonts w:hint="eastAsia" w:ascii="宋体" w:hAnsi="宋体" w:cs="仿宋"/>
          <w:color w:val="auto"/>
          <w:sz w:val="32"/>
          <w:szCs w:val="32"/>
        </w:rPr>
        <w:instrText xml:space="preserve"> PAGEREF _Toc27387 \h </w:instrText>
      </w:r>
      <w:r>
        <w:rPr>
          <w:rFonts w:hint="eastAsia" w:ascii="宋体" w:hAnsi="宋体" w:cs="仿宋"/>
          <w:color w:val="auto"/>
          <w:sz w:val="32"/>
          <w:szCs w:val="32"/>
        </w:rPr>
        <w:fldChar w:fldCharType="separate"/>
      </w:r>
      <w:r>
        <w:rPr>
          <w:rFonts w:hint="eastAsia" w:ascii="宋体" w:hAnsi="宋体" w:cs="仿宋"/>
          <w:color w:val="auto"/>
          <w:sz w:val="32"/>
          <w:szCs w:val="32"/>
        </w:rPr>
        <w:t>45</w:t>
      </w:r>
      <w:r>
        <w:rPr>
          <w:rFonts w:hint="eastAsia" w:ascii="宋体" w:hAnsi="宋体" w:cs="仿宋"/>
          <w:color w:val="auto"/>
          <w:sz w:val="32"/>
          <w:szCs w:val="32"/>
        </w:rPr>
        <w:fldChar w:fldCharType="end"/>
      </w:r>
      <w:r>
        <w:rPr>
          <w:rFonts w:hint="eastAsia" w:ascii="宋体" w:hAnsi="宋体" w:cs="仿宋"/>
          <w:color w:val="auto"/>
          <w:sz w:val="32"/>
          <w:szCs w:val="32"/>
        </w:rPr>
        <w:fldChar w:fldCharType="end"/>
      </w:r>
    </w:p>
    <w:p w14:paraId="0BA3A9E7">
      <w:pPr>
        <w:pStyle w:val="90"/>
        <w:tabs>
          <w:tab w:val="right" w:leader="dot" w:pos="9639"/>
        </w:tabs>
        <w:spacing w:line="360" w:lineRule="auto"/>
        <w:rPr>
          <w:rFonts w:ascii="宋体" w:hAnsi="宋体" w:cs="仿宋"/>
          <w:color w:val="auto"/>
          <w:sz w:val="32"/>
          <w:szCs w:val="32"/>
        </w:rPr>
      </w:pPr>
      <w:r>
        <w:rPr>
          <w:color w:val="auto"/>
        </w:rPr>
        <w:fldChar w:fldCharType="begin"/>
      </w:r>
      <w:r>
        <w:rPr>
          <w:color w:val="auto"/>
        </w:rPr>
        <w:instrText xml:space="preserve"> HYPERLINK \l "_Toc139" </w:instrText>
      </w:r>
      <w:r>
        <w:rPr>
          <w:color w:val="auto"/>
        </w:rPr>
        <w:fldChar w:fldCharType="separate"/>
      </w:r>
      <w:r>
        <w:rPr>
          <w:rFonts w:hint="eastAsia" w:ascii="宋体" w:hAnsi="宋体" w:cs="仿宋"/>
          <w:color w:val="auto"/>
          <w:spacing w:val="-2"/>
          <w:sz w:val="32"/>
          <w:szCs w:val="32"/>
        </w:rPr>
        <w:t xml:space="preserve">第六章 </w:t>
      </w:r>
      <w:r>
        <w:rPr>
          <w:rFonts w:hint="eastAsia" w:ascii="宋体" w:hAnsi="宋体" w:cs="仿宋"/>
          <w:color w:val="auto"/>
          <w:spacing w:val="-1"/>
          <w:sz w:val="32"/>
          <w:szCs w:val="32"/>
        </w:rPr>
        <w:t>合同文本</w:t>
      </w:r>
      <w:r>
        <w:rPr>
          <w:rFonts w:hint="eastAsia" w:ascii="宋体" w:hAnsi="宋体" w:cs="仿宋"/>
          <w:color w:val="auto"/>
          <w:sz w:val="32"/>
          <w:szCs w:val="32"/>
        </w:rPr>
        <w:tab/>
      </w:r>
      <w:r>
        <w:rPr>
          <w:rFonts w:hint="eastAsia" w:ascii="宋体" w:hAnsi="宋体" w:cs="仿宋"/>
          <w:color w:val="auto"/>
          <w:sz w:val="32"/>
          <w:szCs w:val="32"/>
        </w:rPr>
        <w:fldChar w:fldCharType="begin"/>
      </w:r>
      <w:r>
        <w:rPr>
          <w:rFonts w:hint="eastAsia" w:ascii="宋体" w:hAnsi="宋体" w:cs="仿宋"/>
          <w:color w:val="auto"/>
          <w:sz w:val="32"/>
          <w:szCs w:val="32"/>
        </w:rPr>
        <w:instrText xml:space="preserve"> PAGEREF _Toc139 \h </w:instrText>
      </w:r>
      <w:r>
        <w:rPr>
          <w:rFonts w:hint="eastAsia" w:ascii="宋体" w:hAnsi="宋体" w:cs="仿宋"/>
          <w:color w:val="auto"/>
          <w:sz w:val="32"/>
          <w:szCs w:val="32"/>
        </w:rPr>
        <w:fldChar w:fldCharType="separate"/>
      </w:r>
      <w:r>
        <w:rPr>
          <w:rFonts w:hint="eastAsia" w:ascii="宋体" w:hAnsi="宋体" w:cs="仿宋"/>
          <w:color w:val="auto"/>
          <w:sz w:val="32"/>
          <w:szCs w:val="32"/>
        </w:rPr>
        <w:t>80</w:t>
      </w:r>
      <w:r>
        <w:rPr>
          <w:rFonts w:hint="eastAsia" w:ascii="宋体" w:hAnsi="宋体" w:cs="仿宋"/>
          <w:color w:val="auto"/>
          <w:sz w:val="32"/>
          <w:szCs w:val="32"/>
        </w:rPr>
        <w:fldChar w:fldCharType="end"/>
      </w:r>
      <w:r>
        <w:rPr>
          <w:rFonts w:hint="eastAsia" w:ascii="宋体" w:hAnsi="宋体" w:cs="仿宋"/>
          <w:color w:val="auto"/>
          <w:sz w:val="32"/>
          <w:szCs w:val="32"/>
        </w:rPr>
        <w:fldChar w:fldCharType="end"/>
      </w:r>
    </w:p>
    <w:p w14:paraId="49ABF03A">
      <w:pPr>
        <w:pStyle w:val="90"/>
        <w:tabs>
          <w:tab w:val="right" w:leader="dot" w:pos="9639"/>
        </w:tabs>
        <w:spacing w:line="360" w:lineRule="auto"/>
        <w:rPr>
          <w:rFonts w:ascii="宋体" w:hAnsi="宋体" w:cs="仿宋"/>
          <w:color w:val="auto"/>
          <w:sz w:val="32"/>
          <w:szCs w:val="32"/>
        </w:rPr>
      </w:pPr>
      <w:r>
        <w:rPr>
          <w:color w:val="auto"/>
        </w:rPr>
        <w:fldChar w:fldCharType="begin"/>
      </w:r>
      <w:r>
        <w:rPr>
          <w:color w:val="auto"/>
        </w:rPr>
        <w:instrText xml:space="preserve"> HYPERLINK \l "_Toc18386" </w:instrText>
      </w:r>
      <w:r>
        <w:rPr>
          <w:color w:val="auto"/>
        </w:rPr>
        <w:fldChar w:fldCharType="separate"/>
      </w:r>
      <w:r>
        <w:rPr>
          <w:rFonts w:hint="eastAsia" w:ascii="宋体" w:hAnsi="宋体" w:cs="仿宋"/>
          <w:color w:val="auto"/>
          <w:spacing w:val="-2"/>
          <w:sz w:val="32"/>
          <w:szCs w:val="32"/>
        </w:rPr>
        <w:t>第七章 质</w:t>
      </w:r>
      <w:r>
        <w:rPr>
          <w:rFonts w:hint="eastAsia" w:ascii="宋体" w:hAnsi="宋体" w:cs="仿宋"/>
          <w:color w:val="auto"/>
          <w:spacing w:val="-1"/>
          <w:sz w:val="32"/>
          <w:szCs w:val="32"/>
        </w:rPr>
        <w:t>疑、投诉材料格式</w:t>
      </w:r>
      <w:r>
        <w:rPr>
          <w:rFonts w:hint="eastAsia" w:ascii="宋体" w:hAnsi="宋体" w:cs="仿宋"/>
          <w:color w:val="auto"/>
          <w:sz w:val="32"/>
          <w:szCs w:val="32"/>
        </w:rPr>
        <w:tab/>
      </w:r>
      <w:r>
        <w:rPr>
          <w:rFonts w:hint="eastAsia" w:ascii="宋体" w:hAnsi="宋体" w:cs="仿宋"/>
          <w:color w:val="auto"/>
          <w:sz w:val="32"/>
          <w:szCs w:val="32"/>
        </w:rPr>
        <w:fldChar w:fldCharType="begin"/>
      </w:r>
      <w:r>
        <w:rPr>
          <w:rFonts w:hint="eastAsia" w:ascii="宋体" w:hAnsi="宋体" w:cs="仿宋"/>
          <w:color w:val="auto"/>
          <w:sz w:val="32"/>
          <w:szCs w:val="32"/>
        </w:rPr>
        <w:instrText xml:space="preserve"> PAGEREF _Toc18386 \h </w:instrText>
      </w:r>
      <w:r>
        <w:rPr>
          <w:rFonts w:hint="eastAsia" w:ascii="宋体" w:hAnsi="宋体" w:cs="仿宋"/>
          <w:color w:val="auto"/>
          <w:sz w:val="32"/>
          <w:szCs w:val="32"/>
        </w:rPr>
        <w:fldChar w:fldCharType="separate"/>
      </w:r>
      <w:r>
        <w:rPr>
          <w:rFonts w:hint="eastAsia" w:ascii="宋体" w:hAnsi="宋体" w:cs="仿宋"/>
          <w:color w:val="auto"/>
          <w:sz w:val="32"/>
          <w:szCs w:val="32"/>
        </w:rPr>
        <w:t>95</w:t>
      </w:r>
      <w:r>
        <w:rPr>
          <w:rFonts w:hint="eastAsia" w:ascii="宋体" w:hAnsi="宋体" w:cs="仿宋"/>
          <w:color w:val="auto"/>
          <w:sz w:val="32"/>
          <w:szCs w:val="32"/>
        </w:rPr>
        <w:fldChar w:fldCharType="end"/>
      </w:r>
      <w:r>
        <w:rPr>
          <w:rFonts w:hint="eastAsia" w:ascii="宋体" w:hAnsi="宋体" w:cs="仿宋"/>
          <w:color w:val="auto"/>
          <w:sz w:val="32"/>
          <w:szCs w:val="32"/>
        </w:rPr>
        <w:fldChar w:fldCharType="end"/>
      </w:r>
    </w:p>
    <w:p w14:paraId="3A13B97F">
      <w:pPr>
        <w:spacing w:line="360" w:lineRule="auto"/>
        <w:rPr>
          <w:rFonts w:ascii="宋体" w:hAnsi="宋体" w:cs="仿宋"/>
          <w:color w:val="auto"/>
          <w:sz w:val="40"/>
          <w:szCs w:val="48"/>
        </w:rPr>
        <w:sectPr>
          <w:headerReference r:id="rId5" w:type="default"/>
          <w:pgSz w:w="11905" w:h="16838"/>
          <w:pgMar w:top="1417" w:right="1134" w:bottom="1417" w:left="1100" w:header="703" w:footer="703" w:gutter="0"/>
          <w:cols w:space="720" w:num="1"/>
        </w:sectPr>
      </w:pPr>
      <w:r>
        <w:rPr>
          <w:rFonts w:hint="eastAsia" w:ascii="宋体" w:hAnsi="宋体" w:cs="仿宋"/>
          <w:color w:val="auto"/>
          <w:sz w:val="32"/>
          <w:szCs w:val="32"/>
        </w:rPr>
        <w:fldChar w:fldCharType="end"/>
      </w:r>
    </w:p>
    <w:p w14:paraId="38CDEAFC">
      <w:pPr>
        <w:spacing w:line="360" w:lineRule="auto"/>
        <w:jc w:val="center"/>
        <w:outlineLvl w:val="0"/>
        <w:rPr>
          <w:rFonts w:ascii="宋体" w:hAnsi="宋体" w:cs="宋体"/>
          <w:color w:val="auto"/>
          <w:sz w:val="44"/>
          <w:szCs w:val="44"/>
        </w:rPr>
      </w:pPr>
      <w:bookmarkStart w:id="3" w:name="_Toc16075"/>
      <w:r>
        <w:rPr>
          <w:rFonts w:hint="eastAsia" w:ascii="宋体" w:hAnsi="宋体" w:cs="宋体"/>
          <w:color w:val="auto"/>
          <w:spacing w:val="-14"/>
          <w:sz w:val="44"/>
          <w:szCs w:val="44"/>
        </w:rPr>
        <w:t>第</w:t>
      </w:r>
      <w:r>
        <w:rPr>
          <w:rFonts w:hint="eastAsia" w:ascii="宋体" w:hAnsi="宋体" w:cs="宋体"/>
          <w:color w:val="auto"/>
          <w:spacing w:val="-11"/>
          <w:sz w:val="44"/>
          <w:szCs w:val="44"/>
        </w:rPr>
        <w:t>一章 竞争性磋商公告</w:t>
      </w:r>
      <w:bookmarkEnd w:id="3"/>
    </w:p>
    <w:p w14:paraId="15F7D0AA">
      <w:pPr>
        <w:spacing w:line="360" w:lineRule="auto"/>
        <w:rPr>
          <w:rFonts w:ascii="宋体" w:hAnsi="宋体" w:cs="宋体"/>
          <w:color w:val="auto"/>
        </w:rPr>
      </w:pPr>
    </w:p>
    <w:p w14:paraId="503AB7D7">
      <w:pPr>
        <w:spacing w:line="360" w:lineRule="auto"/>
        <w:rPr>
          <w:rFonts w:ascii="宋体" w:hAnsi="宋体" w:cs="宋体"/>
          <w:color w:val="auto"/>
        </w:rPr>
      </w:pPr>
    </w:p>
    <w:tbl>
      <w:tblPr>
        <w:tblStyle w:val="2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887"/>
      </w:tblGrid>
      <w:tr w14:paraId="6BFADC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87" w:type="dxa"/>
          </w:tcPr>
          <w:p w14:paraId="53AE263E">
            <w:pPr>
              <w:spacing w:before="21" w:line="360" w:lineRule="auto"/>
              <w:ind w:firstLine="404" w:firstLineChars="200"/>
              <w:rPr>
                <w:rFonts w:ascii="宋体" w:hAnsi="宋体" w:cs="宋体"/>
                <w:color w:val="auto"/>
                <w:szCs w:val="21"/>
              </w:rPr>
            </w:pPr>
            <w:r>
              <w:rPr>
                <w:rFonts w:hint="eastAsia" w:ascii="宋体" w:hAnsi="宋体" w:cs="宋体"/>
                <w:color w:val="auto"/>
                <w:spacing w:val="-4"/>
                <w:szCs w:val="21"/>
              </w:rPr>
              <w:t>项</w:t>
            </w:r>
            <w:r>
              <w:rPr>
                <w:rFonts w:hint="eastAsia" w:ascii="宋体" w:hAnsi="宋体" w:cs="宋体"/>
                <w:color w:val="auto"/>
                <w:spacing w:val="-2"/>
                <w:szCs w:val="21"/>
              </w:rPr>
              <w:t>目概况</w:t>
            </w:r>
          </w:p>
          <w:p w14:paraId="0CA6B4FE">
            <w:pPr>
              <w:pStyle w:val="77"/>
              <w:ind w:firstLine="420"/>
              <w:rPr>
                <w:color w:val="auto"/>
              </w:rPr>
            </w:pPr>
            <w:r>
              <w:rPr>
                <w:rFonts w:hint="eastAsia"/>
                <w:color w:val="auto"/>
                <w:u w:val="single"/>
              </w:rPr>
              <w:t>移动流量与短信租用服务采购</w:t>
            </w:r>
            <w:r>
              <w:rPr>
                <w:rFonts w:hint="eastAsia"/>
                <w:color w:val="auto"/>
              </w:rPr>
              <w:t>项目的潜在供应商应在广西政府采购云平台（https://www.gcy.zfcg.gxzf.gov.cn/）获取(下载) 获取竞争性磋商文件，并于</w:t>
            </w:r>
            <w:r>
              <w:rPr>
                <w:rFonts w:hint="eastAsia"/>
                <w:color w:val="auto"/>
                <w:u w:val="single"/>
              </w:rPr>
              <w:t>2024年</w:t>
            </w:r>
            <w:r>
              <w:rPr>
                <w:rFonts w:hint="eastAsia"/>
                <w:color w:val="auto"/>
                <w:u w:val="single"/>
                <w:lang w:val="en-US" w:eastAsia="zh-CN"/>
              </w:rPr>
              <w:t>12月16日</w:t>
            </w:r>
            <w:r>
              <w:rPr>
                <w:rFonts w:hint="eastAsia"/>
                <w:color w:val="auto"/>
                <w:u w:val="single"/>
                <w:lang w:eastAsia="zh-CN"/>
              </w:rPr>
              <w:t>9时30分</w:t>
            </w:r>
            <w:r>
              <w:rPr>
                <w:rFonts w:hint="eastAsia"/>
                <w:color w:val="auto"/>
              </w:rPr>
              <w:t xml:space="preserve">  (北京时间) 前提交响应文件。</w:t>
            </w:r>
          </w:p>
        </w:tc>
      </w:tr>
    </w:tbl>
    <w:p w14:paraId="17BB8791">
      <w:pPr>
        <w:spacing w:line="360" w:lineRule="auto"/>
        <w:rPr>
          <w:rFonts w:ascii="宋体" w:hAnsi="宋体" w:cs="宋体"/>
          <w:color w:val="auto"/>
        </w:rPr>
      </w:pPr>
    </w:p>
    <w:p w14:paraId="498CEF70">
      <w:pPr>
        <w:spacing w:line="360" w:lineRule="auto"/>
        <w:rPr>
          <w:rFonts w:ascii="宋体" w:hAnsi="宋体" w:cs="宋体"/>
          <w:b/>
          <w:bCs/>
          <w:color w:val="auto"/>
          <w:spacing w:val="-2"/>
          <w:sz w:val="24"/>
        </w:rPr>
      </w:pPr>
      <w:r>
        <w:rPr>
          <w:rFonts w:hint="eastAsia" w:ascii="宋体" w:hAnsi="宋体" w:cs="宋体"/>
          <w:b/>
          <w:bCs/>
          <w:color w:val="auto"/>
          <w:spacing w:val="-2"/>
          <w:sz w:val="24"/>
        </w:rPr>
        <w:t>一、项目基本情况</w:t>
      </w:r>
    </w:p>
    <w:p w14:paraId="522A864B">
      <w:pPr>
        <w:pStyle w:val="77"/>
        <w:ind w:firstLine="420"/>
        <w:rPr>
          <w:rFonts w:hint="eastAsia" w:eastAsia="宋体"/>
          <w:color w:val="auto"/>
          <w:lang w:eastAsia="zh-CN"/>
        </w:rPr>
      </w:pPr>
      <w:r>
        <w:rPr>
          <w:rFonts w:hint="eastAsia"/>
          <w:color w:val="auto"/>
        </w:rPr>
        <w:t>1.项目编号：</w:t>
      </w:r>
      <w:r>
        <w:rPr>
          <w:rFonts w:hint="eastAsia"/>
          <w:color w:val="auto"/>
          <w:lang w:eastAsia="zh-CN"/>
        </w:rPr>
        <w:t>NNZC2024-C3-991810-GXJH</w:t>
      </w:r>
    </w:p>
    <w:p w14:paraId="6480E9F0">
      <w:pPr>
        <w:pStyle w:val="77"/>
        <w:ind w:firstLine="420"/>
        <w:rPr>
          <w:color w:val="auto"/>
        </w:rPr>
      </w:pPr>
      <w:r>
        <w:rPr>
          <w:rFonts w:hint="eastAsia"/>
          <w:color w:val="auto"/>
        </w:rPr>
        <w:t>2.项目名称：移动流量与短信租用服务采购</w:t>
      </w:r>
    </w:p>
    <w:p w14:paraId="6BC59EEE">
      <w:pPr>
        <w:pStyle w:val="77"/>
        <w:ind w:firstLine="420"/>
        <w:rPr>
          <w:color w:val="auto"/>
        </w:rPr>
      </w:pPr>
      <w:r>
        <w:rPr>
          <w:rFonts w:hint="eastAsia"/>
          <w:color w:val="auto"/>
        </w:rPr>
        <w:t>3.采购方式：竞争性磋商</w:t>
      </w:r>
    </w:p>
    <w:p w14:paraId="1094E1BB">
      <w:pPr>
        <w:pStyle w:val="77"/>
        <w:ind w:firstLine="420"/>
        <w:rPr>
          <w:color w:val="auto"/>
        </w:rPr>
      </w:pPr>
      <w:r>
        <w:rPr>
          <w:rFonts w:hint="eastAsia"/>
          <w:color w:val="auto"/>
        </w:rPr>
        <w:t>4.预算金额：</w:t>
      </w:r>
      <w:r>
        <w:rPr>
          <w:color w:val="auto"/>
        </w:rPr>
        <w:t>692000.00</w:t>
      </w:r>
      <w:r>
        <w:rPr>
          <w:rFonts w:hint="eastAsia"/>
          <w:color w:val="auto"/>
        </w:rPr>
        <w:t>元</w:t>
      </w:r>
    </w:p>
    <w:p w14:paraId="01AA92CB">
      <w:pPr>
        <w:pStyle w:val="77"/>
        <w:ind w:firstLine="420"/>
        <w:rPr>
          <w:color w:val="auto"/>
        </w:rPr>
      </w:pPr>
      <w:r>
        <w:rPr>
          <w:rFonts w:hint="eastAsia"/>
          <w:color w:val="auto"/>
        </w:rPr>
        <w:t>5.最高限价：</w:t>
      </w:r>
      <w:r>
        <w:rPr>
          <w:color w:val="auto"/>
        </w:rPr>
        <w:t>692000.00</w:t>
      </w:r>
      <w:r>
        <w:rPr>
          <w:rFonts w:hint="eastAsia"/>
          <w:color w:val="auto"/>
        </w:rPr>
        <w:t>元</w:t>
      </w:r>
    </w:p>
    <w:p w14:paraId="62BE2FDB">
      <w:pPr>
        <w:pStyle w:val="77"/>
        <w:ind w:firstLine="420"/>
        <w:rPr>
          <w:color w:val="auto"/>
        </w:rPr>
      </w:pPr>
      <w:r>
        <w:rPr>
          <w:rFonts w:hint="eastAsia"/>
          <w:color w:val="auto"/>
        </w:rPr>
        <w:t>6.采购需求：移动流量与短信租用服务1项。其他具体要求详见采购文件第二章《采购需求》。</w:t>
      </w:r>
    </w:p>
    <w:p w14:paraId="0F08F8CE">
      <w:pPr>
        <w:pStyle w:val="77"/>
        <w:ind w:firstLine="396"/>
        <w:rPr>
          <w:rFonts w:ascii="宋体" w:hAnsi="宋体" w:cs="宋体"/>
          <w:color w:val="auto"/>
          <w:spacing w:val="-6"/>
          <w:position w:val="7"/>
          <w:szCs w:val="21"/>
        </w:rPr>
      </w:pPr>
      <w:r>
        <w:rPr>
          <w:rFonts w:hint="eastAsia" w:ascii="宋体" w:hAnsi="宋体" w:cs="宋体"/>
          <w:color w:val="auto"/>
          <w:spacing w:val="-6"/>
          <w:position w:val="7"/>
          <w:szCs w:val="21"/>
        </w:rPr>
        <w:t>7.合同履行期限：自合同签订之日起至2025年11月30日。</w:t>
      </w:r>
    </w:p>
    <w:p w14:paraId="48A685D0">
      <w:pPr>
        <w:pStyle w:val="77"/>
        <w:ind w:firstLine="396"/>
        <w:rPr>
          <w:rFonts w:ascii="宋体" w:hAnsi="宋体" w:cs="宋体"/>
          <w:color w:val="auto"/>
          <w:spacing w:val="-6"/>
          <w:position w:val="7"/>
          <w:szCs w:val="21"/>
        </w:rPr>
      </w:pPr>
      <w:r>
        <w:rPr>
          <w:rFonts w:hint="eastAsia" w:ascii="宋体" w:hAnsi="宋体" w:cs="宋体"/>
          <w:color w:val="auto"/>
          <w:spacing w:val="-6"/>
          <w:position w:val="7"/>
          <w:szCs w:val="21"/>
        </w:rPr>
        <w:t>8.本项目是否接受联合体： □是，</w:t>
      </w:r>
      <w:r>
        <w:rPr>
          <w:rFonts w:hint="eastAsia" w:ascii="宋体" w:hAnsi="宋体" w:cs="宋体"/>
          <w:color w:val="auto"/>
          <w:spacing w:val="-6"/>
          <w:position w:val="7"/>
          <w:szCs w:val="21"/>
        </w:rPr>
        <w:sym w:font="Wingdings 2" w:char="0052"/>
      </w:r>
      <w:r>
        <w:rPr>
          <w:rFonts w:hint="eastAsia" w:ascii="宋体" w:hAnsi="宋体" w:cs="宋体"/>
          <w:color w:val="auto"/>
          <w:spacing w:val="-6"/>
          <w:position w:val="7"/>
          <w:szCs w:val="21"/>
        </w:rPr>
        <w:t>否</w:t>
      </w:r>
    </w:p>
    <w:p w14:paraId="1742A3A1">
      <w:pPr>
        <w:spacing w:line="360" w:lineRule="auto"/>
        <w:rPr>
          <w:rFonts w:ascii="宋体" w:hAnsi="宋体" w:cs="宋体"/>
          <w:b/>
          <w:bCs/>
          <w:color w:val="auto"/>
          <w:spacing w:val="-2"/>
          <w:sz w:val="24"/>
        </w:rPr>
      </w:pPr>
      <w:r>
        <w:rPr>
          <w:rFonts w:hint="eastAsia" w:ascii="宋体" w:hAnsi="宋体" w:cs="宋体"/>
          <w:b/>
          <w:bCs/>
          <w:color w:val="auto"/>
          <w:spacing w:val="-2"/>
          <w:sz w:val="24"/>
        </w:rPr>
        <w:t>二、供应商的资格条件</w:t>
      </w:r>
    </w:p>
    <w:p w14:paraId="4EFAC58E">
      <w:pPr>
        <w:pStyle w:val="77"/>
        <w:ind w:firstLine="420"/>
        <w:rPr>
          <w:color w:val="auto"/>
        </w:rPr>
      </w:pPr>
      <w:r>
        <w:rPr>
          <w:rFonts w:hint="eastAsia"/>
          <w:color w:val="auto"/>
        </w:rPr>
        <w:t>1.满足 《中华人民共和国政府采购法》 第二十二条规定；</w:t>
      </w:r>
    </w:p>
    <w:p w14:paraId="78727B29">
      <w:pPr>
        <w:pStyle w:val="77"/>
        <w:ind w:firstLine="420"/>
        <w:rPr>
          <w:color w:val="auto"/>
        </w:rPr>
      </w:pPr>
      <w:r>
        <w:rPr>
          <w:rFonts w:hint="eastAsia"/>
          <w:color w:val="auto"/>
        </w:rPr>
        <w:t>2.落实政府采购政策需满足的资格要求：</w:t>
      </w:r>
    </w:p>
    <w:p w14:paraId="703200C6">
      <w:pPr>
        <w:pStyle w:val="77"/>
        <w:ind w:firstLine="420"/>
        <w:rPr>
          <w:color w:val="auto"/>
        </w:rPr>
      </w:pPr>
      <w:r>
        <w:rPr>
          <w:rFonts w:hint="eastAsia"/>
          <w:color w:val="auto"/>
          <w:lang w:eastAsia="zh-CN"/>
        </w:rPr>
        <w:t>□</w:t>
      </w:r>
      <w:r>
        <w:rPr>
          <w:rFonts w:hint="eastAsia"/>
          <w:color w:val="auto"/>
        </w:rPr>
        <w:t>专门面向中小企业采购的项目(供应商应为中小微企业/监狱企业/残疾人福利性单位)</w:t>
      </w:r>
    </w:p>
    <w:p w14:paraId="1BB085C9">
      <w:pPr>
        <w:pStyle w:val="77"/>
        <w:ind w:firstLine="420"/>
        <w:rPr>
          <w:color w:val="auto"/>
        </w:rPr>
      </w:pPr>
      <w:r>
        <w:rPr>
          <w:rFonts w:hint="eastAsia"/>
          <w:color w:val="auto"/>
        </w:rPr>
        <w:sym w:font="Wingdings 2" w:char="0052"/>
      </w:r>
      <w:r>
        <w:rPr>
          <w:rFonts w:hint="eastAsia"/>
          <w:color w:val="auto"/>
        </w:rPr>
        <w:t>非专门面向中小企业采购的项目</w:t>
      </w:r>
    </w:p>
    <w:p w14:paraId="23200F3B">
      <w:pPr>
        <w:pStyle w:val="77"/>
        <w:ind w:firstLine="420"/>
        <w:rPr>
          <w:color w:val="auto"/>
        </w:rPr>
      </w:pPr>
      <w:r>
        <w:rPr>
          <w:rFonts w:hint="eastAsia"/>
          <w:color w:val="auto"/>
        </w:rPr>
        <w:t>3.本项目的特定资格要求：无。</w:t>
      </w:r>
    </w:p>
    <w:p w14:paraId="260A3542">
      <w:pPr>
        <w:pStyle w:val="77"/>
        <w:ind w:firstLine="420"/>
        <w:rPr>
          <w:color w:val="auto"/>
        </w:rPr>
      </w:pPr>
      <w:r>
        <w:rPr>
          <w:rFonts w:hint="eastAsia"/>
          <w:color w:val="auto"/>
        </w:rPr>
        <w:t>4.本项目的特定条件：无</w:t>
      </w:r>
    </w:p>
    <w:p w14:paraId="72103A8E">
      <w:pPr>
        <w:pStyle w:val="77"/>
        <w:ind w:firstLine="420"/>
        <w:rPr>
          <w:color w:val="auto"/>
        </w:rPr>
      </w:pPr>
      <w:r>
        <w:rPr>
          <w:rFonts w:hint="eastAsia"/>
          <w:color w:val="auto"/>
        </w:rPr>
        <w:t>5.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2AAAC158">
      <w:pPr>
        <w:pStyle w:val="77"/>
        <w:ind w:firstLine="420"/>
        <w:rPr>
          <w:color w:val="auto"/>
        </w:rPr>
      </w:pPr>
      <w:r>
        <w:rPr>
          <w:rFonts w:hint="eastAsia"/>
          <w:color w:val="auto"/>
        </w:rPr>
        <w:t>6.对在 “ 信 用 中 国 ” 网 站 (www.creditchina.gov.cn)  、中 国 政 府 采 购 网 (www.ccgp.gov.cn)被列入失信被执行人、重大税收违法案件当事人名单、政府采购严重违法失信行为记录名单及其他不符合《中华人民共和国政府采购法》 第二十二条规定条件的供应商，不得参与政府采购活动。</w:t>
      </w:r>
    </w:p>
    <w:p w14:paraId="2F7310BD">
      <w:pPr>
        <w:spacing w:line="360" w:lineRule="auto"/>
        <w:rPr>
          <w:rFonts w:ascii="宋体" w:hAnsi="宋体" w:cs="宋体"/>
          <w:b/>
          <w:bCs/>
          <w:color w:val="auto"/>
          <w:spacing w:val="-2"/>
          <w:sz w:val="24"/>
        </w:rPr>
      </w:pPr>
      <w:r>
        <w:rPr>
          <w:rFonts w:hint="eastAsia" w:ascii="宋体" w:hAnsi="宋体" w:cs="宋体"/>
          <w:b/>
          <w:bCs/>
          <w:color w:val="auto"/>
          <w:spacing w:val="-2"/>
          <w:sz w:val="24"/>
        </w:rPr>
        <w:t>三、获取竞争性磋商文件</w:t>
      </w:r>
    </w:p>
    <w:p w14:paraId="4D491DAD">
      <w:pPr>
        <w:pStyle w:val="77"/>
        <w:ind w:firstLine="420"/>
        <w:rPr>
          <w:color w:val="auto"/>
        </w:rPr>
      </w:pPr>
      <w:r>
        <w:rPr>
          <w:rFonts w:hint="eastAsia"/>
          <w:color w:val="auto"/>
        </w:rPr>
        <w:t>时间：自公告发布之日起。</w:t>
      </w:r>
    </w:p>
    <w:p w14:paraId="0E31A908">
      <w:pPr>
        <w:pStyle w:val="77"/>
        <w:ind w:firstLine="420"/>
        <w:rPr>
          <w:color w:val="auto"/>
        </w:rPr>
      </w:pPr>
      <w:r>
        <w:rPr>
          <w:rFonts w:hint="eastAsia"/>
          <w:color w:val="auto"/>
        </w:rPr>
        <w:t>获取方式: 网上下载。本项目不发放纸质采购文件，供应商可自行在“广西政府采购云平台”平台（https://www.gcy.zfcg.gxzf.gov.cn/）下载采购文件(操作路径：登录 “广西政府采购云平台”平台-项目采购-获取采购文件-找到本项目-点击“申请获取采购文件”) ，电子响应文件制作需要基于“广西政府采购云平台”平台（https://www.gcy.zfcg.gxzf.gov.cn/）获取的采购文件编制。</w:t>
      </w:r>
    </w:p>
    <w:p w14:paraId="582099D1">
      <w:pPr>
        <w:pStyle w:val="77"/>
        <w:ind w:firstLine="420"/>
        <w:rPr>
          <w:color w:val="auto"/>
        </w:rPr>
      </w:pPr>
      <w:r>
        <w:rPr>
          <w:rFonts w:hint="eastAsia"/>
          <w:color w:val="auto"/>
        </w:rPr>
        <w:t>售价： 0 元。</w:t>
      </w:r>
    </w:p>
    <w:p w14:paraId="61187002">
      <w:pPr>
        <w:pStyle w:val="77"/>
        <w:ind w:firstLine="0" w:firstLineChars="0"/>
        <w:rPr>
          <w:b/>
          <w:bCs/>
          <w:color w:val="auto"/>
          <w:spacing w:val="-2"/>
          <w:sz w:val="24"/>
        </w:rPr>
      </w:pPr>
      <w:r>
        <w:rPr>
          <w:rFonts w:hint="eastAsia"/>
          <w:b/>
          <w:bCs/>
          <w:color w:val="auto"/>
          <w:spacing w:val="-2"/>
          <w:sz w:val="24"/>
        </w:rPr>
        <w:t>四、响应文件提交</w:t>
      </w:r>
    </w:p>
    <w:p w14:paraId="6EFBFE5D">
      <w:pPr>
        <w:pStyle w:val="77"/>
        <w:ind w:firstLine="420"/>
        <w:rPr>
          <w:color w:val="auto"/>
        </w:rPr>
      </w:pPr>
      <w:r>
        <w:rPr>
          <w:rFonts w:hint="eastAsia"/>
          <w:color w:val="auto"/>
        </w:rPr>
        <w:t>1.首次响应文件提交截止时间 (北京时间) ：2024</w:t>
      </w:r>
      <w:r>
        <w:rPr>
          <w:rFonts w:hint="eastAsia"/>
          <w:color w:val="auto"/>
          <w:lang w:eastAsia="zh-CN"/>
        </w:rPr>
        <w:t>年</w:t>
      </w:r>
      <w:r>
        <w:rPr>
          <w:rFonts w:hint="eastAsia"/>
          <w:color w:val="auto"/>
          <w:lang w:val="en-US" w:eastAsia="zh-CN"/>
        </w:rPr>
        <w:t>12月16日</w:t>
      </w:r>
      <w:r>
        <w:rPr>
          <w:rFonts w:hint="eastAsia"/>
          <w:color w:val="auto"/>
        </w:rPr>
        <w:t>09:30:00（从磋商文件开始发出之日起至供应商提交首次响应文件截止之日止不得少于10日）。</w:t>
      </w:r>
    </w:p>
    <w:p w14:paraId="1360EC06">
      <w:pPr>
        <w:pStyle w:val="77"/>
        <w:ind w:firstLine="420"/>
        <w:rPr>
          <w:color w:val="auto"/>
        </w:rPr>
      </w:pPr>
      <w:r>
        <w:rPr>
          <w:rFonts w:hint="eastAsia"/>
          <w:color w:val="auto"/>
        </w:rPr>
        <w:t>2.首次响应文件提交地点：</w:t>
      </w:r>
    </w:p>
    <w:p w14:paraId="6C3A14D5">
      <w:pPr>
        <w:pStyle w:val="77"/>
        <w:ind w:firstLine="420"/>
        <w:rPr>
          <w:color w:val="auto"/>
        </w:rPr>
      </w:pPr>
      <w:r>
        <w:rPr>
          <w:rFonts w:hint="eastAsia"/>
          <w:color w:val="auto"/>
        </w:rPr>
        <w:t>(1) 响应文件提交方式：本项目为南宁市全流程电子化项目，通过 “广西政府采购云平台”平台（https://www.gcy.zfcg.gxzf.gov.cn/）实行在线电子响应，供应商应先安装 “政采云电子交易客户端” (请自行前往 “广西政府采购云平台”平台进行下载) ，并按照本项目采购文件和“广西政府采购云平台”平台的要求编制、加密后在投标截止时间前通过网络上传至“广西政府采购云平台”平台，供应商在“广西政府采购云平台”平台提交电子版响应文件时，请填写参加远程采购活动经办人联系方式， 电子响应文件具体操作流程详见本公告附件 3。</w:t>
      </w:r>
    </w:p>
    <w:p w14:paraId="4B343A78">
      <w:pPr>
        <w:pStyle w:val="77"/>
        <w:ind w:firstLine="420"/>
        <w:rPr>
          <w:color w:val="auto"/>
        </w:rPr>
      </w:pPr>
      <w:r>
        <w:rPr>
          <w:rFonts w:hint="eastAsia"/>
          <w:color w:val="auto"/>
        </w:rPr>
        <w:t>(2) 未进行网上注册并办理数字证书 (CA认证)的供应商将无法参与本项目政府采购活动，潜在供应商应当在投标截止时间前，完成电子交易平台上的 CA 数字证书办理(申领流程见本公告附件 2)及响应文件的提交。完成 CA 数字证书办理预计 7 日左右，供应商只需办理其中 一家 CA 数字证书及签章。</w:t>
      </w:r>
    </w:p>
    <w:p w14:paraId="6B8C0722">
      <w:pPr>
        <w:pStyle w:val="77"/>
        <w:ind w:firstLine="420"/>
        <w:rPr>
          <w:color w:val="auto"/>
        </w:rPr>
      </w:pPr>
      <w:r>
        <w:rPr>
          <w:rFonts w:hint="eastAsia"/>
          <w:color w:val="auto"/>
        </w:rPr>
        <w:t>(3) 为确保网上操作合法、有效和安全，请供应商确保在电子响应过程中能够对相关数据电文进行加密和使用电子签章， 妥善保管 CA 数字证书并使用有效的 CA 数字证书参与整个采购活动。</w:t>
      </w:r>
    </w:p>
    <w:p w14:paraId="0B667A22">
      <w:pPr>
        <w:pStyle w:val="77"/>
        <w:ind w:firstLine="420"/>
        <w:rPr>
          <w:color w:val="auto"/>
        </w:rPr>
      </w:pPr>
      <w:r>
        <w:rPr>
          <w:rFonts w:hint="eastAsia"/>
          <w:color w:val="auto"/>
        </w:rPr>
        <w:t>注：供应商应当在首次响应文件提交截止时间前完成电子响应文件的上传、递交，响应文件提交截止时间前可以补充、修改或者撤回响应文件。补充或者修改响应文件的，应当先行撤回原文件，补充、修改后重新上传、递交。响应截止时间前未完成上传、递交的， 视为撤回响应文件。响应文件提交截止时间以后上传递交的响应文件的，“广西政府采购云平台”平台将予以拒收。</w:t>
      </w:r>
    </w:p>
    <w:p w14:paraId="6756E5F0">
      <w:pPr>
        <w:pStyle w:val="77"/>
        <w:ind w:firstLine="420"/>
        <w:rPr>
          <w:color w:val="auto"/>
        </w:rPr>
      </w:pPr>
      <w:r>
        <w:rPr>
          <w:rFonts w:hint="eastAsia"/>
          <w:color w:val="auto"/>
        </w:rPr>
        <w:t>3.CA 证书在线解密：首次响应文件开启时，须要供应商携带制作响应文件时用来加密的有效数字证书 (CA 认证) 登录 “广西政府采购云平台”平台电子开标大厅现场按规定时间对加密的响应文件进行解密，否则后果自负。</w:t>
      </w:r>
    </w:p>
    <w:p w14:paraId="0546AB82">
      <w:pPr>
        <w:pStyle w:val="77"/>
        <w:ind w:firstLine="420"/>
        <w:rPr>
          <w:color w:val="auto"/>
        </w:rPr>
      </w:pPr>
      <w:r>
        <w:rPr>
          <w:rFonts w:hint="eastAsia"/>
          <w:color w:val="auto"/>
        </w:rPr>
        <w:t>4.供应商需要在具备有摄像头及语音功能且互联网网络状况良好的电脑登录 “广西政府采购云平台”平台远程开标大厅参与本次磋商， 否则后果自负。</w:t>
      </w:r>
    </w:p>
    <w:p w14:paraId="3913F647">
      <w:pPr>
        <w:spacing w:line="360" w:lineRule="auto"/>
        <w:rPr>
          <w:rFonts w:ascii="宋体" w:hAnsi="宋体" w:cs="宋体"/>
          <w:b/>
          <w:bCs/>
          <w:color w:val="auto"/>
          <w:spacing w:val="-2"/>
          <w:sz w:val="24"/>
        </w:rPr>
      </w:pPr>
      <w:r>
        <w:rPr>
          <w:rFonts w:hint="eastAsia" w:ascii="宋体" w:hAnsi="宋体" w:cs="宋体"/>
          <w:b/>
          <w:bCs/>
          <w:color w:val="auto"/>
          <w:spacing w:val="-2"/>
          <w:sz w:val="24"/>
        </w:rPr>
        <w:t>五、开启(首次响应文件开启时间)</w:t>
      </w:r>
    </w:p>
    <w:p w14:paraId="296FED4C">
      <w:pPr>
        <w:pStyle w:val="77"/>
        <w:ind w:firstLine="420"/>
        <w:rPr>
          <w:color w:val="auto"/>
        </w:rPr>
      </w:pPr>
      <w:r>
        <w:rPr>
          <w:rFonts w:hint="eastAsia"/>
          <w:color w:val="auto"/>
        </w:rPr>
        <w:t>1.时间 (北京时间) ：2024</w:t>
      </w:r>
      <w:r>
        <w:rPr>
          <w:rFonts w:hint="eastAsia"/>
          <w:color w:val="auto"/>
          <w:lang w:eastAsia="zh-CN"/>
        </w:rPr>
        <w:t>年</w:t>
      </w:r>
      <w:r>
        <w:rPr>
          <w:rFonts w:hint="eastAsia"/>
          <w:color w:val="auto"/>
          <w:lang w:val="en-US" w:eastAsia="zh-CN"/>
        </w:rPr>
        <w:t>12月16日</w:t>
      </w:r>
      <w:r>
        <w:rPr>
          <w:color w:val="auto"/>
        </w:rPr>
        <w:t>09</w:t>
      </w:r>
      <w:r>
        <w:rPr>
          <w:rFonts w:hint="eastAsia"/>
          <w:color w:val="auto"/>
        </w:rPr>
        <w:t>:</w:t>
      </w:r>
      <w:r>
        <w:rPr>
          <w:color w:val="auto"/>
        </w:rPr>
        <w:t>30</w:t>
      </w:r>
      <w:r>
        <w:rPr>
          <w:rFonts w:hint="eastAsia"/>
          <w:color w:val="auto"/>
        </w:rPr>
        <w:t>:</w:t>
      </w:r>
      <w:r>
        <w:rPr>
          <w:color w:val="auto"/>
        </w:rPr>
        <w:t xml:space="preserve">00  </w:t>
      </w:r>
      <w:r>
        <w:rPr>
          <w:rFonts w:hint="eastAsia"/>
          <w:color w:val="auto"/>
        </w:rPr>
        <w:t>（北京时间）后</w:t>
      </w:r>
    </w:p>
    <w:p w14:paraId="236ACAAA">
      <w:pPr>
        <w:pStyle w:val="77"/>
        <w:ind w:firstLine="420"/>
        <w:rPr>
          <w:color w:val="auto"/>
        </w:rPr>
      </w:pPr>
      <w:r>
        <w:rPr>
          <w:rFonts w:hint="eastAsia"/>
          <w:color w:val="auto"/>
        </w:rPr>
        <w:t xml:space="preserve">2.地点： 广西政府采购云平台远程开标大厅 </w:t>
      </w:r>
    </w:p>
    <w:p w14:paraId="259CC999">
      <w:pPr>
        <w:spacing w:line="360" w:lineRule="auto"/>
        <w:rPr>
          <w:rFonts w:ascii="宋体" w:hAnsi="宋体" w:cs="宋体"/>
          <w:b/>
          <w:bCs/>
          <w:color w:val="auto"/>
          <w:spacing w:val="-2"/>
          <w:sz w:val="24"/>
        </w:rPr>
      </w:pPr>
      <w:r>
        <w:rPr>
          <w:rFonts w:hint="eastAsia" w:ascii="宋体" w:hAnsi="宋体" w:cs="宋体"/>
          <w:b/>
          <w:bCs/>
          <w:color w:val="auto"/>
          <w:spacing w:val="-2"/>
          <w:sz w:val="24"/>
        </w:rPr>
        <w:t>六、公告期限</w:t>
      </w:r>
    </w:p>
    <w:p w14:paraId="1790EC6B">
      <w:pPr>
        <w:pStyle w:val="77"/>
        <w:ind w:firstLine="420"/>
        <w:rPr>
          <w:color w:val="auto"/>
        </w:rPr>
      </w:pPr>
      <w:r>
        <w:rPr>
          <w:rFonts w:hint="eastAsia"/>
          <w:color w:val="auto"/>
        </w:rPr>
        <w:t>自本公告发布之日起 5 个工作日。</w:t>
      </w:r>
    </w:p>
    <w:p w14:paraId="59325FE7">
      <w:pPr>
        <w:spacing w:line="360" w:lineRule="auto"/>
        <w:rPr>
          <w:rFonts w:ascii="宋体" w:hAnsi="宋体" w:cs="宋体"/>
          <w:b/>
          <w:bCs/>
          <w:color w:val="auto"/>
          <w:spacing w:val="-2"/>
          <w:sz w:val="24"/>
        </w:rPr>
      </w:pPr>
      <w:r>
        <w:rPr>
          <w:rFonts w:hint="eastAsia" w:ascii="宋体" w:hAnsi="宋体" w:cs="宋体"/>
          <w:b/>
          <w:bCs/>
          <w:color w:val="auto"/>
          <w:spacing w:val="-2"/>
          <w:sz w:val="24"/>
        </w:rPr>
        <w:t>七、其他补充事宜</w:t>
      </w:r>
    </w:p>
    <w:p w14:paraId="3208D587">
      <w:pPr>
        <w:pStyle w:val="77"/>
        <w:ind w:firstLine="420"/>
        <w:rPr>
          <w:color w:val="auto"/>
        </w:rPr>
      </w:pPr>
      <w:r>
        <w:rPr>
          <w:rFonts w:hint="eastAsia"/>
          <w:color w:val="auto"/>
        </w:rPr>
        <w:t>1.磋商保证金：本项目不收取磋商保证金。</w:t>
      </w:r>
    </w:p>
    <w:p w14:paraId="71AD7FF8">
      <w:pPr>
        <w:pStyle w:val="77"/>
        <w:ind w:firstLine="420"/>
        <w:rPr>
          <w:color w:val="auto"/>
        </w:rPr>
      </w:pPr>
      <w:r>
        <w:rPr>
          <w:rFonts w:hint="eastAsia"/>
          <w:color w:val="auto"/>
        </w:rPr>
        <w:t>2.采购意向公开链接：</w:t>
      </w:r>
    </w:p>
    <w:p w14:paraId="0F3A27A1">
      <w:pPr>
        <w:pStyle w:val="77"/>
        <w:ind w:firstLine="420"/>
        <w:rPr>
          <w:color w:val="auto"/>
        </w:rPr>
      </w:pPr>
      <w:r>
        <w:rPr>
          <w:color w:val="auto"/>
        </w:rPr>
        <w:t>http://zfcg.gxzf.gov.cn/site/detail?parentId=66601&amp;articleId=RopnD7siWQSJybpxpRcvKA==</w:t>
      </w:r>
    </w:p>
    <w:p w14:paraId="62F60834">
      <w:pPr>
        <w:pStyle w:val="77"/>
        <w:ind w:firstLine="420"/>
        <w:rPr>
          <w:color w:val="auto"/>
        </w:rPr>
      </w:pPr>
      <w:r>
        <w:rPr>
          <w:rFonts w:hint="eastAsia"/>
          <w:color w:val="auto"/>
        </w:rPr>
        <w:t>3.网上查询地址</w:t>
      </w:r>
    </w:p>
    <w:p w14:paraId="3A055C0E">
      <w:pPr>
        <w:pStyle w:val="77"/>
        <w:ind w:firstLine="420"/>
        <w:rPr>
          <w:color w:val="auto"/>
        </w:rPr>
      </w:pPr>
      <w:r>
        <w:rPr>
          <w:rFonts w:hint="eastAsia"/>
          <w:color w:val="auto"/>
        </w:rPr>
        <w:t>http://www.ccgp.gov.cn (中国政府采购网)；</w:t>
      </w:r>
      <w:r>
        <w:rPr>
          <w:color w:val="auto"/>
        </w:rPr>
        <w:fldChar w:fldCharType="begin"/>
      </w:r>
      <w:r>
        <w:rPr>
          <w:color w:val="auto"/>
        </w:rPr>
        <w:instrText xml:space="preserve"> HYPERLINK "http://zfcg.gxzf.gov.cn" </w:instrText>
      </w:r>
      <w:r>
        <w:rPr>
          <w:color w:val="auto"/>
        </w:rPr>
        <w:fldChar w:fldCharType="separate"/>
      </w:r>
      <w:r>
        <w:rPr>
          <w:rFonts w:hint="eastAsia"/>
          <w:color w:val="auto"/>
        </w:rPr>
        <w:t>http://zfcg.gxzf.gov.cn</w:t>
      </w:r>
      <w:r>
        <w:rPr>
          <w:rFonts w:hint="eastAsia"/>
          <w:color w:val="auto"/>
        </w:rPr>
        <w:fldChar w:fldCharType="end"/>
      </w:r>
      <w:r>
        <w:rPr>
          <w:rFonts w:hint="eastAsia"/>
          <w:color w:val="auto"/>
        </w:rPr>
        <w:t xml:space="preserve"> (广西政府采购网) ；http://ggzy.jgswj.gxzf.gov.cn/nnggzy/</w:t>
      </w:r>
      <w:r>
        <w:rPr>
          <w:rFonts w:hint="eastAsia" w:cs="微软雅黑"/>
          <w:color w:val="auto"/>
        </w:rPr>
        <w:t>〔</w:t>
      </w:r>
      <w:r>
        <w:rPr>
          <w:rFonts w:hint="eastAsia"/>
          <w:color w:val="auto"/>
        </w:rPr>
        <w:t>全国公共资源交易平台（广西·南宁）</w:t>
      </w:r>
      <w:r>
        <w:rPr>
          <w:rFonts w:hint="eastAsia" w:cs="微软雅黑"/>
          <w:color w:val="auto"/>
        </w:rPr>
        <w:t>〕</w:t>
      </w:r>
      <w:r>
        <w:rPr>
          <w:rFonts w:hint="eastAsia"/>
          <w:color w:val="auto"/>
        </w:rPr>
        <w:t>公开查询；</w:t>
      </w:r>
    </w:p>
    <w:p w14:paraId="4D9B9499">
      <w:pPr>
        <w:pStyle w:val="77"/>
        <w:ind w:firstLine="420"/>
        <w:rPr>
          <w:color w:val="auto"/>
        </w:rPr>
      </w:pPr>
      <w:r>
        <w:rPr>
          <w:rFonts w:hint="eastAsia"/>
          <w:color w:val="auto"/>
        </w:rPr>
        <w:t>4. 本项目需要落实的政府采购政策</w:t>
      </w:r>
    </w:p>
    <w:p w14:paraId="488E16B1">
      <w:pPr>
        <w:pStyle w:val="77"/>
        <w:ind w:firstLine="420"/>
        <w:rPr>
          <w:color w:val="auto"/>
        </w:rPr>
      </w:pPr>
      <w:r>
        <w:rPr>
          <w:rFonts w:hint="eastAsia"/>
          <w:color w:val="auto"/>
        </w:rPr>
        <w:t>（1）政府采购促进中小企业发展。</w:t>
      </w:r>
    </w:p>
    <w:p w14:paraId="2F3EFB2E">
      <w:pPr>
        <w:pStyle w:val="77"/>
        <w:ind w:firstLine="420"/>
        <w:rPr>
          <w:color w:val="auto"/>
        </w:rPr>
      </w:pPr>
      <w:r>
        <w:rPr>
          <w:rFonts w:hint="eastAsia"/>
          <w:color w:val="auto"/>
        </w:rPr>
        <w:t>（2）政府采购支持采用本国产品的政策。</w:t>
      </w:r>
    </w:p>
    <w:p w14:paraId="4AEF0237">
      <w:pPr>
        <w:pStyle w:val="77"/>
        <w:ind w:firstLine="420"/>
        <w:rPr>
          <w:color w:val="auto"/>
        </w:rPr>
      </w:pPr>
      <w:r>
        <w:rPr>
          <w:rFonts w:hint="eastAsia"/>
          <w:color w:val="auto"/>
        </w:rPr>
        <w:t>（3）强制采购节能产品；优先采购节能产品、环境标志产品。</w:t>
      </w:r>
    </w:p>
    <w:p w14:paraId="3A36307F">
      <w:pPr>
        <w:pStyle w:val="77"/>
        <w:ind w:firstLine="420"/>
        <w:rPr>
          <w:color w:val="auto"/>
        </w:rPr>
      </w:pPr>
      <w:r>
        <w:rPr>
          <w:rFonts w:hint="eastAsia"/>
          <w:color w:val="auto"/>
        </w:rPr>
        <w:t>（4）政府采购促进残疾人就业政策。</w:t>
      </w:r>
    </w:p>
    <w:p w14:paraId="56BF4991">
      <w:pPr>
        <w:pStyle w:val="77"/>
        <w:ind w:firstLine="420"/>
        <w:rPr>
          <w:color w:val="auto"/>
        </w:rPr>
      </w:pPr>
      <w:r>
        <w:rPr>
          <w:rFonts w:hint="eastAsia"/>
          <w:color w:val="auto"/>
        </w:rPr>
        <w:t>（5）政府采购支持监狱企业发展。</w:t>
      </w:r>
    </w:p>
    <w:p w14:paraId="59616BDC">
      <w:pPr>
        <w:pStyle w:val="77"/>
        <w:ind w:firstLine="420"/>
        <w:rPr>
          <w:color w:val="auto"/>
        </w:rPr>
      </w:pPr>
      <w:r>
        <w:rPr>
          <w:rFonts w:hint="eastAsia"/>
          <w:color w:val="auto"/>
        </w:rPr>
        <w:t>（6）扶持不发达地区和少数民族地区政策</w:t>
      </w:r>
    </w:p>
    <w:p w14:paraId="0E70421C">
      <w:pPr>
        <w:pStyle w:val="77"/>
        <w:ind w:firstLine="420"/>
        <w:rPr>
          <w:color w:val="auto"/>
        </w:rPr>
      </w:pPr>
      <w:r>
        <w:rPr>
          <w:rFonts w:hint="eastAsia"/>
          <w:color w:val="auto"/>
        </w:rPr>
        <w:t>5.供应商认为采购文件使自己的权益受到损害的，可以自获取采购文件之日或者采购文件公告期限届满之日 (公告期限届满后获取采购文件的，以公告期限届满之日为准) 起 7 个工作日内以书面形式一次性向采购人和采购代理机构提出同一环节的质疑。否则，逾期的质疑采购人及招标代理机构可不予接受。质疑供应商对采购人、采购代理机构的答复不满意或者采购人、 采购代理机构未在规定的时间内作出答复的，可以在答复期满后十五个工作日内向同级政府采购监督管理部门投诉。</w:t>
      </w:r>
    </w:p>
    <w:p w14:paraId="3693BA4A">
      <w:pPr>
        <w:pStyle w:val="77"/>
        <w:ind w:firstLine="420"/>
        <w:rPr>
          <w:color w:val="auto"/>
        </w:rPr>
      </w:pPr>
      <w:r>
        <w:rPr>
          <w:rFonts w:hint="eastAsia"/>
          <w:color w:val="auto"/>
        </w:rPr>
        <w:t>6. 若 对 项 目 采 购 电 子 交 易 系 统 操 作 有 疑 问 ，  可 登 录 “广西政府采购云平台” （https://www.gcy.zfcg.gxzf.gov.cn/） ，点击右侧咨询小采，获取采小蜜智能服务管家帮助，或拨打政采云服务热线95763 获取热线服务帮助。</w:t>
      </w:r>
    </w:p>
    <w:p w14:paraId="36084E76">
      <w:pPr>
        <w:spacing w:line="360" w:lineRule="auto"/>
        <w:rPr>
          <w:rFonts w:ascii="宋体" w:hAnsi="宋体" w:cs="宋体"/>
          <w:b/>
          <w:bCs/>
          <w:color w:val="auto"/>
          <w:spacing w:val="-2"/>
          <w:sz w:val="24"/>
        </w:rPr>
      </w:pPr>
      <w:r>
        <w:rPr>
          <w:rFonts w:hint="eastAsia" w:ascii="宋体" w:hAnsi="宋体" w:cs="宋体"/>
          <w:b/>
          <w:bCs/>
          <w:color w:val="auto"/>
          <w:spacing w:val="-2"/>
          <w:sz w:val="24"/>
        </w:rPr>
        <w:t>八、凡对本次采购提出询问，请按以下方式联系</w:t>
      </w:r>
    </w:p>
    <w:p w14:paraId="23F6DF18">
      <w:pPr>
        <w:pStyle w:val="77"/>
        <w:ind w:firstLine="420"/>
        <w:rPr>
          <w:color w:val="auto"/>
        </w:rPr>
      </w:pPr>
      <w:r>
        <w:rPr>
          <w:rFonts w:hint="eastAsia"/>
          <w:color w:val="auto"/>
        </w:rPr>
        <w:t>1.采购人信息</w:t>
      </w:r>
    </w:p>
    <w:p w14:paraId="75E278D6">
      <w:pPr>
        <w:pStyle w:val="77"/>
        <w:ind w:firstLine="420"/>
        <w:rPr>
          <w:color w:val="auto"/>
        </w:rPr>
      </w:pPr>
      <w:r>
        <w:rPr>
          <w:rFonts w:hint="eastAsia"/>
          <w:color w:val="auto"/>
        </w:rPr>
        <w:t>名    称：南宁市数据局</w:t>
      </w:r>
    </w:p>
    <w:p w14:paraId="205AC5B5">
      <w:pPr>
        <w:pStyle w:val="77"/>
        <w:ind w:firstLine="420"/>
        <w:rPr>
          <w:color w:val="auto"/>
        </w:rPr>
      </w:pPr>
      <w:r>
        <w:rPr>
          <w:rFonts w:hint="eastAsia"/>
          <w:color w:val="auto"/>
        </w:rPr>
        <w:t>地    址：南宁市青秀区桂春路南一里1号</w:t>
      </w:r>
    </w:p>
    <w:p w14:paraId="1684E3DA">
      <w:pPr>
        <w:pStyle w:val="77"/>
        <w:ind w:firstLine="420"/>
        <w:rPr>
          <w:color w:val="auto"/>
        </w:rPr>
      </w:pPr>
      <w:r>
        <w:rPr>
          <w:rFonts w:hint="eastAsia"/>
          <w:color w:val="auto"/>
        </w:rPr>
        <w:t>联系方式：许泳玲  电话：</w:t>
      </w:r>
      <w:r>
        <w:rPr>
          <w:color w:val="auto"/>
        </w:rPr>
        <w:t>0771- 5537886</w:t>
      </w:r>
    </w:p>
    <w:p w14:paraId="19BDDFC7">
      <w:pPr>
        <w:pStyle w:val="77"/>
        <w:ind w:firstLine="420"/>
        <w:rPr>
          <w:color w:val="auto"/>
        </w:rPr>
      </w:pPr>
      <w:r>
        <w:rPr>
          <w:rFonts w:hint="eastAsia"/>
          <w:color w:val="auto"/>
        </w:rPr>
        <w:t>2.采购代理机构信息</w:t>
      </w:r>
    </w:p>
    <w:p w14:paraId="07632F6F">
      <w:pPr>
        <w:pStyle w:val="77"/>
        <w:ind w:firstLine="420"/>
        <w:rPr>
          <w:rFonts w:hint="eastAsia" w:eastAsia="宋体"/>
          <w:color w:val="auto"/>
          <w:lang w:eastAsia="zh-CN"/>
        </w:rPr>
      </w:pPr>
      <w:r>
        <w:rPr>
          <w:rFonts w:hint="eastAsia"/>
          <w:color w:val="auto"/>
        </w:rPr>
        <w:t>名    称：</w:t>
      </w:r>
      <w:r>
        <w:rPr>
          <w:rFonts w:hint="eastAsia"/>
          <w:color w:val="auto"/>
          <w:lang w:eastAsia="zh-CN"/>
        </w:rPr>
        <w:t>广西锦辉项目管理有限公司</w:t>
      </w:r>
    </w:p>
    <w:p w14:paraId="09A477CC">
      <w:pPr>
        <w:pStyle w:val="77"/>
        <w:ind w:firstLine="420"/>
        <w:rPr>
          <w:color w:val="auto"/>
        </w:rPr>
      </w:pPr>
      <w:r>
        <w:rPr>
          <w:rFonts w:hint="eastAsia"/>
          <w:color w:val="auto"/>
        </w:rPr>
        <w:t>地　　址：</w:t>
      </w:r>
      <w:r>
        <w:rPr>
          <w:rFonts w:hint="eastAsia" w:ascii="宋体" w:hAnsi="宋体" w:cs="宋体"/>
          <w:color w:val="auto"/>
          <w:szCs w:val="21"/>
          <w:lang w:val="zh-CN"/>
        </w:rPr>
        <w:t>南宁市江南区白沙大道53号松宇时代办公楼12A层</w:t>
      </w:r>
    </w:p>
    <w:p w14:paraId="194EF48F">
      <w:pPr>
        <w:pStyle w:val="77"/>
        <w:ind w:firstLine="420"/>
        <w:rPr>
          <w:color w:val="auto"/>
        </w:rPr>
      </w:pPr>
      <w:r>
        <w:rPr>
          <w:rFonts w:hint="eastAsia"/>
          <w:color w:val="auto"/>
        </w:rPr>
        <w:t xml:space="preserve">联系方式：廖工 </w:t>
      </w:r>
      <w:r>
        <w:rPr>
          <w:color w:val="auto"/>
        </w:rPr>
        <w:t xml:space="preserve">  </w:t>
      </w:r>
      <w:r>
        <w:rPr>
          <w:rFonts w:hint="eastAsia"/>
          <w:color w:val="auto"/>
        </w:rPr>
        <w:t>电话：</w:t>
      </w:r>
      <w:r>
        <w:rPr>
          <w:rFonts w:hint="eastAsia"/>
          <w:color w:val="auto"/>
          <w:lang w:eastAsia="zh-CN"/>
        </w:rPr>
        <w:t>0771-4956273</w:t>
      </w:r>
      <w:r>
        <w:rPr>
          <w:rFonts w:hint="eastAsia"/>
          <w:color w:val="auto"/>
        </w:rPr>
        <w:t xml:space="preserve"> </w:t>
      </w:r>
    </w:p>
    <w:p w14:paraId="7CA13C64">
      <w:pPr>
        <w:pStyle w:val="77"/>
        <w:ind w:firstLine="420"/>
        <w:rPr>
          <w:color w:val="auto"/>
        </w:rPr>
      </w:pPr>
      <w:r>
        <w:rPr>
          <w:rFonts w:hint="eastAsia"/>
          <w:color w:val="auto"/>
        </w:rPr>
        <w:t>3.项目联系方式</w:t>
      </w:r>
    </w:p>
    <w:p w14:paraId="6F79D1A8">
      <w:pPr>
        <w:pStyle w:val="77"/>
        <w:ind w:firstLine="420"/>
        <w:rPr>
          <w:color w:val="auto"/>
        </w:rPr>
      </w:pPr>
      <w:r>
        <w:rPr>
          <w:rFonts w:hint="eastAsia"/>
          <w:color w:val="auto"/>
        </w:rPr>
        <w:t>项目联系人：廖工</w:t>
      </w:r>
    </w:p>
    <w:p w14:paraId="70C3165F">
      <w:pPr>
        <w:pStyle w:val="77"/>
        <w:ind w:firstLine="420"/>
        <w:rPr>
          <w:rFonts w:hint="eastAsia" w:eastAsia="宋体"/>
          <w:color w:val="auto"/>
          <w:lang w:eastAsia="zh-CN"/>
        </w:rPr>
      </w:pPr>
      <w:r>
        <w:rPr>
          <w:rFonts w:hint="eastAsia"/>
          <w:color w:val="auto"/>
        </w:rPr>
        <w:t>电　　  话：</w:t>
      </w:r>
      <w:r>
        <w:rPr>
          <w:rFonts w:hint="eastAsia"/>
          <w:color w:val="auto"/>
          <w:lang w:eastAsia="zh-CN"/>
        </w:rPr>
        <w:t>0771-4956273</w:t>
      </w:r>
    </w:p>
    <w:p w14:paraId="49A336A4">
      <w:pPr>
        <w:pStyle w:val="77"/>
        <w:ind w:firstLine="420"/>
        <w:rPr>
          <w:color w:val="auto"/>
        </w:rPr>
      </w:pPr>
      <w:r>
        <w:rPr>
          <w:rFonts w:hint="eastAsia"/>
          <w:color w:val="auto"/>
        </w:rPr>
        <w:t>附件：  1.CA 证书申请方式及操作指南下载地址 (现场申请方式见网址：</w:t>
      </w:r>
      <w:r>
        <w:rPr>
          <w:color w:val="auto"/>
        </w:rPr>
        <w:fldChar w:fldCharType="begin"/>
      </w:r>
      <w:r>
        <w:rPr>
          <w:color w:val="auto"/>
        </w:rPr>
        <w:instrText xml:space="preserve"> HYPERLINK "http://www.ccgp-guangxi.gov.cn/OfficeService/DownloadArea/8354055.html?utm=a0003.39a112b4.cmp001.d0002.f0464b20ff2a11eb873141bf9e381949" </w:instrText>
      </w:r>
      <w:r>
        <w:rPr>
          <w:color w:val="auto"/>
        </w:rPr>
        <w:fldChar w:fldCharType="separate"/>
      </w:r>
      <w:r>
        <w:rPr>
          <w:rFonts w:hint="eastAsia"/>
          <w:color w:val="auto"/>
        </w:rPr>
        <w:t>http://www.ccgp-</w:t>
      </w:r>
      <w:r>
        <w:rPr>
          <w:rFonts w:hint="eastAsia"/>
          <w:color w:val="auto"/>
        </w:rPr>
        <w:fldChar w:fldCharType="end"/>
      </w:r>
      <w:r>
        <w:rPr>
          <w:rFonts w:hint="eastAsia"/>
          <w:color w:val="auto"/>
        </w:rPr>
        <w:t xml:space="preserve"> </w:t>
      </w:r>
      <w:r>
        <w:rPr>
          <w:color w:val="auto"/>
        </w:rPr>
        <w:fldChar w:fldCharType="begin"/>
      </w:r>
      <w:r>
        <w:rPr>
          <w:color w:val="auto"/>
        </w:rPr>
        <w:instrText xml:space="preserve"> HYPERLINK "http://www.ccgp-guangxi.gov.cn/OfficeService/DownloadArea/8354055.html?utm=a0003.39a112b4.cmp001.d0002.f0464b20ff2a11eb873141bf9e381949" </w:instrText>
      </w:r>
      <w:r>
        <w:rPr>
          <w:color w:val="auto"/>
        </w:rPr>
        <w:fldChar w:fldCharType="separate"/>
      </w:r>
      <w:r>
        <w:rPr>
          <w:rFonts w:hint="eastAsia"/>
          <w:color w:val="auto"/>
        </w:rPr>
        <w:t>guangxi.gov.cn/OfficeService/DownloadArea/8354055.html?</w:t>
      </w:r>
      <w:r>
        <w:rPr>
          <w:rFonts w:hint="eastAsia"/>
          <w:color w:val="auto"/>
        </w:rPr>
        <w:fldChar w:fldCharType="end"/>
      </w:r>
      <w:r>
        <w:rPr>
          <w:rFonts w:hint="eastAsia"/>
          <w:color w:val="auto"/>
        </w:rPr>
        <w:t xml:space="preserve">                   </w:t>
      </w:r>
      <w:r>
        <w:rPr>
          <w:color w:val="auto"/>
        </w:rPr>
        <w:fldChar w:fldCharType="begin"/>
      </w:r>
      <w:r>
        <w:rPr>
          <w:color w:val="auto"/>
        </w:rPr>
        <w:instrText xml:space="preserve"> HYPERLINK "http://www.ccgp-guangxi.gov.cn/OfficeService/DownloadArea/8354055.html?utm=a0003.39a112b4.cmp001.d0002.f0464b20ff2a11eb873141bf9e381949" </w:instrText>
      </w:r>
      <w:r>
        <w:rPr>
          <w:color w:val="auto"/>
        </w:rPr>
        <w:fldChar w:fldCharType="separate"/>
      </w:r>
      <w:r>
        <w:rPr>
          <w:rFonts w:hint="eastAsia"/>
          <w:color w:val="auto"/>
        </w:rPr>
        <w:t>utm=a0003.39a112b4.cmp001.d0002.f0464b20ff2a11eb873141bf9e381949</w:t>
      </w:r>
      <w:r>
        <w:rPr>
          <w:rFonts w:hint="eastAsia"/>
          <w:color w:val="auto"/>
        </w:rPr>
        <w:fldChar w:fldCharType="end"/>
      </w:r>
      <w:r>
        <w:rPr>
          <w:rFonts w:hint="eastAsia"/>
          <w:color w:val="auto"/>
        </w:rPr>
        <w:t xml:space="preserve">  (广西政府采购网) /网上申请方式见网址： </w:t>
      </w:r>
      <w:r>
        <w:rPr>
          <w:color w:val="auto"/>
        </w:rPr>
        <w:fldChar w:fldCharType="begin"/>
      </w:r>
      <w:r>
        <w:rPr>
          <w:color w:val="auto"/>
        </w:rPr>
        <w:instrText xml:space="preserve"> HYPERLINK "http://nncz.nanning.gov.cn/" </w:instrText>
      </w:r>
      <w:r>
        <w:rPr>
          <w:color w:val="auto"/>
        </w:rPr>
        <w:fldChar w:fldCharType="separate"/>
      </w:r>
      <w:r>
        <w:rPr>
          <w:rFonts w:hint="eastAsia"/>
          <w:color w:val="auto"/>
        </w:rPr>
        <w:t>http://nncz.nanning.gov.cn/</w:t>
      </w:r>
      <w:r>
        <w:rPr>
          <w:rFonts w:hint="eastAsia"/>
          <w:color w:val="auto"/>
        </w:rPr>
        <w:fldChar w:fldCharType="end"/>
      </w:r>
      <w:r>
        <w:rPr>
          <w:rFonts w:hint="eastAsia"/>
          <w:color w:val="auto"/>
        </w:rPr>
        <w:t xml:space="preserve">  (南宁市财政局官网) -下载专区-“广西政采云西部 CA 办理方式”或“南宁市政采云 CA 证书办理操作指南”)</w:t>
      </w:r>
    </w:p>
    <w:p w14:paraId="7D36000A">
      <w:pPr>
        <w:pStyle w:val="77"/>
        <w:ind w:firstLine="420"/>
        <w:rPr>
          <w:color w:val="auto"/>
        </w:rPr>
      </w:pPr>
      <w:r>
        <w:rPr>
          <w:rFonts w:hint="eastAsia"/>
          <w:color w:val="auto"/>
        </w:rPr>
        <w:t>2.电子响应文件制作与投送教程(在此网址下载：</w:t>
      </w:r>
      <w:r>
        <w:rPr>
          <w:color w:val="auto"/>
        </w:rPr>
        <w:fldChar w:fldCharType="begin"/>
      </w:r>
      <w:r>
        <w:rPr>
          <w:color w:val="auto"/>
        </w:rPr>
        <w:instrText xml:space="preserve"> HYPERLINK "http://nncz.nanning.gov.cn/" </w:instrText>
      </w:r>
      <w:r>
        <w:rPr>
          <w:color w:val="auto"/>
        </w:rPr>
        <w:fldChar w:fldCharType="separate"/>
      </w:r>
      <w:r>
        <w:rPr>
          <w:rFonts w:hint="eastAsia"/>
          <w:color w:val="auto"/>
        </w:rPr>
        <w:t>http://nncz.nanning.gov.cn/</w:t>
      </w:r>
      <w:r>
        <w:rPr>
          <w:rFonts w:hint="eastAsia"/>
          <w:color w:val="auto"/>
        </w:rPr>
        <w:fldChar w:fldCharType="end"/>
      </w:r>
      <w:r>
        <w:rPr>
          <w:rFonts w:hint="eastAsia"/>
          <w:color w:val="auto"/>
        </w:rPr>
        <w:t>(南宁市财政局官网) -下载专区)</w:t>
      </w:r>
    </w:p>
    <w:p w14:paraId="5EFF0010">
      <w:pPr>
        <w:spacing w:before="2" w:line="360" w:lineRule="auto"/>
        <w:ind w:left="7372" w:hanging="1228"/>
        <w:jc w:val="right"/>
        <w:rPr>
          <w:rFonts w:ascii="宋体" w:hAnsi="宋体" w:cs="宋体"/>
          <w:color w:val="auto"/>
          <w:spacing w:val="-4"/>
          <w:szCs w:val="21"/>
          <w:u w:val="single"/>
        </w:rPr>
      </w:pPr>
    </w:p>
    <w:p w14:paraId="568950AD">
      <w:pPr>
        <w:spacing w:before="2" w:line="360" w:lineRule="auto"/>
        <w:jc w:val="right"/>
        <w:rPr>
          <w:rFonts w:hint="eastAsia" w:ascii="宋体" w:hAnsi="宋体" w:eastAsia="宋体" w:cs="宋体"/>
          <w:color w:val="auto"/>
          <w:spacing w:val="-6"/>
          <w:position w:val="7"/>
          <w:szCs w:val="21"/>
          <w:lang w:eastAsia="zh-CN"/>
        </w:rPr>
      </w:pPr>
      <w:r>
        <w:rPr>
          <w:rFonts w:hint="eastAsia" w:ascii="宋体" w:hAnsi="宋体" w:cs="宋体"/>
          <w:color w:val="auto"/>
          <w:spacing w:val="-6"/>
          <w:position w:val="7"/>
          <w:szCs w:val="21"/>
          <w:lang w:eastAsia="zh-CN"/>
        </w:rPr>
        <w:t>广西锦辉项目管理有限公司</w:t>
      </w:r>
    </w:p>
    <w:p w14:paraId="5E9214D1">
      <w:pPr>
        <w:spacing w:before="2" w:line="360" w:lineRule="auto"/>
        <w:jc w:val="right"/>
        <w:rPr>
          <w:rFonts w:ascii="宋体" w:hAnsi="宋体" w:cs="宋体"/>
          <w:color w:val="auto"/>
          <w:szCs w:val="21"/>
        </w:rPr>
      </w:pPr>
      <w:r>
        <w:rPr>
          <w:rFonts w:hint="eastAsia" w:ascii="宋体" w:hAnsi="宋体" w:cs="宋体"/>
          <w:color w:val="auto"/>
          <w:szCs w:val="21"/>
        </w:rPr>
        <w:t>2024</w:t>
      </w:r>
      <w:r>
        <w:rPr>
          <w:rFonts w:hint="eastAsia" w:ascii="宋体" w:hAnsi="宋体" w:cs="宋体"/>
          <w:color w:val="auto"/>
          <w:spacing w:val="-1"/>
          <w:szCs w:val="21"/>
        </w:rPr>
        <w:t>年</w:t>
      </w:r>
      <w:r>
        <w:rPr>
          <w:rFonts w:hint="eastAsia" w:ascii="宋体" w:hAnsi="宋体" w:cs="宋体"/>
          <w:color w:val="auto"/>
          <w:spacing w:val="-1"/>
          <w:szCs w:val="21"/>
          <w:lang w:val="en-US" w:eastAsia="zh-CN"/>
        </w:rPr>
        <w:t>12</w:t>
      </w:r>
      <w:r>
        <w:rPr>
          <w:rFonts w:hint="eastAsia" w:ascii="宋体" w:hAnsi="宋体" w:cs="宋体"/>
          <w:color w:val="auto"/>
          <w:spacing w:val="-1"/>
          <w:szCs w:val="21"/>
        </w:rPr>
        <w:t>月</w:t>
      </w:r>
      <w:r>
        <w:rPr>
          <w:rFonts w:hint="eastAsia" w:ascii="宋体" w:hAnsi="宋体" w:cs="宋体"/>
          <w:color w:val="auto"/>
          <w:spacing w:val="-1"/>
          <w:szCs w:val="21"/>
          <w:lang w:val="en-US" w:eastAsia="zh-CN"/>
        </w:rPr>
        <w:t>4</w:t>
      </w:r>
      <w:r>
        <w:rPr>
          <w:rFonts w:hint="eastAsia" w:ascii="宋体" w:hAnsi="宋体" w:cs="宋体"/>
          <w:color w:val="auto"/>
          <w:szCs w:val="21"/>
        </w:rPr>
        <w:t>日</w:t>
      </w:r>
    </w:p>
    <w:p w14:paraId="02D26C38">
      <w:pPr>
        <w:spacing w:line="360" w:lineRule="auto"/>
        <w:rPr>
          <w:rFonts w:ascii="宋体" w:hAnsi="宋体" w:cs="宋体"/>
          <w:color w:val="auto"/>
        </w:rPr>
        <w:sectPr>
          <w:headerReference r:id="rId6" w:type="default"/>
          <w:footerReference r:id="rId7" w:type="default"/>
          <w:pgSz w:w="11905" w:h="16838"/>
          <w:pgMar w:top="1417" w:right="1134" w:bottom="1417" w:left="1100" w:header="703" w:footer="703" w:gutter="0"/>
          <w:pgNumType w:start="1"/>
          <w:cols w:space="720" w:num="1"/>
        </w:sectPr>
      </w:pPr>
    </w:p>
    <w:p w14:paraId="10C0EA0F">
      <w:pPr>
        <w:spacing w:before="104" w:line="360" w:lineRule="auto"/>
        <w:jc w:val="center"/>
        <w:outlineLvl w:val="0"/>
        <w:rPr>
          <w:rFonts w:ascii="宋体" w:hAnsi="宋体" w:cs="宋体"/>
          <w:color w:val="auto"/>
          <w:sz w:val="44"/>
          <w:szCs w:val="44"/>
        </w:rPr>
      </w:pPr>
      <w:bookmarkStart w:id="4" w:name="_Toc1789"/>
      <w:r>
        <w:rPr>
          <w:rFonts w:hint="eastAsia" w:ascii="宋体" w:hAnsi="宋体" w:cs="宋体"/>
          <w:color w:val="auto"/>
          <w:spacing w:val="-16"/>
          <w:sz w:val="44"/>
          <w:szCs w:val="44"/>
        </w:rPr>
        <w:t>第</w:t>
      </w:r>
      <w:r>
        <w:rPr>
          <w:rFonts w:hint="eastAsia" w:ascii="宋体" w:hAnsi="宋体" w:cs="宋体"/>
          <w:color w:val="auto"/>
          <w:spacing w:val="-12"/>
          <w:sz w:val="44"/>
          <w:szCs w:val="44"/>
        </w:rPr>
        <w:t>二章 采购需求</w:t>
      </w:r>
      <w:bookmarkEnd w:id="4"/>
    </w:p>
    <w:p w14:paraId="7F6CC568">
      <w:pPr>
        <w:spacing w:line="360" w:lineRule="auto"/>
        <w:rPr>
          <w:rFonts w:ascii="宋体" w:hAnsi="宋体" w:cs="宋体"/>
          <w:color w:val="auto"/>
        </w:rPr>
      </w:pPr>
    </w:p>
    <w:p w14:paraId="13168FCF">
      <w:pPr>
        <w:pStyle w:val="77"/>
        <w:ind w:firstLine="420"/>
        <w:rPr>
          <w:color w:val="auto"/>
        </w:rPr>
      </w:pPr>
      <w:r>
        <w:rPr>
          <w:rFonts w:hint="eastAsia"/>
          <w:color w:val="auto"/>
        </w:rPr>
        <w:t>说明：</w:t>
      </w:r>
    </w:p>
    <w:p w14:paraId="6121F376">
      <w:pPr>
        <w:pStyle w:val="77"/>
        <w:ind w:firstLine="420"/>
        <w:rPr>
          <w:color w:val="auto"/>
        </w:rPr>
      </w:pPr>
      <w:r>
        <w:rPr>
          <w:rFonts w:hint="eastAsia"/>
          <w:color w:val="auto"/>
        </w:rPr>
        <w:t>1. 为落实政府采购政策需满足的要求</w:t>
      </w:r>
    </w:p>
    <w:p w14:paraId="3C332F9C">
      <w:pPr>
        <w:pStyle w:val="77"/>
        <w:ind w:firstLine="420"/>
        <w:rPr>
          <w:color w:val="auto"/>
        </w:rPr>
      </w:pPr>
      <w:r>
        <w:rPr>
          <w:rFonts w:hint="eastAsia"/>
          <w:color w:val="auto"/>
        </w:rPr>
        <w:t>（1）本竞争性磋商采购文件所称中小企业必须符合《政府采购促进中小企业发展管理办法》（财库〔2020〕46号）的规定。</w:t>
      </w:r>
    </w:p>
    <w:p w14:paraId="4B3A5152">
      <w:pPr>
        <w:pStyle w:val="77"/>
        <w:ind w:firstLine="420"/>
        <w:rPr>
          <w:color w:val="auto"/>
        </w:rPr>
      </w:pPr>
      <w:r>
        <w:rPr>
          <w:rFonts w:hint="eastAsia"/>
          <w:color w:val="auto"/>
        </w:rPr>
        <w:t>（2）服务项目中包含货物的，根据《财政部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供应商必须在响应文件中提供所竞标产品的节能产品认证证书复印件（加盖供应商公章），否则响应文件作无效处理。如本项目包含的配套货物属于品目清单内非标注“★”的产品时，应优先采购，具体详见“第四章 评审程序和评定成交的标准”。</w:t>
      </w:r>
    </w:p>
    <w:p w14:paraId="27776D31">
      <w:pPr>
        <w:pStyle w:val="77"/>
        <w:ind w:firstLine="420"/>
        <w:rPr>
          <w:color w:val="auto"/>
        </w:rPr>
      </w:pPr>
      <w:r>
        <w:rPr>
          <w:rFonts w:hint="eastAsia"/>
          <w:color w:val="auto"/>
        </w:rPr>
        <w:t>（3）服务项目中伴随的货物包含列入《网络关键设备和网络安全专用产品目录》的网络安全专用产品，应当按照《信息安全技术 网络安全专用产品安全技术要求》等相关国家标准的强制性要求，提供具备资格的机构安全认证合格或者安全检测证明材料（加盖供应商公章），否则响应文件作无效处理。</w:t>
      </w:r>
    </w:p>
    <w:p w14:paraId="773DEE7A">
      <w:pPr>
        <w:pStyle w:val="77"/>
        <w:ind w:firstLine="420"/>
        <w:rPr>
          <w:color w:val="auto"/>
        </w:rPr>
      </w:pPr>
      <w:r>
        <w:rPr>
          <w:rFonts w:hint="eastAsia"/>
          <w:color w:val="auto"/>
        </w:rPr>
        <w:t>2.“实质性要求”是指采购需求中带“▲”的条款或者不能负偏离的条款或者已经指明不满足按响应文件作无效处理的条款。</w:t>
      </w:r>
    </w:p>
    <w:p w14:paraId="6ADD1BC9">
      <w:pPr>
        <w:pStyle w:val="77"/>
        <w:ind w:firstLine="420"/>
        <w:rPr>
          <w:color w:val="auto"/>
        </w:rPr>
      </w:pPr>
      <w:r>
        <w:rPr>
          <w:rFonts w:hint="eastAsia"/>
          <w:color w:val="auto"/>
        </w:rPr>
        <w:t>3.如竞标供应商竞标产品存在侵犯他人的知识产权或者专利成果行为的，应承担相应法律责任。</w:t>
      </w:r>
    </w:p>
    <w:p w14:paraId="3AF2B751">
      <w:pPr>
        <w:widowControl/>
        <w:spacing w:line="240" w:lineRule="auto"/>
        <w:contextualSpacing w:val="0"/>
        <w:jc w:val="left"/>
        <w:rPr>
          <w:color w:val="auto"/>
          <w:kern w:val="0"/>
          <w:szCs w:val="20"/>
        </w:rPr>
      </w:pPr>
      <w:r>
        <w:rPr>
          <w:color w:val="auto"/>
        </w:rPr>
        <w:br w:type="page"/>
      </w:r>
    </w:p>
    <w:p w14:paraId="1A61932B">
      <w:pPr>
        <w:pStyle w:val="77"/>
        <w:ind w:firstLine="420"/>
        <w:rPr>
          <w:color w:val="auto"/>
        </w:rPr>
      </w:pPr>
    </w:p>
    <w:tbl>
      <w:tblPr>
        <w:tblStyle w:val="26"/>
        <w:tblW w:w="1048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5"/>
        <w:gridCol w:w="545"/>
        <w:gridCol w:w="853"/>
        <w:gridCol w:w="709"/>
        <w:gridCol w:w="604"/>
        <w:gridCol w:w="5244"/>
        <w:gridCol w:w="787"/>
        <w:gridCol w:w="1201"/>
      </w:tblGrid>
      <w:tr w14:paraId="07D7A2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10488" w:type="dxa"/>
            <w:gridSpan w:val="8"/>
            <w:tcBorders>
              <w:top w:val="single" w:color="auto" w:sz="4" w:space="0"/>
              <w:left w:val="single" w:color="auto" w:sz="4" w:space="0"/>
              <w:right w:val="single" w:color="auto" w:sz="4" w:space="0"/>
            </w:tcBorders>
            <w:vAlign w:val="center"/>
          </w:tcPr>
          <w:p w14:paraId="0A805FDB">
            <w:pPr>
              <w:spacing w:line="360" w:lineRule="auto"/>
              <w:jc w:val="center"/>
              <w:rPr>
                <w:rFonts w:ascii="宋体" w:hAnsi="宋体" w:cs="宋体"/>
                <w:b/>
                <w:color w:val="auto"/>
                <w:sz w:val="24"/>
              </w:rPr>
            </w:pPr>
            <w:r>
              <w:rPr>
                <w:rFonts w:hint="eastAsia" w:ascii="宋体" w:hAnsi="宋体" w:cs="Arial"/>
                <w:b/>
                <w:color w:val="auto"/>
                <w:sz w:val="32"/>
                <w:szCs w:val="32"/>
              </w:rPr>
              <w:t>服务需求一览表</w:t>
            </w:r>
          </w:p>
        </w:tc>
      </w:tr>
      <w:tr w14:paraId="588C33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1943" w:type="dxa"/>
            <w:gridSpan w:val="3"/>
            <w:tcBorders>
              <w:top w:val="single" w:color="auto" w:sz="4" w:space="0"/>
              <w:left w:val="single" w:color="auto" w:sz="4" w:space="0"/>
              <w:right w:val="single" w:color="auto" w:sz="4" w:space="0"/>
            </w:tcBorders>
            <w:vAlign w:val="center"/>
          </w:tcPr>
          <w:p w14:paraId="6B61BAF4">
            <w:pPr>
              <w:spacing w:line="360" w:lineRule="auto"/>
              <w:jc w:val="center"/>
              <w:rPr>
                <w:rFonts w:ascii="宋体" w:hAnsi="宋体"/>
                <w:color w:val="auto"/>
              </w:rPr>
            </w:pPr>
            <w:r>
              <w:rPr>
                <w:rFonts w:hint="eastAsia" w:ascii="宋体" w:hAnsi="宋体"/>
                <w:color w:val="auto"/>
              </w:rPr>
              <w:t>标段</w:t>
            </w:r>
          </w:p>
        </w:tc>
        <w:tc>
          <w:tcPr>
            <w:tcW w:w="8545" w:type="dxa"/>
            <w:gridSpan w:val="5"/>
            <w:tcBorders>
              <w:top w:val="single" w:color="auto" w:sz="4" w:space="0"/>
              <w:left w:val="single" w:color="auto" w:sz="4" w:space="0"/>
              <w:right w:val="single" w:color="auto" w:sz="4" w:space="0"/>
            </w:tcBorders>
            <w:vAlign w:val="center"/>
          </w:tcPr>
          <w:p w14:paraId="665F3A93">
            <w:pPr>
              <w:spacing w:line="360" w:lineRule="auto"/>
              <w:jc w:val="left"/>
              <w:rPr>
                <w:rFonts w:ascii="宋体" w:hAnsi="宋体"/>
                <w:color w:val="auto"/>
              </w:rPr>
            </w:pPr>
            <w:r>
              <w:rPr>
                <w:rFonts w:hint="eastAsia" w:ascii="宋体" w:hAnsi="宋体"/>
                <w:color w:val="auto"/>
              </w:rPr>
              <w:t>/分标</w:t>
            </w:r>
          </w:p>
        </w:tc>
      </w:tr>
      <w:tr w14:paraId="6484D6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45" w:type="dxa"/>
            <w:vMerge w:val="restart"/>
            <w:tcBorders>
              <w:top w:val="single" w:color="auto" w:sz="4" w:space="0"/>
              <w:left w:val="single" w:color="auto" w:sz="4" w:space="0"/>
              <w:right w:val="single" w:color="auto" w:sz="4" w:space="0"/>
            </w:tcBorders>
            <w:vAlign w:val="center"/>
          </w:tcPr>
          <w:p w14:paraId="49DAB319">
            <w:pPr>
              <w:spacing w:line="360" w:lineRule="auto"/>
              <w:jc w:val="center"/>
              <w:rPr>
                <w:rFonts w:ascii="宋体" w:hAnsi="宋体"/>
                <w:color w:val="auto"/>
              </w:rPr>
            </w:pPr>
            <w:r>
              <w:rPr>
                <w:rFonts w:hint="eastAsia" w:ascii="宋体" w:hAnsi="宋体"/>
                <w:color w:val="auto"/>
              </w:rPr>
              <w:t>采购清单及技术参数</w:t>
            </w:r>
          </w:p>
        </w:tc>
        <w:tc>
          <w:tcPr>
            <w:tcW w:w="545"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7FB9DD2D">
            <w:pPr>
              <w:spacing w:line="360" w:lineRule="auto"/>
              <w:jc w:val="center"/>
              <w:rPr>
                <w:rFonts w:ascii="宋体" w:hAnsi="宋体"/>
                <w:color w:val="auto"/>
              </w:rPr>
            </w:pPr>
            <w:r>
              <w:rPr>
                <w:rFonts w:hint="eastAsia" w:ascii="宋体" w:hAnsi="宋体"/>
                <w:color w:val="auto"/>
              </w:rPr>
              <w:t>序号</w:t>
            </w:r>
          </w:p>
        </w:tc>
        <w:tc>
          <w:tcPr>
            <w:tcW w:w="853" w:type="dxa"/>
            <w:tcBorders>
              <w:top w:val="single" w:color="auto" w:sz="4" w:space="0"/>
              <w:left w:val="single" w:color="auto" w:sz="4" w:space="0"/>
              <w:bottom w:val="single" w:color="auto" w:sz="4" w:space="0"/>
              <w:right w:val="single" w:color="auto" w:sz="4" w:space="0"/>
            </w:tcBorders>
            <w:vAlign w:val="center"/>
          </w:tcPr>
          <w:p w14:paraId="5BB9EAF0">
            <w:pPr>
              <w:spacing w:line="360" w:lineRule="auto"/>
              <w:jc w:val="center"/>
              <w:rPr>
                <w:rFonts w:ascii="宋体" w:hAnsi="宋体"/>
                <w:color w:val="auto"/>
              </w:rPr>
            </w:pPr>
            <w:r>
              <w:rPr>
                <w:rFonts w:hint="eastAsia" w:ascii="宋体" w:hAnsi="宋体"/>
                <w:color w:val="auto"/>
              </w:rPr>
              <w:t>标的的名称</w:t>
            </w:r>
          </w:p>
        </w:tc>
        <w:tc>
          <w:tcPr>
            <w:tcW w:w="709" w:type="dxa"/>
            <w:tcBorders>
              <w:top w:val="single" w:color="auto" w:sz="4" w:space="0"/>
              <w:left w:val="single" w:color="auto" w:sz="4" w:space="0"/>
              <w:bottom w:val="single" w:color="auto" w:sz="4" w:space="0"/>
              <w:right w:val="single" w:color="auto" w:sz="4" w:space="0"/>
            </w:tcBorders>
            <w:vAlign w:val="center"/>
          </w:tcPr>
          <w:p w14:paraId="182CF77C">
            <w:pPr>
              <w:spacing w:line="360" w:lineRule="auto"/>
              <w:jc w:val="center"/>
              <w:rPr>
                <w:rFonts w:ascii="宋体" w:hAnsi="宋体"/>
                <w:color w:val="auto"/>
              </w:rPr>
            </w:pPr>
            <w:r>
              <w:rPr>
                <w:rFonts w:hint="eastAsia" w:ascii="宋体" w:hAnsi="宋体"/>
                <w:color w:val="auto"/>
              </w:rPr>
              <w:t>单位</w:t>
            </w:r>
          </w:p>
        </w:tc>
        <w:tc>
          <w:tcPr>
            <w:tcW w:w="604" w:type="dxa"/>
            <w:tcBorders>
              <w:top w:val="single" w:color="auto" w:sz="4" w:space="0"/>
              <w:left w:val="single" w:color="auto" w:sz="4" w:space="0"/>
              <w:bottom w:val="single" w:color="auto" w:sz="4" w:space="0"/>
              <w:right w:val="single" w:color="auto" w:sz="4" w:space="0"/>
            </w:tcBorders>
            <w:vAlign w:val="center"/>
          </w:tcPr>
          <w:p w14:paraId="72720A1B">
            <w:pPr>
              <w:spacing w:line="360" w:lineRule="auto"/>
              <w:jc w:val="center"/>
              <w:rPr>
                <w:rFonts w:ascii="宋体" w:hAnsi="宋体"/>
                <w:color w:val="auto"/>
              </w:rPr>
            </w:pPr>
            <w:r>
              <w:rPr>
                <w:rFonts w:hint="eastAsia" w:ascii="宋体" w:hAnsi="宋体"/>
                <w:color w:val="auto"/>
              </w:rPr>
              <w:t>数量</w:t>
            </w:r>
          </w:p>
        </w:tc>
        <w:tc>
          <w:tcPr>
            <w:tcW w:w="5244" w:type="dxa"/>
            <w:tcBorders>
              <w:top w:val="single" w:color="auto" w:sz="4" w:space="0"/>
              <w:left w:val="single" w:color="auto" w:sz="4" w:space="0"/>
              <w:bottom w:val="single" w:color="auto" w:sz="4" w:space="0"/>
              <w:right w:val="single" w:color="auto" w:sz="4" w:space="0"/>
            </w:tcBorders>
            <w:vAlign w:val="center"/>
          </w:tcPr>
          <w:p w14:paraId="3E4465F6">
            <w:pPr>
              <w:spacing w:line="360" w:lineRule="auto"/>
              <w:jc w:val="center"/>
              <w:rPr>
                <w:rFonts w:ascii="宋体" w:hAnsi="宋体"/>
                <w:color w:val="auto"/>
              </w:rPr>
            </w:pPr>
            <w:r>
              <w:rPr>
                <w:rFonts w:hint="eastAsia" w:ascii="宋体" w:hAnsi="宋体"/>
                <w:color w:val="auto"/>
              </w:rPr>
              <w:t>服务参数</w:t>
            </w:r>
          </w:p>
        </w:tc>
        <w:tc>
          <w:tcPr>
            <w:tcW w:w="787" w:type="dxa"/>
            <w:tcBorders>
              <w:top w:val="single" w:color="auto" w:sz="4" w:space="0"/>
              <w:left w:val="single" w:color="auto" w:sz="4" w:space="0"/>
              <w:bottom w:val="single" w:color="auto" w:sz="4" w:space="0"/>
              <w:right w:val="single" w:color="auto" w:sz="4" w:space="0"/>
            </w:tcBorders>
            <w:vAlign w:val="center"/>
          </w:tcPr>
          <w:p w14:paraId="33CA8BB5">
            <w:pPr>
              <w:spacing w:line="360" w:lineRule="auto"/>
              <w:jc w:val="center"/>
              <w:rPr>
                <w:rFonts w:ascii="宋体" w:hAnsi="宋体"/>
                <w:color w:val="auto"/>
              </w:rPr>
            </w:pPr>
            <w:r>
              <w:rPr>
                <w:rFonts w:hint="eastAsia" w:ascii="宋体" w:hAnsi="宋体"/>
                <w:color w:val="auto"/>
              </w:rPr>
              <w:t>分项预算合计（元）</w:t>
            </w:r>
          </w:p>
        </w:tc>
        <w:tc>
          <w:tcPr>
            <w:tcW w:w="1201" w:type="dxa"/>
            <w:tcBorders>
              <w:top w:val="single" w:color="auto" w:sz="4" w:space="0"/>
              <w:left w:val="single" w:color="auto" w:sz="4" w:space="0"/>
              <w:bottom w:val="single" w:color="auto" w:sz="4" w:space="0"/>
              <w:right w:val="single" w:color="auto" w:sz="4" w:space="0"/>
            </w:tcBorders>
            <w:vAlign w:val="center"/>
          </w:tcPr>
          <w:p w14:paraId="5F2993CC">
            <w:pPr>
              <w:spacing w:line="360" w:lineRule="auto"/>
              <w:jc w:val="center"/>
              <w:rPr>
                <w:rFonts w:ascii="宋体" w:hAnsi="宋体" w:cs="宋体"/>
                <w:color w:val="auto"/>
                <w:sz w:val="24"/>
              </w:rPr>
            </w:pPr>
            <w:r>
              <w:rPr>
                <w:rFonts w:hint="eastAsia" w:ascii="宋体" w:hAnsi="宋体"/>
                <w:color w:val="auto"/>
              </w:rPr>
              <w:t>中小企业划分标准所属行业名称（行业名称及划分见本章附件2）</w:t>
            </w:r>
          </w:p>
        </w:tc>
      </w:tr>
      <w:tr w14:paraId="3B5566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tcPr>
          <w:p w14:paraId="2BC12509">
            <w:pPr>
              <w:spacing w:line="360" w:lineRule="auto"/>
              <w:rPr>
                <w:rFonts w:ascii="宋体" w:hAnsi="宋体"/>
                <w:color w:val="auto"/>
              </w:rPr>
            </w:pPr>
          </w:p>
        </w:tc>
        <w:tc>
          <w:tcPr>
            <w:tcW w:w="545" w:type="dxa"/>
            <w:tcBorders>
              <w:top w:val="single" w:color="auto" w:sz="4" w:space="0"/>
              <w:left w:val="single" w:color="auto" w:sz="4" w:space="0"/>
              <w:bottom w:val="single" w:color="auto" w:sz="4" w:space="0"/>
              <w:right w:val="single" w:color="auto" w:sz="4" w:space="0"/>
            </w:tcBorders>
            <w:vAlign w:val="center"/>
          </w:tcPr>
          <w:p w14:paraId="18315FF0">
            <w:pPr>
              <w:spacing w:line="360" w:lineRule="auto"/>
              <w:jc w:val="center"/>
              <w:rPr>
                <w:rFonts w:ascii="宋体" w:hAnsi="宋体"/>
                <w:color w:val="auto"/>
                <w:sz w:val="24"/>
              </w:rPr>
            </w:pPr>
            <w:r>
              <w:rPr>
                <w:rFonts w:hint="eastAsia" w:ascii="宋体" w:hAnsi="宋体"/>
                <w:color w:val="auto"/>
                <w:sz w:val="24"/>
              </w:rPr>
              <w:t>1</w:t>
            </w:r>
          </w:p>
        </w:tc>
        <w:tc>
          <w:tcPr>
            <w:tcW w:w="853" w:type="dxa"/>
            <w:tcBorders>
              <w:top w:val="single" w:color="auto" w:sz="4" w:space="0"/>
              <w:left w:val="single" w:color="auto" w:sz="4" w:space="0"/>
              <w:bottom w:val="single" w:color="auto" w:sz="4" w:space="0"/>
              <w:right w:val="single" w:color="auto" w:sz="4" w:space="0"/>
            </w:tcBorders>
            <w:vAlign w:val="center"/>
          </w:tcPr>
          <w:p w14:paraId="76E2F1D0">
            <w:pPr>
              <w:spacing w:line="360" w:lineRule="auto"/>
              <w:jc w:val="center"/>
              <w:rPr>
                <w:rFonts w:ascii="宋体" w:hAnsi="宋体"/>
                <w:color w:val="auto"/>
                <w:szCs w:val="22"/>
              </w:rPr>
            </w:pPr>
            <w:r>
              <w:rPr>
                <w:rFonts w:hint="eastAsia" w:ascii="宋体" w:hAnsi="宋体"/>
                <w:color w:val="auto"/>
                <w:szCs w:val="22"/>
              </w:rPr>
              <w:t>APN专用通道及专用APN服务</w:t>
            </w:r>
          </w:p>
        </w:tc>
        <w:tc>
          <w:tcPr>
            <w:tcW w:w="709" w:type="dxa"/>
            <w:tcBorders>
              <w:top w:val="single" w:color="auto" w:sz="4" w:space="0"/>
              <w:left w:val="single" w:color="auto" w:sz="4" w:space="0"/>
              <w:bottom w:val="single" w:color="auto" w:sz="4" w:space="0"/>
              <w:right w:val="single" w:color="auto" w:sz="4" w:space="0"/>
            </w:tcBorders>
            <w:vAlign w:val="center"/>
          </w:tcPr>
          <w:p w14:paraId="03A9DD26">
            <w:pPr>
              <w:spacing w:line="360" w:lineRule="auto"/>
              <w:jc w:val="center"/>
              <w:rPr>
                <w:rFonts w:ascii="宋体" w:hAnsi="宋体"/>
                <w:color w:val="auto"/>
                <w:szCs w:val="22"/>
              </w:rPr>
            </w:pPr>
            <w:r>
              <w:rPr>
                <w:rFonts w:hint="eastAsia" w:ascii="宋体" w:hAnsi="宋体"/>
                <w:color w:val="auto"/>
                <w:szCs w:val="22"/>
              </w:rPr>
              <w:t>项</w:t>
            </w:r>
          </w:p>
        </w:tc>
        <w:tc>
          <w:tcPr>
            <w:tcW w:w="604" w:type="dxa"/>
            <w:tcBorders>
              <w:top w:val="single" w:color="auto" w:sz="4" w:space="0"/>
              <w:left w:val="single" w:color="auto" w:sz="4" w:space="0"/>
              <w:bottom w:val="single" w:color="auto" w:sz="4" w:space="0"/>
              <w:right w:val="single" w:color="auto" w:sz="4" w:space="0"/>
            </w:tcBorders>
            <w:vAlign w:val="center"/>
          </w:tcPr>
          <w:p w14:paraId="5DC9D75C">
            <w:pPr>
              <w:spacing w:line="360" w:lineRule="auto"/>
              <w:jc w:val="center"/>
              <w:rPr>
                <w:rFonts w:ascii="宋体" w:hAnsi="宋体"/>
                <w:color w:val="auto"/>
                <w:sz w:val="24"/>
              </w:rPr>
            </w:pPr>
            <w:r>
              <w:rPr>
                <w:rFonts w:hint="eastAsia" w:ascii="宋体" w:hAnsi="宋体"/>
                <w:color w:val="auto"/>
                <w:sz w:val="24"/>
              </w:rPr>
              <w:t>1</w:t>
            </w:r>
          </w:p>
        </w:tc>
        <w:tc>
          <w:tcPr>
            <w:tcW w:w="5244" w:type="dxa"/>
            <w:tcBorders>
              <w:top w:val="single" w:color="auto" w:sz="4" w:space="0"/>
              <w:left w:val="single" w:color="auto" w:sz="4" w:space="0"/>
              <w:bottom w:val="single" w:color="auto" w:sz="4" w:space="0"/>
              <w:right w:val="single" w:color="auto" w:sz="4" w:space="0"/>
            </w:tcBorders>
            <w:vAlign w:val="center"/>
          </w:tcPr>
          <w:p w14:paraId="25674C88">
            <w:pPr>
              <w:tabs>
                <w:tab w:val="left" w:pos="720"/>
              </w:tabs>
              <w:spacing w:line="360" w:lineRule="auto"/>
              <w:rPr>
                <w:rFonts w:ascii="宋体" w:hAnsi="宋体" w:cs="宋体"/>
                <w:b/>
                <w:bCs/>
                <w:color w:val="auto"/>
                <w:szCs w:val="21"/>
              </w:rPr>
            </w:pPr>
            <w:r>
              <w:rPr>
                <w:rFonts w:hint="eastAsia" w:ascii="宋体" w:hAnsi="宋体" w:cs="宋体"/>
                <w:b/>
                <w:bCs/>
                <w:color w:val="auto"/>
                <w:szCs w:val="21"/>
              </w:rPr>
              <w:t>一、APN专用通道</w:t>
            </w:r>
          </w:p>
          <w:p w14:paraId="7A3F4321">
            <w:pPr>
              <w:tabs>
                <w:tab w:val="left" w:pos="720"/>
              </w:tabs>
              <w:spacing w:line="360" w:lineRule="auto"/>
              <w:rPr>
                <w:rFonts w:ascii="宋体" w:hAnsi="宋体" w:cs="宋体"/>
                <w:color w:val="auto"/>
                <w:szCs w:val="21"/>
              </w:rPr>
            </w:pPr>
            <w:r>
              <w:rPr>
                <w:rFonts w:hint="eastAsia" w:ascii="宋体" w:hAnsi="宋体" w:cs="宋体"/>
                <w:b/>
                <w:bCs/>
                <w:color w:val="auto"/>
                <w:szCs w:val="21"/>
              </w:rPr>
              <w:t>▲</w:t>
            </w:r>
            <w:r>
              <w:rPr>
                <w:rFonts w:hint="eastAsia" w:ascii="宋体" w:hAnsi="宋体" w:cs="宋体"/>
                <w:color w:val="auto"/>
                <w:szCs w:val="21"/>
              </w:rPr>
              <w:t>1、要求100M通道速率上、下行对称，与互联网物理隔离，保证数据传输的安全和稳定。</w:t>
            </w:r>
          </w:p>
          <w:p w14:paraId="4E7B9DF7">
            <w:pPr>
              <w:tabs>
                <w:tab w:val="left" w:pos="720"/>
              </w:tabs>
              <w:spacing w:line="360" w:lineRule="auto"/>
              <w:rPr>
                <w:rFonts w:ascii="宋体" w:hAnsi="宋体" w:cs="宋体"/>
                <w:color w:val="auto"/>
                <w:szCs w:val="21"/>
              </w:rPr>
            </w:pPr>
            <w:r>
              <w:rPr>
                <w:rFonts w:hint="eastAsia" w:ascii="宋体" w:hAnsi="宋体" w:cs="宋体"/>
                <w:color w:val="auto"/>
                <w:szCs w:val="21"/>
              </w:rPr>
              <w:t>2、要求线路汇聚层和骨干层具有自愈环保护功能，具备不超过50ms保护倒换能力，保证专线不会因光缆的意外阻断或部分设备故障而中断。</w:t>
            </w:r>
          </w:p>
          <w:p w14:paraId="736A342C">
            <w:pPr>
              <w:tabs>
                <w:tab w:val="left" w:pos="720"/>
              </w:tabs>
              <w:spacing w:line="360" w:lineRule="auto"/>
              <w:rPr>
                <w:rFonts w:ascii="宋体" w:hAnsi="宋体" w:cs="宋体"/>
                <w:color w:val="auto"/>
                <w:szCs w:val="21"/>
              </w:rPr>
            </w:pPr>
            <w:r>
              <w:rPr>
                <w:rFonts w:hint="eastAsia" w:ascii="宋体" w:hAnsi="宋体" w:cs="宋体"/>
                <w:color w:val="auto"/>
                <w:szCs w:val="21"/>
              </w:rPr>
              <w:t>3、要求全网的传输设备均具备网管能力，全程提供端到端的网管监控功能，实行7*24小时不间断监控，可有效地检测并定位网络故障。</w:t>
            </w:r>
          </w:p>
          <w:p w14:paraId="0E94A5BE">
            <w:pPr>
              <w:tabs>
                <w:tab w:val="left" w:pos="720"/>
              </w:tabs>
              <w:spacing w:line="360" w:lineRule="auto"/>
              <w:rPr>
                <w:rFonts w:ascii="宋体" w:hAnsi="宋体" w:cs="宋体"/>
                <w:color w:val="auto"/>
                <w:szCs w:val="21"/>
              </w:rPr>
            </w:pPr>
            <w:r>
              <w:rPr>
                <w:rFonts w:hint="eastAsia" w:ascii="宋体" w:hAnsi="宋体" w:cs="宋体"/>
                <w:color w:val="auto"/>
                <w:szCs w:val="21"/>
              </w:rPr>
              <w:t>4、要求提供各种主流物理光、电接口，如RJ45/LC/FC等供采购人使用。</w:t>
            </w:r>
          </w:p>
          <w:p w14:paraId="16BB5F0D">
            <w:pPr>
              <w:tabs>
                <w:tab w:val="left" w:pos="720"/>
              </w:tabs>
              <w:spacing w:line="360" w:lineRule="auto"/>
              <w:rPr>
                <w:rFonts w:ascii="宋体" w:hAnsi="宋体" w:cs="宋体"/>
                <w:color w:val="auto"/>
                <w:szCs w:val="21"/>
              </w:rPr>
            </w:pPr>
            <w:r>
              <w:rPr>
                <w:rFonts w:hint="eastAsia" w:ascii="宋体" w:hAnsi="宋体" w:cs="宋体"/>
                <w:color w:val="auto"/>
                <w:szCs w:val="21"/>
              </w:rPr>
              <w:t>5、线路技术指标：丢包率 ≤0.1%，且不允许出现连续丢包；PING测1M报文，最大时延≤10ms。</w:t>
            </w:r>
          </w:p>
          <w:p w14:paraId="5E89641E">
            <w:pPr>
              <w:tabs>
                <w:tab w:val="left" w:pos="720"/>
              </w:tabs>
              <w:spacing w:line="360" w:lineRule="auto"/>
              <w:rPr>
                <w:rFonts w:ascii="宋体" w:hAnsi="宋体" w:cs="宋体"/>
                <w:color w:val="auto"/>
                <w:szCs w:val="21"/>
              </w:rPr>
            </w:pPr>
            <w:r>
              <w:rPr>
                <w:rFonts w:hint="eastAsia" w:ascii="宋体" w:hAnsi="宋体" w:cs="宋体"/>
                <w:b/>
                <w:bCs/>
                <w:color w:val="auto"/>
                <w:szCs w:val="21"/>
              </w:rPr>
              <w:t>▲</w:t>
            </w:r>
            <w:r>
              <w:rPr>
                <w:rFonts w:hint="eastAsia" w:ascii="宋体" w:hAnsi="宋体" w:cs="宋体"/>
                <w:color w:val="auto"/>
                <w:szCs w:val="21"/>
              </w:rPr>
              <w:t>6、开通的点对点专线要求提供1台配套路由器服务，要求配套路由器支持GRE功能，可以基于GRE隧道协议搭建专用APN通道。</w:t>
            </w:r>
          </w:p>
          <w:p w14:paraId="16DDB060">
            <w:pPr>
              <w:tabs>
                <w:tab w:val="left" w:pos="720"/>
              </w:tabs>
              <w:spacing w:line="360" w:lineRule="auto"/>
              <w:rPr>
                <w:rFonts w:ascii="宋体" w:hAnsi="宋体" w:cs="宋体"/>
                <w:color w:val="auto"/>
                <w:szCs w:val="21"/>
              </w:rPr>
            </w:pPr>
            <w:r>
              <w:rPr>
                <w:rFonts w:hint="eastAsia" w:ascii="宋体" w:hAnsi="宋体" w:cs="宋体"/>
                <w:b/>
                <w:bCs/>
                <w:color w:val="auto"/>
                <w:szCs w:val="21"/>
              </w:rPr>
              <w:t>▲</w:t>
            </w:r>
            <w:r>
              <w:rPr>
                <w:rFonts w:hint="eastAsia" w:ascii="宋体" w:hAnsi="宋体" w:cs="宋体"/>
                <w:color w:val="auto"/>
                <w:szCs w:val="21"/>
              </w:rPr>
              <w:t>7、为确保南宁市电子政务移动OA正常运行，成交供应商应全力配合移动OA系统供应商开展移动OA日常运维工作，主要内容包括全力配合开展移动OA系统日常巡检、故障检修处理、相关系统功能调整、修改完善以及移动客户端(app)安装、调试等工作内容。</w:t>
            </w:r>
          </w:p>
          <w:p w14:paraId="2FE6562F">
            <w:pPr>
              <w:tabs>
                <w:tab w:val="left" w:pos="720"/>
              </w:tabs>
              <w:spacing w:line="360" w:lineRule="auto"/>
              <w:rPr>
                <w:rFonts w:ascii="宋体" w:hAnsi="宋体" w:cs="宋体"/>
                <w:b/>
                <w:bCs/>
                <w:color w:val="auto"/>
                <w:szCs w:val="21"/>
              </w:rPr>
            </w:pPr>
            <w:r>
              <w:rPr>
                <w:rFonts w:hint="eastAsia" w:ascii="宋体" w:hAnsi="宋体" w:cs="宋体"/>
                <w:b/>
                <w:bCs/>
                <w:color w:val="auto"/>
                <w:szCs w:val="21"/>
              </w:rPr>
              <w:t>二、专用APN</w:t>
            </w:r>
          </w:p>
          <w:p w14:paraId="0F357F20">
            <w:pPr>
              <w:tabs>
                <w:tab w:val="left" w:pos="720"/>
              </w:tabs>
              <w:spacing w:line="360" w:lineRule="auto"/>
              <w:rPr>
                <w:rFonts w:ascii="宋体" w:hAnsi="宋体" w:cs="宋体"/>
                <w:color w:val="auto"/>
                <w:szCs w:val="21"/>
              </w:rPr>
            </w:pPr>
            <w:r>
              <w:rPr>
                <w:rFonts w:hint="eastAsia" w:ascii="宋体" w:hAnsi="宋体" w:cs="宋体"/>
                <w:b/>
                <w:bCs/>
                <w:color w:val="auto"/>
                <w:szCs w:val="21"/>
              </w:rPr>
              <w:t>▲</w:t>
            </w:r>
            <w:r>
              <w:rPr>
                <w:rFonts w:hint="eastAsia" w:ascii="宋体" w:hAnsi="宋体" w:cs="宋体"/>
                <w:color w:val="auto"/>
                <w:szCs w:val="21"/>
              </w:rPr>
              <w:t>1、要求磋商供应商通过APN专用通道提供专网链路，通过路由器基于GRE隧道协议搭建专用APN通道，为用户终端提供1个专用APN，实现用户终端免账号密码登录。</w:t>
            </w:r>
          </w:p>
          <w:p w14:paraId="095F879E">
            <w:pPr>
              <w:tabs>
                <w:tab w:val="left" w:pos="720"/>
              </w:tabs>
              <w:spacing w:line="360" w:lineRule="auto"/>
              <w:rPr>
                <w:rFonts w:ascii="宋体" w:hAnsi="宋体" w:cs="宋体"/>
                <w:color w:val="auto"/>
                <w:szCs w:val="21"/>
              </w:rPr>
            </w:pPr>
            <w:r>
              <w:rPr>
                <w:rFonts w:hint="eastAsia" w:ascii="宋体" w:hAnsi="宋体" w:cs="宋体"/>
                <w:color w:val="auto"/>
                <w:szCs w:val="21"/>
              </w:rPr>
              <w:t>2、为确保南宁市电子政务移动OA正常运行，成交供应商应全力配合移动OA系统供应商开展移动OA日常运维工作，主要内容包括全力配合开展移动OA系统日常巡检、故障检修处理、相关系统功能调整、修改完善以及移动客户端(app)安装、调试等工作内容。</w:t>
            </w:r>
          </w:p>
        </w:tc>
        <w:tc>
          <w:tcPr>
            <w:tcW w:w="787" w:type="dxa"/>
            <w:vMerge w:val="restart"/>
            <w:tcBorders>
              <w:top w:val="single" w:color="auto" w:sz="4" w:space="0"/>
              <w:left w:val="single" w:color="auto" w:sz="4" w:space="0"/>
              <w:right w:val="single" w:color="auto" w:sz="4" w:space="0"/>
            </w:tcBorders>
            <w:vAlign w:val="center"/>
          </w:tcPr>
          <w:p w14:paraId="3BE6D32A">
            <w:pPr>
              <w:spacing w:line="360" w:lineRule="auto"/>
              <w:rPr>
                <w:rFonts w:ascii="宋体" w:hAnsi="宋体"/>
                <w:color w:val="auto"/>
              </w:rPr>
            </w:pPr>
            <w:r>
              <w:rPr>
                <w:rFonts w:hint="eastAsia" w:ascii="宋体" w:hAnsi="宋体"/>
                <w:color w:val="auto"/>
              </w:rPr>
              <w:t>6</w:t>
            </w:r>
            <w:r>
              <w:rPr>
                <w:rFonts w:ascii="宋体" w:hAnsi="宋体"/>
                <w:color w:val="auto"/>
              </w:rPr>
              <w:t>92000.00</w:t>
            </w:r>
          </w:p>
        </w:tc>
        <w:tc>
          <w:tcPr>
            <w:tcW w:w="1201" w:type="dxa"/>
            <w:tcBorders>
              <w:top w:val="single" w:color="auto" w:sz="4" w:space="0"/>
              <w:left w:val="single" w:color="auto" w:sz="4" w:space="0"/>
              <w:bottom w:val="single" w:color="auto" w:sz="4" w:space="0"/>
              <w:right w:val="single" w:color="auto" w:sz="4" w:space="0"/>
            </w:tcBorders>
            <w:vAlign w:val="center"/>
          </w:tcPr>
          <w:p w14:paraId="74C7AA5F">
            <w:pPr>
              <w:spacing w:line="360" w:lineRule="auto"/>
              <w:jc w:val="center"/>
              <w:rPr>
                <w:rFonts w:ascii="宋体" w:hAnsi="宋体"/>
                <w:color w:val="auto"/>
                <w:szCs w:val="21"/>
              </w:rPr>
            </w:pPr>
            <w:r>
              <w:rPr>
                <w:rFonts w:hint="eastAsia" w:ascii="宋体" w:hAnsi="宋体" w:cs="宋体"/>
                <w:b/>
                <w:bCs/>
                <w:color w:val="auto"/>
                <w:kern w:val="0"/>
                <w:szCs w:val="21"/>
              </w:rPr>
              <w:t>软件和信息技术服务业</w:t>
            </w:r>
          </w:p>
        </w:tc>
      </w:tr>
      <w:tr w14:paraId="199B66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tcPr>
          <w:p w14:paraId="6D7489BB">
            <w:pPr>
              <w:spacing w:line="360" w:lineRule="auto"/>
              <w:jc w:val="center"/>
              <w:rPr>
                <w:rFonts w:ascii="宋体" w:hAnsi="宋体"/>
                <w:color w:val="auto"/>
              </w:rPr>
            </w:pPr>
          </w:p>
        </w:tc>
        <w:tc>
          <w:tcPr>
            <w:tcW w:w="545" w:type="dxa"/>
            <w:tcBorders>
              <w:top w:val="single" w:color="auto" w:sz="4" w:space="0"/>
              <w:left w:val="single" w:color="auto" w:sz="4" w:space="0"/>
              <w:bottom w:val="single" w:color="auto" w:sz="4" w:space="0"/>
              <w:right w:val="single" w:color="auto" w:sz="4" w:space="0"/>
            </w:tcBorders>
            <w:vAlign w:val="center"/>
          </w:tcPr>
          <w:p w14:paraId="5124C9FC">
            <w:pPr>
              <w:spacing w:line="360" w:lineRule="auto"/>
              <w:jc w:val="center"/>
              <w:rPr>
                <w:rFonts w:ascii="宋体" w:hAnsi="宋体"/>
                <w:color w:val="auto"/>
                <w:sz w:val="24"/>
              </w:rPr>
            </w:pPr>
            <w:r>
              <w:rPr>
                <w:rFonts w:hint="eastAsia" w:ascii="宋体" w:hAnsi="宋体"/>
                <w:color w:val="auto"/>
                <w:sz w:val="24"/>
              </w:rPr>
              <w:t>2</w:t>
            </w:r>
          </w:p>
        </w:tc>
        <w:tc>
          <w:tcPr>
            <w:tcW w:w="853" w:type="dxa"/>
            <w:tcBorders>
              <w:top w:val="single" w:color="auto" w:sz="4" w:space="0"/>
              <w:left w:val="single" w:color="auto" w:sz="4" w:space="0"/>
              <w:bottom w:val="single" w:color="auto" w:sz="4" w:space="0"/>
              <w:right w:val="single" w:color="auto" w:sz="4" w:space="0"/>
            </w:tcBorders>
            <w:vAlign w:val="center"/>
          </w:tcPr>
          <w:p w14:paraId="1E6C748C">
            <w:pPr>
              <w:spacing w:line="360" w:lineRule="auto"/>
              <w:jc w:val="center"/>
              <w:rPr>
                <w:rFonts w:ascii="宋体" w:hAnsi="宋体"/>
                <w:color w:val="auto"/>
                <w:szCs w:val="22"/>
              </w:rPr>
            </w:pPr>
            <w:r>
              <w:rPr>
                <w:rFonts w:hint="eastAsia" w:ascii="宋体" w:hAnsi="宋体"/>
                <w:color w:val="auto"/>
                <w:szCs w:val="22"/>
              </w:rPr>
              <w:t>数据流量卡服务</w:t>
            </w:r>
          </w:p>
        </w:tc>
        <w:tc>
          <w:tcPr>
            <w:tcW w:w="709" w:type="dxa"/>
            <w:tcBorders>
              <w:top w:val="single" w:color="auto" w:sz="4" w:space="0"/>
              <w:left w:val="single" w:color="auto" w:sz="4" w:space="0"/>
              <w:bottom w:val="single" w:color="auto" w:sz="4" w:space="0"/>
              <w:right w:val="single" w:color="auto" w:sz="4" w:space="0"/>
            </w:tcBorders>
            <w:vAlign w:val="center"/>
          </w:tcPr>
          <w:p w14:paraId="7E552926">
            <w:pPr>
              <w:jc w:val="center"/>
              <w:rPr>
                <w:rFonts w:ascii="宋体" w:hAnsi="宋体"/>
                <w:color w:val="auto"/>
                <w:szCs w:val="21"/>
              </w:rPr>
            </w:pPr>
            <w:r>
              <w:rPr>
                <w:rFonts w:hint="eastAsia" w:ascii="宋体" w:hAnsi="宋体"/>
                <w:color w:val="auto"/>
                <w:szCs w:val="21"/>
              </w:rPr>
              <w:t>项</w:t>
            </w:r>
          </w:p>
        </w:tc>
        <w:tc>
          <w:tcPr>
            <w:tcW w:w="604" w:type="dxa"/>
            <w:tcBorders>
              <w:top w:val="single" w:color="auto" w:sz="4" w:space="0"/>
              <w:left w:val="single" w:color="auto" w:sz="4" w:space="0"/>
              <w:bottom w:val="single" w:color="auto" w:sz="4" w:space="0"/>
              <w:right w:val="single" w:color="auto" w:sz="4" w:space="0"/>
            </w:tcBorders>
            <w:vAlign w:val="center"/>
          </w:tcPr>
          <w:p w14:paraId="3F54A9A3">
            <w:pPr>
              <w:jc w:val="center"/>
              <w:rPr>
                <w:rFonts w:ascii="宋体" w:hAnsi="宋体"/>
                <w:color w:val="auto"/>
                <w:szCs w:val="21"/>
              </w:rPr>
            </w:pPr>
            <w:r>
              <w:rPr>
                <w:rFonts w:hint="eastAsia" w:ascii="宋体" w:hAnsi="宋体"/>
                <w:color w:val="auto"/>
                <w:szCs w:val="21"/>
              </w:rPr>
              <w:t>1</w:t>
            </w:r>
          </w:p>
        </w:tc>
        <w:tc>
          <w:tcPr>
            <w:tcW w:w="5244" w:type="dxa"/>
            <w:tcBorders>
              <w:top w:val="single" w:color="auto" w:sz="4" w:space="0"/>
              <w:left w:val="single" w:color="auto" w:sz="4" w:space="0"/>
              <w:bottom w:val="single" w:color="auto" w:sz="4" w:space="0"/>
              <w:right w:val="single" w:color="auto" w:sz="4" w:space="0"/>
            </w:tcBorders>
            <w:vAlign w:val="center"/>
          </w:tcPr>
          <w:p w14:paraId="61154C51">
            <w:pPr>
              <w:tabs>
                <w:tab w:val="left" w:pos="720"/>
              </w:tabs>
              <w:spacing w:line="360" w:lineRule="auto"/>
              <w:rPr>
                <w:rFonts w:ascii="宋体" w:hAnsi="宋体" w:cs="宋体"/>
                <w:color w:val="auto"/>
                <w:szCs w:val="21"/>
              </w:rPr>
            </w:pPr>
            <w:r>
              <w:rPr>
                <w:rFonts w:hint="eastAsia" w:ascii="宋体" w:hAnsi="宋体" w:cs="宋体"/>
                <w:color w:val="auto"/>
                <w:szCs w:val="21"/>
              </w:rPr>
              <w:t>▲1、提供157张数据流量卡服务，33张卡每月提供国内（不含港澳台）20GB数据流量，124张卡每月提供国内（不含港澳台）3GB数据流量。</w:t>
            </w:r>
          </w:p>
          <w:p w14:paraId="2F5F5231">
            <w:pPr>
              <w:tabs>
                <w:tab w:val="left" w:pos="720"/>
              </w:tabs>
              <w:spacing w:line="360" w:lineRule="auto"/>
              <w:rPr>
                <w:rFonts w:ascii="宋体" w:hAnsi="宋体" w:cs="宋体"/>
                <w:color w:val="auto"/>
                <w:szCs w:val="21"/>
              </w:rPr>
            </w:pPr>
            <w:r>
              <w:rPr>
                <w:rFonts w:hint="eastAsia" w:ascii="宋体" w:hAnsi="宋体" w:cs="宋体"/>
                <w:color w:val="auto"/>
                <w:szCs w:val="21"/>
              </w:rPr>
              <w:t>▲2、开通的数据流量卡要求提供配套终端服务，单台配套终端配置要求如下：支持电容触控+手写笔，显示屏尺寸10.8英寸以上，屏幕分辨率2560x1600以上，系统内存8G以上，存储容量256G以上，后置摄像头4160×3120像素以上，前置摄像头3264×2448像素以上，电池容量7250mAh以上，同时配置手写笔和智能磁吸键盘。所有的终端要能与自治区综合办公平台进行兼容。</w:t>
            </w:r>
          </w:p>
          <w:p w14:paraId="6F0B8DC7">
            <w:pPr>
              <w:tabs>
                <w:tab w:val="left" w:pos="720"/>
              </w:tabs>
              <w:spacing w:line="360" w:lineRule="auto"/>
              <w:rPr>
                <w:rFonts w:ascii="宋体" w:hAnsi="宋体" w:cs="宋体"/>
                <w:color w:val="auto"/>
                <w:szCs w:val="21"/>
              </w:rPr>
            </w:pPr>
            <w:r>
              <w:rPr>
                <w:rFonts w:hint="eastAsia" w:ascii="宋体" w:hAnsi="宋体" w:cs="宋体"/>
                <w:color w:val="auto"/>
                <w:szCs w:val="21"/>
              </w:rPr>
              <w:t>3、为确保南宁市电子政务移动OA正常运行，成交供应商应全力配合移动OA系统供应商开展移动OA日常运维工作，主要内容包括全力配合开展移动OA系统日常巡检、故障检修处理、相关系统功能调整、修改完善以及移动客户端(app)安装、调试等工作内容。</w:t>
            </w:r>
          </w:p>
        </w:tc>
        <w:tc>
          <w:tcPr>
            <w:tcW w:w="787" w:type="dxa"/>
            <w:vMerge w:val="continue"/>
            <w:tcBorders>
              <w:left w:val="single" w:color="auto" w:sz="4" w:space="0"/>
              <w:right w:val="single" w:color="auto" w:sz="4" w:space="0"/>
            </w:tcBorders>
            <w:vAlign w:val="center"/>
          </w:tcPr>
          <w:p w14:paraId="18FF49A9">
            <w:pPr>
              <w:spacing w:line="360" w:lineRule="auto"/>
              <w:rPr>
                <w:rFonts w:ascii="宋体" w:hAnsi="宋体"/>
                <w:color w:val="auto"/>
              </w:rPr>
            </w:pPr>
          </w:p>
        </w:tc>
        <w:tc>
          <w:tcPr>
            <w:tcW w:w="1201" w:type="dxa"/>
            <w:tcBorders>
              <w:top w:val="single" w:color="auto" w:sz="4" w:space="0"/>
              <w:left w:val="single" w:color="auto" w:sz="4" w:space="0"/>
              <w:bottom w:val="single" w:color="auto" w:sz="4" w:space="0"/>
              <w:right w:val="single" w:color="auto" w:sz="4" w:space="0"/>
            </w:tcBorders>
            <w:vAlign w:val="center"/>
          </w:tcPr>
          <w:p w14:paraId="76E913C6">
            <w:pPr>
              <w:spacing w:line="360" w:lineRule="auto"/>
              <w:jc w:val="center"/>
              <w:rPr>
                <w:rFonts w:ascii="宋体" w:hAnsi="宋体"/>
                <w:color w:val="auto"/>
                <w:szCs w:val="21"/>
              </w:rPr>
            </w:pPr>
            <w:r>
              <w:rPr>
                <w:rFonts w:hint="eastAsia" w:ascii="宋体" w:hAnsi="宋体" w:cs="宋体"/>
                <w:b/>
                <w:bCs/>
                <w:color w:val="auto"/>
                <w:kern w:val="0"/>
                <w:szCs w:val="21"/>
              </w:rPr>
              <w:t>信息传输业</w:t>
            </w:r>
          </w:p>
        </w:tc>
      </w:tr>
      <w:tr w14:paraId="0EDECC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tcPr>
          <w:p w14:paraId="711E2C40">
            <w:pPr>
              <w:spacing w:line="360" w:lineRule="auto"/>
              <w:jc w:val="center"/>
              <w:rPr>
                <w:rFonts w:ascii="宋体" w:hAnsi="宋体"/>
                <w:color w:val="auto"/>
              </w:rPr>
            </w:pPr>
          </w:p>
        </w:tc>
        <w:tc>
          <w:tcPr>
            <w:tcW w:w="545" w:type="dxa"/>
            <w:tcBorders>
              <w:top w:val="single" w:color="auto" w:sz="4" w:space="0"/>
              <w:left w:val="single" w:color="auto" w:sz="4" w:space="0"/>
              <w:bottom w:val="single" w:color="auto" w:sz="4" w:space="0"/>
              <w:right w:val="single" w:color="auto" w:sz="4" w:space="0"/>
            </w:tcBorders>
            <w:vAlign w:val="center"/>
          </w:tcPr>
          <w:p w14:paraId="6D45BCC2">
            <w:pPr>
              <w:spacing w:line="360" w:lineRule="auto"/>
              <w:jc w:val="center"/>
              <w:rPr>
                <w:rFonts w:ascii="宋体" w:hAnsi="宋体"/>
                <w:color w:val="auto"/>
                <w:sz w:val="24"/>
              </w:rPr>
            </w:pPr>
            <w:r>
              <w:rPr>
                <w:rFonts w:hint="eastAsia" w:ascii="宋体" w:hAnsi="宋体"/>
                <w:color w:val="auto"/>
                <w:sz w:val="24"/>
              </w:rPr>
              <w:t>3</w:t>
            </w:r>
          </w:p>
        </w:tc>
        <w:tc>
          <w:tcPr>
            <w:tcW w:w="853" w:type="dxa"/>
            <w:tcBorders>
              <w:top w:val="single" w:color="auto" w:sz="4" w:space="0"/>
              <w:left w:val="single" w:color="auto" w:sz="4" w:space="0"/>
              <w:bottom w:val="single" w:color="auto" w:sz="4" w:space="0"/>
              <w:right w:val="single" w:color="auto" w:sz="4" w:space="0"/>
            </w:tcBorders>
            <w:vAlign w:val="center"/>
          </w:tcPr>
          <w:p w14:paraId="6A00156F">
            <w:pPr>
              <w:spacing w:line="360" w:lineRule="auto"/>
              <w:jc w:val="center"/>
              <w:rPr>
                <w:rFonts w:ascii="宋体" w:hAnsi="宋体"/>
                <w:color w:val="auto"/>
                <w:szCs w:val="22"/>
              </w:rPr>
            </w:pPr>
            <w:r>
              <w:rPr>
                <w:rFonts w:hint="eastAsia" w:ascii="宋体" w:hAnsi="宋体" w:cs="宋体"/>
                <w:color w:val="auto"/>
                <w:szCs w:val="21"/>
              </w:rPr>
              <w:t>短信平台租用服务</w:t>
            </w:r>
          </w:p>
        </w:tc>
        <w:tc>
          <w:tcPr>
            <w:tcW w:w="709" w:type="dxa"/>
            <w:tcBorders>
              <w:top w:val="single" w:color="auto" w:sz="4" w:space="0"/>
              <w:left w:val="single" w:color="auto" w:sz="4" w:space="0"/>
              <w:bottom w:val="single" w:color="auto" w:sz="4" w:space="0"/>
              <w:right w:val="single" w:color="auto" w:sz="4" w:space="0"/>
            </w:tcBorders>
            <w:vAlign w:val="center"/>
          </w:tcPr>
          <w:p w14:paraId="6FDACCCC">
            <w:pPr>
              <w:jc w:val="center"/>
              <w:rPr>
                <w:rFonts w:ascii="宋体" w:hAnsi="宋体"/>
                <w:color w:val="auto"/>
                <w:szCs w:val="21"/>
              </w:rPr>
            </w:pPr>
            <w:r>
              <w:rPr>
                <w:rFonts w:hint="eastAsia" w:ascii="宋体" w:hAnsi="宋体"/>
                <w:color w:val="auto"/>
                <w:szCs w:val="21"/>
              </w:rPr>
              <w:t>项</w:t>
            </w:r>
          </w:p>
        </w:tc>
        <w:tc>
          <w:tcPr>
            <w:tcW w:w="604" w:type="dxa"/>
            <w:tcBorders>
              <w:top w:val="single" w:color="auto" w:sz="4" w:space="0"/>
              <w:left w:val="single" w:color="auto" w:sz="4" w:space="0"/>
              <w:bottom w:val="single" w:color="auto" w:sz="4" w:space="0"/>
              <w:right w:val="single" w:color="auto" w:sz="4" w:space="0"/>
            </w:tcBorders>
            <w:vAlign w:val="center"/>
          </w:tcPr>
          <w:p w14:paraId="08D46409">
            <w:pPr>
              <w:jc w:val="center"/>
              <w:rPr>
                <w:rFonts w:ascii="宋体" w:hAnsi="宋体"/>
                <w:color w:val="auto"/>
                <w:szCs w:val="21"/>
              </w:rPr>
            </w:pPr>
            <w:r>
              <w:rPr>
                <w:rFonts w:hint="eastAsia" w:ascii="宋体" w:hAnsi="宋体"/>
                <w:color w:val="auto"/>
                <w:szCs w:val="21"/>
              </w:rPr>
              <w:t>1</w:t>
            </w:r>
          </w:p>
        </w:tc>
        <w:tc>
          <w:tcPr>
            <w:tcW w:w="5244" w:type="dxa"/>
            <w:tcBorders>
              <w:top w:val="single" w:color="auto" w:sz="4" w:space="0"/>
              <w:left w:val="single" w:color="auto" w:sz="4" w:space="0"/>
              <w:bottom w:val="single" w:color="auto" w:sz="4" w:space="0"/>
              <w:right w:val="single" w:color="auto" w:sz="4" w:space="0"/>
            </w:tcBorders>
            <w:vAlign w:val="center"/>
          </w:tcPr>
          <w:p w14:paraId="219BDEAD">
            <w:pPr>
              <w:tabs>
                <w:tab w:val="left" w:pos="720"/>
              </w:tabs>
              <w:spacing w:line="360" w:lineRule="auto"/>
              <w:rPr>
                <w:rFonts w:ascii="宋体" w:hAnsi="宋体" w:cs="宋体"/>
                <w:b/>
                <w:bCs/>
                <w:color w:val="auto"/>
                <w:szCs w:val="21"/>
              </w:rPr>
            </w:pPr>
            <w:r>
              <w:rPr>
                <w:rFonts w:hint="eastAsia" w:ascii="宋体" w:hAnsi="宋体" w:cs="宋体"/>
                <w:b/>
                <w:bCs/>
                <w:color w:val="auto"/>
                <w:szCs w:val="21"/>
              </w:rPr>
              <w:t>一、短信服务</w:t>
            </w:r>
          </w:p>
          <w:p w14:paraId="53BD6312">
            <w:pPr>
              <w:tabs>
                <w:tab w:val="left" w:pos="720"/>
              </w:tabs>
              <w:spacing w:line="360" w:lineRule="auto"/>
              <w:rPr>
                <w:rFonts w:ascii="宋体" w:hAnsi="宋体" w:cs="宋体"/>
                <w:color w:val="auto"/>
                <w:szCs w:val="21"/>
              </w:rPr>
            </w:pPr>
            <w:r>
              <w:rPr>
                <w:rFonts w:hint="eastAsia" w:ascii="宋体" w:hAnsi="宋体" w:cs="宋体"/>
                <w:color w:val="auto"/>
                <w:szCs w:val="21"/>
              </w:rPr>
              <w:t>▲1、提供短信平台租用服务，服务期内提供不少于总数量1700万条的短信条数。</w:t>
            </w:r>
          </w:p>
          <w:p w14:paraId="4693AB42">
            <w:pPr>
              <w:tabs>
                <w:tab w:val="left" w:pos="720"/>
              </w:tabs>
              <w:spacing w:line="360" w:lineRule="auto"/>
              <w:rPr>
                <w:rFonts w:ascii="宋体" w:hAnsi="宋体" w:cs="宋体"/>
                <w:color w:val="auto"/>
                <w:szCs w:val="21"/>
              </w:rPr>
            </w:pPr>
            <w:r>
              <w:rPr>
                <w:rFonts w:hint="eastAsia" w:ascii="宋体" w:hAnsi="宋体" w:cs="宋体"/>
                <w:color w:val="auto"/>
                <w:szCs w:val="21"/>
              </w:rPr>
              <w:t>2、采购人可通过浏览器访问短信平台发送短信，也可通过标准接口与短信平台进行对接，通过采购人指定的系统平台自动触发短信下发。</w:t>
            </w:r>
          </w:p>
          <w:p w14:paraId="316DE7BD">
            <w:pPr>
              <w:tabs>
                <w:tab w:val="left" w:pos="720"/>
              </w:tabs>
              <w:spacing w:line="360" w:lineRule="auto"/>
              <w:rPr>
                <w:rFonts w:ascii="宋体" w:hAnsi="宋体" w:cs="宋体"/>
                <w:color w:val="auto"/>
                <w:szCs w:val="21"/>
              </w:rPr>
            </w:pPr>
            <w:r>
              <w:rPr>
                <w:rFonts w:hint="eastAsia" w:ascii="宋体" w:hAnsi="宋体" w:cs="宋体"/>
                <w:color w:val="auto"/>
                <w:szCs w:val="21"/>
              </w:rPr>
              <w:t>▲3、要求短信平台具备以下基本功能：</w:t>
            </w:r>
          </w:p>
          <w:p w14:paraId="6C1E2CA1">
            <w:pPr>
              <w:tabs>
                <w:tab w:val="left" w:pos="720"/>
              </w:tabs>
              <w:spacing w:line="360" w:lineRule="auto"/>
              <w:rPr>
                <w:rFonts w:ascii="宋体" w:hAnsi="宋体" w:cs="宋体"/>
                <w:color w:val="auto"/>
                <w:szCs w:val="21"/>
              </w:rPr>
            </w:pPr>
            <w:r>
              <w:rPr>
                <w:rFonts w:hint="eastAsia" w:ascii="宋体" w:hAnsi="宋体" w:cs="宋体"/>
                <w:color w:val="auto"/>
                <w:szCs w:val="21"/>
              </w:rPr>
              <w:t>（1）快速开通能力：平台云化部署，无需部署服务器，无需安排人员运维；</w:t>
            </w:r>
          </w:p>
          <w:p w14:paraId="30831D8D">
            <w:pPr>
              <w:tabs>
                <w:tab w:val="left" w:pos="720"/>
              </w:tabs>
              <w:spacing w:line="360" w:lineRule="auto"/>
              <w:rPr>
                <w:rFonts w:ascii="宋体" w:hAnsi="宋体" w:cs="宋体"/>
                <w:color w:val="auto"/>
                <w:szCs w:val="21"/>
              </w:rPr>
            </w:pPr>
            <w:r>
              <w:rPr>
                <w:rFonts w:hint="eastAsia" w:ascii="宋体" w:hAnsi="宋体" w:cs="宋体"/>
                <w:color w:val="auto"/>
                <w:szCs w:val="21"/>
              </w:rPr>
              <w:t>（2）全网发送能力：平台支持异网发送短信，支持携号转网号码发送；</w:t>
            </w:r>
          </w:p>
          <w:p w14:paraId="482F7185">
            <w:pPr>
              <w:tabs>
                <w:tab w:val="left" w:pos="720"/>
              </w:tabs>
              <w:spacing w:line="360" w:lineRule="auto"/>
              <w:rPr>
                <w:rFonts w:ascii="宋体" w:hAnsi="宋体" w:cs="宋体"/>
                <w:color w:val="auto"/>
                <w:szCs w:val="21"/>
              </w:rPr>
            </w:pPr>
            <w:r>
              <w:rPr>
                <w:rFonts w:hint="eastAsia" w:ascii="宋体" w:hAnsi="宋体" w:cs="宋体"/>
                <w:color w:val="auto"/>
                <w:szCs w:val="21"/>
              </w:rPr>
              <w:t>（3）接入方式丰富：平台可直接使用WEB、APP方式接入，也可通过接口（如SDK、HTTP、CMPP等接口）接入；</w:t>
            </w:r>
          </w:p>
          <w:p w14:paraId="69A20926">
            <w:pPr>
              <w:tabs>
                <w:tab w:val="left" w:pos="720"/>
              </w:tabs>
              <w:spacing w:line="360" w:lineRule="auto"/>
              <w:rPr>
                <w:rFonts w:ascii="宋体" w:hAnsi="宋体" w:cs="宋体"/>
                <w:color w:val="auto"/>
                <w:szCs w:val="21"/>
              </w:rPr>
            </w:pPr>
            <w:r>
              <w:rPr>
                <w:rFonts w:hint="eastAsia" w:ascii="宋体" w:hAnsi="宋体" w:cs="宋体"/>
                <w:color w:val="auto"/>
                <w:szCs w:val="21"/>
              </w:rPr>
              <w:t>（4）安全保障能力：平台支持通过短信验证码、U盾的安全登录模式，平台与用户间的信息交互以密文的方式传输，可有效防止端口被盗。</w:t>
            </w:r>
          </w:p>
          <w:p w14:paraId="2A4B45F3">
            <w:pPr>
              <w:tabs>
                <w:tab w:val="left" w:pos="720"/>
              </w:tabs>
              <w:spacing w:line="360" w:lineRule="auto"/>
              <w:rPr>
                <w:rFonts w:ascii="宋体" w:hAnsi="宋体" w:cs="宋体"/>
                <w:b/>
                <w:bCs/>
                <w:color w:val="auto"/>
                <w:szCs w:val="21"/>
              </w:rPr>
            </w:pPr>
            <w:r>
              <w:rPr>
                <w:rFonts w:hint="eastAsia" w:ascii="宋体" w:hAnsi="宋体" w:cs="宋体"/>
                <w:b/>
                <w:bCs/>
                <w:color w:val="auto"/>
                <w:szCs w:val="21"/>
              </w:rPr>
              <w:t>二、信息系统短信接口对接服务</w:t>
            </w:r>
          </w:p>
          <w:p w14:paraId="7D099AF6">
            <w:pPr>
              <w:tabs>
                <w:tab w:val="left" w:pos="720"/>
              </w:tabs>
              <w:spacing w:line="360" w:lineRule="auto"/>
              <w:rPr>
                <w:rFonts w:ascii="宋体" w:hAnsi="宋体" w:cs="宋体"/>
                <w:color w:val="auto"/>
                <w:szCs w:val="21"/>
              </w:rPr>
            </w:pPr>
            <w:r>
              <w:rPr>
                <w:rFonts w:hint="eastAsia" w:ascii="宋体" w:hAnsi="宋体" w:cs="宋体"/>
                <w:color w:val="auto"/>
                <w:szCs w:val="21"/>
              </w:rPr>
              <w:t>配合做好广西党政机关综合办公平台（南宁市）、南宁市政法云平台、南宁市电子政务办公自动化系统、南宁市政府网站集约化系统、南宁市卫生健康综合业务管理系统、南宁数据中台、南宁市工业和信息化局办公OA系统、重点传染病应急管理系统、南宁市多云监管平台等9个业务应用平台的短信接口接入工作。</w:t>
            </w:r>
          </w:p>
        </w:tc>
        <w:tc>
          <w:tcPr>
            <w:tcW w:w="787" w:type="dxa"/>
            <w:vMerge w:val="continue"/>
            <w:tcBorders>
              <w:left w:val="single" w:color="auto" w:sz="4" w:space="0"/>
              <w:bottom w:val="single" w:color="auto" w:sz="4" w:space="0"/>
              <w:right w:val="single" w:color="auto" w:sz="4" w:space="0"/>
            </w:tcBorders>
            <w:vAlign w:val="center"/>
          </w:tcPr>
          <w:p w14:paraId="53A9E8FA">
            <w:pPr>
              <w:spacing w:line="360" w:lineRule="auto"/>
              <w:rPr>
                <w:rFonts w:ascii="宋体" w:hAnsi="宋体"/>
                <w:color w:val="auto"/>
              </w:rPr>
            </w:pPr>
          </w:p>
        </w:tc>
        <w:tc>
          <w:tcPr>
            <w:tcW w:w="1201" w:type="dxa"/>
            <w:tcBorders>
              <w:top w:val="single" w:color="auto" w:sz="4" w:space="0"/>
              <w:left w:val="single" w:color="auto" w:sz="4" w:space="0"/>
              <w:bottom w:val="single" w:color="auto" w:sz="4" w:space="0"/>
              <w:right w:val="single" w:color="auto" w:sz="4" w:space="0"/>
            </w:tcBorders>
            <w:vAlign w:val="center"/>
          </w:tcPr>
          <w:p w14:paraId="525EDE60">
            <w:pPr>
              <w:spacing w:line="360" w:lineRule="auto"/>
              <w:jc w:val="center"/>
              <w:rPr>
                <w:rFonts w:ascii="宋体" w:hAnsi="宋体"/>
                <w:color w:val="auto"/>
                <w:szCs w:val="21"/>
              </w:rPr>
            </w:pPr>
            <w:r>
              <w:rPr>
                <w:rFonts w:hint="eastAsia" w:ascii="宋体" w:hAnsi="宋体" w:cs="宋体"/>
                <w:b/>
                <w:bCs/>
                <w:color w:val="auto"/>
                <w:kern w:val="0"/>
                <w:szCs w:val="21"/>
              </w:rPr>
              <w:t>信息传输业</w:t>
            </w:r>
          </w:p>
        </w:tc>
      </w:tr>
      <w:tr w14:paraId="6350E2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545" w:type="dxa"/>
            <w:tcBorders>
              <w:top w:val="single" w:color="auto" w:sz="4" w:space="0"/>
              <w:left w:val="single" w:color="auto" w:sz="4" w:space="0"/>
              <w:bottom w:val="single" w:color="auto" w:sz="4" w:space="0"/>
              <w:right w:val="single" w:color="auto" w:sz="4" w:space="0"/>
            </w:tcBorders>
          </w:tcPr>
          <w:p w14:paraId="2F0C0F10">
            <w:pPr>
              <w:spacing w:line="360" w:lineRule="auto"/>
              <w:jc w:val="center"/>
              <w:rPr>
                <w:rFonts w:ascii="宋体" w:hAnsi="宋体"/>
                <w:color w:val="auto"/>
                <w:szCs w:val="21"/>
              </w:rPr>
            </w:pPr>
          </w:p>
          <w:p w14:paraId="529CCA3E">
            <w:pPr>
              <w:spacing w:line="360" w:lineRule="auto"/>
              <w:jc w:val="center"/>
              <w:rPr>
                <w:rFonts w:ascii="宋体" w:hAnsi="宋体"/>
                <w:color w:val="auto"/>
                <w:szCs w:val="21"/>
              </w:rPr>
            </w:pPr>
          </w:p>
          <w:p w14:paraId="331A9679">
            <w:pPr>
              <w:spacing w:line="360" w:lineRule="auto"/>
              <w:jc w:val="center"/>
              <w:rPr>
                <w:rFonts w:ascii="宋体" w:hAnsi="宋体"/>
                <w:color w:val="auto"/>
                <w:szCs w:val="21"/>
              </w:rPr>
            </w:pPr>
            <w:r>
              <w:rPr>
                <w:rFonts w:hint="eastAsia" w:ascii="宋体" w:hAnsi="宋体"/>
                <w:color w:val="auto"/>
                <w:szCs w:val="21"/>
              </w:rPr>
              <w:t>商务条款</w:t>
            </w:r>
          </w:p>
        </w:tc>
        <w:tc>
          <w:tcPr>
            <w:tcW w:w="9943" w:type="dxa"/>
            <w:gridSpan w:val="7"/>
            <w:tcBorders>
              <w:top w:val="single" w:color="auto" w:sz="4" w:space="0"/>
              <w:left w:val="single" w:color="auto" w:sz="4" w:space="0"/>
              <w:bottom w:val="single" w:color="auto" w:sz="4" w:space="0"/>
              <w:right w:val="single" w:color="auto" w:sz="4" w:space="0"/>
            </w:tcBorders>
          </w:tcPr>
          <w:p w14:paraId="58BE035F">
            <w:pPr>
              <w:widowControl/>
              <w:spacing w:line="360" w:lineRule="auto"/>
              <w:rPr>
                <w:rFonts w:ascii="宋体" w:hAnsi="宋体" w:cs="仿宋_GB2312"/>
                <w:color w:val="auto"/>
                <w:szCs w:val="21"/>
              </w:rPr>
            </w:pPr>
            <w:r>
              <w:rPr>
                <w:rFonts w:hint="eastAsia" w:ascii="宋体" w:hAnsi="宋体" w:cs="仿宋_GB2312"/>
                <w:b/>
                <w:bCs/>
                <w:color w:val="auto"/>
                <w:szCs w:val="21"/>
              </w:rPr>
              <w:t>一、合同签订期：</w:t>
            </w:r>
            <w:r>
              <w:rPr>
                <w:rFonts w:hint="eastAsia" w:ascii="宋体" w:hAnsi="宋体" w:cs="仿宋_GB2312"/>
                <w:color w:val="auto"/>
                <w:szCs w:val="21"/>
              </w:rPr>
              <w:t>自成交通知书发出25个日历日内。</w:t>
            </w:r>
          </w:p>
          <w:p w14:paraId="2325F427">
            <w:pPr>
              <w:widowControl/>
              <w:spacing w:line="360" w:lineRule="auto"/>
              <w:rPr>
                <w:rFonts w:ascii="宋体" w:hAnsi="宋体" w:cs="仿宋_GB2312"/>
                <w:color w:val="auto"/>
                <w:szCs w:val="21"/>
              </w:rPr>
            </w:pPr>
            <w:bookmarkStart w:id="5" w:name="OLE_LINK1"/>
            <w:r>
              <w:rPr>
                <w:rFonts w:hint="eastAsia" w:ascii="宋体" w:hAnsi="宋体" w:cs="仿宋_GB2312"/>
                <w:b/>
                <w:bCs/>
                <w:color w:val="auto"/>
                <w:szCs w:val="21"/>
              </w:rPr>
              <w:t>二、提交服务成果时间</w:t>
            </w:r>
            <w:bookmarkEnd w:id="5"/>
            <w:r>
              <w:rPr>
                <w:rFonts w:hint="eastAsia" w:ascii="宋体" w:hAnsi="宋体" w:cs="仿宋_GB2312"/>
                <w:b/>
                <w:bCs/>
                <w:color w:val="auto"/>
                <w:szCs w:val="21"/>
              </w:rPr>
              <w:t>：</w:t>
            </w:r>
            <w:r>
              <w:rPr>
                <w:rFonts w:hint="eastAsia" w:ascii="宋体" w:hAnsi="宋体"/>
                <w:color w:val="auto"/>
                <w:szCs w:val="22"/>
              </w:rPr>
              <w:t>供应商应在合同签订之日起3个日历日内交付APN专用通道及开通专用APN服务、数据流量卡服务、短信平台租用服务</w:t>
            </w:r>
            <w:r>
              <w:rPr>
                <w:rFonts w:hint="eastAsia" w:ascii="宋体" w:hAnsi="宋体" w:cs="仿宋_GB2312"/>
                <w:color w:val="auto"/>
                <w:szCs w:val="21"/>
              </w:rPr>
              <w:t>，服务期限至</w:t>
            </w:r>
            <w:r>
              <w:rPr>
                <w:rFonts w:ascii="宋体" w:hAnsi="宋体" w:cs="仿宋_GB2312"/>
                <w:color w:val="auto"/>
                <w:szCs w:val="21"/>
              </w:rPr>
              <w:t>2025年11月30日</w:t>
            </w:r>
            <w:r>
              <w:rPr>
                <w:rFonts w:hint="eastAsia" w:ascii="宋体" w:hAnsi="宋体" w:cs="仿宋_GB2312"/>
                <w:color w:val="auto"/>
                <w:szCs w:val="21"/>
              </w:rPr>
              <w:t>。</w:t>
            </w:r>
          </w:p>
          <w:p w14:paraId="21293F98">
            <w:pPr>
              <w:widowControl/>
              <w:spacing w:line="360" w:lineRule="auto"/>
              <w:rPr>
                <w:rFonts w:ascii="宋体" w:hAnsi="宋体" w:cs="仿宋_GB2312"/>
                <w:color w:val="auto"/>
                <w:szCs w:val="21"/>
              </w:rPr>
            </w:pPr>
            <w:r>
              <w:rPr>
                <w:rFonts w:hint="eastAsia" w:ascii="宋体" w:hAnsi="宋体" w:cs="仿宋_GB2312"/>
                <w:b/>
                <w:bCs/>
                <w:color w:val="auto"/>
                <w:szCs w:val="21"/>
              </w:rPr>
              <w:t>▲三、服务期限：</w:t>
            </w:r>
            <w:r>
              <w:rPr>
                <w:rFonts w:hint="eastAsia" w:ascii="宋体" w:hAnsi="宋体" w:cs="仿宋_GB2312"/>
                <w:color w:val="auto"/>
                <w:szCs w:val="21"/>
              </w:rPr>
              <w:t>自合同签订之日起至2025年11月30日。</w:t>
            </w:r>
          </w:p>
          <w:p w14:paraId="54ED7433">
            <w:pPr>
              <w:widowControl/>
              <w:spacing w:line="360" w:lineRule="auto"/>
              <w:rPr>
                <w:rFonts w:ascii="宋体" w:hAnsi="宋体" w:cs="仿宋_GB2312"/>
                <w:color w:val="auto"/>
                <w:szCs w:val="21"/>
              </w:rPr>
            </w:pPr>
            <w:r>
              <w:rPr>
                <w:rFonts w:hint="eastAsia" w:ascii="宋体" w:hAnsi="宋体" w:cs="仿宋_GB2312"/>
                <w:b/>
                <w:bCs/>
                <w:color w:val="auto"/>
                <w:szCs w:val="21"/>
              </w:rPr>
              <w:t>四、提交服务成果地点：</w:t>
            </w:r>
            <w:r>
              <w:rPr>
                <w:rFonts w:hint="eastAsia" w:ascii="宋体" w:hAnsi="宋体" w:cs="仿宋_GB2312"/>
                <w:color w:val="auto"/>
                <w:szCs w:val="21"/>
              </w:rPr>
              <w:t xml:space="preserve">采购人指定地点。 </w:t>
            </w:r>
          </w:p>
          <w:p w14:paraId="58090D62">
            <w:pPr>
              <w:widowControl/>
              <w:spacing w:line="360" w:lineRule="auto"/>
              <w:rPr>
                <w:rFonts w:ascii="宋体" w:hAnsi="宋体" w:cs="仿宋_GB2312"/>
                <w:color w:val="auto"/>
                <w:szCs w:val="21"/>
              </w:rPr>
            </w:pPr>
            <w:r>
              <w:rPr>
                <w:rFonts w:hint="eastAsia" w:ascii="宋体" w:hAnsi="宋体" w:cs="仿宋_GB2312"/>
                <w:b/>
                <w:bCs/>
                <w:color w:val="auto"/>
                <w:szCs w:val="21"/>
              </w:rPr>
              <w:t>五、其他：</w:t>
            </w:r>
            <w:r>
              <w:rPr>
                <w:rFonts w:hint="eastAsia" w:ascii="宋体" w:hAnsi="宋体" w:cs="仿宋_GB2312"/>
                <w:color w:val="auto"/>
                <w:szCs w:val="21"/>
              </w:rPr>
              <w:t>磋商供应商在响应文件中提供详细的线路接入技术方案、实施方案和售后服务方案。</w:t>
            </w:r>
          </w:p>
          <w:p w14:paraId="5E847E79">
            <w:pPr>
              <w:widowControl/>
              <w:spacing w:line="360" w:lineRule="auto"/>
              <w:rPr>
                <w:rFonts w:ascii="宋体" w:hAnsi="宋体" w:cs="仿宋_GB2312"/>
                <w:b/>
                <w:bCs/>
                <w:color w:val="auto"/>
                <w:szCs w:val="21"/>
              </w:rPr>
            </w:pPr>
            <w:r>
              <w:rPr>
                <w:rFonts w:hint="eastAsia" w:ascii="宋体" w:hAnsi="宋体" w:cs="仿宋_GB2312"/>
                <w:b/>
                <w:bCs/>
                <w:color w:val="auto"/>
                <w:szCs w:val="21"/>
              </w:rPr>
              <w:t>▲六、服务要求</w:t>
            </w:r>
          </w:p>
          <w:p w14:paraId="7C1C87CC">
            <w:pPr>
              <w:widowControl/>
              <w:spacing w:line="360" w:lineRule="auto"/>
              <w:rPr>
                <w:rFonts w:ascii="宋体" w:hAnsi="宋体" w:cs="仿宋_GB2312"/>
                <w:color w:val="auto"/>
                <w:szCs w:val="21"/>
              </w:rPr>
            </w:pPr>
            <w:r>
              <w:rPr>
                <w:rFonts w:hint="eastAsia" w:ascii="宋体" w:hAnsi="宋体" w:cs="仿宋_GB2312"/>
                <w:color w:val="auto"/>
                <w:szCs w:val="21"/>
              </w:rPr>
              <w:t>1、质保期1年（自交付服务成果之日起计算）。</w:t>
            </w:r>
          </w:p>
          <w:p w14:paraId="79414936">
            <w:pPr>
              <w:widowControl/>
              <w:spacing w:line="360" w:lineRule="auto"/>
              <w:rPr>
                <w:rFonts w:ascii="宋体" w:hAnsi="宋体" w:cs="仿宋_GB2312"/>
                <w:color w:val="auto"/>
                <w:szCs w:val="21"/>
              </w:rPr>
            </w:pPr>
            <w:r>
              <w:rPr>
                <w:rFonts w:hint="eastAsia" w:ascii="宋体" w:hAnsi="宋体" w:cs="仿宋_GB2312"/>
                <w:color w:val="auto"/>
                <w:szCs w:val="21"/>
              </w:rPr>
              <w:t>2、在线路质保期内，对线路进行免费维护，若出现线路故障，1小时内做出响应，2个小时内赶往现场，4小时内解决问题。</w:t>
            </w:r>
          </w:p>
          <w:p w14:paraId="237E4908">
            <w:pPr>
              <w:widowControl/>
              <w:spacing w:line="360" w:lineRule="auto"/>
              <w:rPr>
                <w:rFonts w:ascii="宋体" w:hAnsi="宋体" w:cs="仿宋_GB2312"/>
                <w:color w:val="auto"/>
                <w:szCs w:val="21"/>
              </w:rPr>
            </w:pPr>
            <w:r>
              <w:rPr>
                <w:rFonts w:hint="eastAsia" w:ascii="宋体" w:hAnsi="宋体" w:cs="仿宋_GB2312"/>
                <w:color w:val="auto"/>
                <w:szCs w:val="21"/>
              </w:rPr>
              <w:t>3、在线路质保期内，每个季度至少派人对线路进行一次巡检，检查网络设备和主干光缆的运行情况，并提交巡检报告。</w:t>
            </w:r>
          </w:p>
          <w:p w14:paraId="684A4EA1">
            <w:pPr>
              <w:widowControl/>
              <w:spacing w:line="360" w:lineRule="auto"/>
              <w:rPr>
                <w:rFonts w:ascii="宋体" w:hAnsi="宋体" w:cs="仿宋_GB2312"/>
                <w:color w:val="auto"/>
                <w:szCs w:val="21"/>
              </w:rPr>
            </w:pPr>
            <w:r>
              <w:rPr>
                <w:rFonts w:hint="eastAsia" w:ascii="宋体" w:hAnsi="宋体" w:cs="仿宋_GB2312"/>
                <w:color w:val="auto"/>
                <w:szCs w:val="21"/>
              </w:rPr>
              <w:t>4、在合同质保期内，全力配合移动OA系统供应商开展移动OA日常运维工作，主要内容包括全力配合开展移动OA系统日常巡检、故障检修处理、相关系统功能调整、修改完善以及移动客户端(app)安装、调试等工作内容。</w:t>
            </w:r>
          </w:p>
          <w:p w14:paraId="6E3295C7">
            <w:pPr>
              <w:pStyle w:val="8"/>
              <w:ind w:firstLine="0"/>
              <w:jc w:val="left"/>
              <w:rPr>
                <w:color w:val="auto"/>
              </w:rPr>
            </w:pPr>
            <w:r>
              <w:rPr>
                <w:rFonts w:hint="eastAsia" w:ascii="宋体" w:hAnsi="宋体" w:cs="仿宋_GB2312"/>
                <w:color w:val="auto"/>
                <w:szCs w:val="21"/>
              </w:rPr>
              <w:t>5、项目应提供短信管理平台纳入全市统一组件管理。</w:t>
            </w:r>
          </w:p>
          <w:p w14:paraId="40E2EA51">
            <w:pPr>
              <w:pStyle w:val="8"/>
              <w:ind w:firstLine="0"/>
              <w:rPr>
                <w:rFonts w:hAnsi="宋体"/>
                <w:color w:val="auto"/>
                <w:szCs w:val="21"/>
              </w:rPr>
            </w:pPr>
            <w:r>
              <w:rPr>
                <w:rFonts w:hint="eastAsia" w:ascii="宋体" w:hAnsi="宋体" w:cs="仿宋_GB2312"/>
                <w:color w:val="auto"/>
                <w:szCs w:val="21"/>
              </w:rPr>
              <w:t>6、</w:t>
            </w:r>
            <w:r>
              <w:rPr>
                <w:rFonts w:hint="eastAsia" w:hAnsi="宋体"/>
                <w:color w:val="auto"/>
                <w:szCs w:val="21"/>
              </w:rPr>
              <w:t>项目费用上限金额为中标价，服务期内若短信数量或流量超出合同规定范围且供应商仍继续提供的，视为供应商免费提供。</w:t>
            </w:r>
          </w:p>
          <w:p w14:paraId="6EEDB31C">
            <w:pPr>
              <w:widowControl/>
              <w:spacing w:line="360" w:lineRule="auto"/>
              <w:rPr>
                <w:rFonts w:ascii="宋体" w:hAnsi="宋体" w:cs="仿宋_GB2312"/>
                <w:b/>
                <w:bCs/>
                <w:color w:val="auto"/>
                <w:szCs w:val="21"/>
              </w:rPr>
            </w:pPr>
            <w:r>
              <w:rPr>
                <w:rFonts w:hint="eastAsia" w:ascii="宋体" w:hAnsi="宋体" w:cs="仿宋_GB2312"/>
                <w:b/>
                <w:bCs/>
                <w:color w:val="auto"/>
                <w:szCs w:val="21"/>
              </w:rPr>
              <w:t>七、其他要求</w:t>
            </w:r>
          </w:p>
          <w:p w14:paraId="2504687F">
            <w:pPr>
              <w:widowControl/>
              <w:spacing w:line="360" w:lineRule="auto"/>
              <w:rPr>
                <w:rFonts w:ascii="宋体" w:hAnsi="宋体" w:cs="仿宋_GB2312"/>
                <w:color w:val="auto"/>
                <w:szCs w:val="21"/>
              </w:rPr>
            </w:pPr>
            <w:r>
              <w:rPr>
                <w:rFonts w:hint="eastAsia" w:ascii="宋体" w:hAnsi="宋体" w:cs="仿宋_GB2312"/>
                <w:color w:val="auto"/>
                <w:szCs w:val="21"/>
              </w:rPr>
              <w:t>▲1、报价必须含以下部分，包括：</w:t>
            </w:r>
          </w:p>
          <w:p w14:paraId="5B23D657">
            <w:pPr>
              <w:widowControl/>
              <w:spacing w:line="360" w:lineRule="auto"/>
              <w:rPr>
                <w:rFonts w:ascii="宋体" w:hAnsi="宋体" w:cs="仿宋_GB2312"/>
                <w:color w:val="auto"/>
                <w:szCs w:val="21"/>
              </w:rPr>
            </w:pPr>
            <w:r>
              <w:rPr>
                <w:rFonts w:hint="eastAsia" w:ascii="宋体" w:hAnsi="宋体" w:cs="仿宋_GB2312"/>
                <w:color w:val="auto"/>
                <w:szCs w:val="21"/>
              </w:rPr>
              <w:t>（1）服务的价格；</w:t>
            </w:r>
          </w:p>
          <w:p w14:paraId="6B5228DD">
            <w:pPr>
              <w:widowControl/>
              <w:spacing w:line="360" w:lineRule="auto"/>
              <w:rPr>
                <w:rFonts w:ascii="宋体" w:hAnsi="宋体" w:cs="仿宋_GB2312"/>
                <w:color w:val="auto"/>
                <w:szCs w:val="21"/>
              </w:rPr>
            </w:pPr>
            <w:r>
              <w:rPr>
                <w:rFonts w:hint="eastAsia" w:ascii="宋体" w:hAnsi="宋体" w:cs="仿宋_GB2312"/>
                <w:color w:val="auto"/>
                <w:szCs w:val="21"/>
              </w:rPr>
              <w:t>（2）必要的保险费用和各项税金。</w:t>
            </w:r>
          </w:p>
          <w:p w14:paraId="23D7091D">
            <w:pPr>
              <w:widowControl/>
              <w:spacing w:line="360" w:lineRule="auto"/>
              <w:rPr>
                <w:color w:val="auto"/>
              </w:rPr>
            </w:pPr>
            <w:r>
              <w:rPr>
                <w:rFonts w:hint="eastAsia" w:ascii="宋体" w:hAnsi="宋体" w:cs="仿宋_GB2312"/>
                <w:color w:val="auto"/>
                <w:szCs w:val="21"/>
              </w:rPr>
              <w:t>（3）在服务期内，租用线路的安装费、调试费和迁移费，当采购人线路需要扩展或升级时，提供解决方案。</w:t>
            </w:r>
          </w:p>
          <w:p w14:paraId="67EC2877">
            <w:pPr>
              <w:widowControl/>
              <w:spacing w:line="360" w:lineRule="auto"/>
              <w:rPr>
                <w:rFonts w:ascii="宋体" w:hAnsi="宋体" w:cs="仿宋_GB2312"/>
                <w:color w:val="auto"/>
                <w:szCs w:val="21"/>
              </w:rPr>
            </w:pPr>
            <w:r>
              <w:rPr>
                <w:rFonts w:hint="eastAsia" w:ascii="宋体" w:hAnsi="宋体" w:cs="仿宋_GB2312"/>
                <w:color w:val="auto"/>
                <w:szCs w:val="21"/>
              </w:rPr>
              <w:t>▲2、付款方式：签订合同后，合同款分两笔支付，成交供应商交付VPN专用通道及专用APN服务成果后支付第一笔，第一笔支付金额为合同款的35%；成交供应商交付数据流量卡服务结果后支付第二笔，第二笔支付金额为合同款65%。</w:t>
            </w:r>
          </w:p>
          <w:p w14:paraId="4C1DC338">
            <w:pPr>
              <w:widowControl/>
              <w:spacing w:line="360" w:lineRule="auto"/>
              <w:rPr>
                <w:rFonts w:ascii="宋体" w:hAnsi="宋体" w:cs="仿宋_GB2312"/>
                <w:color w:val="auto"/>
                <w:szCs w:val="21"/>
              </w:rPr>
            </w:pPr>
            <w:r>
              <w:rPr>
                <w:rFonts w:hint="eastAsia" w:ascii="宋体" w:hAnsi="宋体" w:cs="仿宋_GB2312"/>
                <w:color w:val="auto"/>
                <w:szCs w:val="21"/>
              </w:rPr>
              <w:t>▲3、由于成交供应商原因，未能按本项目合同规定的内容、时间及相关要求向采购人交付服务成果的，采购人有权向市政府采购监督部门报告要求解除合同，成交供应商承担违约责任。</w:t>
            </w:r>
          </w:p>
          <w:p w14:paraId="51D7D140">
            <w:pPr>
              <w:widowControl/>
              <w:numPr>
                <w:ilvl w:val="0"/>
                <w:numId w:val="1"/>
              </w:numPr>
              <w:spacing w:line="360" w:lineRule="auto"/>
              <w:rPr>
                <w:rFonts w:ascii="宋体" w:hAnsi="宋体" w:cs="仿宋_GB2312"/>
                <w:color w:val="auto"/>
                <w:szCs w:val="21"/>
              </w:rPr>
            </w:pPr>
            <w:r>
              <w:rPr>
                <w:rFonts w:hint="eastAsia" w:ascii="宋体" w:hAnsi="宋体" w:cs="仿宋_GB2312"/>
                <w:color w:val="auto"/>
                <w:szCs w:val="21"/>
              </w:rPr>
              <w:t>供应商应投入专业的技术团队人员（含技术负责人）及售后服务团队成员，并具备相关专业技术能力。</w:t>
            </w:r>
          </w:p>
          <w:p w14:paraId="41020606">
            <w:pPr>
              <w:widowControl/>
              <w:shd w:val="clear" w:color="auto" w:fill="FFFFFF"/>
              <w:spacing w:line="360" w:lineRule="auto"/>
              <w:rPr>
                <w:rFonts w:ascii="宋体" w:hAnsi="宋体" w:cs="宋体"/>
                <w:color w:val="auto"/>
                <w:szCs w:val="21"/>
              </w:rPr>
            </w:pPr>
            <w:r>
              <w:rPr>
                <w:rFonts w:hint="eastAsia" w:ascii="宋体" w:hAnsi="宋体" w:cs="宋体"/>
                <w:color w:val="auto"/>
                <w:szCs w:val="21"/>
              </w:rPr>
              <w:t>▲5、安全与保密问题：</w:t>
            </w:r>
          </w:p>
          <w:p w14:paraId="4F8AE571">
            <w:pPr>
              <w:widowControl/>
              <w:shd w:val="clear" w:color="auto" w:fill="FFFFFF"/>
              <w:spacing w:line="360" w:lineRule="auto"/>
              <w:rPr>
                <w:rFonts w:ascii="宋体" w:hAnsi="宋体" w:cs="宋体"/>
                <w:color w:val="auto"/>
                <w:szCs w:val="21"/>
              </w:rPr>
            </w:pPr>
            <w:r>
              <w:rPr>
                <w:rFonts w:hint="eastAsia" w:ascii="宋体" w:hAnsi="宋体" w:cs="宋体"/>
                <w:color w:val="auto"/>
                <w:szCs w:val="21"/>
              </w:rPr>
              <w:t>（1）成交供应商不允许设置“后门”，不允许发布各类违法信息。</w:t>
            </w:r>
          </w:p>
          <w:p w14:paraId="35F4569D">
            <w:pPr>
              <w:widowControl/>
              <w:numPr>
                <w:ilvl w:val="255"/>
                <w:numId w:val="0"/>
              </w:numPr>
              <w:spacing w:line="360" w:lineRule="auto"/>
              <w:rPr>
                <w:rFonts w:ascii="宋体" w:hAnsi="宋体" w:cs="仿宋_GB2312"/>
                <w:color w:val="auto"/>
                <w:szCs w:val="21"/>
              </w:rPr>
            </w:pPr>
            <w:r>
              <w:rPr>
                <w:rFonts w:hint="eastAsia" w:ascii="宋体" w:hAnsi="宋体" w:cs="宋体"/>
                <w:color w:val="auto"/>
                <w:szCs w:val="21"/>
              </w:rPr>
              <w:t>（2）成交供应商应无条件接受项目采购人单位的保密约定，包括在合同期结束后承诺保密义务，并承担相应的涉密责任。</w:t>
            </w:r>
          </w:p>
        </w:tc>
      </w:tr>
      <w:tr w14:paraId="0B1EA5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47" w:hRule="atLeast"/>
          <w:jc w:val="center"/>
        </w:trPr>
        <w:tc>
          <w:tcPr>
            <w:tcW w:w="545" w:type="dxa"/>
            <w:tcBorders>
              <w:top w:val="single" w:color="auto" w:sz="4" w:space="0"/>
              <w:left w:val="single" w:color="auto" w:sz="4" w:space="0"/>
              <w:bottom w:val="single" w:color="auto" w:sz="4" w:space="0"/>
              <w:right w:val="single" w:color="auto" w:sz="4" w:space="0"/>
            </w:tcBorders>
            <w:vAlign w:val="center"/>
          </w:tcPr>
          <w:p w14:paraId="3A9D4D3B">
            <w:pPr>
              <w:spacing w:line="360" w:lineRule="auto"/>
              <w:jc w:val="center"/>
              <w:rPr>
                <w:rFonts w:ascii="宋体" w:hAnsi="宋体"/>
                <w:color w:val="auto"/>
                <w:szCs w:val="21"/>
              </w:rPr>
            </w:pPr>
            <w:r>
              <w:rPr>
                <w:rFonts w:hint="eastAsia" w:ascii="宋体" w:hAnsi="宋体"/>
                <w:color w:val="auto"/>
                <w:szCs w:val="21"/>
              </w:rPr>
              <w:t>其他说明</w:t>
            </w:r>
          </w:p>
        </w:tc>
        <w:tc>
          <w:tcPr>
            <w:tcW w:w="9943" w:type="dxa"/>
            <w:gridSpan w:val="7"/>
            <w:tcBorders>
              <w:top w:val="single" w:color="auto" w:sz="4" w:space="0"/>
              <w:left w:val="single" w:color="auto" w:sz="4" w:space="0"/>
              <w:bottom w:val="single" w:color="auto" w:sz="4" w:space="0"/>
              <w:right w:val="single" w:color="auto" w:sz="4" w:space="0"/>
            </w:tcBorders>
          </w:tcPr>
          <w:p w14:paraId="1936643E">
            <w:pPr>
              <w:widowControl/>
              <w:shd w:val="clear" w:color="auto" w:fill="FFFFFF"/>
              <w:rPr>
                <w:rFonts w:ascii="宋体" w:hAnsi="宋体"/>
                <w:color w:val="auto"/>
              </w:rPr>
            </w:pPr>
            <w:r>
              <w:rPr>
                <w:rFonts w:hint="eastAsia" w:ascii="宋体" w:hAnsi="宋体"/>
                <w:color w:val="auto"/>
              </w:rPr>
              <w:t>一、进口产品说明（根据项目实际情况选择）</w:t>
            </w:r>
          </w:p>
          <w:p w14:paraId="15FCC77D">
            <w:pPr>
              <w:ind w:firstLine="420" w:firstLineChars="200"/>
              <w:rPr>
                <w:rFonts w:ascii="宋体" w:hAnsi="宋体"/>
                <w:color w:val="auto"/>
                <w:szCs w:val="21"/>
              </w:rPr>
            </w:pPr>
            <w:r>
              <w:rPr>
                <w:rFonts w:hint="eastAsia" w:ascii="宋体" w:hAnsi="宋体"/>
                <w:color w:val="auto"/>
                <w:szCs w:val="21"/>
              </w:rPr>
              <w:t>□本表的第</w:t>
            </w:r>
            <w:r>
              <w:rPr>
                <w:rFonts w:hint="eastAsia" w:ascii="宋体" w:hAnsi="宋体"/>
                <w:color w:val="auto"/>
                <w:szCs w:val="21"/>
                <w:u w:val="single"/>
              </w:rPr>
              <w:t xml:space="preserve">  </w:t>
            </w:r>
            <w:r>
              <w:rPr>
                <w:rFonts w:hint="eastAsia" w:ascii="宋体" w:hAnsi="宋体"/>
                <w:color w:val="auto"/>
                <w:szCs w:val="21"/>
              </w:rPr>
              <w:t>项服务所涉及的货物已按规定办妥进口产品采购审核手续，投标产品可选用进口产品；但如选用进口产品时必须为全套原装进口产品（即通过中国海关报关验放进入中国境内且产自关境外的产品），同时磋商供应商必须负责办理进口产品所有相关手续并承担所有费用。优先采购向我国企业转让技术、与我国企业签订消化吸收再创新方案的磋商供应商的进口产品。</w:t>
            </w:r>
            <w:r>
              <w:rPr>
                <w:rFonts w:hint="eastAsia" w:ascii="宋体" w:hAnsi="宋体"/>
                <w:b/>
                <w:bCs/>
                <w:color w:val="auto"/>
                <w:szCs w:val="21"/>
              </w:rPr>
              <w:t>其他货物不接受进口产品参与投标</w:t>
            </w:r>
            <w:r>
              <w:rPr>
                <w:rFonts w:hint="eastAsia" w:ascii="宋体" w:hAnsi="宋体"/>
                <w:color w:val="auto"/>
                <w:szCs w:val="21"/>
              </w:rPr>
              <w:t>，</w:t>
            </w:r>
            <w:r>
              <w:rPr>
                <w:rFonts w:hint="eastAsia" w:ascii="宋体" w:hAnsi="宋体"/>
                <w:b/>
                <w:color w:val="auto"/>
                <w:szCs w:val="21"/>
              </w:rPr>
              <w:t>否则作无效标处理。</w:t>
            </w:r>
          </w:p>
          <w:p w14:paraId="2C61E742">
            <w:pPr>
              <w:tabs>
                <w:tab w:val="left" w:pos="180"/>
                <w:tab w:val="left" w:pos="1620"/>
              </w:tabs>
              <w:ind w:firstLine="420" w:firstLineChars="200"/>
              <w:rPr>
                <w:rFonts w:ascii="宋体" w:hAnsi="宋体"/>
                <w:color w:val="auto"/>
                <w:szCs w:val="21"/>
              </w:rPr>
            </w:pPr>
            <w:r>
              <w:rPr>
                <w:rFonts w:hint="eastAsia" w:ascii="宋体" w:hAnsi="宋体"/>
                <w:color w:val="auto"/>
                <w:szCs w:val="21"/>
              </w:rPr>
              <w:t>☑本分标服务所涉及的货物不接受进口产品（即通过中国海关报关验放进入中国境内且产自关境外的产品）参与投标，</w:t>
            </w:r>
            <w:r>
              <w:rPr>
                <w:rFonts w:hint="eastAsia" w:ascii="宋体" w:hAnsi="宋体"/>
                <w:b/>
                <w:color w:val="auto"/>
                <w:szCs w:val="21"/>
              </w:rPr>
              <w:t>如有进口产品参与投标的作无效标处理</w:t>
            </w:r>
            <w:r>
              <w:rPr>
                <w:rFonts w:hint="eastAsia" w:ascii="宋体" w:hAnsi="宋体"/>
                <w:color w:val="auto"/>
                <w:szCs w:val="21"/>
              </w:rPr>
              <w:t>。</w:t>
            </w:r>
          </w:p>
          <w:p w14:paraId="642CDB85">
            <w:pPr>
              <w:widowControl/>
              <w:shd w:val="clear" w:color="auto" w:fill="FFFFFF"/>
              <w:rPr>
                <w:rFonts w:ascii="宋体" w:hAnsi="宋体"/>
                <w:color w:val="auto"/>
              </w:rPr>
            </w:pPr>
            <w:r>
              <w:rPr>
                <w:rFonts w:hint="eastAsia" w:ascii="宋体" w:hAnsi="宋体"/>
                <w:color w:val="auto"/>
              </w:rPr>
              <w:t>二、其他</w:t>
            </w:r>
          </w:p>
          <w:p w14:paraId="6460F8CF">
            <w:pPr>
              <w:widowControl/>
              <w:shd w:val="clear" w:color="auto" w:fill="FFFFFF"/>
              <w:rPr>
                <w:rFonts w:ascii="宋体" w:hAnsi="宋体"/>
                <w:color w:val="auto"/>
              </w:rPr>
            </w:pPr>
            <w:r>
              <w:rPr>
                <w:rFonts w:hint="eastAsia" w:ascii="宋体" w:hAnsi="宋体"/>
                <w:color w:val="auto"/>
              </w:rPr>
              <w:t>1、</w:t>
            </w:r>
            <w:r>
              <w:rPr>
                <w:rFonts w:ascii="宋体" w:hAnsi="宋体"/>
                <w:color w:val="auto"/>
              </w:rPr>
              <w:t>是否进行演示</w:t>
            </w:r>
            <w:r>
              <w:rPr>
                <w:rFonts w:hint="eastAsia" w:ascii="宋体" w:hAnsi="宋体"/>
                <w:color w:val="auto"/>
              </w:rPr>
              <w:t>：否</w:t>
            </w:r>
          </w:p>
          <w:p w14:paraId="46671413">
            <w:pPr>
              <w:widowControl/>
              <w:shd w:val="clear" w:color="auto" w:fill="FFFFFF"/>
              <w:rPr>
                <w:rFonts w:ascii="宋体" w:hAnsi="宋体"/>
                <w:color w:val="auto"/>
              </w:rPr>
            </w:pPr>
            <w:r>
              <w:rPr>
                <w:rFonts w:hint="eastAsia" w:ascii="宋体" w:hAnsi="宋体"/>
                <w:color w:val="auto"/>
              </w:rPr>
              <w:t>2、</w:t>
            </w:r>
            <w:r>
              <w:rPr>
                <w:rFonts w:ascii="宋体" w:hAnsi="宋体"/>
                <w:color w:val="auto"/>
              </w:rPr>
              <w:t>是否要求提供样品</w:t>
            </w:r>
            <w:r>
              <w:rPr>
                <w:rFonts w:hint="eastAsia" w:ascii="宋体" w:hAnsi="宋体"/>
                <w:color w:val="auto"/>
              </w:rPr>
              <w:t>：否</w:t>
            </w:r>
          </w:p>
          <w:p w14:paraId="27A1AE2F">
            <w:pPr>
              <w:widowControl/>
              <w:shd w:val="clear" w:color="auto" w:fill="FFFFFF"/>
              <w:rPr>
                <w:rFonts w:ascii="宋体" w:hAnsi="宋体"/>
                <w:color w:val="auto"/>
              </w:rPr>
            </w:pPr>
            <w:r>
              <w:rPr>
                <w:rFonts w:hint="eastAsia" w:ascii="宋体" w:hAnsi="宋体"/>
                <w:color w:val="auto"/>
              </w:rPr>
              <w:t>3、</w:t>
            </w:r>
            <w:r>
              <w:rPr>
                <w:rFonts w:ascii="宋体" w:hAnsi="宋体"/>
                <w:color w:val="auto"/>
              </w:rPr>
              <w:t>是否现场踏勘</w:t>
            </w:r>
            <w:r>
              <w:rPr>
                <w:rFonts w:hint="eastAsia" w:ascii="宋体" w:hAnsi="宋体"/>
                <w:color w:val="auto"/>
              </w:rPr>
              <w:t>：否</w:t>
            </w:r>
          </w:p>
          <w:p w14:paraId="0C85E562">
            <w:pPr>
              <w:widowControl/>
              <w:shd w:val="clear" w:color="auto" w:fill="FFFFFF"/>
              <w:rPr>
                <w:color w:val="auto"/>
                <w:szCs w:val="21"/>
              </w:rPr>
            </w:pPr>
            <w:r>
              <w:rPr>
                <w:rFonts w:hint="eastAsia"/>
                <w:color w:val="auto"/>
                <w:szCs w:val="21"/>
              </w:rPr>
              <w:t>4、合同延续年限、条件和方式：本项目合同到期后不续签。</w:t>
            </w:r>
          </w:p>
          <w:p w14:paraId="0C624772">
            <w:pPr>
              <w:widowControl/>
              <w:shd w:val="clear" w:color="auto" w:fill="FFFFFF"/>
              <w:rPr>
                <w:rFonts w:ascii="宋体" w:hAnsi="宋体"/>
                <w:color w:val="auto"/>
              </w:rPr>
            </w:pPr>
            <w:r>
              <w:rPr>
                <w:rFonts w:hint="eastAsia"/>
                <w:color w:val="auto"/>
                <w:szCs w:val="21"/>
              </w:rPr>
              <w:t>(如不续签此处填“本项目合同到期后不续签”):(提醒：根据《财政部关于推进和完善服务项目政府有关问题的通知》(财库[2014]37号)及《政府购买服务管理办法》(财政部令102号)等规定，政府购买服务履行期限一般不超过1年：在预算保障的前提下，对于购买内容相对固定、连续性强、经费来源稳定、价格变化幅度小的政府购买服务项目，可以签订履行期不超过3年的政府购买服务合同，且应当在采购文件中约定续签条件和方式、时限告知潜在供应商。)。</w:t>
            </w:r>
          </w:p>
        </w:tc>
      </w:tr>
    </w:tbl>
    <w:p w14:paraId="7B8087AB">
      <w:pPr>
        <w:widowControl/>
        <w:kinsoku w:val="0"/>
        <w:autoSpaceDE w:val="0"/>
        <w:autoSpaceDN w:val="0"/>
        <w:adjustRightInd w:val="0"/>
        <w:snapToGrid w:val="0"/>
        <w:spacing w:line="360" w:lineRule="auto"/>
        <w:ind w:right="924"/>
        <w:textAlignment w:val="baseline"/>
        <w:rPr>
          <w:rFonts w:ascii="宋体" w:hAnsi="宋体" w:cs="宋体"/>
          <w:color w:val="auto"/>
        </w:rPr>
      </w:pPr>
    </w:p>
    <w:p w14:paraId="091CD857">
      <w:pPr>
        <w:spacing w:line="360" w:lineRule="auto"/>
        <w:rPr>
          <w:rFonts w:ascii="宋体" w:hAnsi="宋体"/>
          <w:vanish/>
          <w:color w:val="auto"/>
        </w:rPr>
      </w:pPr>
    </w:p>
    <w:p w14:paraId="1EB2762F">
      <w:pPr>
        <w:spacing w:before="104" w:line="360" w:lineRule="auto"/>
        <w:ind w:left="190"/>
        <w:rPr>
          <w:rFonts w:ascii="宋体" w:hAnsi="宋体" w:cs="宋体"/>
          <w:color w:val="auto"/>
          <w:spacing w:val="-25"/>
          <w:sz w:val="32"/>
          <w:szCs w:val="32"/>
        </w:rPr>
        <w:sectPr>
          <w:pgSz w:w="11905" w:h="16838"/>
          <w:pgMar w:top="1417" w:right="1134" w:bottom="1417" w:left="1100" w:header="703" w:footer="703" w:gutter="0"/>
          <w:cols w:space="720" w:num="1"/>
        </w:sectPr>
      </w:pPr>
    </w:p>
    <w:p w14:paraId="5DAAD34E">
      <w:pPr>
        <w:spacing w:before="104" w:line="360" w:lineRule="auto"/>
        <w:ind w:left="190"/>
        <w:rPr>
          <w:rFonts w:ascii="宋体" w:hAnsi="宋体" w:cs="宋体"/>
          <w:color w:val="auto"/>
          <w:sz w:val="32"/>
          <w:szCs w:val="32"/>
        </w:rPr>
      </w:pPr>
      <w:r>
        <w:rPr>
          <w:rFonts w:hint="eastAsia" w:ascii="宋体" w:hAnsi="宋体" w:cs="宋体"/>
          <w:color w:val="auto"/>
          <w:spacing w:val="-25"/>
          <w:sz w:val="32"/>
          <w:szCs w:val="32"/>
        </w:rPr>
        <w:t>附</w:t>
      </w:r>
      <w:r>
        <w:rPr>
          <w:rFonts w:hint="eastAsia" w:ascii="宋体" w:hAnsi="宋体" w:cs="宋体"/>
          <w:color w:val="auto"/>
          <w:spacing w:val="-23"/>
          <w:sz w:val="32"/>
          <w:szCs w:val="32"/>
        </w:rPr>
        <w:t>件1：</w:t>
      </w:r>
    </w:p>
    <w:p w14:paraId="5A3A8E18">
      <w:pPr>
        <w:spacing w:before="71" w:line="360" w:lineRule="auto"/>
        <w:jc w:val="center"/>
        <w:rPr>
          <w:rFonts w:ascii="宋体" w:hAnsi="宋体" w:cs="宋体"/>
          <w:color w:val="auto"/>
          <w:sz w:val="40"/>
          <w:szCs w:val="40"/>
        </w:rPr>
      </w:pPr>
      <w:r>
        <w:rPr>
          <w:rFonts w:hint="eastAsia" w:ascii="宋体" w:hAnsi="宋体" w:cs="宋体"/>
          <w:color w:val="auto"/>
          <w:spacing w:val="-4"/>
          <w:sz w:val="40"/>
          <w:szCs w:val="40"/>
        </w:rPr>
        <w:t>节能产品</w:t>
      </w:r>
      <w:r>
        <w:rPr>
          <w:rFonts w:hint="eastAsia" w:ascii="宋体" w:hAnsi="宋体" w:cs="宋体"/>
          <w:color w:val="auto"/>
          <w:spacing w:val="-3"/>
          <w:sz w:val="40"/>
          <w:szCs w:val="40"/>
        </w:rPr>
        <w:t>政</w:t>
      </w:r>
      <w:r>
        <w:rPr>
          <w:rFonts w:hint="eastAsia" w:ascii="宋体" w:hAnsi="宋体" w:cs="宋体"/>
          <w:color w:val="auto"/>
          <w:spacing w:val="-2"/>
          <w:sz w:val="40"/>
          <w:szCs w:val="40"/>
        </w:rPr>
        <w:t>府采购品目清单</w:t>
      </w:r>
    </w:p>
    <w:p w14:paraId="429A595A">
      <w:pPr>
        <w:spacing w:line="360" w:lineRule="auto"/>
        <w:rPr>
          <w:rFonts w:ascii="宋体" w:hAnsi="宋体" w:cs="宋体"/>
          <w:color w:val="auto"/>
        </w:rPr>
      </w:pPr>
    </w:p>
    <w:tbl>
      <w:tblPr>
        <w:tblStyle w:val="2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2"/>
        <w:gridCol w:w="1161"/>
        <w:gridCol w:w="1581"/>
        <w:gridCol w:w="1682"/>
        <w:gridCol w:w="4811"/>
      </w:tblGrid>
      <w:tr w14:paraId="76401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358" w:type="pct"/>
          </w:tcPr>
          <w:p w14:paraId="7D72167E">
            <w:pPr>
              <w:widowControl/>
              <w:jc w:val="center"/>
              <w:rPr>
                <w:rFonts w:ascii="宋体" w:hAnsi="宋体" w:cs="宋体"/>
                <w:b/>
                <w:bCs/>
                <w:color w:val="auto"/>
                <w:kern w:val="0"/>
                <w:szCs w:val="21"/>
              </w:rPr>
            </w:pPr>
            <w:r>
              <w:rPr>
                <w:rFonts w:hint="eastAsia" w:ascii="宋体" w:hAnsi="宋体" w:cs="宋体"/>
                <w:b/>
                <w:bCs/>
                <w:color w:val="auto"/>
                <w:kern w:val="0"/>
                <w:szCs w:val="21"/>
              </w:rPr>
              <w:t>品目序号</w:t>
            </w:r>
          </w:p>
        </w:tc>
        <w:tc>
          <w:tcPr>
            <w:tcW w:w="2180" w:type="pct"/>
            <w:gridSpan w:val="3"/>
            <w:vAlign w:val="center"/>
          </w:tcPr>
          <w:p w14:paraId="21A80BB4">
            <w:pPr>
              <w:widowControl/>
              <w:jc w:val="center"/>
              <w:rPr>
                <w:rFonts w:ascii="宋体" w:hAnsi="宋体" w:cs="宋体"/>
                <w:b/>
                <w:bCs/>
                <w:color w:val="auto"/>
                <w:kern w:val="0"/>
                <w:szCs w:val="21"/>
              </w:rPr>
            </w:pPr>
            <w:r>
              <w:rPr>
                <w:rFonts w:hint="eastAsia" w:ascii="宋体" w:hAnsi="宋体" w:cs="宋体"/>
                <w:b/>
                <w:bCs/>
                <w:color w:val="auto"/>
                <w:kern w:val="0"/>
                <w:szCs w:val="21"/>
              </w:rPr>
              <w:t>名称</w:t>
            </w:r>
          </w:p>
        </w:tc>
        <w:tc>
          <w:tcPr>
            <w:tcW w:w="2462" w:type="pct"/>
            <w:vAlign w:val="center"/>
          </w:tcPr>
          <w:p w14:paraId="533B5EDC">
            <w:pPr>
              <w:widowControl/>
              <w:jc w:val="center"/>
              <w:rPr>
                <w:rFonts w:ascii="宋体" w:hAnsi="宋体" w:cs="宋体"/>
                <w:b/>
                <w:bCs/>
                <w:color w:val="auto"/>
                <w:kern w:val="0"/>
                <w:szCs w:val="21"/>
              </w:rPr>
            </w:pPr>
            <w:r>
              <w:rPr>
                <w:rFonts w:hint="eastAsia" w:ascii="宋体" w:hAnsi="宋体" w:cs="宋体"/>
                <w:b/>
                <w:bCs/>
                <w:color w:val="auto"/>
                <w:kern w:val="0"/>
                <w:szCs w:val="21"/>
              </w:rPr>
              <w:t>依据的标准</w:t>
            </w:r>
          </w:p>
        </w:tc>
      </w:tr>
      <w:tr w14:paraId="680AB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358" w:type="pct"/>
            <w:vMerge w:val="restart"/>
            <w:vAlign w:val="center"/>
          </w:tcPr>
          <w:p w14:paraId="0F8224DD">
            <w:pPr>
              <w:widowControl/>
              <w:jc w:val="center"/>
              <w:rPr>
                <w:rFonts w:ascii="宋体" w:hAnsi="宋体" w:cs="宋体"/>
                <w:color w:val="auto"/>
                <w:kern w:val="0"/>
                <w:szCs w:val="21"/>
              </w:rPr>
            </w:pPr>
            <w:r>
              <w:rPr>
                <w:rFonts w:hint="eastAsia" w:ascii="宋体" w:hAnsi="宋体" w:cs="宋体"/>
                <w:color w:val="auto"/>
                <w:kern w:val="0"/>
                <w:szCs w:val="21"/>
              </w:rPr>
              <w:t>1</w:t>
            </w:r>
          </w:p>
        </w:tc>
        <w:tc>
          <w:tcPr>
            <w:tcW w:w="586" w:type="pct"/>
            <w:vMerge w:val="restart"/>
            <w:vAlign w:val="center"/>
          </w:tcPr>
          <w:p w14:paraId="30D1BFB8">
            <w:pPr>
              <w:widowControl/>
              <w:jc w:val="center"/>
              <w:rPr>
                <w:rFonts w:ascii="宋体" w:hAnsi="宋体" w:cs="宋体"/>
                <w:color w:val="auto"/>
                <w:kern w:val="0"/>
                <w:szCs w:val="21"/>
              </w:rPr>
            </w:pPr>
            <w:r>
              <w:rPr>
                <w:rFonts w:hint="eastAsia" w:ascii="宋体" w:hAnsi="宋体" w:cs="宋体"/>
                <w:color w:val="auto"/>
                <w:kern w:val="0"/>
                <w:szCs w:val="21"/>
              </w:rPr>
              <w:t>A020101计算机设备</w:t>
            </w:r>
          </w:p>
        </w:tc>
        <w:tc>
          <w:tcPr>
            <w:tcW w:w="716" w:type="pct"/>
            <w:vAlign w:val="center"/>
          </w:tcPr>
          <w:p w14:paraId="7A029C9E">
            <w:pPr>
              <w:widowControl/>
              <w:jc w:val="center"/>
              <w:rPr>
                <w:rFonts w:ascii="宋体" w:hAnsi="宋体" w:cs="宋体"/>
                <w:color w:val="auto"/>
                <w:kern w:val="0"/>
                <w:szCs w:val="21"/>
              </w:rPr>
            </w:pPr>
            <w:r>
              <w:rPr>
                <w:rFonts w:hint="eastAsia" w:ascii="宋体" w:hAnsi="宋体" w:cs="宋体"/>
                <w:color w:val="auto"/>
                <w:kern w:val="0"/>
                <w:szCs w:val="21"/>
              </w:rPr>
              <w:t>★A02010104台式计算机</w:t>
            </w:r>
          </w:p>
        </w:tc>
        <w:tc>
          <w:tcPr>
            <w:tcW w:w="879" w:type="pct"/>
            <w:vAlign w:val="center"/>
          </w:tcPr>
          <w:p w14:paraId="6C06794B">
            <w:pPr>
              <w:widowControl/>
              <w:jc w:val="center"/>
              <w:rPr>
                <w:rFonts w:ascii="宋体" w:hAnsi="宋体" w:cs="宋体"/>
                <w:color w:val="auto"/>
                <w:kern w:val="0"/>
                <w:szCs w:val="21"/>
              </w:rPr>
            </w:pPr>
            <w:r>
              <w:rPr>
                <w:rFonts w:hint="eastAsia" w:ascii="宋体" w:hAnsi="宋体" w:cs="宋体"/>
                <w:color w:val="auto"/>
                <w:kern w:val="0"/>
                <w:szCs w:val="21"/>
              </w:rPr>
              <w:t>　</w:t>
            </w:r>
          </w:p>
        </w:tc>
        <w:tc>
          <w:tcPr>
            <w:tcW w:w="2462" w:type="pct"/>
            <w:vAlign w:val="center"/>
          </w:tcPr>
          <w:p w14:paraId="62688717">
            <w:pPr>
              <w:widowControl/>
              <w:jc w:val="left"/>
              <w:rPr>
                <w:rFonts w:ascii="宋体" w:hAnsi="宋体" w:cs="宋体"/>
                <w:color w:val="auto"/>
                <w:kern w:val="0"/>
                <w:szCs w:val="21"/>
              </w:rPr>
            </w:pPr>
            <w:r>
              <w:rPr>
                <w:rFonts w:hint="eastAsia" w:ascii="宋体" w:hAnsi="宋体" w:cs="宋体"/>
                <w:color w:val="auto"/>
                <w:kern w:val="0"/>
                <w:szCs w:val="21"/>
              </w:rPr>
              <w:t>《微型计算机能效限定值及能效等级》（GB28380）</w:t>
            </w:r>
          </w:p>
        </w:tc>
      </w:tr>
      <w:tr w14:paraId="0823E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358" w:type="pct"/>
            <w:vMerge w:val="continue"/>
            <w:vAlign w:val="center"/>
          </w:tcPr>
          <w:p w14:paraId="6D3CCA6A">
            <w:pPr>
              <w:widowControl/>
              <w:jc w:val="left"/>
              <w:rPr>
                <w:rFonts w:ascii="宋体" w:hAnsi="宋体" w:cs="宋体"/>
                <w:color w:val="auto"/>
                <w:kern w:val="0"/>
                <w:szCs w:val="21"/>
              </w:rPr>
            </w:pPr>
          </w:p>
        </w:tc>
        <w:tc>
          <w:tcPr>
            <w:tcW w:w="586" w:type="pct"/>
            <w:vMerge w:val="continue"/>
            <w:vAlign w:val="center"/>
          </w:tcPr>
          <w:p w14:paraId="417CE350">
            <w:pPr>
              <w:widowControl/>
              <w:jc w:val="left"/>
              <w:rPr>
                <w:rFonts w:ascii="宋体" w:hAnsi="宋体" w:cs="宋体"/>
                <w:color w:val="auto"/>
                <w:kern w:val="0"/>
                <w:szCs w:val="21"/>
              </w:rPr>
            </w:pPr>
          </w:p>
        </w:tc>
        <w:tc>
          <w:tcPr>
            <w:tcW w:w="716" w:type="pct"/>
            <w:vAlign w:val="center"/>
          </w:tcPr>
          <w:p w14:paraId="6EE23421">
            <w:pPr>
              <w:widowControl/>
              <w:jc w:val="center"/>
              <w:rPr>
                <w:rFonts w:ascii="宋体" w:hAnsi="宋体" w:cs="宋体"/>
                <w:color w:val="auto"/>
                <w:kern w:val="0"/>
                <w:szCs w:val="21"/>
              </w:rPr>
            </w:pPr>
            <w:r>
              <w:rPr>
                <w:rFonts w:hint="eastAsia" w:ascii="宋体" w:hAnsi="宋体" w:cs="宋体"/>
                <w:color w:val="auto"/>
                <w:kern w:val="0"/>
                <w:szCs w:val="21"/>
              </w:rPr>
              <w:t>★A02010105便携式计算机</w:t>
            </w:r>
          </w:p>
        </w:tc>
        <w:tc>
          <w:tcPr>
            <w:tcW w:w="879" w:type="pct"/>
            <w:vAlign w:val="center"/>
          </w:tcPr>
          <w:p w14:paraId="6E9E286D">
            <w:pPr>
              <w:widowControl/>
              <w:jc w:val="center"/>
              <w:rPr>
                <w:rFonts w:ascii="宋体" w:hAnsi="宋体" w:cs="宋体"/>
                <w:color w:val="auto"/>
                <w:kern w:val="0"/>
                <w:szCs w:val="21"/>
              </w:rPr>
            </w:pPr>
            <w:r>
              <w:rPr>
                <w:rFonts w:hint="eastAsia" w:ascii="宋体" w:hAnsi="宋体" w:cs="宋体"/>
                <w:color w:val="auto"/>
                <w:kern w:val="0"/>
                <w:szCs w:val="21"/>
              </w:rPr>
              <w:t>　</w:t>
            </w:r>
          </w:p>
        </w:tc>
        <w:tc>
          <w:tcPr>
            <w:tcW w:w="2462" w:type="pct"/>
            <w:vAlign w:val="center"/>
          </w:tcPr>
          <w:p w14:paraId="532C7D8D">
            <w:pPr>
              <w:widowControl/>
              <w:jc w:val="left"/>
              <w:rPr>
                <w:rFonts w:ascii="宋体" w:hAnsi="宋体" w:cs="宋体"/>
                <w:color w:val="auto"/>
                <w:kern w:val="0"/>
                <w:szCs w:val="21"/>
              </w:rPr>
            </w:pPr>
            <w:r>
              <w:rPr>
                <w:rFonts w:hint="eastAsia" w:ascii="宋体" w:hAnsi="宋体" w:cs="宋体"/>
                <w:color w:val="auto"/>
                <w:kern w:val="0"/>
                <w:szCs w:val="21"/>
              </w:rPr>
              <w:t>《微型计算机能效限定值及能效等级》（GB28380）</w:t>
            </w:r>
          </w:p>
        </w:tc>
      </w:tr>
      <w:tr w14:paraId="5BFD0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358" w:type="pct"/>
            <w:vMerge w:val="continue"/>
            <w:vAlign w:val="center"/>
          </w:tcPr>
          <w:p w14:paraId="7B43F877">
            <w:pPr>
              <w:widowControl/>
              <w:jc w:val="left"/>
              <w:rPr>
                <w:rFonts w:ascii="宋体" w:hAnsi="宋体" w:cs="宋体"/>
                <w:color w:val="auto"/>
                <w:kern w:val="0"/>
                <w:szCs w:val="21"/>
              </w:rPr>
            </w:pPr>
          </w:p>
        </w:tc>
        <w:tc>
          <w:tcPr>
            <w:tcW w:w="586" w:type="pct"/>
            <w:vMerge w:val="continue"/>
            <w:vAlign w:val="center"/>
          </w:tcPr>
          <w:p w14:paraId="69B913DC">
            <w:pPr>
              <w:widowControl/>
              <w:jc w:val="left"/>
              <w:rPr>
                <w:rFonts w:ascii="宋体" w:hAnsi="宋体" w:cs="宋体"/>
                <w:color w:val="auto"/>
                <w:kern w:val="0"/>
                <w:szCs w:val="21"/>
              </w:rPr>
            </w:pPr>
          </w:p>
        </w:tc>
        <w:tc>
          <w:tcPr>
            <w:tcW w:w="716" w:type="pct"/>
            <w:vAlign w:val="center"/>
          </w:tcPr>
          <w:p w14:paraId="32A7A174">
            <w:pPr>
              <w:widowControl/>
              <w:jc w:val="center"/>
              <w:rPr>
                <w:rFonts w:ascii="宋体" w:hAnsi="宋体" w:cs="宋体"/>
                <w:color w:val="auto"/>
                <w:kern w:val="0"/>
                <w:szCs w:val="21"/>
              </w:rPr>
            </w:pPr>
            <w:r>
              <w:rPr>
                <w:rFonts w:hint="eastAsia" w:ascii="宋体" w:hAnsi="宋体" w:cs="宋体"/>
                <w:color w:val="auto"/>
                <w:kern w:val="0"/>
                <w:szCs w:val="21"/>
              </w:rPr>
              <w:t>★A02010107平板式微型计算机</w:t>
            </w:r>
          </w:p>
        </w:tc>
        <w:tc>
          <w:tcPr>
            <w:tcW w:w="879" w:type="pct"/>
            <w:vAlign w:val="center"/>
          </w:tcPr>
          <w:p w14:paraId="1B9A3E66">
            <w:pPr>
              <w:widowControl/>
              <w:jc w:val="center"/>
              <w:rPr>
                <w:rFonts w:ascii="宋体" w:hAnsi="宋体" w:cs="宋体"/>
                <w:color w:val="auto"/>
                <w:kern w:val="0"/>
                <w:szCs w:val="21"/>
              </w:rPr>
            </w:pPr>
            <w:r>
              <w:rPr>
                <w:rFonts w:hint="eastAsia" w:ascii="宋体" w:hAnsi="宋体" w:cs="宋体"/>
                <w:color w:val="auto"/>
                <w:kern w:val="0"/>
                <w:szCs w:val="21"/>
              </w:rPr>
              <w:t>　</w:t>
            </w:r>
          </w:p>
        </w:tc>
        <w:tc>
          <w:tcPr>
            <w:tcW w:w="2462" w:type="pct"/>
            <w:vAlign w:val="center"/>
          </w:tcPr>
          <w:p w14:paraId="752FCDBB">
            <w:pPr>
              <w:widowControl/>
              <w:jc w:val="left"/>
              <w:rPr>
                <w:rFonts w:ascii="宋体" w:hAnsi="宋体" w:cs="宋体"/>
                <w:color w:val="auto"/>
                <w:kern w:val="0"/>
                <w:szCs w:val="21"/>
              </w:rPr>
            </w:pPr>
            <w:r>
              <w:rPr>
                <w:rFonts w:hint="eastAsia" w:ascii="宋体" w:hAnsi="宋体" w:cs="宋体"/>
                <w:color w:val="auto"/>
                <w:kern w:val="0"/>
                <w:szCs w:val="21"/>
              </w:rPr>
              <w:t>《微型计算机能效限定值及能效等级》（GB28380）</w:t>
            </w:r>
          </w:p>
        </w:tc>
      </w:tr>
      <w:tr w14:paraId="7D261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358" w:type="pct"/>
            <w:vMerge w:val="restart"/>
            <w:vAlign w:val="center"/>
          </w:tcPr>
          <w:p w14:paraId="7F54EAB0">
            <w:pPr>
              <w:widowControl/>
              <w:jc w:val="center"/>
              <w:rPr>
                <w:rFonts w:ascii="宋体" w:hAnsi="宋体" w:cs="宋体"/>
                <w:color w:val="auto"/>
                <w:kern w:val="0"/>
                <w:szCs w:val="21"/>
              </w:rPr>
            </w:pPr>
            <w:r>
              <w:rPr>
                <w:rFonts w:hint="eastAsia" w:ascii="宋体" w:hAnsi="宋体" w:cs="宋体"/>
                <w:color w:val="auto"/>
                <w:kern w:val="0"/>
                <w:szCs w:val="21"/>
              </w:rPr>
              <w:t>2</w:t>
            </w:r>
          </w:p>
        </w:tc>
        <w:tc>
          <w:tcPr>
            <w:tcW w:w="586" w:type="pct"/>
            <w:vMerge w:val="restart"/>
            <w:vAlign w:val="center"/>
          </w:tcPr>
          <w:p w14:paraId="11DF644A">
            <w:pPr>
              <w:widowControl/>
              <w:jc w:val="center"/>
              <w:rPr>
                <w:rFonts w:ascii="宋体" w:hAnsi="宋体" w:cs="宋体"/>
                <w:color w:val="auto"/>
                <w:kern w:val="0"/>
                <w:szCs w:val="21"/>
              </w:rPr>
            </w:pPr>
            <w:r>
              <w:rPr>
                <w:rFonts w:hint="eastAsia" w:ascii="宋体" w:hAnsi="宋体" w:cs="宋体"/>
                <w:color w:val="auto"/>
                <w:kern w:val="0"/>
                <w:szCs w:val="21"/>
              </w:rPr>
              <w:t>A020106输入输出设备</w:t>
            </w:r>
          </w:p>
        </w:tc>
        <w:tc>
          <w:tcPr>
            <w:tcW w:w="716" w:type="pct"/>
            <w:vMerge w:val="restart"/>
            <w:vAlign w:val="center"/>
          </w:tcPr>
          <w:p w14:paraId="201067CD">
            <w:pPr>
              <w:widowControl/>
              <w:jc w:val="center"/>
              <w:rPr>
                <w:rFonts w:ascii="宋体" w:hAnsi="宋体" w:cs="宋体"/>
                <w:color w:val="auto"/>
                <w:kern w:val="0"/>
                <w:szCs w:val="21"/>
              </w:rPr>
            </w:pPr>
            <w:r>
              <w:rPr>
                <w:rFonts w:hint="eastAsia" w:ascii="宋体" w:hAnsi="宋体" w:cs="宋体"/>
                <w:color w:val="auto"/>
                <w:kern w:val="0"/>
                <w:szCs w:val="21"/>
              </w:rPr>
              <w:t>A02010601打印设备</w:t>
            </w:r>
          </w:p>
        </w:tc>
        <w:tc>
          <w:tcPr>
            <w:tcW w:w="879" w:type="pct"/>
            <w:vAlign w:val="center"/>
          </w:tcPr>
          <w:p w14:paraId="0C6AAF73">
            <w:pPr>
              <w:widowControl/>
              <w:jc w:val="center"/>
              <w:rPr>
                <w:rFonts w:ascii="宋体" w:hAnsi="宋体" w:cs="宋体"/>
                <w:color w:val="auto"/>
                <w:kern w:val="0"/>
                <w:szCs w:val="21"/>
              </w:rPr>
            </w:pPr>
            <w:r>
              <w:rPr>
                <w:rFonts w:hint="eastAsia" w:ascii="宋体" w:hAnsi="宋体" w:cs="宋体"/>
                <w:color w:val="auto"/>
                <w:kern w:val="0"/>
                <w:szCs w:val="21"/>
              </w:rPr>
              <w:t>A0201060101喷墨打印机</w:t>
            </w:r>
          </w:p>
        </w:tc>
        <w:tc>
          <w:tcPr>
            <w:tcW w:w="2462" w:type="pct"/>
            <w:vAlign w:val="center"/>
          </w:tcPr>
          <w:p w14:paraId="24F3A1F0">
            <w:pPr>
              <w:widowControl/>
              <w:jc w:val="left"/>
              <w:rPr>
                <w:rFonts w:ascii="宋体" w:hAnsi="宋体" w:cs="宋体"/>
                <w:color w:val="auto"/>
                <w:kern w:val="0"/>
                <w:szCs w:val="21"/>
              </w:rPr>
            </w:pPr>
            <w:r>
              <w:rPr>
                <w:rFonts w:hint="eastAsia" w:ascii="宋体" w:hAnsi="宋体" w:cs="宋体"/>
                <w:color w:val="auto"/>
                <w:kern w:val="0"/>
                <w:szCs w:val="21"/>
              </w:rPr>
              <w:t>《复印机、打印机和传真机能效限定值及能效等级》（GB21521）</w:t>
            </w:r>
          </w:p>
        </w:tc>
      </w:tr>
      <w:tr w14:paraId="7FAFE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358" w:type="pct"/>
            <w:vMerge w:val="continue"/>
            <w:vAlign w:val="center"/>
          </w:tcPr>
          <w:p w14:paraId="38D8D922">
            <w:pPr>
              <w:widowControl/>
              <w:jc w:val="left"/>
              <w:rPr>
                <w:rFonts w:ascii="宋体" w:hAnsi="宋体" w:cs="宋体"/>
                <w:color w:val="auto"/>
                <w:kern w:val="0"/>
                <w:szCs w:val="21"/>
              </w:rPr>
            </w:pPr>
          </w:p>
        </w:tc>
        <w:tc>
          <w:tcPr>
            <w:tcW w:w="586" w:type="pct"/>
            <w:vMerge w:val="continue"/>
            <w:vAlign w:val="center"/>
          </w:tcPr>
          <w:p w14:paraId="4441C957">
            <w:pPr>
              <w:widowControl/>
              <w:jc w:val="left"/>
              <w:rPr>
                <w:rFonts w:ascii="宋体" w:hAnsi="宋体" w:cs="宋体"/>
                <w:color w:val="auto"/>
                <w:kern w:val="0"/>
                <w:szCs w:val="21"/>
              </w:rPr>
            </w:pPr>
          </w:p>
        </w:tc>
        <w:tc>
          <w:tcPr>
            <w:tcW w:w="716" w:type="pct"/>
            <w:vMerge w:val="continue"/>
            <w:vAlign w:val="center"/>
          </w:tcPr>
          <w:p w14:paraId="2D06B769">
            <w:pPr>
              <w:widowControl/>
              <w:jc w:val="left"/>
              <w:rPr>
                <w:rFonts w:ascii="宋体" w:hAnsi="宋体" w:cs="宋体"/>
                <w:color w:val="auto"/>
                <w:kern w:val="0"/>
                <w:szCs w:val="21"/>
              </w:rPr>
            </w:pPr>
          </w:p>
        </w:tc>
        <w:tc>
          <w:tcPr>
            <w:tcW w:w="879" w:type="pct"/>
            <w:vAlign w:val="center"/>
          </w:tcPr>
          <w:p w14:paraId="189CC2BC">
            <w:pPr>
              <w:widowControl/>
              <w:jc w:val="center"/>
              <w:rPr>
                <w:rFonts w:ascii="宋体" w:hAnsi="宋体" w:cs="宋体"/>
                <w:color w:val="auto"/>
                <w:kern w:val="0"/>
                <w:szCs w:val="21"/>
              </w:rPr>
            </w:pPr>
            <w:r>
              <w:rPr>
                <w:rFonts w:hint="eastAsia" w:ascii="宋体" w:hAnsi="宋体" w:cs="宋体"/>
                <w:color w:val="auto"/>
                <w:kern w:val="0"/>
                <w:szCs w:val="21"/>
              </w:rPr>
              <w:t>★A0201060102激光打印机</w:t>
            </w:r>
          </w:p>
        </w:tc>
        <w:tc>
          <w:tcPr>
            <w:tcW w:w="2462" w:type="pct"/>
            <w:vAlign w:val="center"/>
          </w:tcPr>
          <w:p w14:paraId="2A4724F0">
            <w:pPr>
              <w:widowControl/>
              <w:jc w:val="left"/>
              <w:rPr>
                <w:rFonts w:ascii="宋体" w:hAnsi="宋体" w:cs="宋体"/>
                <w:color w:val="auto"/>
                <w:kern w:val="0"/>
                <w:szCs w:val="21"/>
              </w:rPr>
            </w:pPr>
            <w:r>
              <w:rPr>
                <w:rFonts w:hint="eastAsia" w:ascii="宋体" w:hAnsi="宋体" w:cs="宋体"/>
                <w:color w:val="auto"/>
                <w:kern w:val="0"/>
                <w:szCs w:val="21"/>
              </w:rPr>
              <w:t>《复印机、打印机和传真机能效限定值及能效等级》（GB21521）</w:t>
            </w:r>
          </w:p>
        </w:tc>
      </w:tr>
      <w:tr w14:paraId="27113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358" w:type="pct"/>
            <w:vMerge w:val="continue"/>
            <w:vAlign w:val="center"/>
          </w:tcPr>
          <w:p w14:paraId="3DB8E2E9">
            <w:pPr>
              <w:widowControl/>
              <w:jc w:val="left"/>
              <w:rPr>
                <w:rFonts w:ascii="宋体" w:hAnsi="宋体" w:cs="宋体"/>
                <w:color w:val="auto"/>
                <w:kern w:val="0"/>
                <w:szCs w:val="21"/>
              </w:rPr>
            </w:pPr>
          </w:p>
        </w:tc>
        <w:tc>
          <w:tcPr>
            <w:tcW w:w="586" w:type="pct"/>
            <w:vMerge w:val="continue"/>
            <w:vAlign w:val="center"/>
          </w:tcPr>
          <w:p w14:paraId="2C7409FE">
            <w:pPr>
              <w:widowControl/>
              <w:jc w:val="left"/>
              <w:rPr>
                <w:rFonts w:ascii="宋体" w:hAnsi="宋体" w:cs="宋体"/>
                <w:color w:val="auto"/>
                <w:kern w:val="0"/>
                <w:szCs w:val="21"/>
              </w:rPr>
            </w:pPr>
          </w:p>
        </w:tc>
        <w:tc>
          <w:tcPr>
            <w:tcW w:w="716" w:type="pct"/>
            <w:vMerge w:val="continue"/>
            <w:vAlign w:val="center"/>
          </w:tcPr>
          <w:p w14:paraId="6A6B5465">
            <w:pPr>
              <w:widowControl/>
              <w:jc w:val="left"/>
              <w:rPr>
                <w:rFonts w:ascii="宋体" w:hAnsi="宋体" w:cs="宋体"/>
                <w:color w:val="auto"/>
                <w:kern w:val="0"/>
                <w:szCs w:val="21"/>
              </w:rPr>
            </w:pPr>
          </w:p>
        </w:tc>
        <w:tc>
          <w:tcPr>
            <w:tcW w:w="879" w:type="pct"/>
            <w:vAlign w:val="center"/>
          </w:tcPr>
          <w:p w14:paraId="0486A674">
            <w:pPr>
              <w:widowControl/>
              <w:jc w:val="center"/>
              <w:rPr>
                <w:rFonts w:ascii="宋体" w:hAnsi="宋体" w:cs="宋体"/>
                <w:color w:val="auto"/>
                <w:kern w:val="0"/>
                <w:szCs w:val="21"/>
              </w:rPr>
            </w:pPr>
            <w:r>
              <w:rPr>
                <w:rFonts w:hint="eastAsia" w:ascii="宋体" w:hAnsi="宋体" w:cs="宋体"/>
                <w:color w:val="auto"/>
                <w:kern w:val="0"/>
                <w:szCs w:val="21"/>
              </w:rPr>
              <w:t>★A0201060104针式打印机</w:t>
            </w:r>
          </w:p>
        </w:tc>
        <w:tc>
          <w:tcPr>
            <w:tcW w:w="2462" w:type="pct"/>
            <w:vAlign w:val="center"/>
          </w:tcPr>
          <w:p w14:paraId="44921416">
            <w:pPr>
              <w:widowControl/>
              <w:jc w:val="left"/>
              <w:rPr>
                <w:rFonts w:ascii="宋体" w:hAnsi="宋体" w:cs="宋体"/>
                <w:color w:val="auto"/>
                <w:kern w:val="0"/>
                <w:szCs w:val="21"/>
              </w:rPr>
            </w:pPr>
            <w:r>
              <w:rPr>
                <w:rFonts w:hint="eastAsia" w:ascii="宋体" w:hAnsi="宋体" w:cs="宋体"/>
                <w:color w:val="auto"/>
                <w:kern w:val="0"/>
                <w:szCs w:val="21"/>
              </w:rPr>
              <w:t>《复印机、打印机和传真机能效限定值及能效等级》（GB21521）</w:t>
            </w:r>
          </w:p>
        </w:tc>
      </w:tr>
      <w:tr w14:paraId="5764A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358" w:type="pct"/>
            <w:vMerge w:val="continue"/>
            <w:vAlign w:val="center"/>
          </w:tcPr>
          <w:p w14:paraId="41D4B402">
            <w:pPr>
              <w:widowControl/>
              <w:jc w:val="left"/>
              <w:rPr>
                <w:rFonts w:ascii="宋体" w:hAnsi="宋体" w:cs="宋体"/>
                <w:color w:val="auto"/>
                <w:kern w:val="0"/>
                <w:szCs w:val="21"/>
              </w:rPr>
            </w:pPr>
          </w:p>
        </w:tc>
        <w:tc>
          <w:tcPr>
            <w:tcW w:w="586" w:type="pct"/>
            <w:vMerge w:val="continue"/>
            <w:vAlign w:val="center"/>
          </w:tcPr>
          <w:p w14:paraId="2BDBC78E">
            <w:pPr>
              <w:widowControl/>
              <w:jc w:val="left"/>
              <w:rPr>
                <w:rFonts w:ascii="宋体" w:hAnsi="宋体" w:cs="宋体"/>
                <w:color w:val="auto"/>
                <w:kern w:val="0"/>
                <w:szCs w:val="21"/>
              </w:rPr>
            </w:pPr>
          </w:p>
        </w:tc>
        <w:tc>
          <w:tcPr>
            <w:tcW w:w="716" w:type="pct"/>
            <w:vAlign w:val="center"/>
          </w:tcPr>
          <w:p w14:paraId="5A1EC9E1">
            <w:pPr>
              <w:widowControl/>
              <w:jc w:val="center"/>
              <w:rPr>
                <w:rFonts w:ascii="宋体" w:hAnsi="宋体" w:cs="宋体"/>
                <w:color w:val="auto"/>
                <w:kern w:val="0"/>
                <w:szCs w:val="21"/>
              </w:rPr>
            </w:pPr>
            <w:r>
              <w:rPr>
                <w:rFonts w:hint="eastAsia" w:ascii="宋体" w:hAnsi="宋体" w:cs="宋体"/>
                <w:color w:val="auto"/>
                <w:kern w:val="0"/>
                <w:szCs w:val="21"/>
              </w:rPr>
              <w:t>A02010604显示设备</w:t>
            </w:r>
          </w:p>
        </w:tc>
        <w:tc>
          <w:tcPr>
            <w:tcW w:w="879" w:type="pct"/>
            <w:vAlign w:val="center"/>
          </w:tcPr>
          <w:p w14:paraId="169E28B3">
            <w:pPr>
              <w:widowControl/>
              <w:jc w:val="center"/>
              <w:rPr>
                <w:rFonts w:ascii="宋体" w:hAnsi="宋体" w:cs="宋体"/>
                <w:color w:val="auto"/>
                <w:kern w:val="0"/>
                <w:szCs w:val="21"/>
              </w:rPr>
            </w:pPr>
            <w:r>
              <w:rPr>
                <w:rFonts w:hint="eastAsia" w:ascii="宋体" w:hAnsi="宋体" w:cs="宋体"/>
                <w:color w:val="auto"/>
                <w:kern w:val="0"/>
                <w:szCs w:val="21"/>
              </w:rPr>
              <w:t>★A0201060401液晶显示器</w:t>
            </w:r>
          </w:p>
        </w:tc>
        <w:tc>
          <w:tcPr>
            <w:tcW w:w="2462" w:type="pct"/>
            <w:vAlign w:val="center"/>
          </w:tcPr>
          <w:p w14:paraId="01F5FF0C">
            <w:pPr>
              <w:widowControl/>
              <w:jc w:val="left"/>
              <w:rPr>
                <w:rFonts w:ascii="宋体" w:hAnsi="宋体" w:cs="宋体"/>
                <w:color w:val="auto"/>
                <w:kern w:val="0"/>
                <w:szCs w:val="21"/>
              </w:rPr>
            </w:pPr>
            <w:r>
              <w:rPr>
                <w:rFonts w:hint="eastAsia" w:ascii="宋体" w:hAnsi="宋体" w:cs="宋体"/>
                <w:color w:val="auto"/>
                <w:kern w:val="0"/>
                <w:szCs w:val="21"/>
              </w:rPr>
              <w:t>《计算机显示器能效限定值及能效等级》（GB21520）</w:t>
            </w:r>
          </w:p>
        </w:tc>
      </w:tr>
      <w:tr w14:paraId="0EC6E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358" w:type="pct"/>
            <w:vMerge w:val="continue"/>
            <w:vAlign w:val="center"/>
          </w:tcPr>
          <w:p w14:paraId="6291C791">
            <w:pPr>
              <w:widowControl/>
              <w:jc w:val="left"/>
              <w:rPr>
                <w:rFonts w:ascii="宋体" w:hAnsi="宋体" w:cs="宋体"/>
                <w:color w:val="auto"/>
                <w:kern w:val="0"/>
                <w:szCs w:val="21"/>
              </w:rPr>
            </w:pPr>
          </w:p>
        </w:tc>
        <w:tc>
          <w:tcPr>
            <w:tcW w:w="586" w:type="pct"/>
            <w:vMerge w:val="continue"/>
            <w:vAlign w:val="center"/>
          </w:tcPr>
          <w:p w14:paraId="00E08F22">
            <w:pPr>
              <w:widowControl/>
              <w:jc w:val="left"/>
              <w:rPr>
                <w:rFonts w:ascii="宋体" w:hAnsi="宋体" w:cs="宋体"/>
                <w:color w:val="auto"/>
                <w:kern w:val="0"/>
                <w:szCs w:val="21"/>
              </w:rPr>
            </w:pPr>
          </w:p>
        </w:tc>
        <w:tc>
          <w:tcPr>
            <w:tcW w:w="716" w:type="pct"/>
            <w:vAlign w:val="center"/>
          </w:tcPr>
          <w:p w14:paraId="24A8E7ED">
            <w:pPr>
              <w:widowControl/>
              <w:jc w:val="center"/>
              <w:rPr>
                <w:rFonts w:ascii="宋体" w:hAnsi="宋体" w:cs="宋体"/>
                <w:color w:val="auto"/>
                <w:kern w:val="0"/>
                <w:szCs w:val="21"/>
              </w:rPr>
            </w:pPr>
            <w:r>
              <w:rPr>
                <w:rFonts w:hint="eastAsia" w:ascii="宋体" w:hAnsi="宋体" w:cs="宋体"/>
                <w:color w:val="auto"/>
                <w:kern w:val="0"/>
                <w:szCs w:val="21"/>
              </w:rPr>
              <w:t>A02010609图形图像输入设备</w:t>
            </w:r>
          </w:p>
        </w:tc>
        <w:tc>
          <w:tcPr>
            <w:tcW w:w="879" w:type="pct"/>
            <w:vAlign w:val="center"/>
          </w:tcPr>
          <w:p w14:paraId="4E0A9A5C">
            <w:pPr>
              <w:widowControl/>
              <w:jc w:val="center"/>
              <w:rPr>
                <w:rFonts w:ascii="宋体" w:hAnsi="宋体" w:cs="宋体"/>
                <w:color w:val="auto"/>
                <w:kern w:val="0"/>
                <w:szCs w:val="21"/>
              </w:rPr>
            </w:pPr>
            <w:r>
              <w:rPr>
                <w:rFonts w:hint="eastAsia" w:ascii="宋体" w:hAnsi="宋体" w:cs="宋体"/>
                <w:color w:val="auto"/>
                <w:kern w:val="0"/>
                <w:szCs w:val="21"/>
              </w:rPr>
              <w:t>A0201060901扫描仪</w:t>
            </w:r>
          </w:p>
        </w:tc>
        <w:tc>
          <w:tcPr>
            <w:tcW w:w="2462" w:type="pct"/>
            <w:vAlign w:val="center"/>
          </w:tcPr>
          <w:p w14:paraId="17E5E2F3">
            <w:pPr>
              <w:widowControl/>
              <w:jc w:val="left"/>
              <w:rPr>
                <w:rFonts w:ascii="宋体" w:hAnsi="宋体" w:cs="宋体"/>
                <w:color w:val="auto"/>
                <w:kern w:val="0"/>
                <w:szCs w:val="21"/>
              </w:rPr>
            </w:pPr>
            <w:r>
              <w:rPr>
                <w:rFonts w:hint="eastAsia" w:ascii="宋体" w:hAnsi="宋体" w:cs="宋体"/>
                <w:color w:val="auto"/>
                <w:kern w:val="0"/>
                <w:szCs w:val="21"/>
              </w:rPr>
              <w:t>参照《复印机、打印机和传真机能效限定值及能效等级》（GB21521中打印速度为15页/分的针式打印机相关要求中打印速度为15页/分的针式打印机相关要求</w:t>
            </w:r>
          </w:p>
        </w:tc>
      </w:tr>
      <w:tr w14:paraId="2BA30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358" w:type="pct"/>
            <w:vAlign w:val="center"/>
          </w:tcPr>
          <w:p w14:paraId="33EC31DC">
            <w:pPr>
              <w:widowControl/>
              <w:jc w:val="center"/>
              <w:rPr>
                <w:rFonts w:ascii="宋体" w:hAnsi="宋体" w:cs="宋体"/>
                <w:color w:val="auto"/>
                <w:kern w:val="0"/>
                <w:szCs w:val="21"/>
              </w:rPr>
            </w:pPr>
            <w:r>
              <w:rPr>
                <w:rFonts w:hint="eastAsia" w:ascii="宋体" w:hAnsi="宋体" w:cs="宋体"/>
                <w:color w:val="auto"/>
                <w:kern w:val="0"/>
                <w:szCs w:val="21"/>
              </w:rPr>
              <w:t>3</w:t>
            </w:r>
          </w:p>
        </w:tc>
        <w:tc>
          <w:tcPr>
            <w:tcW w:w="586" w:type="pct"/>
            <w:vAlign w:val="center"/>
          </w:tcPr>
          <w:p w14:paraId="507750A7">
            <w:pPr>
              <w:widowControl/>
              <w:jc w:val="center"/>
              <w:rPr>
                <w:rFonts w:ascii="宋体" w:hAnsi="宋体" w:cs="宋体"/>
                <w:color w:val="auto"/>
                <w:kern w:val="0"/>
                <w:szCs w:val="21"/>
              </w:rPr>
            </w:pPr>
            <w:r>
              <w:rPr>
                <w:rFonts w:hint="eastAsia" w:ascii="宋体" w:hAnsi="宋体" w:cs="宋体"/>
                <w:color w:val="auto"/>
                <w:kern w:val="0"/>
                <w:szCs w:val="21"/>
              </w:rPr>
              <w:t>A020202投影仪</w:t>
            </w:r>
          </w:p>
        </w:tc>
        <w:tc>
          <w:tcPr>
            <w:tcW w:w="716" w:type="pct"/>
            <w:vAlign w:val="center"/>
          </w:tcPr>
          <w:p w14:paraId="6B9EACB5">
            <w:pPr>
              <w:widowControl/>
              <w:jc w:val="center"/>
              <w:rPr>
                <w:rFonts w:ascii="宋体" w:hAnsi="宋体" w:cs="宋体"/>
                <w:color w:val="auto"/>
                <w:kern w:val="0"/>
                <w:szCs w:val="21"/>
              </w:rPr>
            </w:pPr>
            <w:r>
              <w:rPr>
                <w:rFonts w:hint="eastAsia" w:ascii="宋体" w:hAnsi="宋体" w:cs="宋体"/>
                <w:color w:val="auto"/>
                <w:kern w:val="0"/>
                <w:szCs w:val="21"/>
              </w:rPr>
              <w:t>　</w:t>
            </w:r>
          </w:p>
        </w:tc>
        <w:tc>
          <w:tcPr>
            <w:tcW w:w="879" w:type="pct"/>
            <w:vAlign w:val="center"/>
          </w:tcPr>
          <w:p w14:paraId="0B83B405">
            <w:pPr>
              <w:widowControl/>
              <w:jc w:val="center"/>
              <w:rPr>
                <w:rFonts w:ascii="宋体" w:hAnsi="宋体" w:cs="宋体"/>
                <w:color w:val="auto"/>
                <w:kern w:val="0"/>
                <w:szCs w:val="21"/>
              </w:rPr>
            </w:pPr>
            <w:r>
              <w:rPr>
                <w:rFonts w:hint="eastAsia" w:ascii="宋体" w:hAnsi="宋体" w:cs="宋体"/>
                <w:color w:val="auto"/>
                <w:kern w:val="0"/>
                <w:szCs w:val="21"/>
              </w:rPr>
              <w:t>　</w:t>
            </w:r>
          </w:p>
        </w:tc>
        <w:tc>
          <w:tcPr>
            <w:tcW w:w="2462" w:type="pct"/>
            <w:vAlign w:val="center"/>
          </w:tcPr>
          <w:p w14:paraId="2D03C6BA">
            <w:pPr>
              <w:widowControl/>
              <w:jc w:val="left"/>
              <w:rPr>
                <w:rFonts w:ascii="宋体" w:hAnsi="宋体" w:cs="宋体"/>
                <w:color w:val="auto"/>
                <w:kern w:val="0"/>
                <w:szCs w:val="21"/>
              </w:rPr>
            </w:pPr>
            <w:r>
              <w:rPr>
                <w:rFonts w:hint="eastAsia" w:ascii="宋体" w:hAnsi="宋体" w:cs="宋体"/>
                <w:color w:val="auto"/>
                <w:kern w:val="0"/>
                <w:szCs w:val="21"/>
              </w:rPr>
              <w:t>《投影机能效限定值及能效等级》（GB32028）</w:t>
            </w:r>
          </w:p>
        </w:tc>
      </w:tr>
      <w:tr w14:paraId="718C2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358" w:type="pct"/>
            <w:vAlign w:val="center"/>
          </w:tcPr>
          <w:p w14:paraId="54C4C55F">
            <w:pPr>
              <w:widowControl/>
              <w:jc w:val="center"/>
              <w:rPr>
                <w:rFonts w:ascii="宋体" w:hAnsi="宋体" w:cs="宋体"/>
                <w:color w:val="auto"/>
                <w:kern w:val="0"/>
                <w:szCs w:val="21"/>
              </w:rPr>
            </w:pPr>
            <w:r>
              <w:rPr>
                <w:rFonts w:hint="eastAsia" w:ascii="宋体" w:hAnsi="宋体" w:cs="宋体"/>
                <w:color w:val="auto"/>
                <w:kern w:val="0"/>
                <w:szCs w:val="21"/>
              </w:rPr>
              <w:t>4</w:t>
            </w:r>
          </w:p>
        </w:tc>
        <w:tc>
          <w:tcPr>
            <w:tcW w:w="586" w:type="pct"/>
            <w:vAlign w:val="center"/>
          </w:tcPr>
          <w:p w14:paraId="4B745CBB">
            <w:pPr>
              <w:widowControl/>
              <w:jc w:val="center"/>
              <w:rPr>
                <w:rFonts w:ascii="宋体" w:hAnsi="宋体" w:cs="宋体"/>
                <w:color w:val="auto"/>
                <w:kern w:val="0"/>
                <w:szCs w:val="21"/>
              </w:rPr>
            </w:pPr>
            <w:r>
              <w:rPr>
                <w:rFonts w:hint="eastAsia" w:ascii="宋体" w:hAnsi="宋体" w:cs="宋体"/>
                <w:color w:val="auto"/>
                <w:kern w:val="0"/>
                <w:szCs w:val="21"/>
              </w:rPr>
              <w:t>A020204多功能一体机</w:t>
            </w:r>
          </w:p>
        </w:tc>
        <w:tc>
          <w:tcPr>
            <w:tcW w:w="716" w:type="pct"/>
            <w:vAlign w:val="center"/>
          </w:tcPr>
          <w:p w14:paraId="291E3F2F">
            <w:pPr>
              <w:widowControl/>
              <w:jc w:val="center"/>
              <w:rPr>
                <w:rFonts w:ascii="宋体" w:hAnsi="宋体" w:cs="宋体"/>
                <w:color w:val="auto"/>
                <w:kern w:val="0"/>
                <w:szCs w:val="21"/>
              </w:rPr>
            </w:pPr>
            <w:r>
              <w:rPr>
                <w:rFonts w:hint="eastAsia" w:ascii="宋体" w:hAnsi="宋体" w:cs="宋体"/>
                <w:color w:val="auto"/>
                <w:kern w:val="0"/>
                <w:szCs w:val="21"/>
              </w:rPr>
              <w:t>　</w:t>
            </w:r>
          </w:p>
        </w:tc>
        <w:tc>
          <w:tcPr>
            <w:tcW w:w="879" w:type="pct"/>
            <w:vAlign w:val="center"/>
          </w:tcPr>
          <w:p w14:paraId="6C2BB978">
            <w:pPr>
              <w:widowControl/>
              <w:jc w:val="center"/>
              <w:rPr>
                <w:rFonts w:ascii="宋体" w:hAnsi="宋体" w:cs="宋体"/>
                <w:color w:val="auto"/>
                <w:kern w:val="0"/>
                <w:szCs w:val="21"/>
              </w:rPr>
            </w:pPr>
            <w:r>
              <w:rPr>
                <w:rFonts w:hint="eastAsia" w:ascii="宋体" w:hAnsi="宋体" w:cs="宋体"/>
                <w:color w:val="auto"/>
                <w:kern w:val="0"/>
                <w:szCs w:val="21"/>
              </w:rPr>
              <w:t>　</w:t>
            </w:r>
          </w:p>
        </w:tc>
        <w:tc>
          <w:tcPr>
            <w:tcW w:w="2462" w:type="pct"/>
            <w:vAlign w:val="center"/>
          </w:tcPr>
          <w:p w14:paraId="0CCFE540">
            <w:pPr>
              <w:widowControl/>
              <w:jc w:val="left"/>
              <w:rPr>
                <w:rFonts w:ascii="宋体" w:hAnsi="宋体" w:cs="宋体"/>
                <w:color w:val="auto"/>
                <w:kern w:val="0"/>
                <w:szCs w:val="21"/>
              </w:rPr>
            </w:pPr>
            <w:r>
              <w:rPr>
                <w:rFonts w:hint="eastAsia" w:ascii="宋体" w:hAnsi="宋体" w:cs="宋体"/>
                <w:color w:val="auto"/>
                <w:kern w:val="0"/>
                <w:szCs w:val="21"/>
              </w:rPr>
              <w:t>《复印机、打印机和传真机能效限定值及能效等级》（GB21521）</w:t>
            </w:r>
          </w:p>
        </w:tc>
      </w:tr>
      <w:tr w14:paraId="72B5C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358" w:type="pct"/>
            <w:vAlign w:val="center"/>
          </w:tcPr>
          <w:p w14:paraId="3EF02BFA">
            <w:pPr>
              <w:widowControl/>
              <w:jc w:val="center"/>
              <w:rPr>
                <w:rFonts w:ascii="宋体" w:hAnsi="宋体" w:cs="宋体"/>
                <w:color w:val="auto"/>
                <w:kern w:val="0"/>
                <w:szCs w:val="21"/>
              </w:rPr>
            </w:pPr>
            <w:r>
              <w:rPr>
                <w:rFonts w:hint="eastAsia" w:ascii="宋体" w:hAnsi="宋体" w:cs="宋体"/>
                <w:color w:val="auto"/>
                <w:kern w:val="0"/>
                <w:szCs w:val="21"/>
              </w:rPr>
              <w:t>5</w:t>
            </w:r>
          </w:p>
        </w:tc>
        <w:tc>
          <w:tcPr>
            <w:tcW w:w="586" w:type="pct"/>
            <w:vAlign w:val="center"/>
          </w:tcPr>
          <w:p w14:paraId="2B2E811F">
            <w:pPr>
              <w:widowControl/>
              <w:jc w:val="center"/>
              <w:rPr>
                <w:rFonts w:ascii="宋体" w:hAnsi="宋体" w:cs="宋体"/>
                <w:color w:val="auto"/>
                <w:kern w:val="0"/>
                <w:szCs w:val="21"/>
              </w:rPr>
            </w:pPr>
            <w:r>
              <w:rPr>
                <w:rFonts w:hint="eastAsia" w:ascii="宋体" w:hAnsi="宋体" w:cs="宋体"/>
                <w:color w:val="auto"/>
                <w:kern w:val="0"/>
                <w:szCs w:val="21"/>
              </w:rPr>
              <w:t>A020519泵</w:t>
            </w:r>
          </w:p>
        </w:tc>
        <w:tc>
          <w:tcPr>
            <w:tcW w:w="716" w:type="pct"/>
            <w:vAlign w:val="center"/>
          </w:tcPr>
          <w:p w14:paraId="3DFE0273">
            <w:pPr>
              <w:widowControl/>
              <w:jc w:val="center"/>
              <w:rPr>
                <w:rFonts w:ascii="宋体" w:hAnsi="宋体" w:cs="宋体"/>
                <w:color w:val="auto"/>
                <w:kern w:val="0"/>
                <w:szCs w:val="21"/>
              </w:rPr>
            </w:pPr>
            <w:r>
              <w:rPr>
                <w:rFonts w:hint="eastAsia" w:ascii="宋体" w:hAnsi="宋体" w:cs="宋体"/>
                <w:color w:val="auto"/>
                <w:kern w:val="0"/>
                <w:szCs w:val="21"/>
              </w:rPr>
              <w:t>A02051901离心泵</w:t>
            </w:r>
          </w:p>
        </w:tc>
        <w:tc>
          <w:tcPr>
            <w:tcW w:w="879" w:type="pct"/>
            <w:vAlign w:val="center"/>
          </w:tcPr>
          <w:p w14:paraId="607A34AD">
            <w:pPr>
              <w:widowControl/>
              <w:jc w:val="center"/>
              <w:rPr>
                <w:rFonts w:ascii="宋体" w:hAnsi="宋体" w:cs="宋体"/>
                <w:color w:val="auto"/>
                <w:kern w:val="0"/>
                <w:szCs w:val="21"/>
              </w:rPr>
            </w:pPr>
            <w:r>
              <w:rPr>
                <w:rFonts w:hint="eastAsia" w:ascii="宋体" w:hAnsi="宋体" w:cs="宋体"/>
                <w:color w:val="auto"/>
                <w:kern w:val="0"/>
                <w:szCs w:val="21"/>
              </w:rPr>
              <w:t>　</w:t>
            </w:r>
          </w:p>
        </w:tc>
        <w:tc>
          <w:tcPr>
            <w:tcW w:w="2462" w:type="pct"/>
            <w:vAlign w:val="center"/>
          </w:tcPr>
          <w:p w14:paraId="7FAE763D">
            <w:pPr>
              <w:widowControl/>
              <w:jc w:val="left"/>
              <w:rPr>
                <w:rFonts w:ascii="宋体" w:hAnsi="宋体" w:cs="宋体"/>
                <w:color w:val="auto"/>
                <w:kern w:val="0"/>
                <w:szCs w:val="21"/>
              </w:rPr>
            </w:pPr>
            <w:r>
              <w:rPr>
                <w:rFonts w:hint="eastAsia" w:ascii="宋体" w:hAnsi="宋体" w:cs="宋体"/>
                <w:color w:val="auto"/>
                <w:kern w:val="0"/>
                <w:szCs w:val="21"/>
              </w:rPr>
              <w:t>《清水离心泵能效限定值及节能评价值》（GB19762）</w:t>
            </w:r>
          </w:p>
        </w:tc>
      </w:tr>
      <w:tr w14:paraId="24F94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358" w:type="pct"/>
            <w:vMerge w:val="restart"/>
            <w:vAlign w:val="center"/>
          </w:tcPr>
          <w:p w14:paraId="2522C116">
            <w:pPr>
              <w:widowControl/>
              <w:jc w:val="center"/>
              <w:rPr>
                <w:rFonts w:ascii="宋体" w:hAnsi="宋体" w:cs="宋体"/>
                <w:color w:val="auto"/>
                <w:kern w:val="0"/>
                <w:szCs w:val="21"/>
              </w:rPr>
            </w:pPr>
            <w:r>
              <w:rPr>
                <w:rFonts w:hint="eastAsia" w:ascii="宋体" w:hAnsi="宋体" w:cs="宋体"/>
                <w:color w:val="auto"/>
                <w:kern w:val="0"/>
                <w:szCs w:val="21"/>
              </w:rPr>
              <w:t>6</w:t>
            </w:r>
          </w:p>
        </w:tc>
        <w:tc>
          <w:tcPr>
            <w:tcW w:w="586" w:type="pct"/>
            <w:vMerge w:val="restart"/>
            <w:vAlign w:val="center"/>
          </w:tcPr>
          <w:p w14:paraId="5E97853D">
            <w:pPr>
              <w:widowControl/>
              <w:jc w:val="center"/>
              <w:rPr>
                <w:rFonts w:ascii="宋体" w:hAnsi="宋体" w:cs="宋体"/>
                <w:color w:val="auto"/>
                <w:kern w:val="0"/>
                <w:szCs w:val="21"/>
              </w:rPr>
            </w:pPr>
            <w:r>
              <w:rPr>
                <w:rFonts w:hint="eastAsia" w:ascii="宋体" w:hAnsi="宋体" w:cs="宋体"/>
                <w:color w:val="auto"/>
                <w:kern w:val="0"/>
                <w:szCs w:val="21"/>
              </w:rPr>
              <w:t>A020523制冷空调设备</w:t>
            </w:r>
          </w:p>
        </w:tc>
        <w:tc>
          <w:tcPr>
            <w:tcW w:w="716" w:type="pct"/>
            <w:vMerge w:val="restart"/>
            <w:vAlign w:val="center"/>
          </w:tcPr>
          <w:p w14:paraId="1B42857E">
            <w:pPr>
              <w:widowControl/>
              <w:jc w:val="center"/>
              <w:rPr>
                <w:rFonts w:ascii="宋体" w:hAnsi="宋体" w:cs="宋体"/>
                <w:color w:val="auto"/>
                <w:kern w:val="0"/>
                <w:szCs w:val="21"/>
              </w:rPr>
            </w:pPr>
            <w:r>
              <w:rPr>
                <w:rFonts w:hint="eastAsia" w:ascii="宋体" w:hAnsi="宋体" w:cs="宋体"/>
                <w:color w:val="auto"/>
                <w:kern w:val="0"/>
                <w:szCs w:val="21"/>
              </w:rPr>
              <w:t>★A02052301制冷压缩机</w:t>
            </w:r>
          </w:p>
        </w:tc>
        <w:tc>
          <w:tcPr>
            <w:tcW w:w="879" w:type="pct"/>
            <w:vAlign w:val="center"/>
          </w:tcPr>
          <w:p w14:paraId="63923E26">
            <w:pPr>
              <w:widowControl/>
              <w:jc w:val="center"/>
              <w:rPr>
                <w:rFonts w:ascii="宋体" w:hAnsi="宋体" w:cs="宋体"/>
                <w:color w:val="auto"/>
                <w:kern w:val="0"/>
                <w:szCs w:val="21"/>
              </w:rPr>
            </w:pPr>
            <w:r>
              <w:rPr>
                <w:rFonts w:hint="eastAsia" w:ascii="宋体" w:hAnsi="宋体" w:cs="宋体"/>
                <w:color w:val="auto"/>
                <w:kern w:val="0"/>
                <w:szCs w:val="21"/>
              </w:rPr>
              <w:t>冷水机组</w:t>
            </w:r>
          </w:p>
        </w:tc>
        <w:tc>
          <w:tcPr>
            <w:tcW w:w="2462" w:type="pct"/>
            <w:vAlign w:val="center"/>
          </w:tcPr>
          <w:p w14:paraId="64635ECA">
            <w:pPr>
              <w:widowControl/>
              <w:jc w:val="left"/>
              <w:rPr>
                <w:rFonts w:ascii="宋体" w:hAnsi="宋体" w:cs="宋体"/>
                <w:color w:val="auto"/>
                <w:kern w:val="0"/>
                <w:szCs w:val="21"/>
              </w:rPr>
            </w:pPr>
            <w:r>
              <w:rPr>
                <w:rFonts w:hint="eastAsia" w:ascii="宋体" w:hAnsi="宋体" w:cs="宋体"/>
                <w:color w:val="auto"/>
                <w:kern w:val="0"/>
                <w:szCs w:val="21"/>
              </w:rPr>
              <w:t>《冷水机组能效限定值及能效等级》（GB19577），《低环境温度空气源热泵（冷水）机组能效限定值及能效等级》（GB37480）</w:t>
            </w:r>
          </w:p>
        </w:tc>
      </w:tr>
      <w:tr w14:paraId="1BEE8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358" w:type="pct"/>
            <w:vMerge w:val="continue"/>
            <w:vAlign w:val="center"/>
          </w:tcPr>
          <w:p w14:paraId="7F76E34D">
            <w:pPr>
              <w:widowControl/>
              <w:jc w:val="left"/>
              <w:rPr>
                <w:rFonts w:ascii="宋体" w:hAnsi="宋体" w:cs="宋体"/>
                <w:color w:val="auto"/>
                <w:kern w:val="0"/>
                <w:szCs w:val="21"/>
              </w:rPr>
            </w:pPr>
          </w:p>
        </w:tc>
        <w:tc>
          <w:tcPr>
            <w:tcW w:w="586" w:type="pct"/>
            <w:vMerge w:val="continue"/>
            <w:vAlign w:val="center"/>
          </w:tcPr>
          <w:p w14:paraId="44BB3DB8">
            <w:pPr>
              <w:widowControl/>
              <w:jc w:val="left"/>
              <w:rPr>
                <w:rFonts w:ascii="宋体" w:hAnsi="宋体" w:cs="宋体"/>
                <w:color w:val="auto"/>
                <w:kern w:val="0"/>
                <w:szCs w:val="21"/>
              </w:rPr>
            </w:pPr>
          </w:p>
        </w:tc>
        <w:tc>
          <w:tcPr>
            <w:tcW w:w="716" w:type="pct"/>
            <w:vMerge w:val="continue"/>
            <w:vAlign w:val="center"/>
          </w:tcPr>
          <w:p w14:paraId="2AB2F66E">
            <w:pPr>
              <w:widowControl/>
              <w:jc w:val="left"/>
              <w:rPr>
                <w:rFonts w:ascii="宋体" w:hAnsi="宋体" w:cs="宋体"/>
                <w:color w:val="auto"/>
                <w:kern w:val="0"/>
                <w:szCs w:val="21"/>
              </w:rPr>
            </w:pPr>
          </w:p>
        </w:tc>
        <w:tc>
          <w:tcPr>
            <w:tcW w:w="879" w:type="pct"/>
            <w:vAlign w:val="center"/>
          </w:tcPr>
          <w:p w14:paraId="7FDFB09E">
            <w:pPr>
              <w:widowControl/>
              <w:jc w:val="center"/>
              <w:rPr>
                <w:rFonts w:ascii="宋体" w:hAnsi="宋体" w:cs="宋体"/>
                <w:color w:val="auto"/>
                <w:kern w:val="0"/>
                <w:szCs w:val="21"/>
              </w:rPr>
            </w:pPr>
            <w:r>
              <w:rPr>
                <w:rFonts w:hint="eastAsia" w:ascii="宋体" w:hAnsi="宋体" w:cs="宋体"/>
                <w:color w:val="auto"/>
                <w:kern w:val="0"/>
                <w:szCs w:val="21"/>
              </w:rPr>
              <w:t>水源热泵机组</w:t>
            </w:r>
          </w:p>
        </w:tc>
        <w:tc>
          <w:tcPr>
            <w:tcW w:w="2462" w:type="pct"/>
            <w:vAlign w:val="center"/>
          </w:tcPr>
          <w:p w14:paraId="297FAD45">
            <w:pPr>
              <w:widowControl/>
              <w:jc w:val="left"/>
              <w:rPr>
                <w:rFonts w:ascii="宋体" w:hAnsi="宋体" w:cs="宋体"/>
                <w:color w:val="auto"/>
                <w:kern w:val="0"/>
                <w:szCs w:val="21"/>
              </w:rPr>
            </w:pPr>
            <w:r>
              <w:rPr>
                <w:rFonts w:hint="eastAsia" w:ascii="宋体" w:hAnsi="宋体" w:cs="宋体"/>
                <w:color w:val="auto"/>
                <w:kern w:val="0"/>
                <w:szCs w:val="21"/>
              </w:rPr>
              <w:t>《水（地）源热泵机组能效限定值及能效等级》（GB30721）</w:t>
            </w:r>
          </w:p>
        </w:tc>
      </w:tr>
      <w:tr w14:paraId="0D14F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358" w:type="pct"/>
            <w:vMerge w:val="continue"/>
            <w:vAlign w:val="center"/>
          </w:tcPr>
          <w:p w14:paraId="60E14A15">
            <w:pPr>
              <w:widowControl/>
              <w:jc w:val="left"/>
              <w:rPr>
                <w:rFonts w:ascii="宋体" w:hAnsi="宋体" w:cs="宋体"/>
                <w:color w:val="auto"/>
                <w:kern w:val="0"/>
                <w:szCs w:val="21"/>
              </w:rPr>
            </w:pPr>
          </w:p>
        </w:tc>
        <w:tc>
          <w:tcPr>
            <w:tcW w:w="586" w:type="pct"/>
            <w:vMerge w:val="continue"/>
            <w:vAlign w:val="center"/>
          </w:tcPr>
          <w:p w14:paraId="3D234716">
            <w:pPr>
              <w:widowControl/>
              <w:jc w:val="left"/>
              <w:rPr>
                <w:rFonts w:ascii="宋体" w:hAnsi="宋体" w:cs="宋体"/>
                <w:color w:val="auto"/>
                <w:kern w:val="0"/>
                <w:szCs w:val="21"/>
              </w:rPr>
            </w:pPr>
          </w:p>
        </w:tc>
        <w:tc>
          <w:tcPr>
            <w:tcW w:w="716" w:type="pct"/>
            <w:vMerge w:val="continue"/>
            <w:vAlign w:val="center"/>
          </w:tcPr>
          <w:p w14:paraId="6967818B">
            <w:pPr>
              <w:widowControl/>
              <w:jc w:val="left"/>
              <w:rPr>
                <w:rFonts w:ascii="宋体" w:hAnsi="宋体" w:cs="宋体"/>
                <w:color w:val="auto"/>
                <w:kern w:val="0"/>
                <w:szCs w:val="21"/>
              </w:rPr>
            </w:pPr>
          </w:p>
        </w:tc>
        <w:tc>
          <w:tcPr>
            <w:tcW w:w="879" w:type="pct"/>
            <w:vAlign w:val="center"/>
          </w:tcPr>
          <w:p w14:paraId="73D1DF7C">
            <w:pPr>
              <w:widowControl/>
              <w:jc w:val="center"/>
              <w:rPr>
                <w:rFonts w:ascii="宋体" w:hAnsi="宋体" w:cs="宋体"/>
                <w:color w:val="auto"/>
                <w:kern w:val="0"/>
                <w:szCs w:val="21"/>
              </w:rPr>
            </w:pPr>
            <w:r>
              <w:rPr>
                <w:rFonts w:hint="eastAsia" w:ascii="宋体" w:hAnsi="宋体" w:cs="宋体"/>
                <w:color w:val="auto"/>
                <w:kern w:val="0"/>
                <w:szCs w:val="21"/>
              </w:rPr>
              <w:t>溴化锂吸收式冷水机组</w:t>
            </w:r>
          </w:p>
        </w:tc>
        <w:tc>
          <w:tcPr>
            <w:tcW w:w="2462" w:type="pct"/>
            <w:vAlign w:val="center"/>
          </w:tcPr>
          <w:p w14:paraId="18C40A8E">
            <w:pPr>
              <w:widowControl/>
              <w:jc w:val="left"/>
              <w:rPr>
                <w:rFonts w:ascii="宋体" w:hAnsi="宋体" w:cs="宋体"/>
                <w:color w:val="auto"/>
                <w:kern w:val="0"/>
                <w:szCs w:val="21"/>
              </w:rPr>
            </w:pPr>
            <w:r>
              <w:rPr>
                <w:rFonts w:hint="eastAsia" w:ascii="宋体" w:hAnsi="宋体" w:cs="宋体"/>
                <w:color w:val="auto"/>
                <w:kern w:val="0"/>
                <w:szCs w:val="21"/>
              </w:rPr>
              <w:t>《溴化锂吸收式冷水机组能效限定值及能效等级》（GB29540）</w:t>
            </w:r>
          </w:p>
        </w:tc>
      </w:tr>
      <w:tr w14:paraId="7A9CE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358" w:type="pct"/>
            <w:vMerge w:val="continue"/>
            <w:vAlign w:val="center"/>
          </w:tcPr>
          <w:p w14:paraId="0A3221E3">
            <w:pPr>
              <w:widowControl/>
              <w:jc w:val="left"/>
              <w:rPr>
                <w:rFonts w:ascii="宋体" w:hAnsi="宋体" w:cs="宋体"/>
                <w:color w:val="auto"/>
                <w:kern w:val="0"/>
                <w:szCs w:val="21"/>
              </w:rPr>
            </w:pPr>
          </w:p>
        </w:tc>
        <w:tc>
          <w:tcPr>
            <w:tcW w:w="586" w:type="pct"/>
            <w:vMerge w:val="continue"/>
            <w:vAlign w:val="center"/>
          </w:tcPr>
          <w:p w14:paraId="59028258">
            <w:pPr>
              <w:widowControl/>
              <w:jc w:val="left"/>
              <w:rPr>
                <w:rFonts w:ascii="宋体" w:hAnsi="宋体" w:cs="宋体"/>
                <w:color w:val="auto"/>
                <w:kern w:val="0"/>
                <w:szCs w:val="21"/>
              </w:rPr>
            </w:pPr>
          </w:p>
        </w:tc>
        <w:tc>
          <w:tcPr>
            <w:tcW w:w="716" w:type="pct"/>
            <w:vMerge w:val="restart"/>
            <w:vAlign w:val="center"/>
          </w:tcPr>
          <w:p w14:paraId="1505629B">
            <w:pPr>
              <w:widowControl/>
              <w:jc w:val="center"/>
              <w:rPr>
                <w:rFonts w:ascii="宋体" w:hAnsi="宋体" w:cs="宋体"/>
                <w:color w:val="auto"/>
                <w:kern w:val="0"/>
                <w:szCs w:val="21"/>
              </w:rPr>
            </w:pPr>
            <w:r>
              <w:rPr>
                <w:rFonts w:hint="eastAsia" w:ascii="宋体" w:hAnsi="宋体" w:cs="宋体"/>
                <w:color w:val="auto"/>
                <w:kern w:val="0"/>
                <w:szCs w:val="21"/>
              </w:rPr>
              <w:t>★A02052305空调机组</w:t>
            </w:r>
          </w:p>
        </w:tc>
        <w:tc>
          <w:tcPr>
            <w:tcW w:w="879" w:type="pct"/>
            <w:vAlign w:val="center"/>
          </w:tcPr>
          <w:p w14:paraId="73459150">
            <w:pPr>
              <w:widowControl/>
              <w:jc w:val="center"/>
              <w:rPr>
                <w:rFonts w:ascii="宋体" w:hAnsi="宋体" w:cs="宋体"/>
                <w:color w:val="auto"/>
                <w:kern w:val="0"/>
                <w:szCs w:val="21"/>
              </w:rPr>
            </w:pPr>
            <w:r>
              <w:rPr>
                <w:rFonts w:hint="eastAsia" w:ascii="宋体" w:hAnsi="宋体" w:cs="宋体"/>
                <w:color w:val="auto"/>
                <w:kern w:val="0"/>
                <w:szCs w:val="21"/>
              </w:rPr>
              <w:t>多联式空调（热泵）机组(制冷量&gt;14000W)</w:t>
            </w:r>
          </w:p>
        </w:tc>
        <w:tc>
          <w:tcPr>
            <w:tcW w:w="2462" w:type="pct"/>
            <w:vAlign w:val="center"/>
          </w:tcPr>
          <w:p w14:paraId="0F621219">
            <w:pPr>
              <w:widowControl/>
              <w:jc w:val="left"/>
              <w:rPr>
                <w:rFonts w:ascii="宋体" w:hAnsi="宋体" w:cs="宋体"/>
                <w:color w:val="auto"/>
                <w:kern w:val="0"/>
                <w:szCs w:val="21"/>
              </w:rPr>
            </w:pPr>
            <w:r>
              <w:rPr>
                <w:rFonts w:hint="eastAsia" w:ascii="宋体" w:hAnsi="宋体" w:cs="宋体"/>
                <w:color w:val="auto"/>
                <w:kern w:val="0"/>
                <w:szCs w:val="21"/>
              </w:rPr>
              <w:t>《多联式空调（热泵）机组能效限定值及能源效率等级》（GB21454）</w:t>
            </w:r>
          </w:p>
        </w:tc>
      </w:tr>
      <w:tr w14:paraId="2C52A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358" w:type="pct"/>
            <w:vMerge w:val="continue"/>
            <w:vAlign w:val="center"/>
          </w:tcPr>
          <w:p w14:paraId="52F35575">
            <w:pPr>
              <w:widowControl/>
              <w:jc w:val="left"/>
              <w:rPr>
                <w:rFonts w:ascii="宋体" w:hAnsi="宋体" w:cs="宋体"/>
                <w:color w:val="auto"/>
                <w:kern w:val="0"/>
                <w:szCs w:val="21"/>
              </w:rPr>
            </w:pPr>
          </w:p>
        </w:tc>
        <w:tc>
          <w:tcPr>
            <w:tcW w:w="586" w:type="pct"/>
            <w:vMerge w:val="continue"/>
            <w:vAlign w:val="center"/>
          </w:tcPr>
          <w:p w14:paraId="66C95DD8">
            <w:pPr>
              <w:widowControl/>
              <w:jc w:val="left"/>
              <w:rPr>
                <w:rFonts w:ascii="宋体" w:hAnsi="宋体" w:cs="宋体"/>
                <w:color w:val="auto"/>
                <w:kern w:val="0"/>
                <w:szCs w:val="21"/>
              </w:rPr>
            </w:pPr>
          </w:p>
        </w:tc>
        <w:tc>
          <w:tcPr>
            <w:tcW w:w="716" w:type="pct"/>
            <w:vMerge w:val="continue"/>
            <w:vAlign w:val="center"/>
          </w:tcPr>
          <w:p w14:paraId="3D12DB54">
            <w:pPr>
              <w:widowControl/>
              <w:jc w:val="left"/>
              <w:rPr>
                <w:rFonts w:ascii="宋体" w:hAnsi="宋体" w:cs="宋体"/>
                <w:color w:val="auto"/>
                <w:kern w:val="0"/>
                <w:szCs w:val="21"/>
              </w:rPr>
            </w:pPr>
          </w:p>
        </w:tc>
        <w:tc>
          <w:tcPr>
            <w:tcW w:w="879" w:type="pct"/>
            <w:vAlign w:val="center"/>
          </w:tcPr>
          <w:p w14:paraId="280E41AE">
            <w:pPr>
              <w:widowControl/>
              <w:jc w:val="center"/>
              <w:rPr>
                <w:rFonts w:ascii="宋体" w:hAnsi="宋体" w:cs="宋体"/>
                <w:color w:val="auto"/>
                <w:kern w:val="0"/>
                <w:szCs w:val="21"/>
              </w:rPr>
            </w:pPr>
            <w:r>
              <w:rPr>
                <w:rFonts w:hint="eastAsia" w:ascii="宋体" w:hAnsi="宋体" w:cs="宋体"/>
                <w:color w:val="auto"/>
                <w:kern w:val="0"/>
                <w:szCs w:val="21"/>
              </w:rPr>
              <w:t>单元式空气调节机(制冷量&gt;14000W</w:t>
            </w:r>
          </w:p>
        </w:tc>
        <w:tc>
          <w:tcPr>
            <w:tcW w:w="2462" w:type="pct"/>
            <w:vAlign w:val="center"/>
          </w:tcPr>
          <w:p w14:paraId="213CB644">
            <w:pPr>
              <w:widowControl/>
              <w:jc w:val="left"/>
              <w:rPr>
                <w:rFonts w:ascii="宋体" w:hAnsi="宋体" w:cs="宋体"/>
                <w:color w:val="auto"/>
                <w:kern w:val="0"/>
                <w:szCs w:val="21"/>
              </w:rPr>
            </w:pPr>
            <w:r>
              <w:rPr>
                <w:rFonts w:hint="eastAsia" w:ascii="宋体" w:hAnsi="宋体" w:cs="宋体"/>
                <w:color w:val="auto"/>
                <w:kern w:val="0"/>
                <w:szCs w:val="21"/>
              </w:rPr>
              <w:t>《单元式空气调节机能效限定值及能效等级》（GB19576）《风管送风式空调机组能效限定值及能效等级》（GB37479）</w:t>
            </w:r>
          </w:p>
        </w:tc>
      </w:tr>
      <w:tr w14:paraId="59734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358" w:type="pct"/>
            <w:vMerge w:val="continue"/>
            <w:vAlign w:val="center"/>
          </w:tcPr>
          <w:p w14:paraId="338D7E90">
            <w:pPr>
              <w:widowControl/>
              <w:jc w:val="left"/>
              <w:rPr>
                <w:rFonts w:ascii="宋体" w:hAnsi="宋体" w:cs="宋体"/>
                <w:color w:val="auto"/>
                <w:kern w:val="0"/>
                <w:szCs w:val="21"/>
              </w:rPr>
            </w:pPr>
          </w:p>
        </w:tc>
        <w:tc>
          <w:tcPr>
            <w:tcW w:w="586" w:type="pct"/>
            <w:vMerge w:val="continue"/>
            <w:vAlign w:val="center"/>
          </w:tcPr>
          <w:p w14:paraId="75FB553A">
            <w:pPr>
              <w:widowControl/>
              <w:jc w:val="left"/>
              <w:rPr>
                <w:rFonts w:ascii="宋体" w:hAnsi="宋体" w:cs="宋体"/>
                <w:color w:val="auto"/>
                <w:kern w:val="0"/>
                <w:szCs w:val="21"/>
              </w:rPr>
            </w:pPr>
          </w:p>
        </w:tc>
        <w:tc>
          <w:tcPr>
            <w:tcW w:w="716" w:type="pct"/>
            <w:vAlign w:val="center"/>
          </w:tcPr>
          <w:p w14:paraId="5AF11EF0">
            <w:pPr>
              <w:widowControl/>
              <w:jc w:val="center"/>
              <w:rPr>
                <w:rFonts w:ascii="宋体" w:hAnsi="宋体" w:cs="宋体"/>
                <w:color w:val="auto"/>
                <w:kern w:val="0"/>
                <w:szCs w:val="21"/>
              </w:rPr>
            </w:pPr>
            <w:r>
              <w:rPr>
                <w:rFonts w:hint="eastAsia" w:ascii="宋体" w:hAnsi="宋体" w:cs="宋体"/>
                <w:color w:val="auto"/>
                <w:kern w:val="0"/>
                <w:szCs w:val="21"/>
              </w:rPr>
              <w:t>★A02052309专用制冷、空调设备</w:t>
            </w:r>
          </w:p>
        </w:tc>
        <w:tc>
          <w:tcPr>
            <w:tcW w:w="879" w:type="pct"/>
            <w:vAlign w:val="center"/>
          </w:tcPr>
          <w:p w14:paraId="7A1A4959">
            <w:pPr>
              <w:widowControl/>
              <w:jc w:val="center"/>
              <w:rPr>
                <w:rFonts w:ascii="宋体" w:hAnsi="宋体" w:cs="宋体"/>
                <w:color w:val="auto"/>
                <w:kern w:val="0"/>
                <w:szCs w:val="21"/>
              </w:rPr>
            </w:pPr>
            <w:r>
              <w:rPr>
                <w:rFonts w:hint="eastAsia" w:ascii="宋体" w:hAnsi="宋体" w:cs="宋体"/>
                <w:color w:val="auto"/>
                <w:kern w:val="0"/>
                <w:szCs w:val="21"/>
              </w:rPr>
              <w:t>机房空调</w:t>
            </w:r>
          </w:p>
        </w:tc>
        <w:tc>
          <w:tcPr>
            <w:tcW w:w="2462" w:type="pct"/>
            <w:vAlign w:val="center"/>
          </w:tcPr>
          <w:p w14:paraId="4AD428B0">
            <w:pPr>
              <w:widowControl/>
              <w:jc w:val="left"/>
              <w:rPr>
                <w:rFonts w:ascii="宋体" w:hAnsi="宋体" w:cs="宋体"/>
                <w:color w:val="auto"/>
                <w:kern w:val="0"/>
                <w:szCs w:val="21"/>
              </w:rPr>
            </w:pPr>
            <w:r>
              <w:rPr>
                <w:rFonts w:hint="eastAsia" w:ascii="宋体" w:hAnsi="宋体" w:cs="宋体"/>
                <w:color w:val="auto"/>
                <w:kern w:val="0"/>
                <w:szCs w:val="21"/>
              </w:rPr>
              <w:t>《单元式空气调节机能效限定值及能效等级》（GB19576）</w:t>
            </w:r>
          </w:p>
        </w:tc>
      </w:tr>
      <w:tr w14:paraId="30E53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358" w:type="pct"/>
            <w:vMerge w:val="continue"/>
            <w:vAlign w:val="center"/>
          </w:tcPr>
          <w:p w14:paraId="3AE660C9">
            <w:pPr>
              <w:widowControl/>
              <w:jc w:val="left"/>
              <w:rPr>
                <w:rFonts w:ascii="宋体" w:hAnsi="宋体" w:cs="宋体"/>
                <w:color w:val="auto"/>
                <w:kern w:val="0"/>
                <w:szCs w:val="21"/>
              </w:rPr>
            </w:pPr>
          </w:p>
        </w:tc>
        <w:tc>
          <w:tcPr>
            <w:tcW w:w="586" w:type="pct"/>
            <w:vMerge w:val="continue"/>
            <w:vAlign w:val="center"/>
          </w:tcPr>
          <w:p w14:paraId="04A096F3">
            <w:pPr>
              <w:widowControl/>
              <w:jc w:val="left"/>
              <w:rPr>
                <w:rFonts w:ascii="宋体" w:hAnsi="宋体" w:cs="宋体"/>
                <w:color w:val="auto"/>
                <w:kern w:val="0"/>
                <w:szCs w:val="21"/>
              </w:rPr>
            </w:pPr>
          </w:p>
        </w:tc>
        <w:tc>
          <w:tcPr>
            <w:tcW w:w="716" w:type="pct"/>
            <w:vAlign w:val="center"/>
          </w:tcPr>
          <w:p w14:paraId="52119F8A">
            <w:pPr>
              <w:widowControl/>
              <w:jc w:val="center"/>
              <w:rPr>
                <w:rFonts w:ascii="宋体" w:hAnsi="宋体" w:cs="宋体"/>
                <w:color w:val="auto"/>
                <w:kern w:val="0"/>
                <w:szCs w:val="21"/>
              </w:rPr>
            </w:pPr>
            <w:r>
              <w:rPr>
                <w:rFonts w:hint="eastAsia" w:ascii="宋体" w:hAnsi="宋体" w:cs="宋体"/>
                <w:color w:val="auto"/>
                <w:kern w:val="0"/>
                <w:szCs w:val="21"/>
              </w:rPr>
              <w:t>A02052399其他制冷空调设备</w:t>
            </w:r>
          </w:p>
        </w:tc>
        <w:tc>
          <w:tcPr>
            <w:tcW w:w="879" w:type="pct"/>
            <w:vAlign w:val="center"/>
          </w:tcPr>
          <w:p w14:paraId="6B0519E1">
            <w:pPr>
              <w:widowControl/>
              <w:jc w:val="center"/>
              <w:rPr>
                <w:rFonts w:ascii="宋体" w:hAnsi="宋体" w:cs="宋体"/>
                <w:color w:val="auto"/>
                <w:kern w:val="0"/>
                <w:szCs w:val="21"/>
              </w:rPr>
            </w:pPr>
            <w:r>
              <w:rPr>
                <w:rFonts w:hint="eastAsia" w:ascii="宋体" w:hAnsi="宋体" w:cs="宋体"/>
                <w:color w:val="auto"/>
                <w:kern w:val="0"/>
                <w:szCs w:val="21"/>
              </w:rPr>
              <w:t>冷却塔</w:t>
            </w:r>
          </w:p>
        </w:tc>
        <w:tc>
          <w:tcPr>
            <w:tcW w:w="2462" w:type="pct"/>
            <w:vAlign w:val="center"/>
          </w:tcPr>
          <w:p w14:paraId="1CF93DB8">
            <w:pPr>
              <w:widowControl/>
              <w:jc w:val="left"/>
              <w:rPr>
                <w:rFonts w:ascii="宋体" w:hAnsi="宋体" w:cs="宋体"/>
                <w:color w:val="auto"/>
                <w:kern w:val="0"/>
                <w:szCs w:val="21"/>
              </w:rPr>
            </w:pPr>
            <w:r>
              <w:rPr>
                <w:rFonts w:hint="eastAsia" w:ascii="宋体" w:hAnsi="宋体" w:cs="宋体"/>
                <w:color w:val="auto"/>
                <w:kern w:val="0"/>
                <w:szCs w:val="21"/>
              </w:rPr>
              <w:t>《机械通风冷却塔第1部分：中小型开式冷却塔》（GB/T7190.1）；《机械通风冷却塔第2部分：大型开式冷却塔》（GB/T7190.2）</w:t>
            </w:r>
          </w:p>
        </w:tc>
      </w:tr>
      <w:tr w14:paraId="7079D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358" w:type="pct"/>
            <w:vAlign w:val="center"/>
          </w:tcPr>
          <w:p w14:paraId="3E0042F7">
            <w:pPr>
              <w:widowControl/>
              <w:jc w:val="center"/>
              <w:rPr>
                <w:rFonts w:ascii="宋体" w:hAnsi="宋体" w:cs="宋体"/>
                <w:color w:val="auto"/>
                <w:kern w:val="0"/>
                <w:szCs w:val="21"/>
              </w:rPr>
            </w:pPr>
            <w:r>
              <w:rPr>
                <w:rFonts w:hint="eastAsia" w:ascii="宋体" w:hAnsi="宋体" w:cs="宋体"/>
                <w:color w:val="auto"/>
                <w:kern w:val="0"/>
                <w:szCs w:val="21"/>
              </w:rPr>
              <w:t>7</w:t>
            </w:r>
          </w:p>
        </w:tc>
        <w:tc>
          <w:tcPr>
            <w:tcW w:w="586" w:type="pct"/>
            <w:vAlign w:val="center"/>
          </w:tcPr>
          <w:p w14:paraId="0E94C621">
            <w:pPr>
              <w:widowControl/>
              <w:jc w:val="center"/>
              <w:rPr>
                <w:rFonts w:ascii="宋体" w:hAnsi="宋体" w:cs="宋体"/>
                <w:color w:val="auto"/>
                <w:kern w:val="0"/>
                <w:szCs w:val="21"/>
              </w:rPr>
            </w:pPr>
            <w:r>
              <w:rPr>
                <w:rFonts w:hint="eastAsia" w:ascii="宋体" w:hAnsi="宋体" w:cs="宋体"/>
                <w:color w:val="auto"/>
                <w:kern w:val="0"/>
                <w:szCs w:val="21"/>
              </w:rPr>
              <w:t>A020601电机</w:t>
            </w:r>
          </w:p>
        </w:tc>
        <w:tc>
          <w:tcPr>
            <w:tcW w:w="716" w:type="pct"/>
            <w:vAlign w:val="center"/>
          </w:tcPr>
          <w:p w14:paraId="75A10930">
            <w:pPr>
              <w:widowControl/>
              <w:jc w:val="center"/>
              <w:rPr>
                <w:rFonts w:ascii="宋体" w:hAnsi="宋体" w:cs="宋体"/>
                <w:color w:val="auto"/>
                <w:kern w:val="0"/>
                <w:szCs w:val="21"/>
              </w:rPr>
            </w:pPr>
            <w:r>
              <w:rPr>
                <w:rFonts w:hint="eastAsia" w:ascii="宋体" w:hAnsi="宋体" w:cs="宋体"/>
                <w:color w:val="auto"/>
                <w:kern w:val="0"/>
                <w:szCs w:val="21"/>
              </w:rPr>
              <w:t>　</w:t>
            </w:r>
          </w:p>
        </w:tc>
        <w:tc>
          <w:tcPr>
            <w:tcW w:w="879" w:type="pct"/>
            <w:vAlign w:val="center"/>
          </w:tcPr>
          <w:p w14:paraId="7B25F265">
            <w:pPr>
              <w:widowControl/>
              <w:jc w:val="center"/>
              <w:rPr>
                <w:rFonts w:ascii="宋体" w:hAnsi="宋体" w:cs="宋体"/>
                <w:color w:val="auto"/>
                <w:kern w:val="0"/>
                <w:szCs w:val="21"/>
              </w:rPr>
            </w:pPr>
            <w:r>
              <w:rPr>
                <w:rFonts w:hint="eastAsia" w:ascii="宋体" w:hAnsi="宋体" w:cs="宋体"/>
                <w:color w:val="auto"/>
                <w:kern w:val="0"/>
                <w:szCs w:val="21"/>
              </w:rPr>
              <w:t>　</w:t>
            </w:r>
          </w:p>
        </w:tc>
        <w:tc>
          <w:tcPr>
            <w:tcW w:w="2462" w:type="pct"/>
            <w:vAlign w:val="center"/>
          </w:tcPr>
          <w:p w14:paraId="0CF6E179">
            <w:pPr>
              <w:widowControl/>
              <w:jc w:val="left"/>
              <w:rPr>
                <w:rFonts w:ascii="宋体" w:hAnsi="宋体" w:cs="宋体"/>
                <w:color w:val="auto"/>
                <w:kern w:val="0"/>
                <w:szCs w:val="21"/>
              </w:rPr>
            </w:pPr>
            <w:r>
              <w:rPr>
                <w:rFonts w:hint="eastAsia" w:ascii="宋体" w:hAnsi="宋体" w:cs="宋体"/>
                <w:color w:val="auto"/>
                <w:kern w:val="0"/>
                <w:szCs w:val="21"/>
              </w:rPr>
              <w:t>《中小型三相异步电动机能效限定值及能效等级》（GB18613）</w:t>
            </w:r>
          </w:p>
        </w:tc>
      </w:tr>
      <w:tr w14:paraId="63330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358" w:type="pct"/>
            <w:vAlign w:val="center"/>
          </w:tcPr>
          <w:p w14:paraId="5E0B1E31">
            <w:pPr>
              <w:widowControl/>
              <w:jc w:val="center"/>
              <w:rPr>
                <w:rFonts w:ascii="宋体" w:hAnsi="宋体" w:cs="宋体"/>
                <w:color w:val="auto"/>
                <w:kern w:val="0"/>
                <w:szCs w:val="21"/>
              </w:rPr>
            </w:pPr>
            <w:r>
              <w:rPr>
                <w:rFonts w:hint="eastAsia" w:ascii="宋体" w:hAnsi="宋体" w:cs="宋体"/>
                <w:color w:val="auto"/>
                <w:kern w:val="0"/>
                <w:szCs w:val="21"/>
              </w:rPr>
              <w:t>8</w:t>
            </w:r>
          </w:p>
        </w:tc>
        <w:tc>
          <w:tcPr>
            <w:tcW w:w="586" w:type="pct"/>
            <w:vAlign w:val="center"/>
          </w:tcPr>
          <w:p w14:paraId="28540123">
            <w:pPr>
              <w:widowControl/>
              <w:jc w:val="center"/>
              <w:rPr>
                <w:rFonts w:ascii="宋体" w:hAnsi="宋体" w:cs="宋体"/>
                <w:color w:val="auto"/>
                <w:kern w:val="0"/>
                <w:szCs w:val="21"/>
              </w:rPr>
            </w:pPr>
            <w:r>
              <w:rPr>
                <w:rFonts w:hint="eastAsia" w:ascii="宋体" w:hAnsi="宋体" w:cs="宋体"/>
                <w:color w:val="auto"/>
                <w:kern w:val="0"/>
                <w:szCs w:val="21"/>
              </w:rPr>
              <w:t>A020602变压器</w:t>
            </w:r>
          </w:p>
        </w:tc>
        <w:tc>
          <w:tcPr>
            <w:tcW w:w="716" w:type="pct"/>
            <w:vAlign w:val="center"/>
          </w:tcPr>
          <w:p w14:paraId="0B534F28">
            <w:pPr>
              <w:widowControl/>
              <w:jc w:val="center"/>
              <w:rPr>
                <w:rFonts w:ascii="宋体" w:hAnsi="宋体" w:cs="宋体"/>
                <w:color w:val="auto"/>
                <w:kern w:val="0"/>
                <w:szCs w:val="21"/>
              </w:rPr>
            </w:pPr>
            <w:r>
              <w:rPr>
                <w:rFonts w:hint="eastAsia" w:ascii="宋体" w:hAnsi="宋体" w:cs="宋体"/>
                <w:color w:val="auto"/>
                <w:kern w:val="0"/>
                <w:szCs w:val="21"/>
              </w:rPr>
              <w:t>配电变压器</w:t>
            </w:r>
          </w:p>
        </w:tc>
        <w:tc>
          <w:tcPr>
            <w:tcW w:w="879" w:type="pct"/>
            <w:vAlign w:val="center"/>
          </w:tcPr>
          <w:p w14:paraId="3064079A">
            <w:pPr>
              <w:widowControl/>
              <w:jc w:val="center"/>
              <w:rPr>
                <w:rFonts w:ascii="宋体" w:hAnsi="宋体" w:cs="宋体"/>
                <w:color w:val="auto"/>
                <w:kern w:val="0"/>
                <w:szCs w:val="21"/>
              </w:rPr>
            </w:pPr>
            <w:r>
              <w:rPr>
                <w:rFonts w:hint="eastAsia" w:ascii="宋体" w:hAnsi="宋体" w:cs="宋体"/>
                <w:color w:val="auto"/>
                <w:kern w:val="0"/>
                <w:szCs w:val="21"/>
              </w:rPr>
              <w:t>　</w:t>
            </w:r>
          </w:p>
        </w:tc>
        <w:tc>
          <w:tcPr>
            <w:tcW w:w="2462" w:type="pct"/>
            <w:vAlign w:val="center"/>
          </w:tcPr>
          <w:p w14:paraId="7603553A">
            <w:pPr>
              <w:widowControl/>
              <w:jc w:val="left"/>
              <w:rPr>
                <w:rFonts w:ascii="宋体" w:hAnsi="宋体" w:cs="宋体"/>
                <w:color w:val="auto"/>
                <w:kern w:val="0"/>
                <w:szCs w:val="21"/>
              </w:rPr>
            </w:pPr>
            <w:r>
              <w:rPr>
                <w:rFonts w:hint="eastAsia" w:ascii="宋体" w:hAnsi="宋体" w:cs="宋体"/>
                <w:color w:val="auto"/>
                <w:kern w:val="0"/>
                <w:szCs w:val="21"/>
              </w:rPr>
              <w:t>《三相配电变压器能效限定值及能效等级》（GB20052）</w:t>
            </w:r>
          </w:p>
        </w:tc>
      </w:tr>
      <w:tr w14:paraId="66A3D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358" w:type="pct"/>
            <w:vAlign w:val="center"/>
          </w:tcPr>
          <w:p w14:paraId="65DE0A57">
            <w:pPr>
              <w:widowControl/>
              <w:jc w:val="center"/>
              <w:rPr>
                <w:rFonts w:ascii="宋体" w:hAnsi="宋体" w:cs="宋体"/>
                <w:color w:val="auto"/>
                <w:kern w:val="0"/>
                <w:szCs w:val="21"/>
              </w:rPr>
            </w:pPr>
            <w:r>
              <w:rPr>
                <w:rFonts w:hint="eastAsia" w:ascii="宋体" w:hAnsi="宋体" w:cs="宋体"/>
                <w:color w:val="auto"/>
                <w:kern w:val="0"/>
                <w:szCs w:val="21"/>
              </w:rPr>
              <w:t>9</w:t>
            </w:r>
          </w:p>
        </w:tc>
        <w:tc>
          <w:tcPr>
            <w:tcW w:w="586" w:type="pct"/>
            <w:vAlign w:val="center"/>
          </w:tcPr>
          <w:p w14:paraId="5CDC7773">
            <w:pPr>
              <w:widowControl/>
              <w:jc w:val="center"/>
              <w:rPr>
                <w:rFonts w:ascii="宋体" w:hAnsi="宋体" w:cs="宋体"/>
                <w:color w:val="auto"/>
                <w:kern w:val="0"/>
                <w:szCs w:val="21"/>
              </w:rPr>
            </w:pPr>
            <w:r>
              <w:rPr>
                <w:rFonts w:hint="eastAsia" w:ascii="宋体" w:hAnsi="宋体" w:cs="宋体"/>
                <w:color w:val="auto"/>
                <w:kern w:val="0"/>
                <w:szCs w:val="21"/>
              </w:rPr>
              <w:t>★A020609镇流器</w:t>
            </w:r>
          </w:p>
        </w:tc>
        <w:tc>
          <w:tcPr>
            <w:tcW w:w="716" w:type="pct"/>
            <w:vAlign w:val="center"/>
          </w:tcPr>
          <w:p w14:paraId="2D6102EE">
            <w:pPr>
              <w:widowControl/>
              <w:jc w:val="center"/>
              <w:rPr>
                <w:rFonts w:ascii="宋体" w:hAnsi="宋体" w:cs="宋体"/>
                <w:color w:val="auto"/>
                <w:kern w:val="0"/>
                <w:szCs w:val="21"/>
              </w:rPr>
            </w:pPr>
            <w:r>
              <w:rPr>
                <w:rFonts w:hint="eastAsia" w:ascii="宋体" w:hAnsi="宋体" w:cs="宋体"/>
                <w:color w:val="auto"/>
                <w:kern w:val="0"/>
                <w:szCs w:val="21"/>
              </w:rPr>
              <w:t>管型荧光灯镇流器</w:t>
            </w:r>
          </w:p>
        </w:tc>
        <w:tc>
          <w:tcPr>
            <w:tcW w:w="879" w:type="pct"/>
            <w:vAlign w:val="center"/>
          </w:tcPr>
          <w:p w14:paraId="4996CFC0">
            <w:pPr>
              <w:widowControl/>
              <w:jc w:val="center"/>
              <w:rPr>
                <w:rFonts w:ascii="宋体" w:hAnsi="宋体" w:cs="宋体"/>
                <w:color w:val="auto"/>
                <w:kern w:val="0"/>
                <w:szCs w:val="21"/>
              </w:rPr>
            </w:pPr>
            <w:r>
              <w:rPr>
                <w:rFonts w:hint="eastAsia" w:ascii="宋体" w:hAnsi="宋体" w:cs="宋体"/>
                <w:color w:val="auto"/>
                <w:kern w:val="0"/>
                <w:szCs w:val="21"/>
              </w:rPr>
              <w:t>　</w:t>
            </w:r>
          </w:p>
        </w:tc>
        <w:tc>
          <w:tcPr>
            <w:tcW w:w="2462" w:type="pct"/>
            <w:vAlign w:val="center"/>
          </w:tcPr>
          <w:p w14:paraId="2F76F9EA">
            <w:pPr>
              <w:widowControl/>
              <w:jc w:val="left"/>
              <w:rPr>
                <w:rFonts w:ascii="宋体" w:hAnsi="宋体" w:cs="宋体"/>
                <w:color w:val="auto"/>
                <w:kern w:val="0"/>
                <w:szCs w:val="21"/>
              </w:rPr>
            </w:pPr>
            <w:r>
              <w:rPr>
                <w:rFonts w:hint="eastAsia" w:ascii="宋体" w:hAnsi="宋体" w:cs="宋体"/>
                <w:color w:val="auto"/>
                <w:kern w:val="0"/>
                <w:szCs w:val="21"/>
              </w:rPr>
              <w:t>《管形荧光灯镇流器能效限定值及能效等级》（GB17896）</w:t>
            </w:r>
          </w:p>
        </w:tc>
      </w:tr>
      <w:tr w14:paraId="777A8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358" w:type="pct"/>
            <w:vMerge w:val="restart"/>
            <w:vAlign w:val="center"/>
          </w:tcPr>
          <w:p w14:paraId="196B6857">
            <w:pPr>
              <w:widowControl/>
              <w:jc w:val="center"/>
              <w:rPr>
                <w:rFonts w:ascii="宋体" w:hAnsi="宋体" w:cs="宋体"/>
                <w:color w:val="auto"/>
                <w:kern w:val="0"/>
                <w:szCs w:val="21"/>
              </w:rPr>
            </w:pPr>
            <w:r>
              <w:rPr>
                <w:rFonts w:hint="eastAsia" w:ascii="宋体" w:hAnsi="宋体" w:cs="宋体"/>
                <w:color w:val="auto"/>
                <w:kern w:val="0"/>
                <w:szCs w:val="21"/>
              </w:rPr>
              <w:t>10</w:t>
            </w:r>
          </w:p>
        </w:tc>
        <w:tc>
          <w:tcPr>
            <w:tcW w:w="586" w:type="pct"/>
            <w:vMerge w:val="restart"/>
            <w:vAlign w:val="center"/>
          </w:tcPr>
          <w:p w14:paraId="173BE69D">
            <w:pPr>
              <w:widowControl/>
              <w:jc w:val="center"/>
              <w:rPr>
                <w:rFonts w:ascii="宋体" w:hAnsi="宋体" w:cs="宋体"/>
                <w:color w:val="auto"/>
                <w:kern w:val="0"/>
                <w:szCs w:val="21"/>
              </w:rPr>
            </w:pPr>
            <w:r>
              <w:rPr>
                <w:rFonts w:hint="eastAsia" w:ascii="宋体" w:hAnsi="宋体" w:cs="宋体"/>
                <w:color w:val="auto"/>
                <w:kern w:val="0"/>
                <w:szCs w:val="21"/>
              </w:rPr>
              <w:t>A020618生活用电器</w:t>
            </w:r>
          </w:p>
        </w:tc>
        <w:tc>
          <w:tcPr>
            <w:tcW w:w="716" w:type="pct"/>
            <w:vAlign w:val="center"/>
          </w:tcPr>
          <w:p w14:paraId="36BA7FC2">
            <w:pPr>
              <w:widowControl/>
              <w:jc w:val="center"/>
              <w:rPr>
                <w:rFonts w:ascii="宋体" w:hAnsi="宋体" w:cs="宋体"/>
                <w:color w:val="auto"/>
                <w:kern w:val="0"/>
                <w:szCs w:val="21"/>
              </w:rPr>
            </w:pPr>
            <w:r>
              <w:rPr>
                <w:rFonts w:hint="eastAsia" w:ascii="宋体" w:hAnsi="宋体" w:cs="宋体"/>
                <w:color w:val="auto"/>
                <w:kern w:val="0"/>
                <w:szCs w:val="21"/>
              </w:rPr>
              <w:t>A0206180101电冰箱</w:t>
            </w:r>
          </w:p>
        </w:tc>
        <w:tc>
          <w:tcPr>
            <w:tcW w:w="879" w:type="pct"/>
            <w:vAlign w:val="center"/>
          </w:tcPr>
          <w:p w14:paraId="3F005F82">
            <w:pPr>
              <w:widowControl/>
              <w:jc w:val="center"/>
              <w:rPr>
                <w:rFonts w:ascii="宋体" w:hAnsi="宋体" w:cs="宋体"/>
                <w:color w:val="auto"/>
                <w:kern w:val="0"/>
                <w:szCs w:val="21"/>
              </w:rPr>
            </w:pPr>
            <w:r>
              <w:rPr>
                <w:rFonts w:hint="eastAsia" w:ascii="宋体" w:hAnsi="宋体" w:cs="宋体"/>
                <w:color w:val="auto"/>
                <w:kern w:val="0"/>
                <w:szCs w:val="21"/>
              </w:rPr>
              <w:t>　</w:t>
            </w:r>
          </w:p>
        </w:tc>
        <w:tc>
          <w:tcPr>
            <w:tcW w:w="2462" w:type="pct"/>
            <w:vAlign w:val="center"/>
          </w:tcPr>
          <w:p w14:paraId="413D706D">
            <w:pPr>
              <w:widowControl/>
              <w:jc w:val="left"/>
              <w:rPr>
                <w:rFonts w:ascii="宋体" w:hAnsi="宋体" w:cs="宋体"/>
                <w:color w:val="auto"/>
                <w:kern w:val="0"/>
                <w:szCs w:val="21"/>
              </w:rPr>
            </w:pPr>
            <w:r>
              <w:rPr>
                <w:rFonts w:hint="eastAsia" w:ascii="宋体" w:hAnsi="宋体" w:cs="宋体"/>
                <w:color w:val="auto"/>
                <w:kern w:val="0"/>
                <w:szCs w:val="21"/>
              </w:rPr>
              <w:t>《家用电冰箱耗电量限定值及能效等级》（GB 12021.2）</w:t>
            </w:r>
          </w:p>
        </w:tc>
      </w:tr>
      <w:tr w14:paraId="31550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358" w:type="pct"/>
            <w:vMerge w:val="continue"/>
            <w:vAlign w:val="center"/>
          </w:tcPr>
          <w:p w14:paraId="1D80EAB4">
            <w:pPr>
              <w:widowControl/>
              <w:jc w:val="left"/>
              <w:rPr>
                <w:rFonts w:ascii="宋体" w:hAnsi="宋体" w:cs="宋体"/>
                <w:color w:val="auto"/>
                <w:kern w:val="0"/>
                <w:szCs w:val="21"/>
              </w:rPr>
            </w:pPr>
          </w:p>
        </w:tc>
        <w:tc>
          <w:tcPr>
            <w:tcW w:w="586" w:type="pct"/>
            <w:vMerge w:val="continue"/>
            <w:vAlign w:val="center"/>
          </w:tcPr>
          <w:p w14:paraId="79683E10">
            <w:pPr>
              <w:widowControl/>
              <w:jc w:val="left"/>
              <w:rPr>
                <w:rFonts w:ascii="宋体" w:hAnsi="宋体" w:cs="宋体"/>
                <w:color w:val="auto"/>
                <w:kern w:val="0"/>
                <w:szCs w:val="21"/>
              </w:rPr>
            </w:pPr>
          </w:p>
        </w:tc>
        <w:tc>
          <w:tcPr>
            <w:tcW w:w="716" w:type="pct"/>
            <w:vMerge w:val="restart"/>
            <w:vAlign w:val="center"/>
          </w:tcPr>
          <w:p w14:paraId="18B8B3B2">
            <w:pPr>
              <w:widowControl/>
              <w:jc w:val="center"/>
              <w:rPr>
                <w:rFonts w:ascii="宋体" w:hAnsi="宋体" w:cs="宋体"/>
                <w:color w:val="auto"/>
                <w:kern w:val="0"/>
                <w:szCs w:val="21"/>
              </w:rPr>
            </w:pPr>
            <w:r>
              <w:rPr>
                <w:rFonts w:hint="eastAsia" w:ascii="宋体" w:hAnsi="宋体" w:cs="宋体"/>
                <w:color w:val="auto"/>
                <w:kern w:val="0"/>
                <w:szCs w:val="21"/>
              </w:rPr>
              <w:t>★A0206180203空调机</w:t>
            </w:r>
          </w:p>
        </w:tc>
        <w:tc>
          <w:tcPr>
            <w:tcW w:w="879" w:type="pct"/>
            <w:vAlign w:val="center"/>
          </w:tcPr>
          <w:p w14:paraId="446F5038">
            <w:pPr>
              <w:widowControl/>
              <w:jc w:val="center"/>
              <w:rPr>
                <w:rFonts w:ascii="宋体" w:hAnsi="宋体" w:cs="宋体"/>
                <w:color w:val="auto"/>
                <w:kern w:val="0"/>
                <w:szCs w:val="21"/>
              </w:rPr>
            </w:pPr>
            <w:r>
              <w:rPr>
                <w:rFonts w:hint="eastAsia" w:ascii="宋体" w:hAnsi="宋体" w:cs="宋体"/>
                <w:color w:val="auto"/>
                <w:kern w:val="0"/>
                <w:szCs w:val="21"/>
              </w:rPr>
              <w:t>房间空气调节器</w:t>
            </w:r>
          </w:p>
        </w:tc>
        <w:tc>
          <w:tcPr>
            <w:tcW w:w="2462" w:type="pct"/>
            <w:vAlign w:val="center"/>
          </w:tcPr>
          <w:p w14:paraId="74FDBAA1">
            <w:pPr>
              <w:widowControl/>
              <w:jc w:val="left"/>
              <w:rPr>
                <w:rFonts w:ascii="宋体" w:hAnsi="宋体" w:cs="宋体"/>
                <w:color w:val="auto"/>
                <w:kern w:val="0"/>
                <w:szCs w:val="21"/>
              </w:rPr>
            </w:pPr>
            <w:r>
              <w:rPr>
                <w:rFonts w:hint="eastAsia" w:ascii="宋体" w:hAnsi="宋体" w:cs="宋体"/>
                <w:color w:val="auto"/>
                <w:kern w:val="0"/>
                <w:szCs w:val="21"/>
              </w:rPr>
              <w:t>《转速可控型房间空气调节器能效限定值及能效等级》（GB21455-2013），待2019年修订发布后，按《房间空气调节器能效限定值及能效等级》（GB21455-2019实施。</w:t>
            </w:r>
          </w:p>
        </w:tc>
      </w:tr>
      <w:tr w14:paraId="63025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358" w:type="pct"/>
            <w:vMerge w:val="continue"/>
            <w:vAlign w:val="center"/>
          </w:tcPr>
          <w:p w14:paraId="45C7B8E4">
            <w:pPr>
              <w:widowControl/>
              <w:jc w:val="left"/>
              <w:rPr>
                <w:rFonts w:ascii="宋体" w:hAnsi="宋体" w:cs="宋体"/>
                <w:color w:val="auto"/>
                <w:kern w:val="0"/>
                <w:szCs w:val="21"/>
              </w:rPr>
            </w:pPr>
          </w:p>
        </w:tc>
        <w:tc>
          <w:tcPr>
            <w:tcW w:w="586" w:type="pct"/>
            <w:vMerge w:val="continue"/>
            <w:vAlign w:val="center"/>
          </w:tcPr>
          <w:p w14:paraId="700D7CDE">
            <w:pPr>
              <w:widowControl/>
              <w:jc w:val="left"/>
              <w:rPr>
                <w:rFonts w:ascii="宋体" w:hAnsi="宋体" w:cs="宋体"/>
                <w:color w:val="auto"/>
                <w:kern w:val="0"/>
                <w:szCs w:val="21"/>
              </w:rPr>
            </w:pPr>
          </w:p>
        </w:tc>
        <w:tc>
          <w:tcPr>
            <w:tcW w:w="716" w:type="pct"/>
            <w:vMerge w:val="continue"/>
            <w:vAlign w:val="center"/>
          </w:tcPr>
          <w:p w14:paraId="0C3DC2D3">
            <w:pPr>
              <w:widowControl/>
              <w:jc w:val="left"/>
              <w:rPr>
                <w:rFonts w:ascii="宋体" w:hAnsi="宋体" w:cs="宋体"/>
                <w:color w:val="auto"/>
                <w:kern w:val="0"/>
                <w:szCs w:val="21"/>
              </w:rPr>
            </w:pPr>
          </w:p>
        </w:tc>
        <w:tc>
          <w:tcPr>
            <w:tcW w:w="879" w:type="pct"/>
            <w:vAlign w:val="center"/>
          </w:tcPr>
          <w:p w14:paraId="2B59081A">
            <w:pPr>
              <w:widowControl/>
              <w:jc w:val="center"/>
              <w:rPr>
                <w:rFonts w:ascii="宋体" w:hAnsi="宋体" w:cs="宋体"/>
                <w:color w:val="auto"/>
                <w:kern w:val="0"/>
                <w:szCs w:val="21"/>
              </w:rPr>
            </w:pPr>
            <w:r>
              <w:rPr>
                <w:rFonts w:hint="eastAsia" w:ascii="宋体" w:hAnsi="宋体" w:cs="宋体"/>
                <w:color w:val="auto"/>
                <w:kern w:val="0"/>
                <w:szCs w:val="21"/>
              </w:rPr>
              <w:t>多联式空调（热泵）机组（制冷量≤ 14000W）</w:t>
            </w:r>
          </w:p>
        </w:tc>
        <w:tc>
          <w:tcPr>
            <w:tcW w:w="2462" w:type="pct"/>
            <w:vAlign w:val="center"/>
          </w:tcPr>
          <w:p w14:paraId="411E90E4">
            <w:pPr>
              <w:widowControl/>
              <w:jc w:val="left"/>
              <w:rPr>
                <w:rFonts w:ascii="宋体" w:hAnsi="宋体" w:cs="宋体"/>
                <w:color w:val="auto"/>
                <w:kern w:val="0"/>
                <w:szCs w:val="21"/>
              </w:rPr>
            </w:pPr>
            <w:r>
              <w:rPr>
                <w:rFonts w:hint="eastAsia" w:ascii="宋体" w:hAnsi="宋体" w:cs="宋体"/>
                <w:color w:val="auto"/>
                <w:kern w:val="0"/>
                <w:szCs w:val="21"/>
              </w:rPr>
              <w:t>《多联式空调（热泵）机组能效限定值及能源效率等级》（GB21454）</w:t>
            </w:r>
          </w:p>
        </w:tc>
      </w:tr>
      <w:tr w14:paraId="1F907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358" w:type="pct"/>
            <w:vMerge w:val="continue"/>
            <w:vAlign w:val="center"/>
          </w:tcPr>
          <w:p w14:paraId="7633DC7B">
            <w:pPr>
              <w:widowControl/>
              <w:jc w:val="left"/>
              <w:rPr>
                <w:rFonts w:ascii="宋体" w:hAnsi="宋体" w:cs="宋体"/>
                <w:color w:val="auto"/>
                <w:kern w:val="0"/>
                <w:szCs w:val="21"/>
              </w:rPr>
            </w:pPr>
          </w:p>
        </w:tc>
        <w:tc>
          <w:tcPr>
            <w:tcW w:w="586" w:type="pct"/>
            <w:vMerge w:val="continue"/>
            <w:vAlign w:val="center"/>
          </w:tcPr>
          <w:p w14:paraId="5407F9F0">
            <w:pPr>
              <w:widowControl/>
              <w:jc w:val="left"/>
              <w:rPr>
                <w:rFonts w:ascii="宋体" w:hAnsi="宋体" w:cs="宋体"/>
                <w:color w:val="auto"/>
                <w:kern w:val="0"/>
                <w:szCs w:val="21"/>
              </w:rPr>
            </w:pPr>
          </w:p>
        </w:tc>
        <w:tc>
          <w:tcPr>
            <w:tcW w:w="716" w:type="pct"/>
            <w:vMerge w:val="continue"/>
            <w:vAlign w:val="center"/>
          </w:tcPr>
          <w:p w14:paraId="11CF3D9A">
            <w:pPr>
              <w:widowControl/>
              <w:jc w:val="left"/>
              <w:rPr>
                <w:rFonts w:ascii="宋体" w:hAnsi="宋体" w:cs="宋体"/>
                <w:color w:val="auto"/>
                <w:kern w:val="0"/>
                <w:szCs w:val="21"/>
              </w:rPr>
            </w:pPr>
          </w:p>
        </w:tc>
        <w:tc>
          <w:tcPr>
            <w:tcW w:w="879" w:type="pct"/>
            <w:vAlign w:val="center"/>
          </w:tcPr>
          <w:p w14:paraId="35DF59A2">
            <w:pPr>
              <w:widowControl/>
              <w:jc w:val="center"/>
              <w:rPr>
                <w:rFonts w:ascii="宋体" w:hAnsi="宋体" w:cs="宋体"/>
                <w:color w:val="auto"/>
                <w:kern w:val="0"/>
                <w:szCs w:val="21"/>
              </w:rPr>
            </w:pPr>
            <w:r>
              <w:rPr>
                <w:rFonts w:hint="eastAsia" w:ascii="宋体" w:hAnsi="宋体" w:cs="宋体"/>
                <w:color w:val="auto"/>
                <w:kern w:val="0"/>
                <w:szCs w:val="21"/>
              </w:rPr>
              <w:t>单元式空气调节机(制冷量≤14000W)</w:t>
            </w:r>
          </w:p>
        </w:tc>
        <w:tc>
          <w:tcPr>
            <w:tcW w:w="2462" w:type="pct"/>
            <w:vAlign w:val="center"/>
          </w:tcPr>
          <w:p w14:paraId="7CB28C2F">
            <w:pPr>
              <w:widowControl/>
              <w:jc w:val="left"/>
              <w:rPr>
                <w:rFonts w:ascii="宋体" w:hAnsi="宋体" w:cs="宋体"/>
                <w:color w:val="auto"/>
                <w:kern w:val="0"/>
                <w:szCs w:val="21"/>
              </w:rPr>
            </w:pPr>
            <w:r>
              <w:rPr>
                <w:rFonts w:hint="eastAsia" w:ascii="宋体" w:hAnsi="宋体" w:cs="宋体"/>
                <w:color w:val="auto"/>
                <w:kern w:val="0"/>
                <w:szCs w:val="21"/>
              </w:rPr>
              <w:t>《单元式空气调节机能效限定值及能源效率等级》（GB19576）《风管送风式空调机组能效限定值及能效等级》（GB37479）</w:t>
            </w:r>
          </w:p>
        </w:tc>
      </w:tr>
      <w:tr w14:paraId="5A902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358" w:type="pct"/>
            <w:vMerge w:val="continue"/>
            <w:vAlign w:val="center"/>
          </w:tcPr>
          <w:p w14:paraId="28ACBEA7">
            <w:pPr>
              <w:widowControl/>
              <w:jc w:val="left"/>
              <w:rPr>
                <w:rFonts w:ascii="宋体" w:hAnsi="宋体" w:cs="宋体"/>
                <w:color w:val="auto"/>
                <w:kern w:val="0"/>
                <w:szCs w:val="21"/>
              </w:rPr>
            </w:pPr>
          </w:p>
        </w:tc>
        <w:tc>
          <w:tcPr>
            <w:tcW w:w="586" w:type="pct"/>
            <w:vMerge w:val="continue"/>
            <w:vAlign w:val="center"/>
          </w:tcPr>
          <w:p w14:paraId="58B13B97">
            <w:pPr>
              <w:widowControl/>
              <w:jc w:val="left"/>
              <w:rPr>
                <w:rFonts w:ascii="宋体" w:hAnsi="宋体" w:cs="宋体"/>
                <w:color w:val="auto"/>
                <w:kern w:val="0"/>
                <w:szCs w:val="21"/>
              </w:rPr>
            </w:pPr>
          </w:p>
        </w:tc>
        <w:tc>
          <w:tcPr>
            <w:tcW w:w="716" w:type="pct"/>
            <w:vAlign w:val="center"/>
          </w:tcPr>
          <w:p w14:paraId="4E692022">
            <w:pPr>
              <w:widowControl/>
              <w:jc w:val="center"/>
              <w:rPr>
                <w:rFonts w:ascii="宋体" w:hAnsi="宋体" w:cs="宋体"/>
                <w:color w:val="auto"/>
                <w:kern w:val="0"/>
                <w:szCs w:val="21"/>
              </w:rPr>
            </w:pPr>
            <w:r>
              <w:rPr>
                <w:rFonts w:hint="eastAsia" w:ascii="宋体" w:hAnsi="宋体" w:cs="宋体"/>
                <w:color w:val="auto"/>
                <w:kern w:val="0"/>
                <w:szCs w:val="21"/>
              </w:rPr>
              <w:t>A0206180301洗衣机</w:t>
            </w:r>
          </w:p>
        </w:tc>
        <w:tc>
          <w:tcPr>
            <w:tcW w:w="879" w:type="pct"/>
            <w:vAlign w:val="center"/>
          </w:tcPr>
          <w:p w14:paraId="0A7518FD">
            <w:pPr>
              <w:widowControl/>
              <w:jc w:val="center"/>
              <w:rPr>
                <w:rFonts w:ascii="宋体" w:hAnsi="宋体" w:cs="宋体"/>
                <w:color w:val="auto"/>
                <w:kern w:val="0"/>
                <w:szCs w:val="21"/>
              </w:rPr>
            </w:pPr>
            <w:r>
              <w:rPr>
                <w:rFonts w:hint="eastAsia" w:ascii="宋体" w:hAnsi="宋体" w:cs="宋体"/>
                <w:color w:val="auto"/>
                <w:kern w:val="0"/>
                <w:szCs w:val="21"/>
              </w:rPr>
              <w:t>　</w:t>
            </w:r>
          </w:p>
        </w:tc>
        <w:tc>
          <w:tcPr>
            <w:tcW w:w="2462" w:type="pct"/>
            <w:vAlign w:val="center"/>
          </w:tcPr>
          <w:p w14:paraId="1725CE81">
            <w:pPr>
              <w:widowControl/>
              <w:jc w:val="left"/>
              <w:rPr>
                <w:rFonts w:ascii="宋体" w:hAnsi="宋体" w:cs="宋体"/>
                <w:color w:val="auto"/>
                <w:kern w:val="0"/>
                <w:szCs w:val="21"/>
              </w:rPr>
            </w:pPr>
            <w:r>
              <w:rPr>
                <w:rFonts w:hint="eastAsia" w:ascii="宋体" w:hAnsi="宋体" w:cs="宋体"/>
                <w:color w:val="auto"/>
                <w:kern w:val="0"/>
                <w:szCs w:val="21"/>
              </w:rPr>
              <w:t>《电动洗衣机能效水效限定值及等级》（GB12021.4）</w:t>
            </w:r>
          </w:p>
        </w:tc>
      </w:tr>
      <w:tr w14:paraId="42865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358" w:type="pct"/>
            <w:vMerge w:val="continue"/>
            <w:vAlign w:val="center"/>
          </w:tcPr>
          <w:p w14:paraId="3EBFA819">
            <w:pPr>
              <w:widowControl/>
              <w:jc w:val="left"/>
              <w:rPr>
                <w:rFonts w:ascii="宋体" w:hAnsi="宋体" w:cs="宋体"/>
                <w:color w:val="auto"/>
                <w:kern w:val="0"/>
                <w:szCs w:val="21"/>
              </w:rPr>
            </w:pPr>
          </w:p>
        </w:tc>
        <w:tc>
          <w:tcPr>
            <w:tcW w:w="586" w:type="pct"/>
            <w:vMerge w:val="continue"/>
            <w:vAlign w:val="center"/>
          </w:tcPr>
          <w:p w14:paraId="38BB5909">
            <w:pPr>
              <w:widowControl/>
              <w:jc w:val="left"/>
              <w:rPr>
                <w:rFonts w:ascii="宋体" w:hAnsi="宋体" w:cs="宋体"/>
                <w:color w:val="auto"/>
                <w:kern w:val="0"/>
                <w:szCs w:val="21"/>
              </w:rPr>
            </w:pPr>
          </w:p>
        </w:tc>
        <w:tc>
          <w:tcPr>
            <w:tcW w:w="716" w:type="pct"/>
            <w:vMerge w:val="restart"/>
            <w:vAlign w:val="center"/>
          </w:tcPr>
          <w:p w14:paraId="02291CA5">
            <w:pPr>
              <w:widowControl/>
              <w:jc w:val="center"/>
              <w:rPr>
                <w:rFonts w:ascii="宋体" w:hAnsi="宋体" w:cs="宋体"/>
                <w:color w:val="auto"/>
                <w:kern w:val="0"/>
                <w:szCs w:val="21"/>
              </w:rPr>
            </w:pPr>
            <w:r>
              <w:rPr>
                <w:rFonts w:hint="eastAsia" w:ascii="宋体" w:hAnsi="宋体" w:cs="宋体"/>
                <w:color w:val="auto"/>
                <w:kern w:val="0"/>
                <w:szCs w:val="21"/>
              </w:rPr>
              <w:t>A02061808热水器</w:t>
            </w:r>
          </w:p>
        </w:tc>
        <w:tc>
          <w:tcPr>
            <w:tcW w:w="879" w:type="pct"/>
            <w:vAlign w:val="center"/>
          </w:tcPr>
          <w:p w14:paraId="62C0C90E">
            <w:pPr>
              <w:widowControl/>
              <w:jc w:val="center"/>
              <w:rPr>
                <w:rFonts w:ascii="宋体" w:hAnsi="宋体" w:cs="宋体"/>
                <w:color w:val="auto"/>
                <w:kern w:val="0"/>
                <w:szCs w:val="21"/>
              </w:rPr>
            </w:pPr>
            <w:r>
              <w:rPr>
                <w:rFonts w:hint="eastAsia" w:ascii="宋体" w:hAnsi="宋体" w:cs="宋体"/>
                <w:color w:val="auto"/>
                <w:kern w:val="0"/>
                <w:szCs w:val="21"/>
              </w:rPr>
              <w:t>★电热水器</w:t>
            </w:r>
          </w:p>
        </w:tc>
        <w:tc>
          <w:tcPr>
            <w:tcW w:w="2462" w:type="pct"/>
            <w:vAlign w:val="center"/>
          </w:tcPr>
          <w:p w14:paraId="7168ABFD">
            <w:pPr>
              <w:widowControl/>
              <w:jc w:val="left"/>
              <w:rPr>
                <w:rFonts w:ascii="宋体" w:hAnsi="宋体" w:cs="宋体"/>
                <w:color w:val="auto"/>
                <w:kern w:val="0"/>
                <w:szCs w:val="21"/>
              </w:rPr>
            </w:pPr>
            <w:r>
              <w:rPr>
                <w:rFonts w:hint="eastAsia" w:ascii="宋体" w:hAnsi="宋体" w:cs="宋体"/>
                <w:color w:val="auto"/>
                <w:kern w:val="0"/>
                <w:szCs w:val="21"/>
              </w:rPr>
              <w:t>《储水式电热水器能效限定值及能效等级》（GB21519）</w:t>
            </w:r>
          </w:p>
        </w:tc>
      </w:tr>
      <w:tr w14:paraId="66FE5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358" w:type="pct"/>
            <w:vMerge w:val="continue"/>
            <w:vAlign w:val="center"/>
          </w:tcPr>
          <w:p w14:paraId="363C7C93">
            <w:pPr>
              <w:widowControl/>
              <w:jc w:val="left"/>
              <w:rPr>
                <w:rFonts w:ascii="宋体" w:hAnsi="宋体" w:cs="宋体"/>
                <w:color w:val="auto"/>
                <w:kern w:val="0"/>
                <w:szCs w:val="21"/>
              </w:rPr>
            </w:pPr>
          </w:p>
        </w:tc>
        <w:tc>
          <w:tcPr>
            <w:tcW w:w="586" w:type="pct"/>
            <w:vMerge w:val="continue"/>
            <w:vAlign w:val="center"/>
          </w:tcPr>
          <w:p w14:paraId="766F8A54">
            <w:pPr>
              <w:widowControl/>
              <w:jc w:val="left"/>
              <w:rPr>
                <w:rFonts w:ascii="宋体" w:hAnsi="宋体" w:cs="宋体"/>
                <w:color w:val="auto"/>
                <w:kern w:val="0"/>
                <w:szCs w:val="21"/>
              </w:rPr>
            </w:pPr>
          </w:p>
        </w:tc>
        <w:tc>
          <w:tcPr>
            <w:tcW w:w="716" w:type="pct"/>
            <w:vMerge w:val="continue"/>
            <w:vAlign w:val="center"/>
          </w:tcPr>
          <w:p w14:paraId="75344D77">
            <w:pPr>
              <w:widowControl/>
              <w:jc w:val="left"/>
              <w:rPr>
                <w:rFonts w:ascii="宋体" w:hAnsi="宋体" w:cs="宋体"/>
                <w:color w:val="auto"/>
                <w:kern w:val="0"/>
                <w:szCs w:val="21"/>
              </w:rPr>
            </w:pPr>
          </w:p>
        </w:tc>
        <w:tc>
          <w:tcPr>
            <w:tcW w:w="879" w:type="pct"/>
            <w:vAlign w:val="center"/>
          </w:tcPr>
          <w:p w14:paraId="016626DE">
            <w:pPr>
              <w:widowControl/>
              <w:jc w:val="center"/>
              <w:rPr>
                <w:rFonts w:ascii="宋体" w:hAnsi="宋体" w:cs="宋体"/>
                <w:color w:val="auto"/>
                <w:kern w:val="0"/>
                <w:szCs w:val="21"/>
              </w:rPr>
            </w:pPr>
            <w:r>
              <w:rPr>
                <w:rFonts w:hint="eastAsia" w:ascii="宋体" w:hAnsi="宋体" w:cs="宋体"/>
                <w:color w:val="auto"/>
                <w:kern w:val="0"/>
                <w:szCs w:val="21"/>
              </w:rPr>
              <w:t>燃气热水器</w:t>
            </w:r>
          </w:p>
        </w:tc>
        <w:tc>
          <w:tcPr>
            <w:tcW w:w="2462" w:type="pct"/>
            <w:vAlign w:val="center"/>
          </w:tcPr>
          <w:p w14:paraId="34802F53">
            <w:pPr>
              <w:widowControl/>
              <w:jc w:val="left"/>
              <w:rPr>
                <w:rFonts w:ascii="宋体" w:hAnsi="宋体" w:cs="宋体"/>
                <w:color w:val="auto"/>
                <w:kern w:val="0"/>
                <w:szCs w:val="21"/>
              </w:rPr>
            </w:pPr>
            <w:r>
              <w:rPr>
                <w:rFonts w:hint="eastAsia" w:ascii="宋体" w:hAnsi="宋体" w:cs="宋体"/>
                <w:color w:val="auto"/>
                <w:kern w:val="0"/>
                <w:szCs w:val="21"/>
              </w:rPr>
              <w:t>《家用燃气快速热水器和燃气采暖热水炉能效限定值及能效等级》（GB20665）</w:t>
            </w:r>
          </w:p>
        </w:tc>
      </w:tr>
      <w:tr w14:paraId="399E6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358" w:type="pct"/>
            <w:vMerge w:val="continue"/>
            <w:vAlign w:val="center"/>
          </w:tcPr>
          <w:p w14:paraId="481C1898">
            <w:pPr>
              <w:widowControl/>
              <w:jc w:val="left"/>
              <w:rPr>
                <w:rFonts w:ascii="宋体" w:hAnsi="宋体" w:cs="宋体"/>
                <w:color w:val="auto"/>
                <w:kern w:val="0"/>
                <w:szCs w:val="21"/>
              </w:rPr>
            </w:pPr>
          </w:p>
        </w:tc>
        <w:tc>
          <w:tcPr>
            <w:tcW w:w="586" w:type="pct"/>
            <w:vMerge w:val="continue"/>
            <w:vAlign w:val="center"/>
          </w:tcPr>
          <w:p w14:paraId="11DF5BC1">
            <w:pPr>
              <w:widowControl/>
              <w:jc w:val="left"/>
              <w:rPr>
                <w:rFonts w:ascii="宋体" w:hAnsi="宋体" w:cs="宋体"/>
                <w:color w:val="auto"/>
                <w:kern w:val="0"/>
                <w:szCs w:val="21"/>
              </w:rPr>
            </w:pPr>
          </w:p>
        </w:tc>
        <w:tc>
          <w:tcPr>
            <w:tcW w:w="716" w:type="pct"/>
            <w:vMerge w:val="continue"/>
            <w:vAlign w:val="center"/>
          </w:tcPr>
          <w:p w14:paraId="58341E48">
            <w:pPr>
              <w:widowControl/>
              <w:jc w:val="left"/>
              <w:rPr>
                <w:rFonts w:ascii="宋体" w:hAnsi="宋体" w:cs="宋体"/>
                <w:color w:val="auto"/>
                <w:kern w:val="0"/>
                <w:szCs w:val="21"/>
              </w:rPr>
            </w:pPr>
          </w:p>
        </w:tc>
        <w:tc>
          <w:tcPr>
            <w:tcW w:w="879" w:type="pct"/>
            <w:vAlign w:val="center"/>
          </w:tcPr>
          <w:p w14:paraId="6C3C01D1">
            <w:pPr>
              <w:widowControl/>
              <w:jc w:val="center"/>
              <w:rPr>
                <w:rFonts w:ascii="宋体" w:hAnsi="宋体" w:cs="宋体"/>
                <w:color w:val="auto"/>
                <w:kern w:val="0"/>
                <w:szCs w:val="21"/>
              </w:rPr>
            </w:pPr>
            <w:r>
              <w:rPr>
                <w:rFonts w:hint="eastAsia" w:ascii="宋体" w:hAnsi="宋体" w:cs="宋体"/>
                <w:color w:val="auto"/>
                <w:kern w:val="0"/>
                <w:szCs w:val="21"/>
              </w:rPr>
              <w:t>热泵热水器</w:t>
            </w:r>
          </w:p>
        </w:tc>
        <w:tc>
          <w:tcPr>
            <w:tcW w:w="2462" w:type="pct"/>
            <w:vAlign w:val="center"/>
          </w:tcPr>
          <w:p w14:paraId="273549D2">
            <w:pPr>
              <w:widowControl/>
              <w:jc w:val="left"/>
              <w:rPr>
                <w:rFonts w:ascii="宋体" w:hAnsi="宋体" w:cs="宋体"/>
                <w:color w:val="auto"/>
                <w:kern w:val="0"/>
                <w:szCs w:val="21"/>
              </w:rPr>
            </w:pPr>
            <w:r>
              <w:rPr>
                <w:rFonts w:hint="eastAsia" w:ascii="宋体" w:hAnsi="宋体" w:cs="宋体"/>
                <w:color w:val="auto"/>
                <w:kern w:val="0"/>
                <w:szCs w:val="21"/>
              </w:rPr>
              <w:t>《热泵热水机（器）能效限定值及能效等级》（GB29541）</w:t>
            </w:r>
          </w:p>
        </w:tc>
      </w:tr>
      <w:tr w14:paraId="2CA1E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358" w:type="pct"/>
            <w:vMerge w:val="continue"/>
            <w:vAlign w:val="center"/>
          </w:tcPr>
          <w:p w14:paraId="1814A0C7">
            <w:pPr>
              <w:widowControl/>
              <w:jc w:val="left"/>
              <w:rPr>
                <w:rFonts w:ascii="宋体" w:hAnsi="宋体" w:cs="宋体"/>
                <w:color w:val="auto"/>
                <w:kern w:val="0"/>
                <w:szCs w:val="21"/>
              </w:rPr>
            </w:pPr>
          </w:p>
        </w:tc>
        <w:tc>
          <w:tcPr>
            <w:tcW w:w="586" w:type="pct"/>
            <w:vMerge w:val="continue"/>
            <w:vAlign w:val="center"/>
          </w:tcPr>
          <w:p w14:paraId="03829EFE">
            <w:pPr>
              <w:widowControl/>
              <w:jc w:val="left"/>
              <w:rPr>
                <w:rFonts w:ascii="宋体" w:hAnsi="宋体" w:cs="宋体"/>
                <w:color w:val="auto"/>
                <w:kern w:val="0"/>
                <w:szCs w:val="21"/>
              </w:rPr>
            </w:pPr>
          </w:p>
        </w:tc>
        <w:tc>
          <w:tcPr>
            <w:tcW w:w="716" w:type="pct"/>
            <w:vMerge w:val="continue"/>
            <w:vAlign w:val="center"/>
          </w:tcPr>
          <w:p w14:paraId="41081AE9">
            <w:pPr>
              <w:widowControl/>
              <w:jc w:val="left"/>
              <w:rPr>
                <w:rFonts w:ascii="宋体" w:hAnsi="宋体" w:cs="宋体"/>
                <w:color w:val="auto"/>
                <w:kern w:val="0"/>
                <w:szCs w:val="21"/>
              </w:rPr>
            </w:pPr>
          </w:p>
        </w:tc>
        <w:tc>
          <w:tcPr>
            <w:tcW w:w="879" w:type="pct"/>
            <w:vAlign w:val="center"/>
          </w:tcPr>
          <w:p w14:paraId="3184576B">
            <w:pPr>
              <w:widowControl/>
              <w:jc w:val="center"/>
              <w:rPr>
                <w:rFonts w:ascii="宋体" w:hAnsi="宋体" w:cs="宋体"/>
                <w:color w:val="auto"/>
                <w:kern w:val="0"/>
                <w:szCs w:val="21"/>
              </w:rPr>
            </w:pPr>
            <w:r>
              <w:rPr>
                <w:rFonts w:hint="eastAsia" w:ascii="宋体" w:hAnsi="宋体" w:cs="宋体"/>
                <w:color w:val="auto"/>
                <w:kern w:val="0"/>
                <w:szCs w:val="21"/>
              </w:rPr>
              <w:t>太阳能热水系统</w:t>
            </w:r>
          </w:p>
        </w:tc>
        <w:tc>
          <w:tcPr>
            <w:tcW w:w="2462" w:type="pct"/>
            <w:vAlign w:val="center"/>
          </w:tcPr>
          <w:p w14:paraId="6E6E3EB8">
            <w:pPr>
              <w:widowControl/>
              <w:jc w:val="left"/>
              <w:rPr>
                <w:rFonts w:ascii="宋体" w:hAnsi="宋体" w:cs="宋体"/>
                <w:color w:val="auto"/>
                <w:kern w:val="0"/>
                <w:szCs w:val="21"/>
              </w:rPr>
            </w:pPr>
            <w:r>
              <w:rPr>
                <w:rFonts w:hint="eastAsia" w:ascii="宋体" w:hAnsi="宋体" w:cs="宋体"/>
                <w:color w:val="auto"/>
                <w:kern w:val="0"/>
                <w:szCs w:val="21"/>
              </w:rPr>
              <w:t>《家用太阳能热水系统能效限定值及能效等级》（GB26969）</w:t>
            </w:r>
          </w:p>
        </w:tc>
      </w:tr>
      <w:tr w14:paraId="392AE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358" w:type="pct"/>
            <w:vMerge w:val="restart"/>
            <w:vAlign w:val="center"/>
          </w:tcPr>
          <w:p w14:paraId="50CFE761">
            <w:pPr>
              <w:widowControl/>
              <w:jc w:val="center"/>
              <w:rPr>
                <w:rFonts w:ascii="宋体" w:hAnsi="宋体" w:cs="宋体"/>
                <w:color w:val="auto"/>
                <w:kern w:val="0"/>
                <w:szCs w:val="21"/>
              </w:rPr>
            </w:pPr>
            <w:r>
              <w:rPr>
                <w:rFonts w:hint="eastAsia" w:ascii="宋体" w:hAnsi="宋体" w:cs="宋体"/>
                <w:color w:val="auto"/>
                <w:kern w:val="0"/>
                <w:szCs w:val="21"/>
              </w:rPr>
              <w:t>11</w:t>
            </w:r>
          </w:p>
        </w:tc>
        <w:tc>
          <w:tcPr>
            <w:tcW w:w="586" w:type="pct"/>
            <w:vMerge w:val="restart"/>
            <w:vAlign w:val="center"/>
          </w:tcPr>
          <w:p w14:paraId="2AD7141E">
            <w:pPr>
              <w:widowControl/>
              <w:jc w:val="center"/>
              <w:rPr>
                <w:rFonts w:ascii="宋体" w:hAnsi="宋体" w:cs="宋体"/>
                <w:color w:val="auto"/>
                <w:kern w:val="0"/>
                <w:szCs w:val="21"/>
              </w:rPr>
            </w:pPr>
            <w:r>
              <w:rPr>
                <w:rFonts w:hint="eastAsia" w:ascii="宋体" w:hAnsi="宋体" w:cs="宋体"/>
                <w:color w:val="auto"/>
                <w:kern w:val="0"/>
                <w:szCs w:val="21"/>
              </w:rPr>
              <w:t>A020619照明设备</w:t>
            </w:r>
          </w:p>
        </w:tc>
        <w:tc>
          <w:tcPr>
            <w:tcW w:w="716" w:type="pct"/>
            <w:vAlign w:val="center"/>
          </w:tcPr>
          <w:p w14:paraId="71FB2B56">
            <w:pPr>
              <w:widowControl/>
              <w:jc w:val="center"/>
              <w:rPr>
                <w:rFonts w:ascii="宋体" w:hAnsi="宋体" w:cs="宋体"/>
                <w:color w:val="auto"/>
                <w:kern w:val="0"/>
                <w:szCs w:val="21"/>
              </w:rPr>
            </w:pPr>
            <w:r>
              <w:rPr>
                <w:rFonts w:hint="eastAsia" w:ascii="宋体" w:hAnsi="宋体" w:cs="宋体"/>
                <w:color w:val="auto"/>
                <w:kern w:val="0"/>
                <w:szCs w:val="21"/>
              </w:rPr>
              <w:t>★普通照明用双端荧光灯</w:t>
            </w:r>
          </w:p>
        </w:tc>
        <w:tc>
          <w:tcPr>
            <w:tcW w:w="879" w:type="pct"/>
            <w:vAlign w:val="center"/>
          </w:tcPr>
          <w:p w14:paraId="37101E7B">
            <w:pPr>
              <w:widowControl/>
              <w:jc w:val="center"/>
              <w:rPr>
                <w:rFonts w:ascii="宋体" w:hAnsi="宋体" w:cs="宋体"/>
                <w:color w:val="auto"/>
                <w:kern w:val="0"/>
                <w:szCs w:val="21"/>
              </w:rPr>
            </w:pPr>
            <w:r>
              <w:rPr>
                <w:rFonts w:hint="eastAsia" w:ascii="宋体" w:hAnsi="宋体" w:cs="宋体"/>
                <w:color w:val="auto"/>
                <w:kern w:val="0"/>
                <w:szCs w:val="21"/>
              </w:rPr>
              <w:t>　</w:t>
            </w:r>
          </w:p>
        </w:tc>
        <w:tc>
          <w:tcPr>
            <w:tcW w:w="2462" w:type="pct"/>
            <w:vAlign w:val="center"/>
          </w:tcPr>
          <w:p w14:paraId="4EE34869">
            <w:pPr>
              <w:widowControl/>
              <w:jc w:val="left"/>
              <w:rPr>
                <w:rFonts w:ascii="宋体" w:hAnsi="宋体" w:cs="宋体"/>
                <w:color w:val="auto"/>
                <w:kern w:val="0"/>
                <w:szCs w:val="21"/>
              </w:rPr>
            </w:pPr>
            <w:r>
              <w:rPr>
                <w:rFonts w:hint="eastAsia" w:ascii="宋体" w:hAnsi="宋体" w:cs="宋体"/>
                <w:color w:val="auto"/>
                <w:kern w:val="0"/>
                <w:szCs w:val="21"/>
              </w:rPr>
              <w:t>《普通照明用双端荧光灯能效限定值及能效等级》（GB19043）</w:t>
            </w:r>
          </w:p>
        </w:tc>
      </w:tr>
      <w:tr w14:paraId="54C37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358" w:type="pct"/>
            <w:vMerge w:val="continue"/>
            <w:vAlign w:val="center"/>
          </w:tcPr>
          <w:p w14:paraId="63562806">
            <w:pPr>
              <w:widowControl/>
              <w:jc w:val="left"/>
              <w:rPr>
                <w:rFonts w:ascii="宋体" w:hAnsi="宋体" w:cs="宋体"/>
                <w:color w:val="auto"/>
                <w:kern w:val="0"/>
                <w:szCs w:val="21"/>
              </w:rPr>
            </w:pPr>
          </w:p>
        </w:tc>
        <w:tc>
          <w:tcPr>
            <w:tcW w:w="586" w:type="pct"/>
            <w:vMerge w:val="continue"/>
            <w:vAlign w:val="center"/>
          </w:tcPr>
          <w:p w14:paraId="3C6CC73B">
            <w:pPr>
              <w:widowControl/>
              <w:jc w:val="left"/>
              <w:rPr>
                <w:rFonts w:ascii="宋体" w:hAnsi="宋体" w:cs="宋体"/>
                <w:color w:val="auto"/>
                <w:kern w:val="0"/>
                <w:szCs w:val="21"/>
              </w:rPr>
            </w:pPr>
          </w:p>
        </w:tc>
        <w:tc>
          <w:tcPr>
            <w:tcW w:w="716" w:type="pct"/>
            <w:vAlign w:val="center"/>
          </w:tcPr>
          <w:p w14:paraId="4EACCE20">
            <w:pPr>
              <w:widowControl/>
              <w:jc w:val="center"/>
              <w:rPr>
                <w:rFonts w:ascii="宋体" w:hAnsi="宋体" w:cs="宋体"/>
                <w:color w:val="auto"/>
                <w:kern w:val="0"/>
                <w:szCs w:val="21"/>
              </w:rPr>
            </w:pPr>
            <w:r>
              <w:rPr>
                <w:rFonts w:hint="eastAsia" w:ascii="宋体" w:hAnsi="宋体" w:cs="宋体"/>
                <w:color w:val="auto"/>
                <w:kern w:val="0"/>
                <w:szCs w:val="21"/>
              </w:rPr>
              <w:t>LED道路/隧道照明产品</w:t>
            </w:r>
          </w:p>
        </w:tc>
        <w:tc>
          <w:tcPr>
            <w:tcW w:w="879" w:type="pct"/>
            <w:vAlign w:val="center"/>
          </w:tcPr>
          <w:p w14:paraId="415467C1">
            <w:pPr>
              <w:widowControl/>
              <w:jc w:val="center"/>
              <w:rPr>
                <w:rFonts w:ascii="宋体" w:hAnsi="宋体" w:cs="宋体"/>
                <w:color w:val="auto"/>
                <w:kern w:val="0"/>
                <w:szCs w:val="21"/>
              </w:rPr>
            </w:pPr>
            <w:r>
              <w:rPr>
                <w:rFonts w:hint="eastAsia" w:ascii="宋体" w:hAnsi="宋体" w:cs="宋体"/>
                <w:color w:val="auto"/>
                <w:kern w:val="0"/>
                <w:szCs w:val="21"/>
              </w:rPr>
              <w:t>　</w:t>
            </w:r>
          </w:p>
        </w:tc>
        <w:tc>
          <w:tcPr>
            <w:tcW w:w="2462" w:type="pct"/>
            <w:vAlign w:val="center"/>
          </w:tcPr>
          <w:p w14:paraId="57428187">
            <w:pPr>
              <w:widowControl/>
              <w:jc w:val="left"/>
              <w:rPr>
                <w:rFonts w:ascii="宋体" w:hAnsi="宋体" w:cs="宋体"/>
                <w:color w:val="auto"/>
                <w:kern w:val="0"/>
                <w:szCs w:val="21"/>
              </w:rPr>
            </w:pPr>
            <w:r>
              <w:rPr>
                <w:rFonts w:hint="eastAsia" w:ascii="宋体" w:hAnsi="宋体" w:cs="宋体"/>
                <w:color w:val="auto"/>
                <w:kern w:val="0"/>
                <w:szCs w:val="21"/>
              </w:rPr>
              <w:t>《道路和隧道照明用LED灯具能效限定值及能效等级》（GB37478）</w:t>
            </w:r>
          </w:p>
        </w:tc>
      </w:tr>
      <w:tr w14:paraId="59868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358" w:type="pct"/>
            <w:vMerge w:val="continue"/>
            <w:vAlign w:val="center"/>
          </w:tcPr>
          <w:p w14:paraId="4AFB9CD4">
            <w:pPr>
              <w:widowControl/>
              <w:jc w:val="left"/>
              <w:rPr>
                <w:rFonts w:ascii="宋体" w:hAnsi="宋体" w:cs="宋体"/>
                <w:color w:val="auto"/>
                <w:kern w:val="0"/>
                <w:szCs w:val="21"/>
              </w:rPr>
            </w:pPr>
          </w:p>
        </w:tc>
        <w:tc>
          <w:tcPr>
            <w:tcW w:w="586" w:type="pct"/>
            <w:vMerge w:val="continue"/>
            <w:vAlign w:val="center"/>
          </w:tcPr>
          <w:p w14:paraId="1545FB0A">
            <w:pPr>
              <w:widowControl/>
              <w:jc w:val="left"/>
              <w:rPr>
                <w:rFonts w:ascii="宋体" w:hAnsi="宋体" w:cs="宋体"/>
                <w:color w:val="auto"/>
                <w:kern w:val="0"/>
                <w:szCs w:val="21"/>
              </w:rPr>
            </w:pPr>
          </w:p>
        </w:tc>
        <w:tc>
          <w:tcPr>
            <w:tcW w:w="716" w:type="pct"/>
            <w:vAlign w:val="center"/>
          </w:tcPr>
          <w:p w14:paraId="1E9D41E6">
            <w:pPr>
              <w:widowControl/>
              <w:jc w:val="center"/>
              <w:rPr>
                <w:rFonts w:ascii="宋体" w:hAnsi="宋体" w:cs="宋体"/>
                <w:color w:val="auto"/>
                <w:kern w:val="0"/>
                <w:szCs w:val="21"/>
              </w:rPr>
            </w:pPr>
            <w:r>
              <w:rPr>
                <w:rFonts w:hint="eastAsia" w:ascii="宋体" w:hAnsi="宋体" w:cs="宋体"/>
                <w:color w:val="auto"/>
                <w:kern w:val="0"/>
                <w:szCs w:val="21"/>
              </w:rPr>
              <w:t>LED筒灯</w:t>
            </w:r>
          </w:p>
        </w:tc>
        <w:tc>
          <w:tcPr>
            <w:tcW w:w="879" w:type="pct"/>
            <w:vAlign w:val="center"/>
          </w:tcPr>
          <w:p w14:paraId="068E6B50">
            <w:pPr>
              <w:widowControl/>
              <w:jc w:val="center"/>
              <w:rPr>
                <w:rFonts w:ascii="宋体" w:hAnsi="宋体" w:cs="宋体"/>
                <w:color w:val="auto"/>
                <w:kern w:val="0"/>
                <w:szCs w:val="21"/>
              </w:rPr>
            </w:pPr>
            <w:r>
              <w:rPr>
                <w:rFonts w:hint="eastAsia" w:ascii="宋体" w:hAnsi="宋体" w:cs="宋体"/>
                <w:color w:val="auto"/>
                <w:kern w:val="0"/>
                <w:szCs w:val="21"/>
              </w:rPr>
              <w:t>　</w:t>
            </w:r>
          </w:p>
        </w:tc>
        <w:tc>
          <w:tcPr>
            <w:tcW w:w="2462" w:type="pct"/>
            <w:vAlign w:val="center"/>
          </w:tcPr>
          <w:p w14:paraId="553ADF23">
            <w:pPr>
              <w:widowControl/>
              <w:jc w:val="left"/>
              <w:rPr>
                <w:rFonts w:ascii="宋体" w:hAnsi="宋体" w:cs="宋体"/>
                <w:color w:val="auto"/>
                <w:kern w:val="0"/>
                <w:szCs w:val="21"/>
              </w:rPr>
            </w:pPr>
            <w:r>
              <w:rPr>
                <w:rFonts w:hint="eastAsia" w:ascii="宋体" w:hAnsi="宋体" w:cs="宋体"/>
                <w:color w:val="auto"/>
                <w:kern w:val="0"/>
                <w:szCs w:val="21"/>
              </w:rPr>
              <w:t>《室内照明用LED产品能效限定值及能效等级》（GB30255）</w:t>
            </w:r>
          </w:p>
        </w:tc>
      </w:tr>
      <w:tr w14:paraId="1965D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358" w:type="pct"/>
            <w:vMerge w:val="continue"/>
            <w:vAlign w:val="center"/>
          </w:tcPr>
          <w:p w14:paraId="1117AAEA">
            <w:pPr>
              <w:widowControl/>
              <w:jc w:val="left"/>
              <w:rPr>
                <w:rFonts w:ascii="宋体" w:hAnsi="宋体" w:cs="宋体"/>
                <w:color w:val="auto"/>
                <w:kern w:val="0"/>
                <w:szCs w:val="21"/>
              </w:rPr>
            </w:pPr>
          </w:p>
        </w:tc>
        <w:tc>
          <w:tcPr>
            <w:tcW w:w="586" w:type="pct"/>
            <w:vMerge w:val="continue"/>
            <w:vAlign w:val="center"/>
          </w:tcPr>
          <w:p w14:paraId="04CA0BFA">
            <w:pPr>
              <w:widowControl/>
              <w:jc w:val="left"/>
              <w:rPr>
                <w:rFonts w:ascii="宋体" w:hAnsi="宋体" w:cs="宋体"/>
                <w:color w:val="auto"/>
                <w:kern w:val="0"/>
                <w:szCs w:val="21"/>
              </w:rPr>
            </w:pPr>
          </w:p>
        </w:tc>
        <w:tc>
          <w:tcPr>
            <w:tcW w:w="716" w:type="pct"/>
            <w:vAlign w:val="center"/>
          </w:tcPr>
          <w:p w14:paraId="5B2E3FB4">
            <w:pPr>
              <w:widowControl/>
              <w:jc w:val="center"/>
              <w:rPr>
                <w:rFonts w:ascii="宋体" w:hAnsi="宋体" w:cs="宋体"/>
                <w:color w:val="auto"/>
                <w:kern w:val="0"/>
                <w:szCs w:val="21"/>
              </w:rPr>
            </w:pPr>
            <w:r>
              <w:rPr>
                <w:rFonts w:hint="eastAsia" w:ascii="宋体" w:hAnsi="宋体" w:cs="宋体"/>
                <w:color w:val="auto"/>
                <w:kern w:val="0"/>
                <w:szCs w:val="21"/>
              </w:rPr>
              <w:t>普通照明用非定向自镇流LED灯</w:t>
            </w:r>
          </w:p>
        </w:tc>
        <w:tc>
          <w:tcPr>
            <w:tcW w:w="879" w:type="pct"/>
            <w:vAlign w:val="center"/>
          </w:tcPr>
          <w:p w14:paraId="7072446B">
            <w:pPr>
              <w:widowControl/>
              <w:jc w:val="center"/>
              <w:rPr>
                <w:rFonts w:ascii="宋体" w:hAnsi="宋体" w:cs="宋体"/>
                <w:color w:val="auto"/>
                <w:kern w:val="0"/>
                <w:szCs w:val="21"/>
              </w:rPr>
            </w:pPr>
            <w:r>
              <w:rPr>
                <w:rFonts w:hint="eastAsia" w:ascii="宋体" w:hAnsi="宋体" w:cs="宋体"/>
                <w:color w:val="auto"/>
                <w:kern w:val="0"/>
                <w:szCs w:val="21"/>
              </w:rPr>
              <w:t>　</w:t>
            </w:r>
          </w:p>
        </w:tc>
        <w:tc>
          <w:tcPr>
            <w:tcW w:w="2462" w:type="pct"/>
            <w:vAlign w:val="center"/>
          </w:tcPr>
          <w:p w14:paraId="1D8FF02F">
            <w:pPr>
              <w:widowControl/>
              <w:jc w:val="left"/>
              <w:rPr>
                <w:rFonts w:ascii="宋体" w:hAnsi="宋体" w:cs="宋体"/>
                <w:color w:val="auto"/>
                <w:kern w:val="0"/>
                <w:szCs w:val="21"/>
              </w:rPr>
            </w:pPr>
            <w:r>
              <w:rPr>
                <w:rFonts w:hint="eastAsia" w:ascii="宋体" w:hAnsi="宋体" w:cs="宋体"/>
                <w:color w:val="auto"/>
                <w:kern w:val="0"/>
                <w:szCs w:val="21"/>
              </w:rPr>
              <w:t>《室内照明用LED产品能效限定值及能效等级》（GB30255）</w:t>
            </w:r>
          </w:p>
        </w:tc>
      </w:tr>
      <w:tr w14:paraId="30725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358" w:type="pct"/>
            <w:vAlign w:val="center"/>
          </w:tcPr>
          <w:p w14:paraId="0F985873">
            <w:pPr>
              <w:widowControl/>
              <w:jc w:val="center"/>
              <w:rPr>
                <w:rFonts w:ascii="宋体" w:hAnsi="宋体" w:cs="宋体"/>
                <w:color w:val="auto"/>
                <w:kern w:val="0"/>
                <w:szCs w:val="21"/>
              </w:rPr>
            </w:pPr>
            <w:r>
              <w:rPr>
                <w:rFonts w:hint="eastAsia" w:ascii="宋体" w:hAnsi="宋体" w:cs="宋体"/>
                <w:color w:val="auto"/>
                <w:kern w:val="0"/>
                <w:szCs w:val="21"/>
              </w:rPr>
              <w:t>12</w:t>
            </w:r>
          </w:p>
        </w:tc>
        <w:tc>
          <w:tcPr>
            <w:tcW w:w="586" w:type="pct"/>
            <w:vAlign w:val="center"/>
          </w:tcPr>
          <w:p w14:paraId="3186E074">
            <w:pPr>
              <w:widowControl/>
              <w:jc w:val="center"/>
              <w:rPr>
                <w:rFonts w:ascii="宋体" w:hAnsi="宋体" w:cs="宋体"/>
                <w:color w:val="auto"/>
                <w:kern w:val="0"/>
                <w:szCs w:val="21"/>
              </w:rPr>
            </w:pPr>
            <w:r>
              <w:rPr>
                <w:rFonts w:hint="eastAsia" w:ascii="宋体" w:hAnsi="宋体" w:cs="宋体"/>
                <w:color w:val="auto"/>
                <w:kern w:val="0"/>
                <w:szCs w:val="21"/>
              </w:rPr>
              <w:t>★A020910电视设备</w:t>
            </w:r>
          </w:p>
        </w:tc>
        <w:tc>
          <w:tcPr>
            <w:tcW w:w="716" w:type="pct"/>
            <w:vAlign w:val="center"/>
          </w:tcPr>
          <w:p w14:paraId="45F1705A">
            <w:pPr>
              <w:widowControl/>
              <w:jc w:val="center"/>
              <w:rPr>
                <w:rFonts w:ascii="宋体" w:hAnsi="宋体" w:cs="宋体"/>
                <w:color w:val="auto"/>
                <w:kern w:val="0"/>
                <w:szCs w:val="21"/>
              </w:rPr>
            </w:pPr>
            <w:r>
              <w:rPr>
                <w:rFonts w:hint="eastAsia" w:ascii="宋体" w:hAnsi="宋体" w:cs="宋体"/>
                <w:color w:val="auto"/>
                <w:kern w:val="0"/>
                <w:szCs w:val="21"/>
              </w:rPr>
              <w:t>A02091001普通电视设备（电视机）</w:t>
            </w:r>
          </w:p>
        </w:tc>
        <w:tc>
          <w:tcPr>
            <w:tcW w:w="879" w:type="pct"/>
            <w:vAlign w:val="center"/>
          </w:tcPr>
          <w:p w14:paraId="56D1AC1E">
            <w:pPr>
              <w:widowControl/>
              <w:jc w:val="center"/>
              <w:rPr>
                <w:rFonts w:ascii="宋体" w:hAnsi="宋体" w:cs="宋体"/>
                <w:color w:val="auto"/>
                <w:kern w:val="0"/>
                <w:szCs w:val="21"/>
              </w:rPr>
            </w:pPr>
            <w:r>
              <w:rPr>
                <w:rFonts w:hint="eastAsia" w:ascii="宋体" w:hAnsi="宋体" w:cs="宋体"/>
                <w:color w:val="auto"/>
                <w:kern w:val="0"/>
                <w:szCs w:val="21"/>
              </w:rPr>
              <w:t>　</w:t>
            </w:r>
          </w:p>
        </w:tc>
        <w:tc>
          <w:tcPr>
            <w:tcW w:w="2462" w:type="pct"/>
            <w:vAlign w:val="center"/>
          </w:tcPr>
          <w:p w14:paraId="510C9322">
            <w:pPr>
              <w:widowControl/>
              <w:jc w:val="left"/>
              <w:rPr>
                <w:rFonts w:ascii="宋体" w:hAnsi="宋体" w:cs="宋体"/>
                <w:color w:val="auto"/>
                <w:kern w:val="0"/>
                <w:szCs w:val="21"/>
              </w:rPr>
            </w:pPr>
            <w:r>
              <w:rPr>
                <w:rFonts w:hint="eastAsia" w:ascii="宋体" w:hAnsi="宋体" w:cs="宋体"/>
                <w:color w:val="auto"/>
                <w:kern w:val="0"/>
                <w:szCs w:val="21"/>
              </w:rPr>
              <w:t>《平板电视能效限定值及能效等级》（GB24850）</w:t>
            </w:r>
          </w:p>
        </w:tc>
      </w:tr>
      <w:tr w14:paraId="13170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358" w:type="pct"/>
            <w:vAlign w:val="center"/>
          </w:tcPr>
          <w:p w14:paraId="0E480777">
            <w:pPr>
              <w:widowControl/>
              <w:jc w:val="center"/>
              <w:rPr>
                <w:rFonts w:ascii="宋体" w:hAnsi="宋体" w:cs="宋体"/>
                <w:color w:val="auto"/>
                <w:kern w:val="0"/>
                <w:szCs w:val="21"/>
              </w:rPr>
            </w:pPr>
            <w:r>
              <w:rPr>
                <w:rFonts w:hint="eastAsia" w:ascii="宋体" w:hAnsi="宋体" w:cs="宋体"/>
                <w:color w:val="auto"/>
                <w:kern w:val="0"/>
                <w:szCs w:val="21"/>
              </w:rPr>
              <w:t>13</w:t>
            </w:r>
          </w:p>
        </w:tc>
        <w:tc>
          <w:tcPr>
            <w:tcW w:w="586" w:type="pct"/>
            <w:vAlign w:val="center"/>
          </w:tcPr>
          <w:p w14:paraId="37E5D031">
            <w:pPr>
              <w:widowControl/>
              <w:jc w:val="center"/>
              <w:rPr>
                <w:rFonts w:ascii="宋体" w:hAnsi="宋体" w:cs="宋体"/>
                <w:color w:val="auto"/>
                <w:kern w:val="0"/>
                <w:szCs w:val="21"/>
              </w:rPr>
            </w:pPr>
            <w:r>
              <w:rPr>
                <w:rFonts w:hint="eastAsia" w:ascii="宋体" w:hAnsi="宋体" w:cs="宋体"/>
                <w:color w:val="auto"/>
                <w:kern w:val="0"/>
                <w:szCs w:val="21"/>
              </w:rPr>
              <w:t>★A020911视频设备</w:t>
            </w:r>
          </w:p>
        </w:tc>
        <w:tc>
          <w:tcPr>
            <w:tcW w:w="716" w:type="pct"/>
            <w:vAlign w:val="center"/>
          </w:tcPr>
          <w:p w14:paraId="568B37EC">
            <w:pPr>
              <w:widowControl/>
              <w:jc w:val="center"/>
              <w:rPr>
                <w:rFonts w:ascii="宋体" w:hAnsi="宋体" w:cs="宋体"/>
                <w:color w:val="auto"/>
                <w:kern w:val="0"/>
                <w:szCs w:val="21"/>
              </w:rPr>
            </w:pPr>
            <w:r>
              <w:rPr>
                <w:rFonts w:hint="eastAsia" w:ascii="宋体" w:hAnsi="宋体" w:cs="宋体"/>
                <w:color w:val="auto"/>
                <w:kern w:val="0"/>
                <w:szCs w:val="21"/>
              </w:rPr>
              <w:t>A02091107视频监控设备</w:t>
            </w:r>
          </w:p>
        </w:tc>
        <w:tc>
          <w:tcPr>
            <w:tcW w:w="879" w:type="pct"/>
            <w:vAlign w:val="center"/>
          </w:tcPr>
          <w:p w14:paraId="30EC4EFE">
            <w:pPr>
              <w:widowControl/>
              <w:jc w:val="center"/>
              <w:rPr>
                <w:rFonts w:ascii="宋体" w:hAnsi="宋体" w:cs="宋体"/>
                <w:color w:val="auto"/>
                <w:kern w:val="0"/>
                <w:szCs w:val="21"/>
              </w:rPr>
            </w:pPr>
            <w:r>
              <w:rPr>
                <w:rFonts w:hint="eastAsia" w:ascii="宋体" w:hAnsi="宋体" w:cs="宋体"/>
                <w:color w:val="auto"/>
                <w:kern w:val="0"/>
                <w:szCs w:val="21"/>
              </w:rPr>
              <w:t>监视器</w:t>
            </w:r>
          </w:p>
        </w:tc>
        <w:tc>
          <w:tcPr>
            <w:tcW w:w="2462" w:type="pct"/>
            <w:vAlign w:val="center"/>
          </w:tcPr>
          <w:p w14:paraId="759C8761">
            <w:pPr>
              <w:widowControl/>
              <w:jc w:val="left"/>
              <w:rPr>
                <w:rFonts w:ascii="宋体" w:hAnsi="宋体" w:cs="宋体"/>
                <w:color w:val="auto"/>
                <w:kern w:val="0"/>
                <w:szCs w:val="21"/>
              </w:rPr>
            </w:pPr>
            <w:r>
              <w:rPr>
                <w:rFonts w:hint="eastAsia" w:ascii="宋体" w:hAnsi="宋体" w:cs="宋体"/>
                <w:color w:val="auto"/>
                <w:kern w:val="0"/>
                <w:szCs w:val="21"/>
              </w:rPr>
              <w:t>以射频信号为主要信号输入的监视器应符合《平板电视能效限定值及能效等级》（GB24850），以数字信号为主要信号输入的监视器应符合《计算机显示器能效限定值及能效等级》（GB21520）</w:t>
            </w:r>
          </w:p>
        </w:tc>
      </w:tr>
      <w:tr w14:paraId="13675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358" w:type="pct"/>
            <w:vAlign w:val="center"/>
          </w:tcPr>
          <w:p w14:paraId="4906C1C9">
            <w:pPr>
              <w:widowControl/>
              <w:jc w:val="center"/>
              <w:rPr>
                <w:rFonts w:ascii="宋体" w:hAnsi="宋体" w:cs="宋体"/>
                <w:color w:val="auto"/>
                <w:kern w:val="0"/>
                <w:szCs w:val="21"/>
              </w:rPr>
            </w:pPr>
            <w:r>
              <w:rPr>
                <w:rFonts w:hint="eastAsia" w:ascii="宋体" w:hAnsi="宋体" w:cs="宋体"/>
                <w:color w:val="auto"/>
                <w:kern w:val="0"/>
                <w:szCs w:val="21"/>
              </w:rPr>
              <w:t>14</w:t>
            </w:r>
          </w:p>
        </w:tc>
        <w:tc>
          <w:tcPr>
            <w:tcW w:w="586" w:type="pct"/>
            <w:vAlign w:val="center"/>
          </w:tcPr>
          <w:p w14:paraId="1379473F">
            <w:pPr>
              <w:widowControl/>
              <w:jc w:val="center"/>
              <w:rPr>
                <w:rFonts w:ascii="宋体" w:hAnsi="宋体" w:cs="宋体"/>
                <w:color w:val="auto"/>
                <w:kern w:val="0"/>
                <w:szCs w:val="21"/>
              </w:rPr>
            </w:pPr>
            <w:r>
              <w:rPr>
                <w:rFonts w:hint="eastAsia" w:ascii="宋体" w:hAnsi="宋体" w:cs="宋体"/>
                <w:color w:val="auto"/>
                <w:kern w:val="0"/>
                <w:szCs w:val="21"/>
              </w:rPr>
              <w:t>A031210饮食炊事机械</w:t>
            </w:r>
          </w:p>
        </w:tc>
        <w:tc>
          <w:tcPr>
            <w:tcW w:w="716" w:type="pct"/>
            <w:vAlign w:val="center"/>
          </w:tcPr>
          <w:p w14:paraId="6D12134B">
            <w:pPr>
              <w:widowControl/>
              <w:jc w:val="center"/>
              <w:rPr>
                <w:rFonts w:ascii="宋体" w:hAnsi="宋体" w:cs="宋体"/>
                <w:color w:val="auto"/>
                <w:kern w:val="0"/>
                <w:szCs w:val="21"/>
              </w:rPr>
            </w:pPr>
            <w:r>
              <w:rPr>
                <w:rFonts w:hint="eastAsia" w:ascii="宋体" w:hAnsi="宋体" w:cs="宋体"/>
                <w:color w:val="auto"/>
                <w:kern w:val="0"/>
                <w:szCs w:val="21"/>
              </w:rPr>
              <w:t>商用燃气灶具</w:t>
            </w:r>
          </w:p>
        </w:tc>
        <w:tc>
          <w:tcPr>
            <w:tcW w:w="879" w:type="pct"/>
            <w:vAlign w:val="center"/>
          </w:tcPr>
          <w:p w14:paraId="29806D2E">
            <w:pPr>
              <w:widowControl/>
              <w:jc w:val="center"/>
              <w:rPr>
                <w:rFonts w:ascii="宋体" w:hAnsi="宋体" w:cs="宋体"/>
                <w:color w:val="auto"/>
                <w:kern w:val="0"/>
                <w:szCs w:val="21"/>
              </w:rPr>
            </w:pPr>
            <w:r>
              <w:rPr>
                <w:rFonts w:hint="eastAsia" w:ascii="宋体" w:hAnsi="宋体" w:cs="宋体"/>
                <w:color w:val="auto"/>
                <w:kern w:val="0"/>
                <w:szCs w:val="21"/>
              </w:rPr>
              <w:t>　</w:t>
            </w:r>
          </w:p>
        </w:tc>
        <w:tc>
          <w:tcPr>
            <w:tcW w:w="2462" w:type="pct"/>
            <w:vAlign w:val="center"/>
          </w:tcPr>
          <w:p w14:paraId="3E768FDF">
            <w:pPr>
              <w:widowControl/>
              <w:jc w:val="left"/>
              <w:rPr>
                <w:rFonts w:ascii="宋体" w:hAnsi="宋体" w:cs="宋体"/>
                <w:color w:val="auto"/>
                <w:kern w:val="0"/>
                <w:szCs w:val="21"/>
              </w:rPr>
            </w:pPr>
            <w:r>
              <w:rPr>
                <w:rFonts w:hint="eastAsia" w:ascii="宋体" w:hAnsi="宋体" w:cs="宋体"/>
                <w:color w:val="auto"/>
                <w:kern w:val="0"/>
                <w:szCs w:val="21"/>
              </w:rPr>
              <w:t>《商用燃气灶具能效限定值及能效等级》（GB30531）</w:t>
            </w:r>
          </w:p>
        </w:tc>
      </w:tr>
      <w:tr w14:paraId="641FF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58" w:type="pct"/>
            <w:vMerge w:val="restart"/>
            <w:vAlign w:val="center"/>
          </w:tcPr>
          <w:p w14:paraId="132129DB">
            <w:pPr>
              <w:widowControl/>
              <w:jc w:val="center"/>
              <w:rPr>
                <w:rFonts w:ascii="宋体" w:hAnsi="宋体" w:cs="宋体"/>
                <w:color w:val="auto"/>
                <w:kern w:val="0"/>
                <w:szCs w:val="21"/>
              </w:rPr>
            </w:pPr>
            <w:r>
              <w:rPr>
                <w:rFonts w:hint="eastAsia" w:ascii="宋体" w:hAnsi="宋体" w:cs="宋体"/>
                <w:color w:val="auto"/>
                <w:kern w:val="0"/>
                <w:szCs w:val="21"/>
              </w:rPr>
              <w:t>15</w:t>
            </w:r>
          </w:p>
        </w:tc>
        <w:tc>
          <w:tcPr>
            <w:tcW w:w="586" w:type="pct"/>
            <w:vMerge w:val="restart"/>
            <w:vAlign w:val="center"/>
          </w:tcPr>
          <w:p w14:paraId="35BDC730">
            <w:pPr>
              <w:widowControl/>
              <w:jc w:val="center"/>
              <w:rPr>
                <w:rFonts w:ascii="宋体" w:hAnsi="宋体" w:cs="宋体"/>
                <w:color w:val="auto"/>
                <w:kern w:val="0"/>
                <w:szCs w:val="21"/>
              </w:rPr>
            </w:pPr>
            <w:r>
              <w:rPr>
                <w:rFonts w:hint="eastAsia" w:ascii="宋体" w:hAnsi="宋体" w:cs="宋体"/>
                <w:color w:val="auto"/>
                <w:kern w:val="0"/>
                <w:szCs w:val="21"/>
              </w:rPr>
              <w:t>★A060805便器</w:t>
            </w:r>
          </w:p>
        </w:tc>
        <w:tc>
          <w:tcPr>
            <w:tcW w:w="716" w:type="pct"/>
            <w:vAlign w:val="center"/>
          </w:tcPr>
          <w:p w14:paraId="534AF5BA">
            <w:pPr>
              <w:widowControl/>
              <w:jc w:val="center"/>
              <w:rPr>
                <w:rFonts w:ascii="宋体" w:hAnsi="宋体" w:cs="宋体"/>
                <w:color w:val="auto"/>
                <w:kern w:val="0"/>
                <w:szCs w:val="21"/>
              </w:rPr>
            </w:pPr>
            <w:r>
              <w:rPr>
                <w:rFonts w:hint="eastAsia" w:ascii="宋体" w:hAnsi="宋体" w:cs="宋体"/>
                <w:color w:val="auto"/>
                <w:kern w:val="0"/>
                <w:szCs w:val="21"/>
              </w:rPr>
              <w:t>坐便器</w:t>
            </w:r>
          </w:p>
        </w:tc>
        <w:tc>
          <w:tcPr>
            <w:tcW w:w="879" w:type="pct"/>
            <w:vAlign w:val="center"/>
          </w:tcPr>
          <w:p w14:paraId="6F499B6F">
            <w:pPr>
              <w:widowControl/>
              <w:jc w:val="center"/>
              <w:rPr>
                <w:rFonts w:ascii="宋体" w:hAnsi="宋体" w:cs="宋体"/>
                <w:color w:val="auto"/>
                <w:kern w:val="0"/>
                <w:szCs w:val="21"/>
              </w:rPr>
            </w:pPr>
            <w:r>
              <w:rPr>
                <w:rFonts w:hint="eastAsia" w:ascii="宋体" w:hAnsi="宋体" w:cs="宋体"/>
                <w:color w:val="auto"/>
                <w:kern w:val="0"/>
                <w:szCs w:val="21"/>
              </w:rPr>
              <w:t>　</w:t>
            </w:r>
          </w:p>
        </w:tc>
        <w:tc>
          <w:tcPr>
            <w:tcW w:w="2462" w:type="pct"/>
            <w:vAlign w:val="center"/>
          </w:tcPr>
          <w:p w14:paraId="4936AAE4">
            <w:pPr>
              <w:widowControl/>
              <w:jc w:val="left"/>
              <w:rPr>
                <w:rFonts w:ascii="宋体" w:hAnsi="宋体" w:cs="宋体"/>
                <w:color w:val="auto"/>
                <w:kern w:val="0"/>
                <w:szCs w:val="21"/>
              </w:rPr>
            </w:pPr>
            <w:r>
              <w:rPr>
                <w:rFonts w:hint="eastAsia" w:ascii="宋体" w:hAnsi="宋体" w:cs="宋体"/>
                <w:color w:val="auto"/>
                <w:kern w:val="0"/>
                <w:szCs w:val="21"/>
              </w:rPr>
              <w:t>《坐便器水效限定值及水效等级》（GB25502）</w:t>
            </w:r>
          </w:p>
        </w:tc>
      </w:tr>
      <w:tr w14:paraId="7FCCE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358" w:type="pct"/>
            <w:vMerge w:val="continue"/>
            <w:vAlign w:val="center"/>
          </w:tcPr>
          <w:p w14:paraId="44012D99">
            <w:pPr>
              <w:widowControl/>
              <w:jc w:val="left"/>
              <w:rPr>
                <w:rFonts w:ascii="宋体" w:hAnsi="宋体" w:cs="宋体"/>
                <w:color w:val="auto"/>
                <w:kern w:val="0"/>
                <w:szCs w:val="21"/>
              </w:rPr>
            </w:pPr>
          </w:p>
        </w:tc>
        <w:tc>
          <w:tcPr>
            <w:tcW w:w="586" w:type="pct"/>
            <w:vMerge w:val="continue"/>
            <w:vAlign w:val="center"/>
          </w:tcPr>
          <w:p w14:paraId="6CB2BC29">
            <w:pPr>
              <w:widowControl/>
              <w:jc w:val="left"/>
              <w:rPr>
                <w:rFonts w:ascii="宋体" w:hAnsi="宋体" w:cs="宋体"/>
                <w:color w:val="auto"/>
                <w:kern w:val="0"/>
                <w:szCs w:val="21"/>
              </w:rPr>
            </w:pPr>
          </w:p>
        </w:tc>
        <w:tc>
          <w:tcPr>
            <w:tcW w:w="716" w:type="pct"/>
            <w:vAlign w:val="center"/>
          </w:tcPr>
          <w:p w14:paraId="2AF47C36">
            <w:pPr>
              <w:widowControl/>
              <w:jc w:val="center"/>
              <w:rPr>
                <w:rFonts w:ascii="宋体" w:hAnsi="宋体" w:cs="宋体"/>
                <w:color w:val="auto"/>
                <w:kern w:val="0"/>
                <w:szCs w:val="21"/>
              </w:rPr>
            </w:pPr>
            <w:r>
              <w:rPr>
                <w:rFonts w:hint="eastAsia" w:ascii="宋体" w:hAnsi="宋体" w:cs="宋体"/>
                <w:color w:val="auto"/>
                <w:kern w:val="0"/>
                <w:szCs w:val="21"/>
              </w:rPr>
              <w:t>蹲便器</w:t>
            </w:r>
          </w:p>
        </w:tc>
        <w:tc>
          <w:tcPr>
            <w:tcW w:w="879" w:type="pct"/>
            <w:vAlign w:val="center"/>
          </w:tcPr>
          <w:p w14:paraId="3C319D1A">
            <w:pPr>
              <w:widowControl/>
              <w:jc w:val="center"/>
              <w:rPr>
                <w:rFonts w:ascii="宋体" w:hAnsi="宋体" w:cs="宋体"/>
                <w:color w:val="auto"/>
                <w:kern w:val="0"/>
                <w:szCs w:val="21"/>
              </w:rPr>
            </w:pPr>
            <w:r>
              <w:rPr>
                <w:rFonts w:hint="eastAsia" w:ascii="宋体" w:hAnsi="宋体" w:cs="宋体"/>
                <w:color w:val="auto"/>
                <w:kern w:val="0"/>
                <w:szCs w:val="21"/>
              </w:rPr>
              <w:t>　</w:t>
            </w:r>
          </w:p>
        </w:tc>
        <w:tc>
          <w:tcPr>
            <w:tcW w:w="2462" w:type="pct"/>
            <w:vAlign w:val="center"/>
          </w:tcPr>
          <w:p w14:paraId="17925F38">
            <w:pPr>
              <w:widowControl/>
              <w:jc w:val="left"/>
              <w:rPr>
                <w:rFonts w:ascii="宋体" w:hAnsi="宋体" w:cs="宋体"/>
                <w:color w:val="auto"/>
                <w:kern w:val="0"/>
                <w:szCs w:val="21"/>
              </w:rPr>
            </w:pPr>
            <w:r>
              <w:rPr>
                <w:rFonts w:hint="eastAsia" w:ascii="宋体" w:hAnsi="宋体" w:cs="宋体"/>
                <w:color w:val="auto"/>
                <w:kern w:val="0"/>
                <w:szCs w:val="21"/>
              </w:rPr>
              <w:t>《蹲便器用水效率限定值及用水效率等级》（GB30717）</w:t>
            </w:r>
          </w:p>
        </w:tc>
      </w:tr>
      <w:tr w14:paraId="072E5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358" w:type="pct"/>
            <w:vMerge w:val="continue"/>
            <w:vAlign w:val="center"/>
          </w:tcPr>
          <w:p w14:paraId="24F90E3C">
            <w:pPr>
              <w:widowControl/>
              <w:jc w:val="left"/>
              <w:rPr>
                <w:rFonts w:ascii="宋体" w:hAnsi="宋体" w:cs="宋体"/>
                <w:color w:val="auto"/>
                <w:kern w:val="0"/>
                <w:szCs w:val="21"/>
              </w:rPr>
            </w:pPr>
          </w:p>
        </w:tc>
        <w:tc>
          <w:tcPr>
            <w:tcW w:w="586" w:type="pct"/>
            <w:vMerge w:val="continue"/>
            <w:vAlign w:val="center"/>
          </w:tcPr>
          <w:p w14:paraId="45215EC5">
            <w:pPr>
              <w:widowControl/>
              <w:jc w:val="left"/>
              <w:rPr>
                <w:rFonts w:ascii="宋体" w:hAnsi="宋体" w:cs="宋体"/>
                <w:color w:val="auto"/>
                <w:kern w:val="0"/>
                <w:szCs w:val="21"/>
              </w:rPr>
            </w:pPr>
          </w:p>
        </w:tc>
        <w:tc>
          <w:tcPr>
            <w:tcW w:w="716" w:type="pct"/>
            <w:vAlign w:val="center"/>
          </w:tcPr>
          <w:p w14:paraId="5A695835">
            <w:pPr>
              <w:widowControl/>
              <w:jc w:val="center"/>
              <w:rPr>
                <w:rFonts w:ascii="宋体" w:hAnsi="宋体" w:cs="宋体"/>
                <w:color w:val="auto"/>
                <w:kern w:val="0"/>
                <w:szCs w:val="21"/>
              </w:rPr>
            </w:pPr>
            <w:r>
              <w:rPr>
                <w:rFonts w:hint="eastAsia" w:ascii="宋体" w:hAnsi="宋体" w:cs="宋体"/>
                <w:color w:val="auto"/>
                <w:kern w:val="0"/>
                <w:szCs w:val="21"/>
              </w:rPr>
              <w:t>小便器</w:t>
            </w:r>
          </w:p>
        </w:tc>
        <w:tc>
          <w:tcPr>
            <w:tcW w:w="879" w:type="pct"/>
            <w:vAlign w:val="center"/>
          </w:tcPr>
          <w:p w14:paraId="2CC77C78">
            <w:pPr>
              <w:widowControl/>
              <w:jc w:val="center"/>
              <w:rPr>
                <w:rFonts w:ascii="宋体" w:hAnsi="宋体" w:cs="宋体"/>
                <w:color w:val="auto"/>
                <w:kern w:val="0"/>
                <w:szCs w:val="21"/>
              </w:rPr>
            </w:pPr>
            <w:r>
              <w:rPr>
                <w:rFonts w:hint="eastAsia" w:ascii="宋体" w:hAnsi="宋体" w:cs="宋体"/>
                <w:color w:val="auto"/>
                <w:kern w:val="0"/>
                <w:szCs w:val="21"/>
              </w:rPr>
              <w:t>　</w:t>
            </w:r>
          </w:p>
        </w:tc>
        <w:tc>
          <w:tcPr>
            <w:tcW w:w="2462" w:type="pct"/>
            <w:vAlign w:val="center"/>
          </w:tcPr>
          <w:p w14:paraId="53109290">
            <w:pPr>
              <w:widowControl/>
              <w:jc w:val="left"/>
              <w:rPr>
                <w:rFonts w:ascii="宋体" w:hAnsi="宋体" w:cs="宋体"/>
                <w:color w:val="auto"/>
                <w:kern w:val="0"/>
                <w:szCs w:val="21"/>
              </w:rPr>
            </w:pPr>
            <w:r>
              <w:rPr>
                <w:rFonts w:hint="eastAsia" w:ascii="宋体" w:hAnsi="宋体" w:cs="宋体"/>
                <w:color w:val="auto"/>
                <w:kern w:val="0"/>
                <w:szCs w:val="21"/>
              </w:rPr>
              <w:t>《小便器用水效率限定值及用水效率等级》（GB28377）</w:t>
            </w:r>
          </w:p>
        </w:tc>
      </w:tr>
      <w:tr w14:paraId="38C98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358" w:type="pct"/>
            <w:vAlign w:val="center"/>
          </w:tcPr>
          <w:p w14:paraId="1A908975">
            <w:pPr>
              <w:widowControl/>
              <w:jc w:val="center"/>
              <w:rPr>
                <w:rFonts w:ascii="宋体" w:hAnsi="宋体" w:cs="宋体"/>
                <w:color w:val="auto"/>
                <w:kern w:val="0"/>
                <w:szCs w:val="21"/>
              </w:rPr>
            </w:pPr>
            <w:r>
              <w:rPr>
                <w:rFonts w:hint="eastAsia" w:ascii="宋体" w:hAnsi="宋体" w:cs="宋体"/>
                <w:color w:val="auto"/>
                <w:kern w:val="0"/>
                <w:szCs w:val="21"/>
              </w:rPr>
              <w:t>16</w:t>
            </w:r>
          </w:p>
        </w:tc>
        <w:tc>
          <w:tcPr>
            <w:tcW w:w="586" w:type="pct"/>
            <w:vAlign w:val="center"/>
          </w:tcPr>
          <w:p w14:paraId="3CDA8139">
            <w:pPr>
              <w:widowControl/>
              <w:jc w:val="center"/>
              <w:rPr>
                <w:rFonts w:ascii="宋体" w:hAnsi="宋体" w:cs="宋体"/>
                <w:color w:val="auto"/>
                <w:kern w:val="0"/>
                <w:szCs w:val="21"/>
              </w:rPr>
            </w:pPr>
            <w:r>
              <w:rPr>
                <w:rFonts w:hint="eastAsia" w:ascii="宋体" w:hAnsi="宋体" w:cs="宋体"/>
                <w:color w:val="auto"/>
                <w:kern w:val="0"/>
                <w:szCs w:val="21"/>
              </w:rPr>
              <w:t>★A060806水嘴</w:t>
            </w:r>
          </w:p>
        </w:tc>
        <w:tc>
          <w:tcPr>
            <w:tcW w:w="716" w:type="pct"/>
            <w:vAlign w:val="center"/>
          </w:tcPr>
          <w:p w14:paraId="2F5DF7E8">
            <w:pPr>
              <w:widowControl/>
              <w:jc w:val="center"/>
              <w:rPr>
                <w:rFonts w:ascii="宋体" w:hAnsi="宋体" w:cs="宋体"/>
                <w:color w:val="auto"/>
                <w:kern w:val="0"/>
                <w:szCs w:val="21"/>
              </w:rPr>
            </w:pPr>
            <w:r>
              <w:rPr>
                <w:rFonts w:hint="eastAsia" w:ascii="宋体" w:hAnsi="宋体" w:cs="宋体"/>
                <w:color w:val="auto"/>
                <w:kern w:val="0"/>
                <w:szCs w:val="21"/>
              </w:rPr>
              <w:t>　</w:t>
            </w:r>
          </w:p>
        </w:tc>
        <w:tc>
          <w:tcPr>
            <w:tcW w:w="879" w:type="pct"/>
            <w:vAlign w:val="center"/>
          </w:tcPr>
          <w:p w14:paraId="3A3DCD1D">
            <w:pPr>
              <w:widowControl/>
              <w:jc w:val="center"/>
              <w:rPr>
                <w:rFonts w:ascii="宋体" w:hAnsi="宋体" w:cs="宋体"/>
                <w:color w:val="auto"/>
                <w:kern w:val="0"/>
                <w:szCs w:val="21"/>
              </w:rPr>
            </w:pPr>
            <w:r>
              <w:rPr>
                <w:rFonts w:hint="eastAsia" w:ascii="宋体" w:hAnsi="宋体" w:cs="宋体"/>
                <w:color w:val="auto"/>
                <w:kern w:val="0"/>
                <w:szCs w:val="21"/>
              </w:rPr>
              <w:t>　</w:t>
            </w:r>
          </w:p>
        </w:tc>
        <w:tc>
          <w:tcPr>
            <w:tcW w:w="2462" w:type="pct"/>
            <w:vAlign w:val="center"/>
          </w:tcPr>
          <w:p w14:paraId="4A6C7D44">
            <w:pPr>
              <w:widowControl/>
              <w:jc w:val="left"/>
              <w:rPr>
                <w:rFonts w:ascii="宋体" w:hAnsi="宋体" w:cs="宋体"/>
                <w:color w:val="auto"/>
                <w:kern w:val="0"/>
                <w:szCs w:val="21"/>
              </w:rPr>
            </w:pPr>
            <w:r>
              <w:rPr>
                <w:rFonts w:hint="eastAsia" w:ascii="宋体" w:hAnsi="宋体" w:cs="宋体"/>
                <w:color w:val="auto"/>
                <w:kern w:val="0"/>
                <w:szCs w:val="21"/>
              </w:rPr>
              <w:t>《水嘴用水效率限定值及用水效率等级》（GB 25501）</w:t>
            </w:r>
          </w:p>
        </w:tc>
      </w:tr>
      <w:tr w14:paraId="26D06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358" w:type="pct"/>
            <w:vAlign w:val="center"/>
          </w:tcPr>
          <w:p w14:paraId="6AFD0EA3">
            <w:pPr>
              <w:widowControl/>
              <w:jc w:val="center"/>
              <w:rPr>
                <w:rFonts w:ascii="宋体" w:hAnsi="宋体" w:cs="宋体"/>
                <w:color w:val="auto"/>
                <w:kern w:val="0"/>
                <w:szCs w:val="21"/>
              </w:rPr>
            </w:pPr>
            <w:r>
              <w:rPr>
                <w:rFonts w:hint="eastAsia" w:ascii="宋体" w:hAnsi="宋体" w:cs="宋体"/>
                <w:color w:val="auto"/>
                <w:kern w:val="0"/>
                <w:szCs w:val="21"/>
              </w:rPr>
              <w:t>17</w:t>
            </w:r>
          </w:p>
        </w:tc>
        <w:tc>
          <w:tcPr>
            <w:tcW w:w="586" w:type="pct"/>
            <w:vAlign w:val="center"/>
          </w:tcPr>
          <w:p w14:paraId="07FE6F44">
            <w:pPr>
              <w:widowControl/>
              <w:jc w:val="center"/>
              <w:rPr>
                <w:rFonts w:ascii="宋体" w:hAnsi="宋体" w:cs="宋体"/>
                <w:color w:val="auto"/>
                <w:kern w:val="0"/>
                <w:szCs w:val="21"/>
              </w:rPr>
            </w:pPr>
            <w:r>
              <w:rPr>
                <w:rFonts w:hint="eastAsia" w:ascii="宋体" w:hAnsi="宋体" w:cs="宋体"/>
                <w:color w:val="auto"/>
                <w:kern w:val="0"/>
                <w:szCs w:val="21"/>
              </w:rPr>
              <w:t>A060807便器冲洗阀</w:t>
            </w:r>
          </w:p>
        </w:tc>
        <w:tc>
          <w:tcPr>
            <w:tcW w:w="716" w:type="pct"/>
            <w:vAlign w:val="center"/>
          </w:tcPr>
          <w:p w14:paraId="1EB3BF7A">
            <w:pPr>
              <w:widowControl/>
              <w:jc w:val="center"/>
              <w:rPr>
                <w:rFonts w:ascii="宋体" w:hAnsi="宋体" w:cs="宋体"/>
                <w:color w:val="auto"/>
                <w:kern w:val="0"/>
                <w:szCs w:val="21"/>
              </w:rPr>
            </w:pPr>
            <w:r>
              <w:rPr>
                <w:rFonts w:hint="eastAsia" w:ascii="宋体" w:hAnsi="宋体" w:cs="宋体"/>
                <w:color w:val="auto"/>
                <w:kern w:val="0"/>
                <w:szCs w:val="21"/>
              </w:rPr>
              <w:t>　</w:t>
            </w:r>
          </w:p>
        </w:tc>
        <w:tc>
          <w:tcPr>
            <w:tcW w:w="879" w:type="pct"/>
            <w:vAlign w:val="center"/>
          </w:tcPr>
          <w:p w14:paraId="1D6713CF">
            <w:pPr>
              <w:widowControl/>
              <w:jc w:val="center"/>
              <w:rPr>
                <w:rFonts w:ascii="宋体" w:hAnsi="宋体" w:cs="宋体"/>
                <w:color w:val="auto"/>
                <w:kern w:val="0"/>
                <w:szCs w:val="21"/>
              </w:rPr>
            </w:pPr>
            <w:r>
              <w:rPr>
                <w:rFonts w:hint="eastAsia" w:ascii="宋体" w:hAnsi="宋体" w:cs="宋体"/>
                <w:color w:val="auto"/>
                <w:kern w:val="0"/>
                <w:szCs w:val="21"/>
              </w:rPr>
              <w:t>　</w:t>
            </w:r>
          </w:p>
        </w:tc>
        <w:tc>
          <w:tcPr>
            <w:tcW w:w="2462" w:type="pct"/>
            <w:vAlign w:val="center"/>
          </w:tcPr>
          <w:p w14:paraId="6703938F">
            <w:pPr>
              <w:widowControl/>
              <w:jc w:val="left"/>
              <w:rPr>
                <w:rFonts w:ascii="宋体" w:hAnsi="宋体" w:cs="宋体"/>
                <w:color w:val="auto"/>
                <w:kern w:val="0"/>
                <w:szCs w:val="21"/>
              </w:rPr>
            </w:pPr>
            <w:r>
              <w:rPr>
                <w:rFonts w:hint="eastAsia" w:ascii="宋体" w:hAnsi="宋体" w:cs="宋体"/>
                <w:color w:val="auto"/>
                <w:kern w:val="0"/>
                <w:szCs w:val="21"/>
              </w:rPr>
              <w:t>《便器冲洗阀用水效率限定值及用水效率等级》（GB28379）</w:t>
            </w:r>
          </w:p>
        </w:tc>
      </w:tr>
      <w:tr w14:paraId="3BE35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358" w:type="pct"/>
            <w:vAlign w:val="center"/>
          </w:tcPr>
          <w:p w14:paraId="2A2F45E4">
            <w:pPr>
              <w:widowControl/>
              <w:jc w:val="center"/>
              <w:rPr>
                <w:rFonts w:ascii="宋体" w:hAnsi="宋体" w:cs="宋体"/>
                <w:color w:val="auto"/>
                <w:kern w:val="0"/>
                <w:szCs w:val="21"/>
              </w:rPr>
            </w:pPr>
            <w:r>
              <w:rPr>
                <w:rFonts w:hint="eastAsia" w:ascii="宋体" w:hAnsi="宋体" w:cs="宋体"/>
                <w:color w:val="auto"/>
                <w:kern w:val="0"/>
                <w:szCs w:val="21"/>
              </w:rPr>
              <w:t>18</w:t>
            </w:r>
          </w:p>
        </w:tc>
        <w:tc>
          <w:tcPr>
            <w:tcW w:w="586" w:type="pct"/>
            <w:vAlign w:val="center"/>
          </w:tcPr>
          <w:p w14:paraId="4DDE2275">
            <w:pPr>
              <w:widowControl/>
              <w:jc w:val="center"/>
              <w:rPr>
                <w:rFonts w:ascii="宋体" w:hAnsi="宋体" w:cs="宋体"/>
                <w:color w:val="auto"/>
                <w:kern w:val="0"/>
                <w:szCs w:val="21"/>
              </w:rPr>
            </w:pPr>
            <w:r>
              <w:rPr>
                <w:rFonts w:hint="eastAsia" w:ascii="宋体" w:hAnsi="宋体" w:cs="宋体"/>
                <w:color w:val="auto"/>
                <w:kern w:val="0"/>
                <w:szCs w:val="21"/>
              </w:rPr>
              <w:t>A060810淋浴器</w:t>
            </w:r>
          </w:p>
        </w:tc>
        <w:tc>
          <w:tcPr>
            <w:tcW w:w="716" w:type="pct"/>
            <w:vAlign w:val="center"/>
          </w:tcPr>
          <w:p w14:paraId="1A6E1BC8">
            <w:pPr>
              <w:widowControl/>
              <w:jc w:val="center"/>
              <w:rPr>
                <w:rFonts w:ascii="宋体" w:hAnsi="宋体" w:cs="宋体"/>
                <w:color w:val="auto"/>
                <w:kern w:val="0"/>
                <w:szCs w:val="21"/>
              </w:rPr>
            </w:pPr>
            <w:r>
              <w:rPr>
                <w:rFonts w:hint="eastAsia" w:ascii="宋体" w:hAnsi="宋体" w:cs="宋体"/>
                <w:color w:val="auto"/>
                <w:kern w:val="0"/>
                <w:szCs w:val="21"/>
              </w:rPr>
              <w:t>　</w:t>
            </w:r>
          </w:p>
        </w:tc>
        <w:tc>
          <w:tcPr>
            <w:tcW w:w="879" w:type="pct"/>
            <w:vAlign w:val="center"/>
          </w:tcPr>
          <w:p w14:paraId="1C29396E">
            <w:pPr>
              <w:widowControl/>
              <w:jc w:val="center"/>
              <w:rPr>
                <w:rFonts w:ascii="宋体" w:hAnsi="宋体" w:cs="宋体"/>
                <w:color w:val="auto"/>
                <w:kern w:val="0"/>
                <w:szCs w:val="21"/>
              </w:rPr>
            </w:pPr>
            <w:r>
              <w:rPr>
                <w:rFonts w:hint="eastAsia" w:ascii="宋体" w:hAnsi="宋体" w:cs="宋体"/>
                <w:color w:val="auto"/>
                <w:kern w:val="0"/>
                <w:szCs w:val="21"/>
              </w:rPr>
              <w:t>　</w:t>
            </w:r>
          </w:p>
        </w:tc>
        <w:tc>
          <w:tcPr>
            <w:tcW w:w="2462" w:type="pct"/>
            <w:vAlign w:val="center"/>
          </w:tcPr>
          <w:p w14:paraId="15E6F102">
            <w:pPr>
              <w:widowControl/>
              <w:jc w:val="left"/>
              <w:rPr>
                <w:rFonts w:ascii="宋体" w:hAnsi="宋体" w:cs="宋体"/>
                <w:color w:val="auto"/>
                <w:kern w:val="0"/>
                <w:szCs w:val="21"/>
              </w:rPr>
            </w:pPr>
            <w:r>
              <w:rPr>
                <w:rFonts w:hint="eastAsia" w:ascii="宋体" w:hAnsi="宋体" w:cs="宋体"/>
                <w:color w:val="auto"/>
                <w:kern w:val="0"/>
                <w:szCs w:val="21"/>
              </w:rPr>
              <w:t>《淋浴器用水效率限定值及用水效率等级》（GB28378）</w:t>
            </w:r>
          </w:p>
        </w:tc>
      </w:tr>
    </w:tbl>
    <w:p w14:paraId="444DF247">
      <w:pPr>
        <w:spacing w:line="360" w:lineRule="auto"/>
        <w:rPr>
          <w:rFonts w:ascii="宋体" w:hAnsi="宋体" w:cs="宋体"/>
          <w:color w:val="auto"/>
        </w:rPr>
      </w:pPr>
    </w:p>
    <w:p w14:paraId="5C89ECBA">
      <w:pPr>
        <w:spacing w:line="360" w:lineRule="auto"/>
        <w:rPr>
          <w:rFonts w:ascii="宋体" w:hAnsi="宋体" w:cs="宋体"/>
          <w:color w:val="auto"/>
        </w:rPr>
      </w:pPr>
    </w:p>
    <w:p w14:paraId="772DDAD7">
      <w:pPr>
        <w:spacing w:line="360" w:lineRule="auto"/>
        <w:rPr>
          <w:rFonts w:ascii="宋体" w:hAnsi="宋体" w:cs="宋体"/>
          <w:color w:val="auto"/>
        </w:rPr>
      </w:pPr>
    </w:p>
    <w:p w14:paraId="0272ED4F">
      <w:pPr>
        <w:spacing w:before="60" w:line="360" w:lineRule="auto"/>
        <w:ind w:left="43"/>
        <w:rPr>
          <w:rFonts w:ascii="宋体" w:hAnsi="宋体" w:cs="宋体"/>
          <w:color w:val="auto"/>
          <w:szCs w:val="21"/>
        </w:rPr>
      </w:pPr>
      <w:r>
        <w:rPr>
          <w:rFonts w:hint="eastAsia" w:ascii="宋体" w:hAnsi="宋体" w:cs="宋体"/>
          <w:color w:val="auto"/>
          <w:spacing w:val="-6"/>
          <w:szCs w:val="21"/>
        </w:rPr>
        <w:t>注：1.节</w:t>
      </w:r>
      <w:r>
        <w:rPr>
          <w:rFonts w:hint="eastAsia" w:ascii="宋体" w:hAnsi="宋体" w:cs="宋体"/>
          <w:color w:val="auto"/>
          <w:spacing w:val="-5"/>
          <w:szCs w:val="21"/>
        </w:rPr>
        <w:t>能</w:t>
      </w:r>
      <w:r>
        <w:rPr>
          <w:rFonts w:hint="eastAsia" w:ascii="宋体" w:hAnsi="宋体" w:cs="宋体"/>
          <w:color w:val="auto"/>
          <w:spacing w:val="-3"/>
          <w:szCs w:val="21"/>
        </w:rPr>
        <w:t>产品认证应依据相关国家标准的最新版本，依据国家标准中二级能效 (水效) 指标。</w:t>
      </w:r>
    </w:p>
    <w:p w14:paraId="5D322678">
      <w:pPr>
        <w:spacing w:line="360" w:lineRule="auto"/>
        <w:rPr>
          <w:rFonts w:ascii="宋体" w:hAnsi="宋体" w:cs="宋体"/>
          <w:color w:val="auto"/>
        </w:rPr>
      </w:pPr>
    </w:p>
    <w:p w14:paraId="5B9FA35D">
      <w:pPr>
        <w:spacing w:before="65" w:line="360" w:lineRule="auto"/>
        <w:ind w:left="446"/>
        <w:rPr>
          <w:rFonts w:ascii="宋体" w:hAnsi="宋体" w:cs="宋体"/>
          <w:color w:val="auto"/>
          <w:sz w:val="20"/>
          <w:szCs w:val="20"/>
        </w:rPr>
      </w:pPr>
      <w:r>
        <w:rPr>
          <w:rFonts w:hint="eastAsia" w:ascii="宋体" w:hAnsi="宋体" w:cs="宋体"/>
          <w:color w:val="auto"/>
          <w:spacing w:val="-1"/>
          <w:sz w:val="20"/>
          <w:szCs w:val="20"/>
        </w:rPr>
        <w:t>2.以“★”标注的为政</w:t>
      </w:r>
      <w:r>
        <w:rPr>
          <w:rFonts w:hint="eastAsia" w:ascii="宋体" w:hAnsi="宋体" w:cs="宋体"/>
          <w:color w:val="auto"/>
          <w:sz w:val="20"/>
          <w:szCs w:val="20"/>
        </w:rPr>
        <w:t>府强制采购产品。</w:t>
      </w:r>
    </w:p>
    <w:p w14:paraId="1787A5CE">
      <w:pPr>
        <w:spacing w:line="360" w:lineRule="auto"/>
        <w:rPr>
          <w:rFonts w:ascii="宋体" w:hAnsi="宋体" w:cs="宋体"/>
          <w:color w:val="auto"/>
        </w:rPr>
        <w:sectPr>
          <w:pgSz w:w="11905" w:h="16838"/>
          <w:pgMar w:top="1417" w:right="1134" w:bottom="1417" w:left="1100" w:header="703" w:footer="703" w:gutter="0"/>
          <w:cols w:space="720" w:num="1"/>
        </w:sectPr>
      </w:pPr>
    </w:p>
    <w:p w14:paraId="3A13F074">
      <w:pPr>
        <w:spacing w:line="360" w:lineRule="auto"/>
        <w:rPr>
          <w:rFonts w:ascii="宋体" w:hAnsi="宋体" w:cs="宋体"/>
          <w:color w:val="auto"/>
        </w:rPr>
      </w:pPr>
    </w:p>
    <w:p w14:paraId="09B13EE4">
      <w:pPr>
        <w:spacing w:before="104" w:line="360" w:lineRule="auto"/>
        <w:ind w:left="36"/>
        <w:rPr>
          <w:rFonts w:ascii="宋体" w:hAnsi="宋体" w:cs="宋体"/>
          <w:color w:val="auto"/>
          <w:sz w:val="32"/>
          <w:szCs w:val="32"/>
        </w:rPr>
      </w:pPr>
      <w:r>
        <w:rPr>
          <w:rFonts w:hint="eastAsia" w:ascii="宋体" w:hAnsi="宋体" w:cs="宋体"/>
          <w:color w:val="auto"/>
          <w:spacing w:val="-22"/>
          <w:sz w:val="32"/>
          <w:szCs w:val="32"/>
        </w:rPr>
        <w:t>附</w:t>
      </w:r>
      <w:r>
        <w:rPr>
          <w:rFonts w:hint="eastAsia" w:ascii="宋体" w:hAnsi="宋体" w:cs="宋体"/>
          <w:color w:val="auto"/>
          <w:spacing w:val="-21"/>
          <w:sz w:val="32"/>
          <w:szCs w:val="32"/>
        </w:rPr>
        <w:t>件 2：</w:t>
      </w:r>
    </w:p>
    <w:p w14:paraId="6C1ED107">
      <w:pPr>
        <w:spacing w:before="236" w:line="360" w:lineRule="auto"/>
        <w:jc w:val="center"/>
        <w:outlineLvl w:val="0"/>
        <w:rPr>
          <w:rFonts w:ascii="宋体" w:hAnsi="宋体" w:cs="宋体"/>
          <w:color w:val="auto"/>
          <w:sz w:val="40"/>
          <w:szCs w:val="40"/>
        </w:rPr>
      </w:pPr>
      <w:bookmarkStart w:id="6" w:name="_Toc13574"/>
      <w:r>
        <w:rPr>
          <w:rFonts w:hint="eastAsia" w:ascii="宋体" w:hAnsi="宋体" w:cs="宋体"/>
          <w:color w:val="auto"/>
          <w:spacing w:val="-14"/>
          <w:sz w:val="40"/>
          <w:szCs w:val="40"/>
        </w:rPr>
        <w:t>中</w:t>
      </w:r>
      <w:r>
        <w:rPr>
          <w:rFonts w:hint="eastAsia" w:ascii="宋体" w:hAnsi="宋体" w:cs="宋体"/>
          <w:color w:val="auto"/>
          <w:spacing w:val="-7"/>
          <w:sz w:val="40"/>
          <w:szCs w:val="40"/>
        </w:rPr>
        <w:t>小微企业划型标准</w:t>
      </w:r>
      <w:bookmarkEnd w:id="6"/>
    </w:p>
    <w:p w14:paraId="230CEE40">
      <w:pPr>
        <w:spacing w:line="360" w:lineRule="auto"/>
        <w:rPr>
          <w:rFonts w:ascii="宋体" w:hAnsi="宋体" w:cs="宋体"/>
          <w:color w:val="auto"/>
        </w:rPr>
      </w:pPr>
    </w:p>
    <w:tbl>
      <w:tblPr>
        <w:tblStyle w:val="26"/>
        <w:tblW w:w="9497" w:type="dxa"/>
        <w:jc w:val="center"/>
        <w:tblLayout w:type="fixed"/>
        <w:tblCellMar>
          <w:top w:w="0" w:type="dxa"/>
          <w:left w:w="108" w:type="dxa"/>
          <w:bottom w:w="0" w:type="dxa"/>
          <w:right w:w="108" w:type="dxa"/>
        </w:tblCellMar>
      </w:tblPr>
      <w:tblGrid>
        <w:gridCol w:w="1985"/>
        <w:gridCol w:w="1559"/>
        <w:gridCol w:w="1276"/>
        <w:gridCol w:w="1842"/>
        <w:gridCol w:w="1701"/>
        <w:gridCol w:w="1134"/>
      </w:tblGrid>
      <w:tr w14:paraId="5CE5BCF9">
        <w:tblPrEx>
          <w:tblCellMar>
            <w:top w:w="0" w:type="dxa"/>
            <w:left w:w="108" w:type="dxa"/>
            <w:bottom w:w="0" w:type="dxa"/>
            <w:right w:w="108" w:type="dxa"/>
          </w:tblCellMar>
        </w:tblPrEx>
        <w:trPr>
          <w:trHeight w:val="285" w:hRule="atLeast"/>
          <w:jc w:val="center"/>
        </w:trPr>
        <w:tc>
          <w:tcPr>
            <w:tcW w:w="1985" w:type="dxa"/>
            <w:tcBorders>
              <w:top w:val="single" w:color="auto" w:sz="4" w:space="0"/>
              <w:left w:val="single" w:color="auto" w:sz="4" w:space="0"/>
              <w:bottom w:val="single" w:color="auto" w:sz="4" w:space="0"/>
              <w:right w:val="single" w:color="auto" w:sz="4" w:space="0"/>
            </w:tcBorders>
            <w:vAlign w:val="center"/>
          </w:tcPr>
          <w:p w14:paraId="29D2A180">
            <w:pPr>
              <w:widowControl/>
              <w:jc w:val="left"/>
              <w:rPr>
                <w:rFonts w:ascii="宋体" w:hAnsi="宋体" w:cs="宋体"/>
                <w:b/>
                <w:color w:val="auto"/>
                <w:kern w:val="0"/>
                <w:szCs w:val="21"/>
              </w:rPr>
            </w:pPr>
            <w:r>
              <w:rPr>
                <w:rFonts w:hint="eastAsia" w:ascii="宋体" w:hAnsi="宋体" w:cs="宋体"/>
                <w:b/>
                <w:color w:val="auto"/>
                <w:kern w:val="0"/>
                <w:szCs w:val="21"/>
              </w:rPr>
              <w:t>行业名称</w:t>
            </w:r>
          </w:p>
        </w:tc>
        <w:tc>
          <w:tcPr>
            <w:tcW w:w="1559" w:type="dxa"/>
            <w:tcBorders>
              <w:top w:val="single" w:color="auto" w:sz="4" w:space="0"/>
              <w:left w:val="nil"/>
              <w:bottom w:val="single" w:color="auto" w:sz="4" w:space="0"/>
              <w:right w:val="single" w:color="auto" w:sz="4" w:space="0"/>
            </w:tcBorders>
            <w:vAlign w:val="center"/>
          </w:tcPr>
          <w:p w14:paraId="3DB4C396">
            <w:pPr>
              <w:widowControl/>
              <w:jc w:val="left"/>
              <w:rPr>
                <w:rFonts w:ascii="宋体" w:hAnsi="宋体" w:cs="宋体"/>
                <w:b/>
                <w:color w:val="auto"/>
                <w:kern w:val="0"/>
                <w:szCs w:val="21"/>
              </w:rPr>
            </w:pPr>
            <w:r>
              <w:rPr>
                <w:rFonts w:hint="eastAsia" w:ascii="宋体" w:hAnsi="宋体" w:cs="宋体"/>
                <w:b/>
                <w:color w:val="auto"/>
                <w:kern w:val="0"/>
                <w:szCs w:val="21"/>
              </w:rPr>
              <w:t>指标名称</w:t>
            </w:r>
          </w:p>
        </w:tc>
        <w:tc>
          <w:tcPr>
            <w:tcW w:w="1276" w:type="dxa"/>
            <w:tcBorders>
              <w:top w:val="single" w:color="auto" w:sz="4" w:space="0"/>
              <w:left w:val="nil"/>
              <w:bottom w:val="single" w:color="auto" w:sz="4" w:space="0"/>
              <w:right w:val="single" w:color="auto" w:sz="4" w:space="0"/>
            </w:tcBorders>
            <w:vAlign w:val="center"/>
          </w:tcPr>
          <w:p w14:paraId="2F747CDD">
            <w:pPr>
              <w:widowControl/>
              <w:jc w:val="left"/>
              <w:rPr>
                <w:rFonts w:ascii="宋体" w:hAnsi="宋体" w:cs="宋体"/>
                <w:b/>
                <w:color w:val="auto"/>
                <w:kern w:val="0"/>
                <w:szCs w:val="21"/>
              </w:rPr>
            </w:pPr>
            <w:r>
              <w:rPr>
                <w:rFonts w:hint="eastAsia" w:ascii="宋体" w:hAnsi="宋体" w:cs="宋体"/>
                <w:b/>
                <w:color w:val="auto"/>
                <w:kern w:val="0"/>
                <w:szCs w:val="21"/>
              </w:rPr>
              <w:t>计量单位</w:t>
            </w:r>
          </w:p>
        </w:tc>
        <w:tc>
          <w:tcPr>
            <w:tcW w:w="1842" w:type="dxa"/>
            <w:tcBorders>
              <w:top w:val="single" w:color="auto" w:sz="4" w:space="0"/>
              <w:left w:val="nil"/>
              <w:bottom w:val="single" w:color="auto" w:sz="4" w:space="0"/>
              <w:right w:val="single" w:color="auto" w:sz="4" w:space="0"/>
            </w:tcBorders>
            <w:vAlign w:val="center"/>
          </w:tcPr>
          <w:p w14:paraId="715B20D9">
            <w:pPr>
              <w:widowControl/>
              <w:jc w:val="left"/>
              <w:rPr>
                <w:rFonts w:ascii="宋体" w:hAnsi="宋体" w:cs="宋体"/>
                <w:b/>
                <w:color w:val="auto"/>
                <w:kern w:val="0"/>
                <w:szCs w:val="21"/>
              </w:rPr>
            </w:pPr>
            <w:r>
              <w:rPr>
                <w:rFonts w:hint="eastAsia" w:ascii="宋体" w:hAnsi="宋体" w:cs="宋体"/>
                <w:b/>
                <w:color w:val="auto"/>
                <w:kern w:val="0"/>
                <w:szCs w:val="21"/>
              </w:rPr>
              <w:t>中型</w:t>
            </w:r>
          </w:p>
        </w:tc>
        <w:tc>
          <w:tcPr>
            <w:tcW w:w="1701" w:type="dxa"/>
            <w:tcBorders>
              <w:top w:val="single" w:color="auto" w:sz="4" w:space="0"/>
              <w:left w:val="nil"/>
              <w:bottom w:val="single" w:color="auto" w:sz="4" w:space="0"/>
              <w:right w:val="single" w:color="auto" w:sz="4" w:space="0"/>
            </w:tcBorders>
            <w:vAlign w:val="center"/>
          </w:tcPr>
          <w:p w14:paraId="5851E81B">
            <w:pPr>
              <w:widowControl/>
              <w:jc w:val="left"/>
              <w:rPr>
                <w:rFonts w:ascii="宋体" w:hAnsi="宋体" w:cs="宋体"/>
                <w:b/>
                <w:color w:val="auto"/>
                <w:kern w:val="0"/>
                <w:szCs w:val="21"/>
              </w:rPr>
            </w:pPr>
            <w:r>
              <w:rPr>
                <w:rFonts w:hint="eastAsia" w:ascii="宋体" w:hAnsi="宋体" w:cs="宋体"/>
                <w:b/>
                <w:color w:val="auto"/>
                <w:kern w:val="0"/>
                <w:szCs w:val="21"/>
              </w:rPr>
              <w:t>小型</w:t>
            </w:r>
          </w:p>
        </w:tc>
        <w:tc>
          <w:tcPr>
            <w:tcW w:w="1134" w:type="dxa"/>
            <w:tcBorders>
              <w:top w:val="single" w:color="auto" w:sz="4" w:space="0"/>
              <w:left w:val="nil"/>
              <w:bottom w:val="single" w:color="auto" w:sz="4" w:space="0"/>
              <w:right w:val="single" w:color="auto" w:sz="4" w:space="0"/>
            </w:tcBorders>
            <w:vAlign w:val="center"/>
          </w:tcPr>
          <w:p w14:paraId="1DA25ECD">
            <w:pPr>
              <w:widowControl/>
              <w:jc w:val="left"/>
              <w:rPr>
                <w:rFonts w:ascii="宋体" w:hAnsi="宋体" w:cs="宋体"/>
                <w:b/>
                <w:color w:val="auto"/>
                <w:kern w:val="0"/>
                <w:szCs w:val="21"/>
              </w:rPr>
            </w:pPr>
            <w:r>
              <w:rPr>
                <w:rFonts w:hint="eastAsia" w:ascii="宋体" w:hAnsi="宋体" w:cs="宋体"/>
                <w:b/>
                <w:color w:val="auto"/>
                <w:kern w:val="0"/>
                <w:szCs w:val="21"/>
              </w:rPr>
              <w:t>微型</w:t>
            </w:r>
          </w:p>
        </w:tc>
      </w:tr>
      <w:tr w14:paraId="08738E9A">
        <w:tblPrEx>
          <w:tblCellMar>
            <w:top w:w="0" w:type="dxa"/>
            <w:left w:w="108" w:type="dxa"/>
            <w:bottom w:w="0" w:type="dxa"/>
            <w:right w:w="108" w:type="dxa"/>
          </w:tblCellMar>
        </w:tblPrEx>
        <w:trPr>
          <w:trHeight w:val="225" w:hRule="atLeast"/>
          <w:jc w:val="center"/>
        </w:trPr>
        <w:tc>
          <w:tcPr>
            <w:tcW w:w="1985" w:type="dxa"/>
            <w:tcBorders>
              <w:top w:val="nil"/>
              <w:left w:val="single" w:color="auto" w:sz="4" w:space="0"/>
              <w:bottom w:val="single" w:color="auto" w:sz="4" w:space="0"/>
              <w:right w:val="single" w:color="auto" w:sz="4" w:space="0"/>
            </w:tcBorders>
            <w:vAlign w:val="bottom"/>
          </w:tcPr>
          <w:p w14:paraId="53795CCE">
            <w:pPr>
              <w:widowControl/>
              <w:jc w:val="center"/>
              <w:rPr>
                <w:rFonts w:ascii="宋体" w:hAnsi="宋体" w:cs="宋体"/>
                <w:b/>
                <w:bCs/>
                <w:color w:val="auto"/>
                <w:kern w:val="0"/>
                <w:szCs w:val="21"/>
              </w:rPr>
            </w:pPr>
            <w:r>
              <w:rPr>
                <w:rFonts w:hint="eastAsia" w:ascii="宋体" w:hAnsi="宋体" w:cs="宋体"/>
                <w:b/>
                <w:bCs/>
                <w:color w:val="auto"/>
                <w:kern w:val="0"/>
                <w:szCs w:val="21"/>
              </w:rPr>
              <w:t>农、林、牧、渔</w:t>
            </w:r>
          </w:p>
        </w:tc>
        <w:tc>
          <w:tcPr>
            <w:tcW w:w="1559" w:type="dxa"/>
            <w:tcBorders>
              <w:top w:val="nil"/>
              <w:left w:val="nil"/>
              <w:bottom w:val="single" w:color="auto" w:sz="4" w:space="0"/>
              <w:right w:val="single" w:color="auto" w:sz="4" w:space="0"/>
            </w:tcBorders>
            <w:vAlign w:val="center"/>
          </w:tcPr>
          <w:p w14:paraId="218B998C">
            <w:pPr>
              <w:widowControl/>
              <w:jc w:val="left"/>
              <w:rPr>
                <w:rFonts w:ascii="宋体" w:hAnsi="宋体" w:cs="宋体"/>
                <w:color w:val="auto"/>
                <w:kern w:val="0"/>
                <w:szCs w:val="21"/>
              </w:rPr>
            </w:pPr>
            <w:r>
              <w:rPr>
                <w:rFonts w:hint="eastAsia" w:ascii="宋体" w:hAnsi="宋体" w:cs="宋体"/>
                <w:color w:val="auto"/>
                <w:kern w:val="0"/>
                <w:szCs w:val="21"/>
              </w:rPr>
              <w:t>营业收入（Y）</w:t>
            </w:r>
          </w:p>
        </w:tc>
        <w:tc>
          <w:tcPr>
            <w:tcW w:w="1276" w:type="dxa"/>
            <w:tcBorders>
              <w:top w:val="nil"/>
              <w:left w:val="nil"/>
              <w:bottom w:val="single" w:color="auto" w:sz="4" w:space="0"/>
              <w:right w:val="single" w:color="auto" w:sz="4" w:space="0"/>
            </w:tcBorders>
            <w:vAlign w:val="center"/>
          </w:tcPr>
          <w:p w14:paraId="4FDF9757">
            <w:pPr>
              <w:widowControl/>
              <w:jc w:val="left"/>
              <w:rPr>
                <w:rFonts w:ascii="宋体" w:hAnsi="宋体" w:cs="宋体"/>
                <w:color w:val="auto"/>
                <w:kern w:val="0"/>
                <w:szCs w:val="21"/>
              </w:rPr>
            </w:pPr>
            <w:r>
              <w:rPr>
                <w:rFonts w:hint="eastAsia" w:ascii="宋体" w:hAnsi="宋体" w:cs="宋体"/>
                <w:color w:val="auto"/>
                <w:kern w:val="0"/>
                <w:szCs w:val="21"/>
              </w:rPr>
              <w:t>万元</w:t>
            </w:r>
          </w:p>
        </w:tc>
        <w:tc>
          <w:tcPr>
            <w:tcW w:w="1842" w:type="dxa"/>
            <w:tcBorders>
              <w:top w:val="nil"/>
              <w:left w:val="nil"/>
              <w:bottom w:val="single" w:color="auto" w:sz="4" w:space="0"/>
              <w:right w:val="single" w:color="auto" w:sz="4" w:space="0"/>
            </w:tcBorders>
            <w:vAlign w:val="center"/>
          </w:tcPr>
          <w:p w14:paraId="1FD58526">
            <w:pPr>
              <w:widowControl/>
              <w:jc w:val="left"/>
              <w:rPr>
                <w:rFonts w:ascii="宋体" w:hAnsi="宋体" w:cs="宋体"/>
                <w:color w:val="auto"/>
                <w:kern w:val="0"/>
                <w:szCs w:val="21"/>
              </w:rPr>
            </w:pPr>
            <w:r>
              <w:rPr>
                <w:rFonts w:hint="eastAsia" w:ascii="宋体" w:hAnsi="宋体" w:cs="宋体"/>
                <w:color w:val="auto"/>
                <w:kern w:val="0"/>
                <w:szCs w:val="21"/>
              </w:rPr>
              <w:t>500≤Y＜20000</w:t>
            </w:r>
          </w:p>
        </w:tc>
        <w:tc>
          <w:tcPr>
            <w:tcW w:w="1701" w:type="dxa"/>
            <w:tcBorders>
              <w:top w:val="nil"/>
              <w:left w:val="nil"/>
              <w:bottom w:val="single" w:color="auto" w:sz="4" w:space="0"/>
              <w:right w:val="single" w:color="auto" w:sz="4" w:space="0"/>
            </w:tcBorders>
            <w:vAlign w:val="center"/>
          </w:tcPr>
          <w:p w14:paraId="0F807E04">
            <w:pPr>
              <w:widowControl/>
              <w:jc w:val="left"/>
              <w:rPr>
                <w:rFonts w:ascii="宋体" w:hAnsi="宋体" w:cs="宋体"/>
                <w:color w:val="auto"/>
                <w:kern w:val="0"/>
                <w:szCs w:val="21"/>
              </w:rPr>
            </w:pPr>
            <w:r>
              <w:rPr>
                <w:rFonts w:hint="eastAsia" w:ascii="宋体" w:hAnsi="宋体" w:cs="宋体"/>
                <w:color w:val="auto"/>
                <w:kern w:val="0"/>
                <w:szCs w:val="21"/>
              </w:rPr>
              <w:t>50≤Y＜500</w:t>
            </w:r>
          </w:p>
        </w:tc>
        <w:tc>
          <w:tcPr>
            <w:tcW w:w="1134" w:type="dxa"/>
            <w:tcBorders>
              <w:top w:val="nil"/>
              <w:left w:val="nil"/>
              <w:bottom w:val="single" w:color="auto" w:sz="4" w:space="0"/>
              <w:right w:val="single" w:color="auto" w:sz="4" w:space="0"/>
            </w:tcBorders>
            <w:vAlign w:val="center"/>
          </w:tcPr>
          <w:p w14:paraId="07B3CD2D">
            <w:pPr>
              <w:widowControl/>
              <w:jc w:val="left"/>
              <w:rPr>
                <w:rFonts w:ascii="宋体" w:hAnsi="宋体" w:cs="宋体"/>
                <w:color w:val="auto"/>
                <w:kern w:val="0"/>
                <w:szCs w:val="21"/>
              </w:rPr>
            </w:pPr>
            <w:r>
              <w:rPr>
                <w:rFonts w:hint="eastAsia" w:ascii="宋体" w:hAnsi="宋体" w:cs="宋体"/>
                <w:color w:val="auto"/>
                <w:kern w:val="0"/>
                <w:szCs w:val="21"/>
              </w:rPr>
              <w:t>Y＜50</w:t>
            </w:r>
          </w:p>
        </w:tc>
      </w:tr>
      <w:tr w14:paraId="309FF01C">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vAlign w:val="center"/>
          </w:tcPr>
          <w:p w14:paraId="40F8B03D">
            <w:pPr>
              <w:widowControl/>
              <w:jc w:val="center"/>
              <w:rPr>
                <w:rFonts w:ascii="宋体" w:hAnsi="宋体" w:cs="宋体"/>
                <w:b/>
                <w:bCs/>
                <w:color w:val="auto"/>
                <w:kern w:val="0"/>
                <w:szCs w:val="21"/>
              </w:rPr>
            </w:pPr>
            <w:r>
              <w:rPr>
                <w:rFonts w:hint="eastAsia" w:ascii="宋体" w:hAnsi="宋体" w:cs="宋体"/>
                <w:b/>
                <w:bCs/>
                <w:color w:val="auto"/>
                <w:kern w:val="0"/>
                <w:szCs w:val="21"/>
              </w:rPr>
              <w:t>工业</w:t>
            </w:r>
          </w:p>
        </w:tc>
        <w:tc>
          <w:tcPr>
            <w:tcW w:w="1559" w:type="dxa"/>
            <w:tcBorders>
              <w:top w:val="nil"/>
              <w:left w:val="nil"/>
              <w:bottom w:val="single" w:color="auto" w:sz="4" w:space="0"/>
              <w:right w:val="single" w:color="auto" w:sz="4" w:space="0"/>
            </w:tcBorders>
            <w:vAlign w:val="center"/>
          </w:tcPr>
          <w:p w14:paraId="7250976B">
            <w:pPr>
              <w:widowControl/>
              <w:jc w:val="left"/>
              <w:rPr>
                <w:rFonts w:ascii="宋体" w:hAnsi="宋体" w:cs="宋体"/>
                <w:color w:val="auto"/>
                <w:kern w:val="0"/>
                <w:szCs w:val="21"/>
              </w:rPr>
            </w:pPr>
            <w:r>
              <w:rPr>
                <w:rFonts w:hint="eastAsia" w:ascii="宋体" w:hAnsi="宋体" w:cs="宋体"/>
                <w:color w:val="auto"/>
                <w:kern w:val="0"/>
                <w:szCs w:val="21"/>
              </w:rPr>
              <w:t>从业人员（X）</w:t>
            </w:r>
          </w:p>
        </w:tc>
        <w:tc>
          <w:tcPr>
            <w:tcW w:w="1276" w:type="dxa"/>
            <w:tcBorders>
              <w:top w:val="nil"/>
              <w:left w:val="nil"/>
              <w:bottom w:val="single" w:color="auto" w:sz="4" w:space="0"/>
              <w:right w:val="single" w:color="auto" w:sz="4" w:space="0"/>
            </w:tcBorders>
            <w:vAlign w:val="center"/>
          </w:tcPr>
          <w:p w14:paraId="3EE3E2E6">
            <w:pPr>
              <w:widowControl/>
              <w:jc w:val="left"/>
              <w:rPr>
                <w:rFonts w:ascii="宋体" w:hAnsi="宋体" w:cs="宋体"/>
                <w:color w:val="auto"/>
                <w:kern w:val="0"/>
                <w:szCs w:val="21"/>
              </w:rPr>
            </w:pPr>
            <w:r>
              <w:rPr>
                <w:rFonts w:hint="eastAsia" w:ascii="宋体" w:hAnsi="宋体" w:cs="宋体"/>
                <w:color w:val="auto"/>
                <w:kern w:val="0"/>
                <w:szCs w:val="21"/>
              </w:rPr>
              <w:t>人</w:t>
            </w:r>
          </w:p>
        </w:tc>
        <w:tc>
          <w:tcPr>
            <w:tcW w:w="1842" w:type="dxa"/>
            <w:tcBorders>
              <w:top w:val="nil"/>
              <w:left w:val="nil"/>
              <w:bottom w:val="single" w:color="auto" w:sz="4" w:space="0"/>
              <w:right w:val="single" w:color="auto" w:sz="4" w:space="0"/>
            </w:tcBorders>
            <w:vAlign w:val="center"/>
          </w:tcPr>
          <w:p w14:paraId="620CE8ED">
            <w:pPr>
              <w:widowControl/>
              <w:jc w:val="left"/>
              <w:rPr>
                <w:rFonts w:ascii="宋体" w:hAnsi="宋体" w:cs="宋体"/>
                <w:color w:val="auto"/>
                <w:kern w:val="0"/>
                <w:szCs w:val="21"/>
              </w:rPr>
            </w:pPr>
            <w:r>
              <w:rPr>
                <w:rFonts w:hint="eastAsia" w:ascii="宋体" w:hAnsi="宋体" w:cs="宋体"/>
                <w:color w:val="auto"/>
                <w:kern w:val="0"/>
                <w:szCs w:val="21"/>
              </w:rPr>
              <w:t>300≤X＜1000</w:t>
            </w:r>
          </w:p>
        </w:tc>
        <w:tc>
          <w:tcPr>
            <w:tcW w:w="1701" w:type="dxa"/>
            <w:tcBorders>
              <w:top w:val="nil"/>
              <w:left w:val="nil"/>
              <w:bottom w:val="single" w:color="auto" w:sz="4" w:space="0"/>
              <w:right w:val="single" w:color="auto" w:sz="4" w:space="0"/>
            </w:tcBorders>
            <w:vAlign w:val="center"/>
          </w:tcPr>
          <w:p w14:paraId="591DB5D8">
            <w:pPr>
              <w:widowControl/>
              <w:jc w:val="left"/>
              <w:rPr>
                <w:rFonts w:ascii="宋体" w:hAnsi="宋体" w:cs="宋体"/>
                <w:color w:val="auto"/>
                <w:kern w:val="0"/>
                <w:szCs w:val="21"/>
              </w:rPr>
            </w:pPr>
            <w:r>
              <w:rPr>
                <w:rFonts w:hint="eastAsia" w:ascii="宋体" w:hAnsi="宋体" w:cs="宋体"/>
                <w:color w:val="auto"/>
                <w:kern w:val="0"/>
                <w:szCs w:val="21"/>
              </w:rPr>
              <w:t>20≤X＜300</w:t>
            </w:r>
          </w:p>
        </w:tc>
        <w:tc>
          <w:tcPr>
            <w:tcW w:w="1134" w:type="dxa"/>
            <w:tcBorders>
              <w:top w:val="nil"/>
              <w:left w:val="nil"/>
              <w:bottom w:val="single" w:color="auto" w:sz="4" w:space="0"/>
              <w:right w:val="single" w:color="auto" w:sz="4" w:space="0"/>
            </w:tcBorders>
            <w:vAlign w:val="center"/>
          </w:tcPr>
          <w:p w14:paraId="3570C3DA">
            <w:pPr>
              <w:widowControl/>
              <w:jc w:val="left"/>
              <w:rPr>
                <w:rFonts w:ascii="宋体" w:hAnsi="宋体" w:cs="宋体"/>
                <w:color w:val="auto"/>
                <w:kern w:val="0"/>
                <w:szCs w:val="21"/>
              </w:rPr>
            </w:pPr>
            <w:r>
              <w:rPr>
                <w:rFonts w:hint="eastAsia" w:ascii="宋体" w:hAnsi="宋体" w:cs="宋体"/>
                <w:color w:val="auto"/>
                <w:kern w:val="0"/>
                <w:szCs w:val="21"/>
              </w:rPr>
              <w:t>X＜20</w:t>
            </w:r>
          </w:p>
        </w:tc>
      </w:tr>
      <w:tr w14:paraId="48210A78">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vAlign w:val="center"/>
          </w:tcPr>
          <w:p w14:paraId="43C6F9A3">
            <w:pPr>
              <w:widowControl/>
              <w:jc w:val="center"/>
              <w:rPr>
                <w:rFonts w:ascii="宋体" w:hAnsi="宋体" w:cs="宋体"/>
                <w:b/>
                <w:bCs/>
                <w:color w:val="auto"/>
                <w:kern w:val="0"/>
                <w:szCs w:val="21"/>
              </w:rPr>
            </w:pPr>
          </w:p>
        </w:tc>
        <w:tc>
          <w:tcPr>
            <w:tcW w:w="1559" w:type="dxa"/>
            <w:tcBorders>
              <w:top w:val="nil"/>
              <w:left w:val="nil"/>
              <w:bottom w:val="single" w:color="auto" w:sz="4" w:space="0"/>
              <w:right w:val="single" w:color="auto" w:sz="4" w:space="0"/>
            </w:tcBorders>
            <w:vAlign w:val="center"/>
          </w:tcPr>
          <w:p w14:paraId="4B547129">
            <w:pPr>
              <w:widowControl/>
              <w:jc w:val="left"/>
              <w:rPr>
                <w:rFonts w:ascii="宋体" w:hAnsi="宋体" w:cs="宋体"/>
                <w:color w:val="auto"/>
                <w:kern w:val="0"/>
                <w:szCs w:val="21"/>
              </w:rPr>
            </w:pPr>
            <w:r>
              <w:rPr>
                <w:rFonts w:hint="eastAsia" w:ascii="宋体" w:hAnsi="宋体" w:cs="宋体"/>
                <w:color w:val="auto"/>
                <w:kern w:val="0"/>
                <w:szCs w:val="21"/>
              </w:rPr>
              <w:t>营业收入（Y）</w:t>
            </w:r>
          </w:p>
        </w:tc>
        <w:tc>
          <w:tcPr>
            <w:tcW w:w="1276" w:type="dxa"/>
            <w:tcBorders>
              <w:top w:val="nil"/>
              <w:left w:val="nil"/>
              <w:bottom w:val="single" w:color="auto" w:sz="4" w:space="0"/>
              <w:right w:val="single" w:color="auto" w:sz="4" w:space="0"/>
            </w:tcBorders>
            <w:vAlign w:val="center"/>
          </w:tcPr>
          <w:p w14:paraId="688D2DB9">
            <w:pPr>
              <w:widowControl/>
              <w:jc w:val="left"/>
              <w:rPr>
                <w:rFonts w:ascii="宋体" w:hAnsi="宋体" w:cs="宋体"/>
                <w:color w:val="auto"/>
                <w:kern w:val="0"/>
                <w:szCs w:val="21"/>
              </w:rPr>
            </w:pPr>
            <w:r>
              <w:rPr>
                <w:rFonts w:hint="eastAsia" w:ascii="宋体" w:hAnsi="宋体" w:cs="宋体"/>
                <w:color w:val="auto"/>
                <w:kern w:val="0"/>
                <w:szCs w:val="21"/>
              </w:rPr>
              <w:t>万元</w:t>
            </w:r>
          </w:p>
        </w:tc>
        <w:tc>
          <w:tcPr>
            <w:tcW w:w="1842" w:type="dxa"/>
            <w:tcBorders>
              <w:top w:val="nil"/>
              <w:left w:val="nil"/>
              <w:bottom w:val="single" w:color="auto" w:sz="4" w:space="0"/>
              <w:right w:val="single" w:color="auto" w:sz="4" w:space="0"/>
            </w:tcBorders>
            <w:vAlign w:val="center"/>
          </w:tcPr>
          <w:p w14:paraId="71BCBCD0">
            <w:pPr>
              <w:widowControl/>
              <w:jc w:val="left"/>
              <w:rPr>
                <w:rFonts w:ascii="宋体" w:hAnsi="宋体" w:cs="宋体"/>
                <w:color w:val="auto"/>
                <w:kern w:val="0"/>
                <w:szCs w:val="21"/>
              </w:rPr>
            </w:pPr>
            <w:r>
              <w:rPr>
                <w:rFonts w:hint="eastAsia" w:ascii="宋体" w:hAnsi="宋体" w:cs="宋体"/>
                <w:color w:val="auto"/>
                <w:kern w:val="0"/>
                <w:szCs w:val="21"/>
              </w:rPr>
              <w:t>2000≤Y＜40000</w:t>
            </w:r>
          </w:p>
        </w:tc>
        <w:tc>
          <w:tcPr>
            <w:tcW w:w="1701" w:type="dxa"/>
            <w:tcBorders>
              <w:top w:val="nil"/>
              <w:left w:val="nil"/>
              <w:bottom w:val="single" w:color="auto" w:sz="4" w:space="0"/>
              <w:right w:val="single" w:color="auto" w:sz="4" w:space="0"/>
            </w:tcBorders>
            <w:vAlign w:val="center"/>
          </w:tcPr>
          <w:p w14:paraId="182CED92">
            <w:pPr>
              <w:widowControl/>
              <w:jc w:val="left"/>
              <w:rPr>
                <w:rFonts w:ascii="宋体" w:hAnsi="宋体" w:cs="宋体"/>
                <w:color w:val="auto"/>
                <w:kern w:val="0"/>
                <w:szCs w:val="21"/>
              </w:rPr>
            </w:pPr>
            <w:r>
              <w:rPr>
                <w:rFonts w:hint="eastAsia" w:ascii="宋体" w:hAnsi="宋体" w:cs="宋体"/>
                <w:color w:val="auto"/>
                <w:kern w:val="0"/>
                <w:szCs w:val="21"/>
              </w:rPr>
              <w:t>300≤Y＜2000</w:t>
            </w:r>
          </w:p>
        </w:tc>
        <w:tc>
          <w:tcPr>
            <w:tcW w:w="1134" w:type="dxa"/>
            <w:tcBorders>
              <w:top w:val="nil"/>
              <w:left w:val="nil"/>
              <w:bottom w:val="single" w:color="auto" w:sz="4" w:space="0"/>
              <w:right w:val="single" w:color="auto" w:sz="4" w:space="0"/>
            </w:tcBorders>
            <w:vAlign w:val="center"/>
          </w:tcPr>
          <w:p w14:paraId="6D0BC5C5">
            <w:pPr>
              <w:widowControl/>
              <w:jc w:val="left"/>
              <w:rPr>
                <w:rFonts w:ascii="宋体" w:hAnsi="宋体" w:cs="宋体"/>
                <w:color w:val="auto"/>
                <w:kern w:val="0"/>
                <w:szCs w:val="21"/>
              </w:rPr>
            </w:pPr>
            <w:r>
              <w:rPr>
                <w:rFonts w:hint="eastAsia" w:ascii="宋体" w:hAnsi="宋体" w:cs="宋体"/>
                <w:color w:val="auto"/>
                <w:kern w:val="0"/>
                <w:szCs w:val="21"/>
              </w:rPr>
              <w:t>Y＜300</w:t>
            </w:r>
          </w:p>
        </w:tc>
      </w:tr>
      <w:tr w14:paraId="4EAA0FFC">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vAlign w:val="center"/>
          </w:tcPr>
          <w:p w14:paraId="27C1BEAB">
            <w:pPr>
              <w:widowControl/>
              <w:jc w:val="center"/>
              <w:rPr>
                <w:rFonts w:ascii="宋体" w:hAnsi="宋体" w:cs="宋体"/>
                <w:b/>
                <w:bCs/>
                <w:color w:val="auto"/>
                <w:kern w:val="0"/>
                <w:szCs w:val="21"/>
              </w:rPr>
            </w:pPr>
            <w:r>
              <w:rPr>
                <w:rFonts w:hint="eastAsia" w:ascii="宋体" w:hAnsi="宋体" w:cs="宋体"/>
                <w:b/>
                <w:bCs/>
                <w:color w:val="auto"/>
                <w:kern w:val="0"/>
                <w:szCs w:val="21"/>
              </w:rPr>
              <w:t>建筑业</w:t>
            </w:r>
          </w:p>
        </w:tc>
        <w:tc>
          <w:tcPr>
            <w:tcW w:w="1559" w:type="dxa"/>
            <w:tcBorders>
              <w:top w:val="nil"/>
              <w:left w:val="nil"/>
              <w:bottom w:val="single" w:color="auto" w:sz="4" w:space="0"/>
              <w:right w:val="single" w:color="auto" w:sz="4" w:space="0"/>
            </w:tcBorders>
            <w:vAlign w:val="center"/>
          </w:tcPr>
          <w:p w14:paraId="7EE89B29">
            <w:pPr>
              <w:widowControl/>
              <w:jc w:val="left"/>
              <w:rPr>
                <w:rFonts w:ascii="宋体" w:hAnsi="宋体" w:cs="宋体"/>
                <w:color w:val="auto"/>
                <w:kern w:val="0"/>
                <w:szCs w:val="21"/>
              </w:rPr>
            </w:pPr>
            <w:r>
              <w:rPr>
                <w:rFonts w:hint="eastAsia" w:ascii="宋体" w:hAnsi="宋体" w:cs="宋体"/>
                <w:color w:val="auto"/>
                <w:kern w:val="0"/>
                <w:szCs w:val="21"/>
              </w:rPr>
              <w:t>营业收入（Y）</w:t>
            </w:r>
          </w:p>
        </w:tc>
        <w:tc>
          <w:tcPr>
            <w:tcW w:w="1276" w:type="dxa"/>
            <w:tcBorders>
              <w:top w:val="nil"/>
              <w:left w:val="nil"/>
              <w:bottom w:val="single" w:color="auto" w:sz="4" w:space="0"/>
              <w:right w:val="single" w:color="auto" w:sz="4" w:space="0"/>
            </w:tcBorders>
            <w:vAlign w:val="center"/>
          </w:tcPr>
          <w:p w14:paraId="1CF725F1">
            <w:pPr>
              <w:widowControl/>
              <w:jc w:val="left"/>
              <w:rPr>
                <w:rFonts w:ascii="宋体" w:hAnsi="宋体" w:cs="宋体"/>
                <w:color w:val="auto"/>
                <w:kern w:val="0"/>
                <w:szCs w:val="21"/>
              </w:rPr>
            </w:pPr>
            <w:r>
              <w:rPr>
                <w:rFonts w:hint="eastAsia" w:ascii="宋体" w:hAnsi="宋体" w:cs="宋体"/>
                <w:color w:val="auto"/>
                <w:kern w:val="0"/>
                <w:szCs w:val="21"/>
              </w:rPr>
              <w:t>万元</w:t>
            </w:r>
          </w:p>
        </w:tc>
        <w:tc>
          <w:tcPr>
            <w:tcW w:w="1842" w:type="dxa"/>
            <w:tcBorders>
              <w:top w:val="nil"/>
              <w:left w:val="nil"/>
              <w:bottom w:val="single" w:color="auto" w:sz="4" w:space="0"/>
              <w:right w:val="single" w:color="auto" w:sz="4" w:space="0"/>
            </w:tcBorders>
            <w:vAlign w:val="center"/>
          </w:tcPr>
          <w:p w14:paraId="69F8BA80">
            <w:pPr>
              <w:widowControl/>
              <w:jc w:val="left"/>
              <w:rPr>
                <w:rFonts w:ascii="宋体" w:hAnsi="宋体" w:cs="宋体"/>
                <w:color w:val="auto"/>
                <w:kern w:val="0"/>
                <w:szCs w:val="21"/>
              </w:rPr>
            </w:pPr>
            <w:r>
              <w:rPr>
                <w:rFonts w:hint="eastAsia" w:ascii="宋体" w:hAnsi="宋体" w:cs="宋体"/>
                <w:color w:val="auto"/>
                <w:kern w:val="0"/>
                <w:szCs w:val="21"/>
              </w:rPr>
              <w:t>6000≤Y＜80000</w:t>
            </w:r>
          </w:p>
        </w:tc>
        <w:tc>
          <w:tcPr>
            <w:tcW w:w="1701" w:type="dxa"/>
            <w:tcBorders>
              <w:top w:val="nil"/>
              <w:left w:val="nil"/>
              <w:bottom w:val="single" w:color="auto" w:sz="4" w:space="0"/>
              <w:right w:val="single" w:color="auto" w:sz="4" w:space="0"/>
            </w:tcBorders>
            <w:vAlign w:val="center"/>
          </w:tcPr>
          <w:p w14:paraId="66E1AF82">
            <w:pPr>
              <w:widowControl/>
              <w:jc w:val="left"/>
              <w:rPr>
                <w:rFonts w:ascii="宋体" w:hAnsi="宋体" w:cs="宋体"/>
                <w:color w:val="auto"/>
                <w:kern w:val="0"/>
                <w:szCs w:val="21"/>
              </w:rPr>
            </w:pPr>
            <w:r>
              <w:rPr>
                <w:rFonts w:hint="eastAsia" w:ascii="宋体" w:hAnsi="宋体" w:cs="宋体"/>
                <w:color w:val="auto"/>
                <w:kern w:val="0"/>
                <w:szCs w:val="21"/>
              </w:rPr>
              <w:t>300≤Y＜6000</w:t>
            </w:r>
          </w:p>
        </w:tc>
        <w:tc>
          <w:tcPr>
            <w:tcW w:w="1134" w:type="dxa"/>
            <w:tcBorders>
              <w:top w:val="nil"/>
              <w:left w:val="nil"/>
              <w:bottom w:val="single" w:color="auto" w:sz="4" w:space="0"/>
              <w:right w:val="single" w:color="auto" w:sz="4" w:space="0"/>
            </w:tcBorders>
            <w:vAlign w:val="center"/>
          </w:tcPr>
          <w:p w14:paraId="52E99A56">
            <w:pPr>
              <w:widowControl/>
              <w:jc w:val="left"/>
              <w:rPr>
                <w:rFonts w:ascii="宋体" w:hAnsi="宋体" w:cs="宋体"/>
                <w:color w:val="auto"/>
                <w:kern w:val="0"/>
                <w:szCs w:val="21"/>
              </w:rPr>
            </w:pPr>
            <w:r>
              <w:rPr>
                <w:rFonts w:hint="eastAsia" w:ascii="宋体" w:hAnsi="宋体" w:cs="宋体"/>
                <w:color w:val="auto"/>
                <w:kern w:val="0"/>
                <w:szCs w:val="21"/>
              </w:rPr>
              <w:t>Y＜300</w:t>
            </w:r>
          </w:p>
        </w:tc>
      </w:tr>
      <w:tr w14:paraId="66FF1451">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vAlign w:val="center"/>
          </w:tcPr>
          <w:p w14:paraId="004CF76D">
            <w:pPr>
              <w:widowControl/>
              <w:jc w:val="center"/>
              <w:rPr>
                <w:rFonts w:ascii="宋体" w:hAnsi="宋体" w:cs="宋体"/>
                <w:b/>
                <w:bCs/>
                <w:color w:val="auto"/>
                <w:kern w:val="0"/>
                <w:szCs w:val="21"/>
              </w:rPr>
            </w:pPr>
          </w:p>
        </w:tc>
        <w:tc>
          <w:tcPr>
            <w:tcW w:w="1559" w:type="dxa"/>
            <w:tcBorders>
              <w:top w:val="nil"/>
              <w:left w:val="nil"/>
              <w:bottom w:val="single" w:color="auto" w:sz="4" w:space="0"/>
              <w:right w:val="single" w:color="auto" w:sz="4" w:space="0"/>
            </w:tcBorders>
            <w:vAlign w:val="center"/>
          </w:tcPr>
          <w:p w14:paraId="45A29B88">
            <w:pPr>
              <w:widowControl/>
              <w:jc w:val="left"/>
              <w:rPr>
                <w:rFonts w:ascii="宋体" w:hAnsi="宋体" w:cs="宋体"/>
                <w:color w:val="auto"/>
                <w:kern w:val="0"/>
                <w:szCs w:val="21"/>
              </w:rPr>
            </w:pPr>
            <w:r>
              <w:rPr>
                <w:rFonts w:hint="eastAsia" w:ascii="宋体" w:hAnsi="宋体" w:cs="宋体"/>
                <w:color w:val="auto"/>
                <w:kern w:val="0"/>
                <w:szCs w:val="21"/>
              </w:rPr>
              <w:t>资产总额（Z）</w:t>
            </w:r>
          </w:p>
        </w:tc>
        <w:tc>
          <w:tcPr>
            <w:tcW w:w="1276" w:type="dxa"/>
            <w:tcBorders>
              <w:top w:val="nil"/>
              <w:left w:val="nil"/>
              <w:bottom w:val="single" w:color="auto" w:sz="4" w:space="0"/>
              <w:right w:val="single" w:color="auto" w:sz="4" w:space="0"/>
            </w:tcBorders>
            <w:vAlign w:val="center"/>
          </w:tcPr>
          <w:p w14:paraId="31ABCD6D">
            <w:pPr>
              <w:widowControl/>
              <w:jc w:val="left"/>
              <w:rPr>
                <w:rFonts w:ascii="宋体" w:hAnsi="宋体" w:cs="宋体"/>
                <w:color w:val="auto"/>
                <w:kern w:val="0"/>
                <w:szCs w:val="21"/>
              </w:rPr>
            </w:pPr>
            <w:r>
              <w:rPr>
                <w:rFonts w:hint="eastAsia" w:ascii="宋体" w:hAnsi="宋体" w:cs="宋体"/>
                <w:color w:val="auto"/>
                <w:kern w:val="0"/>
                <w:szCs w:val="21"/>
              </w:rPr>
              <w:t>万元</w:t>
            </w:r>
          </w:p>
        </w:tc>
        <w:tc>
          <w:tcPr>
            <w:tcW w:w="1842" w:type="dxa"/>
            <w:tcBorders>
              <w:top w:val="nil"/>
              <w:left w:val="nil"/>
              <w:bottom w:val="single" w:color="auto" w:sz="4" w:space="0"/>
              <w:right w:val="single" w:color="auto" w:sz="4" w:space="0"/>
            </w:tcBorders>
            <w:vAlign w:val="center"/>
          </w:tcPr>
          <w:p w14:paraId="4B0351AB">
            <w:pPr>
              <w:widowControl/>
              <w:jc w:val="left"/>
              <w:rPr>
                <w:rFonts w:ascii="宋体" w:hAnsi="宋体" w:cs="宋体"/>
                <w:color w:val="auto"/>
                <w:kern w:val="0"/>
                <w:szCs w:val="21"/>
              </w:rPr>
            </w:pPr>
            <w:r>
              <w:rPr>
                <w:rFonts w:hint="eastAsia" w:ascii="宋体" w:hAnsi="宋体" w:cs="宋体"/>
                <w:color w:val="auto"/>
                <w:kern w:val="0"/>
                <w:szCs w:val="21"/>
              </w:rPr>
              <w:t>5000≤Z＜80000</w:t>
            </w:r>
          </w:p>
        </w:tc>
        <w:tc>
          <w:tcPr>
            <w:tcW w:w="1701" w:type="dxa"/>
            <w:tcBorders>
              <w:top w:val="nil"/>
              <w:left w:val="nil"/>
              <w:bottom w:val="single" w:color="auto" w:sz="4" w:space="0"/>
              <w:right w:val="single" w:color="auto" w:sz="4" w:space="0"/>
            </w:tcBorders>
            <w:vAlign w:val="center"/>
          </w:tcPr>
          <w:p w14:paraId="3A723C5C">
            <w:pPr>
              <w:widowControl/>
              <w:jc w:val="left"/>
              <w:rPr>
                <w:rFonts w:ascii="宋体" w:hAnsi="宋体" w:cs="宋体"/>
                <w:color w:val="auto"/>
                <w:kern w:val="0"/>
                <w:szCs w:val="21"/>
              </w:rPr>
            </w:pPr>
            <w:r>
              <w:rPr>
                <w:rFonts w:hint="eastAsia" w:ascii="宋体" w:hAnsi="宋体" w:cs="宋体"/>
                <w:color w:val="auto"/>
                <w:kern w:val="0"/>
                <w:szCs w:val="21"/>
              </w:rPr>
              <w:t>300≤Z＜5000</w:t>
            </w:r>
          </w:p>
        </w:tc>
        <w:tc>
          <w:tcPr>
            <w:tcW w:w="1134" w:type="dxa"/>
            <w:tcBorders>
              <w:top w:val="nil"/>
              <w:left w:val="nil"/>
              <w:bottom w:val="single" w:color="auto" w:sz="4" w:space="0"/>
              <w:right w:val="single" w:color="auto" w:sz="4" w:space="0"/>
            </w:tcBorders>
            <w:vAlign w:val="center"/>
          </w:tcPr>
          <w:p w14:paraId="593A640B">
            <w:pPr>
              <w:widowControl/>
              <w:jc w:val="left"/>
              <w:rPr>
                <w:rFonts w:ascii="宋体" w:hAnsi="宋体" w:cs="宋体"/>
                <w:color w:val="auto"/>
                <w:kern w:val="0"/>
                <w:szCs w:val="21"/>
              </w:rPr>
            </w:pPr>
            <w:r>
              <w:rPr>
                <w:rFonts w:hint="eastAsia" w:ascii="宋体" w:hAnsi="宋体" w:cs="宋体"/>
                <w:color w:val="auto"/>
                <w:kern w:val="0"/>
                <w:szCs w:val="21"/>
              </w:rPr>
              <w:t>Z＜300</w:t>
            </w:r>
          </w:p>
        </w:tc>
      </w:tr>
      <w:tr w14:paraId="6ECF5170">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vAlign w:val="center"/>
          </w:tcPr>
          <w:p w14:paraId="4CBF41C1">
            <w:pPr>
              <w:widowControl/>
              <w:jc w:val="center"/>
              <w:rPr>
                <w:rFonts w:ascii="宋体" w:hAnsi="宋体" w:cs="宋体"/>
                <w:b/>
                <w:bCs/>
                <w:color w:val="auto"/>
                <w:kern w:val="0"/>
                <w:szCs w:val="21"/>
              </w:rPr>
            </w:pPr>
            <w:r>
              <w:rPr>
                <w:rFonts w:hint="eastAsia" w:ascii="宋体" w:hAnsi="宋体" w:cs="宋体"/>
                <w:b/>
                <w:bCs/>
                <w:color w:val="auto"/>
                <w:kern w:val="0"/>
                <w:szCs w:val="21"/>
              </w:rPr>
              <w:t>批发业</w:t>
            </w:r>
          </w:p>
        </w:tc>
        <w:tc>
          <w:tcPr>
            <w:tcW w:w="1559" w:type="dxa"/>
            <w:tcBorders>
              <w:top w:val="nil"/>
              <w:left w:val="nil"/>
              <w:bottom w:val="single" w:color="auto" w:sz="4" w:space="0"/>
              <w:right w:val="single" w:color="auto" w:sz="4" w:space="0"/>
            </w:tcBorders>
            <w:vAlign w:val="center"/>
          </w:tcPr>
          <w:p w14:paraId="2D62BEE6">
            <w:pPr>
              <w:widowControl/>
              <w:jc w:val="left"/>
              <w:rPr>
                <w:rFonts w:ascii="宋体" w:hAnsi="宋体" w:cs="宋体"/>
                <w:color w:val="auto"/>
                <w:kern w:val="0"/>
                <w:szCs w:val="21"/>
              </w:rPr>
            </w:pPr>
            <w:r>
              <w:rPr>
                <w:rFonts w:hint="eastAsia" w:ascii="宋体" w:hAnsi="宋体" w:cs="宋体"/>
                <w:color w:val="auto"/>
                <w:kern w:val="0"/>
                <w:szCs w:val="21"/>
              </w:rPr>
              <w:t>从业人员（X）</w:t>
            </w:r>
          </w:p>
        </w:tc>
        <w:tc>
          <w:tcPr>
            <w:tcW w:w="1276" w:type="dxa"/>
            <w:tcBorders>
              <w:top w:val="nil"/>
              <w:left w:val="nil"/>
              <w:bottom w:val="single" w:color="auto" w:sz="4" w:space="0"/>
              <w:right w:val="single" w:color="auto" w:sz="4" w:space="0"/>
            </w:tcBorders>
            <w:vAlign w:val="center"/>
          </w:tcPr>
          <w:p w14:paraId="4EE259AD">
            <w:pPr>
              <w:widowControl/>
              <w:jc w:val="left"/>
              <w:rPr>
                <w:rFonts w:ascii="宋体" w:hAnsi="宋体" w:cs="宋体"/>
                <w:color w:val="auto"/>
                <w:kern w:val="0"/>
                <w:szCs w:val="21"/>
              </w:rPr>
            </w:pPr>
            <w:r>
              <w:rPr>
                <w:rFonts w:hint="eastAsia" w:ascii="宋体" w:hAnsi="宋体" w:cs="宋体"/>
                <w:color w:val="auto"/>
                <w:kern w:val="0"/>
                <w:szCs w:val="21"/>
              </w:rPr>
              <w:t>人</w:t>
            </w:r>
          </w:p>
        </w:tc>
        <w:tc>
          <w:tcPr>
            <w:tcW w:w="1842" w:type="dxa"/>
            <w:tcBorders>
              <w:top w:val="nil"/>
              <w:left w:val="nil"/>
              <w:bottom w:val="single" w:color="auto" w:sz="4" w:space="0"/>
              <w:right w:val="single" w:color="auto" w:sz="4" w:space="0"/>
            </w:tcBorders>
            <w:vAlign w:val="center"/>
          </w:tcPr>
          <w:p w14:paraId="7013B757">
            <w:pPr>
              <w:widowControl/>
              <w:jc w:val="left"/>
              <w:rPr>
                <w:rFonts w:ascii="宋体" w:hAnsi="宋体" w:cs="宋体"/>
                <w:color w:val="auto"/>
                <w:kern w:val="0"/>
                <w:szCs w:val="21"/>
              </w:rPr>
            </w:pPr>
            <w:r>
              <w:rPr>
                <w:rFonts w:hint="eastAsia" w:ascii="宋体" w:hAnsi="宋体" w:cs="宋体"/>
                <w:color w:val="auto"/>
                <w:kern w:val="0"/>
                <w:szCs w:val="21"/>
              </w:rPr>
              <w:t>20≤X＜200</w:t>
            </w:r>
          </w:p>
        </w:tc>
        <w:tc>
          <w:tcPr>
            <w:tcW w:w="1701" w:type="dxa"/>
            <w:tcBorders>
              <w:top w:val="nil"/>
              <w:left w:val="nil"/>
              <w:bottom w:val="single" w:color="auto" w:sz="4" w:space="0"/>
              <w:right w:val="single" w:color="auto" w:sz="4" w:space="0"/>
            </w:tcBorders>
            <w:vAlign w:val="center"/>
          </w:tcPr>
          <w:p w14:paraId="278B0A7E">
            <w:pPr>
              <w:widowControl/>
              <w:jc w:val="left"/>
              <w:rPr>
                <w:rFonts w:ascii="宋体" w:hAnsi="宋体" w:cs="宋体"/>
                <w:color w:val="auto"/>
                <w:kern w:val="0"/>
                <w:szCs w:val="21"/>
              </w:rPr>
            </w:pPr>
            <w:r>
              <w:rPr>
                <w:rFonts w:hint="eastAsia" w:ascii="宋体" w:hAnsi="宋体" w:cs="宋体"/>
                <w:color w:val="auto"/>
                <w:kern w:val="0"/>
                <w:szCs w:val="21"/>
              </w:rPr>
              <w:t>5≤X＜20</w:t>
            </w:r>
          </w:p>
        </w:tc>
        <w:tc>
          <w:tcPr>
            <w:tcW w:w="1134" w:type="dxa"/>
            <w:tcBorders>
              <w:top w:val="nil"/>
              <w:left w:val="nil"/>
              <w:bottom w:val="single" w:color="auto" w:sz="4" w:space="0"/>
              <w:right w:val="single" w:color="auto" w:sz="4" w:space="0"/>
            </w:tcBorders>
            <w:vAlign w:val="center"/>
          </w:tcPr>
          <w:p w14:paraId="54DDAE25">
            <w:pPr>
              <w:widowControl/>
              <w:jc w:val="left"/>
              <w:rPr>
                <w:rFonts w:ascii="宋体" w:hAnsi="宋体" w:cs="宋体"/>
                <w:color w:val="auto"/>
                <w:kern w:val="0"/>
                <w:szCs w:val="21"/>
              </w:rPr>
            </w:pPr>
            <w:r>
              <w:rPr>
                <w:rFonts w:hint="eastAsia" w:ascii="宋体" w:hAnsi="宋体" w:cs="宋体"/>
                <w:color w:val="auto"/>
                <w:kern w:val="0"/>
                <w:szCs w:val="21"/>
              </w:rPr>
              <w:t>X＜5</w:t>
            </w:r>
          </w:p>
        </w:tc>
      </w:tr>
      <w:tr w14:paraId="612A27E4">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vAlign w:val="center"/>
          </w:tcPr>
          <w:p w14:paraId="3966EE13">
            <w:pPr>
              <w:widowControl/>
              <w:jc w:val="center"/>
              <w:rPr>
                <w:rFonts w:ascii="宋体" w:hAnsi="宋体" w:cs="宋体"/>
                <w:b/>
                <w:bCs/>
                <w:color w:val="auto"/>
                <w:kern w:val="0"/>
                <w:szCs w:val="21"/>
              </w:rPr>
            </w:pPr>
          </w:p>
        </w:tc>
        <w:tc>
          <w:tcPr>
            <w:tcW w:w="1559" w:type="dxa"/>
            <w:tcBorders>
              <w:top w:val="nil"/>
              <w:left w:val="nil"/>
              <w:bottom w:val="single" w:color="auto" w:sz="4" w:space="0"/>
              <w:right w:val="single" w:color="auto" w:sz="4" w:space="0"/>
            </w:tcBorders>
            <w:vAlign w:val="center"/>
          </w:tcPr>
          <w:p w14:paraId="52041B1A">
            <w:pPr>
              <w:widowControl/>
              <w:jc w:val="left"/>
              <w:rPr>
                <w:rFonts w:ascii="宋体" w:hAnsi="宋体" w:cs="宋体"/>
                <w:color w:val="auto"/>
                <w:kern w:val="0"/>
                <w:szCs w:val="21"/>
              </w:rPr>
            </w:pPr>
            <w:r>
              <w:rPr>
                <w:rFonts w:hint="eastAsia" w:ascii="宋体" w:hAnsi="宋体" w:cs="宋体"/>
                <w:color w:val="auto"/>
                <w:kern w:val="0"/>
                <w:szCs w:val="21"/>
              </w:rPr>
              <w:t>营业收入（Y）</w:t>
            </w:r>
          </w:p>
        </w:tc>
        <w:tc>
          <w:tcPr>
            <w:tcW w:w="1276" w:type="dxa"/>
            <w:tcBorders>
              <w:top w:val="nil"/>
              <w:left w:val="nil"/>
              <w:bottom w:val="single" w:color="auto" w:sz="4" w:space="0"/>
              <w:right w:val="single" w:color="auto" w:sz="4" w:space="0"/>
            </w:tcBorders>
            <w:vAlign w:val="center"/>
          </w:tcPr>
          <w:p w14:paraId="6DC458D7">
            <w:pPr>
              <w:widowControl/>
              <w:jc w:val="left"/>
              <w:rPr>
                <w:rFonts w:ascii="宋体" w:hAnsi="宋体" w:cs="宋体"/>
                <w:color w:val="auto"/>
                <w:kern w:val="0"/>
                <w:szCs w:val="21"/>
              </w:rPr>
            </w:pPr>
            <w:r>
              <w:rPr>
                <w:rFonts w:hint="eastAsia" w:ascii="宋体" w:hAnsi="宋体" w:cs="宋体"/>
                <w:color w:val="auto"/>
                <w:kern w:val="0"/>
                <w:szCs w:val="21"/>
              </w:rPr>
              <w:t>万元</w:t>
            </w:r>
          </w:p>
        </w:tc>
        <w:tc>
          <w:tcPr>
            <w:tcW w:w="1842" w:type="dxa"/>
            <w:tcBorders>
              <w:top w:val="nil"/>
              <w:left w:val="nil"/>
              <w:bottom w:val="single" w:color="auto" w:sz="4" w:space="0"/>
              <w:right w:val="single" w:color="auto" w:sz="4" w:space="0"/>
            </w:tcBorders>
            <w:vAlign w:val="center"/>
          </w:tcPr>
          <w:p w14:paraId="753BF1DC">
            <w:pPr>
              <w:widowControl/>
              <w:jc w:val="left"/>
              <w:rPr>
                <w:rFonts w:ascii="宋体" w:hAnsi="宋体" w:cs="宋体"/>
                <w:color w:val="auto"/>
                <w:kern w:val="0"/>
                <w:szCs w:val="21"/>
              </w:rPr>
            </w:pPr>
            <w:r>
              <w:rPr>
                <w:rFonts w:hint="eastAsia" w:ascii="宋体" w:hAnsi="宋体" w:cs="宋体"/>
                <w:color w:val="auto"/>
                <w:kern w:val="0"/>
                <w:szCs w:val="21"/>
              </w:rPr>
              <w:t>5000≤Y＜40000</w:t>
            </w:r>
          </w:p>
        </w:tc>
        <w:tc>
          <w:tcPr>
            <w:tcW w:w="1701" w:type="dxa"/>
            <w:tcBorders>
              <w:top w:val="nil"/>
              <w:left w:val="nil"/>
              <w:bottom w:val="single" w:color="auto" w:sz="4" w:space="0"/>
              <w:right w:val="single" w:color="auto" w:sz="4" w:space="0"/>
            </w:tcBorders>
            <w:vAlign w:val="center"/>
          </w:tcPr>
          <w:p w14:paraId="389208EB">
            <w:pPr>
              <w:widowControl/>
              <w:jc w:val="left"/>
              <w:rPr>
                <w:rFonts w:ascii="宋体" w:hAnsi="宋体" w:cs="宋体"/>
                <w:color w:val="auto"/>
                <w:kern w:val="0"/>
                <w:szCs w:val="21"/>
              </w:rPr>
            </w:pPr>
            <w:r>
              <w:rPr>
                <w:rFonts w:hint="eastAsia" w:ascii="宋体" w:hAnsi="宋体" w:cs="宋体"/>
                <w:color w:val="auto"/>
                <w:kern w:val="0"/>
                <w:szCs w:val="21"/>
              </w:rPr>
              <w:t>1000≤Y＜5000</w:t>
            </w:r>
          </w:p>
        </w:tc>
        <w:tc>
          <w:tcPr>
            <w:tcW w:w="1134" w:type="dxa"/>
            <w:tcBorders>
              <w:top w:val="nil"/>
              <w:left w:val="nil"/>
              <w:bottom w:val="single" w:color="auto" w:sz="4" w:space="0"/>
              <w:right w:val="single" w:color="auto" w:sz="4" w:space="0"/>
            </w:tcBorders>
            <w:vAlign w:val="center"/>
          </w:tcPr>
          <w:p w14:paraId="7D6CD335">
            <w:pPr>
              <w:widowControl/>
              <w:jc w:val="left"/>
              <w:rPr>
                <w:rFonts w:ascii="宋体" w:hAnsi="宋体" w:cs="宋体"/>
                <w:color w:val="auto"/>
                <w:kern w:val="0"/>
                <w:szCs w:val="21"/>
              </w:rPr>
            </w:pPr>
            <w:r>
              <w:rPr>
                <w:rFonts w:hint="eastAsia" w:ascii="宋体" w:hAnsi="宋体" w:cs="宋体"/>
                <w:color w:val="auto"/>
                <w:kern w:val="0"/>
                <w:szCs w:val="21"/>
              </w:rPr>
              <w:t>Y＜1000</w:t>
            </w:r>
          </w:p>
        </w:tc>
      </w:tr>
      <w:tr w14:paraId="0DF9CDE3">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vAlign w:val="center"/>
          </w:tcPr>
          <w:p w14:paraId="4ACE80BD">
            <w:pPr>
              <w:widowControl/>
              <w:jc w:val="center"/>
              <w:rPr>
                <w:rFonts w:ascii="宋体" w:hAnsi="宋体" w:cs="宋体"/>
                <w:b/>
                <w:bCs/>
                <w:color w:val="auto"/>
                <w:kern w:val="0"/>
                <w:szCs w:val="21"/>
              </w:rPr>
            </w:pPr>
            <w:r>
              <w:rPr>
                <w:rFonts w:hint="eastAsia" w:ascii="宋体" w:hAnsi="宋体" w:cs="宋体"/>
                <w:b/>
                <w:bCs/>
                <w:color w:val="auto"/>
                <w:kern w:val="0"/>
                <w:szCs w:val="21"/>
              </w:rPr>
              <w:t>零售业</w:t>
            </w:r>
          </w:p>
        </w:tc>
        <w:tc>
          <w:tcPr>
            <w:tcW w:w="1559" w:type="dxa"/>
            <w:tcBorders>
              <w:top w:val="nil"/>
              <w:left w:val="nil"/>
              <w:bottom w:val="single" w:color="auto" w:sz="4" w:space="0"/>
              <w:right w:val="single" w:color="auto" w:sz="4" w:space="0"/>
            </w:tcBorders>
            <w:vAlign w:val="center"/>
          </w:tcPr>
          <w:p w14:paraId="6432BC6C">
            <w:pPr>
              <w:widowControl/>
              <w:jc w:val="left"/>
              <w:rPr>
                <w:rFonts w:ascii="宋体" w:hAnsi="宋体" w:cs="宋体"/>
                <w:color w:val="auto"/>
                <w:kern w:val="0"/>
                <w:szCs w:val="21"/>
              </w:rPr>
            </w:pPr>
            <w:r>
              <w:rPr>
                <w:rFonts w:hint="eastAsia" w:ascii="宋体" w:hAnsi="宋体" w:cs="宋体"/>
                <w:color w:val="auto"/>
                <w:kern w:val="0"/>
                <w:szCs w:val="21"/>
              </w:rPr>
              <w:t>从业人员（X）</w:t>
            </w:r>
          </w:p>
        </w:tc>
        <w:tc>
          <w:tcPr>
            <w:tcW w:w="1276" w:type="dxa"/>
            <w:tcBorders>
              <w:top w:val="nil"/>
              <w:left w:val="nil"/>
              <w:bottom w:val="single" w:color="auto" w:sz="4" w:space="0"/>
              <w:right w:val="single" w:color="auto" w:sz="4" w:space="0"/>
            </w:tcBorders>
            <w:vAlign w:val="center"/>
          </w:tcPr>
          <w:p w14:paraId="03873BB8">
            <w:pPr>
              <w:widowControl/>
              <w:jc w:val="left"/>
              <w:rPr>
                <w:rFonts w:ascii="宋体" w:hAnsi="宋体" w:cs="宋体"/>
                <w:color w:val="auto"/>
                <w:kern w:val="0"/>
                <w:szCs w:val="21"/>
              </w:rPr>
            </w:pPr>
            <w:r>
              <w:rPr>
                <w:rFonts w:hint="eastAsia" w:ascii="宋体" w:hAnsi="宋体" w:cs="宋体"/>
                <w:color w:val="auto"/>
                <w:kern w:val="0"/>
                <w:szCs w:val="21"/>
              </w:rPr>
              <w:t>人</w:t>
            </w:r>
          </w:p>
        </w:tc>
        <w:tc>
          <w:tcPr>
            <w:tcW w:w="1842" w:type="dxa"/>
            <w:tcBorders>
              <w:top w:val="nil"/>
              <w:left w:val="nil"/>
              <w:bottom w:val="single" w:color="auto" w:sz="4" w:space="0"/>
              <w:right w:val="single" w:color="auto" w:sz="4" w:space="0"/>
            </w:tcBorders>
            <w:vAlign w:val="center"/>
          </w:tcPr>
          <w:p w14:paraId="2B9FC18B">
            <w:pPr>
              <w:widowControl/>
              <w:jc w:val="left"/>
              <w:rPr>
                <w:rFonts w:ascii="宋体" w:hAnsi="宋体" w:cs="宋体"/>
                <w:color w:val="auto"/>
                <w:kern w:val="0"/>
                <w:szCs w:val="21"/>
              </w:rPr>
            </w:pPr>
            <w:r>
              <w:rPr>
                <w:rFonts w:hint="eastAsia" w:ascii="宋体" w:hAnsi="宋体" w:cs="宋体"/>
                <w:color w:val="auto"/>
                <w:kern w:val="0"/>
                <w:szCs w:val="21"/>
              </w:rPr>
              <w:t>50≤X＜300</w:t>
            </w:r>
          </w:p>
        </w:tc>
        <w:tc>
          <w:tcPr>
            <w:tcW w:w="1701" w:type="dxa"/>
            <w:tcBorders>
              <w:top w:val="nil"/>
              <w:left w:val="nil"/>
              <w:bottom w:val="single" w:color="auto" w:sz="4" w:space="0"/>
              <w:right w:val="single" w:color="auto" w:sz="4" w:space="0"/>
            </w:tcBorders>
            <w:vAlign w:val="center"/>
          </w:tcPr>
          <w:p w14:paraId="25637677">
            <w:pPr>
              <w:widowControl/>
              <w:jc w:val="left"/>
              <w:rPr>
                <w:rFonts w:ascii="宋体" w:hAnsi="宋体" w:cs="宋体"/>
                <w:color w:val="auto"/>
                <w:kern w:val="0"/>
                <w:szCs w:val="21"/>
              </w:rPr>
            </w:pPr>
            <w:r>
              <w:rPr>
                <w:rFonts w:hint="eastAsia" w:ascii="宋体" w:hAnsi="宋体" w:cs="宋体"/>
                <w:color w:val="auto"/>
                <w:kern w:val="0"/>
                <w:szCs w:val="21"/>
              </w:rPr>
              <w:t>10≤X＜50</w:t>
            </w:r>
          </w:p>
        </w:tc>
        <w:tc>
          <w:tcPr>
            <w:tcW w:w="1134" w:type="dxa"/>
            <w:tcBorders>
              <w:top w:val="nil"/>
              <w:left w:val="nil"/>
              <w:bottom w:val="single" w:color="auto" w:sz="4" w:space="0"/>
              <w:right w:val="single" w:color="auto" w:sz="4" w:space="0"/>
            </w:tcBorders>
            <w:vAlign w:val="center"/>
          </w:tcPr>
          <w:p w14:paraId="2B920410">
            <w:pPr>
              <w:widowControl/>
              <w:jc w:val="left"/>
              <w:rPr>
                <w:rFonts w:ascii="宋体" w:hAnsi="宋体" w:cs="宋体"/>
                <w:color w:val="auto"/>
                <w:kern w:val="0"/>
                <w:szCs w:val="21"/>
              </w:rPr>
            </w:pPr>
            <w:r>
              <w:rPr>
                <w:rFonts w:hint="eastAsia" w:ascii="宋体" w:hAnsi="宋体" w:cs="宋体"/>
                <w:color w:val="auto"/>
                <w:kern w:val="0"/>
                <w:szCs w:val="21"/>
              </w:rPr>
              <w:t>X＜10</w:t>
            </w:r>
          </w:p>
        </w:tc>
      </w:tr>
      <w:tr w14:paraId="745A3DAF">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vAlign w:val="center"/>
          </w:tcPr>
          <w:p w14:paraId="6E15439B">
            <w:pPr>
              <w:widowControl/>
              <w:jc w:val="center"/>
              <w:rPr>
                <w:rFonts w:ascii="宋体" w:hAnsi="宋体" w:cs="宋体"/>
                <w:b/>
                <w:bCs/>
                <w:color w:val="auto"/>
                <w:kern w:val="0"/>
                <w:szCs w:val="21"/>
              </w:rPr>
            </w:pPr>
          </w:p>
        </w:tc>
        <w:tc>
          <w:tcPr>
            <w:tcW w:w="1559" w:type="dxa"/>
            <w:tcBorders>
              <w:top w:val="nil"/>
              <w:left w:val="nil"/>
              <w:bottom w:val="single" w:color="auto" w:sz="4" w:space="0"/>
              <w:right w:val="single" w:color="auto" w:sz="4" w:space="0"/>
            </w:tcBorders>
            <w:vAlign w:val="center"/>
          </w:tcPr>
          <w:p w14:paraId="259AEB32">
            <w:pPr>
              <w:widowControl/>
              <w:jc w:val="left"/>
              <w:rPr>
                <w:rFonts w:ascii="宋体" w:hAnsi="宋体" w:cs="宋体"/>
                <w:color w:val="auto"/>
                <w:kern w:val="0"/>
                <w:szCs w:val="21"/>
              </w:rPr>
            </w:pPr>
            <w:r>
              <w:rPr>
                <w:rFonts w:hint="eastAsia" w:ascii="宋体" w:hAnsi="宋体" w:cs="宋体"/>
                <w:color w:val="auto"/>
                <w:kern w:val="0"/>
                <w:szCs w:val="21"/>
              </w:rPr>
              <w:t>营业收入（Y）</w:t>
            </w:r>
          </w:p>
        </w:tc>
        <w:tc>
          <w:tcPr>
            <w:tcW w:w="1276" w:type="dxa"/>
            <w:tcBorders>
              <w:top w:val="nil"/>
              <w:left w:val="nil"/>
              <w:bottom w:val="single" w:color="auto" w:sz="4" w:space="0"/>
              <w:right w:val="single" w:color="auto" w:sz="4" w:space="0"/>
            </w:tcBorders>
            <w:vAlign w:val="center"/>
          </w:tcPr>
          <w:p w14:paraId="75F86035">
            <w:pPr>
              <w:widowControl/>
              <w:jc w:val="left"/>
              <w:rPr>
                <w:rFonts w:ascii="宋体" w:hAnsi="宋体" w:cs="宋体"/>
                <w:color w:val="auto"/>
                <w:kern w:val="0"/>
                <w:szCs w:val="21"/>
              </w:rPr>
            </w:pPr>
            <w:r>
              <w:rPr>
                <w:rFonts w:hint="eastAsia" w:ascii="宋体" w:hAnsi="宋体" w:cs="宋体"/>
                <w:color w:val="auto"/>
                <w:kern w:val="0"/>
                <w:szCs w:val="21"/>
              </w:rPr>
              <w:t>万元</w:t>
            </w:r>
          </w:p>
        </w:tc>
        <w:tc>
          <w:tcPr>
            <w:tcW w:w="1842" w:type="dxa"/>
            <w:tcBorders>
              <w:top w:val="nil"/>
              <w:left w:val="nil"/>
              <w:bottom w:val="single" w:color="auto" w:sz="4" w:space="0"/>
              <w:right w:val="single" w:color="auto" w:sz="4" w:space="0"/>
            </w:tcBorders>
            <w:vAlign w:val="center"/>
          </w:tcPr>
          <w:p w14:paraId="3A252E5A">
            <w:pPr>
              <w:widowControl/>
              <w:jc w:val="left"/>
              <w:rPr>
                <w:rFonts w:ascii="宋体" w:hAnsi="宋体" w:cs="宋体"/>
                <w:color w:val="auto"/>
                <w:kern w:val="0"/>
                <w:szCs w:val="21"/>
              </w:rPr>
            </w:pPr>
            <w:r>
              <w:rPr>
                <w:rFonts w:hint="eastAsia" w:ascii="宋体" w:hAnsi="宋体" w:cs="宋体"/>
                <w:color w:val="auto"/>
                <w:kern w:val="0"/>
                <w:szCs w:val="21"/>
              </w:rPr>
              <w:t>500≤Y＜20000</w:t>
            </w:r>
          </w:p>
        </w:tc>
        <w:tc>
          <w:tcPr>
            <w:tcW w:w="1701" w:type="dxa"/>
            <w:tcBorders>
              <w:top w:val="nil"/>
              <w:left w:val="nil"/>
              <w:bottom w:val="single" w:color="auto" w:sz="4" w:space="0"/>
              <w:right w:val="single" w:color="auto" w:sz="4" w:space="0"/>
            </w:tcBorders>
            <w:vAlign w:val="center"/>
          </w:tcPr>
          <w:p w14:paraId="33F94676">
            <w:pPr>
              <w:widowControl/>
              <w:jc w:val="left"/>
              <w:rPr>
                <w:rFonts w:ascii="宋体" w:hAnsi="宋体" w:cs="宋体"/>
                <w:color w:val="auto"/>
                <w:kern w:val="0"/>
                <w:szCs w:val="21"/>
              </w:rPr>
            </w:pPr>
            <w:r>
              <w:rPr>
                <w:rFonts w:hint="eastAsia" w:ascii="宋体" w:hAnsi="宋体" w:cs="宋体"/>
                <w:color w:val="auto"/>
                <w:kern w:val="0"/>
                <w:szCs w:val="21"/>
              </w:rPr>
              <w:t>100≤Y＜500</w:t>
            </w:r>
          </w:p>
        </w:tc>
        <w:tc>
          <w:tcPr>
            <w:tcW w:w="1134" w:type="dxa"/>
            <w:tcBorders>
              <w:top w:val="nil"/>
              <w:left w:val="nil"/>
              <w:bottom w:val="single" w:color="auto" w:sz="4" w:space="0"/>
              <w:right w:val="single" w:color="auto" w:sz="4" w:space="0"/>
            </w:tcBorders>
            <w:vAlign w:val="center"/>
          </w:tcPr>
          <w:p w14:paraId="1ADB482C">
            <w:pPr>
              <w:widowControl/>
              <w:jc w:val="left"/>
              <w:rPr>
                <w:rFonts w:ascii="宋体" w:hAnsi="宋体" w:cs="宋体"/>
                <w:color w:val="auto"/>
                <w:kern w:val="0"/>
                <w:szCs w:val="21"/>
              </w:rPr>
            </w:pPr>
            <w:r>
              <w:rPr>
                <w:rFonts w:hint="eastAsia" w:ascii="宋体" w:hAnsi="宋体" w:cs="宋体"/>
                <w:color w:val="auto"/>
                <w:kern w:val="0"/>
                <w:szCs w:val="21"/>
              </w:rPr>
              <w:t>Y＜100</w:t>
            </w:r>
          </w:p>
        </w:tc>
      </w:tr>
      <w:tr w14:paraId="2A5DABA3">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vAlign w:val="center"/>
          </w:tcPr>
          <w:p w14:paraId="6E076757">
            <w:pPr>
              <w:widowControl/>
              <w:jc w:val="center"/>
              <w:rPr>
                <w:rFonts w:ascii="宋体" w:hAnsi="宋体" w:cs="宋体"/>
                <w:b/>
                <w:bCs/>
                <w:color w:val="auto"/>
                <w:kern w:val="0"/>
                <w:szCs w:val="21"/>
              </w:rPr>
            </w:pPr>
            <w:r>
              <w:rPr>
                <w:rFonts w:hint="eastAsia" w:ascii="宋体" w:hAnsi="宋体" w:cs="宋体"/>
                <w:b/>
                <w:bCs/>
                <w:color w:val="auto"/>
                <w:kern w:val="0"/>
                <w:szCs w:val="21"/>
              </w:rPr>
              <w:t>交通运输业</w:t>
            </w:r>
          </w:p>
        </w:tc>
        <w:tc>
          <w:tcPr>
            <w:tcW w:w="1559" w:type="dxa"/>
            <w:tcBorders>
              <w:top w:val="nil"/>
              <w:left w:val="nil"/>
              <w:bottom w:val="single" w:color="auto" w:sz="4" w:space="0"/>
              <w:right w:val="single" w:color="auto" w:sz="4" w:space="0"/>
            </w:tcBorders>
            <w:vAlign w:val="center"/>
          </w:tcPr>
          <w:p w14:paraId="55A7138B">
            <w:pPr>
              <w:widowControl/>
              <w:jc w:val="left"/>
              <w:rPr>
                <w:rFonts w:ascii="宋体" w:hAnsi="宋体" w:cs="宋体"/>
                <w:color w:val="auto"/>
                <w:kern w:val="0"/>
                <w:szCs w:val="21"/>
              </w:rPr>
            </w:pPr>
            <w:r>
              <w:rPr>
                <w:rFonts w:hint="eastAsia" w:ascii="宋体" w:hAnsi="宋体" w:cs="宋体"/>
                <w:color w:val="auto"/>
                <w:kern w:val="0"/>
                <w:szCs w:val="21"/>
              </w:rPr>
              <w:t>从业人员（X）</w:t>
            </w:r>
          </w:p>
        </w:tc>
        <w:tc>
          <w:tcPr>
            <w:tcW w:w="1276" w:type="dxa"/>
            <w:tcBorders>
              <w:top w:val="nil"/>
              <w:left w:val="nil"/>
              <w:bottom w:val="single" w:color="auto" w:sz="4" w:space="0"/>
              <w:right w:val="single" w:color="auto" w:sz="4" w:space="0"/>
            </w:tcBorders>
            <w:vAlign w:val="center"/>
          </w:tcPr>
          <w:p w14:paraId="6F59FF8A">
            <w:pPr>
              <w:widowControl/>
              <w:jc w:val="left"/>
              <w:rPr>
                <w:rFonts w:ascii="宋体" w:hAnsi="宋体" w:cs="宋体"/>
                <w:color w:val="auto"/>
                <w:kern w:val="0"/>
                <w:szCs w:val="21"/>
              </w:rPr>
            </w:pPr>
            <w:r>
              <w:rPr>
                <w:rFonts w:hint="eastAsia" w:ascii="宋体" w:hAnsi="宋体" w:cs="宋体"/>
                <w:color w:val="auto"/>
                <w:kern w:val="0"/>
                <w:szCs w:val="21"/>
              </w:rPr>
              <w:t>人</w:t>
            </w:r>
          </w:p>
        </w:tc>
        <w:tc>
          <w:tcPr>
            <w:tcW w:w="1842" w:type="dxa"/>
            <w:tcBorders>
              <w:top w:val="nil"/>
              <w:left w:val="nil"/>
              <w:bottom w:val="single" w:color="auto" w:sz="4" w:space="0"/>
              <w:right w:val="single" w:color="auto" w:sz="4" w:space="0"/>
            </w:tcBorders>
            <w:vAlign w:val="center"/>
          </w:tcPr>
          <w:p w14:paraId="55AAA7E2">
            <w:pPr>
              <w:widowControl/>
              <w:jc w:val="left"/>
              <w:rPr>
                <w:rFonts w:ascii="宋体" w:hAnsi="宋体" w:cs="宋体"/>
                <w:color w:val="auto"/>
                <w:kern w:val="0"/>
                <w:szCs w:val="21"/>
              </w:rPr>
            </w:pPr>
            <w:r>
              <w:rPr>
                <w:rFonts w:hint="eastAsia" w:ascii="宋体" w:hAnsi="宋体" w:cs="宋体"/>
                <w:color w:val="auto"/>
                <w:kern w:val="0"/>
                <w:szCs w:val="21"/>
              </w:rPr>
              <w:t>300≤X＜1000</w:t>
            </w:r>
          </w:p>
        </w:tc>
        <w:tc>
          <w:tcPr>
            <w:tcW w:w="1701" w:type="dxa"/>
            <w:tcBorders>
              <w:top w:val="nil"/>
              <w:left w:val="nil"/>
              <w:bottom w:val="single" w:color="auto" w:sz="4" w:space="0"/>
              <w:right w:val="single" w:color="auto" w:sz="4" w:space="0"/>
            </w:tcBorders>
            <w:vAlign w:val="center"/>
          </w:tcPr>
          <w:p w14:paraId="3AB5B747">
            <w:pPr>
              <w:widowControl/>
              <w:jc w:val="left"/>
              <w:rPr>
                <w:rFonts w:ascii="宋体" w:hAnsi="宋体" w:cs="宋体"/>
                <w:color w:val="auto"/>
                <w:kern w:val="0"/>
                <w:szCs w:val="21"/>
              </w:rPr>
            </w:pPr>
            <w:r>
              <w:rPr>
                <w:rFonts w:hint="eastAsia" w:ascii="宋体" w:hAnsi="宋体" w:cs="宋体"/>
                <w:color w:val="auto"/>
                <w:kern w:val="0"/>
                <w:szCs w:val="21"/>
              </w:rPr>
              <w:t>20≤X＜300</w:t>
            </w:r>
          </w:p>
        </w:tc>
        <w:tc>
          <w:tcPr>
            <w:tcW w:w="1134" w:type="dxa"/>
            <w:tcBorders>
              <w:top w:val="nil"/>
              <w:left w:val="nil"/>
              <w:bottom w:val="single" w:color="auto" w:sz="4" w:space="0"/>
              <w:right w:val="single" w:color="auto" w:sz="4" w:space="0"/>
            </w:tcBorders>
            <w:vAlign w:val="center"/>
          </w:tcPr>
          <w:p w14:paraId="16F56B3F">
            <w:pPr>
              <w:widowControl/>
              <w:jc w:val="left"/>
              <w:rPr>
                <w:rFonts w:ascii="宋体" w:hAnsi="宋体" w:cs="宋体"/>
                <w:color w:val="auto"/>
                <w:kern w:val="0"/>
                <w:szCs w:val="21"/>
              </w:rPr>
            </w:pPr>
            <w:r>
              <w:rPr>
                <w:rFonts w:hint="eastAsia" w:ascii="宋体" w:hAnsi="宋体" w:cs="宋体"/>
                <w:color w:val="auto"/>
                <w:kern w:val="0"/>
                <w:szCs w:val="21"/>
              </w:rPr>
              <w:t>X＜20</w:t>
            </w:r>
          </w:p>
        </w:tc>
      </w:tr>
      <w:tr w14:paraId="1D42C90C">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vAlign w:val="center"/>
          </w:tcPr>
          <w:p w14:paraId="675FA46A">
            <w:pPr>
              <w:widowControl/>
              <w:jc w:val="center"/>
              <w:rPr>
                <w:rFonts w:ascii="宋体" w:hAnsi="宋体" w:cs="宋体"/>
                <w:b/>
                <w:bCs/>
                <w:color w:val="auto"/>
                <w:kern w:val="0"/>
                <w:szCs w:val="21"/>
              </w:rPr>
            </w:pPr>
          </w:p>
        </w:tc>
        <w:tc>
          <w:tcPr>
            <w:tcW w:w="1559" w:type="dxa"/>
            <w:tcBorders>
              <w:top w:val="nil"/>
              <w:left w:val="nil"/>
              <w:bottom w:val="single" w:color="auto" w:sz="4" w:space="0"/>
              <w:right w:val="single" w:color="auto" w:sz="4" w:space="0"/>
            </w:tcBorders>
            <w:vAlign w:val="center"/>
          </w:tcPr>
          <w:p w14:paraId="79E2CF31">
            <w:pPr>
              <w:widowControl/>
              <w:jc w:val="left"/>
              <w:rPr>
                <w:rFonts w:ascii="宋体" w:hAnsi="宋体" w:cs="宋体"/>
                <w:color w:val="auto"/>
                <w:kern w:val="0"/>
                <w:szCs w:val="21"/>
              </w:rPr>
            </w:pPr>
            <w:r>
              <w:rPr>
                <w:rFonts w:hint="eastAsia" w:ascii="宋体" w:hAnsi="宋体" w:cs="宋体"/>
                <w:color w:val="auto"/>
                <w:kern w:val="0"/>
                <w:szCs w:val="21"/>
              </w:rPr>
              <w:t>营业收入（Y）</w:t>
            </w:r>
          </w:p>
        </w:tc>
        <w:tc>
          <w:tcPr>
            <w:tcW w:w="1276" w:type="dxa"/>
            <w:tcBorders>
              <w:top w:val="nil"/>
              <w:left w:val="nil"/>
              <w:bottom w:val="single" w:color="auto" w:sz="4" w:space="0"/>
              <w:right w:val="single" w:color="auto" w:sz="4" w:space="0"/>
            </w:tcBorders>
            <w:vAlign w:val="center"/>
          </w:tcPr>
          <w:p w14:paraId="77A2C157">
            <w:pPr>
              <w:widowControl/>
              <w:jc w:val="left"/>
              <w:rPr>
                <w:rFonts w:ascii="宋体" w:hAnsi="宋体" w:cs="宋体"/>
                <w:color w:val="auto"/>
                <w:kern w:val="0"/>
                <w:szCs w:val="21"/>
              </w:rPr>
            </w:pPr>
            <w:r>
              <w:rPr>
                <w:rFonts w:hint="eastAsia" w:ascii="宋体" w:hAnsi="宋体" w:cs="宋体"/>
                <w:color w:val="auto"/>
                <w:kern w:val="0"/>
                <w:szCs w:val="21"/>
              </w:rPr>
              <w:t>万元</w:t>
            </w:r>
          </w:p>
        </w:tc>
        <w:tc>
          <w:tcPr>
            <w:tcW w:w="1842" w:type="dxa"/>
            <w:tcBorders>
              <w:top w:val="nil"/>
              <w:left w:val="nil"/>
              <w:bottom w:val="single" w:color="auto" w:sz="4" w:space="0"/>
              <w:right w:val="single" w:color="auto" w:sz="4" w:space="0"/>
            </w:tcBorders>
            <w:vAlign w:val="center"/>
          </w:tcPr>
          <w:p w14:paraId="20B1BA60">
            <w:pPr>
              <w:widowControl/>
              <w:jc w:val="left"/>
              <w:rPr>
                <w:rFonts w:ascii="宋体" w:hAnsi="宋体" w:cs="宋体"/>
                <w:color w:val="auto"/>
                <w:kern w:val="0"/>
                <w:szCs w:val="21"/>
              </w:rPr>
            </w:pPr>
            <w:r>
              <w:rPr>
                <w:rFonts w:hint="eastAsia" w:ascii="宋体" w:hAnsi="宋体" w:cs="宋体"/>
                <w:color w:val="auto"/>
                <w:kern w:val="0"/>
                <w:szCs w:val="21"/>
              </w:rPr>
              <w:t>3000≤Y＜30000</w:t>
            </w:r>
          </w:p>
        </w:tc>
        <w:tc>
          <w:tcPr>
            <w:tcW w:w="1701" w:type="dxa"/>
            <w:tcBorders>
              <w:top w:val="nil"/>
              <w:left w:val="nil"/>
              <w:bottom w:val="single" w:color="auto" w:sz="4" w:space="0"/>
              <w:right w:val="single" w:color="auto" w:sz="4" w:space="0"/>
            </w:tcBorders>
            <w:vAlign w:val="center"/>
          </w:tcPr>
          <w:p w14:paraId="04513333">
            <w:pPr>
              <w:widowControl/>
              <w:jc w:val="left"/>
              <w:rPr>
                <w:rFonts w:ascii="宋体" w:hAnsi="宋体" w:cs="宋体"/>
                <w:color w:val="auto"/>
                <w:kern w:val="0"/>
                <w:szCs w:val="21"/>
              </w:rPr>
            </w:pPr>
            <w:r>
              <w:rPr>
                <w:rFonts w:hint="eastAsia" w:ascii="宋体" w:hAnsi="宋体" w:cs="宋体"/>
                <w:color w:val="auto"/>
                <w:kern w:val="0"/>
                <w:szCs w:val="21"/>
              </w:rPr>
              <w:t>200≤Y＜3000</w:t>
            </w:r>
          </w:p>
        </w:tc>
        <w:tc>
          <w:tcPr>
            <w:tcW w:w="1134" w:type="dxa"/>
            <w:tcBorders>
              <w:top w:val="nil"/>
              <w:left w:val="nil"/>
              <w:bottom w:val="single" w:color="auto" w:sz="4" w:space="0"/>
              <w:right w:val="single" w:color="auto" w:sz="4" w:space="0"/>
            </w:tcBorders>
            <w:vAlign w:val="center"/>
          </w:tcPr>
          <w:p w14:paraId="1EBB67DD">
            <w:pPr>
              <w:widowControl/>
              <w:jc w:val="left"/>
              <w:rPr>
                <w:rFonts w:ascii="宋体" w:hAnsi="宋体" w:cs="宋体"/>
                <w:color w:val="auto"/>
                <w:kern w:val="0"/>
                <w:szCs w:val="21"/>
              </w:rPr>
            </w:pPr>
            <w:r>
              <w:rPr>
                <w:rFonts w:hint="eastAsia" w:ascii="宋体" w:hAnsi="宋体" w:cs="宋体"/>
                <w:color w:val="auto"/>
                <w:kern w:val="0"/>
                <w:szCs w:val="21"/>
              </w:rPr>
              <w:t>Y＜200</w:t>
            </w:r>
          </w:p>
        </w:tc>
      </w:tr>
      <w:tr w14:paraId="4F714A41">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vAlign w:val="center"/>
          </w:tcPr>
          <w:p w14:paraId="1FE47B09">
            <w:pPr>
              <w:widowControl/>
              <w:jc w:val="center"/>
              <w:rPr>
                <w:rFonts w:ascii="宋体" w:hAnsi="宋体" w:cs="宋体"/>
                <w:b/>
                <w:bCs/>
                <w:color w:val="auto"/>
                <w:kern w:val="0"/>
                <w:szCs w:val="21"/>
              </w:rPr>
            </w:pPr>
            <w:r>
              <w:rPr>
                <w:rFonts w:hint="eastAsia" w:ascii="宋体" w:hAnsi="宋体" w:cs="宋体"/>
                <w:b/>
                <w:bCs/>
                <w:color w:val="auto"/>
                <w:kern w:val="0"/>
                <w:szCs w:val="21"/>
              </w:rPr>
              <w:t>仓储业</w:t>
            </w:r>
          </w:p>
        </w:tc>
        <w:tc>
          <w:tcPr>
            <w:tcW w:w="1559" w:type="dxa"/>
            <w:tcBorders>
              <w:top w:val="nil"/>
              <w:left w:val="nil"/>
              <w:bottom w:val="single" w:color="auto" w:sz="4" w:space="0"/>
              <w:right w:val="single" w:color="auto" w:sz="4" w:space="0"/>
            </w:tcBorders>
            <w:vAlign w:val="center"/>
          </w:tcPr>
          <w:p w14:paraId="02429206">
            <w:pPr>
              <w:widowControl/>
              <w:jc w:val="left"/>
              <w:rPr>
                <w:rFonts w:ascii="宋体" w:hAnsi="宋体" w:cs="宋体"/>
                <w:color w:val="auto"/>
                <w:kern w:val="0"/>
                <w:szCs w:val="21"/>
              </w:rPr>
            </w:pPr>
            <w:r>
              <w:rPr>
                <w:rFonts w:hint="eastAsia" w:ascii="宋体" w:hAnsi="宋体" w:cs="宋体"/>
                <w:color w:val="auto"/>
                <w:kern w:val="0"/>
                <w:szCs w:val="21"/>
              </w:rPr>
              <w:t>从业人员（X）</w:t>
            </w:r>
          </w:p>
        </w:tc>
        <w:tc>
          <w:tcPr>
            <w:tcW w:w="1276" w:type="dxa"/>
            <w:tcBorders>
              <w:top w:val="nil"/>
              <w:left w:val="nil"/>
              <w:bottom w:val="single" w:color="auto" w:sz="4" w:space="0"/>
              <w:right w:val="single" w:color="auto" w:sz="4" w:space="0"/>
            </w:tcBorders>
            <w:vAlign w:val="center"/>
          </w:tcPr>
          <w:p w14:paraId="6758BD92">
            <w:pPr>
              <w:widowControl/>
              <w:jc w:val="left"/>
              <w:rPr>
                <w:rFonts w:ascii="宋体" w:hAnsi="宋体" w:cs="宋体"/>
                <w:color w:val="auto"/>
                <w:kern w:val="0"/>
                <w:szCs w:val="21"/>
              </w:rPr>
            </w:pPr>
            <w:r>
              <w:rPr>
                <w:rFonts w:hint="eastAsia" w:ascii="宋体" w:hAnsi="宋体" w:cs="宋体"/>
                <w:color w:val="auto"/>
                <w:kern w:val="0"/>
                <w:szCs w:val="21"/>
              </w:rPr>
              <w:t>人</w:t>
            </w:r>
          </w:p>
        </w:tc>
        <w:tc>
          <w:tcPr>
            <w:tcW w:w="1842" w:type="dxa"/>
            <w:tcBorders>
              <w:top w:val="nil"/>
              <w:left w:val="nil"/>
              <w:bottom w:val="single" w:color="auto" w:sz="4" w:space="0"/>
              <w:right w:val="single" w:color="auto" w:sz="4" w:space="0"/>
            </w:tcBorders>
            <w:vAlign w:val="center"/>
          </w:tcPr>
          <w:p w14:paraId="2D68E5B8">
            <w:pPr>
              <w:widowControl/>
              <w:jc w:val="left"/>
              <w:rPr>
                <w:rFonts w:ascii="宋体" w:hAnsi="宋体" w:cs="宋体"/>
                <w:color w:val="auto"/>
                <w:kern w:val="0"/>
                <w:szCs w:val="21"/>
              </w:rPr>
            </w:pPr>
            <w:r>
              <w:rPr>
                <w:rFonts w:hint="eastAsia" w:ascii="宋体" w:hAnsi="宋体" w:cs="宋体"/>
                <w:color w:val="auto"/>
                <w:kern w:val="0"/>
                <w:szCs w:val="21"/>
              </w:rPr>
              <w:t>100≤X＜200</w:t>
            </w:r>
          </w:p>
        </w:tc>
        <w:tc>
          <w:tcPr>
            <w:tcW w:w="1701" w:type="dxa"/>
            <w:tcBorders>
              <w:top w:val="nil"/>
              <w:left w:val="nil"/>
              <w:bottom w:val="single" w:color="auto" w:sz="4" w:space="0"/>
              <w:right w:val="single" w:color="auto" w:sz="4" w:space="0"/>
            </w:tcBorders>
            <w:vAlign w:val="center"/>
          </w:tcPr>
          <w:p w14:paraId="347EF16E">
            <w:pPr>
              <w:widowControl/>
              <w:jc w:val="left"/>
              <w:rPr>
                <w:rFonts w:ascii="宋体" w:hAnsi="宋体" w:cs="宋体"/>
                <w:color w:val="auto"/>
                <w:kern w:val="0"/>
                <w:szCs w:val="21"/>
              </w:rPr>
            </w:pPr>
            <w:r>
              <w:rPr>
                <w:rFonts w:hint="eastAsia" w:ascii="宋体" w:hAnsi="宋体" w:cs="宋体"/>
                <w:color w:val="auto"/>
                <w:kern w:val="0"/>
                <w:szCs w:val="21"/>
              </w:rPr>
              <w:t>20≤X＜100</w:t>
            </w:r>
          </w:p>
        </w:tc>
        <w:tc>
          <w:tcPr>
            <w:tcW w:w="1134" w:type="dxa"/>
            <w:tcBorders>
              <w:top w:val="nil"/>
              <w:left w:val="nil"/>
              <w:bottom w:val="single" w:color="auto" w:sz="4" w:space="0"/>
              <w:right w:val="single" w:color="auto" w:sz="4" w:space="0"/>
            </w:tcBorders>
            <w:vAlign w:val="center"/>
          </w:tcPr>
          <w:p w14:paraId="588E69CB">
            <w:pPr>
              <w:widowControl/>
              <w:jc w:val="left"/>
              <w:rPr>
                <w:rFonts w:ascii="宋体" w:hAnsi="宋体" w:cs="宋体"/>
                <w:color w:val="auto"/>
                <w:kern w:val="0"/>
                <w:szCs w:val="21"/>
              </w:rPr>
            </w:pPr>
            <w:r>
              <w:rPr>
                <w:rFonts w:hint="eastAsia" w:ascii="宋体" w:hAnsi="宋体" w:cs="宋体"/>
                <w:color w:val="auto"/>
                <w:kern w:val="0"/>
                <w:szCs w:val="21"/>
              </w:rPr>
              <w:t>X＜20</w:t>
            </w:r>
          </w:p>
        </w:tc>
      </w:tr>
      <w:tr w14:paraId="7F6F226A">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vAlign w:val="center"/>
          </w:tcPr>
          <w:p w14:paraId="43C78252">
            <w:pPr>
              <w:widowControl/>
              <w:jc w:val="center"/>
              <w:rPr>
                <w:rFonts w:ascii="宋体" w:hAnsi="宋体" w:cs="宋体"/>
                <w:b/>
                <w:bCs/>
                <w:color w:val="auto"/>
                <w:kern w:val="0"/>
                <w:szCs w:val="21"/>
              </w:rPr>
            </w:pPr>
          </w:p>
        </w:tc>
        <w:tc>
          <w:tcPr>
            <w:tcW w:w="1559" w:type="dxa"/>
            <w:tcBorders>
              <w:top w:val="nil"/>
              <w:left w:val="nil"/>
              <w:bottom w:val="single" w:color="auto" w:sz="4" w:space="0"/>
              <w:right w:val="single" w:color="auto" w:sz="4" w:space="0"/>
            </w:tcBorders>
            <w:vAlign w:val="center"/>
          </w:tcPr>
          <w:p w14:paraId="619608E9">
            <w:pPr>
              <w:widowControl/>
              <w:jc w:val="left"/>
              <w:rPr>
                <w:rFonts w:ascii="宋体" w:hAnsi="宋体" w:cs="宋体"/>
                <w:color w:val="auto"/>
                <w:kern w:val="0"/>
                <w:szCs w:val="21"/>
              </w:rPr>
            </w:pPr>
            <w:r>
              <w:rPr>
                <w:rFonts w:hint="eastAsia" w:ascii="宋体" w:hAnsi="宋体" w:cs="宋体"/>
                <w:color w:val="auto"/>
                <w:kern w:val="0"/>
                <w:szCs w:val="21"/>
              </w:rPr>
              <w:t>营业收入（Y）</w:t>
            </w:r>
          </w:p>
        </w:tc>
        <w:tc>
          <w:tcPr>
            <w:tcW w:w="1276" w:type="dxa"/>
            <w:tcBorders>
              <w:top w:val="nil"/>
              <w:left w:val="nil"/>
              <w:bottom w:val="single" w:color="auto" w:sz="4" w:space="0"/>
              <w:right w:val="single" w:color="auto" w:sz="4" w:space="0"/>
            </w:tcBorders>
            <w:vAlign w:val="center"/>
          </w:tcPr>
          <w:p w14:paraId="774DD154">
            <w:pPr>
              <w:widowControl/>
              <w:jc w:val="left"/>
              <w:rPr>
                <w:rFonts w:ascii="宋体" w:hAnsi="宋体" w:cs="宋体"/>
                <w:color w:val="auto"/>
                <w:kern w:val="0"/>
                <w:szCs w:val="21"/>
              </w:rPr>
            </w:pPr>
            <w:r>
              <w:rPr>
                <w:rFonts w:hint="eastAsia" w:ascii="宋体" w:hAnsi="宋体" w:cs="宋体"/>
                <w:color w:val="auto"/>
                <w:kern w:val="0"/>
                <w:szCs w:val="21"/>
              </w:rPr>
              <w:t>万元</w:t>
            </w:r>
          </w:p>
        </w:tc>
        <w:tc>
          <w:tcPr>
            <w:tcW w:w="1842" w:type="dxa"/>
            <w:tcBorders>
              <w:top w:val="nil"/>
              <w:left w:val="nil"/>
              <w:bottom w:val="single" w:color="auto" w:sz="4" w:space="0"/>
              <w:right w:val="single" w:color="auto" w:sz="4" w:space="0"/>
            </w:tcBorders>
            <w:vAlign w:val="center"/>
          </w:tcPr>
          <w:p w14:paraId="497183FC">
            <w:pPr>
              <w:widowControl/>
              <w:jc w:val="left"/>
              <w:rPr>
                <w:rFonts w:ascii="宋体" w:hAnsi="宋体" w:cs="宋体"/>
                <w:color w:val="auto"/>
                <w:kern w:val="0"/>
                <w:szCs w:val="21"/>
              </w:rPr>
            </w:pPr>
            <w:r>
              <w:rPr>
                <w:rFonts w:hint="eastAsia" w:ascii="宋体" w:hAnsi="宋体" w:cs="宋体"/>
                <w:color w:val="auto"/>
                <w:kern w:val="0"/>
                <w:szCs w:val="21"/>
              </w:rPr>
              <w:t>1000≤Y＜30000</w:t>
            </w:r>
          </w:p>
        </w:tc>
        <w:tc>
          <w:tcPr>
            <w:tcW w:w="1701" w:type="dxa"/>
            <w:tcBorders>
              <w:top w:val="nil"/>
              <w:left w:val="nil"/>
              <w:bottom w:val="single" w:color="auto" w:sz="4" w:space="0"/>
              <w:right w:val="single" w:color="auto" w:sz="4" w:space="0"/>
            </w:tcBorders>
            <w:vAlign w:val="center"/>
          </w:tcPr>
          <w:p w14:paraId="5BB49B6B">
            <w:pPr>
              <w:widowControl/>
              <w:jc w:val="left"/>
              <w:rPr>
                <w:rFonts w:ascii="宋体" w:hAnsi="宋体" w:cs="宋体"/>
                <w:color w:val="auto"/>
                <w:kern w:val="0"/>
                <w:szCs w:val="21"/>
              </w:rPr>
            </w:pPr>
            <w:r>
              <w:rPr>
                <w:rFonts w:hint="eastAsia" w:ascii="宋体" w:hAnsi="宋体" w:cs="宋体"/>
                <w:color w:val="auto"/>
                <w:kern w:val="0"/>
                <w:szCs w:val="21"/>
              </w:rPr>
              <w:t>100≤Y＜1000</w:t>
            </w:r>
          </w:p>
        </w:tc>
        <w:tc>
          <w:tcPr>
            <w:tcW w:w="1134" w:type="dxa"/>
            <w:tcBorders>
              <w:top w:val="nil"/>
              <w:left w:val="nil"/>
              <w:bottom w:val="single" w:color="auto" w:sz="4" w:space="0"/>
              <w:right w:val="single" w:color="auto" w:sz="4" w:space="0"/>
            </w:tcBorders>
            <w:vAlign w:val="center"/>
          </w:tcPr>
          <w:p w14:paraId="5A385322">
            <w:pPr>
              <w:widowControl/>
              <w:jc w:val="left"/>
              <w:rPr>
                <w:rFonts w:ascii="宋体" w:hAnsi="宋体" w:cs="宋体"/>
                <w:color w:val="auto"/>
                <w:kern w:val="0"/>
                <w:szCs w:val="21"/>
              </w:rPr>
            </w:pPr>
            <w:r>
              <w:rPr>
                <w:rFonts w:hint="eastAsia" w:ascii="宋体" w:hAnsi="宋体" w:cs="宋体"/>
                <w:color w:val="auto"/>
                <w:kern w:val="0"/>
                <w:szCs w:val="21"/>
              </w:rPr>
              <w:t>Y＜100</w:t>
            </w:r>
          </w:p>
        </w:tc>
      </w:tr>
      <w:tr w14:paraId="000A1DCB">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vAlign w:val="center"/>
          </w:tcPr>
          <w:p w14:paraId="1E30D94A">
            <w:pPr>
              <w:widowControl/>
              <w:jc w:val="center"/>
              <w:rPr>
                <w:rFonts w:ascii="宋体" w:hAnsi="宋体" w:cs="宋体"/>
                <w:b/>
                <w:bCs/>
                <w:color w:val="auto"/>
                <w:kern w:val="0"/>
                <w:szCs w:val="21"/>
              </w:rPr>
            </w:pPr>
            <w:r>
              <w:rPr>
                <w:rFonts w:hint="eastAsia" w:ascii="宋体" w:hAnsi="宋体" w:cs="宋体"/>
                <w:b/>
                <w:bCs/>
                <w:color w:val="auto"/>
                <w:kern w:val="0"/>
                <w:szCs w:val="21"/>
              </w:rPr>
              <w:t>邮政业</w:t>
            </w:r>
          </w:p>
        </w:tc>
        <w:tc>
          <w:tcPr>
            <w:tcW w:w="1559" w:type="dxa"/>
            <w:tcBorders>
              <w:top w:val="nil"/>
              <w:left w:val="nil"/>
              <w:bottom w:val="single" w:color="auto" w:sz="4" w:space="0"/>
              <w:right w:val="single" w:color="auto" w:sz="4" w:space="0"/>
            </w:tcBorders>
            <w:vAlign w:val="center"/>
          </w:tcPr>
          <w:p w14:paraId="4284B001">
            <w:pPr>
              <w:widowControl/>
              <w:jc w:val="left"/>
              <w:rPr>
                <w:rFonts w:ascii="宋体" w:hAnsi="宋体" w:cs="宋体"/>
                <w:color w:val="auto"/>
                <w:kern w:val="0"/>
                <w:szCs w:val="21"/>
              </w:rPr>
            </w:pPr>
            <w:r>
              <w:rPr>
                <w:rFonts w:hint="eastAsia" w:ascii="宋体" w:hAnsi="宋体" w:cs="宋体"/>
                <w:color w:val="auto"/>
                <w:kern w:val="0"/>
                <w:szCs w:val="21"/>
              </w:rPr>
              <w:t>从业人员（X）</w:t>
            </w:r>
          </w:p>
        </w:tc>
        <w:tc>
          <w:tcPr>
            <w:tcW w:w="1276" w:type="dxa"/>
            <w:tcBorders>
              <w:top w:val="nil"/>
              <w:left w:val="nil"/>
              <w:bottom w:val="single" w:color="auto" w:sz="4" w:space="0"/>
              <w:right w:val="single" w:color="auto" w:sz="4" w:space="0"/>
            </w:tcBorders>
            <w:vAlign w:val="center"/>
          </w:tcPr>
          <w:p w14:paraId="21BE0FCC">
            <w:pPr>
              <w:widowControl/>
              <w:jc w:val="left"/>
              <w:rPr>
                <w:rFonts w:ascii="宋体" w:hAnsi="宋体" w:cs="宋体"/>
                <w:color w:val="auto"/>
                <w:kern w:val="0"/>
                <w:szCs w:val="21"/>
              </w:rPr>
            </w:pPr>
            <w:r>
              <w:rPr>
                <w:rFonts w:hint="eastAsia" w:ascii="宋体" w:hAnsi="宋体" w:cs="宋体"/>
                <w:color w:val="auto"/>
                <w:kern w:val="0"/>
                <w:szCs w:val="21"/>
              </w:rPr>
              <w:t>人</w:t>
            </w:r>
          </w:p>
        </w:tc>
        <w:tc>
          <w:tcPr>
            <w:tcW w:w="1842" w:type="dxa"/>
            <w:tcBorders>
              <w:top w:val="nil"/>
              <w:left w:val="nil"/>
              <w:bottom w:val="single" w:color="auto" w:sz="4" w:space="0"/>
              <w:right w:val="single" w:color="auto" w:sz="4" w:space="0"/>
            </w:tcBorders>
            <w:vAlign w:val="center"/>
          </w:tcPr>
          <w:p w14:paraId="525230CF">
            <w:pPr>
              <w:widowControl/>
              <w:jc w:val="left"/>
              <w:rPr>
                <w:rFonts w:ascii="宋体" w:hAnsi="宋体" w:cs="宋体"/>
                <w:color w:val="auto"/>
                <w:kern w:val="0"/>
                <w:szCs w:val="21"/>
              </w:rPr>
            </w:pPr>
            <w:r>
              <w:rPr>
                <w:rFonts w:hint="eastAsia" w:ascii="宋体" w:hAnsi="宋体" w:cs="宋体"/>
                <w:color w:val="auto"/>
                <w:kern w:val="0"/>
                <w:szCs w:val="21"/>
              </w:rPr>
              <w:t>300≤X＜1000</w:t>
            </w:r>
          </w:p>
        </w:tc>
        <w:tc>
          <w:tcPr>
            <w:tcW w:w="1701" w:type="dxa"/>
            <w:tcBorders>
              <w:top w:val="nil"/>
              <w:left w:val="nil"/>
              <w:bottom w:val="single" w:color="auto" w:sz="4" w:space="0"/>
              <w:right w:val="single" w:color="auto" w:sz="4" w:space="0"/>
            </w:tcBorders>
            <w:vAlign w:val="center"/>
          </w:tcPr>
          <w:p w14:paraId="706023C6">
            <w:pPr>
              <w:widowControl/>
              <w:jc w:val="left"/>
              <w:rPr>
                <w:rFonts w:ascii="宋体" w:hAnsi="宋体" w:cs="宋体"/>
                <w:color w:val="auto"/>
                <w:kern w:val="0"/>
                <w:szCs w:val="21"/>
              </w:rPr>
            </w:pPr>
            <w:r>
              <w:rPr>
                <w:rFonts w:hint="eastAsia" w:ascii="宋体" w:hAnsi="宋体" w:cs="宋体"/>
                <w:color w:val="auto"/>
                <w:kern w:val="0"/>
                <w:szCs w:val="21"/>
              </w:rPr>
              <w:t>20≤X＜300</w:t>
            </w:r>
          </w:p>
        </w:tc>
        <w:tc>
          <w:tcPr>
            <w:tcW w:w="1134" w:type="dxa"/>
            <w:tcBorders>
              <w:top w:val="nil"/>
              <w:left w:val="nil"/>
              <w:bottom w:val="single" w:color="auto" w:sz="4" w:space="0"/>
              <w:right w:val="single" w:color="auto" w:sz="4" w:space="0"/>
            </w:tcBorders>
            <w:vAlign w:val="center"/>
          </w:tcPr>
          <w:p w14:paraId="44EC8DF6">
            <w:pPr>
              <w:widowControl/>
              <w:jc w:val="left"/>
              <w:rPr>
                <w:rFonts w:ascii="宋体" w:hAnsi="宋体" w:cs="宋体"/>
                <w:color w:val="auto"/>
                <w:kern w:val="0"/>
                <w:szCs w:val="21"/>
              </w:rPr>
            </w:pPr>
            <w:r>
              <w:rPr>
                <w:rFonts w:hint="eastAsia" w:ascii="宋体" w:hAnsi="宋体" w:cs="宋体"/>
                <w:color w:val="auto"/>
                <w:kern w:val="0"/>
                <w:szCs w:val="21"/>
              </w:rPr>
              <w:t>X＜20</w:t>
            </w:r>
          </w:p>
        </w:tc>
      </w:tr>
      <w:tr w14:paraId="5E788A95">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vAlign w:val="center"/>
          </w:tcPr>
          <w:p w14:paraId="0DB269BE">
            <w:pPr>
              <w:widowControl/>
              <w:jc w:val="center"/>
              <w:rPr>
                <w:rFonts w:ascii="宋体" w:hAnsi="宋体" w:cs="宋体"/>
                <w:b/>
                <w:bCs/>
                <w:color w:val="auto"/>
                <w:kern w:val="0"/>
                <w:szCs w:val="21"/>
              </w:rPr>
            </w:pPr>
          </w:p>
        </w:tc>
        <w:tc>
          <w:tcPr>
            <w:tcW w:w="1559" w:type="dxa"/>
            <w:tcBorders>
              <w:top w:val="nil"/>
              <w:left w:val="nil"/>
              <w:bottom w:val="single" w:color="auto" w:sz="4" w:space="0"/>
              <w:right w:val="single" w:color="auto" w:sz="4" w:space="0"/>
            </w:tcBorders>
            <w:vAlign w:val="center"/>
          </w:tcPr>
          <w:p w14:paraId="21167E98">
            <w:pPr>
              <w:widowControl/>
              <w:jc w:val="left"/>
              <w:rPr>
                <w:rFonts w:ascii="宋体" w:hAnsi="宋体" w:cs="宋体"/>
                <w:color w:val="auto"/>
                <w:kern w:val="0"/>
                <w:szCs w:val="21"/>
              </w:rPr>
            </w:pPr>
            <w:r>
              <w:rPr>
                <w:rFonts w:hint="eastAsia" w:ascii="宋体" w:hAnsi="宋体" w:cs="宋体"/>
                <w:color w:val="auto"/>
                <w:kern w:val="0"/>
                <w:szCs w:val="21"/>
              </w:rPr>
              <w:t>营业收入（Y）</w:t>
            </w:r>
          </w:p>
        </w:tc>
        <w:tc>
          <w:tcPr>
            <w:tcW w:w="1276" w:type="dxa"/>
            <w:tcBorders>
              <w:top w:val="nil"/>
              <w:left w:val="nil"/>
              <w:bottom w:val="single" w:color="auto" w:sz="4" w:space="0"/>
              <w:right w:val="single" w:color="auto" w:sz="4" w:space="0"/>
            </w:tcBorders>
            <w:vAlign w:val="center"/>
          </w:tcPr>
          <w:p w14:paraId="701297AA">
            <w:pPr>
              <w:widowControl/>
              <w:jc w:val="left"/>
              <w:rPr>
                <w:rFonts w:ascii="宋体" w:hAnsi="宋体" w:cs="宋体"/>
                <w:color w:val="auto"/>
                <w:kern w:val="0"/>
                <w:szCs w:val="21"/>
              </w:rPr>
            </w:pPr>
            <w:r>
              <w:rPr>
                <w:rFonts w:hint="eastAsia" w:ascii="宋体" w:hAnsi="宋体" w:cs="宋体"/>
                <w:color w:val="auto"/>
                <w:kern w:val="0"/>
                <w:szCs w:val="21"/>
              </w:rPr>
              <w:t>万元</w:t>
            </w:r>
          </w:p>
        </w:tc>
        <w:tc>
          <w:tcPr>
            <w:tcW w:w="1842" w:type="dxa"/>
            <w:tcBorders>
              <w:top w:val="nil"/>
              <w:left w:val="nil"/>
              <w:bottom w:val="single" w:color="auto" w:sz="4" w:space="0"/>
              <w:right w:val="single" w:color="auto" w:sz="4" w:space="0"/>
            </w:tcBorders>
            <w:vAlign w:val="center"/>
          </w:tcPr>
          <w:p w14:paraId="1C3919C6">
            <w:pPr>
              <w:widowControl/>
              <w:jc w:val="left"/>
              <w:rPr>
                <w:rFonts w:ascii="宋体" w:hAnsi="宋体" w:cs="宋体"/>
                <w:color w:val="auto"/>
                <w:kern w:val="0"/>
                <w:szCs w:val="21"/>
              </w:rPr>
            </w:pPr>
            <w:r>
              <w:rPr>
                <w:rFonts w:hint="eastAsia" w:ascii="宋体" w:hAnsi="宋体" w:cs="宋体"/>
                <w:color w:val="auto"/>
                <w:kern w:val="0"/>
                <w:szCs w:val="21"/>
              </w:rPr>
              <w:t>2000≤Y＜30000</w:t>
            </w:r>
          </w:p>
        </w:tc>
        <w:tc>
          <w:tcPr>
            <w:tcW w:w="1701" w:type="dxa"/>
            <w:tcBorders>
              <w:top w:val="nil"/>
              <w:left w:val="nil"/>
              <w:bottom w:val="single" w:color="auto" w:sz="4" w:space="0"/>
              <w:right w:val="single" w:color="auto" w:sz="4" w:space="0"/>
            </w:tcBorders>
            <w:vAlign w:val="center"/>
          </w:tcPr>
          <w:p w14:paraId="4B399207">
            <w:pPr>
              <w:widowControl/>
              <w:jc w:val="left"/>
              <w:rPr>
                <w:rFonts w:ascii="宋体" w:hAnsi="宋体" w:cs="宋体"/>
                <w:color w:val="auto"/>
                <w:kern w:val="0"/>
                <w:szCs w:val="21"/>
              </w:rPr>
            </w:pPr>
            <w:r>
              <w:rPr>
                <w:rFonts w:hint="eastAsia" w:ascii="宋体" w:hAnsi="宋体" w:cs="宋体"/>
                <w:color w:val="auto"/>
                <w:kern w:val="0"/>
                <w:szCs w:val="21"/>
              </w:rPr>
              <w:t>100≤Y＜2000</w:t>
            </w:r>
          </w:p>
        </w:tc>
        <w:tc>
          <w:tcPr>
            <w:tcW w:w="1134" w:type="dxa"/>
            <w:tcBorders>
              <w:top w:val="nil"/>
              <w:left w:val="nil"/>
              <w:bottom w:val="single" w:color="auto" w:sz="4" w:space="0"/>
              <w:right w:val="single" w:color="auto" w:sz="4" w:space="0"/>
            </w:tcBorders>
            <w:vAlign w:val="center"/>
          </w:tcPr>
          <w:p w14:paraId="01C09312">
            <w:pPr>
              <w:widowControl/>
              <w:jc w:val="left"/>
              <w:rPr>
                <w:rFonts w:ascii="宋体" w:hAnsi="宋体" w:cs="宋体"/>
                <w:color w:val="auto"/>
                <w:kern w:val="0"/>
                <w:szCs w:val="21"/>
              </w:rPr>
            </w:pPr>
            <w:r>
              <w:rPr>
                <w:rFonts w:hint="eastAsia" w:ascii="宋体" w:hAnsi="宋体" w:cs="宋体"/>
                <w:color w:val="auto"/>
                <w:kern w:val="0"/>
                <w:szCs w:val="21"/>
              </w:rPr>
              <w:t>Y＜100</w:t>
            </w:r>
          </w:p>
        </w:tc>
      </w:tr>
      <w:tr w14:paraId="10A30584">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vAlign w:val="center"/>
          </w:tcPr>
          <w:p w14:paraId="07CC77EB">
            <w:pPr>
              <w:widowControl/>
              <w:jc w:val="center"/>
              <w:rPr>
                <w:rFonts w:ascii="宋体" w:hAnsi="宋体" w:cs="宋体"/>
                <w:b/>
                <w:bCs/>
                <w:color w:val="auto"/>
                <w:kern w:val="0"/>
                <w:szCs w:val="21"/>
              </w:rPr>
            </w:pPr>
            <w:r>
              <w:rPr>
                <w:rFonts w:hint="eastAsia" w:ascii="宋体" w:hAnsi="宋体" w:cs="宋体"/>
                <w:b/>
                <w:bCs/>
                <w:color w:val="auto"/>
                <w:kern w:val="0"/>
                <w:szCs w:val="21"/>
              </w:rPr>
              <w:t>住宿业</w:t>
            </w:r>
          </w:p>
        </w:tc>
        <w:tc>
          <w:tcPr>
            <w:tcW w:w="1559" w:type="dxa"/>
            <w:tcBorders>
              <w:top w:val="nil"/>
              <w:left w:val="nil"/>
              <w:bottom w:val="single" w:color="auto" w:sz="4" w:space="0"/>
              <w:right w:val="single" w:color="auto" w:sz="4" w:space="0"/>
            </w:tcBorders>
            <w:vAlign w:val="center"/>
          </w:tcPr>
          <w:p w14:paraId="430445CD">
            <w:pPr>
              <w:widowControl/>
              <w:jc w:val="left"/>
              <w:rPr>
                <w:rFonts w:ascii="宋体" w:hAnsi="宋体" w:cs="宋体"/>
                <w:color w:val="auto"/>
                <w:kern w:val="0"/>
                <w:szCs w:val="21"/>
              </w:rPr>
            </w:pPr>
            <w:r>
              <w:rPr>
                <w:rFonts w:hint="eastAsia" w:ascii="宋体" w:hAnsi="宋体" w:cs="宋体"/>
                <w:color w:val="auto"/>
                <w:kern w:val="0"/>
                <w:szCs w:val="21"/>
              </w:rPr>
              <w:t>从业人员（X）</w:t>
            </w:r>
          </w:p>
        </w:tc>
        <w:tc>
          <w:tcPr>
            <w:tcW w:w="1276" w:type="dxa"/>
            <w:tcBorders>
              <w:top w:val="nil"/>
              <w:left w:val="nil"/>
              <w:bottom w:val="single" w:color="auto" w:sz="4" w:space="0"/>
              <w:right w:val="single" w:color="auto" w:sz="4" w:space="0"/>
            </w:tcBorders>
            <w:vAlign w:val="center"/>
          </w:tcPr>
          <w:p w14:paraId="1C2AE2E5">
            <w:pPr>
              <w:widowControl/>
              <w:jc w:val="left"/>
              <w:rPr>
                <w:rFonts w:ascii="宋体" w:hAnsi="宋体" w:cs="宋体"/>
                <w:color w:val="auto"/>
                <w:kern w:val="0"/>
                <w:szCs w:val="21"/>
              </w:rPr>
            </w:pPr>
            <w:r>
              <w:rPr>
                <w:rFonts w:hint="eastAsia" w:ascii="宋体" w:hAnsi="宋体" w:cs="宋体"/>
                <w:color w:val="auto"/>
                <w:kern w:val="0"/>
                <w:szCs w:val="21"/>
              </w:rPr>
              <w:t>人</w:t>
            </w:r>
          </w:p>
        </w:tc>
        <w:tc>
          <w:tcPr>
            <w:tcW w:w="1842" w:type="dxa"/>
            <w:tcBorders>
              <w:top w:val="nil"/>
              <w:left w:val="nil"/>
              <w:bottom w:val="single" w:color="auto" w:sz="4" w:space="0"/>
              <w:right w:val="single" w:color="auto" w:sz="4" w:space="0"/>
            </w:tcBorders>
            <w:vAlign w:val="center"/>
          </w:tcPr>
          <w:p w14:paraId="294A431F">
            <w:pPr>
              <w:widowControl/>
              <w:jc w:val="left"/>
              <w:rPr>
                <w:rFonts w:ascii="宋体" w:hAnsi="宋体" w:cs="宋体"/>
                <w:color w:val="auto"/>
                <w:kern w:val="0"/>
                <w:szCs w:val="21"/>
              </w:rPr>
            </w:pPr>
            <w:r>
              <w:rPr>
                <w:rFonts w:hint="eastAsia" w:ascii="宋体" w:hAnsi="宋体" w:cs="宋体"/>
                <w:color w:val="auto"/>
                <w:kern w:val="0"/>
                <w:szCs w:val="21"/>
              </w:rPr>
              <w:t>100≤X＜300</w:t>
            </w:r>
          </w:p>
        </w:tc>
        <w:tc>
          <w:tcPr>
            <w:tcW w:w="1701" w:type="dxa"/>
            <w:tcBorders>
              <w:top w:val="nil"/>
              <w:left w:val="nil"/>
              <w:bottom w:val="single" w:color="auto" w:sz="4" w:space="0"/>
              <w:right w:val="single" w:color="auto" w:sz="4" w:space="0"/>
            </w:tcBorders>
            <w:vAlign w:val="center"/>
          </w:tcPr>
          <w:p w14:paraId="218A417F">
            <w:pPr>
              <w:widowControl/>
              <w:jc w:val="left"/>
              <w:rPr>
                <w:rFonts w:ascii="宋体" w:hAnsi="宋体" w:cs="宋体"/>
                <w:color w:val="auto"/>
                <w:kern w:val="0"/>
                <w:szCs w:val="21"/>
              </w:rPr>
            </w:pPr>
            <w:r>
              <w:rPr>
                <w:rFonts w:hint="eastAsia" w:ascii="宋体" w:hAnsi="宋体" w:cs="宋体"/>
                <w:color w:val="auto"/>
                <w:kern w:val="0"/>
                <w:szCs w:val="21"/>
              </w:rPr>
              <w:t>10≤X＜100</w:t>
            </w:r>
          </w:p>
        </w:tc>
        <w:tc>
          <w:tcPr>
            <w:tcW w:w="1134" w:type="dxa"/>
            <w:tcBorders>
              <w:top w:val="nil"/>
              <w:left w:val="nil"/>
              <w:bottom w:val="single" w:color="auto" w:sz="4" w:space="0"/>
              <w:right w:val="single" w:color="auto" w:sz="4" w:space="0"/>
            </w:tcBorders>
            <w:vAlign w:val="center"/>
          </w:tcPr>
          <w:p w14:paraId="5CFA10F7">
            <w:pPr>
              <w:widowControl/>
              <w:jc w:val="left"/>
              <w:rPr>
                <w:rFonts w:ascii="宋体" w:hAnsi="宋体" w:cs="宋体"/>
                <w:color w:val="auto"/>
                <w:kern w:val="0"/>
                <w:szCs w:val="21"/>
              </w:rPr>
            </w:pPr>
            <w:r>
              <w:rPr>
                <w:rFonts w:hint="eastAsia" w:ascii="宋体" w:hAnsi="宋体" w:cs="宋体"/>
                <w:color w:val="auto"/>
                <w:kern w:val="0"/>
                <w:szCs w:val="21"/>
              </w:rPr>
              <w:t>X＜10</w:t>
            </w:r>
          </w:p>
        </w:tc>
      </w:tr>
      <w:tr w14:paraId="757F8B7F">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vAlign w:val="center"/>
          </w:tcPr>
          <w:p w14:paraId="41FE9C94">
            <w:pPr>
              <w:widowControl/>
              <w:jc w:val="center"/>
              <w:rPr>
                <w:rFonts w:ascii="宋体" w:hAnsi="宋体" w:cs="宋体"/>
                <w:b/>
                <w:bCs/>
                <w:color w:val="auto"/>
                <w:kern w:val="0"/>
                <w:szCs w:val="21"/>
              </w:rPr>
            </w:pPr>
          </w:p>
        </w:tc>
        <w:tc>
          <w:tcPr>
            <w:tcW w:w="1559" w:type="dxa"/>
            <w:tcBorders>
              <w:top w:val="nil"/>
              <w:left w:val="nil"/>
              <w:bottom w:val="single" w:color="auto" w:sz="4" w:space="0"/>
              <w:right w:val="single" w:color="auto" w:sz="4" w:space="0"/>
            </w:tcBorders>
            <w:vAlign w:val="center"/>
          </w:tcPr>
          <w:p w14:paraId="76B30730">
            <w:pPr>
              <w:widowControl/>
              <w:jc w:val="left"/>
              <w:rPr>
                <w:rFonts w:ascii="宋体" w:hAnsi="宋体" w:cs="宋体"/>
                <w:color w:val="auto"/>
                <w:kern w:val="0"/>
                <w:szCs w:val="21"/>
              </w:rPr>
            </w:pPr>
            <w:r>
              <w:rPr>
                <w:rFonts w:hint="eastAsia" w:ascii="宋体" w:hAnsi="宋体" w:cs="宋体"/>
                <w:color w:val="auto"/>
                <w:kern w:val="0"/>
                <w:szCs w:val="21"/>
              </w:rPr>
              <w:t>营业收入（Y）</w:t>
            </w:r>
          </w:p>
        </w:tc>
        <w:tc>
          <w:tcPr>
            <w:tcW w:w="1276" w:type="dxa"/>
            <w:tcBorders>
              <w:top w:val="nil"/>
              <w:left w:val="nil"/>
              <w:bottom w:val="single" w:color="auto" w:sz="4" w:space="0"/>
              <w:right w:val="single" w:color="auto" w:sz="4" w:space="0"/>
            </w:tcBorders>
            <w:vAlign w:val="center"/>
          </w:tcPr>
          <w:p w14:paraId="2EBC8C4D">
            <w:pPr>
              <w:widowControl/>
              <w:jc w:val="left"/>
              <w:rPr>
                <w:rFonts w:ascii="宋体" w:hAnsi="宋体" w:cs="宋体"/>
                <w:color w:val="auto"/>
                <w:kern w:val="0"/>
                <w:szCs w:val="21"/>
              </w:rPr>
            </w:pPr>
            <w:r>
              <w:rPr>
                <w:rFonts w:hint="eastAsia" w:ascii="宋体" w:hAnsi="宋体" w:cs="宋体"/>
                <w:color w:val="auto"/>
                <w:kern w:val="0"/>
                <w:szCs w:val="21"/>
              </w:rPr>
              <w:t>万元</w:t>
            </w:r>
          </w:p>
        </w:tc>
        <w:tc>
          <w:tcPr>
            <w:tcW w:w="1842" w:type="dxa"/>
            <w:tcBorders>
              <w:top w:val="nil"/>
              <w:left w:val="nil"/>
              <w:bottom w:val="single" w:color="auto" w:sz="4" w:space="0"/>
              <w:right w:val="single" w:color="auto" w:sz="4" w:space="0"/>
            </w:tcBorders>
            <w:vAlign w:val="center"/>
          </w:tcPr>
          <w:p w14:paraId="05A046F4">
            <w:pPr>
              <w:widowControl/>
              <w:jc w:val="left"/>
              <w:rPr>
                <w:rFonts w:ascii="宋体" w:hAnsi="宋体" w:cs="宋体"/>
                <w:color w:val="auto"/>
                <w:kern w:val="0"/>
                <w:szCs w:val="21"/>
              </w:rPr>
            </w:pPr>
            <w:r>
              <w:rPr>
                <w:rFonts w:hint="eastAsia" w:ascii="宋体" w:hAnsi="宋体" w:cs="宋体"/>
                <w:color w:val="auto"/>
                <w:kern w:val="0"/>
                <w:szCs w:val="21"/>
              </w:rPr>
              <w:t>2000≤Y＜10000</w:t>
            </w:r>
          </w:p>
        </w:tc>
        <w:tc>
          <w:tcPr>
            <w:tcW w:w="1701" w:type="dxa"/>
            <w:tcBorders>
              <w:top w:val="nil"/>
              <w:left w:val="nil"/>
              <w:bottom w:val="single" w:color="auto" w:sz="4" w:space="0"/>
              <w:right w:val="single" w:color="auto" w:sz="4" w:space="0"/>
            </w:tcBorders>
            <w:vAlign w:val="center"/>
          </w:tcPr>
          <w:p w14:paraId="4D31706E">
            <w:pPr>
              <w:widowControl/>
              <w:jc w:val="left"/>
              <w:rPr>
                <w:rFonts w:ascii="宋体" w:hAnsi="宋体" w:cs="宋体"/>
                <w:color w:val="auto"/>
                <w:kern w:val="0"/>
                <w:szCs w:val="21"/>
              </w:rPr>
            </w:pPr>
            <w:r>
              <w:rPr>
                <w:rFonts w:hint="eastAsia" w:ascii="宋体" w:hAnsi="宋体" w:cs="宋体"/>
                <w:color w:val="auto"/>
                <w:kern w:val="0"/>
                <w:szCs w:val="21"/>
              </w:rPr>
              <w:t>100≤Y＜2000</w:t>
            </w:r>
          </w:p>
        </w:tc>
        <w:tc>
          <w:tcPr>
            <w:tcW w:w="1134" w:type="dxa"/>
            <w:tcBorders>
              <w:top w:val="nil"/>
              <w:left w:val="nil"/>
              <w:bottom w:val="single" w:color="auto" w:sz="4" w:space="0"/>
              <w:right w:val="single" w:color="auto" w:sz="4" w:space="0"/>
            </w:tcBorders>
            <w:vAlign w:val="center"/>
          </w:tcPr>
          <w:p w14:paraId="2B3A109B">
            <w:pPr>
              <w:widowControl/>
              <w:jc w:val="left"/>
              <w:rPr>
                <w:rFonts w:ascii="宋体" w:hAnsi="宋体" w:cs="宋体"/>
                <w:color w:val="auto"/>
                <w:kern w:val="0"/>
                <w:szCs w:val="21"/>
              </w:rPr>
            </w:pPr>
            <w:r>
              <w:rPr>
                <w:rFonts w:hint="eastAsia" w:ascii="宋体" w:hAnsi="宋体" w:cs="宋体"/>
                <w:color w:val="auto"/>
                <w:kern w:val="0"/>
                <w:szCs w:val="21"/>
              </w:rPr>
              <w:t>Y＜100</w:t>
            </w:r>
          </w:p>
        </w:tc>
      </w:tr>
      <w:tr w14:paraId="710D1D20">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vAlign w:val="center"/>
          </w:tcPr>
          <w:p w14:paraId="42B1F7DB">
            <w:pPr>
              <w:widowControl/>
              <w:jc w:val="center"/>
              <w:rPr>
                <w:rFonts w:ascii="宋体" w:hAnsi="宋体" w:cs="宋体"/>
                <w:b/>
                <w:bCs/>
                <w:color w:val="auto"/>
                <w:kern w:val="0"/>
                <w:szCs w:val="21"/>
              </w:rPr>
            </w:pPr>
            <w:r>
              <w:rPr>
                <w:rFonts w:hint="eastAsia" w:ascii="宋体" w:hAnsi="宋体" w:cs="宋体"/>
                <w:b/>
                <w:bCs/>
                <w:color w:val="auto"/>
                <w:kern w:val="0"/>
                <w:szCs w:val="21"/>
              </w:rPr>
              <w:t>餐饮业</w:t>
            </w:r>
          </w:p>
        </w:tc>
        <w:tc>
          <w:tcPr>
            <w:tcW w:w="1559" w:type="dxa"/>
            <w:tcBorders>
              <w:top w:val="nil"/>
              <w:left w:val="nil"/>
              <w:bottom w:val="single" w:color="auto" w:sz="4" w:space="0"/>
              <w:right w:val="single" w:color="auto" w:sz="4" w:space="0"/>
            </w:tcBorders>
            <w:vAlign w:val="center"/>
          </w:tcPr>
          <w:p w14:paraId="71F92E65">
            <w:pPr>
              <w:widowControl/>
              <w:jc w:val="left"/>
              <w:rPr>
                <w:rFonts w:ascii="宋体" w:hAnsi="宋体" w:cs="宋体"/>
                <w:color w:val="auto"/>
                <w:kern w:val="0"/>
                <w:szCs w:val="21"/>
              </w:rPr>
            </w:pPr>
            <w:r>
              <w:rPr>
                <w:rFonts w:hint="eastAsia" w:ascii="宋体" w:hAnsi="宋体" w:cs="宋体"/>
                <w:color w:val="auto"/>
                <w:kern w:val="0"/>
                <w:szCs w:val="21"/>
              </w:rPr>
              <w:t>从业人员（X）</w:t>
            </w:r>
          </w:p>
        </w:tc>
        <w:tc>
          <w:tcPr>
            <w:tcW w:w="1276" w:type="dxa"/>
            <w:tcBorders>
              <w:top w:val="nil"/>
              <w:left w:val="nil"/>
              <w:bottom w:val="single" w:color="auto" w:sz="4" w:space="0"/>
              <w:right w:val="single" w:color="auto" w:sz="4" w:space="0"/>
            </w:tcBorders>
            <w:vAlign w:val="center"/>
          </w:tcPr>
          <w:p w14:paraId="283EC0A9">
            <w:pPr>
              <w:widowControl/>
              <w:jc w:val="left"/>
              <w:rPr>
                <w:rFonts w:ascii="宋体" w:hAnsi="宋体" w:cs="宋体"/>
                <w:color w:val="auto"/>
                <w:kern w:val="0"/>
                <w:szCs w:val="21"/>
              </w:rPr>
            </w:pPr>
            <w:r>
              <w:rPr>
                <w:rFonts w:hint="eastAsia" w:ascii="宋体" w:hAnsi="宋体" w:cs="宋体"/>
                <w:color w:val="auto"/>
                <w:kern w:val="0"/>
                <w:szCs w:val="21"/>
              </w:rPr>
              <w:t>人</w:t>
            </w:r>
          </w:p>
        </w:tc>
        <w:tc>
          <w:tcPr>
            <w:tcW w:w="1842" w:type="dxa"/>
            <w:tcBorders>
              <w:top w:val="nil"/>
              <w:left w:val="nil"/>
              <w:bottom w:val="single" w:color="auto" w:sz="4" w:space="0"/>
              <w:right w:val="single" w:color="auto" w:sz="4" w:space="0"/>
            </w:tcBorders>
            <w:vAlign w:val="center"/>
          </w:tcPr>
          <w:p w14:paraId="060D52A0">
            <w:pPr>
              <w:widowControl/>
              <w:jc w:val="left"/>
              <w:rPr>
                <w:rFonts w:ascii="宋体" w:hAnsi="宋体" w:cs="宋体"/>
                <w:color w:val="auto"/>
                <w:kern w:val="0"/>
                <w:szCs w:val="21"/>
              </w:rPr>
            </w:pPr>
            <w:r>
              <w:rPr>
                <w:rFonts w:hint="eastAsia" w:ascii="宋体" w:hAnsi="宋体" w:cs="宋体"/>
                <w:color w:val="auto"/>
                <w:kern w:val="0"/>
                <w:szCs w:val="21"/>
              </w:rPr>
              <w:t>100≤X＜300</w:t>
            </w:r>
          </w:p>
        </w:tc>
        <w:tc>
          <w:tcPr>
            <w:tcW w:w="1701" w:type="dxa"/>
            <w:tcBorders>
              <w:top w:val="nil"/>
              <w:left w:val="nil"/>
              <w:bottom w:val="single" w:color="auto" w:sz="4" w:space="0"/>
              <w:right w:val="single" w:color="auto" w:sz="4" w:space="0"/>
            </w:tcBorders>
            <w:vAlign w:val="center"/>
          </w:tcPr>
          <w:p w14:paraId="63205E5A">
            <w:pPr>
              <w:widowControl/>
              <w:jc w:val="left"/>
              <w:rPr>
                <w:rFonts w:ascii="宋体" w:hAnsi="宋体" w:cs="宋体"/>
                <w:color w:val="auto"/>
                <w:kern w:val="0"/>
                <w:szCs w:val="21"/>
              </w:rPr>
            </w:pPr>
            <w:r>
              <w:rPr>
                <w:rFonts w:hint="eastAsia" w:ascii="宋体" w:hAnsi="宋体" w:cs="宋体"/>
                <w:color w:val="auto"/>
                <w:kern w:val="0"/>
                <w:szCs w:val="21"/>
              </w:rPr>
              <w:t>10≤X＜100</w:t>
            </w:r>
          </w:p>
        </w:tc>
        <w:tc>
          <w:tcPr>
            <w:tcW w:w="1134" w:type="dxa"/>
            <w:tcBorders>
              <w:top w:val="nil"/>
              <w:left w:val="nil"/>
              <w:bottom w:val="single" w:color="auto" w:sz="4" w:space="0"/>
              <w:right w:val="single" w:color="auto" w:sz="4" w:space="0"/>
            </w:tcBorders>
            <w:vAlign w:val="center"/>
          </w:tcPr>
          <w:p w14:paraId="7B18472E">
            <w:pPr>
              <w:widowControl/>
              <w:jc w:val="left"/>
              <w:rPr>
                <w:rFonts w:ascii="宋体" w:hAnsi="宋体" w:cs="宋体"/>
                <w:color w:val="auto"/>
                <w:kern w:val="0"/>
                <w:szCs w:val="21"/>
              </w:rPr>
            </w:pPr>
            <w:r>
              <w:rPr>
                <w:rFonts w:hint="eastAsia" w:ascii="宋体" w:hAnsi="宋体" w:cs="宋体"/>
                <w:color w:val="auto"/>
                <w:kern w:val="0"/>
                <w:szCs w:val="21"/>
              </w:rPr>
              <w:t>X＜10</w:t>
            </w:r>
          </w:p>
        </w:tc>
      </w:tr>
      <w:tr w14:paraId="029C6BEB">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vAlign w:val="center"/>
          </w:tcPr>
          <w:p w14:paraId="373A1795">
            <w:pPr>
              <w:widowControl/>
              <w:jc w:val="center"/>
              <w:rPr>
                <w:rFonts w:ascii="宋体" w:hAnsi="宋体" w:cs="宋体"/>
                <w:b/>
                <w:bCs/>
                <w:color w:val="auto"/>
                <w:kern w:val="0"/>
                <w:szCs w:val="21"/>
              </w:rPr>
            </w:pPr>
          </w:p>
        </w:tc>
        <w:tc>
          <w:tcPr>
            <w:tcW w:w="1559" w:type="dxa"/>
            <w:tcBorders>
              <w:top w:val="nil"/>
              <w:left w:val="nil"/>
              <w:bottom w:val="single" w:color="auto" w:sz="4" w:space="0"/>
              <w:right w:val="single" w:color="auto" w:sz="4" w:space="0"/>
            </w:tcBorders>
            <w:vAlign w:val="center"/>
          </w:tcPr>
          <w:p w14:paraId="6D609E54">
            <w:pPr>
              <w:widowControl/>
              <w:jc w:val="left"/>
              <w:rPr>
                <w:rFonts w:ascii="宋体" w:hAnsi="宋体" w:cs="宋体"/>
                <w:color w:val="auto"/>
                <w:kern w:val="0"/>
                <w:szCs w:val="21"/>
              </w:rPr>
            </w:pPr>
            <w:r>
              <w:rPr>
                <w:rFonts w:hint="eastAsia" w:ascii="宋体" w:hAnsi="宋体" w:cs="宋体"/>
                <w:color w:val="auto"/>
                <w:kern w:val="0"/>
                <w:szCs w:val="21"/>
              </w:rPr>
              <w:t>营业收入（Y）</w:t>
            </w:r>
          </w:p>
        </w:tc>
        <w:tc>
          <w:tcPr>
            <w:tcW w:w="1276" w:type="dxa"/>
            <w:tcBorders>
              <w:top w:val="nil"/>
              <w:left w:val="nil"/>
              <w:bottom w:val="single" w:color="auto" w:sz="4" w:space="0"/>
              <w:right w:val="single" w:color="auto" w:sz="4" w:space="0"/>
            </w:tcBorders>
            <w:vAlign w:val="center"/>
          </w:tcPr>
          <w:p w14:paraId="4B2B02E6">
            <w:pPr>
              <w:widowControl/>
              <w:jc w:val="left"/>
              <w:rPr>
                <w:rFonts w:ascii="宋体" w:hAnsi="宋体" w:cs="宋体"/>
                <w:color w:val="auto"/>
                <w:kern w:val="0"/>
                <w:szCs w:val="21"/>
              </w:rPr>
            </w:pPr>
            <w:r>
              <w:rPr>
                <w:rFonts w:hint="eastAsia" w:ascii="宋体" w:hAnsi="宋体" w:cs="宋体"/>
                <w:color w:val="auto"/>
                <w:kern w:val="0"/>
                <w:szCs w:val="21"/>
              </w:rPr>
              <w:t>万元</w:t>
            </w:r>
          </w:p>
        </w:tc>
        <w:tc>
          <w:tcPr>
            <w:tcW w:w="1842" w:type="dxa"/>
            <w:tcBorders>
              <w:top w:val="nil"/>
              <w:left w:val="nil"/>
              <w:bottom w:val="single" w:color="auto" w:sz="4" w:space="0"/>
              <w:right w:val="single" w:color="auto" w:sz="4" w:space="0"/>
            </w:tcBorders>
            <w:vAlign w:val="center"/>
          </w:tcPr>
          <w:p w14:paraId="6CB19AB3">
            <w:pPr>
              <w:widowControl/>
              <w:jc w:val="left"/>
              <w:rPr>
                <w:rFonts w:ascii="宋体" w:hAnsi="宋体" w:cs="宋体"/>
                <w:color w:val="auto"/>
                <w:kern w:val="0"/>
                <w:szCs w:val="21"/>
              </w:rPr>
            </w:pPr>
            <w:r>
              <w:rPr>
                <w:rFonts w:hint="eastAsia" w:ascii="宋体" w:hAnsi="宋体" w:cs="宋体"/>
                <w:color w:val="auto"/>
                <w:kern w:val="0"/>
                <w:szCs w:val="21"/>
              </w:rPr>
              <w:t>2000≤Y＜10000</w:t>
            </w:r>
          </w:p>
        </w:tc>
        <w:tc>
          <w:tcPr>
            <w:tcW w:w="1701" w:type="dxa"/>
            <w:tcBorders>
              <w:top w:val="nil"/>
              <w:left w:val="nil"/>
              <w:bottom w:val="single" w:color="auto" w:sz="4" w:space="0"/>
              <w:right w:val="single" w:color="auto" w:sz="4" w:space="0"/>
            </w:tcBorders>
            <w:vAlign w:val="center"/>
          </w:tcPr>
          <w:p w14:paraId="022182A2">
            <w:pPr>
              <w:widowControl/>
              <w:jc w:val="left"/>
              <w:rPr>
                <w:rFonts w:ascii="宋体" w:hAnsi="宋体" w:cs="宋体"/>
                <w:color w:val="auto"/>
                <w:kern w:val="0"/>
                <w:szCs w:val="21"/>
              </w:rPr>
            </w:pPr>
            <w:r>
              <w:rPr>
                <w:rFonts w:hint="eastAsia" w:ascii="宋体" w:hAnsi="宋体" w:cs="宋体"/>
                <w:color w:val="auto"/>
                <w:kern w:val="0"/>
                <w:szCs w:val="21"/>
              </w:rPr>
              <w:t>100≤Y＜2000</w:t>
            </w:r>
          </w:p>
        </w:tc>
        <w:tc>
          <w:tcPr>
            <w:tcW w:w="1134" w:type="dxa"/>
            <w:tcBorders>
              <w:top w:val="nil"/>
              <w:left w:val="nil"/>
              <w:bottom w:val="single" w:color="auto" w:sz="4" w:space="0"/>
              <w:right w:val="single" w:color="auto" w:sz="4" w:space="0"/>
            </w:tcBorders>
            <w:vAlign w:val="center"/>
          </w:tcPr>
          <w:p w14:paraId="60570FDB">
            <w:pPr>
              <w:widowControl/>
              <w:jc w:val="left"/>
              <w:rPr>
                <w:rFonts w:ascii="宋体" w:hAnsi="宋体" w:cs="宋体"/>
                <w:color w:val="auto"/>
                <w:kern w:val="0"/>
                <w:szCs w:val="21"/>
              </w:rPr>
            </w:pPr>
            <w:r>
              <w:rPr>
                <w:rFonts w:hint="eastAsia" w:ascii="宋体" w:hAnsi="宋体" w:cs="宋体"/>
                <w:color w:val="auto"/>
                <w:kern w:val="0"/>
                <w:szCs w:val="21"/>
              </w:rPr>
              <w:t>Y＜100</w:t>
            </w:r>
          </w:p>
        </w:tc>
      </w:tr>
      <w:tr w14:paraId="3A72B4A9">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vAlign w:val="center"/>
          </w:tcPr>
          <w:p w14:paraId="3F664B2E">
            <w:pPr>
              <w:widowControl/>
              <w:jc w:val="center"/>
              <w:rPr>
                <w:rFonts w:ascii="宋体" w:hAnsi="宋体" w:cs="宋体"/>
                <w:b/>
                <w:bCs/>
                <w:color w:val="auto"/>
                <w:kern w:val="0"/>
                <w:szCs w:val="21"/>
              </w:rPr>
            </w:pPr>
            <w:r>
              <w:rPr>
                <w:rFonts w:hint="eastAsia" w:ascii="宋体" w:hAnsi="宋体" w:cs="宋体"/>
                <w:b/>
                <w:bCs/>
                <w:color w:val="auto"/>
                <w:kern w:val="0"/>
                <w:szCs w:val="21"/>
              </w:rPr>
              <w:t>信息传输业</w:t>
            </w:r>
          </w:p>
        </w:tc>
        <w:tc>
          <w:tcPr>
            <w:tcW w:w="1559" w:type="dxa"/>
            <w:tcBorders>
              <w:top w:val="nil"/>
              <w:left w:val="nil"/>
              <w:bottom w:val="single" w:color="auto" w:sz="4" w:space="0"/>
              <w:right w:val="single" w:color="auto" w:sz="4" w:space="0"/>
            </w:tcBorders>
            <w:vAlign w:val="center"/>
          </w:tcPr>
          <w:p w14:paraId="5BE5169D">
            <w:pPr>
              <w:widowControl/>
              <w:jc w:val="left"/>
              <w:rPr>
                <w:rFonts w:ascii="宋体" w:hAnsi="宋体" w:cs="宋体"/>
                <w:color w:val="auto"/>
                <w:kern w:val="0"/>
                <w:szCs w:val="21"/>
              </w:rPr>
            </w:pPr>
            <w:r>
              <w:rPr>
                <w:rFonts w:hint="eastAsia" w:ascii="宋体" w:hAnsi="宋体" w:cs="宋体"/>
                <w:color w:val="auto"/>
                <w:kern w:val="0"/>
                <w:szCs w:val="21"/>
              </w:rPr>
              <w:t>从业人员（X）</w:t>
            </w:r>
          </w:p>
        </w:tc>
        <w:tc>
          <w:tcPr>
            <w:tcW w:w="1276" w:type="dxa"/>
            <w:tcBorders>
              <w:top w:val="nil"/>
              <w:left w:val="nil"/>
              <w:bottom w:val="single" w:color="auto" w:sz="4" w:space="0"/>
              <w:right w:val="single" w:color="auto" w:sz="4" w:space="0"/>
            </w:tcBorders>
            <w:vAlign w:val="center"/>
          </w:tcPr>
          <w:p w14:paraId="287B087C">
            <w:pPr>
              <w:widowControl/>
              <w:jc w:val="left"/>
              <w:rPr>
                <w:rFonts w:ascii="宋体" w:hAnsi="宋体" w:cs="宋体"/>
                <w:color w:val="auto"/>
                <w:kern w:val="0"/>
                <w:szCs w:val="21"/>
              </w:rPr>
            </w:pPr>
            <w:r>
              <w:rPr>
                <w:rFonts w:hint="eastAsia" w:ascii="宋体" w:hAnsi="宋体" w:cs="宋体"/>
                <w:color w:val="auto"/>
                <w:kern w:val="0"/>
                <w:szCs w:val="21"/>
              </w:rPr>
              <w:t>人</w:t>
            </w:r>
          </w:p>
        </w:tc>
        <w:tc>
          <w:tcPr>
            <w:tcW w:w="1842" w:type="dxa"/>
            <w:tcBorders>
              <w:top w:val="nil"/>
              <w:left w:val="nil"/>
              <w:bottom w:val="single" w:color="auto" w:sz="4" w:space="0"/>
              <w:right w:val="single" w:color="auto" w:sz="4" w:space="0"/>
            </w:tcBorders>
            <w:vAlign w:val="center"/>
          </w:tcPr>
          <w:p w14:paraId="3ACD6F0D">
            <w:pPr>
              <w:widowControl/>
              <w:jc w:val="left"/>
              <w:rPr>
                <w:rFonts w:ascii="宋体" w:hAnsi="宋体" w:cs="宋体"/>
                <w:color w:val="auto"/>
                <w:kern w:val="0"/>
                <w:szCs w:val="21"/>
              </w:rPr>
            </w:pPr>
            <w:r>
              <w:rPr>
                <w:rFonts w:hint="eastAsia" w:ascii="宋体" w:hAnsi="宋体" w:cs="宋体"/>
                <w:color w:val="auto"/>
                <w:kern w:val="0"/>
                <w:szCs w:val="21"/>
              </w:rPr>
              <w:t>100≤X＜2000</w:t>
            </w:r>
          </w:p>
        </w:tc>
        <w:tc>
          <w:tcPr>
            <w:tcW w:w="1701" w:type="dxa"/>
            <w:tcBorders>
              <w:top w:val="nil"/>
              <w:left w:val="nil"/>
              <w:bottom w:val="single" w:color="auto" w:sz="4" w:space="0"/>
              <w:right w:val="single" w:color="auto" w:sz="4" w:space="0"/>
            </w:tcBorders>
            <w:vAlign w:val="center"/>
          </w:tcPr>
          <w:p w14:paraId="245FD48F">
            <w:pPr>
              <w:widowControl/>
              <w:jc w:val="left"/>
              <w:rPr>
                <w:rFonts w:ascii="宋体" w:hAnsi="宋体" w:cs="宋体"/>
                <w:color w:val="auto"/>
                <w:kern w:val="0"/>
                <w:szCs w:val="21"/>
              </w:rPr>
            </w:pPr>
            <w:r>
              <w:rPr>
                <w:rFonts w:hint="eastAsia" w:ascii="宋体" w:hAnsi="宋体" w:cs="宋体"/>
                <w:color w:val="auto"/>
                <w:kern w:val="0"/>
                <w:szCs w:val="21"/>
              </w:rPr>
              <w:t>10≤X＜100</w:t>
            </w:r>
          </w:p>
        </w:tc>
        <w:tc>
          <w:tcPr>
            <w:tcW w:w="1134" w:type="dxa"/>
            <w:tcBorders>
              <w:top w:val="nil"/>
              <w:left w:val="nil"/>
              <w:bottom w:val="single" w:color="auto" w:sz="4" w:space="0"/>
              <w:right w:val="single" w:color="auto" w:sz="4" w:space="0"/>
            </w:tcBorders>
            <w:vAlign w:val="center"/>
          </w:tcPr>
          <w:p w14:paraId="545C1A1F">
            <w:pPr>
              <w:widowControl/>
              <w:jc w:val="left"/>
              <w:rPr>
                <w:rFonts w:ascii="宋体" w:hAnsi="宋体" w:cs="宋体"/>
                <w:color w:val="auto"/>
                <w:kern w:val="0"/>
                <w:szCs w:val="21"/>
              </w:rPr>
            </w:pPr>
            <w:r>
              <w:rPr>
                <w:rFonts w:hint="eastAsia" w:ascii="宋体" w:hAnsi="宋体" w:cs="宋体"/>
                <w:color w:val="auto"/>
                <w:kern w:val="0"/>
                <w:szCs w:val="21"/>
              </w:rPr>
              <w:t>X＜10</w:t>
            </w:r>
          </w:p>
        </w:tc>
      </w:tr>
      <w:tr w14:paraId="0B0E9B29">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vAlign w:val="center"/>
          </w:tcPr>
          <w:p w14:paraId="3D36A7AB">
            <w:pPr>
              <w:widowControl/>
              <w:jc w:val="center"/>
              <w:rPr>
                <w:rFonts w:ascii="宋体" w:hAnsi="宋体" w:cs="宋体"/>
                <w:b/>
                <w:bCs/>
                <w:color w:val="auto"/>
                <w:kern w:val="0"/>
                <w:szCs w:val="21"/>
              </w:rPr>
            </w:pPr>
          </w:p>
        </w:tc>
        <w:tc>
          <w:tcPr>
            <w:tcW w:w="1559" w:type="dxa"/>
            <w:tcBorders>
              <w:top w:val="nil"/>
              <w:left w:val="nil"/>
              <w:bottom w:val="single" w:color="auto" w:sz="4" w:space="0"/>
              <w:right w:val="single" w:color="auto" w:sz="4" w:space="0"/>
            </w:tcBorders>
            <w:vAlign w:val="center"/>
          </w:tcPr>
          <w:p w14:paraId="4C7D6AE8">
            <w:pPr>
              <w:widowControl/>
              <w:jc w:val="left"/>
              <w:rPr>
                <w:rFonts w:ascii="宋体" w:hAnsi="宋体" w:cs="宋体"/>
                <w:color w:val="auto"/>
                <w:kern w:val="0"/>
                <w:szCs w:val="21"/>
              </w:rPr>
            </w:pPr>
            <w:r>
              <w:rPr>
                <w:rFonts w:hint="eastAsia" w:ascii="宋体" w:hAnsi="宋体" w:cs="宋体"/>
                <w:color w:val="auto"/>
                <w:kern w:val="0"/>
                <w:szCs w:val="21"/>
              </w:rPr>
              <w:t>营业收入（Y）</w:t>
            </w:r>
          </w:p>
        </w:tc>
        <w:tc>
          <w:tcPr>
            <w:tcW w:w="1276" w:type="dxa"/>
            <w:tcBorders>
              <w:top w:val="nil"/>
              <w:left w:val="nil"/>
              <w:bottom w:val="single" w:color="auto" w:sz="4" w:space="0"/>
              <w:right w:val="single" w:color="auto" w:sz="4" w:space="0"/>
            </w:tcBorders>
            <w:vAlign w:val="center"/>
          </w:tcPr>
          <w:p w14:paraId="2B750A2D">
            <w:pPr>
              <w:widowControl/>
              <w:jc w:val="left"/>
              <w:rPr>
                <w:rFonts w:ascii="宋体" w:hAnsi="宋体" w:cs="宋体"/>
                <w:color w:val="auto"/>
                <w:kern w:val="0"/>
                <w:szCs w:val="21"/>
              </w:rPr>
            </w:pPr>
            <w:r>
              <w:rPr>
                <w:rFonts w:hint="eastAsia" w:ascii="宋体" w:hAnsi="宋体" w:cs="宋体"/>
                <w:color w:val="auto"/>
                <w:kern w:val="0"/>
                <w:szCs w:val="21"/>
              </w:rPr>
              <w:t>万元</w:t>
            </w:r>
          </w:p>
        </w:tc>
        <w:tc>
          <w:tcPr>
            <w:tcW w:w="1842" w:type="dxa"/>
            <w:tcBorders>
              <w:top w:val="nil"/>
              <w:left w:val="nil"/>
              <w:bottom w:val="single" w:color="auto" w:sz="4" w:space="0"/>
              <w:right w:val="single" w:color="auto" w:sz="4" w:space="0"/>
            </w:tcBorders>
            <w:vAlign w:val="center"/>
          </w:tcPr>
          <w:p w14:paraId="19F00AA0">
            <w:pPr>
              <w:widowControl/>
              <w:jc w:val="left"/>
              <w:rPr>
                <w:rFonts w:ascii="宋体" w:hAnsi="宋体" w:cs="宋体"/>
                <w:color w:val="auto"/>
                <w:kern w:val="0"/>
                <w:szCs w:val="21"/>
              </w:rPr>
            </w:pPr>
            <w:r>
              <w:rPr>
                <w:rFonts w:hint="eastAsia" w:ascii="宋体" w:hAnsi="宋体" w:cs="宋体"/>
                <w:color w:val="auto"/>
                <w:kern w:val="0"/>
                <w:szCs w:val="21"/>
              </w:rPr>
              <w:t>1000≤Y＜100000</w:t>
            </w:r>
          </w:p>
        </w:tc>
        <w:tc>
          <w:tcPr>
            <w:tcW w:w="1701" w:type="dxa"/>
            <w:tcBorders>
              <w:top w:val="nil"/>
              <w:left w:val="nil"/>
              <w:bottom w:val="single" w:color="auto" w:sz="4" w:space="0"/>
              <w:right w:val="single" w:color="auto" w:sz="4" w:space="0"/>
            </w:tcBorders>
            <w:vAlign w:val="center"/>
          </w:tcPr>
          <w:p w14:paraId="47162DB5">
            <w:pPr>
              <w:widowControl/>
              <w:jc w:val="left"/>
              <w:rPr>
                <w:rFonts w:ascii="宋体" w:hAnsi="宋体" w:cs="宋体"/>
                <w:color w:val="auto"/>
                <w:kern w:val="0"/>
                <w:szCs w:val="21"/>
              </w:rPr>
            </w:pPr>
            <w:r>
              <w:rPr>
                <w:rFonts w:hint="eastAsia" w:ascii="宋体" w:hAnsi="宋体" w:cs="宋体"/>
                <w:color w:val="auto"/>
                <w:kern w:val="0"/>
                <w:szCs w:val="21"/>
              </w:rPr>
              <w:t>100≤Y＜1000</w:t>
            </w:r>
          </w:p>
        </w:tc>
        <w:tc>
          <w:tcPr>
            <w:tcW w:w="1134" w:type="dxa"/>
            <w:tcBorders>
              <w:top w:val="nil"/>
              <w:left w:val="nil"/>
              <w:bottom w:val="single" w:color="auto" w:sz="4" w:space="0"/>
              <w:right w:val="single" w:color="auto" w:sz="4" w:space="0"/>
            </w:tcBorders>
            <w:vAlign w:val="center"/>
          </w:tcPr>
          <w:p w14:paraId="1B523A58">
            <w:pPr>
              <w:widowControl/>
              <w:jc w:val="left"/>
              <w:rPr>
                <w:rFonts w:ascii="宋体" w:hAnsi="宋体" w:cs="宋体"/>
                <w:color w:val="auto"/>
                <w:kern w:val="0"/>
                <w:szCs w:val="21"/>
              </w:rPr>
            </w:pPr>
            <w:r>
              <w:rPr>
                <w:rFonts w:hint="eastAsia" w:ascii="宋体" w:hAnsi="宋体" w:cs="宋体"/>
                <w:color w:val="auto"/>
                <w:kern w:val="0"/>
                <w:szCs w:val="21"/>
              </w:rPr>
              <w:t>Y＜100</w:t>
            </w:r>
          </w:p>
        </w:tc>
      </w:tr>
      <w:tr w14:paraId="799C7BC3">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vAlign w:val="center"/>
          </w:tcPr>
          <w:p w14:paraId="6517B7EE">
            <w:pPr>
              <w:widowControl/>
              <w:jc w:val="center"/>
              <w:rPr>
                <w:rFonts w:ascii="宋体" w:hAnsi="宋体" w:cs="宋体"/>
                <w:b/>
                <w:bCs/>
                <w:color w:val="auto"/>
                <w:kern w:val="0"/>
                <w:szCs w:val="21"/>
              </w:rPr>
            </w:pPr>
            <w:r>
              <w:rPr>
                <w:rFonts w:hint="eastAsia" w:ascii="宋体" w:hAnsi="宋体" w:cs="宋体"/>
                <w:b/>
                <w:bCs/>
                <w:color w:val="auto"/>
                <w:kern w:val="0"/>
                <w:szCs w:val="21"/>
              </w:rPr>
              <w:t>软件和信息技术服务业</w:t>
            </w:r>
          </w:p>
        </w:tc>
        <w:tc>
          <w:tcPr>
            <w:tcW w:w="1559" w:type="dxa"/>
            <w:tcBorders>
              <w:top w:val="nil"/>
              <w:left w:val="nil"/>
              <w:bottom w:val="single" w:color="auto" w:sz="4" w:space="0"/>
              <w:right w:val="single" w:color="auto" w:sz="4" w:space="0"/>
            </w:tcBorders>
            <w:vAlign w:val="center"/>
          </w:tcPr>
          <w:p w14:paraId="18CA2F0F">
            <w:pPr>
              <w:widowControl/>
              <w:jc w:val="left"/>
              <w:rPr>
                <w:rFonts w:ascii="宋体" w:hAnsi="宋体" w:cs="宋体"/>
                <w:color w:val="auto"/>
                <w:kern w:val="0"/>
                <w:szCs w:val="21"/>
              </w:rPr>
            </w:pPr>
            <w:r>
              <w:rPr>
                <w:rFonts w:hint="eastAsia" w:ascii="宋体" w:hAnsi="宋体" w:cs="宋体"/>
                <w:color w:val="auto"/>
                <w:kern w:val="0"/>
                <w:szCs w:val="21"/>
              </w:rPr>
              <w:t>从业人员（X）</w:t>
            </w:r>
          </w:p>
        </w:tc>
        <w:tc>
          <w:tcPr>
            <w:tcW w:w="1276" w:type="dxa"/>
            <w:tcBorders>
              <w:top w:val="nil"/>
              <w:left w:val="nil"/>
              <w:bottom w:val="single" w:color="auto" w:sz="4" w:space="0"/>
              <w:right w:val="single" w:color="auto" w:sz="4" w:space="0"/>
            </w:tcBorders>
            <w:vAlign w:val="center"/>
          </w:tcPr>
          <w:p w14:paraId="5956A847">
            <w:pPr>
              <w:widowControl/>
              <w:jc w:val="left"/>
              <w:rPr>
                <w:rFonts w:ascii="宋体" w:hAnsi="宋体" w:cs="宋体"/>
                <w:color w:val="auto"/>
                <w:kern w:val="0"/>
                <w:szCs w:val="21"/>
              </w:rPr>
            </w:pPr>
            <w:r>
              <w:rPr>
                <w:rFonts w:hint="eastAsia" w:ascii="宋体" w:hAnsi="宋体" w:cs="宋体"/>
                <w:color w:val="auto"/>
                <w:kern w:val="0"/>
                <w:szCs w:val="21"/>
              </w:rPr>
              <w:t>人</w:t>
            </w:r>
          </w:p>
        </w:tc>
        <w:tc>
          <w:tcPr>
            <w:tcW w:w="1842" w:type="dxa"/>
            <w:tcBorders>
              <w:top w:val="nil"/>
              <w:left w:val="nil"/>
              <w:bottom w:val="single" w:color="auto" w:sz="4" w:space="0"/>
              <w:right w:val="single" w:color="auto" w:sz="4" w:space="0"/>
            </w:tcBorders>
            <w:vAlign w:val="center"/>
          </w:tcPr>
          <w:p w14:paraId="4BEE3B6C">
            <w:pPr>
              <w:widowControl/>
              <w:jc w:val="left"/>
              <w:rPr>
                <w:rFonts w:ascii="宋体" w:hAnsi="宋体" w:cs="宋体"/>
                <w:color w:val="auto"/>
                <w:kern w:val="0"/>
                <w:szCs w:val="21"/>
              </w:rPr>
            </w:pPr>
            <w:r>
              <w:rPr>
                <w:rFonts w:hint="eastAsia" w:ascii="宋体" w:hAnsi="宋体" w:cs="宋体"/>
                <w:color w:val="auto"/>
                <w:kern w:val="0"/>
                <w:szCs w:val="21"/>
              </w:rPr>
              <w:t>100≤X＜300</w:t>
            </w:r>
          </w:p>
        </w:tc>
        <w:tc>
          <w:tcPr>
            <w:tcW w:w="1701" w:type="dxa"/>
            <w:tcBorders>
              <w:top w:val="nil"/>
              <w:left w:val="nil"/>
              <w:bottom w:val="single" w:color="auto" w:sz="4" w:space="0"/>
              <w:right w:val="single" w:color="auto" w:sz="4" w:space="0"/>
            </w:tcBorders>
            <w:vAlign w:val="center"/>
          </w:tcPr>
          <w:p w14:paraId="606A203C">
            <w:pPr>
              <w:widowControl/>
              <w:jc w:val="left"/>
              <w:rPr>
                <w:rFonts w:ascii="宋体" w:hAnsi="宋体" w:cs="宋体"/>
                <w:color w:val="auto"/>
                <w:kern w:val="0"/>
                <w:szCs w:val="21"/>
              </w:rPr>
            </w:pPr>
            <w:r>
              <w:rPr>
                <w:rFonts w:hint="eastAsia" w:ascii="宋体" w:hAnsi="宋体" w:cs="宋体"/>
                <w:color w:val="auto"/>
                <w:kern w:val="0"/>
                <w:szCs w:val="21"/>
              </w:rPr>
              <w:t>10≤X＜100</w:t>
            </w:r>
          </w:p>
        </w:tc>
        <w:tc>
          <w:tcPr>
            <w:tcW w:w="1134" w:type="dxa"/>
            <w:tcBorders>
              <w:top w:val="nil"/>
              <w:left w:val="nil"/>
              <w:bottom w:val="single" w:color="auto" w:sz="4" w:space="0"/>
              <w:right w:val="single" w:color="auto" w:sz="4" w:space="0"/>
            </w:tcBorders>
            <w:vAlign w:val="center"/>
          </w:tcPr>
          <w:p w14:paraId="6D8E3DC9">
            <w:pPr>
              <w:widowControl/>
              <w:jc w:val="left"/>
              <w:rPr>
                <w:rFonts w:ascii="宋体" w:hAnsi="宋体" w:cs="宋体"/>
                <w:color w:val="auto"/>
                <w:kern w:val="0"/>
                <w:szCs w:val="21"/>
              </w:rPr>
            </w:pPr>
            <w:r>
              <w:rPr>
                <w:rFonts w:hint="eastAsia" w:ascii="宋体" w:hAnsi="宋体" w:cs="宋体"/>
                <w:color w:val="auto"/>
                <w:kern w:val="0"/>
                <w:szCs w:val="21"/>
              </w:rPr>
              <w:t>X＜10</w:t>
            </w:r>
          </w:p>
        </w:tc>
      </w:tr>
      <w:tr w14:paraId="74C9642B">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vAlign w:val="center"/>
          </w:tcPr>
          <w:p w14:paraId="434B8C63">
            <w:pPr>
              <w:widowControl/>
              <w:jc w:val="center"/>
              <w:rPr>
                <w:rFonts w:ascii="宋体" w:hAnsi="宋体" w:cs="宋体"/>
                <w:b/>
                <w:bCs/>
                <w:color w:val="auto"/>
                <w:kern w:val="0"/>
                <w:szCs w:val="21"/>
              </w:rPr>
            </w:pPr>
          </w:p>
        </w:tc>
        <w:tc>
          <w:tcPr>
            <w:tcW w:w="1559" w:type="dxa"/>
            <w:tcBorders>
              <w:top w:val="nil"/>
              <w:left w:val="nil"/>
              <w:bottom w:val="single" w:color="auto" w:sz="4" w:space="0"/>
              <w:right w:val="single" w:color="auto" w:sz="4" w:space="0"/>
            </w:tcBorders>
            <w:vAlign w:val="center"/>
          </w:tcPr>
          <w:p w14:paraId="242D0734">
            <w:pPr>
              <w:widowControl/>
              <w:jc w:val="left"/>
              <w:rPr>
                <w:rFonts w:ascii="宋体" w:hAnsi="宋体" w:cs="宋体"/>
                <w:color w:val="auto"/>
                <w:kern w:val="0"/>
                <w:szCs w:val="21"/>
              </w:rPr>
            </w:pPr>
            <w:r>
              <w:rPr>
                <w:rFonts w:hint="eastAsia" w:ascii="宋体" w:hAnsi="宋体" w:cs="宋体"/>
                <w:color w:val="auto"/>
                <w:kern w:val="0"/>
                <w:szCs w:val="21"/>
              </w:rPr>
              <w:t>营业收入（Y）</w:t>
            </w:r>
          </w:p>
        </w:tc>
        <w:tc>
          <w:tcPr>
            <w:tcW w:w="1276" w:type="dxa"/>
            <w:tcBorders>
              <w:top w:val="nil"/>
              <w:left w:val="nil"/>
              <w:bottom w:val="single" w:color="auto" w:sz="4" w:space="0"/>
              <w:right w:val="single" w:color="auto" w:sz="4" w:space="0"/>
            </w:tcBorders>
            <w:vAlign w:val="center"/>
          </w:tcPr>
          <w:p w14:paraId="45A44416">
            <w:pPr>
              <w:widowControl/>
              <w:jc w:val="left"/>
              <w:rPr>
                <w:rFonts w:ascii="宋体" w:hAnsi="宋体" w:cs="宋体"/>
                <w:color w:val="auto"/>
                <w:kern w:val="0"/>
                <w:szCs w:val="21"/>
              </w:rPr>
            </w:pPr>
            <w:r>
              <w:rPr>
                <w:rFonts w:hint="eastAsia" w:ascii="宋体" w:hAnsi="宋体" w:cs="宋体"/>
                <w:color w:val="auto"/>
                <w:kern w:val="0"/>
                <w:szCs w:val="21"/>
              </w:rPr>
              <w:t>万元</w:t>
            </w:r>
          </w:p>
        </w:tc>
        <w:tc>
          <w:tcPr>
            <w:tcW w:w="1842" w:type="dxa"/>
            <w:tcBorders>
              <w:top w:val="nil"/>
              <w:left w:val="nil"/>
              <w:bottom w:val="single" w:color="auto" w:sz="4" w:space="0"/>
              <w:right w:val="single" w:color="auto" w:sz="4" w:space="0"/>
            </w:tcBorders>
            <w:vAlign w:val="center"/>
          </w:tcPr>
          <w:p w14:paraId="2793819B">
            <w:pPr>
              <w:widowControl/>
              <w:jc w:val="left"/>
              <w:rPr>
                <w:rFonts w:ascii="宋体" w:hAnsi="宋体" w:cs="宋体"/>
                <w:color w:val="auto"/>
                <w:kern w:val="0"/>
                <w:szCs w:val="21"/>
              </w:rPr>
            </w:pPr>
            <w:r>
              <w:rPr>
                <w:rFonts w:hint="eastAsia" w:ascii="宋体" w:hAnsi="宋体" w:cs="宋体"/>
                <w:color w:val="auto"/>
                <w:kern w:val="0"/>
                <w:szCs w:val="21"/>
              </w:rPr>
              <w:t>1000≤Y＜10000</w:t>
            </w:r>
          </w:p>
        </w:tc>
        <w:tc>
          <w:tcPr>
            <w:tcW w:w="1701" w:type="dxa"/>
            <w:tcBorders>
              <w:top w:val="nil"/>
              <w:left w:val="nil"/>
              <w:bottom w:val="single" w:color="auto" w:sz="4" w:space="0"/>
              <w:right w:val="single" w:color="auto" w:sz="4" w:space="0"/>
            </w:tcBorders>
            <w:vAlign w:val="center"/>
          </w:tcPr>
          <w:p w14:paraId="4717A9E4">
            <w:pPr>
              <w:widowControl/>
              <w:jc w:val="left"/>
              <w:rPr>
                <w:rFonts w:ascii="宋体" w:hAnsi="宋体" w:cs="宋体"/>
                <w:color w:val="auto"/>
                <w:kern w:val="0"/>
                <w:szCs w:val="21"/>
              </w:rPr>
            </w:pPr>
            <w:r>
              <w:rPr>
                <w:rFonts w:hint="eastAsia" w:ascii="宋体" w:hAnsi="宋体" w:cs="宋体"/>
                <w:color w:val="auto"/>
                <w:kern w:val="0"/>
                <w:szCs w:val="21"/>
              </w:rPr>
              <w:t>50≤Y＜1000</w:t>
            </w:r>
          </w:p>
        </w:tc>
        <w:tc>
          <w:tcPr>
            <w:tcW w:w="1134" w:type="dxa"/>
            <w:tcBorders>
              <w:top w:val="nil"/>
              <w:left w:val="nil"/>
              <w:bottom w:val="single" w:color="auto" w:sz="4" w:space="0"/>
              <w:right w:val="single" w:color="auto" w:sz="4" w:space="0"/>
            </w:tcBorders>
            <w:vAlign w:val="center"/>
          </w:tcPr>
          <w:p w14:paraId="61FB6EFF">
            <w:pPr>
              <w:widowControl/>
              <w:jc w:val="left"/>
              <w:rPr>
                <w:rFonts w:ascii="宋体" w:hAnsi="宋体" w:cs="宋体"/>
                <w:color w:val="auto"/>
                <w:kern w:val="0"/>
                <w:szCs w:val="21"/>
              </w:rPr>
            </w:pPr>
            <w:r>
              <w:rPr>
                <w:rFonts w:hint="eastAsia" w:ascii="宋体" w:hAnsi="宋体" w:cs="宋体"/>
                <w:color w:val="auto"/>
                <w:kern w:val="0"/>
                <w:szCs w:val="21"/>
              </w:rPr>
              <w:t>Y＜50</w:t>
            </w:r>
          </w:p>
        </w:tc>
      </w:tr>
      <w:tr w14:paraId="7E41FF4E">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vAlign w:val="center"/>
          </w:tcPr>
          <w:p w14:paraId="63AF74C1">
            <w:pPr>
              <w:widowControl/>
              <w:jc w:val="center"/>
              <w:rPr>
                <w:rFonts w:ascii="宋体" w:hAnsi="宋体" w:cs="宋体"/>
                <w:b/>
                <w:bCs/>
                <w:color w:val="auto"/>
                <w:kern w:val="0"/>
                <w:szCs w:val="21"/>
              </w:rPr>
            </w:pPr>
            <w:r>
              <w:rPr>
                <w:rFonts w:hint="eastAsia" w:ascii="宋体" w:hAnsi="宋体" w:cs="宋体"/>
                <w:b/>
                <w:bCs/>
                <w:color w:val="auto"/>
                <w:kern w:val="0"/>
                <w:szCs w:val="21"/>
              </w:rPr>
              <w:t>房地产开发经营</w:t>
            </w:r>
          </w:p>
        </w:tc>
        <w:tc>
          <w:tcPr>
            <w:tcW w:w="1559" w:type="dxa"/>
            <w:tcBorders>
              <w:top w:val="nil"/>
              <w:left w:val="nil"/>
              <w:bottom w:val="single" w:color="auto" w:sz="4" w:space="0"/>
              <w:right w:val="single" w:color="auto" w:sz="4" w:space="0"/>
            </w:tcBorders>
            <w:vAlign w:val="center"/>
          </w:tcPr>
          <w:p w14:paraId="50069D50">
            <w:pPr>
              <w:widowControl/>
              <w:jc w:val="left"/>
              <w:rPr>
                <w:rFonts w:ascii="宋体" w:hAnsi="宋体" w:cs="宋体"/>
                <w:color w:val="auto"/>
                <w:kern w:val="0"/>
                <w:szCs w:val="21"/>
              </w:rPr>
            </w:pPr>
            <w:r>
              <w:rPr>
                <w:rFonts w:hint="eastAsia" w:ascii="宋体" w:hAnsi="宋体" w:cs="宋体"/>
                <w:color w:val="auto"/>
                <w:kern w:val="0"/>
                <w:szCs w:val="21"/>
              </w:rPr>
              <w:t>营业收入（Y）</w:t>
            </w:r>
          </w:p>
        </w:tc>
        <w:tc>
          <w:tcPr>
            <w:tcW w:w="1276" w:type="dxa"/>
            <w:tcBorders>
              <w:top w:val="nil"/>
              <w:left w:val="nil"/>
              <w:bottom w:val="single" w:color="auto" w:sz="4" w:space="0"/>
              <w:right w:val="single" w:color="auto" w:sz="4" w:space="0"/>
            </w:tcBorders>
            <w:vAlign w:val="center"/>
          </w:tcPr>
          <w:p w14:paraId="1711A613">
            <w:pPr>
              <w:widowControl/>
              <w:jc w:val="left"/>
              <w:rPr>
                <w:rFonts w:ascii="宋体" w:hAnsi="宋体" w:cs="宋体"/>
                <w:color w:val="auto"/>
                <w:kern w:val="0"/>
                <w:szCs w:val="21"/>
              </w:rPr>
            </w:pPr>
            <w:r>
              <w:rPr>
                <w:rFonts w:hint="eastAsia" w:ascii="宋体" w:hAnsi="宋体" w:cs="宋体"/>
                <w:color w:val="auto"/>
                <w:kern w:val="0"/>
                <w:szCs w:val="21"/>
              </w:rPr>
              <w:t>万元</w:t>
            </w:r>
          </w:p>
        </w:tc>
        <w:tc>
          <w:tcPr>
            <w:tcW w:w="1842" w:type="dxa"/>
            <w:tcBorders>
              <w:top w:val="nil"/>
              <w:left w:val="nil"/>
              <w:bottom w:val="single" w:color="auto" w:sz="4" w:space="0"/>
              <w:right w:val="single" w:color="auto" w:sz="4" w:space="0"/>
            </w:tcBorders>
            <w:vAlign w:val="center"/>
          </w:tcPr>
          <w:p w14:paraId="16D327EA">
            <w:pPr>
              <w:widowControl/>
              <w:jc w:val="left"/>
              <w:rPr>
                <w:rFonts w:ascii="宋体" w:hAnsi="宋体" w:cs="宋体"/>
                <w:color w:val="auto"/>
                <w:kern w:val="0"/>
                <w:szCs w:val="21"/>
              </w:rPr>
            </w:pPr>
            <w:r>
              <w:rPr>
                <w:rFonts w:hint="eastAsia" w:ascii="宋体" w:hAnsi="宋体" w:cs="宋体"/>
                <w:color w:val="auto"/>
                <w:kern w:val="0"/>
                <w:szCs w:val="21"/>
              </w:rPr>
              <w:t>1000≤Y＜200000</w:t>
            </w:r>
          </w:p>
        </w:tc>
        <w:tc>
          <w:tcPr>
            <w:tcW w:w="1701" w:type="dxa"/>
            <w:tcBorders>
              <w:top w:val="nil"/>
              <w:left w:val="nil"/>
              <w:bottom w:val="single" w:color="auto" w:sz="4" w:space="0"/>
              <w:right w:val="single" w:color="auto" w:sz="4" w:space="0"/>
            </w:tcBorders>
            <w:vAlign w:val="center"/>
          </w:tcPr>
          <w:p w14:paraId="3533E05E">
            <w:pPr>
              <w:widowControl/>
              <w:jc w:val="left"/>
              <w:rPr>
                <w:rFonts w:ascii="宋体" w:hAnsi="宋体" w:cs="宋体"/>
                <w:color w:val="auto"/>
                <w:kern w:val="0"/>
                <w:szCs w:val="21"/>
              </w:rPr>
            </w:pPr>
            <w:r>
              <w:rPr>
                <w:rFonts w:hint="eastAsia" w:ascii="宋体" w:hAnsi="宋体" w:cs="宋体"/>
                <w:color w:val="auto"/>
                <w:kern w:val="0"/>
                <w:szCs w:val="21"/>
              </w:rPr>
              <w:t>100≤X＜1000</w:t>
            </w:r>
          </w:p>
        </w:tc>
        <w:tc>
          <w:tcPr>
            <w:tcW w:w="1134" w:type="dxa"/>
            <w:tcBorders>
              <w:top w:val="nil"/>
              <w:left w:val="nil"/>
              <w:bottom w:val="single" w:color="auto" w:sz="4" w:space="0"/>
              <w:right w:val="single" w:color="auto" w:sz="4" w:space="0"/>
            </w:tcBorders>
            <w:vAlign w:val="center"/>
          </w:tcPr>
          <w:p w14:paraId="58FBC6DA">
            <w:pPr>
              <w:widowControl/>
              <w:jc w:val="left"/>
              <w:rPr>
                <w:rFonts w:ascii="宋体" w:hAnsi="宋体" w:cs="宋体"/>
                <w:color w:val="auto"/>
                <w:kern w:val="0"/>
                <w:szCs w:val="21"/>
              </w:rPr>
            </w:pPr>
            <w:r>
              <w:rPr>
                <w:rFonts w:hint="eastAsia" w:ascii="宋体" w:hAnsi="宋体" w:cs="宋体"/>
                <w:color w:val="auto"/>
                <w:kern w:val="0"/>
                <w:szCs w:val="21"/>
              </w:rPr>
              <w:t>X＜100</w:t>
            </w:r>
          </w:p>
        </w:tc>
      </w:tr>
      <w:tr w14:paraId="78FE5D19">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vAlign w:val="center"/>
          </w:tcPr>
          <w:p w14:paraId="627E2EEB">
            <w:pPr>
              <w:widowControl/>
              <w:jc w:val="center"/>
              <w:rPr>
                <w:rFonts w:ascii="宋体" w:hAnsi="宋体" w:cs="宋体"/>
                <w:b/>
                <w:bCs/>
                <w:color w:val="auto"/>
                <w:kern w:val="0"/>
                <w:szCs w:val="21"/>
              </w:rPr>
            </w:pPr>
          </w:p>
        </w:tc>
        <w:tc>
          <w:tcPr>
            <w:tcW w:w="1559" w:type="dxa"/>
            <w:tcBorders>
              <w:top w:val="nil"/>
              <w:left w:val="nil"/>
              <w:bottom w:val="single" w:color="auto" w:sz="4" w:space="0"/>
              <w:right w:val="single" w:color="auto" w:sz="4" w:space="0"/>
            </w:tcBorders>
            <w:vAlign w:val="center"/>
          </w:tcPr>
          <w:p w14:paraId="0C24EE7E">
            <w:pPr>
              <w:widowControl/>
              <w:jc w:val="left"/>
              <w:rPr>
                <w:rFonts w:ascii="宋体" w:hAnsi="宋体" w:cs="宋体"/>
                <w:color w:val="auto"/>
                <w:kern w:val="0"/>
                <w:szCs w:val="21"/>
              </w:rPr>
            </w:pPr>
            <w:r>
              <w:rPr>
                <w:rFonts w:hint="eastAsia" w:ascii="宋体" w:hAnsi="宋体" w:cs="宋体"/>
                <w:color w:val="auto"/>
                <w:kern w:val="0"/>
                <w:szCs w:val="21"/>
              </w:rPr>
              <w:t>资产总额（Z）</w:t>
            </w:r>
          </w:p>
        </w:tc>
        <w:tc>
          <w:tcPr>
            <w:tcW w:w="1276" w:type="dxa"/>
            <w:tcBorders>
              <w:top w:val="nil"/>
              <w:left w:val="nil"/>
              <w:bottom w:val="single" w:color="auto" w:sz="4" w:space="0"/>
              <w:right w:val="single" w:color="auto" w:sz="4" w:space="0"/>
            </w:tcBorders>
            <w:vAlign w:val="center"/>
          </w:tcPr>
          <w:p w14:paraId="2245E37C">
            <w:pPr>
              <w:widowControl/>
              <w:jc w:val="left"/>
              <w:rPr>
                <w:rFonts w:ascii="宋体" w:hAnsi="宋体" w:cs="宋体"/>
                <w:color w:val="auto"/>
                <w:kern w:val="0"/>
                <w:szCs w:val="21"/>
              </w:rPr>
            </w:pPr>
            <w:r>
              <w:rPr>
                <w:rFonts w:hint="eastAsia" w:ascii="宋体" w:hAnsi="宋体" w:cs="宋体"/>
                <w:color w:val="auto"/>
                <w:kern w:val="0"/>
                <w:szCs w:val="21"/>
              </w:rPr>
              <w:t>万元</w:t>
            </w:r>
          </w:p>
        </w:tc>
        <w:tc>
          <w:tcPr>
            <w:tcW w:w="1842" w:type="dxa"/>
            <w:tcBorders>
              <w:top w:val="nil"/>
              <w:left w:val="nil"/>
              <w:bottom w:val="single" w:color="auto" w:sz="4" w:space="0"/>
              <w:right w:val="single" w:color="auto" w:sz="4" w:space="0"/>
            </w:tcBorders>
            <w:vAlign w:val="center"/>
          </w:tcPr>
          <w:p w14:paraId="5DF2E716">
            <w:pPr>
              <w:widowControl/>
              <w:jc w:val="left"/>
              <w:rPr>
                <w:rFonts w:ascii="宋体" w:hAnsi="宋体" w:cs="宋体"/>
                <w:color w:val="auto"/>
                <w:kern w:val="0"/>
                <w:szCs w:val="21"/>
              </w:rPr>
            </w:pPr>
            <w:r>
              <w:rPr>
                <w:rFonts w:hint="eastAsia" w:ascii="宋体" w:hAnsi="宋体" w:cs="宋体"/>
                <w:color w:val="auto"/>
                <w:kern w:val="0"/>
                <w:szCs w:val="21"/>
              </w:rPr>
              <w:t>5000≤Z＜10000</w:t>
            </w:r>
          </w:p>
        </w:tc>
        <w:tc>
          <w:tcPr>
            <w:tcW w:w="1701" w:type="dxa"/>
            <w:tcBorders>
              <w:top w:val="nil"/>
              <w:left w:val="nil"/>
              <w:bottom w:val="single" w:color="auto" w:sz="4" w:space="0"/>
              <w:right w:val="single" w:color="auto" w:sz="4" w:space="0"/>
            </w:tcBorders>
            <w:vAlign w:val="center"/>
          </w:tcPr>
          <w:p w14:paraId="00262FF2">
            <w:pPr>
              <w:widowControl/>
              <w:jc w:val="left"/>
              <w:rPr>
                <w:rFonts w:ascii="宋体" w:hAnsi="宋体" w:cs="宋体"/>
                <w:color w:val="auto"/>
                <w:kern w:val="0"/>
                <w:szCs w:val="21"/>
              </w:rPr>
            </w:pPr>
            <w:r>
              <w:rPr>
                <w:rFonts w:hint="eastAsia" w:ascii="宋体" w:hAnsi="宋体" w:cs="宋体"/>
                <w:color w:val="auto"/>
                <w:kern w:val="0"/>
                <w:szCs w:val="21"/>
              </w:rPr>
              <w:t>2000≤Y＜5000</w:t>
            </w:r>
          </w:p>
        </w:tc>
        <w:tc>
          <w:tcPr>
            <w:tcW w:w="1134" w:type="dxa"/>
            <w:tcBorders>
              <w:top w:val="nil"/>
              <w:left w:val="nil"/>
              <w:bottom w:val="single" w:color="auto" w:sz="4" w:space="0"/>
              <w:right w:val="single" w:color="auto" w:sz="4" w:space="0"/>
            </w:tcBorders>
            <w:vAlign w:val="center"/>
          </w:tcPr>
          <w:p w14:paraId="1C705EA9">
            <w:pPr>
              <w:widowControl/>
              <w:jc w:val="left"/>
              <w:rPr>
                <w:rFonts w:ascii="宋体" w:hAnsi="宋体" w:cs="宋体"/>
                <w:color w:val="auto"/>
                <w:kern w:val="0"/>
                <w:szCs w:val="21"/>
              </w:rPr>
            </w:pPr>
            <w:r>
              <w:rPr>
                <w:rFonts w:hint="eastAsia" w:ascii="宋体" w:hAnsi="宋体" w:cs="宋体"/>
                <w:color w:val="auto"/>
                <w:kern w:val="0"/>
                <w:szCs w:val="21"/>
              </w:rPr>
              <w:t>Y＜2000</w:t>
            </w:r>
          </w:p>
        </w:tc>
      </w:tr>
      <w:tr w14:paraId="735CE290">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vAlign w:val="center"/>
          </w:tcPr>
          <w:p w14:paraId="6B6D76D4">
            <w:pPr>
              <w:widowControl/>
              <w:jc w:val="center"/>
              <w:rPr>
                <w:rFonts w:ascii="宋体" w:hAnsi="宋体" w:cs="宋体"/>
                <w:b/>
                <w:bCs/>
                <w:color w:val="auto"/>
                <w:kern w:val="0"/>
                <w:szCs w:val="21"/>
              </w:rPr>
            </w:pPr>
            <w:r>
              <w:rPr>
                <w:rFonts w:hint="eastAsia" w:ascii="宋体" w:hAnsi="宋体" w:cs="宋体"/>
                <w:b/>
                <w:bCs/>
                <w:color w:val="auto"/>
                <w:kern w:val="0"/>
                <w:szCs w:val="21"/>
              </w:rPr>
              <w:t>物业管理</w:t>
            </w:r>
          </w:p>
        </w:tc>
        <w:tc>
          <w:tcPr>
            <w:tcW w:w="1559" w:type="dxa"/>
            <w:tcBorders>
              <w:top w:val="nil"/>
              <w:left w:val="nil"/>
              <w:bottom w:val="single" w:color="auto" w:sz="4" w:space="0"/>
              <w:right w:val="single" w:color="auto" w:sz="4" w:space="0"/>
            </w:tcBorders>
            <w:vAlign w:val="center"/>
          </w:tcPr>
          <w:p w14:paraId="0C33206F">
            <w:pPr>
              <w:widowControl/>
              <w:jc w:val="left"/>
              <w:rPr>
                <w:rFonts w:ascii="宋体" w:hAnsi="宋体" w:cs="宋体"/>
                <w:color w:val="auto"/>
                <w:kern w:val="0"/>
                <w:szCs w:val="21"/>
              </w:rPr>
            </w:pPr>
            <w:r>
              <w:rPr>
                <w:rFonts w:hint="eastAsia" w:ascii="宋体" w:hAnsi="宋体" w:cs="宋体"/>
                <w:color w:val="auto"/>
                <w:kern w:val="0"/>
                <w:szCs w:val="21"/>
              </w:rPr>
              <w:t>从业人员（X）</w:t>
            </w:r>
          </w:p>
        </w:tc>
        <w:tc>
          <w:tcPr>
            <w:tcW w:w="1276" w:type="dxa"/>
            <w:tcBorders>
              <w:top w:val="nil"/>
              <w:left w:val="nil"/>
              <w:bottom w:val="single" w:color="auto" w:sz="4" w:space="0"/>
              <w:right w:val="single" w:color="auto" w:sz="4" w:space="0"/>
            </w:tcBorders>
            <w:vAlign w:val="center"/>
          </w:tcPr>
          <w:p w14:paraId="1A918480">
            <w:pPr>
              <w:widowControl/>
              <w:jc w:val="left"/>
              <w:rPr>
                <w:rFonts w:ascii="宋体" w:hAnsi="宋体" w:cs="宋体"/>
                <w:color w:val="auto"/>
                <w:kern w:val="0"/>
                <w:szCs w:val="21"/>
              </w:rPr>
            </w:pPr>
            <w:r>
              <w:rPr>
                <w:rFonts w:hint="eastAsia" w:ascii="宋体" w:hAnsi="宋体" w:cs="宋体"/>
                <w:color w:val="auto"/>
                <w:kern w:val="0"/>
                <w:szCs w:val="21"/>
              </w:rPr>
              <w:t>人</w:t>
            </w:r>
          </w:p>
        </w:tc>
        <w:tc>
          <w:tcPr>
            <w:tcW w:w="1842" w:type="dxa"/>
            <w:tcBorders>
              <w:top w:val="nil"/>
              <w:left w:val="nil"/>
              <w:bottom w:val="single" w:color="auto" w:sz="4" w:space="0"/>
              <w:right w:val="single" w:color="auto" w:sz="4" w:space="0"/>
            </w:tcBorders>
            <w:vAlign w:val="center"/>
          </w:tcPr>
          <w:p w14:paraId="1FAB54E5">
            <w:pPr>
              <w:widowControl/>
              <w:jc w:val="left"/>
              <w:rPr>
                <w:rFonts w:ascii="宋体" w:hAnsi="宋体" w:cs="宋体"/>
                <w:color w:val="auto"/>
                <w:kern w:val="0"/>
                <w:szCs w:val="21"/>
              </w:rPr>
            </w:pPr>
            <w:r>
              <w:rPr>
                <w:rFonts w:hint="eastAsia" w:ascii="宋体" w:hAnsi="宋体" w:cs="宋体"/>
                <w:color w:val="auto"/>
                <w:kern w:val="0"/>
                <w:szCs w:val="21"/>
              </w:rPr>
              <w:t>300≤X＜1000</w:t>
            </w:r>
          </w:p>
        </w:tc>
        <w:tc>
          <w:tcPr>
            <w:tcW w:w="1701" w:type="dxa"/>
            <w:tcBorders>
              <w:top w:val="nil"/>
              <w:left w:val="nil"/>
              <w:bottom w:val="single" w:color="auto" w:sz="4" w:space="0"/>
              <w:right w:val="single" w:color="auto" w:sz="4" w:space="0"/>
            </w:tcBorders>
            <w:vAlign w:val="center"/>
          </w:tcPr>
          <w:p w14:paraId="0D9A9891">
            <w:pPr>
              <w:widowControl/>
              <w:jc w:val="left"/>
              <w:rPr>
                <w:rFonts w:ascii="宋体" w:hAnsi="宋体" w:cs="宋体"/>
                <w:color w:val="auto"/>
                <w:kern w:val="0"/>
                <w:szCs w:val="21"/>
              </w:rPr>
            </w:pPr>
            <w:r>
              <w:rPr>
                <w:rFonts w:hint="eastAsia" w:ascii="宋体" w:hAnsi="宋体" w:cs="宋体"/>
                <w:color w:val="auto"/>
                <w:kern w:val="0"/>
                <w:szCs w:val="21"/>
              </w:rPr>
              <w:t>100≤X＜300</w:t>
            </w:r>
          </w:p>
        </w:tc>
        <w:tc>
          <w:tcPr>
            <w:tcW w:w="1134" w:type="dxa"/>
            <w:tcBorders>
              <w:top w:val="nil"/>
              <w:left w:val="nil"/>
              <w:bottom w:val="single" w:color="auto" w:sz="4" w:space="0"/>
              <w:right w:val="single" w:color="auto" w:sz="4" w:space="0"/>
            </w:tcBorders>
            <w:vAlign w:val="center"/>
          </w:tcPr>
          <w:p w14:paraId="6B645975">
            <w:pPr>
              <w:widowControl/>
              <w:jc w:val="left"/>
              <w:rPr>
                <w:rFonts w:ascii="宋体" w:hAnsi="宋体" w:cs="宋体"/>
                <w:color w:val="auto"/>
                <w:kern w:val="0"/>
                <w:szCs w:val="21"/>
              </w:rPr>
            </w:pPr>
            <w:r>
              <w:rPr>
                <w:rFonts w:hint="eastAsia" w:ascii="宋体" w:hAnsi="宋体" w:cs="宋体"/>
                <w:color w:val="auto"/>
                <w:kern w:val="0"/>
                <w:szCs w:val="21"/>
              </w:rPr>
              <w:t>X＜100</w:t>
            </w:r>
          </w:p>
        </w:tc>
      </w:tr>
      <w:tr w14:paraId="08F0E8D0">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vAlign w:val="center"/>
          </w:tcPr>
          <w:p w14:paraId="7D28F0DD">
            <w:pPr>
              <w:widowControl/>
              <w:jc w:val="center"/>
              <w:rPr>
                <w:rFonts w:ascii="宋体" w:hAnsi="宋体" w:cs="宋体"/>
                <w:b/>
                <w:bCs/>
                <w:color w:val="auto"/>
                <w:kern w:val="0"/>
                <w:szCs w:val="21"/>
              </w:rPr>
            </w:pPr>
          </w:p>
        </w:tc>
        <w:tc>
          <w:tcPr>
            <w:tcW w:w="1559" w:type="dxa"/>
            <w:tcBorders>
              <w:top w:val="nil"/>
              <w:left w:val="nil"/>
              <w:bottom w:val="single" w:color="auto" w:sz="4" w:space="0"/>
              <w:right w:val="single" w:color="auto" w:sz="4" w:space="0"/>
            </w:tcBorders>
            <w:vAlign w:val="center"/>
          </w:tcPr>
          <w:p w14:paraId="0D5B709B">
            <w:pPr>
              <w:widowControl/>
              <w:jc w:val="left"/>
              <w:rPr>
                <w:rFonts w:ascii="宋体" w:hAnsi="宋体" w:cs="宋体"/>
                <w:color w:val="auto"/>
                <w:kern w:val="0"/>
                <w:szCs w:val="21"/>
              </w:rPr>
            </w:pPr>
            <w:r>
              <w:rPr>
                <w:rFonts w:hint="eastAsia" w:ascii="宋体" w:hAnsi="宋体" w:cs="宋体"/>
                <w:color w:val="auto"/>
                <w:kern w:val="0"/>
                <w:szCs w:val="21"/>
              </w:rPr>
              <w:t>营业收入（Y）</w:t>
            </w:r>
          </w:p>
        </w:tc>
        <w:tc>
          <w:tcPr>
            <w:tcW w:w="1276" w:type="dxa"/>
            <w:tcBorders>
              <w:top w:val="nil"/>
              <w:left w:val="nil"/>
              <w:bottom w:val="single" w:color="auto" w:sz="4" w:space="0"/>
              <w:right w:val="single" w:color="auto" w:sz="4" w:space="0"/>
            </w:tcBorders>
            <w:vAlign w:val="center"/>
          </w:tcPr>
          <w:p w14:paraId="16C905CE">
            <w:pPr>
              <w:widowControl/>
              <w:jc w:val="left"/>
              <w:rPr>
                <w:rFonts w:ascii="宋体" w:hAnsi="宋体" w:cs="宋体"/>
                <w:color w:val="auto"/>
                <w:kern w:val="0"/>
                <w:szCs w:val="21"/>
              </w:rPr>
            </w:pPr>
            <w:r>
              <w:rPr>
                <w:rFonts w:hint="eastAsia" w:ascii="宋体" w:hAnsi="宋体" w:cs="宋体"/>
                <w:color w:val="auto"/>
                <w:kern w:val="0"/>
                <w:szCs w:val="21"/>
              </w:rPr>
              <w:t>万元</w:t>
            </w:r>
          </w:p>
        </w:tc>
        <w:tc>
          <w:tcPr>
            <w:tcW w:w="1842" w:type="dxa"/>
            <w:tcBorders>
              <w:top w:val="nil"/>
              <w:left w:val="nil"/>
              <w:bottom w:val="single" w:color="auto" w:sz="4" w:space="0"/>
              <w:right w:val="single" w:color="auto" w:sz="4" w:space="0"/>
            </w:tcBorders>
            <w:vAlign w:val="center"/>
          </w:tcPr>
          <w:p w14:paraId="69EFA579">
            <w:pPr>
              <w:widowControl/>
              <w:jc w:val="left"/>
              <w:rPr>
                <w:rFonts w:ascii="宋体" w:hAnsi="宋体" w:cs="宋体"/>
                <w:color w:val="auto"/>
                <w:kern w:val="0"/>
                <w:szCs w:val="21"/>
              </w:rPr>
            </w:pPr>
            <w:r>
              <w:rPr>
                <w:rFonts w:hint="eastAsia" w:ascii="宋体" w:hAnsi="宋体" w:cs="宋体"/>
                <w:color w:val="auto"/>
                <w:kern w:val="0"/>
                <w:szCs w:val="21"/>
              </w:rPr>
              <w:t>1000≤Y＜5000</w:t>
            </w:r>
          </w:p>
        </w:tc>
        <w:tc>
          <w:tcPr>
            <w:tcW w:w="1701" w:type="dxa"/>
            <w:tcBorders>
              <w:top w:val="nil"/>
              <w:left w:val="nil"/>
              <w:bottom w:val="single" w:color="auto" w:sz="4" w:space="0"/>
              <w:right w:val="single" w:color="auto" w:sz="4" w:space="0"/>
            </w:tcBorders>
            <w:vAlign w:val="center"/>
          </w:tcPr>
          <w:p w14:paraId="13BF88A4">
            <w:pPr>
              <w:widowControl/>
              <w:jc w:val="left"/>
              <w:rPr>
                <w:rFonts w:ascii="宋体" w:hAnsi="宋体" w:cs="宋体"/>
                <w:color w:val="auto"/>
                <w:kern w:val="0"/>
                <w:szCs w:val="21"/>
              </w:rPr>
            </w:pPr>
            <w:r>
              <w:rPr>
                <w:rFonts w:hint="eastAsia" w:ascii="宋体" w:hAnsi="宋体" w:cs="宋体"/>
                <w:color w:val="auto"/>
                <w:kern w:val="0"/>
                <w:szCs w:val="21"/>
              </w:rPr>
              <w:t>500≤Y＜1000</w:t>
            </w:r>
          </w:p>
        </w:tc>
        <w:tc>
          <w:tcPr>
            <w:tcW w:w="1134" w:type="dxa"/>
            <w:tcBorders>
              <w:top w:val="nil"/>
              <w:left w:val="nil"/>
              <w:bottom w:val="single" w:color="auto" w:sz="4" w:space="0"/>
              <w:right w:val="single" w:color="auto" w:sz="4" w:space="0"/>
            </w:tcBorders>
            <w:vAlign w:val="center"/>
          </w:tcPr>
          <w:p w14:paraId="59A8210C">
            <w:pPr>
              <w:widowControl/>
              <w:jc w:val="left"/>
              <w:rPr>
                <w:rFonts w:ascii="宋体" w:hAnsi="宋体" w:cs="宋体"/>
                <w:color w:val="auto"/>
                <w:kern w:val="0"/>
                <w:szCs w:val="21"/>
              </w:rPr>
            </w:pPr>
            <w:r>
              <w:rPr>
                <w:rFonts w:hint="eastAsia" w:ascii="宋体" w:hAnsi="宋体" w:cs="宋体"/>
                <w:color w:val="auto"/>
                <w:kern w:val="0"/>
                <w:szCs w:val="21"/>
              </w:rPr>
              <w:t>Y＜500</w:t>
            </w:r>
          </w:p>
        </w:tc>
      </w:tr>
      <w:tr w14:paraId="4750DA68">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vAlign w:val="center"/>
          </w:tcPr>
          <w:p w14:paraId="3D81DCE5">
            <w:pPr>
              <w:widowControl/>
              <w:jc w:val="center"/>
              <w:rPr>
                <w:rFonts w:ascii="宋体" w:hAnsi="宋体" w:cs="宋体"/>
                <w:b/>
                <w:bCs/>
                <w:color w:val="auto"/>
                <w:kern w:val="0"/>
                <w:szCs w:val="21"/>
              </w:rPr>
            </w:pPr>
            <w:r>
              <w:rPr>
                <w:rFonts w:hint="eastAsia" w:ascii="宋体" w:hAnsi="宋体" w:cs="宋体"/>
                <w:b/>
                <w:bCs/>
                <w:color w:val="auto"/>
                <w:kern w:val="0"/>
                <w:szCs w:val="21"/>
              </w:rPr>
              <w:t>租赁和商务服务业</w:t>
            </w:r>
          </w:p>
        </w:tc>
        <w:tc>
          <w:tcPr>
            <w:tcW w:w="1559" w:type="dxa"/>
            <w:tcBorders>
              <w:top w:val="nil"/>
              <w:left w:val="nil"/>
              <w:bottom w:val="single" w:color="auto" w:sz="4" w:space="0"/>
              <w:right w:val="single" w:color="auto" w:sz="4" w:space="0"/>
            </w:tcBorders>
            <w:vAlign w:val="center"/>
          </w:tcPr>
          <w:p w14:paraId="5777AC91">
            <w:pPr>
              <w:widowControl/>
              <w:jc w:val="left"/>
              <w:rPr>
                <w:rFonts w:ascii="宋体" w:hAnsi="宋体" w:cs="宋体"/>
                <w:color w:val="auto"/>
                <w:kern w:val="0"/>
                <w:szCs w:val="21"/>
              </w:rPr>
            </w:pPr>
            <w:r>
              <w:rPr>
                <w:rFonts w:hint="eastAsia" w:ascii="宋体" w:hAnsi="宋体" w:cs="宋体"/>
                <w:color w:val="auto"/>
                <w:kern w:val="0"/>
                <w:szCs w:val="21"/>
              </w:rPr>
              <w:t>从业人员（X）</w:t>
            </w:r>
          </w:p>
        </w:tc>
        <w:tc>
          <w:tcPr>
            <w:tcW w:w="1276" w:type="dxa"/>
            <w:tcBorders>
              <w:top w:val="nil"/>
              <w:left w:val="nil"/>
              <w:bottom w:val="single" w:color="auto" w:sz="4" w:space="0"/>
              <w:right w:val="single" w:color="auto" w:sz="4" w:space="0"/>
            </w:tcBorders>
            <w:vAlign w:val="center"/>
          </w:tcPr>
          <w:p w14:paraId="0EA06DBD">
            <w:pPr>
              <w:widowControl/>
              <w:jc w:val="left"/>
              <w:rPr>
                <w:rFonts w:ascii="宋体" w:hAnsi="宋体" w:cs="宋体"/>
                <w:color w:val="auto"/>
                <w:kern w:val="0"/>
                <w:szCs w:val="21"/>
              </w:rPr>
            </w:pPr>
            <w:r>
              <w:rPr>
                <w:rFonts w:hint="eastAsia" w:ascii="宋体" w:hAnsi="宋体" w:cs="宋体"/>
                <w:color w:val="auto"/>
                <w:kern w:val="0"/>
                <w:szCs w:val="21"/>
              </w:rPr>
              <w:t>人</w:t>
            </w:r>
          </w:p>
        </w:tc>
        <w:tc>
          <w:tcPr>
            <w:tcW w:w="1842" w:type="dxa"/>
            <w:tcBorders>
              <w:top w:val="nil"/>
              <w:left w:val="nil"/>
              <w:bottom w:val="single" w:color="auto" w:sz="4" w:space="0"/>
              <w:right w:val="single" w:color="auto" w:sz="4" w:space="0"/>
            </w:tcBorders>
            <w:vAlign w:val="center"/>
          </w:tcPr>
          <w:p w14:paraId="03C8551A">
            <w:pPr>
              <w:widowControl/>
              <w:jc w:val="left"/>
              <w:rPr>
                <w:rFonts w:ascii="宋体" w:hAnsi="宋体" w:cs="宋体"/>
                <w:color w:val="auto"/>
                <w:kern w:val="0"/>
                <w:szCs w:val="21"/>
              </w:rPr>
            </w:pPr>
            <w:r>
              <w:rPr>
                <w:rFonts w:hint="eastAsia" w:ascii="宋体" w:hAnsi="宋体" w:cs="宋体"/>
                <w:color w:val="auto"/>
                <w:kern w:val="0"/>
                <w:szCs w:val="21"/>
              </w:rPr>
              <w:t>100≤X＜300</w:t>
            </w:r>
          </w:p>
        </w:tc>
        <w:tc>
          <w:tcPr>
            <w:tcW w:w="1701" w:type="dxa"/>
            <w:tcBorders>
              <w:top w:val="nil"/>
              <w:left w:val="nil"/>
              <w:bottom w:val="single" w:color="auto" w:sz="4" w:space="0"/>
              <w:right w:val="single" w:color="auto" w:sz="4" w:space="0"/>
            </w:tcBorders>
            <w:vAlign w:val="center"/>
          </w:tcPr>
          <w:p w14:paraId="25EE7C2F">
            <w:pPr>
              <w:widowControl/>
              <w:jc w:val="left"/>
              <w:rPr>
                <w:rFonts w:ascii="宋体" w:hAnsi="宋体" w:cs="宋体"/>
                <w:color w:val="auto"/>
                <w:kern w:val="0"/>
                <w:szCs w:val="21"/>
              </w:rPr>
            </w:pPr>
            <w:r>
              <w:rPr>
                <w:rFonts w:hint="eastAsia" w:ascii="宋体" w:hAnsi="宋体" w:cs="宋体"/>
                <w:color w:val="auto"/>
                <w:kern w:val="0"/>
                <w:szCs w:val="21"/>
              </w:rPr>
              <w:t>10≤X＜100</w:t>
            </w:r>
          </w:p>
        </w:tc>
        <w:tc>
          <w:tcPr>
            <w:tcW w:w="1134" w:type="dxa"/>
            <w:tcBorders>
              <w:top w:val="nil"/>
              <w:left w:val="nil"/>
              <w:bottom w:val="single" w:color="auto" w:sz="4" w:space="0"/>
              <w:right w:val="single" w:color="auto" w:sz="4" w:space="0"/>
            </w:tcBorders>
            <w:vAlign w:val="center"/>
          </w:tcPr>
          <w:p w14:paraId="36BB26C0">
            <w:pPr>
              <w:widowControl/>
              <w:jc w:val="left"/>
              <w:rPr>
                <w:rFonts w:ascii="宋体" w:hAnsi="宋体" w:cs="宋体"/>
                <w:color w:val="auto"/>
                <w:kern w:val="0"/>
                <w:szCs w:val="21"/>
              </w:rPr>
            </w:pPr>
            <w:r>
              <w:rPr>
                <w:rFonts w:hint="eastAsia" w:ascii="宋体" w:hAnsi="宋体" w:cs="宋体"/>
                <w:color w:val="auto"/>
                <w:kern w:val="0"/>
                <w:szCs w:val="21"/>
              </w:rPr>
              <w:t>X＜10</w:t>
            </w:r>
          </w:p>
        </w:tc>
      </w:tr>
      <w:tr w14:paraId="3431A6AF">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vAlign w:val="center"/>
          </w:tcPr>
          <w:p w14:paraId="09487C72">
            <w:pPr>
              <w:widowControl/>
              <w:jc w:val="center"/>
              <w:rPr>
                <w:rFonts w:ascii="宋体" w:hAnsi="宋体" w:cs="宋体"/>
                <w:b/>
                <w:bCs/>
                <w:color w:val="auto"/>
                <w:kern w:val="0"/>
                <w:szCs w:val="21"/>
              </w:rPr>
            </w:pPr>
          </w:p>
        </w:tc>
        <w:tc>
          <w:tcPr>
            <w:tcW w:w="1559" w:type="dxa"/>
            <w:tcBorders>
              <w:top w:val="nil"/>
              <w:left w:val="nil"/>
              <w:bottom w:val="single" w:color="auto" w:sz="4" w:space="0"/>
              <w:right w:val="single" w:color="auto" w:sz="4" w:space="0"/>
            </w:tcBorders>
            <w:vAlign w:val="center"/>
          </w:tcPr>
          <w:p w14:paraId="0F6B4EFA">
            <w:pPr>
              <w:widowControl/>
              <w:jc w:val="left"/>
              <w:rPr>
                <w:rFonts w:ascii="宋体" w:hAnsi="宋体" w:cs="宋体"/>
                <w:color w:val="auto"/>
                <w:kern w:val="0"/>
                <w:szCs w:val="21"/>
              </w:rPr>
            </w:pPr>
            <w:r>
              <w:rPr>
                <w:rFonts w:hint="eastAsia" w:ascii="宋体" w:hAnsi="宋体" w:cs="宋体"/>
                <w:color w:val="auto"/>
                <w:kern w:val="0"/>
                <w:szCs w:val="21"/>
              </w:rPr>
              <w:t>资产总额（Z）</w:t>
            </w:r>
          </w:p>
        </w:tc>
        <w:tc>
          <w:tcPr>
            <w:tcW w:w="1276" w:type="dxa"/>
            <w:tcBorders>
              <w:top w:val="nil"/>
              <w:left w:val="nil"/>
              <w:bottom w:val="single" w:color="auto" w:sz="4" w:space="0"/>
              <w:right w:val="single" w:color="auto" w:sz="4" w:space="0"/>
            </w:tcBorders>
            <w:vAlign w:val="center"/>
          </w:tcPr>
          <w:p w14:paraId="27D3380E">
            <w:pPr>
              <w:widowControl/>
              <w:jc w:val="left"/>
              <w:rPr>
                <w:rFonts w:ascii="宋体" w:hAnsi="宋体" w:cs="宋体"/>
                <w:color w:val="auto"/>
                <w:kern w:val="0"/>
                <w:szCs w:val="21"/>
              </w:rPr>
            </w:pPr>
            <w:r>
              <w:rPr>
                <w:rFonts w:hint="eastAsia" w:ascii="宋体" w:hAnsi="宋体" w:cs="宋体"/>
                <w:color w:val="auto"/>
                <w:kern w:val="0"/>
                <w:szCs w:val="21"/>
              </w:rPr>
              <w:t>万元</w:t>
            </w:r>
          </w:p>
        </w:tc>
        <w:tc>
          <w:tcPr>
            <w:tcW w:w="1842" w:type="dxa"/>
            <w:tcBorders>
              <w:top w:val="nil"/>
              <w:left w:val="nil"/>
              <w:bottom w:val="single" w:color="auto" w:sz="4" w:space="0"/>
              <w:right w:val="single" w:color="auto" w:sz="4" w:space="0"/>
            </w:tcBorders>
            <w:vAlign w:val="center"/>
          </w:tcPr>
          <w:p w14:paraId="529325AD">
            <w:pPr>
              <w:widowControl/>
              <w:jc w:val="left"/>
              <w:rPr>
                <w:rFonts w:ascii="宋体" w:hAnsi="宋体" w:cs="宋体"/>
                <w:color w:val="auto"/>
                <w:kern w:val="0"/>
                <w:szCs w:val="21"/>
              </w:rPr>
            </w:pPr>
            <w:r>
              <w:rPr>
                <w:rFonts w:hint="eastAsia" w:ascii="宋体" w:hAnsi="宋体" w:cs="宋体"/>
                <w:color w:val="auto"/>
                <w:kern w:val="0"/>
                <w:szCs w:val="21"/>
              </w:rPr>
              <w:t>8000≤Z＜120000</w:t>
            </w:r>
          </w:p>
        </w:tc>
        <w:tc>
          <w:tcPr>
            <w:tcW w:w="1701" w:type="dxa"/>
            <w:tcBorders>
              <w:top w:val="nil"/>
              <w:left w:val="nil"/>
              <w:bottom w:val="single" w:color="auto" w:sz="4" w:space="0"/>
              <w:right w:val="single" w:color="auto" w:sz="4" w:space="0"/>
            </w:tcBorders>
            <w:vAlign w:val="center"/>
          </w:tcPr>
          <w:p w14:paraId="7977D5AC">
            <w:pPr>
              <w:widowControl/>
              <w:jc w:val="left"/>
              <w:rPr>
                <w:rFonts w:ascii="宋体" w:hAnsi="宋体" w:cs="宋体"/>
                <w:color w:val="auto"/>
                <w:kern w:val="0"/>
                <w:szCs w:val="21"/>
              </w:rPr>
            </w:pPr>
            <w:r>
              <w:rPr>
                <w:rFonts w:hint="eastAsia" w:ascii="宋体" w:hAnsi="宋体" w:cs="宋体"/>
                <w:color w:val="auto"/>
                <w:kern w:val="0"/>
                <w:szCs w:val="21"/>
              </w:rPr>
              <w:t>100≤Z＜8000</w:t>
            </w:r>
          </w:p>
        </w:tc>
        <w:tc>
          <w:tcPr>
            <w:tcW w:w="1134" w:type="dxa"/>
            <w:tcBorders>
              <w:top w:val="nil"/>
              <w:left w:val="nil"/>
              <w:bottom w:val="single" w:color="auto" w:sz="4" w:space="0"/>
              <w:right w:val="single" w:color="auto" w:sz="4" w:space="0"/>
            </w:tcBorders>
            <w:vAlign w:val="center"/>
          </w:tcPr>
          <w:p w14:paraId="28C5F7CD">
            <w:pPr>
              <w:widowControl/>
              <w:jc w:val="left"/>
              <w:rPr>
                <w:rFonts w:ascii="宋体" w:hAnsi="宋体" w:cs="宋体"/>
                <w:color w:val="auto"/>
                <w:kern w:val="0"/>
                <w:szCs w:val="21"/>
              </w:rPr>
            </w:pPr>
            <w:r>
              <w:rPr>
                <w:rFonts w:hint="eastAsia" w:ascii="宋体" w:hAnsi="宋体" w:cs="宋体"/>
                <w:color w:val="auto"/>
                <w:kern w:val="0"/>
                <w:szCs w:val="21"/>
              </w:rPr>
              <w:t>Y＜100</w:t>
            </w:r>
          </w:p>
        </w:tc>
      </w:tr>
      <w:tr w14:paraId="773E3FE7">
        <w:tblPrEx>
          <w:tblCellMar>
            <w:top w:w="0" w:type="dxa"/>
            <w:left w:w="108" w:type="dxa"/>
            <w:bottom w:w="0" w:type="dxa"/>
            <w:right w:w="108" w:type="dxa"/>
          </w:tblCellMar>
        </w:tblPrEx>
        <w:trPr>
          <w:trHeight w:val="225" w:hRule="atLeast"/>
          <w:jc w:val="center"/>
        </w:trPr>
        <w:tc>
          <w:tcPr>
            <w:tcW w:w="1985" w:type="dxa"/>
            <w:tcBorders>
              <w:top w:val="nil"/>
              <w:left w:val="single" w:color="auto" w:sz="4" w:space="0"/>
              <w:bottom w:val="single" w:color="auto" w:sz="4" w:space="0"/>
              <w:right w:val="single" w:color="auto" w:sz="4" w:space="0"/>
            </w:tcBorders>
            <w:vAlign w:val="center"/>
          </w:tcPr>
          <w:p w14:paraId="7DE34A79">
            <w:pPr>
              <w:widowControl/>
              <w:jc w:val="center"/>
              <w:rPr>
                <w:rFonts w:ascii="宋体" w:hAnsi="宋体" w:cs="宋体"/>
                <w:b/>
                <w:bCs/>
                <w:color w:val="auto"/>
                <w:kern w:val="0"/>
                <w:szCs w:val="21"/>
              </w:rPr>
            </w:pPr>
            <w:r>
              <w:rPr>
                <w:rFonts w:hint="eastAsia" w:ascii="宋体" w:hAnsi="宋体" w:cs="宋体"/>
                <w:b/>
                <w:bCs/>
                <w:color w:val="auto"/>
                <w:kern w:val="0"/>
                <w:szCs w:val="21"/>
              </w:rPr>
              <w:t>其他未列明行业</w:t>
            </w:r>
          </w:p>
        </w:tc>
        <w:tc>
          <w:tcPr>
            <w:tcW w:w="1559" w:type="dxa"/>
            <w:tcBorders>
              <w:top w:val="nil"/>
              <w:left w:val="nil"/>
              <w:bottom w:val="single" w:color="auto" w:sz="4" w:space="0"/>
              <w:right w:val="single" w:color="auto" w:sz="4" w:space="0"/>
            </w:tcBorders>
            <w:vAlign w:val="center"/>
          </w:tcPr>
          <w:p w14:paraId="13DB3927">
            <w:pPr>
              <w:widowControl/>
              <w:jc w:val="left"/>
              <w:rPr>
                <w:rFonts w:ascii="宋体" w:hAnsi="宋体" w:cs="宋体"/>
                <w:color w:val="auto"/>
                <w:kern w:val="0"/>
                <w:szCs w:val="21"/>
              </w:rPr>
            </w:pPr>
            <w:r>
              <w:rPr>
                <w:rFonts w:hint="eastAsia" w:ascii="宋体" w:hAnsi="宋体" w:cs="宋体"/>
                <w:color w:val="auto"/>
                <w:kern w:val="0"/>
                <w:szCs w:val="21"/>
              </w:rPr>
              <w:t>从业人员（X）</w:t>
            </w:r>
          </w:p>
        </w:tc>
        <w:tc>
          <w:tcPr>
            <w:tcW w:w="1276" w:type="dxa"/>
            <w:tcBorders>
              <w:top w:val="nil"/>
              <w:left w:val="nil"/>
              <w:bottom w:val="single" w:color="auto" w:sz="4" w:space="0"/>
              <w:right w:val="single" w:color="auto" w:sz="4" w:space="0"/>
            </w:tcBorders>
            <w:vAlign w:val="center"/>
          </w:tcPr>
          <w:p w14:paraId="63B48165">
            <w:pPr>
              <w:widowControl/>
              <w:jc w:val="left"/>
              <w:rPr>
                <w:rFonts w:ascii="宋体" w:hAnsi="宋体" w:cs="宋体"/>
                <w:color w:val="auto"/>
                <w:kern w:val="0"/>
                <w:szCs w:val="21"/>
              </w:rPr>
            </w:pPr>
            <w:r>
              <w:rPr>
                <w:rFonts w:hint="eastAsia" w:ascii="宋体" w:hAnsi="宋体" w:cs="宋体"/>
                <w:color w:val="auto"/>
                <w:kern w:val="0"/>
                <w:szCs w:val="21"/>
              </w:rPr>
              <w:t>人</w:t>
            </w:r>
          </w:p>
        </w:tc>
        <w:tc>
          <w:tcPr>
            <w:tcW w:w="1842" w:type="dxa"/>
            <w:tcBorders>
              <w:top w:val="nil"/>
              <w:left w:val="nil"/>
              <w:bottom w:val="single" w:color="auto" w:sz="4" w:space="0"/>
              <w:right w:val="single" w:color="auto" w:sz="4" w:space="0"/>
            </w:tcBorders>
            <w:vAlign w:val="center"/>
          </w:tcPr>
          <w:p w14:paraId="6DEABC4F">
            <w:pPr>
              <w:widowControl/>
              <w:jc w:val="left"/>
              <w:rPr>
                <w:rFonts w:ascii="宋体" w:hAnsi="宋体" w:cs="宋体"/>
                <w:color w:val="auto"/>
                <w:kern w:val="0"/>
                <w:szCs w:val="21"/>
              </w:rPr>
            </w:pPr>
            <w:r>
              <w:rPr>
                <w:rFonts w:hint="eastAsia" w:ascii="宋体" w:hAnsi="宋体" w:cs="宋体"/>
                <w:color w:val="auto"/>
                <w:kern w:val="0"/>
                <w:szCs w:val="21"/>
              </w:rPr>
              <w:t>100≤X＜300</w:t>
            </w:r>
          </w:p>
        </w:tc>
        <w:tc>
          <w:tcPr>
            <w:tcW w:w="1701" w:type="dxa"/>
            <w:tcBorders>
              <w:top w:val="nil"/>
              <w:left w:val="nil"/>
              <w:bottom w:val="single" w:color="auto" w:sz="4" w:space="0"/>
              <w:right w:val="single" w:color="auto" w:sz="4" w:space="0"/>
            </w:tcBorders>
            <w:vAlign w:val="center"/>
          </w:tcPr>
          <w:p w14:paraId="789EE5A3">
            <w:pPr>
              <w:widowControl/>
              <w:jc w:val="left"/>
              <w:rPr>
                <w:rFonts w:ascii="宋体" w:hAnsi="宋体" w:cs="宋体"/>
                <w:color w:val="auto"/>
                <w:kern w:val="0"/>
                <w:szCs w:val="21"/>
              </w:rPr>
            </w:pPr>
            <w:r>
              <w:rPr>
                <w:rFonts w:hint="eastAsia" w:ascii="宋体" w:hAnsi="宋体" w:cs="宋体"/>
                <w:color w:val="auto"/>
                <w:kern w:val="0"/>
                <w:szCs w:val="21"/>
              </w:rPr>
              <w:t>10≤X＜100</w:t>
            </w:r>
          </w:p>
        </w:tc>
        <w:tc>
          <w:tcPr>
            <w:tcW w:w="1134" w:type="dxa"/>
            <w:tcBorders>
              <w:top w:val="nil"/>
              <w:left w:val="nil"/>
              <w:bottom w:val="single" w:color="auto" w:sz="4" w:space="0"/>
              <w:right w:val="single" w:color="auto" w:sz="4" w:space="0"/>
            </w:tcBorders>
            <w:vAlign w:val="center"/>
          </w:tcPr>
          <w:p w14:paraId="0BCBD0EB">
            <w:pPr>
              <w:widowControl/>
              <w:jc w:val="left"/>
              <w:rPr>
                <w:rFonts w:ascii="宋体" w:hAnsi="宋体" w:cs="宋体"/>
                <w:color w:val="auto"/>
                <w:kern w:val="0"/>
                <w:szCs w:val="21"/>
              </w:rPr>
            </w:pPr>
            <w:r>
              <w:rPr>
                <w:rFonts w:hint="eastAsia" w:ascii="宋体" w:hAnsi="宋体" w:cs="宋体"/>
                <w:color w:val="auto"/>
                <w:kern w:val="0"/>
                <w:szCs w:val="21"/>
              </w:rPr>
              <w:t>X＜10</w:t>
            </w:r>
          </w:p>
        </w:tc>
      </w:tr>
    </w:tbl>
    <w:p w14:paraId="5FCE3E70">
      <w:pPr>
        <w:spacing w:before="57" w:line="360" w:lineRule="auto"/>
        <w:ind w:left="19" w:right="11" w:firstLine="516"/>
        <w:rPr>
          <w:rFonts w:ascii="宋体" w:hAnsi="宋体" w:cs="宋体"/>
          <w:color w:val="auto"/>
          <w:szCs w:val="21"/>
        </w:rPr>
      </w:pPr>
      <w:r>
        <w:rPr>
          <w:rFonts w:hint="eastAsia" w:ascii="宋体" w:hAnsi="宋体" w:cs="宋体"/>
          <w:color w:val="auto"/>
          <w:spacing w:val="2"/>
          <w:szCs w:val="21"/>
        </w:rPr>
        <w:t>说明：上述标准参照《关于印发中小企业划型标准规定</w:t>
      </w:r>
      <w:r>
        <w:rPr>
          <w:rFonts w:hint="eastAsia" w:ascii="宋体" w:hAnsi="宋体" w:cs="宋体"/>
          <w:color w:val="auto"/>
          <w:spacing w:val="1"/>
          <w:szCs w:val="21"/>
        </w:rPr>
        <w:t>的通知》(工信部联企业[2011]300 号)，大</w:t>
      </w:r>
      <w:r>
        <w:rPr>
          <w:rFonts w:hint="eastAsia" w:ascii="宋体" w:hAnsi="宋体" w:cs="宋体"/>
          <w:color w:val="auto"/>
          <w:szCs w:val="21"/>
        </w:rPr>
        <w:t xml:space="preserve"> </w:t>
      </w:r>
      <w:r>
        <w:rPr>
          <w:rFonts w:hint="eastAsia" w:ascii="宋体" w:hAnsi="宋体" w:cs="宋体"/>
          <w:color w:val="auto"/>
          <w:spacing w:val="-1"/>
          <w:szCs w:val="21"/>
        </w:rPr>
        <w:t>型、中型和小型企业须同时满足所列指标的下限，否则下划一档；微型企业只须满足所</w:t>
      </w:r>
      <w:r>
        <w:rPr>
          <w:rFonts w:hint="eastAsia" w:ascii="宋体" w:hAnsi="宋体" w:cs="宋体"/>
          <w:color w:val="auto"/>
          <w:szCs w:val="21"/>
        </w:rPr>
        <w:t xml:space="preserve">列指标中的一项即 </w:t>
      </w:r>
      <w:r>
        <w:rPr>
          <w:rFonts w:hint="eastAsia" w:ascii="宋体" w:hAnsi="宋体" w:cs="宋体"/>
          <w:color w:val="auto"/>
          <w:spacing w:val="-15"/>
          <w:szCs w:val="21"/>
        </w:rPr>
        <w:t>可。</w:t>
      </w:r>
    </w:p>
    <w:p w14:paraId="70419DDE">
      <w:pPr>
        <w:spacing w:line="360" w:lineRule="auto"/>
        <w:rPr>
          <w:rFonts w:ascii="宋体" w:hAnsi="宋体" w:cs="宋体"/>
          <w:color w:val="auto"/>
        </w:rPr>
        <w:sectPr>
          <w:pgSz w:w="11905" w:h="16838"/>
          <w:pgMar w:top="1417" w:right="1134" w:bottom="1417" w:left="1100" w:header="703" w:footer="703" w:gutter="0"/>
          <w:cols w:space="720" w:num="1"/>
        </w:sectPr>
      </w:pPr>
    </w:p>
    <w:p w14:paraId="11BB9C47">
      <w:pPr>
        <w:spacing w:before="104" w:line="360" w:lineRule="auto"/>
        <w:ind w:left="3888"/>
        <w:outlineLvl w:val="0"/>
        <w:rPr>
          <w:rFonts w:ascii="宋体" w:hAnsi="宋体" w:cs="宋体"/>
          <w:color w:val="auto"/>
          <w:sz w:val="32"/>
          <w:szCs w:val="32"/>
        </w:rPr>
      </w:pPr>
      <w:bookmarkStart w:id="7" w:name="_Toc27908"/>
      <w:r>
        <w:rPr>
          <w:rFonts w:hint="eastAsia" w:ascii="宋体" w:hAnsi="宋体" w:cs="宋体"/>
          <w:color w:val="auto"/>
          <w:spacing w:val="-12"/>
          <w:sz w:val="32"/>
          <w:szCs w:val="32"/>
        </w:rPr>
        <w:t>第</w:t>
      </w:r>
      <w:r>
        <w:rPr>
          <w:rFonts w:hint="eastAsia" w:ascii="宋体" w:hAnsi="宋体" w:cs="宋体"/>
          <w:color w:val="auto"/>
          <w:spacing w:val="-11"/>
          <w:sz w:val="32"/>
          <w:szCs w:val="32"/>
        </w:rPr>
        <w:t>三章 供应商须知</w:t>
      </w:r>
      <w:bookmarkEnd w:id="7"/>
    </w:p>
    <w:p w14:paraId="2DD4980F">
      <w:pPr>
        <w:spacing w:line="360" w:lineRule="auto"/>
        <w:rPr>
          <w:rFonts w:ascii="宋体" w:hAnsi="宋体" w:cs="宋体"/>
          <w:color w:val="auto"/>
        </w:rPr>
      </w:pPr>
    </w:p>
    <w:p w14:paraId="435356C6">
      <w:pPr>
        <w:spacing w:before="104" w:line="360" w:lineRule="auto"/>
        <w:ind w:left="3364"/>
        <w:outlineLvl w:val="1"/>
        <w:rPr>
          <w:rFonts w:ascii="宋体" w:hAnsi="宋体" w:cs="宋体"/>
          <w:color w:val="auto"/>
          <w:sz w:val="32"/>
          <w:szCs w:val="32"/>
        </w:rPr>
      </w:pPr>
      <w:r>
        <w:rPr>
          <w:rFonts w:hint="eastAsia" w:ascii="宋体" w:hAnsi="宋体" w:cs="宋体"/>
          <w:color w:val="auto"/>
          <w:spacing w:val="-2"/>
          <w:sz w:val="32"/>
          <w:szCs w:val="32"/>
        </w:rPr>
        <w:t>第</w:t>
      </w:r>
      <w:r>
        <w:rPr>
          <w:rFonts w:hint="eastAsia" w:ascii="宋体" w:hAnsi="宋体" w:cs="宋体"/>
          <w:color w:val="auto"/>
          <w:spacing w:val="-1"/>
          <w:sz w:val="32"/>
          <w:szCs w:val="32"/>
        </w:rPr>
        <w:t>一节 供应商须知前附表</w:t>
      </w:r>
    </w:p>
    <w:tbl>
      <w:tblPr>
        <w:tblStyle w:val="26"/>
        <w:tblW w:w="1036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19"/>
        <w:gridCol w:w="2349"/>
        <w:gridCol w:w="7092"/>
      </w:tblGrid>
      <w:tr w14:paraId="7952B3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 w:hRule="atLeast"/>
          <w:jc w:val="center"/>
        </w:trPr>
        <w:tc>
          <w:tcPr>
            <w:tcW w:w="919" w:type="dxa"/>
            <w:tcBorders>
              <w:top w:val="single" w:color="000000" w:sz="4" w:space="0"/>
              <w:left w:val="single" w:color="000000" w:sz="4" w:space="0"/>
              <w:bottom w:val="single" w:color="000000" w:sz="4" w:space="0"/>
              <w:right w:val="single" w:color="000000" w:sz="4" w:space="0"/>
            </w:tcBorders>
            <w:vAlign w:val="center"/>
          </w:tcPr>
          <w:p w14:paraId="45DD14EB">
            <w:pPr>
              <w:spacing w:line="360" w:lineRule="auto"/>
              <w:jc w:val="center"/>
              <w:rPr>
                <w:rFonts w:ascii="宋体" w:hAnsi="宋体" w:cs="宋体"/>
                <w:b/>
                <w:color w:val="auto"/>
                <w:szCs w:val="21"/>
              </w:rPr>
            </w:pPr>
            <w:r>
              <w:rPr>
                <w:rFonts w:hint="eastAsia" w:ascii="宋体" w:hAnsi="宋体" w:cs="宋体"/>
                <w:b/>
                <w:color w:val="auto"/>
                <w:szCs w:val="21"/>
              </w:rPr>
              <w:t>条款号</w:t>
            </w:r>
          </w:p>
        </w:tc>
        <w:tc>
          <w:tcPr>
            <w:tcW w:w="2349" w:type="dxa"/>
            <w:tcBorders>
              <w:top w:val="single" w:color="000000" w:sz="4" w:space="0"/>
              <w:left w:val="single" w:color="000000" w:sz="4" w:space="0"/>
              <w:bottom w:val="single" w:color="000000" w:sz="4" w:space="0"/>
              <w:right w:val="single" w:color="000000" w:sz="4" w:space="0"/>
            </w:tcBorders>
            <w:vAlign w:val="center"/>
          </w:tcPr>
          <w:p w14:paraId="38010365">
            <w:pPr>
              <w:spacing w:line="360" w:lineRule="auto"/>
              <w:jc w:val="center"/>
              <w:rPr>
                <w:rFonts w:ascii="宋体" w:hAnsi="宋体" w:cs="宋体"/>
                <w:b/>
                <w:color w:val="auto"/>
                <w:szCs w:val="21"/>
              </w:rPr>
            </w:pPr>
            <w:r>
              <w:rPr>
                <w:rFonts w:hint="eastAsia" w:ascii="宋体" w:hAnsi="宋体" w:cs="宋体"/>
                <w:b/>
                <w:color w:val="auto"/>
                <w:szCs w:val="21"/>
              </w:rPr>
              <w:t>条款内容</w:t>
            </w:r>
          </w:p>
        </w:tc>
        <w:tc>
          <w:tcPr>
            <w:tcW w:w="7092" w:type="dxa"/>
            <w:tcBorders>
              <w:top w:val="single" w:color="000000" w:sz="4" w:space="0"/>
              <w:left w:val="single" w:color="000000" w:sz="4" w:space="0"/>
              <w:bottom w:val="single" w:color="000000" w:sz="4" w:space="0"/>
              <w:right w:val="single" w:color="000000" w:sz="4" w:space="0"/>
            </w:tcBorders>
            <w:vAlign w:val="center"/>
          </w:tcPr>
          <w:p w14:paraId="0F07F1BD">
            <w:pPr>
              <w:spacing w:line="360" w:lineRule="auto"/>
              <w:jc w:val="center"/>
              <w:rPr>
                <w:rFonts w:ascii="宋体" w:hAnsi="宋体" w:cs="宋体"/>
                <w:b/>
                <w:color w:val="auto"/>
                <w:szCs w:val="21"/>
              </w:rPr>
            </w:pPr>
            <w:r>
              <w:rPr>
                <w:rFonts w:hint="eastAsia" w:ascii="宋体" w:hAnsi="宋体" w:cs="宋体"/>
                <w:b/>
                <w:color w:val="auto"/>
                <w:szCs w:val="21"/>
              </w:rPr>
              <w:t>具体要求</w:t>
            </w:r>
          </w:p>
        </w:tc>
      </w:tr>
      <w:tr w14:paraId="1FE04F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9" w:hRule="atLeast"/>
          <w:jc w:val="center"/>
        </w:trPr>
        <w:tc>
          <w:tcPr>
            <w:tcW w:w="919" w:type="dxa"/>
            <w:tcBorders>
              <w:top w:val="single" w:color="000000" w:sz="4" w:space="0"/>
              <w:left w:val="single" w:color="000000" w:sz="4" w:space="0"/>
              <w:bottom w:val="single" w:color="000000" w:sz="4" w:space="0"/>
              <w:right w:val="single" w:color="000000" w:sz="4" w:space="0"/>
            </w:tcBorders>
            <w:vAlign w:val="center"/>
          </w:tcPr>
          <w:p w14:paraId="4D30C8C2">
            <w:pPr>
              <w:spacing w:line="360" w:lineRule="auto"/>
              <w:jc w:val="center"/>
              <w:rPr>
                <w:rFonts w:ascii="宋体" w:hAnsi="宋体" w:cs="宋体"/>
                <w:color w:val="auto"/>
                <w:szCs w:val="21"/>
              </w:rPr>
            </w:pPr>
            <w:r>
              <w:rPr>
                <w:rFonts w:hint="eastAsia" w:ascii="宋体" w:hAnsi="宋体" w:cs="宋体"/>
                <w:color w:val="auto"/>
                <w:szCs w:val="21"/>
              </w:rPr>
              <w:t>3.1</w:t>
            </w:r>
          </w:p>
        </w:tc>
        <w:tc>
          <w:tcPr>
            <w:tcW w:w="2349" w:type="dxa"/>
            <w:tcBorders>
              <w:top w:val="single" w:color="000000" w:sz="4" w:space="0"/>
              <w:left w:val="single" w:color="000000" w:sz="4" w:space="0"/>
              <w:bottom w:val="single" w:color="000000" w:sz="4" w:space="0"/>
              <w:right w:val="single" w:color="000000" w:sz="4" w:space="0"/>
            </w:tcBorders>
            <w:vAlign w:val="center"/>
          </w:tcPr>
          <w:p w14:paraId="3A0DA87D">
            <w:pPr>
              <w:spacing w:line="360" w:lineRule="auto"/>
              <w:jc w:val="center"/>
              <w:rPr>
                <w:rFonts w:ascii="宋体" w:hAnsi="宋体" w:cs="宋体"/>
                <w:color w:val="auto"/>
                <w:szCs w:val="21"/>
              </w:rPr>
            </w:pPr>
            <w:r>
              <w:rPr>
                <w:rFonts w:hint="eastAsia" w:ascii="宋体" w:hAnsi="宋体" w:cs="宋体"/>
                <w:color w:val="auto"/>
                <w:szCs w:val="21"/>
              </w:rPr>
              <w:t>供应商资格条件</w:t>
            </w:r>
          </w:p>
        </w:tc>
        <w:tc>
          <w:tcPr>
            <w:tcW w:w="7092" w:type="dxa"/>
            <w:tcBorders>
              <w:top w:val="single" w:color="000000" w:sz="4" w:space="0"/>
              <w:left w:val="single" w:color="000000" w:sz="4" w:space="0"/>
              <w:bottom w:val="single" w:color="000000" w:sz="4" w:space="0"/>
              <w:right w:val="single" w:color="000000" w:sz="4" w:space="0"/>
            </w:tcBorders>
            <w:vAlign w:val="center"/>
          </w:tcPr>
          <w:p w14:paraId="6F342A06">
            <w:pPr>
              <w:spacing w:line="360" w:lineRule="auto"/>
              <w:rPr>
                <w:rFonts w:ascii="宋体" w:hAnsi="宋体" w:cs="宋体"/>
                <w:color w:val="auto"/>
                <w:szCs w:val="21"/>
              </w:rPr>
            </w:pPr>
            <w:r>
              <w:rPr>
                <w:rFonts w:hint="eastAsia" w:ascii="宋体" w:hAnsi="宋体" w:cs="宋体"/>
                <w:color w:val="auto"/>
                <w:szCs w:val="21"/>
              </w:rPr>
              <w:t>供应商资格条件要求详见公告。</w:t>
            </w:r>
          </w:p>
        </w:tc>
      </w:tr>
      <w:tr w14:paraId="068ADA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7" w:hRule="atLeast"/>
          <w:jc w:val="center"/>
        </w:trPr>
        <w:tc>
          <w:tcPr>
            <w:tcW w:w="919" w:type="dxa"/>
            <w:tcBorders>
              <w:top w:val="single" w:color="000000" w:sz="4" w:space="0"/>
              <w:left w:val="single" w:color="000000" w:sz="4" w:space="0"/>
              <w:bottom w:val="single" w:color="000000" w:sz="4" w:space="0"/>
              <w:right w:val="single" w:color="000000" w:sz="4" w:space="0"/>
            </w:tcBorders>
            <w:vAlign w:val="center"/>
          </w:tcPr>
          <w:p w14:paraId="163AE467">
            <w:pPr>
              <w:spacing w:line="360" w:lineRule="auto"/>
              <w:jc w:val="center"/>
              <w:rPr>
                <w:rFonts w:ascii="宋体" w:hAnsi="宋体" w:cs="宋体"/>
                <w:color w:val="auto"/>
                <w:szCs w:val="21"/>
              </w:rPr>
            </w:pPr>
            <w:r>
              <w:rPr>
                <w:rFonts w:hint="eastAsia" w:ascii="宋体" w:hAnsi="宋体" w:cs="宋体"/>
                <w:color w:val="auto"/>
                <w:szCs w:val="21"/>
              </w:rPr>
              <w:t>5.1</w:t>
            </w:r>
          </w:p>
        </w:tc>
        <w:tc>
          <w:tcPr>
            <w:tcW w:w="2349" w:type="dxa"/>
            <w:tcBorders>
              <w:top w:val="single" w:color="000000" w:sz="4" w:space="0"/>
              <w:left w:val="single" w:color="000000" w:sz="4" w:space="0"/>
              <w:bottom w:val="single" w:color="000000" w:sz="4" w:space="0"/>
              <w:right w:val="single" w:color="000000" w:sz="4" w:space="0"/>
            </w:tcBorders>
            <w:vAlign w:val="center"/>
          </w:tcPr>
          <w:p w14:paraId="509E34E6">
            <w:pPr>
              <w:spacing w:line="360" w:lineRule="auto"/>
              <w:jc w:val="center"/>
              <w:rPr>
                <w:rFonts w:ascii="宋体" w:hAnsi="宋体" w:cs="宋体"/>
                <w:color w:val="auto"/>
                <w:szCs w:val="21"/>
              </w:rPr>
            </w:pPr>
            <w:r>
              <w:rPr>
                <w:rFonts w:hint="eastAsia" w:ascii="宋体" w:hAnsi="宋体" w:cs="宋体"/>
                <w:color w:val="auto"/>
                <w:szCs w:val="21"/>
              </w:rPr>
              <w:t>是否接受联合体竞标</w:t>
            </w:r>
          </w:p>
        </w:tc>
        <w:tc>
          <w:tcPr>
            <w:tcW w:w="7092" w:type="dxa"/>
            <w:tcBorders>
              <w:top w:val="single" w:color="000000" w:sz="4" w:space="0"/>
              <w:left w:val="single" w:color="000000" w:sz="4" w:space="0"/>
              <w:bottom w:val="single" w:color="000000" w:sz="4" w:space="0"/>
              <w:right w:val="single" w:color="000000" w:sz="4" w:space="0"/>
            </w:tcBorders>
            <w:vAlign w:val="center"/>
          </w:tcPr>
          <w:p w14:paraId="7B5DEEBA">
            <w:pPr>
              <w:spacing w:line="360" w:lineRule="auto"/>
              <w:rPr>
                <w:rFonts w:ascii="宋体" w:hAnsi="宋体" w:cs="宋体"/>
                <w:color w:val="auto"/>
                <w:szCs w:val="21"/>
              </w:rPr>
            </w:pPr>
            <w:bookmarkStart w:id="8" w:name="PO_3000001868_PM007"/>
            <w:r>
              <w:rPr>
                <w:rFonts w:hint="eastAsia" w:ascii="宋体" w:hAnsi="宋体" w:cs="宋体"/>
                <w:color w:val="auto"/>
                <w:szCs w:val="21"/>
              </w:rPr>
              <w:t>不允许联合体投标</w:t>
            </w:r>
            <w:bookmarkEnd w:id="8"/>
          </w:p>
        </w:tc>
      </w:tr>
      <w:tr w14:paraId="33534B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7" w:hRule="atLeast"/>
          <w:jc w:val="center"/>
        </w:trPr>
        <w:tc>
          <w:tcPr>
            <w:tcW w:w="919" w:type="dxa"/>
            <w:tcBorders>
              <w:top w:val="single" w:color="000000" w:sz="4" w:space="0"/>
              <w:left w:val="single" w:color="000000" w:sz="4" w:space="0"/>
              <w:bottom w:val="single" w:color="000000" w:sz="4" w:space="0"/>
              <w:right w:val="single" w:color="000000" w:sz="4" w:space="0"/>
            </w:tcBorders>
            <w:vAlign w:val="center"/>
          </w:tcPr>
          <w:p w14:paraId="63D44C68">
            <w:pPr>
              <w:spacing w:line="360" w:lineRule="auto"/>
              <w:jc w:val="center"/>
              <w:rPr>
                <w:rFonts w:ascii="宋体" w:hAnsi="宋体" w:cs="宋体"/>
                <w:color w:val="auto"/>
                <w:szCs w:val="21"/>
              </w:rPr>
            </w:pPr>
            <w:r>
              <w:rPr>
                <w:rFonts w:hint="eastAsia" w:ascii="宋体" w:hAnsi="宋体" w:cs="宋体"/>
                <w:color w:val="auto"/>
                <w:szCs w:val="21"/>
              </w:rPr>
              <w:t>5.2</w:t>
            </w:r>
          </w:p>
        </w:tc>
        <w:tc>
          <w:tcPr>
            <w:tcW w:w="2349" w:type="dxa"/>
            <w:tcBorders>
              <w:top w:val="single" w:color="000000" w:sz="4" w:space="0"/>
              <w:left w:val="single" w:color="000000" w:sz="4" w:space="0"/>
              <w:bottom w:val="single" w:color="000000" w:sz="4" w:space="0"/>
              <w:right w:val="single" w:color="000000" w:sz="4" w:space="0"/>
            </w:tcBorders>
            <w:vAlign w:val="center"/>
          </w:tcPr>
          <w:p w14:paraId="4B28FEA2">
            <w:pPr>
              <w:spacing w:line="360" w:lineRule="auto"/>
              <w:jc w:val="center"/>
              <w:rPr>
                <w:rFonts w:ascii="宋体" w:hAnsi="宋体" w:cs="宋体"/>
                <w:color w:val="auto"/>
                <w:szCs w:val="21"/>
              </w:rPr>
            </w:pPr>
            <w:r>
              <w:rPr>
                <w:rFonts w:hint="eastAsia" w:ascii="宋体" w:hAnsi="宋体" w:cs="宋体"/>
                <w:color w:val="auto"/>
                <w:szCs w:val="21"/>
              </w:rPr>
              <w:t>联合体竞标要求</w:t>
            </w:r>
          </w:p>
        </w:tc>
        <w:tc>
          <w:tcPr>
            <w:tcW w:w="7092" w:type="dxa"/>
            <w:tcBorders>
              <w:top w:val="single" w:color="000000" w:sz="4" w:space="0"/>
              <w:left w:val="single" w:color="000000" w:sz="4" w:space="0"/>
              <w:bottom w:val="single" w:color="000000" w:sz="4" w:space="0"/>
              <w:right w:val="single" w:color="000000" w:sz="4" w:space="0"/>
            </w:tcBorders>
            <w:vAlign w:val="center"/>
          </w:tcPr>
          <w:p w14:paraId="28F7E481">
            <w:pPr>
              <w:spacing w:line="360" w:lineRule="auto"/>
              <w:rPr>
                <w:rFonts w:ascii="宋体" w:hAnsi="宋体" w:cs="宋体"/>
                <w:color w:val="auto"/>
                <w:szCs w:val="21"/>
              </w:rPr>
            </w:pPr>
            <w:r>
              <w:rPr>
                <w:rFonts w:hint="eastAsia" w:ascii="宋体" w:hAnsi="宋体" w:cs="宋体"/>
                <w:color w:val="auto"/>
                <w:szCs w:val="21"/>
              </w:rPr>
              <w:t>无</w:t>
            </w:r>
          </w:p>
        </w:tc>
      </w:tr>
      <w:tr w14:paraId="2317BD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2" w:hRule="atLeast"/>
          <w:jc w:val="center"/>
        </w:trPr>
        <w:tc>
          <w:tcPr>
            <w:tcW w:w="919" w:type="dxa"/>
            <w:tcBorders>
              <w:top w:val="single" w:color="000000" w:sz="4" w:space="0"/>
              <w:left w:val="single" w:color="000000" w:sz="4" w:space="0"/>
              <w:bottom w:val="single" w:color="000000" w:sz="4" w:space="0"/>
              <w:right w:val="single" w:color="000000" w:sz="4" w:space="0"/>
            </w:tcBorders>
            <w:vAlign w:val="center"/>
          </w:tcPr>
          <w:p w14:paraId="36F442CE">
            <w:pPr>
              <w:spacing w:line="360" w:lineRule="auto"/>
              <w:jc w:val="center"/>
              <w:rPr>
                <w:rFonts w:ascii="宋体" w:hAnsi="宋体" w:cs="宋体"/>
                <w:color w:val="auto"/>
                <w:szCs w:val="21"/>
              </w:rPr>
            </w:pPr>
            <w:r>
              <w:rPr>
                <w:rFonts w:hint="eastAsia" w:ascii="宋体" w:hAnsi="宋体" w:cs="宋体"/>
                <w:color w:val="auto"/>
                <w:szCs w:val="21"/>
              </w:rPr>
              <w:t>6.1</w:t>
            </w:r>
          </w:p>
        </w:tc>
        <w:tc>
          <w:tcPr>
            <w:tcW w:w="2349" w:type="dxa"/>
            <w:tcBorders>
              <w:top w:val="single" w:color="000000" w:sz="4" w:space="0"/>
              <w:left w:val="single" w:color="000000" w:sz="4" w:space="0"/>
              <w:bottom w:val="single" w:color="000000" w:sz="4" w:space="0"/>
              <w:right w:val="single" w:color="000000" w:sz="4" w:space="0"/>
            </w:tcBorders>
            <w:vAlign w:val="center"/>
          </w:tcPr>
          <w:p w14:paraId="1480E552">
            <w:pPr>
              <w:spacing w:line="360" w:lineRule="auto"/>
              <w:jc w:val="center"/>
              <w:rPr>
                <w:rFonts w:ascii="宋体" w:hAnsi="宋体" w:cs="宋体"/>
                <w:color w:val="auto"/>
                <w:szCs w:val="21"/>
              </w:rPr>
            </w:pPr>
            <w:r>
              <w:rPr>
                <w:rFonts w:hint="eastAsia" w:ascii="宋体" w:hAnsi="宋体" w:cs="宋体"/>
                <w:color w:val="auto"/>
                <w:szCs w:val="21"/>
              </w:rPr>
              <w:t>是否允许分包</w:t>
            </w:r>
          </w:p>
        </w:tc>
        <w:tc>
          <w:tcPr>
            <w:tcW w:w="7092" w:type="dxa"/>
            <w:tcBorders>
              <w:top w:val="single" w:color="000000" w:sz="4" w:space="0"/>
              <w:left w:val="single" w:color="000000" w:sz="4" w:space="0"/>
              <w:bottom w:val="single" w:color="000000" w:sz="4" w:space="0"/>
              <w:right w:val="single" w:color="000000" w:sz="4" w:space="0"/>
            </w:tcBorders>
            <w:vAlign w:val="center"/>
          </w:tcPr>
          <w:p w14:paraId="6FDC1482">
            <w:pPr>
              <w:spacing w:line="360" w:lineRule="auto"/>
              <w:rPr>
                <w:rFonts w:ascii="宋体" w:hAnsi="宋体" w:cs="宋体"/>
                <w:color w:val="auto"/>
                <w:szCs w:val="21"/>
              </w:rPr>
            </w:pPr>
            <w:bookmarkStart w:id="9" w:name="PO_3000001868_PM044"/>
            <w:r>
              <w:rPr>
                <w:rFonts w:hint="eastAsia" w:ascii="宋体" w:hAnsi="宋体" w:cs="宋体"/>
                <w:color w:val="auto"/>
                <w:szCs w:val="21"/>
              </w:rPr>
              <w:t>允许分包</w:t>
            </w:r>
            <w:bookmarkEnd w:id="9"/>
          </w:p>
        </w:tc>
      </w:tr>
      <w:tr w14:paraId="34F1EB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19" w:type="dxa"/>
            <w:tcBorders>
              <w:top w:val="single" w:color="000000" w:sz="4" w:space="0"/>
              <w:left w:val="single" w:color="000000" w:sz="4" w:space="0"/>
              <w:bottom w:val="single" w:color="000000" w:sz="4" w:space="0"/>
              <w:right w:val="single" w:color="000000" w:sz="4" w:space="0"/>
            </w:tcBorders>
            <w:vAlign w:val="center"/>
          </w:tcPr>
          <w:p w14:paraId="65F66964">
            <w:pPr>
              <w:spacing w:line="360" w:lineRule="auto"/>
              <w:jc w:val="center"/>
              <w:rPr>
                <w:rFonts w:ascii="宋体" w:hAnsi="宋体" w:cs="宋体"/>
                <w:color w:val="auto"/>
                <w:szCs w:val="21"/>
              </w:rPr>
            </w:pPr>
            <w:r>
              <w:rPr>
                <w:rFonts w:hint="eastAsia" w:ascii="宋体" w:hAnsi="宋体" w:cs="宋体"/>
                <w:color w:val="auto"/>
                <w:szCs w:val="21"/>
              </w:rPr>
              <w:t>12.1.1</w:t>
            </w:r>
          </w:p>
        </w:tc>
        <w:tc>
          <w:tcPr>
            <w:tcW w:w="2349" w:type="dxa"/>
            <w:tcBorders>
              <w:top w:val="single" w:color="000000" w:sz="4" w:space="0"/>
              <w:left w:val="single" w:color="000000" w:sz="4" w:space="0"/>
              <w:bottom w:val="single" w:color="000000" w:sz="4" w:space="0"/>
              <w:right w:val="single" w:color="000000" w:sz="4" w:space="0"/>
            </w:tcBorders>
            <w:vAlign w:val="center"/>
          </w:tcPr>
          <w:p w14:paraId="56940593">
            <w:pPr>
              <w:snapToGrid w:val="0"/>
              <w:spacing w:line="360" w:lineRule="auto"/>
              <w:jc w:val="center"/>
              <w:rPr>
                <w:rFonts w:ascii="宋体" w:hAnsi="宋体" w:cs="宋体"/>
                <w:b/>
                <w:color w:val="auto"/>
                <w:szCs w:val="21"/>
              </w:rPr>
            </w:pPr>
            <w:r>
              <w:rPr>
                <w:rFonts w:hint="eastAsia" w:ascii="宋体" w:hAnsi="宋体" w:cs="宋体"/>
                <w:b/>
                <w:color w:val="auto"/>
                <w:szCs w:val="21"/>
              </w:rPr>
              <w:t>资格证明文件组成</w:t>
            </w:r>
          </w:p>
          <w:p w14:paraId="69604F02">
            <w:pPr>
              <w:spacing w:line="360" w:lineRule="auto"/>
              <w:jc w:val="center"/>
              <w:rPr>
                <w:rFonts w:ascii="宋体" w:hAnsi="宋体" w:cs="宋体"/>
                <w:color w:val="auto"/>
                <w:szCs w:val="21"/>
              </w:rPr>
            </w:pPr>
          </w:p>
        </w:tc>
        <w:tc>
          <w:tcPr>
            <w:tcW w:w="7092" w:type="dxa"/>
            <w:tcBorders>
              <w:top w:val="single" w:color="000000" w:sz="4" w:space="0"/>
              <w:left w:val="single" w:color="000000" w:sz="4" w:space="0"/>
              <w:bottom w:val="single" w:color="000000" w:sz="4" w:space="0"/>
              <w:right w:val="single" w:color="000000" w:sz="4" w:space="0"/>
            </w:tcBorders>
            <w:vAlign w:val="center"/>
          </w:tcPr>
          <w:p w14:paraId="0B0B3395">
            <w:pPr>
              <w:widowControl/>
              <w:spacing w:line="360" w:lineRule="auto"/>
              <w:jc w:val="left"/>
              <w:rPr>
                <w:rFonts w:ascii="宋体" w:hAnsi="宋体" w:cs="宋体"/>
                <w:color w:val="auto"/>
                <w:szCs w:val="21"/>
              </w:rPr>
            </w:pPr>
            <w:r>
              <w:rPr>
                <w:rFonts w:hint="eastAsia" w:ascii="宋体" w:hAnsi="宋体" w:cs="宋体"/>
                <w:color w:val="auto"/>
                <w:szCs w:val="21"/>
              </w:rPr>
              <w:t>1.</w:t>
            </w:r>
            <w:r>
              <w:rPr>
                <w:rFonts w:hint="eastAsia" w:ascii="宋体" w:hAnsi="宋体" w:cs="宋体"/>
                <w:color w:val="auto"/>
                <w:kern w:val="0"/>
                <w:szCs w:val="21"/>
              </w:rPr>
              <w:t>供应商为法人或者其他组织的提供其营业执照等证明文件（如营业执照 或者事业单位法人证书或者执业许可证等），供应商为自然人的提供其身 份证复印件；（</w:t>
            </w:r>
            <w:r>
              <w:rPr>
                <w:rFonts w:hint="eastAsia" w:ascii="宋体" w:hAnsi="宋体" w:cs="宋体"/>
                <w:b/>
                <w:bCs/>
                <w:color w:val="auto"/>
                <w:kern w:val="0"/>
                <w:szCs w:val="21"/>
              </w:rPr>
              <w:t>必须提供，否则响应文件按无效响应处理</w:t>
            </w:r>
            <w:r>
              <w:rPr>
                <w:rFonts w:hint="eastAsia" w:ascii="宋体" w:hAnsi="宋体" w:cs="宋体"/>
                <w:color w:val="auto"/>
                <w:kern w:val="0"/>
                <w:szCs w:val="21"/>
              </w:rPr>
              <w:t>）</w:t>
            </w:r>
          </w:p>
          <w:p w14:paraId="5925B3A5">
            <w:pPr>
              <w:widowControl/>
              <w:spacing w:line="360" w:lineRule="auto"/>
              <w:jc w:val="left"/>
              <w:rPr>
                <w:rFonts w:ascii="宋体" w:hAnsi="宋体" w:cs="宋体"/>
                <w:color w:val="auto"/>
                <w:szCs w:val="21"/>
              </w:rPr>
            </w:pPr>
            <w:r>
              <w:rPr>
                <w:rFonts w:hint="eastAsia" w:ascii="宋体" w:hAnsi="宋体" w:cs="宋体"/>
                <w:color w:val="auto"/>
                <w:szCs w:val="21"/>
              </w:rPr>
              <w:t>2.供应商依法缴纳税收的相关材料：提供</w:t>
            </w:r>
            <w:r>
              <w:rPr>
                <w:rFonts w:hint="eastAsia" w:ascii="宋体" w:hAnsi="宋体" w:cs="宋体"/>
                <w:color w:val="auto"/>
                <w:szCs w:val="21"/>
                <w:u w:val="single"/>
              </w:rPr>
              <w:t>202</w:t>
            </w:r>
            <w:r>
              <w:rPr>
                <w:rFonts w:ascii="宋体" w:hAnsi="宋体" w:cs="宋体"/>
                <w:color w:val="auto"/>
                <w:szCs w:val="21"/>
                <w:u w:val="single"/>
              </w:rPr>
              <w:t>4</w:t>
            </w:r>
            <w:r>
              <w:rPr>
                <w:rFonts w:hint="eastAsia" w:ascii="宋体" w:hAnsi="宋体" w:cs="宋体"/>
                <w:color w:val="auto"/>
                <w:szCs w:val="21"/>
              </w:rPr>
              <w:t>年</w:t>
            </w:r>
            <w:r>
              <w:rPr>
                <w:rFonts w:ascii="宋体" w:hAnsi="宋体" w:cs="宋体"/>
                <w:color w:val="auto"/>
                <w:szCs w:val="21"/>
                <w:u w:val="single"/>
              </w:rPr>
              <w:t>5</w:t>
            </w:r>
            <w:r>
              <w:rPr>
                <w:rFonts w:hint="eastAsia" w:ascii="宋体" w:hAnsi="宋体" w:cs="宋体"/>
                <w:color w:val="auto"/>
                <w:szCs w:val="21"/>
              </w:rPr>
              <w:t>月至竞标截止时间止内连续</w:t>
            </w:r>
            <w:r>
              <w:rPr>
                <w:rFonts w:hint="eastAsia" w:ascii="宋体" w:hAnsi="宋体" w:cs="宋体"/>
                <w:color w:val="auto"/>
                <w:szCs w:val="21"/>
                <w:u w:val="single"/>
              </w:rPr>
              <w:t xml:space="preserve"> 三 </w:t>
            </w:r>
            <w:r>
              <w:rPr>
                <w:rFonts w:hint="eastAsia" w:ascii="宋体" w:hAnsi="宋体" w:cs="宋体"/>
                <w:color w:val="auto"/>
                <w:szCs w:val="21"/>
              </w:rPr>
              <w:t>个月的依法缴纳税收的凭据复印件；依法免税的供应商，必须提供相应文件证明其依法免税。从取得营业执照时间起到响应文件提交截止时间为止不足要求月数的，只需提供从取得营业执照起的依法缴纳税收相应证明文件）；（</w:t>
            </w:r>
            <w:r>
              <w:rPr>
                <w:rFonts w:hint="eastAsia" w:ascii="宋体" w:hAnsi="宋体" w:cs="宋体"/>
                <w:b/>
                <w:bCs/>
                <w:color w:val="auto"/>
                <w:kern w:val="0"/>
                <w:szCs w:val="21"/>
              </w:rPr>
              <w:t>必须提供，否则响应文件按无效响应处理</w:t>
            </w:r>
            <w:r>
              <w:rPr>
                <w:rFonts w:hint="eastAsia" w:ascii="宋体" w:hAnsi="宋体" w:cs="宋体"/>
                <w:color w:val="auto"/>
                <w:szCs w:val="21"/>
              </w:rPr>
              <w:t>）</w:t>
            </w:r>
          </w:p>
          <w:p w14:paraId="7E4E41A4">
            <w:pPr>
              <w:snapToGrid w:val="0"/>
              <w:spacing w:line="360" w:lineRule="auto"/>
              <w:jc w:val="left"/>
              <w:rPr>
                <w:rFonts w:ascii="宋体" w:hAnsi="宋体" w:cs="宋体"/>
                <w:color w:val="auto"/>
                <w:szCs w:val="21"/>
              </w:rPr>
            </w:pPr>
            <w:r>
              <w:rPr>
                <w:rFonts w:hint="eastAsia" w:ascii="宋体" w:hAnsi="宋体" w:cs="宋体"/>
                <w:color w:val="auto"/>
                <w:szCs w:val="21"/>
              </w:rPr>
              <w:t>3.供应商依法缴纳社会保障资金的相关材料：提供</w:t>
            </w:r>
            <w:r>
              <w:rPr>
                <w:rFonts w:hint="eastAsia" w:ascii="宋体" w:hAnsi="宋体" w:cs="宋体"/>
                <w:color w:val="auto"/>
                <w:szCs w:val="21"/>
                <w:u w:val="single"/>
              </w:rPr>
              <w:t>202</w:t>
            </w:r>
            <w:r>
              <w:rPr>
                <w:rFonts w:ascii="宋体" w:hAnsi="宋体" w:cs="宋体"/>
                <w:color w:val="auto"/>
                <w:szCs w:val="21"/>
                <w:u w:val="single"/>
              </w:rPr>
              <w:t>4</w:t>
            </w:r>
            <w:r>
              <w:rPr>
                <w:rFonts w:hint="eastAsia" w:ascii="宋体" w:hAnsi="宋体" w:cs="宋体"/>
                <w:color w:val="auto"/>
                <w:szCs w:val="21"/>
              </w:rPr>
              <w:t>年</w:t>
            </w:r>
            <w:r>
              <w:rPr>
                <w:rFonts w:ascii="宋体" w:hAnsi="宋体" w:cs="宋体"/>
                <w:color w:val="auto"/>
                <w:szCs w:val="21"/>
                <w:u w:val="single"/>
              </w:rPr>
              <w:t>5</w:t>
            </w:r>
            <w:r>
              <w:rPr>
                <w:rFonts w:hint="eastAsia" w:ascii="宋体" w:hAnsi="宋体" w:cs="宋体"/>
                <w:color w:val="auto"/>
                <w:szCs w:val="21"/>
              </w:rPr>
              <w:t>月至竞标截止时间止内连续</w:t>
            </w:r>
            <w:r>
              <w:rPr>
                <w:rFonts w:hint="eastAsia" w:ascii="宋体" w:hAnsi="宋体" w:cs="宋体"/>
                <w:color w:val="auto"/>
                <w:szCs w:val="21"/>
                <w:u w:val="single"/>
              </w:rPr>
              <w:t xml:space="preserve"> 三 </w:t>
            </w:r>
            <w:r>
              <w:rPr>
                <w:rFonts w:hint="eastAsia" w:ascii="宋体" w:hAnsi="宋体" w:cs="宋体"/>
                <w:color w:val="auto"/>
                <w:szCs w:val="21"/>
              </w:rPr>
              <w:t>个月的依法缴纳社会保障资金的缴费凭证（专用收据或者社会保险缴纳清单）复印件；依法不需要缴纳社会保障资金的供应商，必须提供相应文件证明不需要缴纳社会保障资金。从取得营业执照时间起到响应文件提交截止时间为止不足要求月数的只需提供从取得营业执照起的依法缴纳社会保障资金的相应证明文件]；（</w:t>
            </w:r>
            <w:r>
              <w:rPr>
                <w:rFonts w:hint="eastAsia" w:ascii="宋体" w:hAnsi="宋体" w:cs="宋体"/>
                <w:b/>
                <w:bCs/>
                <w:color w:val="auto"/>
                <w:kern w:val="0"/>
                <w:szCs w:val="21"/>
              </w:rPr>
              <w:t>必须提供，否则响应文件按无效响应处理</w:t>
            </w:r>
            <w:r>
              <w:rPr>
                <w:rFonts w:hint="eastAsia" w:ascii="宋体" w:hAnsi="宋体" w:cs="宋体"/>
                <w:color w:val="auto"/>
                <w:szCs w:val="21"/>
              </w:rPr>
              <w:t>）</w:t>
            </w:r>
          </w:p>
          <w:p w14:paraId="647D3726">
            <w:pPr>
              <w:snapToGrid w:val="0"/>
              <w:spacing w:line="360" w:lineRule="auto"/>
              <w:jc w:val="left"/>
              <w:rPr>
                <w:rFonts w:ascii="宋体" w:hAnsi="宋体" w:cs="宋体"/>
                <w:color w:val="auto"/>
                <w:szCs w:val="21"/>
              </w:rPr>
            </w:pPr>
            <w:r>
              <w:rPr>
                <w:rFonts w:hint="eastAsia" w:ascii="宋体" w:hAnsi="宋体" w:cs="宋体"/>
                <w:color w:val="auto"/>
                <w:szCs w:val="21"/>
              </w:rPr>
              <w:t>4.供应商财务状况报告：[</w:t>
            </w:r>
            <w:r>
              <w:rPr>
                <w:rFonts w:hint="eastAsia" w:ascii="宋体" w:hAnsi="宋体"/>
                <w:b/>
                <w:bCs/>
                <w:color w:val="auto"/>
                <w:szCs w:val="21"/>
                <w:u w:val="single"/>
              </w:rPr>
              <w:t>2023年</w:t>
            </w:r>
            <w:r>
              <w:rPr>
                <w:rFonts w:hint="eastAsia" w:ascii="宋体" w:hAnsi="宋体" w:cs="宋体"/>
                <w:color w:val="auto"/>
                <w:szCs w:val="21"/>
              </w:rPr>
              <w:t>]财务状况报告复印件；供应商成立不满一年的应按提供首次响应文件提交截止时间上一个月的财务状况报告复印件。（上述财务状况报告包括：供应商执行《企业会计准则》的，提供资产负债表、利润表、现金流量表、所有者权益变动表（以下称“四表”）；供应商执行《小企业会计准则》的，提供资产负债表、利润表、现金流量表（以下称“三表”）；供应商执行《政府会计制度》的，提供资产负债表、收入费用表和净资产变动表)；（</w:t>
            </w:r>
            <w:r>
              <w:rPr>
                <w:rFonts w:hint="eastAsia" w:ascii="宋体" w:hAnsi="宋体" w:cs="宋体"/>
                <w:b/>
                <w:bCs/>
                <w:color w:val="auto"/>
                <w:kern w:val="0"/>
                <w:szCs w:val="21"/>
              </w:rPr>
              <w:t>必须提供，否则响应文件按无效响应处理</w:t>
            </w:r>
            <w:r>
              <w:rPr>
                <w:rFonts w:hint="eastAsia" w:ascii="宋体" w:hAnsi="宋体" w:cs="宋体"/>
                <w:color w:val="auto"/>
                <w:szCs w:val="21"/>
              </w:rPr>
              <w:t>）</w:t>
            </w:r>
          </w:p>
          <w:p w14:paraId="20872494">
            <w:pPr>
              <w:snapToGrid w:val="0"/>
              <w:spacing w:line="360" w:lineRule="auto"/>
              <w:jc w:val="left"/>
              <w:rPr>
                <w:rFonts w:ascii="宋体" w:hAnsi="宋体" w:cs="宋体"/>
                <w:color w:val="auto"/>
                <w:szCs w:val="21"/>
              </w:rPr>
            </w:pPr>
            <w:r>
              <w:rPr>
                <w:rFonts w:hint="eastAsia" w:ascii="宋体" w:hAnsi="宋体" w:cs="宋体"/>
                <w:color w:val="auto"/>
                <w:szCs w:val="21"/>
              </w:rPr>
              <w:t>5.供应商直接控股、管理关系信息表；（</w:t>
            </w:r>
            <w:r>
              <w:rPr>
                <w:rFonts w:hint="eastAsia" w:ascii="宋体" w:hAnsi="宋体" w:cs="宋体"/>
                <w:b/>
                <w:color w:val="auto"/>
                <w:szCs w:val="21"/>
              </w:rPr>
              <w:t>必须提供，否则响应文件按无效响应处理</w:t>
            </w:r>
            <w:r>
              <w:rPr>
                <w:rFonts w:hint="eastAsia" w:ascii="宋体" w:hAnsi="宋体" w:cs="宋体"/>
                <w:color w:val="auto"/>
                <w:szCs w:val="21"/>
              </w:rPr>
              <w:t>）</w:t>
            </w:r>
          </w:p>
          <w:p w14:paraId="329ACCEC">
            <w:pPr>
              <w:snapToGrid w:val="0"/>
              <w:spacing w:line="360" w:lineRule="auto"/>
              <w:jc w:val="left"/>
              <w:rPr>
                <w:rFonts w:ascii="宋体" w:hAnsi="宋体" w:cs="宋体"/>
                <w:color w:val="auto"/>
                <w:szCs w:val="21"/>
              </w:rPr>
            </w:pPr>
            <w:r>
              <w:rPr>
                <w:rFonts w:hint="eastAsia" w:ascii="宋体" w:hAnsi="宋体" w:cs="宋体"/>
                <w:color w:val="auto"/>
                <w:szCs w:val="21"/>
              </w:rPr>
              <w:t>6.资格声明；</w:t>
            </w:r>
            <w:r>
              <w:rPr>
                <w:rFonts w:hint="eastAsia" w:ascii="宋体" w:hAnsi="宋体" w:cs="宋体"/>
                <w:b/>
                <w:bCs/>
                <w:color w:val="auto"/>
                <w:szCs w:val="21"/>
              </w:rPr>
              <w:t>（必须提供，否则响应文件按无效响应处理）</w:t>
            </w:r>
          </w:p>
          <w:p w14:paraId="4FBAFD12">
            <w:pPr>
              <w:snapToGrid w:val="0"/>
              <w:spacing w:line="360" w:lineRule="auto"/>
              <w:jc w:val="left"/>
              <w:rPr>
                <w:rFonts w:ascii="宋体" w:hAnsi="宋体" w:cs="宋体"/>
                <w:color w:val="auto"/>
                <w:szCs w:val="21"/>
              </w:rPr>
            </w:pPr>
            <w:r>
              <w:rPr>
                <w:rFonts w:hint="eastAsia" w:ascii="宋体" w:hAnsi="宋体" w:cs="宋体"/>
                <w:color w:val="auto"/>
                <w:szCs w:val="21"/>
              </w:rPr>
              <w:t>7.除磋商文件规定必须提供以外，供应商认为需要提供的其他证明材料；</w:t>
            </w:r>
          </w:p>
          <w:p w14:paraId="0A85A042">
            <w:pPr>
              <w:jc w:val="left"/>
              <w:rPr>
                <w:rFonts w:ascii="宋体" w:hAnsi="宋体" w:cs="宋体"/>
                <w:b/>
                <w:bCs/>
                <w:color w:val="auto"/>
              </w:rPr>
            </w:pPr>
            <w:r>
              <w:rPr>
                <w:rFonts w:hint="eastAsia" w:ascii="宋体" w:hAnsi="宋体" w:cs="宋体"/>
                <w:b/>
                <w:bCs/>
                <w:color w:val="auto"/>
              </w:rPr>
              <w:t>注：</w:t>
            </w:r>
          </w:p>
          <w:p w14:paraId="3504ACE5">
            <w:pPr>
              <w:ind w:firstLine="422" w:firstLineChars="200"/>
              <w:jc w:val="left"/>
              <w:rPr>
                <w:rFonts w:ascii="宋体" w:hAnsi="宋体" w:cs="宋体"/>
                <w:b/>
                <w:bCs/>
                <w:color w:val="auto"/>
              </w:rPr>
            </w:pPr>
            <w:r>
              <w:rPr>
                <w:rFonts w:hint="eastAsia" w:ascii="宋体" w:hAnsi="宋体" w:cs="宋体"/>
                <w:b/>
                <w:bCs/>
                <w:color w:val="auto"/>
              </w:rPr>
              <w:t>（1）以上标明“必须提供”的材料属于复印件的，必须加盖供应商电子签章，否则响应文件按无效处理。</w:t>
            </w:r>
          </w:p>
        </w:tc>
      </w:tr>
      <w:tr w14:paraId="44CAFB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19" w:type="dxa"/>
            <w:vMerge w:val="restart"/>
            <w:tcBorders>
              <w:top w:val="single" w:color="000000" w:sz="4" w:space="0"/>
              <w:left w:val="single" w:color="000000" w:sz="4" w:space="0"/>
              <w:bottom w:val="single" w:color="000000" w:sz="4" w:space="0"/>
              <w:right w:val="single" w:color="000000" w:sz="4" w:space="0"/>
            </w:tcBorders>
            <w:vAlign w:val="center"/>
          </w:tcPr>
          <w:p w14:paraId="4C724516">
            <w:pPr>
              <w:spacing w:line="360" w:lineRule="auto"/>
              <w:jc w:val="center"/>
              <w:rPr>
                <w:rFonts w:ascii="宋体" w:hAnsi="宋体" w:cs="宋体"/>
                <w:color w:val="auto"/>
                <w:szCs w:val="21"/>
              </w:rPr>
            </w:pPr>
            <w:r>
              <w:rPr>
                <w:rFonts w:hint="eastAsia" w:ascii="宋体" w:hAnsi="宋体" w:cs="宋体"/>
                <w:color w:val="auto"/>
                <w:szCs w:val="21"/>
              </w:rPr>
              <w:t>12.1.2</w:t>
            </w:r>
          </w:p>
        </w:tc>
        <w:tc>
          <w:tcPr>
            <w:tcW w:w="2349" w:type="dxa"/>
            <w:tcBorders>
              <w:top w:val="single" w:color="000000" w:sz="4" w:space="0"/>
              <w:left w:val="single" w:color="000000" w:sz="4" w:space="0"/>
              <w:bottom w:val="single" w:color="000000" w:sz="4" w:space="0"/>
              <w:right w:val="single" w:color="000000" w:sz="4" w:space="0"/>
            </w:tcBorders>
            <w:vAlign w:val="center"/>
          </w:tcPr>
          <w:p w14:paraId="78DEB210">
            <w:pPr>
              <w:spacing w:line="360" w:lineRule="auto"/>
              <w:jc w:val="center"/>
              <w:rPr>
                <w:rFonts w:ascii="宋体" w:hAnsi="宋体" w:cs="宋体"/>
                <w:b/>
                <w:bCs/>
                <w:color w:val="auto"/>
                <w:szCs w:val="21"/>
              </w:rPr>
            </w:pPr>
            <w:r>
              <w:rPr>
                <w:rFonts w:hint="eastAsia" w:ascii="宋体" w:hAnsi="宋体" w:cs="宋体"/>
                <w:b/>
                <w:bCs/>
                <w:color w:val="auto"/>
                <w:szCs w:val="21"/>
              </w:rPr>
              <w:t>商务文件组成</w:t>
            </w:r>
          </w:p>
        </w:tc>
        <w:tc>
          <w:tcPr>
            <w:tcW w:w="7092" w:type="dxa"/>
            <w:tcBorders>
              <w:top w:val="single" w:color="000000" w:sz="4" w:space="0"/>
              <w:left w:val="single" w:color="000000" w:sz="4" w:space="0"/>
              <w:bottom w:val="single" w:color="000000" w:sz="4" w:space="0"/>
              <w:right w:val="single" w:color="000000" w:sz="4" w:space="0"/>
            </w:tcBorders>
            <w:vAlign w:val="center"/>
          </w:tcPr>
          <w:p w14:paraId="50021DB9">
            <w:pPr>
              <w:spacing w:line="360" w:lineRule="auto"/>
              <w:rPr>
                <w:rFonts w:ascii="宋体" w:hAnsi="宋体" w:cs="宋体"/>
                <w:color w:val="auto"/>
                <w:szCs w:val="21"/>
              </w:rPr>
            </w:pPr>
            <w:r>
              <w:rPr>
                <w:rFonts w:hint="eastAsia" w:ascii="宋体" w:hAnsi="宋体" w:cs="宋体"/>
                <w:color w:val="auto"/>
                <w:szCs w:val="21"/>
              </w:rPr>
              <w:t>1.无串通竞标行为的承诺函；（</w:t>
            </w:r>
            <w:r>
              <w:rPr>
                <w:rFonts w:hint="eastAsia" w:ascii="宋体" w:hAnsi="宋体" w:cs="宋体"/>
                <w:b/>
                <w:color w:val="auto"/>
                <w:szCs w:val="21"/>
              </w:rPr>
              <w:t>必须提供，否则响应文件按无效响应处理</w:t>
            </w:r>
            <w:r>
              <w:rPr>
                <w:rFonts w:hint="eastAsia" w:ascii="宋体" w:hAnsi="宋体" w:cs="宋体"/>
                <w:color w:val="auto"/>
                <w:szCs w:val="21"/>
              </w:rPr>
              <w:t>）</w:t>
            </w:r>
          </w:p>
          <w:p w14:paraId="7021DAF9">
            <w:pPr>
              <w:snapToGrid w:val="0"/>
              <w:spacing w:line="360" w:lineRule="auto"/>
              <w:jc w:val="left"/>
              <w:rPr>
                <w:rFonts w:ascii="宋体" w:hAnsi="宋体" w:cs="宋体"/>
                <w:color w:val="auto"/>
                <w:szCs w:val="21"/>
              </w:rPr>
            </w:pPr>
            <w:r>
              <w:rPr>
                <w:rFonts w:hint="eastAsia" w:ascii="宋体" w:hAnsi="宋体" w:cs="宋体"/>
                <w:color w:val="auto"/>
                <w:szCs w:val="21"/>
              </w:rPr>
              <w:t>2.法定代表人身份证明书及法定代表人有效身份证正反面复印件；（</w:t>
            </w:r>
            <w:r>
              <w:rPr>
                <w:rFonts w:hint="eastAsia" w:ascii="宋体" w:hAnsi="宋体" w:cs="宋体"/>
                <w:b/>
                <w:bCs/>
                <w:color w:val="auto"/>
                <w:szCs w:val="21"/>
              </w:rPr>
              <w:t>除自然人竞标外</w:t>
            </w:r>
            <w:r>
              <w:rPr>
                <w:rFonts w:hint="eastAsia" w:ascii="宋体" w:hAnsi="宋体" w:cs="宋体"/>
                <w:b/>
                <w:color w:val="auto"/>
                <w:szCs w:val="21"/>
              </w:rPr>
              <w:t>必须提供，否则响应文件按无效响应处理</w:t>
            </w:r>
            <w:r>
              <w:rPr>
                <w:rFonts w:hint="eastAsia" w:ascii="宋体" w:hAnsi="宋体" w:cs="宋体"/>
                <w:color w:val="auto"/>
                <w:szCs w:val="21"/>
              </w:rPr>
              <w:t>）</w:t>
            </w:r>
          </w:p>
          <w:p w14:paraId="5E9F3C5F">
            <w:pPr>
              <w:spacing w:line="360" w:lineRule="auto"/>
              <w:rPr>
                <w:rFonts w:ascii="宋体" w:hAnsi="宋体" w:cs="宋体"/>
                <w:b/>
                <w:color w:val="auto"/>
                <w:szCs w:val="21"/>
              </w:rPr>
            </w:pPr>
            <w:r>
              <w:rPr>
                <w:rFonts w:hint="eastAsia" w:ascii="宋体" w:hAnsi="宋体" w:cs="宋体"/>
                <w:color w:val="auto"/>
                <w:szCs w:val="21"/>
              </w:rPr>
              <w:t>3.法定代表人授权委托书及委托代理人有效身份证正反面复印件；（</w:t>
            </w:r>
            <w:r>
              <w:rPr>
                <w:rFonts w:hint="eastAsia" w:ascii="宋体" w:hAnsi="宋体" w:cs="宋体"/>
                <w:b/>
                <w:color w:val="auto"/>
                <w:szCs w:val="21"/>
              </w:rPr>
              <w:t>委托时必须提供，否则响应文件按无效响应处理</w:t>
            </w:r>
            <w:r>
              <w:rPr>
                <w:rFonts w:hint="eastAsia" w:ascii="宋体" w:hAnsi="宋体" w:cs="宋体"/>
                <w:color w:val="auto"/>
                <w:szCs w:val="21"/>
              </w:rPr>
              <w:t>）</w:t>
            </w:r>
          </w:p>
          <w:p w14:paraId="7C8C7068">
            <w:pPr>
              <w:spacing w:line="360" w:lineRule="auto"/>
              <w:rPr>
                <w:rFonts w:ascii="宋体" w:hAnsi="宋体" w:cs="宋体"/>
                <w:color w:val="auto"/>
                <w:szCs w:val="21"/>
              </w:rPr>
            </w:pPr>
            <w:r>
              <w:rPr>
                <w:rFonts w:hint="eastAsia" w:ascii="宋体" w:hAnsi="宋体" w:cs="宋体"/>
                <w:color w:val="auto"/>
                <w:szCs w:val="21"/>
              </w:rPr>
              <w:t>4.商务条款偏离表；（</w:t>
            </w:r>
            <w:r>
              <w:rPr>
                <w:rFonts w:hint="eastAsia" w:ascii="宋体" w:hAnsi="宋体" w:cs="宋体"/>
                <w:b/>
                <w:color w:val="auto"/>
                <w:szCs w:val="21"/>
              </w:rPr>
              <w:t>必须提供，否则响应文件按无效响应处理</w:t>
            </w:r>
            <w:r>
              <w:rPr>
                <w:rFonts w:hint="eastAsia" w:ascii="宋体" w:hAnsi="宋体" w:cs="宋体"/>
                <w:color w:val="auto"/>
                <w:szCs w:val="21"/>
              </w:rPr>
              <w:t>）</w:t>
            </w:r>
          </w:p>
          <w:p w14:paraId="73B3E657">
            <w:pPr>
              <w:spacing w:line="360" w:lineRule="auto"/>
              <w:rPr>
                <w:rFonts w:ascii="宋体" w:hAnsi="宋体" w:cs="宋体"/>
                <w:color w:val="auto"/>
                <w:szCs w:val="21"/>
              </w:rPr>
            </w:pPr>
            <w:r>
              <w:rPr>
                <w:rFonts w:hint="eastAsia" w:ascii="宋体" w:hAnsi="宋体" w:cs="宋体"/>
                <w:color w:val="auto"/>
                <w:szCs w:val="21"/>
              </w:rPr>
              <w:t>5.竞标人情况介绍；</w:t>
            </w:r>
          </w:p>
          <w:p w14:paraId="1B9BE7B2">
            <w:pPr>
              <w:spacing w:line="360" w:lineRule="auto"/>
              <w:rPr>
                <w:rFonts w:ascii="宋体" w:hAnsi="宋体" w:cs="宋体"/>
                <w:color w:val="auto"/>
                <w:szCs w:val="21"/>
              </w:rPr>
            </w:pPr>
            <w:r>
              <w:rPr>
                <w:rFonts w:hint="eastAsia" w:ascii="宋体" w:hAnsi="宋体" w:cs="宋体"/>
                <w:color w:val="auto"/>
                <w:szCs w:val="21"/>
              </w:rPr>
              <w:t>6.供应商认为需要提供的其他有关资料。</w:t>
            </w:r>
          </w:p>
          <w:p w14:paraId="08D031F0">
            <w:pPr>
              <w:snapToGrid w:val="0"/>
              <w:spacing w:line="360" w:lineRule="auto"/>
              <w:jc w:val="left"/>
              <w:rPr>
                <w:rFonts w:ascii="宋体" w:hAnsi="宋体" w:cs="宋体"/>
                <w:b/>
                <w:color w:val="auto"/>
                <w:szCs w:val="21"/>
              </w:rPr>
            </w:pPr>
            <w:r>
              <w:rPr>
                <w:rFonts w:hint="eastAsia" w:ascii="宋体" w:hAnsi="宋体" w:cs="宋体"/>
                <w:b/>
                <w:color w:val="auto"/>
                <w:szCs w:val="21"/>
              </w:rPr>
              <w:t>注： 1.法定代表人授权委托书必须由法定代表人及委托代理人签字，并加盖供应商公章，否则响应文件按无效响应处理。</w:t>
            </w:r>
          </w:p>
          <w:p w14:paraId="25A4587D">
            <w:pPr>
              <w:spacing w:line="360" w:lineRule="auto"/>
              <w:ind w:firstLine="413" w:firstLineChars="196"/>
              <w:rPr>
                <w:rFonts w:ascii="宋体" w:hAnsi="宋体" w:cs="宋体"/>
                <w:b/>
                <w:color w:val="auto"/>
                <w:szCs w:val="21"/>
              </w:rPr>
            </w:pPr>
            <w:r>
              <w:rPr>
                <w:rFonts w:hint="eastAsia" w:ascii="宋体" w:hAnsi="宋体" w:cs="宋体"/>
                <w:b/>
                <w:color w:val="auto"/>
                <w:szCs w:val="21"/>
              </w:rPr>
              <w:t>2.以上标明“必须提供”的材料属于复印件的扫描件的，必须加盖供应商电子公章，否则响应文件按无效响应处理。</w:t>
            </w:r>
          </w:p>
        </w:tc>
      </w:tr>
      <w:tr w14:paraId="252EC1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19" w:type="dxa"/>
            <w:vMerge w:val="continue"/>
            <w:tcBorders>
              <w:top w:val="single" w:color="000000" w:sz="4" w:space="0"/>
              <w:left w:val="single" w:color="000000" w:sz="4" w:space="0"/>
              <w:bottom w:val="single" w:color="000000" w:sz="4" w:space="0"/>
              <w:right w:val="single" w:color="000000" w:sz="4" w:space="0"/>
            </w:tcBorders>
            <w:vAlign w:val="center"/>
          </w:tcPr>
          <w:p w14:paraId="75FBFBB7">
            <w:pPr>
              <w:widowControl/>
              <w:spacing w:line="360" w:lineRule="auto"/>
              <w:jc w:val="left"/>
              <w:rPr>
                <w:rFonts w:ascii="宋体" w:hAnsi="宋体" w:cs="宋体"/>
                <w:color w:val="auto"/>
                <w:szCs w:val="21"/>
              </w:rPr>
            </w:pPr>
          </w:p>
        </w:tc>
        <w:tc>
          <w:tcPr>
            <w:tcW w:w="2349" w:type="dxa"/>
            <w:tcBorders>
              <w:top w:val="single" w:color="000000" w:sz="4" w:space="0"/>
              <w:left w:val="single" w:color="000000" w:sz="4" w:space="0"/>
              <w:bottom w:val="single" w:color="000000" w:sz="4" w:space="0"/>
              <w:right w:val="single" w:color="000000" w:sz="4" w:space="0"/>
            </w:tcBorders>
            <w:vAlign w:val="center"/>
          </w:tcPr>
          <w:p w14:paraId="3BB0DCE8">
            <w:pPr>
              <w:spacing w:line="360" w:lineRule="auto"/>
              <w:jc w:val="center"/>
              <w:rPr>
                <w:rFonts w:ascii="宋体" w:hAnsi="宋体" w:cs="宋体"/>
                <w:b/>
                <w:bCs/>
                <w:color w:val="auto"/>
                <w:szCs w:val="21"/>
              </w:rPr>
            </w:pPr>
            <w:r>
              <w:rPr>
                <w:rFonts w:hint="eastAsia" w:ascii="宋体" w:hAnsi="宋体" w:cs="宋体"/>
                <w:b/>
                <w:bCs/>
                <w:color w:val="auto"/>
                <w:szCs w:val="21"/>
              </w:rPr>
              <w:t>技术文件组成</w:t>
            </w:r>
          </w:p>
        </w:tc>
        <w:tc>
          <w:tcPr>
            <w:tcW w:w="7092" w:type="dxa"/>
            <w:tcBorders>
              <w:top w:val="single" w:color="000000" w:sz="4" w:space="0"/>
              <w:left w:val="single" w:color="000000" w:sz="4" w:space="0"/>
              <w:bottom w:val="single" w:color="000000" w:sz="4" w:space="0"/>
              <w:right w:val="single" w:color="000000" w:sz="4" w:space="0"/>
            </w:tcBorders>
            <w:vAlign w:val="center"/>
          </w:tcPr>
          <w:p w14:paraId="60720C95">
            <w:pPr>
              <w:spacing w:line="360" w:lineRule="auto"/>
              <w:rPr>
                <w:rFonts w:ascii="宋体" w:hAnsi="宋体" w:cs="宋体"/>
                <w:b/>
                <w:bCs/>
                <w:color w:val="auto"/>
                <w:szCs w:val="21"/>
              </w:rPr>
            </w:pPr>
            <w:r>
              <w:rPr>
                <w:rFonts w:hint="eastAsia" w:ascii="宋体" w:hAnsi="宋体" w:cs="宋体"/>
                <w:color w:val="auto"/>
                <w:szCs w:val="21"/>
              </w:rPr>
              <w:t>1.服务需求偏离表；</w:t>
            </w:r>
            <w:r>
              <w:rPr>
                <w:rFonts w:hint="eastAsia" w:ascii="宋体" w:hAnsi="宋体" w:cs="宋体"/>
                <w:b/>
                <w:bCs/>
                <w:color w:val="auto"/>
                <w:szCs w:val="21"/>
              </w:rPr>
              <w:t>（必须提供，否则响应文件按无效响应处理）</w:t>
            </w:r>
          </w:p>
          <w:p w14:paraId="2BA78BF0">
            <w:pPr>
              <w:spacing w:line="360" w:lineRule="auto"/>
              <w:rPr>
                <w:rFonts w:ascii="宋体" w:hAnsi="宋体" w:cs="宋体"/>
                <w:b/>
                <w:bCs/>
                <w:color w:val="auto"/>
                <w:szCs w:val="21"/>
              </w:rPr>
            </w:pPr>
            <w:r>
              <w:rPr>
                <w:rFonts w:hint="eastAsia" w:ascii="宋体" w:hAnsi="宋体" w:cs="宋体"/>
                <w:color w:val="auto"/>
                <w:szCs w:val="21"/>
              </w:rPr>
              <w:t>2.组织服务方案；</w:t>
            </w:r>
            <w:r>
              <w:rPr>
                <w:rFonts w:hint="eastAsia" w:ascii="宋体" w:hAnsi="宋体" w:cs="宋体"/>
                <w:b/>
                <w:bCs/>
                <w:color w:val="auto"/>
                <w:szCs w:val="21"/>
              </w:rPr>
              <w:t>（必须提供，否则响应文件按无效响应处理）</w:t>
            </w:r>
          </w:p>
          <w:p w14:paraId="3BCEAC2E">
            <w:pPr>
              <w:spacing w:line="360" w:lineRule="auto"/>
              <w:rPr>
                <w:rFonts w:ascii="宋体" w:hAnsi="宋体" w:cs="宋体"/>
                <w:b/>
                <w:bCs/>
                <w:color w:val="auto"/>
                <w:szCs w:val="21"/>
              </w:rPr>
            </w:pPr>
            <w:r>
              <w:rPr>
                <w:rFonts w:hint="eastAsia" w:ascii="宋体" w:hAnsi="宋体" w:cs="宋体"/>
                <w:color w:val="auto"/>
                <w:szCs w:val="21"/>
              </w:rPr>
              <w:t>3.售后服务承诺；</w:t>
            </w:r>
            <w:r>
              <w:rPr>
                <w:rFonts w:hint="eastAsia" w:ascii="宋体" w:hAnsi="宋体" w:cs="宋体"/>
                <w:b/>
                <w:bCs/>
                <w:color w:val="auto"/>
                <w:szCs w:val="21"/>
              </w:rPr>
              <w:t>（必须提供，否则响应文件按无效响应处理）</w:t>
            </w:r>
          </w:p>
          <w:p w14:paraId="7760C2AE">
            <w:pPr>
              <w:spacing w:line="360" w:lineRule="auto"/>
              <w:rPr>
                <w:rFonts w:ascii="宋体" w:hAnsi="宋体" w:cs="宋体"/>
                <w:color w:val="auto"/>
                <w:szCs w:val="21"/>
              </w:rPr>
            </w:pPr>
            <w:r>
              <w:rPr>
                <w:rFonts w:hint="eastAsia" w:ascii="宋体" w:hAnsi="宋体" w:cs="宋体"/>
                <w:color w:val="auto"/>
                <w:szCs w:val="21"/>
              </w:rPr>
              <w:t xml:space="preserve">4.项目实施人员一览表； </w:t>
            </w:r>
          </w:p>
          <w:p w14:paraId="18D7CEE5">
            <w:pPr>
              <w:spacing w:line="360" w:lineRule="auto"/>
              <w:rPr>
                <w:rFonts w:ascii="宋体" w:hAnsi="宋体" w:cs="宋体"/>
                <w:color w:val="auto"/>
                <w:szCs w:val="21"/>
              </w:rPr>
            </w:pPr>
            <w:r>
              <w:rPr>
                <w:rFonts w:hint="eastAsia" w:ascii="宋体" w:hAnsi="宋体" w:cs="宋体"/>
                <w:color w:val="auto"/>
                <w:szCs w:val="21"/>
              </w:rPr>
              <w:t>5.对应采购需求的服务需求、商务条款提供的其他文件资料；</w:t>
            </w:r>
          </w:p>
          <w:p w14:paraId="5D7EA3D5">
            <w:pPr>
              <w:spacing w:line="360" w:lineRule="auto"/>
              <w:rPr>
                <w:rFonts w:ascii="宋体" w:hAnsi="宋体" w:cs="宋体"/>
                <w:color w:val="auto"/>
                <w:szCs w:val="21"/>
              </w:rPr>
            </w:pPr>
            <w:r>
              <w:rPr>
                <w:rFonts w:hint="eastAsia" w:ascii="宋体" w:hAnsi="宋体" w:cs="宋体"/>
                <w:color w:val="auto"/>
                <w:szCs w:val="21"/>
              </w:rPr>
              <w:t>6.供应商认为需要提供的其他有关资料。</w:t>
            </w:r>
          </w:p>
          <w:p w14:paraId="5717DC8F">
            <w:pPr>
              <w:spacing w:line="360" w:lineRule="auto"/>
              <w:rPr>
                <w:rFonts w:ascii="宋体" w:hAnsi="宋体" w:cs="宋体"/>
                <w:color w:val="auto"/>
                <w:szCs w:val="21"/>
              </w:rPr>
            </w:pPr>
            <w:r>
              <w:rPr>
                <w:rFonts w:hint="eastAsia" w:ascii="宋体" w:hAnsi="宋体" w:cs="宋体"/>
                <w:b/>
                <w:bCs/>
                <w:color w:val="auto"/>
                <w:szCs w:val="21"/>
              </w:rPr>
              <w:t>注：以上标明“必须提供”的材料属于复印件的扫描件的，必须加盖供应商电子公章，否则响应文件按无效响应处理。</w:t>
            </w:r>
          </w:p>
        </w:tc>
      </w:tr>
      <w:tr w14:paraId="777F2F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19" w:type="dxa"/>
            <w:tcBorders>
              <w:top w:val="single" w:color="000000" w:sz="4" w:space="0"/>
              <w:left w:val="single" w:color="000000" w:sz="4" w:space="0"/>
              <w:bottom w:val="single" w:color="000000" w:sz="4" w:space="0"/>
              <w:right w:val="single" w:color="000000" w:sz="4" w:space="0"/>
            </w:tcBorders>
            <w:vAlign w:val="center"/>
          </w:tcPr>
          <w:p w14:paraId="536AD545">
            <w:pPr>
              <w:spacing w:line="360" w:lineRule="auto"/>
              <w:jc w:val="center"/>
              <w:rPr>
                <w:rFonts w:ascii="宋体" w:hAnsi="宋体" w:cs="宋体"/>
                <w:color w:val="auto"/>
                <w:szCs w:val="21"/>
              </w:rPr>
            </w:pPr>
            <w:r>
              <w:rPr>
                <w:rFonts w:hint="eastAsia" w:ascii="宋体" w:hAnsi="宋体" w:cs="宋体"/>
                <w:color w:val="auto"/>
                <w:szCs w:val="21"/>
              </w:rPr>
              <w:t>12.1.2</w:t>
            </w:r>
          </w:p>
        </w:tc>
        <w:tc>
          <w:tcPr>
            <w:tcW w:w="2349" w:type="dxa"/>
            <w:tcBorders>
              <w:top w:val="single" w:color="000000" w:sz="4" w:space="0"/>
              <w:left w:val="single" w:color="000000" w:sz="4" w:space="0"/>
              <w:bottom w:val="single" w:color="000000" w:sz="4" w:space="0"/>
              <w:right w:val="single" w:color="000000" w:sz="4" w:space="0"/>
            </w:tcBorders>
            <w:vAlign w:val="center"/>
          </w:tcPr>
          <w:p w14:paraId="104C09F4">
            <w:pPr>
              <w:spacing w:line="360" w:lineRule="auto"/>
              <w:jc w:val="center"/>
              <w:rPr>
                <w:rFonts w:ascii="宋体" w:hAnsi="宋体" w:cs="宋体"/>
                <w:color w:val="auto"/>
                <w:szCs w:val="21"/>
              </w:rPr>
            </w:pPr>
            <w:r>
              <w:rPr>
                <w:rFonts w:hint="eastAsia" w:ascii="宋体" w:hAnsi="宋体" w:cs="宋体"/>
                <w:b/>
                <w:bCs/>
                <w:color w:val="auto"/>
                <w:szCs w:val="21"/>
              </w:rPr>
              <w:t>报价文件组成</w:t>
            </w:r>
          </w:p>
        </w:tc>
        <w:tc>
          <w:tcPr>
            <w:tcW w:w="7092" w:type="dxa"/>
            <w:tcBorders>
              <w:top w:val="single" w:color="000000" w:sz="4" w:space="0"/>
              <w:left w:val="single" w:color="000000" w:sz="4" w:space="0"/>
              <w:bottom w:val="single" w:color="000000" w:sz="4" w:space="0"/>
              <w:right w:val="single" w:color="000000" w:sz="4" w:space="0"/>
            </w:tcBorders>
            <w:vAlign w:val="center"/>
          </w:tcPr>
          <w:p w14:paraId="785E1F0E">
            <w:pPr>
              <w:spacing w:line="360" w:lineRule="auto"/>
              <w:rPr>
                <w:rFonts w:ascii="宋体" w:hAnsi="宋体" w:cs="宋体"/>
                <w:b/>
                <w:bCs/>
                <w:color w:val="auto"/>
                <w:szCs w:val="21"/>
              </w:rPr>
            </w:pPr>
            <w:r>
              <w:rPr>
                <w:rFonts w:hint="eastAsia" w:ascii="宋体" w:hAnsi="宋体" w:cs="宋体"/>
                <w:color w:val="auto"/>
                <w:szCs w:val="21"/>
              </w:rPr>
              <w:t>1.响应函；</w:t>
            </w:r>
            <w:r>
              <w:rPr>
                <w:rFonts w:hint="eastAsia" w:ascii="宋体" w:hAnsi="宋体" w:cs="宋体"/>
                <w:b/>
                <w:bCs/>
                <w:color w:val="auto"/>
                <w:szCs w:val="21"/>
              </w:rPr>
              <w:t>（必须提供，否则响应文件按无效响应处理）</w:t>
            </w:r>
          </w:p>
          <w:p w14:paraId="21DB0BFF">
            <w:pPr>
              <w:spacing w:line="360" w:lineRule="auto"/>
              <w:rPr>
                <w:rFonts w:ascii="宋体" w:hAnsi="宋体" w:cs="宋体"/>
                <w:b/>
                <w:bCs/>
                <w:color w:val="auto"/>
                <w:szCs w:val="21"/>
              </w:rPr>
            </w:pPr>
            <w:r>
              <w:rPr>
                <w:rFonts w:hint="eastAsia" w:ascii="宋体" w:hAnsi="宋体" w:cs="宋体"/>
                <w:color w:val="auto"/>
                <w:szCs w:val="21"/>
              </w:rPr>
              <w:t>2.响应报价表；</w:t>
            </w:r>
            <w:r>
              <w:rPr>
                <w:rFonts w:hint="eastAsia" w:ascii="宋体" w:hAnsi="宋体" w:cs="宋体"/>
                <w:b/>
                <w:bCs/>
                <w:color w:val="auto"/>
                <w:szCs w:val="21"/>
              </w:rPr>
              <w:t>（必须提供，否则响应文件按无效响应处理）</w:t>
            </w:r>
          </w:p>
          <w:p w14:paraId="248B6381">
            <w:pPr>
              <w:pStyle w:val="13"/>
              <w:rPr>
                <w:rFonts w:ascii="宋体" w:hAnsi="宋体"/>
                <w:color w:val="auto"/>
              </w:rPr>
            </w:pPr>
            <w:r>
              <w:rPr>
                <w:rFonts w:hint="eastAsia" w:ascii="宋体" w:hAnsi="宋体"/>
                <w:color w:val="auto"/>
              </w:rPr>
              <w:t>3</w:t>
            </w:r>
            <w:r>
              <w:rPr>
                <w:rFonts w:ascii="宋体" w:hAnsi="宋体"/>
                <w:color w:val="auto"/>
              </w:rPr>
              <w:t>.</w:t>
            </w:r>
            <w:r>
              <w:rPr>
                <w:rFonts w:hint="eastAsia" w:ascii="宋体" w:hAnsi="宋体"/>
                <w:color w:val="auto"/>
              </w:rPr>
              <w:t>中小企业声明函或者残疾人福利性单位声明函（格式后附）或者供应商属于监狱企业的，提供由省级以上监狱管理局、戒毒管理局（含新疆生产建设兵团）出具的属于监狱企业的证明文件；（如有请提供）</w:t>
            </w:r>
          </w:p>
          <w:p w14:paraId="7480B99E">
            <w:pPr>
              <w:spacing w:line="360" w:lineRule="auto"/>
              <w:rPr>
                <w:rFonts w:ascii="宋体" w:hAnsi="宋体" w:cs="宋体"/>
                <w:b/>
                <w:bCs/>
                <w:color w:val="auto"/>
                <w:szCs w:val="21"/>
              </w:rPr>
            </w:pPr>
            <w:r>
              <w:rPr>
                <w:rFonts w:ascii="宋体" w:hAnsi="宋体"/>
                <w:color w:val="auto"/>
                <w:szCs w:val="21"/>
              </w:rPr>
              <w:t>4</w:t>
            </w:r>
            <w:r>
              <w:rPr>
                <w:rFonts w:hint="eastAsia" w:ascii="宋体" w:hAnsi="宋体"/>
                <w:color w:val="auto"/>
                <w:szCs w:val="21"/>
              </w:rPr>
              <w:t>.供应商针对报价需要提供的其他文件和说明。</w:t>
            </w:r>
          </w:p>
        </w:tc>
      </w:tr>
      <w:tr w14:paraId="3A596D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19" w:type="dxa"/>
            <w:tcBorders>
              <w:top w:val="single" w:color="000000" w:sz="4" w:space="0"/>
              <w:left w:val="single" w:color="000000" w:sz="4" w:space="0"/>
              <w:bottom w:val="single" w:color="000000" w:sz="4" w:space="0"/>
              <w:right w:val="single" w:color="000000" w:sz="4" w:space="0"/>
            </w:tcBorders>
            <w:vAlign w:val="center"/>
          </w:tcPr>
          <w:p w14:paraId="1833F488">
            <w:pPr>
              <w:spacing w:line="360" w:lineRule="auto"/>
              <w:jc w:val="center"/>
              <w:rPr>
                <w:rFonts w:ascii="宋体" w:hAnsi="宋体" w:cs="宋体"/>
                <w:color w:val="auto"/>
                <w:szCs w:val="21"/>
              </w:rPr>
            </w:pPr>
            <w:r>
              <w:rPr>
                <w:rFonts w:hint="eastAsia" w:ascii="宋体" w:hAnsi="宋体" w:cs="宋体"/>
                <w:color w:val="auto"/>
                <w:szCs w:val="21"/>
              </w:rPr>
              <w:t>12.2</w:t>
            </w:r>
          </w:p>
        </w:tc>
        <w:tc>
          <w:tcPr>
            <w:tcW w:w="2349" w:type="dxa"/>
            <w:tcBorders>
              <w:top w:val="single" w:color="000000" w:sz="4" w:space="0"/>
              <w:left w:val="single" w:color="000000" w:sz="4" w:space="0"/>
              <w:bottom w:val="single" w:color="000000" w:sz="4" w:space="0"/>
              <w:right w:val="single" w:color="000000" w:sz="4" w:space="0"/>
            </w:tcBorders>
            <w:vAlign w:val="center"/>
          </w:tcPr>
          <w:p w14:paraId="3EF73919">
            <w:pPr>
              <w:spacing w:line="360" w:lineRule="auto"/>
              <w:jc w:val="center"/>
              <w:rPr>
                <w:rFonts w:ascii="宋体" w:hAnsi="宋体" w:cs="宋体"/>
                <w:color w:val="auto"/>
                <w:szCs w:val="21"/>
              </w:rPr>
            </w:pPr>
            <w:r>
              <w:rPr>
                <w:rFonts w:hint="eastAsia" w:ascii="宋体" w:hAnsi="宋体" w:cs="宋体"/>
                <w:color w:val="auto"/>
                <w:szCs w:val="21"/>
              </w:rPr>
              <w:t>响应文件电子版要求</w:t>
            </w:r>
          </w:p>
        </w:tc>
        <w:tc>
          <w:tcPr>
            <w:tcW w:w="7092" w:type="dxa"/>
            <w:tcBorders>
              <w:top w:val="single" w:color="000000" w:sz="4" w:space="0"/>
              <w:left w:val="single" w:color="000000" w:sz="4" w:space="0"/>
              <w:bottom w:val="single" w:color="000000" w:sz="4" w:space="0"/>
              <w:right w:val="single" w:color="000000" w:sz="4" w:space="0"/>
            </w:tcBorders>
            <w:vAlign w:val="center"/>
          </w:tcPr>
          <w:p w14:paraId="37B94E43">
            <w:pPr>
              <w:snapToGrid w:val="0"/>
              <w:spacing w:line="360" w:lineRule="auto"/>
              <w:rPr>
                <w:rFonts w:ascii="宋体" w:hAnsi="宋体" w:cs="宋体"/>
                <w:color w:val="auto"/>
                <w:szCs w:val="21"/>
              </w:rPr>
            </w:pPr>
            <w:r>
              <w:rPr>
                <w:rFonts w:hint="eastAsia" w:ascii="宋体" w:hAnsi="宋体" w:cs="宋体"/>
                <w:color w:val="auto"/>
                <w:szCs w:val="21"/>
              </w:rPr>
              <w:t>1.响应文件电子版要求：按照本采购文件“第五章 响应文件格式”编写（第五章未附格式的，由供应商自行拟定），不可涂改并在规定加盖公章处加盖电子公章，</w:t>
            </w:r>
            <w:r>
              <w:rPr>
                <w:rFonts w:hint="eastAsia" w:ascii="宋体" w:hAnsi="宋体" w:cs="宋体"/>
                <w:b/>
                <w:color w:val="auto"/>
                <w:szCs w:val="21"/>
              </w:rPr>
              <w:t>否则响应文件按无效响应处理</w:t>
            </w:r>
            <w:r>
              <w:rPr>
                <w:rFonts w:hint="eastAsia" w:ascii="宋体" w:hAnsi="宋体" w:cs="宋体"/>
                <w:color w:val="auto"/>
                <w:szCs w:val="21"/>
              </w:rPr>
              <w:t>。</w:t>
            </w:r>
          </w:p>
          <w:p w14:paraId="44000B42">
            <w:pPr>
              <w:snapToGrid w:val="0"/>
              <w:spacing w:line="360" w:lineRule="auto"/>
              <w:rPr>
                <w:rFonts w:ascii="宋体" w:hAnsi="宋体" w:cs="宋体"/>
                <w:color w:val="auto"/>
                <w:szCs w:val="21"/>
              </w:rPr>
            </w:pPr>
            <w:r>
              <w:rPr>
                <w:rFonts w:hint="eastAsia" w:ascii="宋体" w:hAnsi="宋体" w:cs="宋体"/>
                <w:color w:val="auto"/>
                <w:szCs w:val="21"/>
              </w:rPr>
              <w:t>2.响应文件电子版密封方式：电子响应文件通过平台有效CA加密后在“广西政府采购云平台”平台投送。（操作方式见公告附件“电子响应文件制作与投送教程” ）</w:t>
            </w:r>
          </w:p>
        </w:tc>
      </w:tr>
      <w:tr w14:paraId="4535AE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19" w:type="dxa"/>
            <w:tcBorders>
              <w:top w:val="single" w:color="000000" w:sz="4" w:space="0"/>
              <w:left w:val="single" w:color="000000" w:sz="4" w:space="0"/>
              <w:bottom w:val="single" w:color="000000" w:sz="4" w:space="0"/>
              <w:right w:val="single" w:color="000000" w:sz="4" w:space="0"/>
            </w:tcBorders>
            <w:vAlign w:val="center"/>
          </w:tcPr>
          <w:p w14:paraId="3751A356">
            <w:pPr>
              <w:spacing w:line="360" w:lineRule="auto"/>
              <w:jc w:val="center"/>
              <w:rPr>
                <w:rFonts w:ascii="宋体" w:hAnsi="宋体" w:cs="宋体"/>
                <w:color w:val="auto"/>
                <w:szCs w:val="21"/>
              </w:rPr>
            </w:pPr>
            <w:r>
              <w:rPr>
                <w:rFonts w:hint="eastAsia" w:ascii="宋体" w:hAnsi="宋体" w:cs="宋体"/>
                <w:color w:val="auto"/>
                <w:szCs w:val="21"/>
              </w:rPr>
              <w:t>15.2</w:t>
            </w:r>
          </w:p>
        </w:tc>
        <w:tc>
          <w:tcPr>
            <w:tcW w:w="2349" w:type="dxa"/>
            <w:tcBorders>
              <w:top w:val="single" w:color="000000" w:sz="4" w:space="0"/>
              <w:left w:val="single" w:color="000000" w:sz="4" w:space="0"/>
              <w:bottom w:val="single" w:color="000000" w:sz="4" w:space="0"/>
              <w:right w:val="single" w:color="000000" w:sz="4" w:space="0"/>
            </w:tcBorders>
            <w:vAlign w:val="center"/>
          </w:tcPr>
          <w:p w14:paraId="03A57C24">
            <w:pPr>
              <w:spacing w:line="360" w:lineRule="auto"/>
              <w:jc w:val="center"/>
              <w:rPr>
                <w:rFonts w:ascii="宋体" w:hAnsi="宋体" w:cs="宋体"/>
                <w:color w:val="auto"/>
                <w:szCs w:val="21"/>
              </w:rPr>
            </w:pPr>
            <w:r>
              <w:rPr>
                <w:rFonts w:hint="eastAsia" w:ascii="宋体" w:hAnsi="宋体" w:cs="宋体"/>
                <w:color w:val="auto"/>
                <w:szCs w:val="21"/>
              </w:rPr>
              <w:t>响应报价要求</w:t>
            </w:r>
          </w:p>
        </w:tc>
        <w:tc>
          <w:tcPr>
            <w:tcW w:w="7092" w:type="dxa"/>
            <w:tcBorders>
              <w:top w:val="single" w:color="000000" w:sz="4" w:space="0"/>
              <w:left w:val="single" w:color="000000" w:sz="4" w:space="0"/>
              <w:bottom w:val="single" w:color="000000" w:sz="4" w:space="0"/>
              <w:right w:val="single" w:color="000000" w:sz="4" w:space="0"/>
            </w:tcBorders>
            <w:vAlign w:val="center"/>
          </w:tcPr>
          <w:p w14:paraId="5D4F8116">
            <w:pPr>
              <w:snapToGrid w:val="0"/>
              <w:spacing w:line="360" w:lineRule="auto"/>
              <w:rPr>
                <w:rFonts w:ascii="宋体" w:hAnsi="宋体" w:cs="宋体"/>
                <w:color w:val="auto"/>
                <w:szCs w:val="21"/>
              </w:rPr>
            </w:pPr>
            <w:r>
              <w:rPr>
                <w:rFonts w:hint="eastAsia" w:ascii="宋体" w:hAnsi="宋体" w:cs="宋体"/>
                <w:color w:val="auto"/>
                <w:szCs w:val="21"/>
              </w:rPr>
              <w:t>响应报价必须包含满足本次竞标全部采购需求所应提供的服务，以及伴随的货物和工程（如有）的价格；包含竞标服务、货物、工程的成本、运输（含保险）、安装（如有）、调试、检验、技术服务、培训、税费等所有费用。（采购需求另有约定的，从其约定。）</w:t>
            </w:r>
          </w:p>
        </w:tc>
      </w:tr>
      <w:tr w14:paraId="516C43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19" w:type="dxa"/>
            <w:tcBorders>
              <w:top w:val="single" w:color="000000" w:sz="4" w:space="0"/>
              <w:left w:val="single" w:color="000000" w:sz="4" w:space="0"/>
              <w:bottom w:val="single" w:color="000000" w:sz="4" w:space="0"/>
              <w:right w:val="single" w:color="000000" w:sz="4" w:space="0"/>
            </w:tcBorders>
            <w:vAlign w:val="center"/>
          </w:tcPr>
          <w:p w14:paraId="51695B1B">
            <w:pPr>
              <w:spacing w:line="360" w:lineRule="auto"/>
              <w:jc w:val="center"/>
              <w:rPr>
                <w:rFonts w:ascii="宋体" w:hAnsi="宋体" w:cs="宋体"/>
                <w:color w:val="auto"/>
                <w:szCs w:val="21"/>
              </w:rPr>
            </w:pPr>
            <w:r>
              <w:rPr>
                <w:rFonts w:hint="eastAsia" w:ascii="宋体" w:hAnsi="宋体" w:cs="宋体"/>
                <w:color w:val="auto"/>
                <w:szCs w:val="21"/>
              </w:rPr>
              <w:t>16.2</w:t>
            </w:r>
          </w:p>
        </w:tc>
        <w:tc>
          <w:tcPr>
            <w:tcW w:w="2349" w:type="dxa"/>
            <w:tcBorders>
              <w:top w:val="single" w:color="000000" w:sz="4" w:space="0"/>
              <w:left w:val="single" w:color="000000" w:sz="4" w:space="0"/>
              <w:bottom w:val="single" w:color="000000" w:sz="4" w:space="0"/>
              <w:right w:val="single" w:color="000000" w:sz="4" w:space="0"/>
            </w:tcBorders>
            <w:vAlign w:val="center"/>
          </w:tcPr>
          <w:p w14:paraId="5EE1537C">
            <w:pPr>
              <w:spacing w:line="360" w:lineRule="auto"/>
              <w:jc w:val="center"/>
              <w:rPr>
                <w:rFonts w:ascii="宋体" w:hAnsi="宋体" w:cs="宋体"/>
                <w:color w:val="auto"/>
                <w:szCs w:val="21"/>
              </w:rPr>
            </w:pPr>
            <w:r>
              <w:rPr>
                <w:rFonts w:hint="eastAsia" w:ascii="宋体" w:hAnsi="宋体" w:cs="宋体"/>
                <w:color w:val="auto"/>
                <w:szCs w:val="21"/>
              </w:rPr>
              <w:t>竞标有效期</w:t>
            </w:r>
          </w:p>
        </w:tc>
        <w:tc>
          <w:tcPr>
            <w:tcW w:w="7092" w:type="dxa"/>
            <w:tcBorders>
              <w:top w:val="single" w:color="000000" w:sz="4" w:space="0"/>
              <w:left w:val="single" w:color="000000" w:sz="4" w:space="0"/>
              <w:bottom w:val="single" w:color="000000" w:sz="4" w:space="0"/>
              <w:right w:val="single" w:color="000000" w:sz="4" w:space="0"/>
            </w:tcBorders>
            <w:vAlign w:val="center"/>
          </w:tcPr>
          <w:p w14:paraId="3F2377DE">
            <w:pPr>
              <w:tabs>
                <w:tab w:val="left" w:pos="720"/>
                <w:tab w:val="left" w:pos="840"/>
              </w:tabs>
              <w:snapToGrid w:val="0"/>
              <w:spacing w:afterLines="50" w:line="360" w:lineRule="auto"/>
              <w:rPr>
                <w:rFonts w:ascii="宋体" w:hAnsi="宋体" w:cs="宋体"/>
                <w:color w:val="auto"/>
                <w:szCs w:val="21"/>
              </w:rPr>
            </w:pPr>
            <w:r>
              <w:rPr>
                <w:rFonts w:hint="eastAsia" w:ascii="宋体" w:hAnsi="宋体" w:cs="宋体"/>
                <w:color w:val="auto"/>
                <w:szCs w:val="21"/>
              </w:rPr>
              <w:t>自首次响应文件提交截止之日起</w:t>
            </w:r>
            <w:bookmarkStart w:id="10" w:name="PO_3000001868_PM046"/>
            <w:r>
              <w:rPr>
                <w:rFonts w:hint="eastAsia" w:ascii="宋体" w:hAnsi="宋体" w:cs="宋体"/>
                <w:color w:val="auto"/>
                <w:szCs w:val="21"/>
                <w:u w:val="single"/>
              </w:rPr>
              <w:t>60日历</w:t>
            </w:r>
            <w:bookmarkEnd w:id="10"/>
            <w:r>
              <w:rPr>
                <w:rFonts w:hint="eastAsia" w:ascii="宋体" w:hAnsi="宋体" w:cs="宋体"/>
                <w:color w:val="auto"/>
                <w:szCs w:val="21"/>
              </w:rPr>
              <w:t>日。</w:t>
            </w:r>
          </w:p>
        </w:tc>
      </w:tr>
      <w:tr w14:paraId="7D2B49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19" w:type="dxa"/>
            <w:tcBorders>
              <w:top w:val="single" w:color="000000" w:sz="4" w:space="0"/>
              <w:left w:val="single" w:color="000000" w:sz="4" w:space="0"/>
              <w:bottom w:val="single" w:color="000000" w:sz="4" w:space="0"/>
              <w:right w:val="single" w:color="000000" w:sz="4" w:space="0"/>
            </w:tcBorders>
            <w:vAlign w:val="center"/>
          </w:tcPr>
          <w:p w14:paraId="510DDCC7">
            <w:pPr>
              <w:spacing w:line="360" w:lineRule="auto"/>
              <w:jc w:val="center"/>
              <w:rPr>
                <w:rFonts w:ascii="宋体" w:hAnsi="宋体" w:cs="宋体"/>
                <w:color w:val="auto"/>
                <w:szCs w:val="21"/>
              </w:rPr>
            </w:pPr>
            <w:r>
              <w:rPr>
                <w:rFonts w:hint="eastAsia" w:ascii="宋体" w:hAnsi="宋体" w:cs="宋体"/>
                <w:color w:val="auto"/>
                <w:szCs w:val="21"/>
              </w:rPr>
              <w:t>17.1</w:t>
            </w:r>
          </w:p>
        </w:tc>
        <w:tc>
          <w:tcPr>
            <w:tcW w:w="2349" w:type="dxa"/>
            <w:tcBorders>
              <w:top w:val="single" w:color="000000" w:sz="4" w:space="0"/>
              <w:left w:val="single" w:color="000000" w:sz="4" w:space="0"/>
              <w:bottom w:val="single" w:color="000000" w:sz="4" w:space="0"/>
              <w:right w:val="single" w:color="000000" w:sz="4" w:space="0"/>
            </w:tcBorders>
            <w:vAlign w:val="center"/>
          </w:tcPr>
          <w:p w14:paraId="6EC45F06">
            <w:pPr>
              <w:spacing w:line="360" w:lineRule="auto"/>
              <w:jc w:val="center"/>
              <w:rPr>
                <w:rFonts w:ascii="宋体" w:hAnsi="宋体" w:cs="宋体"/>
                <w:color w:val="auto"/>
                <w:szCs w:val="21"/>
              </w:rPr>
            </w:pPr>
            <w:r>
              <w:rPr>
                <w:rFonts w:hint="eastAsia" w:ascii="宋体" w:hAnsi="宋体" w:cs="宋体"/>
                <w:color w:val="auto"/>
                <w:szCs w:val="21"/>
              </w:rPr>
              <w:t>磋商保证金</w:t>
            </w:r>
          </w:p>
        </w:tc>
        <w:tc>
          <w:tcPr>
            <w:tcW w:w="7092" w:type="dxa"/>
            <w:tcBorders>
              <w:top w:val="single" w:color="000000" w:sz="4" w:space="0"/>
              <w:left w:val="single" w:color="000000" w:sz="4" w:space="0"/>
              <w:bottom w:val="single" w:color="000000" w:sz="4" w:space="0"/>
              <w:right w:val="single" w:color="000000" w:sz="4" w:space="0"/>
            </w:tcBorders>
            <w:vAlign w:val="center"/>
          </w:tcPr>
          <w:p w14:paraId="45E16DC9">
            <w:pPr>
              <w:autoSpaceDE w:val="0"/>
              <w:autoSpaceDN w:val="0"/>
              <w:snapToGrid w:val="0"/>
              <w:spacing w:line="360" w:lineRule="auto"/>
              <w:textAlignment w:val="bottom"/>
              <w:rPr>
                <w:rFonts w:ascii="宋体" w:hAnsi="宋体" w:cs="宋体"/>
                <w:color w:val="auto"/>
                <w:szCs w:val="21"/>
              </w:rPr>
            </w:pPr>
            <w:r>
              <w:rPr>
                <w:rFonts w:hint="eastAsia" w:ascii="宋体" w:hAnsi="宋体" w:cs="宋体"/>
                <w:color w:val="auto"/>
                <w:szCs w:val="21"/>
              </w:rPr>
              <w:t>本项目不收取磋商保证金。</w:t>
            </w:r>
          </w:p>
        </w:tc>
      </w:tr>
      <w:tr w14:paraId="598E07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jc w:val="center"/>
        </w:trPr>
        <w:tc>
          <w:tcPr>
            <w:tcW w:w="919" w:type="dxa"/>
            <w:vMerge w:val="restart"/>
            <w:tcBorders>
              <w:top w:val="single" w:color="000000" w:sz="4" w:space="0"/>
              <w:left w:val="single" w:color="000000" w:sz="4" w:space="0"/>
              <w:bottom w:val="single" w:color="000000" w:sz="4" w:space="0"/>
              <w:right w:val="single" w:color="000000" w:sz="4" w:space="0"/>
            </w:tcBorders>
            <w:vAlign w:val="center"/>
          </w:tcPr>
          <w:p w14:paraId="35D81AC8">
            <w:pPr>
              <w:spacing w:line="360" w:lineRule="auto"/>
              <w:jc w:val="center"/>
              <w:rPr>
                <w:rFonts w:ascii="宋体" w:hAnsi="宋体" w:cs="宋体"/>
                <w:color w:val="auto"/>
                <w:szCs w:val="21"/>
              </w:rPr>
            </w:pPr>
            <w:r>
              <w:rPr>
                <w:rFonts w:hint="eastAsia" w:ascii="宋体" w:hAnsi="宋体" w:cs="宋体"/>
                <w:color w:val="auto"/>
                <w:szCs w:val="21"/>
              </w:rPr>
              <w:t>20.1</w:t>
            </w:r>
          </w:p>
        </w:tc>
        <w:tc>
          <w:tcPr>
            <w:tcW w:w="2349" w:type="dxa"/>
            <w:tcBorders>
              <w:top w:val="single" w:color="000000" w:sz="4" w:space="0"/>
              <w:left w:val="single" w:color="000000" w:sz="4" w:space="0"/>
              <w:bottom w:val="single" w:color="000000" w:sz="4" w:space="0"/>
              <w:right w:val="single" w:color="000000" w:sz="4" w:space="0"/>
            </w:tcBorders>
            <w:vAlign w:val="center"/>
          </w:tcPr>
          <w:p w14:paraId="6E40E6C4">
            <w:pPr>
              <w:spacing w:line="360" w:lineRule="auto"/>
              <w:jc w:val="center"/>
              <w:rPr>
                <w:rFonts w:ascii="宋体" w:hAnsi="宋体" w:cs="宋体"/>
                <w:color w:val="auto"/>
                <w:szCs w:val="21"/>
              </w:rPr>
            </w:pPr>
            <w:r>
              <w:rPr>
                <w:rFonts w:hint="eastAsia" w:ascii="宋体" w:hAnsi="宋体" w:cs="宋体"/>
                <w:color w:val="auto"/>
                <w:szCs w:val="21"/>
              </w:rPr>
              <w:t>首次响应文件提交起止时间</w:t>
            </w:r>
          </w:p>
        </w:tc>
        <w:tc>
          <w:tcPr>
            <w:tcW w:w="7092" w:type="dxa"/>
            <w:tcBorders>
              <w:top w:val="single" w:color="000000" w:sz="4" w:space="0"/>
              <w:left w:val="single" w:color="000000" w:sz="4" w:space="0"/>
              <w:bottom w:val="single" w:color="000000" w:sz="4" w:space="0"/>
              <w:right w:val="single" w:color="000000" w:sz="4" w:space="0"/>
            </w:tcBorders>
            <w:vAlign w:val="center"/>
          </w:tcPr>
          <w:p w14:paraId="05D4C155">
            <w:pPr>
              <w:snapToGrid w:val="0"/>
              <w:spacing w:line="360" w:lineRule="auto"/>
              <w:jc w:val="left"/>
              <w:rPr>
                <w:rFonts w:ascii="宋体" w:hAnsi="宋体" w:cs="宋体"/>
                <w:color w:val="auto"/>
                <w:szCs w:val="21"/>
                <w:u w:val="single"/>
              </w:rPr>
            </w:pPr>
            <w:r>
              <w:rPr>
                <w:rFonts w:hint="eastAsia" w:ascii="宋体" w:hAnsi="宋体" w:cs="宋体"/>
                <w:color w:val="auto"/>
                <w:szCs w:val="21"/>
              </w:rPr>
              <w:t>详见竞争性磋商公告。</w:t>
            </w:r>
          </w:p>
        </w:tc>
      </w:tr>
      <w:tr w14:paraId="3E3D8A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919" w:type="dxa"/>
            <w:vMerge w:val="continue"/>
            <w:tcBorders>
              <w:top w:val="single" w:color="000000" w:sz="4" w:space="0"/>
              <w:left w:val="single" w:color="000000" w:sz="4" w:space="0"/>
              <w:bottom w:val="single" w:color="000000" w:sz="4" w:space="0"/>
              <w:right w:val="single" w:color="000000" w:sz="4" w:space="0"/>
            </w:tcBorders>
            <w:vAlign w:val="center"/>
          </w:tcPr>
          <w:p w14:paraId="56AA1140">
            <w:pPr>
              <w:widowControl/>
              <w:spacing w:line="360" w:lineRule="auto"/>
              <w:jc w:val="left"/>
              <w:rPr>
                <w:rFonts w:ascii="宋体" w:hAnsi="宋体" w:cs="宋体"/>
                <w:color w:val="auto"/>
                <w:szCs w:val="21"/>
              </w:rPr>
            </w:pPr>
          </w:p>
        </w:tc>
        <w:tc>
          <w:tcPr>
            <w:tcW w:w="2349" w:type="dxa"/>
            <w:tcBorders>
              <w:top w:val="single" w:color="000000" w:sz="4" w:space="0"/>
              <w:left w:val="single" w:color="000000" w:sz="4" w:space="0"/>
              <w:bottom w:val="single" w:color="000000" w:sz="4" w:space="0"/>
              <w:right w:val="single" w:color="000000" w:sz="4" w:space="0"/>
            </w:tcBorders>
            <w:vAlign w:val="center"/>
          </w:tcPr>
          <w:p w14:paraId="1CB4DC8F">
            <w:pPr>
              <w:spacing w:line="360" w:lineRule="auto"/>
              <w:jc w:val="center"/>
              <w:rPr>
                <w:rFonts w:ascii="宋体" w:hAnsi="宋体" w:cs="宋体"/>
                <w:color w:val="auto"/>
                <w:szCs w:val="21"/>
              </w:rPr>
            </w:pPr>
            <w:r>
              <w:rPr>
                <w:rFonts w:hint="eastAsia" w:ascii="宋体" w:hAnsi="宋体" w:cs="宋体"/>
                <w:color w:val="auto"/>
                <w:szCs w:val="21"/>
              </w:rPr>
              <w:t>首次响应文件提交地点</w:t>
            </w:r>
          </w:p>
        </w:tc>
        <w:tc>
          <w:tcPr>
            <w:tcW w:w="7092" w:type="dxa"/>
            <w:tcBorders>
              <w:top w:val="single" w:color="000000" w:sz="4" w:space="0"/>
              <w:left w:val="single" w:color="000000" w:sz="4" w:space="0"/>
              <w:bottom w:val="single" w:color="000000" w:sz="4" w:space="0"/>
              <w:right w:val="single" w:color="000000" w:sz="4" w:space="0"/>
            </w:tcBorders>
            <w:vAlign w:val="center"/>
          </w:tcPr>
          <w:p w14:paraId="248D3D89">
            <w:pPr>
              <w:snapToGrid w:val="0"/>
              <w:spacing w:line="360" w:lineRule="auto"/>
              <w:jc w:val="left"/>
              <w:rPr>
                <w:rFonts w:ascii="宋体" w:hAnsi="宋体" w:cs="宋体"/>
                <w:color w:val="auto"/>
                <w:szCs w:val="21"/>
                <w:u w:val="single"/>
              </w:rPr>
            </w:pPr>
            <w:r>
              <w:rPr>
                <w:rFonts w:hint="eastAsia" w:ascii="宋体" w:hAnsi="宋体" w:cs="宋体"/>
                <w:color w:val="auto"/>
                <w:szCs w:val="21"/>
              </w:rPr>
              <w:t>详见竞争性磋商公告。</w:t>
            </w:r>
          </w:p>
        </w:tc>
      </w:tr>
      <w:tr w14:paraId="695916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3" w:hRule="atLeast"/>
          <w:jc w:val="center"/>
        </w:trPr>
        <w:tc>
          <w:tcPr>
            <w:tcW w:w="919" w:type="dxa"/>
            <w:tcBorders>
              <w:top w:val="single" w:color="000000" w:sz="4" w:space="0"/>
              <w:left w:val="single" w:color="000000" w:sz="4" w:space="0"/>
              <w:bottom w:val="single" w:color="000000" w:sz="4" w:space="0"/>
              <w:right w:val="single" w:color="000000" w:sz="4" w:space="0"/>
            </w:tcBorders>
            <w:vAlign w:val="center"/>
          </w:tcPr>
          <w:p w14:paraId="64075562">
            <w:pPr>
              <w:spacing w:line="360" w:lineRule="auto"/>
              <w:jc w:val="center"/>
              <w:rPr>
                <w:rFonts w:ascii="宋体" w:hAnsi="宋体" w:cs="宋体"/>
                <w:color w:val="auto"/>
                <w:szCs w:val="21"/>
              </w:rPr>
            </w:pPr>
            <w:r>
              <w:rPr>
                <w:rFonts w:hint="eastAsia" w:ascii="宋体" w:hAnsi="宋体" w:cs="宋体"/>
                <w:color w:val="auto"/>
                <w:szCs w:val="21"/>
              </w:rPr>
              <w:t>20.6</w:t>
            </w:r>
          </w:p>
        </w:tc>
        <w:tc>
          <w:tcPr>
            <w:tcW w:w="2349" w:type="dxa"/>
            <w:tcBorders>
              <w:top w:val="single" w:color="000000" w:sz="4" w:space="0"/>
              <w:left w:val="single" w:color="000000" w:sz="4" w:space="0"/>
              <w:bottom w:val="single" w:color="000000" w:sz="4" w:space="0"/>
              <w:right w:val="single" w:color="000000" w:sz="4" w:space="0"/>
            </w:tcBorders>
            <w:vAlign w:val="center"/>
          </w:tcPr>
          <w:p w14:paraId="3A7D0338">
            <w:pPr>
              <w:spacing w:line="360" w:lineRule="auto"/>
              <w:jc w:val="center"/>
              <w:rPr>
                <w:rFonts w:ascii="宋体" w:hAnsi="宋体" w:cs="宋体"/>
                <w:color w:val="auto"/>
                <w:szCs w:val="21"/>
              </w:rPr>
            </w:pPr>
            <w:r>
              <w:rPr>
                <w:rFonts w:hint="eastAsia" w:ascii="宋体" w:hAnsi="宋体" w:cs="宋体"/>
                <w:color w:val="auto"/>
                <w:szCs w:val="21"/>
              </w:rPr>
              <w:t>备份响应文件</w:t>
            </w:r>
          </w:p>
        </w:tc>
        <w:tc>
          <w:tcPr>
            <w:tcW w:w="7092" w:type="dxa"/>
            <w:tcBorders>
              <w:top w:val="single" w:color="000000" w:sz="4" w:space="0"/>
              <w:left w:val="single" w:color="000000" w:sz="4" w:space="0"/>
              <w:bottom w:val="single" w:color="000000" w:sz="4" w:space="0"/>
              <w:right w:val="single" w:color="000000" w:sz="4" w:space="0"/>
            </w:tcBorders>
            <w:vAlign w:val="center"/>
          </w:tcPr>
          <w:p w14:paraId="309D8546">
            <w:pPr>
              <w:snapToGrid w:val="0"/>
              <w:spacing w:line="360" w:lineRule="auto"/>
              <w:jc w:val="left"/>
              <w:rPr>
                <w:rFonts w:ascii="宋体" w:hAnsi="宋体" w:cs="宋体"/>
                <w:color w:val="auto"/>
                <w:szCs w:val="21"/>
              </w:rPr>
            </w:pPr>
            <w:r>
              <w:rPr>
                <w:rFonts w:hint="eastAsia" w:ascii="宋体" w:hAnsi="宋体" w:cs="宋体"/>
                <w:color w:val="auto"/>
                <w:szCs w:val="21"/>
              </w:rPr>
              <w:t>本项目不接受备份响应文件。</w:t>
            </w:r>
          </w:p>
        </w:tc>
      </w:tr>
      <w:tr w14:paraId="6D71C4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919" w:type="dxa"/>
            <w:tcBorders>
              <w:top w:val="single" w:color="000000" w:sz="4" w:space="0"/>
              <w:left w:val="single" w:color="000000" w:sz="4" w:space="0"/>
              <w:bottom w:val="single" w:color="000000" w:sz="4" w:space="0"/>
              <w:right w:val="single" w:color="000000" w:sz="4" w:space="0"/>
            </w:tcBorders>
            <w:vAlign w:val="center"/>
          </w:tcPr>
          <w:p w14:paraId="494A00E6">
            <w:pPr>
              <w:spacing w:line="360" w:lineRule="auto"/>
              <w:jc w:val="center"/>
              <w:rPr>
                <w:rFonts w:ascii="宋体" w:hAnsi="宋体" w:cs="宋体"/>
                <w:color w:val="auto"/>
                <w:szCs w:val="21"/>
              </w:rPr>
            </w:pPr>
            <w:r>
              <w:rPr>
                <w:rFonts w:hint="eastAsia" w:ascii="宋体" w:hAnsi="宋体" w:cs="宋体"/>
                <w:color w:val="auto"/>
                <w:szCs w:val="21"/>
              </w:rPr>
              <w:t>21</w:t>
            </w:r>
          </w:p>
        </w:tc>
        <w:tc>
          <w:tcPr>
            <w:tcW w:w="2349" w:type="dxa"/>
            <w:tcBorders>
              <w:top w:val="single" w:color="000000" w:sz="4" w:space="0"/>
              <w:left w:val="single" w:color="000000" w:sz="4" w:space="0"/>
              <w:bottom w:val="single" w:color="000000" w:sz="4" w:space="0"/>
              <w:right w:val="single" w:color="000000" w:sz="4" w:space="0"/>
            </w:tcBorders>
            <w:vAlign w:val="center"/>
          </w:tcPr>
          <w:p w14:paraId="04737786">
            <w:pPr>
              <w:spacing w:line="360" w:lineRule="auto"/>
              <w:jc w:val="center"/>
              <w:rPr>
                <w:rFonts w:ascii="宋体" w:hAnsi="宋体" w:cs="宋体"/>
                <w:color w:val="auto"/>
                <w:szCs w:val="21"/>
              </w:rPr>
            </w:pPr>
            <w:r>
              <w:rPr>
                <w:rFonts w:hint="eastAsia" w:ascii="宋体" w:hAnsi="宋体" w:cs="宋体"/>
                <w:color w:val="auto"/>
                <w:szCs w:val="21"/>
              </w:rPr>
              <w:t>首次响应文件的退回</w:t>
            </w:r>
          </w:p>
        </w:tc>
        <w:tc>
          <w:tcPr>
            <w:tcW w:w="7092" w:type="dxa"/>
            <w:tcBorders>
              <w:top w:val="single" w:color="000000" w:sz="4" w:space="0"/>
              <w:left w:val="single" w:color="000000" w:sz="4" w:space="0"/>
              <w:bottom w:val="single" w:color="000000" w:sz="4" w:space="0"/>
              <w:right w:val="single" w:color="000000" w:sz="4" w:space="0"/>
            </w:tcBorders>
            <w:vAlign w:val="center"/>
          </w:tcPr>
          <w:p w14:paraId="54FC5172">
            <w:pPr>
              <w:snapToGrid w:val="0"/>
              <w:spacing w:line="360" w:lineRule="auto"/>
              <w:jc w:val="left"/>
              <w:rPr>
                <w:rFonts w:ascii="宋体" w:hAnsi="宋体" w:cs="宋体"/>
                <w:color w:val="auto"/>
                <w:szCs w:val="21"/>
              </w:rPr>
            </w:pPr>
            <w:r>
              <w:rPr>
                <w:rFonts w:hint="eastAsia" w:ascii="宋体" w:hAnsi="宋体" w:cs="宋体"/>
                <w:color w:val="auto"/>
                <w:szCs w:val="21"/>
              </w:rPr>
              <w:t>详见竞争性磋商公告。</w:t>
            </w:r>
          </w:p>
        </w:tc>
      </w:tr>
      <w:tr w14:paraId="303CB6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jc w:val="center"/>
        </w:trPr>
        <w:tc>
          <w:tcPr>
            <w:tcW w:w="919" w:type="dxa"/>
            <w:vMerge w:val="restart"/>
            <w:tcBorders>
              <w:top w:val="single" w:color="000000" w:sz="4" w:space="0"/>
              <w:left w:val="single" w:color="000000" w:sz="4" w:space="0"/>
              <w:bottom w:val="single" w:color="000000" w:sz="4" w:space="0"/>
              <w:right w:val="single" w:color="000000" w:sz="4" w:space="0"/>
            </w:tcBorders>
            <w:vAlign w:val="center"/>
          </w:tcPr>
          <w:p w14:paraId="3426E17E">
            <w:pPr>
              <w:spacing w:line="360" w:lineRule="auto"/>
              <w:jc w:val="center"/>
              <w:rPr>
                <w:rFonts w:ascii="宋体" w:hAnsi="宋体" w:cs="宋体"/>
                <w:color w:val="auto"/>
                <w:szCs w:val="21"/>
              </w:rPr>
            </w:pPr>
            <w:r>
              <w:rPr>
                <w:rFonts w:hint="eastAsia" w:ascii="宋体" w:hAnsi="宋体" w:cs="宋体"/>
                <w:color w:val="auto"/>
                <w:szCs w:val="21"/>
              </w:rPr>
              <w:t>26.2</w:t>
            </w:r>
          </w:p>
        </w:tc>
        <w:tc>
          <w:tcPr>
            <w:tcW w:w="2349" w:type="dxa"/>
            <w:tcBorders>
              <w:top w:val="single" w:color="000000" w:sz="4" w:space="0"/>
              <w:left w:val="single" w:color="000000" w:sz="4" w:space="0"/>
              <w:bottom w:val="single" w:color="000000" w:sz="4" w:space="0"/>
              <w:right w:val="single" w:color="000000" w:sz="4" w:space="0"/>
            </w:tcBorders>
            <w:vAlign w:val="center"/>
          </w:tcPr>
          <w:p w14:paraId="39576E58">
            <w:pPr>
              <w:spacing w:line="360" w:lineRule="auto"/>
              <w:jc w:val="center"/>
              <w:rPr>
                <w:rFonts w:ascii="宋体" w:hAnsi="宋体" w:cs="宋体"/>
                <w:color w:val="auto"/>
                <w:szCs w:val="21"/>
              </w:rPr>
            </w:pPr>
            <w:r>
              <w:rPr>
                <w:rFonts w:hint="eastAsia" w:ascii="宋体" w:hAnsi="宋体" w:cs="宋体"/>
                <w:color w:val="auto"/>
                <w:szCs w:val="21"/>
              </w:rPr>
              <w:t>负偏离要求</w:t>
            </w:r>
          </w:p>
        </w:tc>
        <w:tc>
          <w:tcPr>
            <w:tcW w:w="7092" w:type="dxa"/>
            <w:tcBorders>
              <w:top w:val="single" w:color="000000" w:sz="4" w:space="0"/>
              <w:left w:val="single" w:color="000000" w:sz="4" w:space="0"/>
              <w:bottom w:val="single" w:color="000000" w:sz="4" w:space="0"/>
              <w:right w:val="single" w:color="000000" w:sz="4" w:space="0"/>
            </w:tcBorders>
            <w:vAlign w:val="center"/>
          </w:tcPr>
          <w:p w14:paraId="0E8265FC">
            <w:pPr>
              <w:snapToGrid w:val="0"/>
              <w:spacing w:line="360" w:lineRule="auto"/>
              <w:rPr>
                <w:rFonts w:ascii="宋体" w:hAnsi="宋体" w:cs="宋体"/>
                <w:color w:val="auto"/>
                <w:szCs w:val="21"/>
              </w:rPr>
            </w:pPr>
            <w:r>
              <w:rPr>
                <w:rFonts w:hint="eastAsia" w:ascii="宋体" w:hAnsi="宋体" w:cs="宋体"/>
                <w:color w:val="auto"/>
                <w:szCs w:val="21"/>
              </w:rPr>
              <w:t>商务条款评审中允许负偏离的条款数为</w:t>
            </w:r>
            <w:r>
              <w:rPr>
                <w:rFonts w:hint="eastAsia" w:ascii="宋体" w:hAnsi="宋体" w:cs="宋体"/>
                <w:color w:val="auto"/>
                <w:szCs w:val="21"/>
                <w:u w:val="single"/>
              </w:rPr>
              <w:t xml:space="preserve"> 0  </w:t>
            </w:r>
            <w:r>
              <w:rPr>
                <w:rFonts w:hint="eastAsia" w:ascii="宋体" w:hAnsi="宋体" w:cs="宋体"/>
                <w:color w:val="auto"/>
                <w:szCs w:val="21"/>
              </w:rPr>
              <w:t>项。</w:t>
            </w:r>
          </w:p>
          <w:p w14:paraId="0AF41136">
            <w:pPr>
              <w:snapToGrid w:val="0"/>
              <w:spacing w:line="360" w:lineRule="auto"/>
              <w:rPr>
                <w:rFonts w:ascii="宋体" w:hAnsi="宋体" w:cs="宋体"/>
                <w:color w:val="auto"/>
                <w:szCs w:val="21"/>
              </w:rPr>
            </w:pPr>
            <w:r>
              <w:rPr>
                <w:rFonts w:hint="eastAsia" w:ascii="宋体" w:hAnsi="宋体" w:cs="宋体"/>
                <w:color w:val="auto"/>
                <w:szCs w:val="21"/>
              </w:rPr>
              <w:t>服务需求评审中允许负偏离的条款数为</w:t>
            </w:r>
            <w:r>
              <w:rPr>
                <w:rFonts w:hint="eastAsia" w:ascii="宋体" w:hAnsi="宋体" w:cs="宋体"/>
                <w:color w:val="auto"/>
                <w:szCs w:val="21"/>
                <w:u w:val="single"/>
              </w:rPr>
              <w:t xml:space="preserve">  0 </w:t>
            </w:r>
            <w:r>
              <w:rPr>
                <w:rFonts w:hint="eastAsia" w:ascii="宋体" w:hAnsi="宋体" w:cs="宋体"/>
                <w:color w:val="auto"/>
                <w:szCs w:val="21"/>
              </w:rPr>
              <w:t>项。</w:t>
            </w:r>
          </w:p>
        </w:tc>
      </w:tr>
      <w:tr w14:paraId="5D023A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19" w:type="dxa"/>
            <w:vMerge w:val="continue"/>
            <w:tcBorders>
              <w:top w:val="single" w:color="000000" w:sz="4" w:space="0"/>
              <w:left w:val="single" w:color="000000" w:sz="4" w:space="0"/>
              <w:bottom w:val="single" w:color="000000" w:sz="4" w:space="0"/>
              <w:right w:val="single" w:color="000000" w:sz="4" w:space="0"/>
            </w:tcBorders>
            <w:vAlign w:val="center"/>
          </w:tcPr>
          <w:p w14:paraId="33C09ADF">
            <w:pPr>
              <w:widowControl/>
              <w:spacing w:line="360" w:lineRule="auto"/>
              <w:jc w:val="left"/>
              <w:rPr>
                <w:rFonts w:ascii="宋体" w:hAnsi="宋体" w:cs="宋体"/>
                <w:color w:val="auto"/>
                <w:szCs w:val="21"/>
              </w:rPr>
            </w:pPr>
          </w:p>
        </w:tc>
        <w:tc>
          <w:tcPr>
            <w:tcW w:w="2349" w:type="dxa"/>
            <w:tcBorders>
              <w:top w:val="single" w:color="000000" w:sz="4" w:space="0"/>
              <w:left w:val="single" w:color="000000" w:sz="4" w:space="0"/>
              <w:bottom w:val="single" w:color="000000" w:sz="4" w:space="0"/>
              <w:right w:val="single" w:color="000000" w:sz="4" w:space="0"/>
            </w:tcBorders>
            <w:vAlign w:val="center"/>
          </w:tcPr>
          <w:p w14:paraId="3306EB0B">
            <w:pPr>
              <w:snapToGrid w:val="0"/>
              <w:spacing w:line="360" w:lineRule="auto"/>
              <w:jc w:val="center"/>
              <w:rPr>
                <w:rFonts w:ascii="宋体" w:hAnsi="宋体" w:cs="宋体"/>
                <w:color w:val="auto"/>
                <w:szCs w:val="21"/>
              </w:rPr>
            </w:pPr>
            <w:r>
              <w:rPr>
                <w:rFonts w:hint="eastAsia" w:ascii="宋体" w:hAnsi="宋体" w:cs="宋体"/>
                <w:color w:val="auto"/>
                <w:szCs w:val="21"/>
              </w:rPr>
              <w:t>磋商的顺序</w:t>
            </w:r>
          </w:p>
          <w:p w14:paraId="44D353BD">
            <w:pPr>
              <w:spacing w:line="360" w:lineRule="auto"/>
              <w:jc w:val="center"/>
              <w:rPr>
                <w:rFonts w:ascii="宋体" w:hAnsi="宋体" w:cs="宋体"/>
                <w:color w:val="auto"/>
                <w:szCs w:val="21"/>
              </w:rPr>
            </w:pPr>
          </w:p>
        </w:tc>
        <w:tc>
          <w:tcPr>
            <w:tcW w:w="7092" w:type="dxa"/>
            <w:tcBorders>
              <w:top w:val="single" w:color="000000" w:sz="4" w:space="0"/>
              <w:left w:val="single" w:color="000000" w:sz="4" w:space="0"/>
              <w:bottom w:val="single" w:color="000000" w:sz="4" w:space="0"/>
              <w:right w:val="single" w:color="000000" w:sz="4" w:space="0"/>
            </w:tcBorders>
            <w:vAlign w:val="center"/>
          </w:tcPr>
          <w:p w14:paraId="254A41C2">
            <w:pPr>
              <w:spacing w:line="360" w:lineRule="auto"/>
              <w:jc w:val="left"/>
              <w:rPr>
                <w:rFonts w:ascii="宋体" w:hAnsi="宋体" w:cs="宋体"/>
                <w:color w:val="auto"/>
                <w:szCs w:val="21"/>
              </w:rPr>
            </w:pPr>
            <w:r>
              <w:rPr>
                <w:rFonts w:hint="eastAsia" w:ascii="宋体" w:hAnsi="宋体" w:cs="宋体"/>
                <w:color w:val="auto"/>
                <w:szCs w:val="21"/>
              </w:rPr>
              <w:sym w:font="Wingdings 2" w:char="0052"/>
            </w:r>
            <w:r>
              <w:rPr>
                <w:rFonts w:hint="eastAsia" w:ascii="宋体" w:hAnsi="宋体" w:cs="宋体"/>
                <w:color w:val="auto"/>
                <w:szCs w:val="21"/>
              </w:rPr>
              <w:t>按照提交首次响应文件的顺序，通知磋商时，若某供应商不在通知现场时，该供应商排序到最后磋商，按照签到的顺序由其下一位供应商先参与磋商。</w:t>
            </w:r>
          </w:p>
          <w:p w14:paraId="05354B85">
            <w:pPr>
              <w:snapToGrid w:val="0"/>
              <w:spacing w:line="360" w:lineRule="auto"/>
              <w:rPr>
                <w:rFonts w:ascii="宋体" w:hAnsi="宋体" w:cs="宋体"/>
                <w:color w:val="auto"/>
                <w:szCs w:val="21"/>
              </w:rPr>
            </w:pPr>
            <w:r>
              <w:rPr>
                <w:rFonts w:hint="eastAsia" w:ascii="宋体" w:hAnsi="宋体" w:cs="宋体"/>
                <w:color w:val="auto"/>
                <w:szCs w:val="21"/>
              </w:rPr>
              <w:sym w:font="Wingdings 2" w:char="00A3"/>
            </w:r>
            <w:r>
              <w:rPr>
                <w:rFonts w:hint="eastAsia" w:ascii="宋体" w:hAnsi="宋体" w:cs="宋体"/>
                <w:color w:val="auto"/>
                <w:szCs w:val="21"/>
              </w:rPr>
              <w:t>随机排序。</w:t>
            </w:r>
          </w:p>
          <w:p w14:paraId="02588242">
            <w:pPr>
              <w:snapToGrid w:val="0"/>
              <w:spacing w:line="360" w:lineRule="auto"/>
              <w:rPr>
                <w:rFonts w:ascii="宋体" w:hAnsi="宋体" w:cs="宋体"/>
                <w:b/>
                <w:color w:val="auto"/>
                <w:szCs w:val="21"/>
              </w:rPr>
            </w:pPr>
            <w:r>
              <w:rPr>
                <w:rFonts w:hint="eastAsia" w:ascii="宋体" w:hAnsi="宋体" w:cs="宋体"/>
                <w:b/>
                <w:color w:val="auto"/>
                <w:szCs w:val="21"/>
              </w:rPr>
              <w:t>参与磋商前，供应商法定代表人或者委托代理人必须向磋商小组出示本人有效证件原件[有效证件可以是身份证（含临时身份证明）、机动车驾驶证、社会保障卡或者护照的其中一项]，若参与磋商的委托代理人不是响应文件中授权的委托代理人时，必须同时出示有效的法定代表人授权委托书原件，否则磋商小组将拒绝其参与磋商。</w:t>
            </w:r>
          </w:p>
        </w:tc>
      </w:tr>
      <w:tr w14:paraId="0A94CB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19" w:type="dxa"/>
            <w:tcBorders>
              <w:top w:val="single" w:color="000000" w:sz="4" w:space="0"/>
              <w:left w:val="single" w:color="000000" w:sz="4" w:space="0"/>
              <w:bottom w:val="single" w:color="000000" w:sz="4" w:space="0"/>
              <w:right w:val="single" w:color="000000" w:sz="4" w:space="0"/>
            </w:tcBorders>
            <w:vAlign w:val="center"/>
          </w:tcPr>
          <w:p w14:paraId="436072F8">
            <w:pPr>
              <w:spacing w:line="360" w:lineRule="auto"/>
              <w:jc w:val="center"/>
              <w:rPr>
                <w:rFonts w:ascii="宋体" w:hAnsi="宋体" w:cs="宋体"/>
                <w:color w:val="auto"/>
                <w:szCs w:val="21"/>
              </w:rPr>
            </w:pPr>
            <w:r>
              <w:rPr>
                <w:rFonts w:hint="eastAsia" w:ascii="宋体" w:hAnsi="宋体" w:cs="宋体"/>
                <w:color w:val="auto"/>
                <w:szCs w:val="21"/>
              </w:rPr>
              <w:t>28</w:t>
            </w:r>
          </w:p>
        </w:tc>
        <w:tc>
          <w:tcPr>
            <w:tcW w:w="2349" w:type="dxa"/>
            <w:tcBorders>
              <w:top w:val="single" w:color="000000" w:sz="4" w:space="0"/>
              <w:left w:val="single" w:color="000000" w:sz="4" w:space="0"/>
              <w:bottom w:val="single" w:color="000000" w:sz="4" w:space="0"/>
              <w:right w:val="single" w:color="000000" w:sz="4" w:space="0"/>
            </w:tcBorders>
            <w:vAlign w:val="center"/>
          </w:tcPr>
          <w:p w14:paraId="3579BC16">
            <w:pPr>
              <w:spacing w:line="360" w:lineRule="auto"/>
              <w:jc w:val="center"/>
              <w:rPr>
                <w:rFonts w:ascii="宋体" w:hAnsi="宋体" w:cs="宋体"/>
                <w:color w:val="auto"/>
                <w:szCs w:val="21"/>
              </w:rPr>
            </w:pPr>
            <w:r>
              <w:rPr>
                <w:rFonts w:hint="eastAsia" w:ascii="宋体" w:hAnsi="宋体" w:cs="宋体"/>
                <w:color w:val="auto"/>
                <w:szCs w:val="21"/>
              </w:rPr>
              <w:t>履约保证金</w:t>
            </w:r>
          </w:p>
        </w:tc>
        <w:tc>
          <w:tcPr>
            <w:tcW w:w="7092" w:type="dxa"/>
            <w:tcBorders>
              <w:top w:val="single" w:color="000000" w:sz="4" w:space="0"/>
              <w:left w:val="single" w:color="000000" w:sz="4" w:space="0"/>
              <w:bottom w:val="single" w:color="000000" w:sz="4" w:space="0"/>
              <w:right w:val="single" w:color="000000" w:sz="4" w:space="0"/>
            </w:tcBorders>
            <w:vAlign w:val="center"/>
          </w:tcPr>
          <w:p w14:paraId="562537A0">
            <w:pPr>
              <w:snapToGrid w:val="0"/>
              <w:spacing w:line="360" w:lineRule="auto"/>
              <w:rPr>
                <w:rFonts w:ascii="宋体" w:hAnsi="宋体" w:cs="宋体"/>
                <w:color w:val="auto"/>
                <w:szCs w:val="21"/>
              </w:rPr>
            </w:pPr>
            <w:r>
              <w:rPr>
                <w:rFonts w:hint="eastAsia" w:ascii="宋体" w:hAnsi="宋体" w:cs="宋体"/>
                <w:color w:val="auto"/>
                <w:szCs w:val="21"/>
              </w:rPr>
              <w:t xml:space="preserve">本项目不收取履约保证金 </w:t>
            </w:r>
          </w:p>
        </w:tc>
      </w:tr>
      <w:tr w14:paraId="0A2850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19" w:type="dxa"/>
            <w:tcBorders>
              <w:top w:val="single" w:color="000000" w:sz="4" w:space="0"/>
              <w:left w:val="single" w:color="000000" w:sz="4" w:space="0"/>
              <w:bottom w:val="single" w:color="000000" w:sz="4" w:space="0"/>
              <w:right w:val="single" w:color="000000" w:sz="4" w:space="0"/>
            </w:tcBorders>
            <w:vAlign w:val="center"/>
          </w:tcPr>
          <w:p w14:paraId="4BFA3150">
            <w:pPr>
              <w:spacing w:line="360" w:lineRule="auto"/>
              <w:jc w:val="center"/>
              <w:rPr>
                <w:rFonts w:ascii="宋体" w:hAnsi="宋体" w:cs="宋体"/>
                <w:color w:val="auto"/>
                <w:szCs w:val="21"/>
              </w:rPr>
            </w:pPr>
            <w:r>
              <w:rPr>
                <w:rFonts w:hint="eastAsia" w:ascii="宋体" w:hAnsi="宋体" w:cs="宋体"/>
                <w:color w:val="auto"/>
                <w:szCs w:val="21"/>
              </w:rPr>
              <w:t>29.5</w:t>
            </w:r>
          </w:p>
        </w:tc>
        <w:tc>
          <w:tcPr>
            <w:tcW w:w="2349" w:type="dxa"/>
            <w:tcBorders>
              <w:top w:val="single" w:color="000000" w:sz="4" w:space="0"/>
              <w:left w:val="single" w:color="000000" w:sz="4" w:space="0"/>
              <w:bottom w:val="single" w:color="000000" w:sz="4" w:space="0"/>
              <w:right w:val="single" w:color="000000" w:sz="4" w:space="0"/>
            </w:tcBorders>
            <w:vAlign w:val="center"/>
          </w:tcPr>
          <w:p w14:paraId="0FFC600A">
            <w:pPr>
              <w:spacing w:line="360" w:lineRule="auto"/>
              <w:jc w:val="center"/>
              <w:rPr>
                <w:rFonts w:ascii="宋体" w:hAnsi="宋体" w:cs="宋体"/>
                <w:color w:val="auto"/>
                <w:szCs w:val="21"/>
              </w:rPr>
            </w:pPr>
            <w:r>
              <w:rPr>
                <w:rFonts w:hint="eastAsia" w:ascii="宋体" w:hAnsi="宋体" w:cs="宋体"/>
                <w:color w:val="auto"/>
                <w:szCs w:val="21"/>
              </w:rPr>
              <w:t>签订合同携带的材料</w:t>
            </w:r>
          </w:p>
        </w:tc>
        <w:tc>
          <w:tcPr>
            <w:tcW w:w="7092" w:type="dxa"/>
            <w:tcBorders>
              <w:top w:val="single" w:color="000000" w:sz="4" w:space="0"/>
              <w:left w:val="single" w:color="000000" w:sz="4" w:space="0"/>
              <w:bottom w:val="single" w:color="000000" w:sz="4" w:space="0"/>
              <w:right w:val="single" w:color="000000" w:sz="4" w:space="0"/>
            </w:tcBorders>
            <w:vAlign w:val="center"/>
          </w:tcPr>
          <w:p w14:paraId="4C8D9030">
            <w:pPr>
              <w:snapToGrid w:val="0"/>
              <w:spacing w:line="360" w:lineRule="auto"/>
              <w:rPr>
                <w:rFonts w:ascii="宋体" w:hAnsi="宋体" w:cs="宋体"/>
                <w:color w:val="auto"/>
                <w:szCs w:val="21"/>
              </w:rPr>
            </w:pPr>
            <w:r>
              <w:rPr>
                <w:rFonts w:hint="eastAsia" w:ascii="宋体" w:hAnsi="宋体" w:cs="宋体"/>
                <w:color w:val="auto"/>
                <w:szCs w:val="21"/>
              </w:rPr>
              <w:t>使用的有效CA证书加盖单位电子公章</w:t>
            </w:r>
          </w:p>
        </w:tc>
      </w:tr>
      <w:tr w14:paraId="3D12C2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19" w:type="dxa"/>
            <w:vMerge w:val="restart"/>
            <w:tcBorders>
              <w:top w:val="single" w:color="000000" w:sz="4" w:space="0"/>
              <w:left w:val="single" w:color="000000" w:sz="4" w:space="0"/>
              <w:bottom w:val="single" w:color="000000" w:sz="4" w:space="0"/>
              <w:right w:val="single" w:color="000000" w:sz="4" w:space="0"/>
            </w:tcBorders>
            <w:vAlign w:val="center"/>
          </w:tcPr>
          <w:p w14:paraId="52EBE0FA">
            <w:pPr>
              <w:spacing w:line="360" w:lineRule="auto"/>
              <w:jc w:val="center"/>
              <w:rPr>
                <w:rFonts w:ascii="宋体" w:hAnsi="宋体" w:cs="宋体"/>
                <w:color w:val="auto"/>
                <w:szCs w:val="21"/>
              </w:rPr>
            </w:pPr>
            <w:r>
              <w:rPr>
                <w:rFonts w:hint="eastAsia" w:ascii="宋体" w:hAnsi="宋体" w:cs="宋体"/>
                <w:color w:val="auto"/>
                <w:szCs w:val="21"/>
              </w:rPr>
              <w:t>31.2</w:t>
            </w:r>
          </w:p>
        </w:tc>
        <w:tc>
          <w:tcPr>
            <w:tcW w:w="2349" w:type="dxa"/>
            <w:tcBorders>
              <w:top w:val="single" w:color="000000" w:sz="4" w:space="0"/>
              <w:left w:val="single" w:color="000000" w:sz="4" w:space="0"/>
              <w:bottom w:val="single" w:color="000000" w:sz="4" w:space="0"/>
              <w:right w:val="single" w:color="000000" w:sz="4" w:space="0"/>
            </w:tcBorders>
            <w:vAlign w:val="center"/>
          </w:tcPr>
          <w:p w14:paraId="2ADB8E17">
            <w:pPr>
              <w:spacing w:line="360" w:lineRule="auto"/>
              <w:jc w:val="center"/>
              <w:rPr>
                <w:rFonts w:ascii="宋体" w:hAnsi="宋体" w:cs="宋体"/>
                <w:color w:val="auto"/>
                <w:szCs w:val="21"/>
              </w:rPr>
            </w:pPr>
            <w:r>
              <w:rPr>
                <w:rFonts w:hint="eastAsia" w:ascii="宋体" w:hAnsi="宋体" w:cs="宋体"/>
                <w:color w:val="auto"/>
                <w:szCs w:val="21"/>
              </w:rPr>
              <w:t>接收质疑函方式</w:t>
            </w:r>
          </w:p>
        </w:tc>
        <w:tc>
          <w:tcPr>
            <w:tcW w:w="7092" w:type="dxa"/>
            <w:tcBorders>
              <w:top w:val="single" w:color="000000" w:sz="4" w:space="0"/>
              <w:left w:val="single" w:color="000000" w:sz="4" w:space="0"/>
              <w:bottom w:val="single" w:color="000000" w:sz="4" w:space="0"/>
              <w:right w:val="single" w:color="000000" w:sz="4" w:space="0"/>
            </w:tcBorders>
            <w:vAlign w:val="center"/>
          </w:tcPr>
          <w:p w14:paraId="327B8049">
            <w:pPr>
              <w:snapToGrid w:val="0"/>
              <w:spacing w:line="360" w:lineRule="auto"/>
              <w:rPr>
                <w:rFonts w:ascii="宋体" w:hAnsi="宋体" w:cs="宋体"/>
                <w:color w:val="auto"/>
                <w:szCs w:val="21"/>
              </w:rPr>
            </w:pPr>
            <w:r>
              <w:rPr>
                <w:rFonts w:hint="eastAsia" w:ascii="宋体" w:hAnsi="宋体" w:cs="宋体"/>
                <w:color w:val="auto"/>
                <w:szCs w:val="21"/>
              </w:rPr>
              <w:t>以书面形式</w:t>
            </w:r>
          </w:p>
        </w:tc>
      </w:tr>
      <w:tr w14:paraId="1B6E4A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19" w:type="dxa"/>
            <w:vMerge w:val="continue"/>
            <w:tcBorders>
              <w:top w:val="single" w:color="000000" w:sz="4" w:space="0"/>
              <w:left w:val="single" w:color="000000" w:sz="4" w:space="0"/>
              <w:bottom w:val="single" w:color="000000" w:sz="4" w:space="0"/>
              <w:right w:val="single" w:color="000000" w:sz="4" w:space="0"/>
            </w:tcBorders>
            <w:vAlign w:val="center"/>
          </w:tcPr>
          <w:p w14:paraId="0738FEFD">
            <w:pPr>
              <w:widowControl/>
              <w:spacing w:line="360" w:lineRule="auto"/>
              <w:jc w:val="left"/>
              <w:rPr>
                <w:rFonts w:ascii="宋体" w:hAnsi="宋体" w:cs="宋体"/>
                <w:color w:val="auto"/>
                <w:szCs w:val="21"/>
              </w:rPr>
            </w:pPr>
          </w:p>
        </w:tc>
        <w:tc>
          <w:tcPr>
            <w:tcW w:w="2349" w:type="dxa"/>
            <w:tcBorders>
              <w:top w:val="single" w:color="000000" w:sz="4" w:space="0"/>
              <w:left w:val="single" w:color="000000" w:sz="4" w:space="0"/>
              <w:bottom w:val="single" w:color="000000" w:sz="4" w:space="0"/>
              <w:right w:val="single" w:color="000000" w:sz="4" w:space="0"/>
            </w:tcBorders>
            <w:vAlign w:val="center"/>
          </w:tcPr>
          <w:p w14:paraId="3615EA46">
            <w:pPr>
              <w:spacing w:line="360" w:lineRule="auto"/>
              <w:jc w:val="center"/>
              <w:rPr>
                <w:rFonts w:ascii="宋体" w:hAnsi="宋体" w:cs="宋体"/>
                <w:color w:val="auto"/>
                <w:szCs w:val="21"/>
              </w:rPr>
            </w:pPr>
            <w:r>
              <w:rPr>
                <w:rFonts w:hint="eastAsia" w:ascii="宋体" w:hAnsi="宋体" w:cs="宋体"/>
                <w:color w:val="auto"/>
                <w:szCs w:val="21"/>
              </w:rPr>
              <w:t>质疑联系部门及联系方式</w:t>
            </w:r>
          </w:p>
        </w:tc>
        <w:tc>
          <w:tcPr>
            <w:tcW w:w="7092" w:type="dxa"/>
            <w:tcBorders>
              <w:top w:val="single" w:color="000000" w:sz="4" w:space="0"/>
              <w:left w:val="single" w:color="000000" w:sz="4" w:space="0"/>
              <w:bottom w:val="single" w:color="000000" w:sz="4" w:space="0"/>
              <w:right w:val="single" w:color="000000" w:sz="4" w:space="0"/>
            </w:tcBorders>
            <w:vAlign w:val="center"/>
          </w:tcPr>
          <w:p w14:paraId="66ACDCAC">
            <w:pPr>
              <w:numPr>
                <w:ilvl w:val="0"/>
                <w:numId w:val="2"/>
              </w:numPr>
              <w:snapToGrid w:val="0"/>
              <w:spacing w:line="360" w:lineRule="auto"/>
              <w:rPr>
                <w:rFonts w:ascii="宋体" w:hAnsi="宋体" w:cs="宋体"/>
                <w:color w:val="auto"/>
                <w:szCs w:val="21"/>
              </w:rPr>
            </w:pPr>
            <w:r>
              <w:rPr>
                <w:rFonts w:hint="eastAsia" w:ascii="宋体" w:hAnsi="宋体" w:cs="宋体"/>
                <w:color w:val="auto"/>
                <w:szCs w:val="21"/>
                <w:u w:val="single"/>
                <w:lang w:eastAsia="zh-CN"/>
              </w:rPr>
              <w:t>广西锦辉项目管理有限公司</w:t>
            </w:r>
            <w:r>
              <w:rPr>
                <w:rFonts w:hint="eastAsia" w:ascii="宋体" w:hAnsi="宋体" w:cs="宋体"/>
                <w:color w:val="auto"/>
                <w:szCs w:val="21"/>
                <w:u w:val="single"/>
              </w:rPr>
              <w:t>质管</w:t>
            </w:r>
            <w:r>
              <w:rPr>
                <w:rFonts w:hint="eastAsia" w:ascii="宋体" w:hAnsi="宋体" w:cs="宋体"/>
                <w:color w:val="auto"/>
                <w:szCs w:val="21"/>
              </w:rPr>
              <w:t>部门；</w:t>
            </w:r>
          </w:p>
          <w:p w14:paraId="3358A7BC">
            <w:pPr>
              <w:snapToGrid w:val="0"/>
              <w:spacing w:line="360" w:lineRule="auto"/>
              <w:rPr>
                <w:rFonts w:ascii="宋体" w:hAnsi="宋体" w:cs="宋体"/>
                <w:color w:val="auto"/>
                <w:szCs w:val="21"/>
              </w:rPr>
            </w:pPr>
            <w:r>
              <w:rPr>
                <w:rFonts w:hint="eastAsia" w:ascii="宋体" w:hAnsi="宋体" w:cs="宋体"/>
                <w:color w:val="auto"/>
                <w:szCs w:val="21"/>
              </w:rPr>
              <w:t>联系电话：</w:t>
            </w:r>
            <w:r>
              <w:rPr>
                <w:rFonts w:hint="eastAsia" w:ascii="宋体" w:hAnsi="宋体" w:cs="宋体"/>
                <w:color w:val="auto"/>
                <w:szCs w:val="21"/>
                <w:lang w:eastAsia="zh-CN"/>
              </w:rPr>
              <w:t>0771-4956273</w:t>
            </w:r>
            <w:r>
              <w:rPr>
                <w:rFonts w:hint="eastAsia" w:ascii="宋体" w:hAnsi="宋体" w:cs="宋体"/>
                <w:color w:val="auto"/>
                <w:szCs w:val="21"/>
              </w:rPr>
              <w:t>，</w:t>
            </w:r>
          </w:p>
          <w:p w14:paraId="18D38DCB">
            <w:pPr>
              <w:snapToGrid w:val="0"/>
              <w:spacing w:line="360" w:lineRule="auto"/>
              <w:rPr>
                <w:rFonts w:ascii="宋体" w:hAnsi="宋体"/>
                <w:color w:val="auto"/>
                <w:szCs w:val="21"/>
              </w:rPr>
            </w:pPr>
            <w:r>
              <w:rPr>
                <w:rFonts w:hint="eastAsia" w:ascii="宋体" w:hAnsi="宋体" w:cs="宋体"/>
                <w:color w:val="auto"/>
                <w:szCs w:val="21"/>
              </w:rPr>
              <w:t>通讯地址：</w:t>
            </w:r>
            <w:r>
              <w:rPr>
                <w:rFonts w:hint="eastAsia" w:ascii="宋体" w:hAnsi="宋体" w:cs="宋体"/>
                <w:color w:val="auto"/>
                <w:szCs w:val="21"/>
                <w:u w:val="single"/>
              </w:rPr>
              <w:t xml:space="preserve"> </w:t>
            </w:r>
            <w:r>
              <w:rPr>
                <w:rFonts w:hint="eastAsia" w:ascii="宋体" w:hAnsi="宋体"/>
                <w:color w:val="auto"/>
                <w:szCs w:val="21"/>
              </w:rPr>
              <w:t>广西南宁市江南区白沙大道53号松宇时代办公楼12A层</w:t>
            </w:r>
          </w:p>
          <w:p w14:paraId="2326FAED">
            <w:pPr>
              <w:snapToGrid w:val="0"/>
              <w:spacing w:line="360" w:lineRule="auto"/>
              <w:rPr>
                <w:rFonts w:ascii="宋体" w:hAnsi="宋体" w:cs="宋体"/>
                <w:color w:val="auto"/>
                <w:szCs w:val="21"/>
              </w:rPr>
            </w:pPr>
            <w:r>
              <w:rPr>
                <w:rFonts w:hint="eastAsia" w:ascii="宋体" w:hAnsi="宋体" w:cs="宋体"/>
                <w:color w:val="auto"/>
                <w:szCs w:val="21"/>
                <w:u w:val="single"/>
              </w:rPr>
              <w:t>（2）南宁市数据局</w:t>
            </w:r>
            <w:r>
              <w:rPr>
                <w:rFonts w:hint="eastAsia" w:ascii="宋体" w:hAnsi="宋体" w:cs="宋体"/>
                <w:color w:val="auto"/>
                <w:szCs w:val="21"/>
              </w:rPr>
              <w:t>部门；</w:t>
            </w:r>
          </w:p>
          <w:p w14:paraId="0D61D8D7">
            <w:pPr>
              <w:snapToGrid w:val="0"/>
              <w:spacing w:line="360" w:lineRule="auto"/>
              <w:rPr>
                <w:rFonts w:ascii="宋体" w:hAnsi="宋体" w:cs="宋体"/>
                <w:color w:val="auto"/>
                <w:szCs w:val="21"/>
              </w:rPr>
            </w:pPr>
            <w:r>
              <w:rPr>
                <w:rFonts w:hint="eastAsia" w:ascii="宋体" w:hAnsi="宋体" w:cs="宋体"/>
                <w:color w:val="auto"/>
                <w:szCs w:val="21"/>
              </w:rPr>
              <w:t>联系电话：</w:t>
            </w:r>
            <w:r>
              <w:rPr>
                <w:rFonts w:ascii="宋体" w:hAnsi="宋体" w:cs="宋体"/>
                <w:color w:val="auto"/>
                <w:szCs w:val="21"/>
              </w:rPr>
              <w:t>0771-5537886</w:t>
            </w:r>
          </w:p>
          <w:p w14:paraId="73F9B0E7">
            <w:pPr>
              <w:snapToGrid w:val="0"/>
              <w:spacing w:line="360" w:lineRule="auto"/>
              <w:rPr>
                <w:rFonts w:ascii="宋体" w:hAnsi="宋体" w:cs="宋体"/>
                <w:color w:val="auto"/>
                <w:szCs w:val="21"/>
              </w:rPr>
            </w:pPr>
            <w:r>
              <w:rPr>
                <w:rFonts w:hint="eastAsia" w:ascii="宋体" w:hAnsi="宋体" w:cs="宋体"/>
                <w:color w:val="auto"/>
                <w:szCs w:val="21"/>
              </w:rPr>
              <w:t>通讯地址：南宁市青秀区桂春路南一里1号</w:t>
            </w:r>
          </w:p>
        </w:tc>
      </w:tr>
      <w:tr w14:paraId="59CE1A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19" w:type="dxa"/>
            <w:vMerge w:val="continue"/>
            <w:tcBorders>
              <w:top w:val="single" w:color="000000" w:sz="4" w:space="0"/>
              <w:left w:val="single" w:color="000000" w:sz="4" w:space="0"/>
              <w:bottom w:val="single" w:color="000000" w:sz="4" w:space="0"/>
              <w:right w:val="single" w:color="000000" w:sz="4" w:space="0"/>
            </w:tcBorders>
            <w:vAlign w:val="center"/>
          </w:tcPr>
          <w:p w14:paraId="1913DDF3">
            <w:pPr>
              <w:widowControl/>
              <w:spacing w:line="360" w:lineRule="auto"/>
              <w:jc w:val="left"/>
              <w:rPr>
                <w:rFonts w:ascii="宋体" w:hAnsi="宋体" w:cs="宋体"/>
                <w:color w:val="auto"/>
                <w:szCs w:val="21"/>
              </w:rPr>
            </w:pPr>
          </w:p>
        </w:tc>
        <w:tc>
          <w:tcPr>
            <w:tcW w:w="2349" w:type="dxa"/>
            <w:tcBorders>
              <w:top w:val="single" w:color="000000" w:sz="4" w:space="0"/>
              <w:left w:val="single" w:color="000000" w:sz="4" w:space="0"/>
              <w:bottom w:val="single" w:color="000000" w:sz="4" w:space="0"/>
              <w:right w:val="single" w:color="000000" w:sz="4" w:space="0"/>
            </w:tcBorders>
            <w:vAlign w:val="center"/>
          </w:tcPr>
          <w:p w14:paraId="6AEA9290">
            <w:pPr>
              <w:spacing w:line="360" w:lineRule="auto"/>
              <w:jc w:val="center"/>
              <w:rPr>
                <w:rFonts w:ascii="宋体" w:hAnsi="宋体" w:cs="宋体"/>
                <w:color w:val="auto"/>
                <w:szCs w:val="21"/>
              </w:rPr>
            </w:pPr>
            <w:r>
              <w:rPr>
                <w:rFonts w:hint="eastAsia" w:ascii="宋体" w:hAnsi="宋体" w:cs="宋体"/>
                <w:color w:val="auto"/>
              </w:rPr>
              <w:t>现场提交质疑办理业务时间</w:t>
            </w:r>
          </w:p>
        </w:tc>
        <w:tc>
          <w:tcPr>
            <w:tcW w:w="7092" w:type="dxa"/>
            <w:tcBorders>
              <w:top w:val="single" w:color="000000" w:sz="4" w:space="0"/>
              <w:left w:val="single" w:color="000000" w:sz="4" w:space="0"/>
              <w:bottom w:val="single" w:color="000000" w:sz="4" w:space="0"/>
              <w:right w:val="single" w:color="000000" w:sz="4" w:space="0"/>
            </w:tcBorders>
            <w:vAlign w:val="center"/>
          </w:tcPr>
          <w:p w14:paraId="5D440497">
            <w:pPr>
              <w:snapToGrid w:val="0"/>
              <w:spacing w:line="360" w:lineRule="auto"/>
              <w:rPr>
                <w:rFonts w:ascii="宋体" w:hAnsi="宋体" w:cs="宋体"/>
                <w:color w:val="auto"/>
                <w:szCs w:val="21"/>
              </w:rPr>
            </w:pPr>
            <w:r>
              <w:rPr>
                <w:rFonts w:hint="eastAsia" w:ascii="宋体" w:hAnsi="宋体" w:cs="宋体"/>
                <w:color w:val="auto"/>
              </w:rPr>
              <w:t>质疑期内每个工作日</w:t>
            </w:r>
            <w:r>
              <w:rPr>
                <w:rFonts w:hint="eastAsia" w:ascii="宋体" w:hAnsi="宋体" w:cs="宋体"/>
                <w:color w:val="auto"/>
                <w:u w:val="single"/>
              </w:rPr>
              <w:t xml:space="preserve"> </w:t>
            </w:r>
            <w:r>
              <w:rPr>
                <w:rFonts w:hint="eastAsia" w:ascii="宋体" w:hAnsi="宋体" w:cs="宋体"/>
                <w:color w:val="auto"/>
                <w:szCs w:val="22"/>
                <w:u w:val="single"/>
              </w:rPr>
              <w:t xml:space="preserve">8 </w:t>
            </w:r>
            <w:r>
              <w:rPr>
                <w:rFonts w:hint="eastAsia" w:ascii="宋体" w:hAnsi="宋体" w:cs="宋体"/>
                <w:color w:val="auto"/>
                <w:szCs w:val="22"/>
              </w:rPr>
              <w:t>时</w:t>
            </w:r>
            <w:r>
              <w:rPr>
                <w:rFonts w:hint="eastAsia" w:ascii="宋体" w:hAnsi="宋体" w:cs="宋体"/>
                <w:color w:val="auto"/>
                <w:szCs w:val="22"/>
                <w:u w:val="single"/>
              </w:rPr>
              <w:t xml:space="preserve">30 </w:t>
            </w:r>
            <w:r>
              <w:rPr>
                <w:rFonts w:hint="eastAsia" w:ascii="宋体" w:hAnsi="宋体" w:cs="宋体"/>
                <w:color w:val="auto"/>
                <w:szCs w:val="22"/>
              </w:rPr>
              <w:t>分到</w:t>
            </w:r>
            <w:r>
              <w:rPr>
                <w:rFonts w:hint="eastAsia" w:ascii="宋体" w:hAnsi="宋体" w:cs="宋体"/>
                <w:color w:val="auto"/>
                <w:szCs w:val="22"/>
                <w:u w:val="single"/>
              </w:rPr>
              <w:t xml:space="preserve"> 12 </w:t>
            </w:r>
            <w:r>
              <w:rPr>
                <w:rFonts w:hint="eastAsia" w:ascii="宋体" w:hAnsi="宋体" w:cs="宋体"/>
                <w:color w:val="auto"/>
                <w:szCs w:val="22"/>
              </w:rPr>
              <w:t>时</w:t>
            </w:r>
            <w:r>
              <w:rPr>
                <w:rFonts w:hint="eastAsia" w:ascii="宋体" w:hAnsi="宋体" w:cs="宋体"/>
                <w:color w:val="auto"/>
                <w:szCs w:val="22"/>
                <w:u w:val="single"/>
              </w:rPr>
              <w:t xml:space="preserve"> 00 </w:t>
            </w:r>
            <w:r>
              <w:rPr>
                <w:rFonts w:hint="eastAsia" w:ascii="宋体" w:hAnsi="宋体" w:cs="宋体"/>
                <w:color w:val="auto"/>
                <w:szCs w:val="22"/>
              </w:rPr>
              <w:t>分，</w:t>
            </w:r>
            <w:r>
              <w:rPr>
                <w:rFonts w:hint="eastAsia" w:ascii="宋体" w:hAnsi="宋体" w:cs="宋体"/>
                <w:color w:val="auto"/>
                <w:szCs w:val="22"/>
                <w:u w:val="single"/>
              </w:rPr>
              <w:t xml:space="preserve">15 </w:t>
            </w:r>
            <w:r>
              <w:rPr>
                <w:rFonts w:hint="eastAsia" w:ascii="宋体" w:hAnsi="宋体" w:cs="宋体"/>
                <w:color w:val="auto"/>
                <w:szCs w:val="22"/>
              </w:rPr>
              <w:t>时</w:t>
            </w:r>
            <w:r>
              <w:rPr>
                <w:rFonts w:hint="eastAsia" w:ascii="宋体" w:hAnsi="宋体" w:cs="宋体"/>
                <w:color w:val="auto"/>
                <w:szCs w:val="22"/>
                <w:u w:val="single"/>
              </w:rPr>
              <w:t xml:space="preserve">30 </w:t>
            </w:r>
            <w:r>
              <w:rPr>
                <w:rFonts w:hint="eastAsia" w:ascii="宋体" w:hAnsi="宋体" w:cs="宋体"/>
                <w:color w:val="auto"/>
                <w:szCs w:val="22"/>
              </w:rPr>
              <w:t>分到</w:t>
            </w:r>
            <w:r>
              <w:rPr>
                <w:rFonts w:hint="eastAsia" w:ascii="宋体" w:hAnsi="宋体" w:cs="宋体"/>
                <w:color w:val="auto"/>
                <w:szCs w:val="22"/>
                <w:u w:val="single"/>
              </w:rPr>
              <w:t xml:space="preserve"> 18</w:t>
            </w:r>
            <w:r>
              <w:rPr>
                <w:rFonts w:hint="eastAsia" w:ascii="宋体" w:hAnsi="宋体" w:cs="宋体"/>
                <w:color w:val="auto"/>
                <w:szCs w:val="22"/>
              </w:rPr>
              <w:t>时</w:t>
            </w:r>
            <w:r>
              <w:rPr>
                <w:rFonts w:hint="eastAsia" w:ascii="宋体" w:hAnsi="宋体" w:cs="宋体"/>
                <w:color w:val="auto"/>
                <w:szCs w:val="22"/>
                <w:u w:val="single"/>
              </w:rPr>
              <w:t xml:space="preserve"> 00 </w:t>
            </w:r>
            <w:r>
              <w:rPr>
                <w:rFonts w:hint="eastAsia" w:ascii="宋体" w:hAnsi="宋体" w:cs="宋体"/>
                <w:color w:val="auto"/>
                <w:szCs w:val="22"/>
              </w:rPr>
              <w:t>分</w:t>
            </w:r>
          </w:p>
        </w:tc>
      </w:tr>
      <w:tr w14:paraId="579895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19" w:type="dxa"/>
            <w:tcBorders>
              <w:top w:val="single" w:color="000000" w:sz="4" w:space="0"/>
              <w:left w:val="single" w:color="000000" w:sz="4" w:space="0"/>
              <w:bottom w:val="single" w:color="000000" w:sz="4" w:space="0"/>
              <w:right w:val="single" w:color="000000" w:sz="4" w:space="0"/>
            </w:tcBorders>
            <w:vAlign w:val="center"/>
          </w:tcPr>
          <w:p w14:paraId="69BF8A42">
            <w:pPr>
              <w:spacing w:line="360" w:lineRule="auto"/>
              <w:jc w:val="center"/>
              <w:rPr>
                <w:rFonts w:ascii="宋体" w:hAnsi="宋体" w:cs="宋体"/>
                <w:color w:val="auto"/>
                <w:szCs w:val="21"/>
              </w:rPr>
            </w:pPr>
            <w:r>
              <w:rPr>
                <w:rFonts w:hint="eastAsia" w:ascii="宋体" w:hAnsi="宋体" w:cs="宋体"/>
                <w:color w:val="auto"/>
                <w:szCs w:val="21"/>
              </w:rPr>
              <w:t>31.6</w:t>
            </w:r>
          </w:p>
        </w:tc>
        <w:tc>
          <w:tcPr>
            <w:tcW w:w="2349" w:type="dxa"/>
            <w:tcBorders>
              <w:top w:val="single" w:color="000000" w:sz="4" w:space="0"/>
              <w:left w:val="single" w:color="000000" w:sz="4" w:space="0"/>
              <w:bottom w:val="single" w:color="000000" w:sz="4" w:space="0"/>
              <w:right w:val="single" w:color="000000" w:sz="4" w:space="0"/>
            </w:tcBorders>
            <w:vAlign w:val="center"/>
          </w:tcPr>
          <w:p w14:paraId="31F4ABFA">
            <w:pPr>
              <w:spacing w:line="360" w:lineRule="auto"/>
              <w:jc w:val="center"/>
              <w:rPr>
                <w:rFonts w:ascii="宋体" w:hAnsi="宋体" w:cs="宋体"/>
                <w:color w:val="auto"/>
                <w:szCs w:val="21"/>
              </w:rPr>
            </w:pPr>
            <w:r>
              <w:rPr>
                <w:rFonts w:hint="eastAsia" w:ascii="宋体" w:hAnsi="宋体" w:cs="宋体"/>
                <w:color w:val="auto"/>
                <w:szCs w:val="21"/>
              </w:rPr>
              <w:t>受理投诉方式</w:t>
            </w:r>
          </w:p>
        </w:tc>
        <w:tc>
          <w:tcPr>
            <w:tcW w:w="7092" w:type="dxa"/>
            <w:tcBorders>
              <w:top w:val="single" w:color="000000" w:sz="4" w:space="0"/>
              <w:left w:val="single" w:color="000000" w:sz="4" w:space="0"/>
              <w:bottom w:val="single" w:color="000000" w:sz="4" w:space="0"/>
              <w:right w:val="single" w:color="000000" w:sz="4" w:space="0"/>
            </w:tcBorders>
            <w:vAlign w:val="center"/>
          </w:tcPr>
          <w:p w14:paraId="1477C7EB">
            <w:pPr>
              <w:snapToGrid w:val="0"/>
              <w:spacing w:line="360" w:lineRule="auto"/>
              <w:rPr>
                <w:rFonts w:ascii="宋体" w:hAnsi="宋体" w:cs="宋体"/>
                <w:color w:val="auto"/>
              </w:rPr>
            </w:pPr>
            <w:r>
              <w:rPr>
                <w:rFonts w:hint="eastAsia" w:ascii="宋体" w:hAnsi="宋体" w:cs="宋体"/>
                <w:color w:val="auto"/>
              </w:rPr>
              <w:t>1、受理方式：纸质方式受理，投诉书正、副本（经过质疑的事项才可投诉）。</w:t>
            </w:r>
          </w:p>
          <w:p w14:paraId="4B714AC1">
            <w:pPr>
              <w:snapToGrid w:val="0"/>
              <w:spacing w:line="360" w:lineRule="auto"/>
              <w:rPr>
                <w:rFonts w:ascii="宋体" w:hAnsi="宋体" w:cs="宋体"/>
                <w:color w:val="auto"/>
              </w:rPr>
            </w:pPr>
            <w:r>
              <w:rPr>
                <w:rFonts w:hint="eastAsia" w:ascii="宋体" w:hAnsi="宋体" w:cs="宋体"/>
                <w:color w:val="auto"/>
              </w:rPr>
              <w:t>2、邮寄地址：</w:t>
            </w:r>
          </w:p>
          <w:p w14:paraId="2EE4CB85">
            <w:pPr>
              <w:snapToGrid w:val="0"/>
              <w:spacing w:line="360" w:lineRule="auto"/>
              <w:rPr>
                <w:rFonts w:ascii="宋体" w:hAnsi="宋体"/>
                <w:color w:val="auto"/>
              </w:rPr>
            </w:pPr>
            <w:bookmarkStart w:id="11" w:name="PO_3000001868_PM038"/>
            <w:r>
              <w:rPr>
                <w:rFonts w:hint="eastAsia" w:ascii="宋体" w:hAnsi="宋体"/>
                <w:color w:val="auto"/>
              </w:rPr>
              <w:t>名称：南宁市财政局政府采购监督管理科</w:t>
            </w:r>
            <w:r>
              <w:rPr>
                <w:rFonts w:ascii="宋体" w:hAnsi="宋体"/>
                <w:color w:val="auto"/>
              </w:rPr>
              <w:t xml:space="preserve"> </w:t>
            </w:r>
            <w:bookmarkStart w:id="12" w:name="PO_3000001868_PM036"/>
            <w:r>
              <w:rPr>
                <w:rFonts w:hint="eastAsia" w:ascii="宋体" w:hAnsi="宋体"/>
                <w:color w:val="auto"/>
              </w:rPr>
              <w:t xml:space="preserve"> </w:t>
            </w:r>
            <w:bookmarkEnd w:id="12"/>
          </w:p>
          <w:p w14:paraId="5E8C1141">
            <w:pPr>
              <w:snapToGrid w:val="0"/>
              <w:spacing w:line="360" w:lineRule="auto"/>
              <w:rPr>
                <w:rFonts w:ascii="宋体" w:hAnsi="宋体"/>
                <w:color w:val="auto"/>
              </w:rPr>
            </w:pPr>
            <w:r>
              <w:rPr>
                <w:rFonts w:hint="eastAsia" w:ascii="宋体" w:hAnsi="宋体"/>
                <w:color w:val="auto"/>
              </w:rPr>
              <w:t>地址：南宁市青秀区东葛路129号</w:t>
            </w:r>
          </w:p>
          <w:p w14:paraId="32D65FA9">
            <w:pPr>
              <w:snapToGrid w:val="0"/>
              <w:spacing w:line="360" w:lineRule="auto"/>
              <w:rPr>
                <w:rFonts w:ascii="宋体" w:hAnsi="宋体" w:cs="宋体"/>
                <w:color w:val="auto"/>
              </w:rPr>
            </w:pPr>
            <w:r>
              <w:rPr>
                <w:rFonts w:hint="eastAsia" w:ascii="宋体" w:hAnsi="宋体"/>
                <w:color w:val="auto"/>
              </w:rPr>
              <w:t>联系电话：</w:t>
            </w:r>
            <w:r>
              <w:rPr>
                <w:rFonts w:hint="eastAsia" w:ascii="宋体" w:hAnsi="宋体" w:cs="宋体"/>
                <w:color w:val="auto"/>
                <w:szCs w:val="21"/>
              </w:rPr>
              <w:t>0771-2189091</w:t>
            </w:r>
            <w:bookmarkEnd w:id="11"/>
          </w:p>
        </w:tc>
      </w:tr>
      <w:tr w14:paraId="26B221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19" w:type="dxa"/>
            <w:tcBorders>
              <w:top w:val="single" w:color="000000" w:sz="4" w:space="0"/>
              <w:left w:val="single" w:color="000000" w:sz="4" w:space="0"/>
              <w:bottom w:val="single" w:color="000000" w:sz="4" w:space="0"/>
              <w:right w:val="single" w:color="000000" w:sz="4" w:space="0"/>
            </w:tcBorders>
            <w:vAlign w:val="center"/>
          </w:tcPr>
          <w:p w14:paraId="23189D45">
            <w:pPr>
              <w:spacing w:line="360" w:lineRule="auto"/>
              <w:jc w:val="center"/>
              <w:rPr>
                <w:rFonts w:ascii="宋体" w:hAnsi="宋体" w:cs="宋体"/>
                <w:color w:val="auto"/>
                <w:szCs w:val="21"/>
              </w:rPr>
            </w:pPr>
            <w:r>
              <w:rPr>
                <w:rFonts w:hint="eastAsia" w:ascii="宋体" w:hAnsi="宋体" w:cs="宋体"/>
                <w:color w:val="auto"/>
                <w:szCs w:val="21"/>
              </w:rPr>
              <w:t>33</w:t>
            </w:r>
          </w:p>
        </w:tc>
        <w:tc>
          <w:tcPr>
            <w:tcW w:w="2349" w:type="dxa"/>
            <w:tcBorders>
              <w:top w:val="single" w:color="000000" w:sz="4" w:space="0"/>
              <w:left w:val="single" w:color="000000" w:sz="4" w:space="0"/>
              <w:bottom w:val="single" w:color="000000" w:sz="4" w:space="0"/>
              <w:right w:val="single" w:color="000000" w:sz="4" w:space="0"/>
            </w:tcBorders>
            <w:vAlign w:val="center"/>
          </w:tcPr>
          <w:p w14:paraId="6B9DCECB">
            <w:pPr>
              <w:spacing w:line="360" w:lineRule="auto"/>
              <w:jc w:val="center"/>
              <w:rPr>
                <w:rFonts w:ascii="宋体" w:hAnsi="宋体" w:cs="宋体"/>
                <w:color w:val="auto"/>
                <w:szCs w:val="21"/>
              </w:rPr>
            </w:pPr>
            <w:r>
              <w:rPr>
                <w:rFonts w:hint="eastAsia" w:ascii="宋体" w:hAnsi="宋体" w:cs="宋体"/>
                <w:color w:val="auto"/>
                <w:szCs w:val="21"/>
              </w:rPr>
              <w:t>采购代理费</w:t>
            </w:r>
          </w:p>
        </w:tc>
        <w:tc>
          <w:tcPr>
            <w:tcW w:w="7092" w:type="dxa"/>
            <w:tcBorders>
              <w:top w:val="single" w:color="000000" w:sz="4" w:space="0"/>
              <w:left w:val="single" w:color="000000" w:sz="4" w:space="0"/>
              <w:bottom w:val="single" w:color="000000" w:sz="4" w:space="0"/>
              <w:right w:val="single" w:color="000000" w:sz="4" w:space="0"/>
            </w:tcBorders>
            <w:vAlign w:val="center"/>
          </w:tcPr>
          <w:p w14:paraId="62CD5E08">
            <w:pPr>
              <w:snapToGrid w:val="0"/>
              <w:spacing w:line="360" w:lineRule="auto"/>
              <w:rPr>
                <w:rFonts w:ascii="宋体" w:hAnsi="宋体" w:cs="宋体"/>
                <w:color w:val="auto"/>
                <w:kern w:val="0"/>
                <w:szCs w:val="21"/>
              </w:rPr>
            </w:pPr>
            <w:r>
              <w:rPr>
                <w:rFonts w:hint="eastAsia" w:ascii="宋体" w:hAnsi="宋体" w:cs="宋体"/>
                <w:color w:val="auto"/>
                <w:kern w:val="0"/>
                <w:szCs w:val="21"/>
              </w:rPr>
              <w:t>1. 是否收取采购代理费：</w:t>
            </w:r>
          </w:p>
          <w:p w14:paraId="4AA51BB0">
            <w:pPr>
              <w:snapToGrid w:val="0"/>
              <w:spacing w:line="360" w:lineRule="auto"/>
              <w:rPr>
                <w:rFonts w:ascii="宋体" w:hAnsi="宋体" w:cs="宋体"/>
                <w:color w:val="auto"/>
                <w:kern w:val="0"/>
                <w:szCs w:val="21"/>
              </w:rPr>
            </w:pPr>
            <w:r>
              <w:rPr>
                <w:rFonts w:hint="eastAsia" w:ascii="宋体" w:hAnsi="宋体" w:cs="宋体"/>
                <w:color w:val="auto"/>
                <w:szCs w:val="22"/>
              </w:rPr>
              <w:sym w:font="Wingdings 2" w:char="0052"/>
            </w:r>
            <w:r>
              <w:rPr>
                <w:rFonts w:hint="eastAsia" w:ascii="宋体" w:hAnsi="宋体" w:cs="宋体"/>
                <w:color w:val="auto"/>
                <w:kern w:val="0"/>
                <w:szCs w:val="21"/>
              </w:rPr>
              <w:t>是    □ 否</w:t>
            </w:r>
          </w:p>
          <w:p w14:paraId="3F564D83">
            <w:pPr>
              <w:snapToGrid w:val="0"/>
              <w:spacing w:line="360" w:lineRule="auto"/>
              <w:rPr>
                <w:rFonts w:ascii="宋体" w:hAnsi="宋体" w:cs="宋体"/>
                <w:color w:val="auto"/>
                <w:kern w:val="0"/>
                <w:szCs w:val="21"/>
              </w:rPr>
            </w:pPr>
            <w:r>
              <w:rPr>
                <w:rFonts w:hint="eastAsia" w:ascii="宋体" w:hAnsi="宋体" w:cs="宋体"/>
                <w:color w:val="auto"/>
                <w:kern w:val="0"/>
                <w:szCs w:val="21"/>
              </w:rPr>
              <w:t>2.采购代理费支付方式：</w:t>
            </w:r>
          </w:p>
          <w:p w14:paraId="19D5D0B6">
            <w:pPr>
              <w:snapToGrid w:val="0"/>
              <w:spacing w:line="360" w:lineRule="auto"/>
              <w:rPr>
                <w:rFonts w:ascii="宋体" w:hAnsi="宋体" w:cs="宋体"/>
                <w:color w:val="auto"/>
                <w:kern w:val="0"/>
                <w:szCs w:val="21"/>
              </w:rPr>
            </w:pPr>
            <w:r>
              <w:rPr>
                <w:rFonts w:hint="eastAsia" w:ascii="宋体" w:hAnsi="宋体" w:cs="宋体"/>
                <w:color w:val="auto"/>
                <w:szCs w:val="22"/>
              </w:rPr>
              <w:sym w:font="Wingdings 2" w:char="0052"/>
            </w:r>
            <w:r>
              <w:rPr>
                <w:rFonts w:hint="eastAsia" w:ascii="宋体" w:hAnsi="宋体" w:cs="宋体"/>
                <w:color w:val="auto"/>
                <w:kern w:val="0"/>
                <w:szCs w:val="21"/>
              </w:rPr>
              <w:t>本项目代理服务费由</w:t>
            </w:r>
            <w:r>
              <w:rPr>
                <w:rFonts w:hint="eastAsia" w:ascii="宋体" w:hAnsi="宋体" w:cs="宋体"/>
                <w:color w:val="auto"/>
                <w:kern w:val="0"/>
                <w:szCs w:val="21"/>
                <w:u w:val="single"/>
              </w:rPr>
              <w:t>成交供应商</w:t>
            </w:r>
            <w:r>
              <w:rPr>
                <w:rFonts w:hint="eastAsia" w:ascii="宋体" w:hAnsi="宋体" w:cs="宋体"/>
                <w:color w:val="auto"/>
                <w:kern w:val="0"/>
                <w:szCs w:val="21"/>
              </w:rPr>
              <w:t>领取成交通知书前，一次性向采购代理机构支付。</w:t>
            </w:r>
          </w:p>
          <w:p w14:paraId="642AD1F3">
            <w:pPr>
              <w:snapToGrid w:val="0"/>
              <w:spacing w:line="360" w:lineRule="auto"/>
              <w:rPr>
                <w:rFonts w:ascii="宋体" w:hAnsi="宋体" w:cs="宋体"/>
                <w:color w:val="auto"/>
                <w:kern w:val="0"/>
                <w:szCs w:val="21"/>
              </w:rPr>
            </w:pPr>
            <w:r>
              <w:rPr>
                <w:rFonts w:hint="eastAsia" w:ascii="宋体" w:hAnsi="宋体" w:cs="宋体"/>
                <w:color w:val="auto"/>
                <w:kern w:val="0"/>
                <w:szCs w:val="21"/>
              </w:rPr>
              <w:t>□采购人支付。</w:t>
            </w:r>
          </w:p>
          <w:p w14:paraId="3BD50D6D">
            <w:pPr>
              <w:snapToGrid w:val="0"/>
              <w:spacing w:line="360" w:lineRule="auto"/>
              <w:rPr>
                <w:rFonts w:ascii="宋体" w:hAnsi="宋体" w:cs="宋体"/>
                <w:color w:val="auto"/>
                <w:kern w:val="0"/>
                <w:szCs w:val="21"/>
              </w:rPr>
            </w:pPr>
            <w:r>
              <w:rPr>
                <w:rFonts w:hint="eastAsia" w:ascii="宋体" w:hAnsi="宋体" w:cs="宋体"/>
                <w:color w:val="auto"/>
                <w:kern w:val="0"/>
                <w:szCs w:val="21"/>
              </w:rPr>
              <w:t>3.采购代理费收取标准：</w:t>
            </w:r>
          </w:p>
          <w:p w14:paraId="67C43A86">
            <w:pPr>
              <w:snapToGrid w:val="0"/>
              <w:spacing w:line="360" w:lineRule="auto"/>
              <w:rPr>
                <w:rFonts w:ascii="宋体" w:hAnsi="宋体" w:cs="宋体"/>
                <w:color w:val="auto"/>
                <w:kern w:val="0"/>
                <w:szCs w:val="21"/>
              </w:rPr>
            </w:pPr>
            <w:r>
              <w:rPr>
                <w:rFonts w:hint="eastAsia" w:ascii="宋体" w:hAnsi="宋体" w:cs="宋体"/>
                <w:color w:val="auto"/>
                <w:kern w:val="0"/>
                <w:szCs w:val="21"/>
              </w:rPr>
              <w:t>以成交价作为计费基数，按国家计委《招标代理服务收费管理暂行办法》（计价格[2002]1980号）规定标准下浮20%计取。</w:t>
            </w:r>
          </w:p>
          <w:p w14:paraId="1A605B02">
            <w:pPr>
              <w:snapToGrid w:val="0"/>
              <w:spacing w:line="360" w:lineRule="auto"/>
              <w:rPr>
                <w:rFonts w:ascii="宋体" w:hAnsi="宋体" w:cs="宋体"/>
                <w:color w:val="auto"/>
                <w:kern w:val="0"/>
                <w:szCs w:val="21"/>
              </w:rPr>
            </w:pPr>
            <w:r>
              <w:rPr>
                <w:rFonts w:hint="eastAsia" w:ascii="宋体" w:hAnsi="宋体" w:cs="宋体"/>
                <w:color w:val="auto"/>
                <w:kern w:val="0"/>
                <w:szCs w:val="21"/>
              </w:rPr>
              <w:t>4. 采购代理费收取银行账户</w:t>
            </w:r>
          </w:p>
          <w:p w14:paraId="7743055A">
            <w:pPr>
              <w:snapToGrid w:val="0"/>
              <w:spacing w:line="360" w:lineRule="auto"/>
              <w:rPr>
                <w:rFonts w:ascii="宋体" w:hAnsi="宋体" w:cs="宋体"/>
                <w:color w:val="auto"/>
                <w:kern w:val="0"/>
                <w:szCs w:val="21"/>
              </w:rPr>
            </w:pPr>
            <w:r>
              <w:rPr>
                <w:rFonts w:hint="eastAsia" w:ascii="宋体" w:hAnsi="宋体" w:cs="宋体"/>
                <w:color w:val="auto"/>
                <w:kern w:val="0"/>
                <w:szCs w:val="21"/>
              </w:rPr>
              <w:t>开户名称：</w:t>
            </w:r>
            <w:r>
              <w:rPr>
                <w:rFonts w:hint="eastAsia" w:ascii="宋体" w:hAnsi="宋体" w:cs="宋体"/>
                <w:color w:val="auto"/>
                <w:kern w:val="0"/>
                <w:szCs w:val="21"/>
                <w:lang w:eastAsia="zh-CN"/>
              </w:rPr>
              <w:t>广西锦辉项目管理有限公司南宁分公司</w:t>
            </w:r>
            <w:r>
              <w:rPr>
                <w:rFonts w:hint="eastAsia" w:ascii="宋体" w:hAnsi="宋体" w:cs="宋体"/>
                <w:color w:val="auto"/>
                <w:kern w:val="0"/>
                <w:szCs w:val="21"/>
              </w:rPr>
              <w:t xml:space="preserve">  </w:t>
            </w:r>
          </w:p>
          <w:p w14:paraId="4BA420DF">
            <w:pPr>
              <w:snapToGrid w:val="0"/>
              <w:spacing w:line="360" w:lineRule="auto"/>
              <w:rPr>
                <w:rFonts w:ascii="宋体" w:hAnsi="宋体" w:cs="宋体"/>
                <w:color w:val="auto"/>
                <w:kern w:val="0"/>
                <w:szCs w:val="21"/>
              </w:rPr>
            </w:pPr>
            <w:r>
              <w:rPr>
                <w:rFonts w:hint="eastAsia" w:ascii="宋体" w:hAnsi="宋体" w:cs="宋体"/>
                <w:color w:val="auto"/>
                <w:kern w:val="0"/>
                <w:szCs w:val="21"/>
              </w:rPr>
              <w:t>开户银行：</w:t>
            </w:r>
            <w:r>
              <w:rPr>
                <w:rFonts w:hint="eastAsia" w:ascii="宋体" w:hAnsi="宋体"/>
                <w:color w:val="auto"/>
                <w:szCs w:val="21"/>
              </w:rPr>
              <w:t>建设银行南宁市长堽路支行</w:t>
            </w:r>
          </w:p>
          <w:p w14:paraId="1134A2DA">
            <w:pPr>
              <w:snapToGrid w:val="0"/>
              <w:spacing w:line="360" w:lineRule="auto"/>
              <w:rPr>
                <w:rFonts w:ascii="宋体" w:hAnsi="宋体" w:cs="宋体"/>
                <w:color w:val="auto"/>
                <w:kern w:val="0"/>
                <w:szCs w:val="21"/>
              </w:rPr>
            </w:pPr>
            <w:r>
              <w:rPr>
                <w:rFonts w:hint="eastAsia" w:ascii="宋体" w:hAnsi="宋体" w:cs="宋体"/>
                <w:color w:val="auto"/>
                <w:kern w:val="0"/>
                <w:szCs w:val="21"/>
              </w:rPr>
              <w:t>银行账号：</w:t>
            </w:r>
            <w:r>
              <w:rPr>
                <w:rFonts w:hint="eastAsia" w:ascii="宋体" w:hAnsi="宋体"/>
                <w:color w:val="auto"/>
                <w:szCs w:val="21"/>
              </w:rPr>
              <w:t>45050160435200000269</w:t>
            </w:r>
          </w:p>
        </w:tc>
      </w:tr>
      <w:tr w14:paraId="29ECF2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19" w:type="dxa"/>
            <w:tcBorders>
              <w:top w:val="single" w:color="000000" w:sz="4" w:space="0"/>
              <w:left w:val="single" w:color="000000" w:sz="4" w:space="0"/>
              <w:bottom w:val="single" w:color="000000" w:sz="4" w:space="0"/>
              <w:right w:val="single" w:color="000000" w:sz="4" w:space="0"/>
            </w:tcBorders>
            <w:vAlign w:val="center"/>
          </w:tcPr>
          <w:p w14:paraId="1F3442B2">
            <w:pPr>
              <w:spacing w:line="360" w:lineRule="auto"/>
              <w:jc w:val="center"/>
              <w:rPr>
                <w:rFonts w:ascii="宋体" w:hAnsi="宋体" w:cs="宋体"/>
                <w:color w:val="auto"/>
                <w:szCs w:val="21"/>
              </w:rPr>
            </w:pPr>
            <w:r>
              <w:rPr>
                <w:rFonts w:hint="eastAsia" w:ascii="宋体" w:hAnsi="宋体" w:cs="宋体"/>
                <w:color w:val="auto"/>
                <w:szCs w:val="21"/>
              </w:rPr>
              <w:t>34.1</w:t>
            </w:r>
          </w:p>
        </w:tc>
        <w:tc>
          <w:tcPr>
            <w:tcW w:w="2349" w:type="dxa"/>
            <w:tcBorders>
              <w:top w:val="single" w:color="000000" w:sz="4" w:space="0"/>
              <w:left w:val="single" w:color="000000" w:sz="4" w:space="0"/>
              <w:bottom w:val="single" w:color="000000" w:sz="4" w:space="0"/>
              <w:right w:val="single" w:color="000000" w:sz="4" w:space="0"/>
            </w:tcBorders>
            <w:vAlign w:val="center"/>
          </w:tcPr>
          <w:p w14:paraId="39395E8A">
            <w:pPr>
              <w:spacing w:line="360" w:lineRule="auto"/>
              <w:jc w:val="center"/>
              <w:rPr>
                <w:rFonts w:ascii="宋体" w:hAnsi="宋体" w:cs="宋体"/>
                <w:color w:val="auto"/>
                <w:szCs w:val="21"/>
              </w:rPr>
            </w:pPr>
            <w:r>
              <w:rPr>
                <w:rFonts w:hint="eastAsia" w:ascii="宋体" w:hAnsi="宋体" w:cs="宋体"/>
                <w:color w:val="auto"/>
              </w:rPr>
              <w:t>解释</w:t>
            </w:r>
          </w:p>
        </w:tc>
        <w:tc>
          <w:tcPr>
            <w:tcW w:w="7092" w:type="dxa"/>
            <w:tcBorders>
              <w:top w:val="single" w:color="000000" w:sz="4" w:space="0"/>
              <w:left w:val="single" w:color="000000" w:sz="4" w:space="0"/>
              <w:bottom w:val="single" w:color="000000" w:sz="4" w:space="0"/>
              <w:right w:val="single" w:color="000000" w:sz="4" w:space="0"/>
            </w:tcBorders>
            <w:vAlign w:val="center"/>
          </w:tcPr>
          <w:p w14:paraId="2DF70BA0">
            <w:pPr>
              <w:snapToGrid w:val="0"/>
              <w:spacing w:line="360" w:lineRule="auto"/>
              <w:rPr>
                <w:rFonts w:ascii="宋体" w:hAnsi="宋体" w:cs="宋体"/>
                <w:b/>
                <w:color w:val="auto"/>
                <w:kern w:val="0"/>
                <w:szCs w:val="21"/>
              </w:rPr>
            </w:pPr>
            <w:r>
              <w:rPr>
                <w:rFonts w:hint="eastAsia" w:ascii="宋体" w:hAnsi="宋体" w:cs="宋体"/>
                <w:b/>
                <w:color w:val="auto"/>
                <w:kern w:val="0"/>
                <w:szCs w:val="21"/>
              </w:rPr>
              <w:t>解释权：</w:t>
            </w:r>
            <w:r>
              <w:rPr>
                <w:rFonts w:hint="eastAsia" w:ascii="宋体" w:hAnsi="宋体" w:cs="宋体"/>
                <w:color w:val="auto"/>
                <w:kern w:val="0"/>
                <w:szCs w:val="21"/>
              </w:rPr>
              <w:t>构成本磋商文件的各个组成文件应互为解释，互为说明；除磋商文件中有特别规定外，仅适用于竞标阶段的规定，按更正公告（澄清公告）、竞争性磋商公告、供应商须知、采购需求、评审程序、评审方法和评审标准、响应文件格式、合同文本的先后顺序解释；同一组成文件中就同一事项的规定或者约定不一致的，以编排顺序在后者为准；同一组成文件不同版本之间有不一致的，以形成时间在后者为准；更正公告（澄清公告）与同步更新的磋商文件不一致时以更正公告（澄清公告）为准。按本款前述规定仍不能形成结论的，</w:t>
            </w:r>
            <w:r>
              <w:rPr>
                <w:rFonts w:hint="eastAsia" w:ascii="宋体" w:hAnsi="宋体" w:cs="宋体"/>
                <w:b/>
                <w:color w:val="auto"/>
                <w:kern w:val="0"/>
                <w:szCs w:val="21"/>
              </w:rPr>
              <w:t>由采购人或者采购代理机构负责解释。</w:t>
            </w:r>
          </w:p>
          <w:p w14:paraId="47299D04">
            <w:pPr>
              <w:snapToGrid w:val="0"/>
              <w:spacing w:line="360" w:lineRule="auto"/>
              <w:rPr>
                <w:rFonts w:ascii="宋体" w:hAnsi="宋体" w:cs="宋体"/>
                <w:b/>
                <w:color w:val="auto"/>
                <w:kern w:val="0"/>
                <w:szCs w:val="21"/>
              </w:rPr>
            </w:pPr>
            <w:r>
              <w:rPr>
                <w:rFonts w:hint="eastAsia" w:ascii="宋体" w:hAnsi="宋体" w:cs="宋体"/>
                <w:b/>
                <w:color w:val="auto"/>
                <w:kern w:val="0"/>
                <w:szCs w:val="21"/>
              </w:rPr>
              <w:t>法律责任：</w:t>
            </w:r>
          </w:p>
          <w:p w14:paraId="26C27C45">
            <w:pPr>
              <w:snapToGrid w:val="0"/>
              <w:spacing w:line="360" w:lineRule="auto"/>
              <w:rPr>
                <w:rFonts w:ascii="宋体" w:hAnsi="宋体" w:cs="宋体"/>
                <w:color w:val="auto"/>
                <w:kern w:val="0"/>
                <w:szCs w:val="21"/>
              </w:rPr>
            </w:pPr>
            <w:r>
              <w:rPr>
                <w:rFonts w:hint="eastAsia" w:ascii="宋体" w:hAnsi="宋体" w:cs="宋体"/>
                <w:b/>
                <w:color w:val="auto"/>
                <w:kern w:val="0"/>
                <w:szCs w:val="21"/>
              </w:rPr>
              <w:t>1.</w:t>
            </w:r>
            <w:r>
              <w:rPr>
                <w:rFonts w:hint="eastAsia" w:ascii="宋体" w:hAnsi="宋体" w:cs="宋体"/>
                <w:color w:val="auto"/>
                <w:kern w:val="0"/>
                <w:szCs w:val="21"/>
              </w:rPr>
              <w:t>本采购文件根据《中华人民共和国政府采购法》、《中华人民共和国民法典》；《中华人民共和国政府采购法实施条例》、《政府采购竞争性磋商采购方式管理暂行办法》等有关法律、法规编制，参与本项目的各政府采购当事人依法享有上述法律法规所赋予的权利与义务。</w:t>
            </w:r>
          </w:p>
          <w:p w14:paraId="42C7FAA0">
            <w:pPr>
              <w:spacing w:line="360" w:lineRule="auto"/>
              <w:rPr>
                <w:rFonts w:ascii="宋体" w:hAnsi="宋体" w:cs="宋体"/>
                <w:color w:val="auto"/>
              </w:rPr>
            </w:pPr>
            <w:r>
              <w:rPr>
                <w:rFonts w:hint="eastAsia" w:ascii="宋体" w:hAnsi="宋体" w:cs="宋体"/>
                <w:b/>
                <w:color w:val="auto"/>
              </w:rPr>
              <w:t>2.</w:t>
            </w:r>
            <w:r>
              <w:rPr>
                <w:rFonts w:hint="eastAsia" w:ascii="宋体" w:hAnsi="宋体" w:cs="宋体"/>
                <w:b/>
                <w:color w:val="auto"/>
                <w:szCs w:val="21"/>
              </w:rPr>
              <w:t xml:space="preserve"> 本项目采购代理机构应严格按照“广西政府采购云”平台项目采购全流程电子化电子开评标规程执行项目采购活动，代理机构在“广西政府采购云”平台的“项目管理”—“采购文件管理”内开评标规则设置作为本采购文件的组成部分，截标之后不可更改，因代理机构开评标规则设置错误导致采购活动无法开展下去的情况，由代理机构负责解释并承担其后果。</w:t>
            </w:r>
          </w:p>
        </w:tc>
      </w:tr>
      <w:tr w14:paraId="397983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19" w:type="dxa"/>
            <w:tcBorders>
              <w:top w:val="single" w:color="000000" w:sz="4" w:space="0"/>
              <w:left w:val="single" w:color="000000" w:sz="4" w:space="0"/>
              <w:bottom w:val="single" w:color="000000" w:sz="4" w:space="0"/>
              <w:right w:val="single" w:color="000000" w:sz="4" w:space="0"/>
            </w:tcBorders>
            <w:vAlign w:val="center"/>
          </w:tcPr>
          <w:p w14:paraId="7584AB89">
            <w:pPr>
              <w:spacing w:line="360" w:lineRule="auto"/>
              <w:jc w:val="center"/>
              <w:rPr>
                <w:rFonts w:ascii="宋体" w:hAnsi="宋体" w:cs="宋体"/>
                <w:color w:val="auto"/>
                <w:szCs w:val="21"/>
              </w:rPr>
            </w:pPr>
            <w:r>
              <w:rPr>
                <w:rFonts w:hint="eastAsia" w:ascii="宋体" w:hAnsi="宋体" w:cs="宋体"/>
                <w:color w:val="auto"/>
                <w:szCs w:val="21"/>
              </w:rPr>
              <w:t>34.2</w:t>
            </w:r>
          </w:p>
        </w:tc>
        <w:tc>
          <w:tcPr>
            <w:tcW w:w="2349" w:type="dxa"/>
            <w:tcBorders>
              <w:top w:val="single" w:color="000000" w:sz="4" w:space="0"/>
              <w:left w:val="single" w:color="000000" w:sz="4" w:space="0"/>
              <w:bottom w:val="single" w:color="000000" w:sz="4" w:space="0"/>
              <w:right w:val="single" w:color="000000" w:sz="4" w:space="0"/>
            </w:tcBorders>
            <w:vAlign w:val="center"/>
          </w:tcPr>
          <w:p w14:paraId="31AC8607">
            <w:pPr>
              <w:spacing w:line="360" w:lineRule="auto"/>
              <w:jc w:val="center"/>
              <w:rPr>
                <w:rFonts w:ascii="宋体" w:hAnsi="宋体" w:cs="宋体"/>
                <w:color w:val="auto"/>
                <w:szCs w:val="21"/>
              </w:rPr>
            </w:pPr>
            <w:r>
              <w:rPr>
                <w:rFonts w:hint="eastAsia" w:ascii="宋体" w:hAnsi="宋体" w:cs="宋体"/>
                <w:color w:val="auto"/>
                <w:szCs w:val="21"/>
              </w:rPr>
              <w:t>其他</w:t>
            </w:r>
          </w:p>
        </w:tc>
        <w:tc>
          <w:tcPr>
            <w:tcW w:w="7092" w:type="dxa"/>
            <w:tcBorders>
              <w:top w:val="single" w:color="000000" w:sz="4" w:space="0"/>
              <w:left w:val="single" w:color="000000" w:sz="4" w:space="0"/>
              <w:bottom w:val="single" w:color="000000" w:sz="4" w:space="0"/>
              <w:right w:val="single" w:color="000000" w:sz="4" w:space="0"/>
            </w:tcBorders>
            <w:vAlign w:val="center"/>
          </w:tcPr>
          <w:p w14:paraId="60FD70E5">
            <w:pPr>
              <w:widowControl/>
              <w:kinsoku w:val="0"/>
              <w:autoSpaceDE w:val="0"/>
              <w:autoSpaceDN w:val="0"/>
              <w:adjustRightInd w:val="0"/>
              <w:snapToGrid w:val="0"/>
              <w:spacing w:line="360" w:lineRule="auto"/>
              <w:textAlignment w:val="baseline"/>
              <w:rPr>
                <w:rFonts w:ascii="宋体" w:hAnsi="宋体" w:cs="宋体"/>
                <w:color w:val="auto"/>
                <w:kern w:val="0"/>
                <w:szCs w:val="21"/>
              </w:rPr>
            </w:pPr>
            <w:r>
              <w:rPr>
                <w:rFonts w:hint="eastAsia" w:ascii="宋体" w:hAnsi="宋体" w:cs="宋体"/>
                <w:color w:val="auto"/>
                <w:kern w:val="0"/>
                <w:szCs w:val="21"/>
              </w:rPr>
              <w:t>1.本磋商文件中描述供应商的“公章”是指根据我国对公章的管理规定，用供应商法定主体行为名称制作的印章，除本磋商文件有特殊规定外，供应商的财务章、部门章、分公司章、工会章、合同章、竞标/投标专用章、业务专用章及银行的转账章、现金收讫章、现金付讫章等其他形式印章均不能代替公章。</w:t>
            </w:r>
          </w:p>
          <w:p w14:paraId="799B92D0">
            <w:pPr>
              <w:widowControl/>
              <w:kinsoku w:val="0"/>
              <w:autoSpaceDE w:val="0"/>
              <w:autoSpaceDN w:val="0"/>
              <w:adjustRightInd w:val="0"/>
              <w:snapToGrid w:val="0"/>
              <w:spacing w:line="360" w:lineRule="auto"/>
              <w:textAlignment w:val="baseline"/>
              <w:rPr>
                <w:rFonts w:ascii="宋体" w:hAnsi="宋体" w:cs="宋体"/>
                <w:color w:val="auto"/>
                <w:kern w:val="0"/>
                <w:szCs w:val="21"/>
              </w:rPr>
            </w:pPr>
            <w:r>
              <w:rPr>
                <w:rFonts w:hint="eastAsia" w:ascii="宋体" w:hAnsi="宋体" w:cs="宋体"/>
                <w:color w:val="auto"/>
                <w:kern w:val="0"/>
                <w:szCs w:val="21"/>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63918BD8">
            <w:pPr>
              <w:widowControl/>
              <w:kinsoku w:val="0"/>
              <w:autoSpaceDE w:val="0"/>
              <w:autoSpaceDN w:val="0"/>
              <w:adjustRightInd w:val="0"/>
              <w:snapToGrid w:val="0"/>
              <w:spacing w:line="360" w:lineRule="auto"/>
              <w:textAlignment w:val="baseline"/>
              <w:rPr>
                <w:rFonts w:ascii="宋体" w:hAnsi="宋体" w:cs="宋体"/>
                <w:color w:val="auto"/>
                <w:kern w:val="0"/>
                <w:szCs w:val="21"/>
              </w:rPr>
            </w:pPr>
            <w:r>
              <w:rPr>
                <w:rFonts w:hint="eastAsia" w:ascii="宋体" w:hAnsi="宋体" w:cs="宋体"/>
                <w:color w:val="auto"/>
                <w:kern w:val="0"/>
                <w:szCs w:val="21"/>
              </w:rPr>
              <w:t>3.本磋商文件中描述供应商的“签字”是指供应商的法定代表人或者委托代理人亲自在文件规定签署处亲笔写上个人的名字的行为，私章、签字章、印鉴、影印等其他形式均不能代替亲笔签字。</w:t>
            </w:r>
          </w:p>
          <w:p w14:paraId="3E695236">
            <w:pPr>
              <w:widowControl/>
              <w:kinsoku w:val="0"/>
              <w:autoSpaceDE w:val="0"/>
              <w:autoSpaceDN w:val="0"/>
              <w:adjustRightInd w:val="0"/>
              <w:snapToGrid w:val="0"/>
              <w:spacing w:line="360" w:lineRule="auto"/>
              <w:textAlignment w:val="baseline"/>
              <w:rPr>
                <w:rFonts w:ascii="宋体" w:hAnsi="宋体" w:cs="宋体"/>
                <w:color w:val="auto"/>
                <w:kern w:val="0"/>
                <w:szCs w:val="21"/>
              </w:rPr>
            </w:pPr>
            <w:r>
              <w:rPr>
                <w:rFonts w:hint="eastAsia" w:ascii="宋体" w:hAnsi="宋体" w:cs="宋体"/>
                <w:color w:val="auto"/>
                <w:kern w:val="0"/>
                <w:szCs w:val="21"/>
              </w:rPr>
              <w:t>4.自然人竞标的，磋商文件规定盖公章处由自然人摁手指指印。</w:t>
            </w:r>
          </w:p>
          <w:p w14:paraId="059C12B4">
            <w:pPr>
              <w:widowControl/>
              <w:kinsoku w:val="0"/>
              <w:autoSpaceDE w:val="0"/>
              <w:autoSpaceDN w:val="0"/>
              <w:adjustRightInd w:val="0"/>
              <w:snapToGrid w:val="0"/>
              <w:spacing w:line="360" w:lineRule="auto"/>
              <w:textAlignment w:val="baseline"/>
              <w:rPr>
                <w:rFonts w:ascii="宋体" w:hAnsi="宋体" w:cs="宋体"/>
                <w:color w:val="auto"/>
                <w:kern w:val="0"/>
                <w:szCs w:val="21"/>
              </w:rPr>
            </w:pPr>
            <w:r>
              <w:rPr>
                <w:rFonts w:hint="eastAsia" w:ascii="宋体" w:hAnsi="宋体" w:cs="宋体"/>
                <w:color w:val="auto"/>
                <w:kern w:val="0"/>
                <w:szCs w:val="21"/>
              </w:rPr>
              <w:t>5.本磋商文件所称的“以上”“以下”“以内”“届满”，包括本数；所称的“不满”“超过”“以外”，不包括本数。</w:t>
            </w:r>
          </w:p>
        </w:tc>
      </w:tr>
    </w:tbl>
    <w:p w14:paraId="6C66B763">
      <w:pPr>
        <w:spacing w:line="360" w:lineRule="auto"/>
        <w:rPr>
          <w:rFonts w:ascii="宋体" w:hAnsi="宋体" w:cs="宋体"/>
          <w:color w:val="auto"/>
        </w:rPr>
      </w:pPr>
    </w:p>
    <w:p w14:paraId="481989DD">
      <w:pPr>
        <w:pStyle w:val="13"/>
        <w:spacing w:line="360" w:lineRule="auto"/>
        <w:rPr>
          <w:rFonts w:ascii="宋体" w:hAnsi="宋体" w:cs="宋体"/>
          <w:color w:val="auto"/>
        </w:rPr>
      </w:pPr>
    </w:p>
    <w:p w14:paraId="41824919">
      <w:pPr>
        <w:spacing w:line="360" w:lineRule="auto"/>
        <w:rPr>
          <w:rFonts w:ascii="宋体" w:hAnsi="宋体" w:cs="宋体"/>
          <w:color w:val="auto"/>
        </w:rPr>
      </w:pPr>
    </w:p>
    <w:p w14:paraId="0C0B7E17">
      <w:pPr>
        <w:spacing w:line="360" w:lineRule="auto"/>
        <w:rPr>
          <w:rFonts w:ascii="宋体" w:hAnsi="宋体" w:cs="宋体"/>
          <w:color w:val="auto"/>
        </w:rPr>
      </w:pPr>
    </w:p>
    <w:p w14:paraId="458ECD89">
      <w:pPr>
        <w:spacing w:line="360" w:lineRule="auto"/>
        <w:rPr>
          <w:rFonts w:ascii="宋体" w:hAnsi="宋体" w:cs="宋体"/>
          <w:color w:val="auto"/>
        </w:rPr>
      </w:pPr>
    </w:p>
    <w:p w14:paraId="66D2A837">
      <w:pPr>
        <w:spacing w:line="360" w:lineRule="auto"/>
        <w:rPr>
          <w:rFonts w:ascii="宋体" w:hAnsi="宋体" w:cs="宋体"/>
          <w:color w:val="auto"/>
        </w:rPr>
        <w:sectPr>
          <w:pgSz w:w="11905" w:h="16838"/>
          <w:pgMar w:top="1417" w:right="1134" w:bottom="1417" w:left="1100" w:header="703" w:footer="703" w:gutter="0"/>
          <w:cols w:space="720" w:num="1"/>
        </w:sectPr>
      </w:pPr>
    </w:p>
    <w:p w14:paraId="346F30F2">
      <w:pPr>
        <w:spacing w:before="104" w:line="360" w:lineRule="auto"/>
        <w:ind w:left="2733"/>
        <w:outlineLvl w:val="1"/>
        <w:rPr>
          <w:rFonts w:ascii="宋体" w:hAnsi="宋体" w:cs="宋体"/>
          <w:color w:val="auto"/>
          <w:sz w:val="32"/>
          <w:szCs w:val="32"/>
        </w:rPr>
      </w:pPr>
      <w:r>
        <w:rPr>
          <w:rFonts w:hint="eastAsia" w:ascii="宋体" w:hAnsi="宋体" w:cs="宋体"/>
          <w:color w:val="auto"/>
          <w:spacing w:val="-1"/>
          <w:sz w:val="32"/>
          <w:szCs w:val="32"/>
        </w:rPr>
        <w:t>第二节 供应商须知正文</w:t>
      </w:r>
    </w:p>
    <w:p w14:paraId="32497EB7">
      <w:pPr>
        <w:spacing w:before="98" w:line="360" w:lineRule="auto"/>
        <w:ind w:left="542"/>
        <w:rPr>
          <w:rFonts w:ascii="宋体" w:hAnsi="宋体" w:cs="宋体"/>
          <w:b/>
          <w:bCs/>
          <w:color w:val="auto"/>
          <w:spacing w:val="-3"/>
          <w:szCs w:val="21"/>
        </w:rPr>
      </w:pPr>
      <w:r>
        <w:rPr>
          <w:rFonts w:hint="eastAsia" w:ascii="宋体" w:hAnsi="宋体" w:cs="宋体"/>
          <w:b/>
          <w:bCs/>
          <w:color w:val="auto"/>
          <w:spacing w:val="-3"/>
          <w:szCs w:val="21"/>
        </w:rPr>
        <w:t>一、总则</w:t>
      </w:r>
    </w:p>
    <w:p w14:paraId="0697814A">
      <w:pPr>
        <w:pStyle w:val="77"/>
        <w:ind w:firstLine="420"/>
        <w:rPr>
          <w:color w:val="auto"/>
        </w:rPr>
      </w:pPr>
      <w:r>
        <w:rPr>
          <w:rFonts w:hint="eastAsia"/>
          <w:color w:val="auto"/>
        </w:rPr>
        <w:t>1.适用范围</w:t>
      </w:r>
    </w:p>
    <w:p w14:paraId="73D6BEBC">
      <w:pPr>
        <w:pStyle w:val="77"/>
        <w:ind w:firstLine="420"/>
        <w:rPr>
          <w:color w:val="auto"/>
        </w:rPr>
      </w:pPr>
      <w:r>
        <w:rPr>
          <w:rFonts w:hint="eastAsia"/>
          <w:color w:val="auto"/>
        </w:rPr>
        <w:t>1.1本项目采购人、采购代理机构、供应商、磋商小组的相关行为均受《中华人民共和国政府采购法》《中华人民共和国政府采购法实施条例》《政府采购竞争性磋商采购方式管理暂行办法》《财政部关于政府采购竞争性磋商采购方式管理暂行办法有关问题的补充通知》及本项目本级和上级财政部门政府采购有关规定的约束和保护。</w:t>
      </w:r>
    </w:p>
    <w:p w14:paraId="77760399">
      <w:pPr>
        <w:pStyle w:val="77"/>
        <w:ind w:firstLine="420"/>
        <w:rPr>
          <w:color w:val="auto"/>
        </w:rPr>
      </w:pPr>
      <w:r>
        <w:rPr>
          <w:rFonts w:hint="eastAsia"/>
          <w:color w:val="auto"/>
        </w:rPr>
        <w:t>1.2本竞争性磋商文件(以下简称磋商文件)适用于本项目的所有采购程序和环节(法律、法规另有规定的，从其规定)。</w:t>
      </w:r>
    </w:p>
    <w:p w14:paraId="325646B9">
      <w:pPr>
        <w:pStyle w:val="77"/>
        <w:ind w:firstLine="420"/>
        <w:rPr>
          <w:color w:val="auto"/>
        </w:rPr>
      </w:pPr>
      <w:r>
        <w:rPr>
          <w:rFonts w:hint="eastAsia"/>
          <w:color w:val="auto"/>
        </w:rPr>
        <w:t>2.定义</w:t>
      </w:r>
    </w:p>
    <w:p w14:paraId="20B6E497">
      <w:pPr>
        <w:pStyle w:val="77"/>
        <w:ind w:firstLine="420"/>
        <w:rPr>
          <w:color w:val="auto"/>
        </w:rPr>
      </w:pPr>
      <w:r>
        <w:rPr>
          <w:rFonts w:hint="eastAsia"/>
          <w:color w:val="auto"/>
        </w:rPr>
        <w:t>2.1“采购人”是指依法进行政府采购的国家机关、事业单位、团体组织。</w:t>
      </w:r>
    </w:p>
    <w:p w14:paraId="657707B4">
      <w:pPr>
        <w:pStyle w:val="77"/>
        <w:ind w:firstLine="420"/>
        <w:rPr>
          <w:color w:val="auto"/>
        </w:rPr>
      </w:pPr>
      <w:r>
        <w:rPr>
          <w:rFonts w:hint="eastAsia"/>
          <w:color w:val="auto"/>
        </w:rPr>
        <w:t>2.2“采购代理机构”是指政府采购集中采购机构和集中采购机构以外的采购代理机构。</w:t>
      </w:r>
    </w:p>
    <w:p w14:paraId="6D73BF72">
      <w:pPr>
        <w:pStyle w:val="77"/>
        <w:ind w:firstLine="420"/>
        <w:rPr>
          <w:color w:val="auto"/>
        </w:rPr>
      </w:pPr>
      <w:r>
        <w:rPr>
          <w:rFonts w:hint="eastAsia"/>
          <w:color w:val="auto"/>
        </w:rPr>
        <w:t>2.3“供应商”是指向采购人提供货物、工程或者服务的法人、其他组织或者自然人。</w:t>
      </w:r>
    </w:p>
    <w:p w14:paraId="2E2F9E58">
      <w:pPr>
        <w:pStyle w:val="77"/>
        <w:ind w:firstLine="420"/>
        <w:rPr>
          <w:color w:val="auto"/>
        </w:rPr>
      </w:pPr>
      <w:r>
        <w:rPr>
          <w:rFonts w:hint="eastAsia"/>
          <w:color w:val="auto"/>
        </w:rPr>
        <w:t>2.4“服务”是指除货物和工程以外的其他政府采购对象。</w:t>
      </w:r>
    </w:p>
    <w:p w14:paraId="063A72D4">
      <w:pPr>
        <w:pStyle w:val="77"/>
        <w:ind w:firstLine="420"/>
        <w:rPr>
          <w:color w:val="auto"/>
        </w:rPr>
      </w:pPr>
      <w:r>
        <w:rPr>
          <w:rFonts w:hint="eastAsia"/>
          <w:color w:val="auto"/>
        </w:rPr>
        <w:t>2.5“竞标”是指供应商按照本项目竞争性磋商公告或者邀请函规定的方式获取磋商文件、提交响应文件并希望获得标的的行为。</w:t>
      </w:r>
    </w:p>
    <w:p w14:paraId="3CE9774E">
      <w:pPr>
        <w:pStyle w:val="77"/>
        <w:ind w:firstLine="420"/>
        <w:rPr>
          <w:color w:val="auto"/>
        </w:rPr>
      </w:pPr>
      <w:r>
        <w:rPr>
          <w:rFonts w:hint="eastAsia"/>
          <w:color w:val="auto"/>
        </w:rPr>
        <w:t>2.6“响应文件”是指：供应商根据本磋商文件要求，编制包含资格证明、报价商务技术等所有内容的文件。</w:t>
      </w:r>
    </w:p>
    <w:p w14:paraId="5518E0AD">
      <w:pPr>
        <w:pStyle w:val="77"/>
        <w:ind w:firstLine="420"/>
        <w:rPr>
          <w:color w:val="auto"/>
        </w:rPr>
      </w:pPr>
      <w:r>
        <w:rPr>
          <w:rFonts w:hint="eastAsia"/>
          <w:color w:val="auto"/>
        </w:rPr>
        <w:t>2.7“实质性要求”是指磋商文件中已经指明不满足则响应文件按无效响应处理的条款，或者不能负偏离的条款，或者采购需求中带“▲”的条款。</w:t>
      </w:r>
    </w:p>
    <w:p w14:paraId="243FEA4D">
      <w:pPr>
        <w:pStyle w:val="77"/>
        <w:ind w:firstLine="420"/>
        <w:rPr>
          <w:color w:val="auto"/>
        </w:rPr>
      </w:pPr>
      <w:r>
        <w:rPr>
          <w:rFonts w:hint="eastAsia"/>
          <w:color w:val="auto"/>
        </w:rPr>
        <w:t>2.8“正偏离”，是指响应文件对磋商文件“采购需求”中有关条款作出的响应优于条款要求并有利于采购人的情形。</w:t>
      </w:r>
    </w:p>
    <w:p w14:paraId="728202F5">
      <w:pPr>
        <w:pStyle w:val="77"/>
        <w:ind w:firstLine="420"/>
        <w:rPr>
          <w:color w:val="auto"/>
        </w:rPr>
      </w:pPr>
      <w:r>
        <w:rPr>
          <w:rFonts w:hint="eastAsia"/>
          <w:color w:val="auto"/>
        </w:rPr>
        <w:t>2.9“负偏离”，是指响应文件对磋商文件“采购需求”中有关条款作出的响应不满足条款要求，导致采购人要求不能得到满足的情形。</w:t>
      </w:r>
    </w:p>
    <w:p w14:paraId="3252DBE6">
      <w:pPr>
        <w:pStyle w:val="77"/>
        <w:ind w:firstLine="420"/>
        <w:rPr>
          <w:color w:val="auto"/>
        </w:rPr>
      </w:pPr>
      <w:r>
        <w:rPr>
          <w:rFonts w:hint="eastAsia"/>
          <w:color w:val="auto"/>
        </w:rPr>
        <w:t>2.10“允许负偏离的条款”是指采购需求中的不属于“实质性要求”的条款。</w:t>
      </w:r>
    </w:p>
    <w:p w14:paraId="60230C2B">
      <w:pPr>
        <w:pStyle w:val="77"/>
        <w:ind w:firstLine="420"/>
        <w:rPr>
          <w:color w:val="auto"/>
        </w:rPr>
      </w:pPr>
      <w:r>
        <w:rPr>
          <w:rFonts w:hint="eastAsia"/>
          <w:color w:val="auto"/>
        </w:rPr>
        <w:t>2.11“书面形式”是指合同书、信件和数据电文(包括电报、电传、传真、电子数据交换和电子邮件)等可以有形地表现所载内容的形式。</w:t>
      </w:r>
    </w:p>
    <w:p w14:paraId="0FFDE00F">
      <w:pPr>
        <w:pStyle w:val="77"/>
        <w:ind w:firstLine="420"/>
        <w:rPr>
          <w:color w:val="auto"/>
        </w:rPr>
      </w:pPr>
      <w:r>
        <w:rPr>
          <w:rFonts w:hint="eastAsia"/>
          <w:color w:val="auto"/>
        </w:rPr>
        <w:t>2.12“首次报价”是指供应商提交的首次响应文件中的报价。</w:t>
      </w:r>
    </w:p>
    <w:p w14:paraId="4C8AC0E1">
      <w:pPr>
        <w:pStyle w:val="77"/>
        <w:ind w:firstLine="420"/>
        <w:rPr>
          <w:color w:val="auto"/>
        </w:rPr>
      </w:pPr>
      <w:r>
        <w:rPr>
          <w:rFonts w:hint="eastAsia"/>
          <w:color w:val="auto"/>
        </w:rPr>
        <w:t>2.13“评审报价”是指供应商提交的最后报价并经修正(如有)和政策功能价格扣除(如有)后的价格。</w:t>
      </w:r>
    </w:p>
    <w:p w14:paraId="113F221D">
      <w:pPr>
        <w:pStyle w:val="77"/>
        <w:ind w:firstLine="420"/>
        <w:rPr>
          <w:color w:val="auto"/>
        </w:rPr>
      </w:pPr>
      <w:r>
        <w:rPr>
          <w:rFonts w:hint="eastAsia"/>
          <w:color w:val="auto"/>
        </w:rPr>
        <w:t>3.供应商的资格条件</w:t>
      </w:r>
    </w:p>
    <w:p w14:paraId="3A580820">
      <w:pPr>
        <w:pStyle w:val="77"/>
        <w:ind w:firstLine="420"/>
        <w:rPr>
          <w:color w:val="auto"/>
        </w:rPr>
      </w:pPr>
      <w:r>
        <w:rPr>
          <w:rFonts w:hint="eastAsia"/>
          <w:color w:val="auto"/>
        </w:rPr>
        <w:t>供应商的资格条件详见“供应商须知前附表”。</w:t>
      </w:r>
    </w:p>
    <w:p w14:paraId="5A9F8D41">
      <w:pPr>
        <w:pStyle w:val="77"/>
        <w:ind w:firstLine="420"/>
        <w:rPr>
          <w:color w:val="auto"/>
        </w:rPr>
      </w:pPr>
      <w:r>
        <w:rPr>
          <w:rFonts w:hint="eastAsia"/>
          <w:color w:val="auto"/>
        </w:rPr>
        <w:t>4.磋商费用</w:t>
      </w:r>
    </w:p>
    <w:p w14:paraId="1F1A66E9">
      <w:pPr>
        <w:pStyle w:val="77"/>
        <w:ind w:firstLine="420"/>
        <w:rPr>
          <w:color w:val="auto"/>
        </w:rPr>
      </w:pPr>
      <w:r>
        <w:rPr>
          <w:rFonts w:hint="eastAsia"/>
          <w:color w:val="auto"/>
        </w:rPr>
        <w:t>供应商应承担参与本次采购活动有关的所有费用，包括但不限于、勘查现场、编制和提交响应文件、参加磋商与应答、签订合同等，不论竞标结果如何，均应自行承担。</w:t>
      </w:r>
    </w:p>
    <w:p w14:paraId="27A9378E">
      <w:pPr>
        <w:pStyle w:val="77"/>
        <w:ind w:firstLine="420"/>
        <w:rPr>
          <w:color w:val="auto"/>
        </w:rPr>
      </w:pPr>
      <w:r>
        <w:rPr>
          <w:rFonts w:hint="eastAsia"/>
          <w:color w:val="auto"/>
        </w:rPr>
        <w:t>5.联合体竞标</w:t>
      </w:r>
    </w:p>
    <w:p w14:paraId="7EEC9C89">
      <w:pPr>
        <w:pStyle w:val="77"/>
        <w:ind w:firstLine="420"/>
        <w:rPr>
          <w:color w:val="auto"/>
        </w:rPr>
      </w:pPr>
      <w:r>
        <w:rPr>
          <w:rFonts w:hint="eastAsia"/>
          <w:color w:val="auto"/>
        </w:rPr>
        <w:t>5.1本项目是否接受联合体竞标，详见“供应商须知前附表”。</w:t>
      </w:r>
    </w:p>
    <w:p w14:paraId="40FE55FC">
      <w:pPr>
        <w:pStyle w:val="77"/>
        <w:ind w:firstLine="420"/>
        <w:rPr>
          <w:color w:val="auto"/>
        </w:rPr>
      </w:pPr>
      <w:r>
        <w:rPr>
          <w:rFonts w:hint="eastAsia"/>
          <w:color w:val="auto"/>
        </w:rPr>
        <w:t>5.2如接受联合体竞标，联合体竞标要求详见“供应商须知前附表”。</w:t>
      </w:r>
    </w:p>
    <w:p w14:paraId="18E153E8">
      <w:pPr>
        <w:pStyle w:val="77"/>
        <w:ind w:firstLine="420"/>
        <w:rPr>
          <w:color w:val="auto"/>
        </w:rPr>
      </w:pPr>
      <w:r>
        <w:rPr>
          <w:rFonts w:hint="eastAsia"/>
          <w:color w:val="auto"/>
        </w:rPr>
        <w:t>5.3根据《政府采购促进中小企业发展管理办法》(财库[2020]46号)第九条及《广西壮族自治区财政厅关于进一步发挥政府采购政策功能促进企业发展的通知》(桂财采〔2022〕30号)规定，接受大中型企业与小微企业组成联合体的采购项目，对于联合协议约定小微企业的合同份额占到合同总金额30%以上的，采购人、采购代理机构应当对联合体的报价给予4%-6%(工程项目为1%—2%)的扣除，用扣除后的价格参加评审。组成联合体的小微企业与联合体内其他企业、分包企业之间存在直接控股、管理关系的，不享受价格扣除优惠政策。</w:t>
      </w:r>
    </w:p>
    <w:p w14:paraId="7C4EB767">
      <w:pPr>
        <w:pStyle w:val="77"/>
        <w:ind w:firstLine="420"/>
        <w:rPr>
          <w:color w:val="auto"/>
        </w:rPr>
      </w:pPr>
      <w:r>
        <w:rPr>
          <w:rFonts w:hint="eastAsia"/>
          <w:color w:val="auto"/>
        </w:rPr>
        <w:t>6.转包与分包</w:t>
      </w:r>
    </w:p>
    <w:p w14:paraId="235779ED">
      <w:pPr>
        <w:pStyle w:val="77"/>
        <w:ind w:firstLine="420"/>
        <w:rPr>
          <w:color w:val="auto"/>
        </w:rPr>
      </w:pPr>
      <w:r>
        <w:rPr>
          <w:rFonts w:hint="eastAsia"/>
          <w:color w:val="auto"/>
        </w:rPr>
        <w:t>6.1本项目是否允许分包详见“供应商须知前附表”，本项目不允许违法分包。</w:t>
      </w:r>
    </w:p>
    <w:p w14:paraId="78F39BBC">
      <w:pPr>
        <w:pStyle w:val="77"/>
        <w:ind w:firstLine="420"/>
        <w:rPr>
          <w:color w:val="auto"/>
        </w:rPr>
      </w:pPr>
      <w:r>
        <w:rPr>
          <w:rFonts w:hint="eastAsia"/>
          <w:color w:val="auto"/>
        </w:rPr>
        <w:t>6.2根据《政府采购促进中小企业发展管理办法》(财库[2020]46号)第九条及《广西壮族自治区财政厅关于进一步发挥政府采购政策功能促进企业发展的通知》(桂财采〔2022〕30号)规定，允许大中型企业向一家或者多家小微企业分包的采购项目，对于分包意向协议约定小微企业的合同份额占到合同总金额30%以上的，采购人、采购代理机构应当对大中型企业的报价给予4%-6%的扣除，用扣除后的价格参加评审。接受分包的小微企业与分包企业之间存在直接控股、管理关系的，不享受价格扣除优惠政策。</w:t>
      </w:r>
    </w:p>
    <w:p w14:paraId="36423912">
      <w:pPr>
        <w:pStyle w:val="77"/>
        <w:ind w:firstLine="420"/>
        <w:rPr>
          <w:color w:val="auto"/>
        </w:rPr>
      </w:pPr>
      <w:r>
        <w:rPr>
          <w:rFonts w:hint="eastAsia"/>
          <w:color w:val="auto"/>
        </w:rPr>
        <w:t>7.特别说明</w:t>
      </w:r>
    </w:p>
    <w:p w14:paraId="7A199BFA">
      <w:pPr>
        <w:pStyle w:val="77"/>
        <w:ind w:firstLine="420"/>
        <w:rPr>
          <w:color w:val="auto"/>
        </w:rPr>
      </w:pPr>
      <w:r>
        <w:rPr>
          <w:rFonts w:hint="eastAsia"/>
          <w:color w:val="auto"/>
        </w:rPr>
        <w:t>7.1如果本磋商文件要求提供供应商或制造商的资格、信誉、荣誉、业绩与企业认证等材料的，资格、信誉、荣誉、业绩与企业认证等必须为供应商或者制造商所拥有或自身获得。</w:t>
      </w:r>
    </w:p>
    <w:p w14:paraId="7979F07C">
      <w:pPr>
        <w:pStyle w:val="77"/>
        <w:ind w:firstLine="420"/>
        <w:rPr>
          <w:color w:val="auto"/>
        </w:rPr>
      </w:pPr>
      <w:r>
        <w:rPr>
          <w:rFonts w:hint="eastAsia"/>
          <w:color w:val="auto"/>
        </w:rPr>
        <w:t>7.2供应商应仔细阅读磋商文件的所有内容，按照磋商文件的要求提交响应文件，并对所提供的全部资料的真实性承担法律责任。</w:t>
      </w:r>
    </w:p>
    <w:p w14:paraId="6B6BFCD3">
      <w:pPr>
        <w:pStyle w:val="77"/>
        <w:ind w:firstLine="420"/>
        <w:rPr>
          <w:color w:val="auto"/>
        </w:rPr>
      </w:pPr>
      <w:r>
        <w:rPr>
          <w:rFonts w:hint="eastAsia"/>
          <w:color w:val="auto"/>
        </w:rPr>
        <w:t>7.3供应商在竞标活动中提供任何疑似虚假材料，将报监管部门查处；签订合同后发现的，成交供应商须依照《中华人民共和国消费者权益保护法》规定赔偿采购人，且民事赔偿并不免除违法供应商的行政与刑事责任。</w:t>
      </w:r>
    </w:p>
    <w:p w14:paraId="2FD87988">
      <w:pPr>
        <w:pStyle w:val="77"/>
        <w:ind w:firstLine="420"/>
        <w:rPr>
          <w:color w:val="auto"/>
        </w:rPr>
      </w:pPr>
      <w:r>
        <w:rPr>
          <w:rFonts w:hint="eastAsia"/>
          <w:color w:val="auto"/>
        </w:rPr>
        <w:t>7.4在政府采购活动中，采购人员及相关人员与供应商有下列利害关系之一的，应当回避：</w:t>
      </w:r>
    </w:p>
    <w:p w14:paraId="6044BF2D">
      <w:pPr>
        <w:pStyle w:val="77"/>
        <w:ind w:firstLine="420"/>
        <w:rPr>
          <w:color w:val="auto"/>
        </w:rPr>
      </w:pPr>
      <w:r>
        <w:rPr>
          <w:rFonts w:hint="eastAsia"/>
          <w:color w:val="auto"/>
        </w:rPr>
        <w:t>(1)参加采购活动前3年内与供应商存在劳动关系；</w:t>
      </w:r>
    </w:p>
    <w:p w14:paraId="7B689AD3">
      <w:pPr>
        <w:pStyle w:val="77"/>
        <w:ind w:firstLine="420"/>
        <w:rPr>
          <w:color w:val="auto"/>
        </w:rPr>
      </w:pPr>
      <w:r>
        <w:rPr>
          <w:rFonts w:hint="eastAsia"/>
          <w:color w:val="auto"/>
        </w:rPr>
        <w:t>(2)参加采购活动前3年内担任供应商的董事、监事；</w:t>
      </w:r>
    </w:p>
    <w:p w14:paraId="13D9D9FE">
      <w:pPr>
        <w:pStyle w:val="77"/>
        <w:ind w:firstLine="420"/>
        <w:rPr>
          <w:color w:val="auto"/>
        </w:rPr>
      </w:pPr>
      <w:r>
        <w:rPr>
          <w:rFonts w:hint="eastAsia"/>
          <w:color w:val="auto"/>
        </w:rPr>
        <w:t>(3)参加采购活动前3年内是供应商的控股股东或者实际控制人；</w:t>
      </w:r>
    </w:p>
    <w:p w14:paraId="18CAD2E7">
      <w:pPr>
        <w:pStyle w:val="77"/>
        <w:ind w:firstLine="420"/>
        <w:rPr>
          <w:color w:val="auto"/>
        </w:rPr>
      </w:pPr>
      <w:r>
        <w:rPr>
          <w:rFonts w:hint="eastAsia"/>
          <w:color w:val="auto"/>
        </w:rPr>
        <w:t>(4)与供应商的法定代表人或者负责人有夫妻、直系血亲、三代以内旁系血亲或者近姻亲关系；</w:t>
      </w:r>
    </w:p>
    <w:p w14:paraId="50E2C536">
      <w:pPr>
        <w:pStyle w:val="77"/>
        <w:ind w:firstLine="420"/>
        <w:rPr>
          <w:color w:val="auto"/>
        </w:rPr>
      </w:pPr>
      <w:r>
        <w:rPr>
          <w:rFonts w:hint="eastAsia"/>
          <w:color w:val="auto"/>
        </w:rPr>
        <w:t>(5)与供应商有其他可能影响政府采购活动公平、公正进行的关系。</w:t>
      </w:r>
    </w:p>
    <w:p w14:paraId="5D17C161">
      <w:pPr>
        <w:pStyle w:val="77"/>
        <w:ind w:firstLine="420"/>
        <w:rPr>
          <w:color w:val="auto"/>
        </w:rPr>
      </w:pPr>
      <w:r>
        <w:rPr>
          <w:rFonts w:hint="eastAsia"/>
          <w:color w:val="auto"/>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1DBB2448">
      <w:pPr>
        <w:pStyle w:val="77"/>
        <w:ind w:firstLine="420"/>
        <w:rPr>
          <w:color w:val="auto"/>
        </w:rPr>
      </w:pPr>
      <w:r>
        <w:rPr>
          <w:rFonts w:hint="eastAsia"/>
          <w:color w:val="auto"/>
        </w:rPr>
        <w:t>7.5有下列情形之一的视为供应商相互串通竞标，响应文件将被视为无效：</w:t>
      </w:r>
    </w:p>
    <w:p w14:paraId="5FC79E49">
      <w:pPr>
        <w:pStyle w:val="77"/>
        <w:ind w:firstLine="420"/>
        <w:rPr>
          <w:color w:val="auto"/>
        </w:rPr>
      </w:pPr>
      <w:r>
        <w:rPr>
          <w:rFonts w:hint="eastAsia"/>
          <w:color w:val="auto"/>
        </w:rPr>
        <w:t>(1)不同供应商的响应文件由同一单位或者个人编制；或者不同供应商报名的IP地址一致的；或者编制响应文件硬件设备CPU编号、硬盘编号、网卡地址一致的情况。</w:t>
      </w:r>
    </w:p>
    <w:p w14:paraId="1D570A59">
      <w:pPr>
        <w:pStyle w:val="77"/>
        <w:ind w:firstLine="420"/>
        <w:rPr>
          <w:color w:val="auto"/>
        </w:rPr>
      </w:pPr>
      <w:r>
        <w:rPr>
          <w:rFonts w:hint="eastAsia"/>
          <w:color w:val="auto"/>
        </w:rPr>
        <w:t>(2)不同供应商委托同一单位或者个人办理竞标事宜；</w:t>
      </w:r>
    </w:p>
    <w:p w14:paraId="6AF7E0AD">
      <w:pPr>
        <w:pStyle w:val="77"/>
        <w:ind w:firstLine="420"/>
        <w:rPr>
          <w:color w:val="auto"/>
        </w:rPr>
      </w:pPr>
      <w:r>
        <w:rPr>
          <w:rFonts w:hint="eastAsia"/>
          <w:color w:val="auto"/>
        </w:rPr>
        <w:t>(3)不同的供应商的响应文件载明的项目管理员为同一个人；</w:t>
      </w:r>
    </w:p>
    <w:p w14:paraId="781FF3F9">
      <w:pPr>
        <w:pStyle w:val="77"/>
        <w:ind w:firstLine="420"/>
        <w:rPr>
          <w:color w:val="auto"/>
        </w:rPr>
      </w:pPr>
      <w:r>
        <w:rPr>
          <w:rFonts w:hint="eastAsia"/>
          <w:color w:val="auto"/>
        </w:rPr>
        <w:t>(4)不同供应商的响应文件异常一致或者报价呈规律性差异；</w:t>
      </w:r>
    </w:p>
    <w:p w14:paraId="6AA2E212">
      <w:pPr>
        <w:pStyle w:val="77"/>
        <w:ind w:firstLine="420"/>
        <w:rPr>
          <w:color w:val="auto"/>
        </w:rPr>
      </w:pPr>
      <w:r>
        <w:rPr>
          <w:rFonts w:hint="eastAsia"/>
          <w:color w:val="auto"/>
        </w:rPr>
        <w:t>(5)不同供应商的响应文件相互混装；</w:t>
      </w:r>
    </w:p>
    <w:p w14:paraId="04D8BA00">
      <w:pPr>
        <w:pStyle w:val="77"/>
        <w:ind w:firstLine="420"/>
        <w:rPr>
          <w:color w:val="auto"/>
        </w:rPr>
      </w:pPr>
      <w:r>
        <w:rPr>
          <w:rFonts w:hint="eastAsia"/>
          <w:color w:val="auto"/>
        </w:rPr>
        <w:t>(6)不同供应商的磋商保证金从同一单位或者个人账户转出。</w:t>
      </w:r>
    </w:p>
    <w:p w14:paraId="5544F713">
      <w:pPr>
        <w:pStyle w:val="77"/>
        <w:ind w:firstLine="420"/>
        <w:rPr>
          <w:color w:val="auto"/>
        </w:rPr>
      </w:pPr>
      <w:r>
        <w:rPr>
          <w:rFonts w:hint="eastAsia"/>
          <w:color w:val="auto"/>
        </w:rPr>
        <w:t>7.6供应商有下列情形之一的，属于恶意串通行为，将报同级监督管理部门：</w:t>
      </w:r>
    </w:p>
    <w:p w14:paraId="52F6841D">
      <w:pPr>
        <w:pStyle w:val="77"/>
        <w:ind w:firstLine="420"/>
        <w:rPr>
          <w:color w:val="auto"/>
        </w:rPr>
      </w:pPr>
      <w:r>
        <w:rPr>
          <w:rFonts w:hint="eastAsia"/>
          <w:color w:val="auto"/>
        </w:rPr>
        <w:t>(1)供应商直接或者间接从采购人或者采购代理机构处获得其他供应商的相关信息并修改其响应文件；</w:t>
      </w:r>
    </w:p>
    <w:p w14:paraId="00F130E2">
      <w:pPr>
        <w:pStyle w:val="77"/>
        <w:ind w:firstLine="420"/>
        <w:rPr>
          <w:color w:val="auto"/>
        </w:rPr>
      </w:pPr>
      <w:r>
        <w:rPr>
          <w:rFonts w:hint="eastAsia"/>
          <w:color w:val="auto"/>
        </w:rPr>
        <w:t>(2)供应商按照采购人或者采购代理机构的授意撤换、修改响应文件；</w:t>
      </w:r>
    </w:p>
    <w:p w14:paraId="35AFD145">
      <w:pPr>
        <w:pStyle w:val="77"/>
        <w:ind w:firstLine="420"/>
        <w:rPr>
          <w:color w:val="auto"/>
        </w:rPr>
      </w:pPr>
      <w:r>
        <w:rPr>
          <w:rFonts w:hint="eastAsia"/>
          <w:color w:val="auto"/>
        </w:rPr>
        <w:t>(3)供应商之间协商报价、服务方案等响应文件或者响应文件的实质性内容；</w:t>
      </w:r>
    </w:p>
    <w:p w14:paraId="646514AA">
      <w:pPr>
        <w:pStyle w:val="77"/>
        <w:ind w:firstLine="420"/>
        <w:rPr>
          <w:color w:val="auto"/>
        </w:rPr>
      </w:pPr>
      <w:r>
        <w:rPr>
          <w:rFonts w:hint="eastAsia"/>
          <w:color w:val="auto"/>
        </w:rPr>
        <w:t>(4)属于同一集团、协会、商会等组织成员的供应商按照该组织要求协同参加政府采购活动；</w:t>
      </w:r>
    </w:p>
    <w:p w14:paraId="6109D5D5">
      <w:pPr>
        <w:pStyle w:val="77"/>
        <w:ind w:firstLine="420"/>
        <w:rPr>
          <w:color w:val="auto"/>
        </w:rPr>
      </w:pPr>
      <w:r>
        <w:rPr>
          <w:rFonts w:hint="eastAsia"/>
          <w:color w:val="auto"/>
        </w:rPr>
        <w:t>(5)供应商之间事先约定一致抬高或者压低报价，或者在政府采购活动中事先约定轮流以高价位或者低价位成交，或者事先约定由某一特定供应商成交，然后再参加竞标；</w:t>
      </w:r>
    </w:p>
    <w:p w14:paraId="629D6D62">
      <w:pPr>
        <w:pStyle w:val="77"/>
        <w:ind w:firstLine="420"/>
        <w:rPr>
          <w:color w:val="auto"/>
        </w:rPr>
      </w:pPr>
      <w:r>
        <w:rPr>
          <w:rFonts w:hint="eastAsia"/>
          <w:color w:val="auto"/>
        </w:rPr>
        <w:t>(6)供应商之间商定部分供应商放弃参加政府采购活动或者放弃成交；</w:t>
      </w:r>
    </w:p>
    <w:p w14:paraId="61B0DAF5">
      <w:pPr>
        <w:pStyle w:val="77"/>
        <w:ind w:firstLine="420"/>
        <w:rPr>
          <w:color w:val="auto"/>
        </w:rPr>
      </w:pPr>
      <w:r>
        <w:rPr>
          <w:rFonts w:hint="eastAsia"/>
          <w:color w:val="auto"/>
        </w:rPr>
        <w:t>(7)供应商与采购人或者采购代理机构之间、供应商相互之间，为谋求特定供应商成交或者排斥其他供应商的其他串通行为。</w:t>
      </w:r>
    </w:p>
    <w:p w14:paraId="5256E111">
      <w:pPr>
        <w:spacing w:before="98" w:line="360" w:lineRule="auto"/>
        <w:ind w:left="542"/>
        <w:rPr>
          <w:rFonts w:ascii="宋体" w:hAnsi="宋体" w:cs="宋体"/>
          <w:b/>
          <w:bCs/>
          <w:color w:val="auto"/>
          <w:spacing w:val="-3"/>
          <w:szCs w:val="21"/>
        </w:rPr>
      </w:pPr>
      <w:r>
        <w:rPr>
          <w:rFonts w:hint="eastAsia" w:ascii="宋体" w:hAnsi="宋体" w:cs="宋体"/>
          <w:b/>
          <w:bCs/>
          <w:color w:val="auto"/>
          <w:spacing w:val="-3"/>
          <w:szCs w:val="21"/>
        </w:rPr>
        <w:t>二、磋商文件</w:t>
      </w:r>
    </w:p>
    <w:p w14:paraId="42E1CF6F">
      <w:pPr>
        <w:pStyle w:val="77"/>
        <w:ind w:firstLine="420"/>
        <w:rPr>
          <w:color w:val="auto"/>
        </w:rPr>
      </w:pPr>
      <w:r>
        <w:rPr>
          <w:rFonts w:hint="eastAsia"/>
          <w:color w:val="auto"/>
        </w:rPr>
        <w:t>8.磋商文件的构成</w:t>
      </w:r>
    </w:p>
    <w:p w14:paraId="699DD531">
      <w:pPr>
        <w:pStyle w:val="77"/>
        <w:ind w:firstLine="420"/>
        <w:rPr>
          <w:color w:val="auto"/>
        </w:rPr>
      </w:pPr>
      <w:r>
        <w:rPr>
          <w:rFonts w:hint="eastAsia"/>
          <w:color w:val="auto"/>
        </w:rPr>
        <w:t>第一章竞争性磋商公告；</w:t>
      </w:r>
    </w:p>
    <w:p w14:paraId="527C6E48">
      <w:pPr>
        <w:pStyle w:val="77"/>
        <w:ind w:firstLine="420"/>
        <w:rPr>
          <w:color w:val="auto"/>
        </w:rPr>
      </w:pPr>
      <w:r>
        <w:rPr>
          <w:rFonts w:hint="eastAsia"/>
          <w:color w:val="auto"/>
        </w:rPr>
        <w:t>第二章采购需求；</w:t>
      </w:r>
    </w:p>
    <w:p w14:paraId="17594C4D">
      <w:pPr>
        <w:pStyle w:val="77"/>
        <w:ind w:firstLine="420"/>
        <w:rPr>
          <w:color w:val="auto"/>
        </w:rPr>
      </w:pPr>
      <w:r>
        <w:rPr>
          <w:rFonts w:hint="eastAsia"/>
          <w:color w:val="auto"/>
        </w:rPr>
        <w:t>第三章供应商须知；</w:t>
      </w:r>
    </w:p>
    <w:p w14:paraId="4A69CA34">
      <w:pPr>
        <w:pStyle w:val="77"/>
        <w:ind w:firstLine="420"/>
        <w:rPr>
          <w:color w:val="auto"/>
        </w:rPr>
      </w:pPr>
      <w:r>
        <w:rPr>
          <w:rFonts w:hint="eastAsia"/>
          <w:color w:val="auto"/>
        </w:rPr>
        <w:t>第四章评审程序、评审方法和评审标准；</w:t>
      </w:r>
    </w:p>
    <w:p w14:paraId="742C1FD5">
      <w:pPr>
        <w:pStyle w:val="77"/>
        <w:ind w:firstLine="420"/>
        <w:rPr>
          <w:color w:val="auto"/>
        </w:rPr>
      </w:pPr>
      <w:r>
        <w:rPr>
          <w:rFonts w:hint="eastAsia"/>
          <w:color w:val="auto"/>
        </w:rPr>
        <w:t>第五章响应文件格式；</w:t>
      </w:r>
    </w:p>
    <w:p w14:paraId="63B8B327">
      <w:pPr>
        <w:pStyle w:val="77"/>
        <w:ind w:firstLine="420"/>
        <w:rPr>
          <w:color w:val="auto"/>
        </w:rPr>
      </w:pPr>
      <w:r>
        <w:rPr>
          <w:rFonts w:hint="eastAsia"/>
          <w:color w:val="auto"/>
        </w:rPr>
        <w:t>第六章合同文本；</w:t>
      </w:r>
    </w:p>
    <w:p w14:paraId="74279305">
      <w:pPr>
        <w:pStyle w:val="77"/>
        <w:ind w:firstLine="420"/>
        <w:rPr>
          <w:color w:val="auto"/>
        </w:rPr>
      </w:pPr>
      <w:r>
        <w:rPr>
          <w:rFonts w:hint="eastAsia"/>
          <w:color w:val="auto"/>
        </w:rPr>
        <w:t>第七章质疑、投诉材料格式。</w:t>
      </w:r>
    </w:p>
    <w:p w14:paraId="7F8786E6">
      <w:pPr>
        <w:pStyle w:val="77"/>
        <w:ind w:firstLine="420"/>
        <w:rPr>
          <w:color w:val="auto"/>
        </w:rPr>
      </w:pPr>
      <w:r>
        <w:rPr>
          <w:rFonts w:hint="eastAsia"/>
          <w:color w:val="auto"/>
        </w:rPr>
        <w:t>9.供应商的询问</w:t>
      </w:r>
    </w:p>
    <w:p w14:paraId="489B353C">
      <w:pPr>
        <w:pStyle w:val="77"/>
        <w:ind w:firstLine="420"/>
        <w:rPr>
          <w:color w:val="auto"/>
        </w:rPr>
      </w:pPr>
      <w:r>
        <w:rPr>
          <w:rFonts w:hint="eastAsia"/>
          <w:color w:val="auto"/>
        </w:rPr>
        <w:t>供应商应认真阅读磋商文件的采购需求，如供应商对磋商文件有疑问的，如要求采购人作出澄清或者修改的，供应商尽应在提交首次响应文件截止之日前，以书面形式向采购人、采购代理机构提出。</w:t>
      </w:r>
    </w:p>
    <w:p w14:paraId="10863566">
      <w:pPr>
        <w:pStyle w:val="77"/>
        <w:ind w:firstLine="420"/>
        <w:rPr>
          <w:color w:val="auto"/>
        </w:rPr>
      </w:pPr>
      <w:r>
        <w:rPr>
          <w:rFonts w:hint="eastAsia"/>
          <w:color w:val="auto"/>
        </w:rPr>
        <w:t>10.磋商文件的澄清和修改</w:t>
      </w:r>
    </w:p>
    <w:p w14:paraId="631BF012">
      <w:pPr>
        <w:pStyle w:val="77"/>
        <w:ind w:firstLine="420"/>
        <w:rPr>
          <w:color w:val="auto"/>
        </w:rPr>
      </w:pPr>
      <w:r>
        <w:rPr>
          <w:rFonts w:hint="eastAsia"/>
          <w:color w:val="auto"/>
        </w:rPr>
        <w:t>10.1已获取磋商文件的潜在供应商，若有问题需要澄清，应于应标截止时间前，以书面形式向采购代理机构提出，采购代理机构与采购人研究后，对认为有必要回答的问题，按照本章10.3的内容处理。</w:t>
      </w:r>
    </w:p>
    <w:p w14:paraId="2F075872">
      <w:pPr>
        <w:pStyle w:val="77"/>
        <w:ind w:firstLine="420"/>
        <w:rPr>
          <w:color w:val="auto"/>
        </w:rPr>
      </w:pPr>
      <w:r>
        <w:rPr>
          <w:rFonts w:hint="eastAsia"/>
          <w:color w:val="auto"/>
        </w:rPr>
        <w:t>10.2采购人或者采购代理机构可以对已发出的磋商文件进行必要的澄清或者修改，但不得改变采购标的和资格条件。澄清或者修改应当在原公告发布媒体上发布澄清公告。澄清或者修改的内容为磋商文件的组成部分。</w:t>
      </w:r>
    </w:p>
    <w:p w14:paraId="3838C735">
      <w:pPr>
        <w:pStyle w:val="77"/>
        <w:ind w:firstLine="420"/>
        <w:rPr>
          <w:color w:val="auto"/>
        </w:rPr>
      </w:pPr>
      <w:r>
        <w:rPr>
          <w:rFonts w:hint="eastAsia"/>
          <w:color w:val="auto"/>
        </w:rPr>
        <w:t>10.3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或者磋商小组在提交首次响应文件截止之日3个工作日前，以书面形式(目前为网上公告和系统短信等形式)通知所有获取磋商文件的供应商，不足3个工作日的，应当顺延提交首次响应文件截止之日。</w:t>
      </w:r>
    </w:p>
    <w:p w14:paraId="280799CA">
      <w:pPr>
        <w:pStyle w:val="77"/>
        <w:ind w:firstLine="420"/>
        <w:rPr>
          <w:color w:val="auto"/>
        </w:rPr>
      </w:pPr>
      <w:r>
        <w:rPr>
          <w:rFonts w:hint="eastAsia"/>
          <w:color w:val="auto"/>
        </w:rPr>
        <w:t>10.4采购信息更正公告的内容应当包括采购人和采购代理机构名称、地址、联系方式，原公告的采购项目名称及首次公告日期，更正事项、内容及日期，采购项目联系人和电话。</w:t>
      </w:r>
    </w:p>
    <w:p w14:paraId="62F8886D">
      <w:pPr>
        <w:pStyle w:val="77"/>
        <w:ind w:firstLine="420"/>
        <w:rPr>
          <w:color w:val="auto"/>
        </w:rPr>
      </w:pPr>
      <w:r>
        <w:rPr>
          <w:rFonts w:hint="eastAsia"/>
          <w:color w:val="auto"/>
        </w:rPr>
        <w:t>10.5采购人和采购代理机构可以视采购具体情况，变更提交首次响应文件截止时间和竞谈时间，将变更时间将在“采购文件公告”中“七、其他补充事宜3.网上查询地址”规定的政府采购信息发布媒体上发布更正公告。</w:t>
      </w:r>
    </w:p>
    <w:p w14:paraId="3BB2081B">
      <w:pPr>
        <w:pStyle w:val="77"/>
        <w:ind w:firstLine="420"/>
        <w:rPr>
          <w:color w:val="auto"/>
        </w:rPr>
      </w:pPr>
      <w:r>
        <w:rPr>
          <w:rFonts w:hint="eastAsia"/>
          <w:color w:val="auto"/>
        </w:rPr>
        <w:t>▲响应文件未按磋商文件的澄清、修改的内容编制，又不符合实质性要求的，其响应文件作无效处理。</w:t>
      </w:r>
    </w:p>
    <w:p w14:paraId="34434F09">
      <w:pPr>
        <w:spacing w:before="98" w:line="360" w:lineRule="auto"/>
        <w:ind w:left="542"/>
        <w:rPr>
          <w:rFonts w:ascii="宋体" w:hAnsi="宋体" w:cs="宋体"/>
          <w:b/>
          <w:bCs/>
          <w:color w:val="auto"/>
          <w:spacing w:val="-3"/>
          <w:szCs w:val="21"/>
        </w:rPr>
      </w:pPr>
      <w:r>
        <w:rPr>
          <w:rFonts w:hint="eastAsia" w:ascii="宋体" w:hAnsi="宋体" w:cs="宋体"/>
          <w:b/>
          <w:bCs/>
          <w:color w:val="auto"/>
          <w:spacing w:val="-3"/>
          <w:szCs w:val="21"/>
        </w:rPr>
        <w:t>三、响应文件的编制</w:t>
      </w:r>
    </w:p>
    <w:p w14:paraId="6091B37D">
      <w:pPr>
        <w:pStyle w:val="77"/>
        <w:ind w:firstLine="420"/>
        <w:rPr>
          <w:color w:val="auto"/>
        </w:rPr>
      </w:pPr>
      <w:r>
        <w:rPr>
          <w:rFonts w:hint="eastAsia"/>
          <w:color w:val="auto"/>
        </w:rPr>
        <w:t>11.响应文件的编制原则</w:t>
      </w:r>
    </w:p>
    <w:p w14:paraId="507C9E38">
      <w:pPr>
        <w:pStyle w:val="77"/>
        <w:ind w:firstLine="420"/>
        <w:rPr>
          <w:color w:val="auto"/>
        </w:rPr>
      </w:pPr>
      <w:r>
        <w:rPr>
          <w:rFonts w:hint="eastAsia"/>
          <w:color w:val="auto"/>
        </w:rPr>
        <w:t>供应商必须按照磋商文件的要求编制响应文件，并对其提交的响应文件的真实性、合法性承担法律责任。响应文件必须对磋商文件作出实质性响应。</w:t>
      </w:r>
    </w:p>
    <w:p w14:paraId="221043E1">
      <w:pPr>
        <w:pStyle w:val="77"/>
        <w:ind w:firstLine="420"/>
        <w:rPr>
          <w:color w:val="auto"/>
        </w:rPr>
      </w:pPr>
      <w:r>
        <w:rPr>
          <w:rFonts w:hint="eastAsia"/>
          <w:color w:val="auto"/>
        </w:rPr>
        <w:t>12.响应文件的组成</w:t>
      </w:r>
    </w:p>
    <w:p w14:paraId="614B76CF">
      <w:pPr>
        <w:pStyle w:val="77"/>
        <w:ind w:firstLine="420"/>
        <w:rPr>
          <w:color w:val="auto"/>
        </w:rPr>
      </w:pPr>
      <w:r>
        <w:rPr>
          <w:rFonts w:hint="eastAsia"/>
          <w:color w:val="auto"/>
        </w:rPr>
        <w:t>12.1响应文件由资格证明文件、报价文件、商务和技术文件三部分组成。</w:t>
      </w:r>
    </w:p>
    <w:p w14:paraId="04AF33F5">
      <w:pPr>
        <w:pStyle w:val="77"/>
        <w:ind w:firstLine="420"/>
        <w:rPr>
          <w:color w:val="auto"/>
        </w:rPr>
      </w:pPr>
      <w:r>
        <w:rPr>
          <w:rFonts w:hint="eastAsia"/>
          <w:color w:val="auto"/>
        </w:rPr>
        <w:t>12.1.1资格证明文件：详见须知前附表</w:t>
      </w:r>
    </w:p>
    <w:p w14:paraId="5FA3E2C1">
      <w:pPr>
        <w:pStyle w:val="77"/>
        <w:ind w:firstLine="420"/>
        <w:rPr>
          <w:color w:val="auto"/>
        </w:rPr>
      </w:pPr>
      <w:r>
        <w:rPr>
          <w:rFonts w:hint="eastAsia"/>
          <w:color w:val="auto"/>
        </w:rPr>
        <w:t>12.1.2商务技术文件：详见须知前附表</w:t>
      </w:r>
    </w:p>
    <w:p w14:paraId="67E5A74D">
      <w:pPr>
        <w:pStyle w:val="77"/>
        <w:ind w:firstLine="420"/>
        <w:rPr>
          <w:color w:val="auto"/>
        </w:rPr>
      </w:pPr>
      <w:r>
        <w:rPr>
          <w:rFonts w:hint="eastAsia"/>
          <w:color w:val="auto"/>
        </w:rPr>
        <w:t>12.1.3报价文件：详见须知前附表</w:t>
      </w:r>
    </w:p>
    <w:p w14:paraId="599FC64F">
      <w:pPr>
        <w:pStyle w:val="77"/>
        <w:ind w:firstLine="420"/>
        <w:rPr>
          <w:color w:val="auto"/>
        </w:rPr>
      </w:pPr>
      <w:r>
        <w:rPr>
          <w:rFonts w:hint="eastAsia"/>
          <w:color w:val="auto"/>
        </w:rPr>
        <w:t>12.2响应文件电子版：详见须知前附表</w:t>
      </w:r>
    </w:p>
    <w:p w14:paraId="120B4517">
      <w:pPr>
        <w:pStyle w:val="77"/>
        <w:ind w:firstLine="420"/>
        <w:rPr>
          <w:color w:val="auto"/>
        </w:rPr>
      </w:pPr>
      <w:r>
        <w:rPr>
          <w:rFonts w:hint="eastAsia"/>
          <w:color w:val="auto"/>
        </w:rPr>
        <w:t>13.计量单位</w:t>
      </w:r>
    </w:p>
    <w:p w14:paraId="6B29A7EA">
      <w:pPr>
        <w:pStyle w:val="77"/>
        <w:ind w:firstLine="420"/>
        <w:rPr>
          <w:color w:val="auto"/>
        </w:rPr>
      </w:pPr>
      <w:r>
        <w:rPr>
          <w:rFonts w:hint="eastAsia"/>
          <w:color w:val="auto"/>
        </w:rPr>
        <w:t>磋商文件已有明确规定的，使用磋商文件规定的计量单位；磋商文件没有规定的，应采用中华人民共和国法定计量单位，货币种类为人民币，否则视同未响应。</w:t>
      </w:r>
    </w:p>
    <w:p w14:paraId="2661B8F8">
      <w:pPr>
        <w:pStyle w:val="77"/>
        <w:ind w:firstLine="420"/>
        <w:rPr>
          <w:color w:val="auto"/>
        </w:rPr>
      </w:pPr>
      <w:r>
        <w:rPr>
          <w:rFonts w:hint="eastAsia"/>
          <w:color w:val="auto"/>
        </w:rPr>
        <w:t>14.竞标的风险</w:t>
      </w:r>
    </w:p>
    <w:p w14:paraId="16208689">
      <w:pPr>
        <w:pStyle w:val="77"/>
        <w:ind w:firstLine="420"/>
        <w:rPr>
          <w:color w:val="auto"/>
        </w:rPr>
      </w:pPr>
      <w:r>
        <w:rPr>
          <w:rFonts w:hint="eastAsia"/>
          <w:color w:val="auto"/>
        </w:rPr>
        <w:t>供应商没有按照磋商文件要求提供全部资料，或者供应商没有对磋商文件在各方面作出实质性响应可能导致其响应无效，是供应商应当考虑的风险。</w:t>
      </w:r>
    </w:p>
    <w:p w14:paraId="17EB617A">
      <w:pPr>
        <w:pStyle w:val="77"/>
        <w:ind w:firstLine="420"/>
        <w:rPr>
          <w:color w:val="auto"/>
        </w:rPr>
      </w:pPr>
      <w:r>
        <w:rPr>
          <w:rFonts w:hint="eastAsia"/>
          <w:color w:val="auto"/>
        </w:rPr>
        <w:t>15.响应报价要求和构成</w:t>
      </w:r>
    </w:p>
    <w:p w14:paraId="7621E03A">
      <w:pPr>
        <w:pStyle w:val="77"/>
        <w:ind w:firstLine="420"/>
        <w:rPr>
          <w:color w:val="auto"/>
        </w:rPr>
      </w:pPr>
      <w:r>
        <w:rPr>
          <w:rFonts w:hint="eastAsia"/>
          <w:color w:val="auto"/>
        </w:rPr>
        <w:t>15.1响应报价应按“第五章响应文件格式”中“响应报价表”格式填写。15.2响应报价的价格构成见“供应商须知前附表”。</w:t>
      </w:r>
    </w:p>
    <w:p w14:paraId="42C0534E">
      <w:pPr>
        <w:pStyle w:val="77"/>
        <w:ind w:firstLine="420"/>
        <w:rPr>
          <w:color w:val="auto"/>
        </w:rPr>
      </w:pPr>
      <w:r>
        <w:rPr>
          <w:rFonts w:hint="eastAsia"/>
          <w:color w:val="auto"/>
        </w:rPr>
        <w:t>15.3响应报价要求</w:t>
      </w:r>
    </w:p>
    <w:p w14:paraId="6263A63F">
      <w:pPr>
        <w:pStyle w:val="77"/>
        <w:ind w:firstLine="420"/>
        <w:rPr>
          <w:color w:val="auto"/>
        </w:rPr>
      </w:pPr>
      <w:r>
        <w:rPr>
          <w:rFonts w:hint="eastAsia"/>
          <w:color w:val="auto"/>
        </w:rPr>
        <w:t>15.3.1供应商的响应报价应符合以下要求，否则响应文件按无效响应处理：</w:t>
      </w:r>
    </w:p>
    <w:p w14:paraId="45BF067D">
      <w:pPr>
        <w:pStyle w:val="77"/>
        <w:ind w:firstLine="420"/>
        <w:rPr>
          <w:color w:val="auto"/>
        </w:rPr>
      </w:pPr>
      <w:r>
        <w:rPr>
          <w:rFonts w:hint="eastAsia"/>
          <w:color w:val="auto"/>
        </w:rPr>
        <w:t>(1)供应商必须就“采购需求”中所竞标的每个分标的全部内容分别作完整唯一总价报价，不得存在漏项报价；</w:t>
      </w:r>
    </w:p>
    <w:p w14:paraId="5D74EC72">
      <w:pPr>
        <w:pStyle w:val="77"/>
        <w:ind w:firstLine="420"/>
        <w:rPr>
          <w:color w:val="auto"/>
        </w:rPr>
      </w:pPr>
      <w:r>
        <w:rPr>
          <w:rFonts w:hint="eastAsia"/>
          <w:color w:val="auto"/>
        </w:rPr>
        <w:t>(2)供应商必须就所竞标的分标的单项内容作唯一报价。</w:t>
      </w:r>
    </w:p>
    <w:p w14:paraId="470ED088">
      <w:pPr>
        <w:pStyle w:val="77"/>
        <w:ind w:firstLine="420"/>
        <w:rPr>
          <w:color w:val="auto"/>
        </w:rPr>
      </w:pPr>
      <w:r>
        <w:rPr>
          <w:rFonts w:hint="eastAsia"/>
          <w:color w:val="auto"/>
        </w:rPr>
        <w:t>15.3.2响应报价(包含首次报价、最后报价)超过所竞标分标规定的采购预算金额或者最高限价的，其响应文件将作无效处理。</w:t>
      </w:r>
    </w:p>
    <w:p w14:paraId="7A7D1FE3">
      <w:pPr>
        <w:pStyle w:val="77"/>
        <w:ind w:firstLine="420"/>
        <w:rPr>
          <w:color w:val="auto"/>
        </w:rPr>
      </w:pPr>
      <w:r>
        <w:rPr>
          <w:rFonts w:hint="eastAsia"/>
          <w:color w:val="auto"/>
        </w:rPr>
        <w:t>15.3.3响应报价(包含首次报价、最后报价)超过分项采购预算金额或者最高限价的，其响应文件将作无效处理。</w:t>
      </w:r>
    </w:p>
    <w:p w14:paraId="0F741694">
      <w:pPr>
        <w:pStyle w:val="77"/>
        <w:ind w:firstLine="420"/>
        <w:rPr>
          <w:color w:val="auto"/>
        </w:rPr>
      </w:pPr>
      <w:r>
        <w:rPr>
          <w:rFonts w:hint="eastAsia"/>
          <w:color w:val="auto"/>
        </w:rPr>
        <w:t>16.竞标有效期</w:t>
      </w:r>
    </w:p>
    <w:p w14:paraId="004C6EFA">
      <w:pPr>
        <w:pStyle w:val="77"/>
        <w:ind w:firstLine="420"/>
        <w:rPr>
          <w:color w:val="auto"/>
        </w:rPr>
      </w:pPr>
      <w:r>
        <w:rPr>
          <w:rFonts w:hint="eastAsia"/>
          <w:color w:val="auto"/>
        </w:rPr>
        <w:t>16.1竞标有效期是指为保证采购人有足够的时间在提交响应文件后完成评审、确定成交供应商、合同签订等工作而要求供应商提交的响应文件在一定时间内保持有效的期限。</w:t>
      </w:r>
    </w:p>
    <w:p w14:paraId="101560BD">
      <w:pPr>
        <w:pStyle w:val="77"/>
        <w:ind w:firstLine="420"/>
        <w:rPr>
          <w:color w:val="auto"/>
        </w:rPr>
      </w:pPr>
      <w:r>
        <w:rPr>
          <w:rFonts w:hint="eastAsia"/>
          <w:color w:val="auto"/>
        </w:rPr>
        <w:t>16.2竞标有效期应由供应商按“供应商须知前附表”规定的期限作出响应。</w:t>
      </w:r>
    </w:p>
    <w:p w14:paraId="38A11BCF">
      <w:pPr>
        <w:pStyle w:val="77"/>
        <w:ind w:firstLine="420"/>
        <w:rPr>
          <w:color w:val="auto"/>
        </w:rPr>
      </w:pPr>
      <w:r>
        <w:rPr>
          <w:rFonts w:hint="eastAsia"/>
          <w:color w:val="auto"/>
        </w:rPr>
        <w:t>16.3供应商的响应文件在竞标有效期内均保持有效。</w:t>
      </w:r>
    </w:p>
    <w:p w14:paraId="3124DA0E">
      <w:pPr>
        <w:pStyle w:val="77"/>
        <w:ind w:firstLine="420"/>
        <w:rPr>
          <w:color w:val="auto"/>
        </w:rPr>
      </w:pPr>
      <w:r>
        <w:rPr>
          <w:rFonts w:hint="eastAsia"/>
          <w:color w:val="auto"/>
        </w:rPr>
        <w:t>17.磋商保证金</w:t>
      </w:r>
    </w:p>
    <w:p w14:paraId="0608475D">
      <w:pPr>
        <w:pStyle w:val="77"/>
        <w:ind w:firstLine="420"/>
        <w:rPr>
          <w:color w:val="auto"/>
        </w:rPr>
      </w:pPr>
      <w:r>
        <w:rPr>
          <w:rFonts w:hint="eastAsia"/>
          <w:color w:val="auto"/>
        </w:rPr>
        <w:t>详见“供应商须知前附表”。</w:t>
      </w:r>
    </w:p>
    <w:p w14:paraId="7C37BB2E">
      <w:pPr>
        <w:pStyle w:val="77"/>
        <w:ind w:firstLine="420"/>
        <w:rPr>
          <w:color w:val="auto"/>
        </w:rPr>
      </w:pPr>
      <w:r>
        <w:rPr>
          <w:rFonts w:hint="eastAsia"/>
          <w:color w:val="auto"/>
        </w:rPr>
        <w:t>18.响应文件编制的要求</w:t>
      </w:r>
    </w:p>
    <w:p w14:paraId="60E0CA71">
      <w:pPr>
        <w:pStyle w:val="77"/>
        <w:ind w:firstLine="420"/>
        <w:rPr>
          <w:color w:val="auto"/>
        </w:rPr>
      </w:pPr>
      <w:r>
        <w:rPr>
          <w:rFonts w:hint="eastAsia"/>
          <w:color w:val="auto"/>
        </w:rPr>
        <w:t>18.1各供应商在编制响应文件时请按照磋商文件“第五章响应文件格式”规定的格式进行，混乱的编排导致响应文件被误读或磋商小组查找不到有效文件是供应商的风险。不完整、编排混乱导致响应文件被误读、漏读或者查找不到相关内容的，由此引发的后果由供应商承担。</w:t>
      </w:r>
    </w:p>
    <w:p w14:paraId="2C7554FD">
      <w:pPr>
        <w:pStyle w:val="77"/>
        <w:ind w:firstLine="420"/>
        <w:rPr>
          <w:color w:val="auto"/>
        </w:rPr>
      </w:pPr>
      <w:r>
        <w:rPr>
          <w:rFonts w:hint="eastAsia"/>
          <w:color w:val="auto"/>
        </w:rPr>
        <w:t>18.2响应文件应按资格证明、报价分别编制，商务技术文件合并编制，本磋商只接受电子版响应文件，要求见本章“12.2响应文件电子版要求”。</w:t>
      </w:r>
    </w:p>
    <w:p w14:paraId="552ED1A7">
      <w:pPr>
        <w:pStyle w:val="77"/>
        <w:ind w:firstLine="420"/>
        <w:rPr>
          <w:color w:val="auto"/>
        </w:rPr>
      </w:pPr>
      <w:r>
        <w:rPr>
          <w:rFonts w:hint="eastAsia"/>
          <w:color w:val="auto"/>
        </w:rPr>
        <w:t>18.3响应文件须由供应商在“第五章响应文件格式”规定位置进行签署、盖章，否则其响应文件按无效响应处理。骑缝盖公章不视为在规定位置盖章。</w:t>
      </w:r>
    </w:p>
    <w:p w14:paraId="681132A3">
      <w:pPr>
        <w:pStyle w:val="77"/>
        <w:ind w:firstLine="420"/>
        <w:rPr>
          <w:color w:val="auto"/>
        </w:rPr>
      </w:pPr>
      <w:r>
        <w:rPr>
          <w:rFonts w:hint="eastAsia"/>
          <w:color w:val="auto"/>
        </w:rPr>
        <w:t>18.4响应文件中标注的供应商名称应与营业执照(事业单位法人证书、执业许可证、自然人身份证)及电子公章一致，否则其响应文件按无效响应处理。</w:t>
      </w:r>
    </w:p>
    <w:p w14:paraId="1ED8DE10">
      <w:pPr>
        <w:pStyle w:val="77"/>
        <w:ind w:firstLine="420"/>
        <w:rPr>
          <w:color w:val="auto"/>
        </w:rPr>
      </w:pPr>
      <w:r>
        <w:rPr>
          <w:rFonts w:hint="eastAsia"/>
          <w:color w:val="auto"/>
        </w:rPr>
        <w:t>18.5响应文件应避免涂改、行间插字或者删除，否则其响应文件按无效响应处理。</w:t>
      </w:r>
    </w:p>
    <w:p w14:paraId="13745E6F">
      <w:pPr>
        <w:pStyle w:val="77"/>
        <w:ind w:firstLine="420"/>
        <w:rPr>
          <w:color w:val="auto"/>
        </w:rPr>
      </w:pPr>
      <w:r>
        <w:rPr>
          <w:rFonts w:hint="eastAsia"/>
          <w:color w:val="auto"/>
        </w:rPr>
        <w:t>19.响应文件的密封和标记</w:t>
      </w:r>
    </w:p>
    <w:p w14:paraId="3D604C1E">
      <w:pPr>
        <w:pStyle w:val="77"/>
        <w:ind w:firstLine="420"/>
        <w:rPr>
          <w:color w:val="auto"/>
        </w:rPr>
      </w:pPr>
      <w:r>
        <w:rPr>
          <w:rFonts w:hint="eastAsia"/>
          <w:color w:val="auto"/>
        </w:rPr>
        <w:t>19.1供应商进行电子交易应安装客户端软件—“政采云电子交易客户端”，并按照磋商文件和电子交易平台的要求编制并加密响应文件。供应商未按规定加密的响应文件，电子交易平台将拒收并提示。</w:t>
      </w:r>
    </w:p>
    <w:p w14:paraId="33CD5588">
      <w:pPr>
        <w:pStyle w:val="77"/>
        <w:ind w:firstLine="420"/>
        <w:rPr>
          <w:color w:val="auto"/>
        </w:rPr>
      </w:pPr>
      <w:r>
        <w:rPr>
          <w:rFonts w:hint="eastAsia"/>
          <w:color w:val="auto"/>
        </w:rPr>
        <w:t>19.2使用“政采云电子交易客户端”需要提前申领CA数字证书，申领流程见该项目采购公告附件。</w:t>
      </w:r>
    </w:p>
    <w:p w14:paraId="2DBEC5A7">
      <w:pPr>
        <w:pStyle w:val="77"/>
        <w:ind w:firstLine="420"/>
        <w:rPr>
          <w:color w:val="auto"/>
        </w:rPr>
      </w:pPr>
      <w:r>
        <w:rPr>
          <w:rFonts w:hint="eastAsia"/>
          <w:color w:val="auto"/>
        </w:rPr>
        <w:t>19.3为确保网上操作合法、有效和安全，供应商应当在响应文件提交截止时间前完成在“政府采购云平台”的身份认证，确保在电子交易过程中能够对相关数据电文进行加密和使用电子签名。</w:t>
      </w:r>
    </w:p>
    <w:p w14:paraId="17BC5C6C">
      <w:pPr>
        <w:pStyle w:val="77"/>
        <w:ind w:firstLine="420"/>
        <w:rPr>
          <w:color w:val="auto"/>
        </w:rPr>
      </w:pPr>
      <w:r>
        <w:rPr>
          <w:rFonts w:hint="eastAsia"/>
          <w:color w:val="auto"/>
        </w:rPr>
        <w:t>20.响应文件的提交</w:t>
      </w:r>
    </w:p>
    <w:p w14:paraId="4EC629AF">
      <w:pPr>
        <w:pStyle w:val="77"/>
        <w:ind w:firstLine="420"/>
        <w:rPr>
          <w:color w:val="auto"/>
        </w:rPr>
      </w:pPr>
      <w:r>
        <w:rPr>
          <w:rFonts w:hint="eastAsia"/>
          <w:color w:val="auto"/>
        </w:rPr>
        <w:t>20.1供应商必须在“供应商须知前附表”规定的时间和地点提交响应文件。</w:t>
      </w:r>
    </w:p>
    <w:p w14:paraId="378E0F4F">
      <w:pPr>
        <w:pStyle w:val="77"/>
        <w:ind w:firstLine="420"/>
        <w:rPr>
          <w:color w:val="auto"/>
        </w:rPr>
      </w:pPr>
      <w:r>
        <w:rPr>
          <w:rFonts w:hint="eastAsia"/>
          <w:color w:val="auto"/>
        </w:rPr>
        <w:t>20.2在响应文件提交截止时间以后，不能补充、修改响应文件。</w:t>
      </w:r>
    </w:p>
    <w:p w14:paraId="0F07CB12">
      <w:pPr>
        <w:pStyle w:val="77"/>
        <w:ind w:firstLine="420"/>
        <w:rPr>
          <w:color w:val="auto"/>
        </w:rPr>
      </w:pPr>
      <w:r>
        <w:rPr>
          <w:rFonts w:hint="eastAsia"/>
          <w:color w:val="auto"/>
        </w:rPr>
        <w:t>20.3在提交“最后报价”后，供应商不能退出谈判。</w:t>
      </w:r>
    </w:p>
    <w:p w14:paraId="3E03ED7A">
      <w:pPr>
        <w:pStyle w:val="77"/>
        <w:ind w:firstLine="420"/>
        <w:rPr>
          <w:color w:val="auto"/>
        </w:rPr>
      </w:pPr>
      <w:r>
        <w:rPr>
          <w:rFonts w:hint="eastAsia"/>
          <w:color w:val="auto"/>
        </w:rPr>
        <w:t>20.4电子交易平台收到响应文件，将妥善保存并即时向供应商发出确认回执通知。在响应文件提交截止时间前，除供应商补充、修改或者撤回响应文件外，任何单位和个人不得解密或提取响应文件。</w:t>
      </w:r>
    </w:p>
    <w:p w14:paraId="3A88B005">
      <w:pPr>
        <w:pStyle w:val="77"/>
        <w:ind w:firstLine="420"/>
        <w:rPr>
          <w:color w:val="auto"/>
        </w:rPr>
      </w:pPr>
      <w:r>
        <w:rPr>
          <w:rFonts w:hint="eastAsia"/>
          <w:color w:val="auto"/>
        </w:rPr>
        <w:t>20.5采购机构不可视情况延长提交响应文件的截止时间。</w:t>
      </w:r>
    </w:p>
    <w:p w14:paraId="5CDA140E">
      <w:pPr>
        <w:pStyle w:val="77"/>
        <w:ind w:firstLine="420"/>
        <w:rPr>
          <w:color w:val="auto"/>
        </w:rPr>
      </w:pPr>
      <w:r>
        <w:rPr>
          <w:rFonts w:hint="eastAsia"/>
          <w:color w:val="auto"/>
        </w:rPr>
        <w:t>20.6备份响应文件。详见在“供应商须知前附表”。</w:t>
      </w:r>
    </w:p>
    <w:p w14:paraId="214C4994">
      <w:pPr>
        <w:pStyle w:val="77"/>
        <w:ind w:firstLine="420"/>
        <w:rPr>
          <w:color w:val="auto"/>
        </w:rPr>
      </w:pPr>
      <w:r>
        <w:rPr>
          <w:rFonts w:hint="eastAsia"/>
          <w:color w:val="auto"/>
        </w:rPr>
        <w:t>21.首次响应文件的补充、修改与撤回</w:t>
      </w:r>
    </w:p>
    <w:p w14:paraId="27CF1A48">
      <w:pPr>
        <w:pStyle w:val="77"/>
        <w:ind w:firstLine="420"/>
        <w:rPr>
          <w:color w:val="auto"/>
        </w:rPr>
      </w:pPr>
      <w:r>
        <w:rPr>
          <w:rFonts w:hint="eastAsia"/>
          <w:color w:val="auto"/>
        </w:rPr>
        <w:t>详见“供应商须知前附表”。</w:t>
      </w:r>
    </w:p>
    <w:p w14:paraId="1823E340">
      <w:pPr>
        <w:pStyle w:val="77"/>
        <w:ind w:firstLine="420"/>
        <w:rPr>
          <w:color w:val="auto"/>
        </w:rPr>
      </w:pPr>
      <w:r>
        <w:rPr>
          <w:rFonts w:hint="eastAsia"/>
          <w:color w:val="auto"/>
        </w:rPr>
        <w:t>22.首次响应文件的退回</w:t>
      </w:r>
    </w:p>
    <w:p w14:paraId="5D8CCAC8">
      <w:pPr>
        <w:pStyle w:val="77"/>
        <w:ind w:firstLine="420"/>
        <w:rPr>
          <w:color w:val="auto"/>
        </w:rPr>
      </w:pPr>
      <w:r>
        <w:rPr>
          <w:rFonts w:hint="eastAsia"/>
          <w:color w:val="auto"/>
        </w:rPr>
        <w:t>在首次响应文件提交截止时间止提交响应文件的供应商不足3家时电子响应文件由代理机构在“广西政府采购云平台”平台操作退回，除此之外采购人和采购代理机构对已提交的电子响应文件概不退回。</w:t>
      </w:r>
    </w:p>
    <w:p w14:paraId="19EBB6EA">
      <w:pPr>
        <w:pStyle w:val="77"/>
        <w:ind w:firstLine="420"/>
        <w:rPr>
          <w:color w:val="auto"/>
        </w:rPr>
      </w:pPr>
      <w:r>
        <w:rPr>
          <w:rFonts w:hint="eastAsia"/>
          <w:color w:val="auto"/>
        </w:rPr>
        <w:t>23.截止时间后的撤回</w:t>
      </w:r>
    </w:p>
    <w:p w14:paraId="47360D77">
      <w:pPr>
        <w:pStyle w:val="77"/>
        <w:ind w:firstLine="420"/>
        <w:rPr>
          <w:color w:val="auto"/>
        </w:rPr>
      </w:pPr>
      <w:r>
        <w:rPr>
          <w:rFonts w:hint="eastAsia"/>
          <w:color w:val="auto"/>
        </w:rPr>
        <w:t>本项目不收取磋商保证金，供应商在首次响应文件提交截止时间后可向采购人、采购代理机构书面申请撤回电子响应文件。</w:t>
      </w:r>
    </w:p>
    <w:p w14:paraId="1C4FFCF1">
      <w:pPr>
        <w:spacing w:before="98" w:line="360" w:lineRule="auto"/>
        <w:ind w:left="542"/>
        <w:rPr>
          <w:rFonts w:ascii="宋体" w:hAnsi="宋体" w:cs="宋体"/>
          <w:b/>
          <w:bCs/>
          <w:color w:val="auto"/>
          <w:spacing w:val="-3"/>
          <w:szCs w:val="21"/>
        </w:rPr>
      </w:pPr>
      <w:r>
        <w:rPr>
          <w:rFonts w:hint="eastAsia" w:ascii="宋体" w:hAnsi="宋体" w:cs="宋体"/>
          <w:b/>
          <w:bCs/>
          <w:color w:val="auto"/>
          <w:spacing w:val="-3"/>
          <w:szCs w:val="21"/>
        </w:rPr>
        <w:t>四、评审及磋商</w:t>
      </w:r>
    </w:p>
    <w:p w14:paraId="06F4AC24">
      <w:pPr>
        <w:pStyle w:val="77"/>
        <w:ind w:firstLine="420"/>
        <w:rPr>
          <w:color w:val="auto"/>
        </w:rPr>
      </w:pPr>
      <w:r>
        <w:rPr>
          <w:rFonts w:hint="eastAsia"/>
          <w:color w:val="auto"/>
        </w:rPr>
        <w:t>24.磋商小组成立</w:t>
      </w:r>
    </w:p>
    <w:p w14:paraId="0888736A">
      <w:pPr>
        <w:pStyle w:val="77"/>
        <w:ind w:firstLine="420"/>
        <w:rPr>
          <w:color w:val="auto"/>
        </w:rPr>
      </w:pPr>
      <w:r>
        <w:rPr>
          <w:rFonts w:hint="eastAsia"/>
          <w:color w:val="auto"/>
        </w:rPr>
        <w:t>24.1磋商小组由采购人代表和评审专家共3人以上单数组成，其中评审专家人数不得少于磋商小组成员总数的2/3。采购人代表不得以评审专家身份参加本部门或者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5人以上单数组成。</w:t>
      </w:r>
    </w:p>
    <w:p w14:paraId="09DB5F36">
      <w:pPr>
        <w:pStyle w:val="77"/>
        <w:ind w:firstLine="420"/>
        <w:rPr>
          <w:color w:val="auto"/>
        </w:rPr>
      </w:pPr>
      <w:r>
        <w:rPr>
          <w:rFonts w:hint="eastAsia"/>
          <w:color w:val="auto"/>
        </w:rPr>
        <w:t>24.2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14:paraId="45FDDF1A">
      <w:pPr>
        <w:pStyle w:val="77"/>
        <w:ind w:firstLine="420"/>
        <w:rPr>
          <w:color w:val="auto"/>
        </w:rPr>
      </w:pPr>
      <w:r>
        <w:rPr>
          <w:rFonts w:hint="eastAsia"/>
          <w:color w:val="auto"/>
        </w:rPr>
        <w:t>25.首次响应文件的开启</w:t>
      </w:r>
    </w:p>
    <w:p w14:paraId="2A2EEFB5">
      <w:pPr>
        <w:pStyle w:val="77"/>
        <w:ind w:firstLine="420"/>
        <w:rPr>
          <w:color w:val="auto"/>
        </w:rPr>
      </w:pPr>
      <w:r>
        <w:rPr>
          <w:rFonts w:hint="eastAsia"/>
          <w:color w:val="auto"/>
        </w:rPr>
        <w:t>25.1首次响应文件由磋商小组或者采购代理机构在“供应商须知前附表”规定的时间开启。</w:t>
      </w:r>
    </w:p>
    <w:p w14:paraId="3B24E5C0">
      <w:pPr>
        <w:pStyle w:val="77"/>
        <w:ind w:firstLine="420"/>
        <w:rPr>
          <w:color w:val="auto"/>
        </w:rPr>
      </w:pPr>
      <w:r>
        <w:rPr>
          <w:rFonts w:hint="eastAsia"/>
          <w:color w:val="auto"/>
        </w:rPr>
        <w:t>25.2响应文件解密</w:t>
      </w:r>
    </w:p>
    <w:p w14:paraId="6AB93C0A">
      <w:pPr>
        <w:pStyle w:val="77"/>
        <w:ind w:firstLine="420"/>
        <w:rPr>
          <w:color w:val="auto"/>
        </w:rPr>
      </w:pPr>
      <w:r>
        <w:rPr>
          <w:rFonts w:hint="eastAsia"/>
          <w:color w:val="auto"/>
        </w:rPr>
        <w:t>采购代理机构将在“供应商须知前附表”规定的时间通过电子交易平台组织响应文件开启采购机构依托电子交易平台发起开始解密指令，供应商的法定代表人或其委托代理人须携带加密时所用的CA锁按平台提示和采购文件的规定登录到“广西政府采购云平台”平台电子开标大厅签到并在发起解密指令之时起30分钟内完成对电子响应文件在线解密。发起解密指令之时起5分钟内供应商还未进行解密的，代理机构要通知供应商，供应商没预留联系方式或预留联系方式无效，导致代理机构无法联系到供应商进行解密的，视为响应文件无效。(解密异常情况处理：详见本章26.3电子交易活动的中止。)</w:t>
      </w:r>
    </w:p>
    <w:p w14:paraId="0B925A41">
      <w:pPr>
        <w:pStyle w:val="77"/>
        <w:ind w:firstLine="420"/>
        <w:rPr>
          <w:color w:val="auto"/>
        </w:rPr>
      </w:pPr>
      <w:r>
        <w:rPr>
          <w:rFonts w:hint="eastAsia"/>
          <w:color w:val="auto"/>
        </w:rPr>
        <w:t>如供应商成功解密响应文件，但未在“广西政府采购云平台”电子开标大厅参加谈判的，视同认可谈判过程和结果，由此产生的后果由供应商自行负责。参与谈判的供应商不足3家的，不得谈判。</w:t>
      </w:r>
    </w:p>
    <w:p w14:paraId="75586ACA">
      <w:pPr>
        <w:pStyle w:val="77"/>
        <w:ind w:firstLine="420"/>
        <w:rPr>
          <w:color w:val="auto"/>
        </w:rPr>
      </w:pPr>
      <w:r>
        <w:rPr>
          <w:rFonts w:hint="eastAsia"/>
          <w:color w:val="auto"/>
        </w:rPr>
        <w:t>26.评审程序、评审方法和评审标准</w:t>
      </w:r>
    </w:p>
    <w:p w14:paraId="379F2B51">
      <w:pPr>
        <w:pStyle w:val="77"/>
        <w:ind w:firstLine="420"/>
        <w:rPr>
          <w:color w:val="auto"/>
        </w:rPr>
      </w:pPr>
      <w:r>
        <w:rPr>
          <w:rFonts w:hint="eastAsia"/>
          <w:color w:val="auto"/>
        </w:rPr>
        <w:t>26.1磋商小组按照“第四章评审程序、评审方法和评审标准”规定的方法、评审因素、标准和程序对响应文件进行评审。</w:t>
      </w:r>
    </w:p>
    <w:p w14:paraId="7E564E35">
      <w:pPr>
        <w:pStyle w:val="77"/>
        <w:ind w:firstLine="420"/>
        <w:rPr>
          <w:color w:val="auto"/>
        </w:rPr>
      </w:pPr>
      <w:r>
        <w:rPr>
          <w:rFonts w:hint="eastAsia"/>
          <w:color w:val="auto"/>
        </w:rPr>
        <w:t>26.2磋商文件内容违反国家有关强制性规定的，磋商小组应当停止评审并向采购人或者采购代理机构说明情况，并在评审报告中书面体现。</w:t>
      </w:r>
    </w:p>
    <w:p w14:paraId="44C41FA4">
      <w:pPr>
        <w:pStyle w:val="77"/>
        <w:ind w:firstLine="420"/>
        <w:rPr>
          <w:color w:val="auto"/>
        </w:rPr>
      </w:pPr>
      <w:r>
        <w:rPr>
          <w:rFonts w:hint="eastAsia"/>
          <w:color w:val="auto"/>
        </w:rPr>
        <w:t>26.3采购需求负偏离要求及磋商顺序详见“供应商须知前附表”。</w:t>
      </w:r>
    </w:p>
    <w:p w14:paraId="1999AFF1">
      <w:pPr>
        <w:pStyle w:val="77"/>
        <w:ind w:firstLine="420"/>
        <w:rPr>
          <w:color w:val="auto"/>
        </w:rPr>
      </w:pPr>
      <w:r>
        <w:rPr>
          <w:rFonts w:hint="eastAsia"/>
          <w:color w:val="auto"/>
        </w:rPr>
        <w:t>26.4电子交易活动的中止。采购过程中出现以下情形，导致电子交易平台无法正常运行，或者无法保证电子交易的公平、公正和安全时，采购机构可中止电子交易活动：</w:t>
      </w:r>
    </w:p>
    <w:p w14:paraId="797186F3">
      <w:pPr>
        <w:pStyle w:val="77"/>
        <w:ind w:firstLine="420"/>
        <w:rPr>
          <w:color w:val="auto"/>
        </w:rPr>
      </w:pPr>
      <w:r>
        <w:rPr>
          <w:rFonts w:hint="eastAsia"/>
          <w:color w:val="auto"/>
        </w:rPr>
        <w:t>(1)电子交易平台发生故障而无法登录访问的；</w:t>
      </w:r>
    </w:p>
    <w:p w14:paraId="248DE424">
      <w:pPr>
        <w:pStyle w:val="77"/>
        <w:ind w:firstLine="420"/>
        <w:rPr>
          <w:color w:val="auto"/>
        </w:rPr>
      </w:pPr>
      <w:r>
        <w:rPr>
          <w:rFonts w:hint="eastAsia"/>
          <w:color w:val="auto"/>
        </w:rPr>
        <w:t>(2)电子交易平台应用或数据库出现错误，不能进行正常操作的；</w:t>
      </w:r>
    </w:p>
    <w:p w14:paraId="0BC9A6BA">
      <w:pPr>
        <w:pStyle w:val="77"/>
        <w:ind w:firstLine="420"/>
        <w:rPr>
          <w:color w:val="auto"/>
        </w:rPr>
      </w:pPr>
      <w:r>
        <w:rPr>
          <w:rFonts w:hint="eastAsia"/>
          <w:color w:val="auto"/>
        </w:rPr>
        <w:t>(3)电子交易平台发现严重安全漏洞，有潜在泄密危险的；</w:t>
      </w:r>
    </w:p>
    <w:p w14:paraId="5C81F6C2">
      <w:pPr>
        <w:pStyle w:val="77"/>
        <w:ind w:firstLine="420"/>
        <w:rPr>
          <w:color w:val="auto"/>
        </w:rPr>
      </w:pPr>
      <w:r>
        <w:rPr>
          <w:rFonts w:hint="eastAsia"/>
          <w:color w:val="auto"/>
        </w:rPr>
        <w:t>(4)病毒发作导致不能进行正常操作的；</w:t>
      </w:r>
    </w:p>
    <w:p w14:paraId="12F69AB9">
      <w:pPr>
        <w:pStyle w:val="77"/>
        <w:ind w:firstLine="420"/>
        <w:rPr>
          <w:color w:val="auto"/>
        </w:rPr>
      </w:pPr>
      <w:r>
        <w:rPr>
          <w:rFonts w:hint="eastAsia"/>
          <w:color w:val="auto"/>
        </w:rPr>
        <w:t>(5)其他无法保证电子交易的公平、公正和安全的情况。</w:t>
      </w:r>
    </w:p>
    <w:p w14:paraId="20FCF1F7">
      <w:pPr>
        <w:pStyle w:val="77"/>
        <w:ind w:firstLine="420"/>
        <w:rPr>
          <w:color w:val="auto"/>
        </w:rPr>
      </w:pPr>
      <w:r>
        <w:rPr>
          <w:rFonts w:hint="eastAsia"/>
          <w:color w:val="auto"/>
        </w:rPr>
        <w:t>26.5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14:paraId="61CA618E">
      <w:pPr>
        <w:spacing w:before="98" w:line="360" w:lineRule="auto"/>
        <w:ind w:left="542"/>
        <w:rPr>
          <w:rFonts w:ascii="宋体" w:hAnsi="宋体" w:cs="宋体"/>
          <w:b/>
          <w:bCs/>
          <w:color w:val="auto"/>
          <w:spacing w:val="-3"/>
          <w:szCs w:val="21"/>
        </w:rPr>
      </w:pPr>
      <w:r>
        <w:rPr>
          <w:rFonts w:hint="eastAsia" w:ascii="宋体" w:hAnsi="宋体" w:cs="宋体"/>
          <w:b/>
          <w:bCs/>
          <w:color w:val="auto"/>
          <w:spacing w:val="-3"/>
          <w:szCs w:val="21"/>
        </w:rPr>
        <w:t>五、成交及合同</w:t>
      </w:r>
    </w:p>
    <w:p w14:paraId="40DC9D45">
      <w:pPr>
        <w:pStyle w:val="77"/>
        <w:ind w:firstLine="420"/>
        <w:rPr>
          <w:color w:val="auto"/>
        </w:rPr>
      </w:pPr>
      <w:r>
        <w:rPr>
          <w:rFonts w:hint="eastAsia"/>
          <w:color w:val="auto"/>
        </w:rPr>
        <w:t>27.确定成交供应商及结果公告</w:t>
      </w:r>
    </w:p>
    <w:p w14:paraId="41CFD936">
      <w:pPr>
        <w:pStyle w:val="77"/>
        <w:ind w:firstLine="420"/>
        <w:rPr>
          <w:color w:val="auto"/>
        </w:rPr>
      </w:pPr>
      <w:r>
        <w:rPr>
          <w:rFonts w:hint="eastAsia"/>
          <w:color w:val="auto"/>
        </w:rPr>
        <w:t>27.1确定成交供应商。由采购人直接委托评审专家确定，评审报告提出的排序第一的供应商为成交供应商。</w:t>
      </w:r>
    </w:p>
    <w:p w14:paraId="0DA956FB">
      <w:pPr>
        <w:pStyle w:val="77"/>
        <w:ind w:firstLine="420"/>
        <w:rPr>
          <w:color w:val="auto"/>
        </w:rPr>
      </w:pPr>
      <w:r>
        <w:rPr>
          <w:rFonts w:hint="eastAsia"/>
          <w:color w:val="auto"/>
        </w:rPr>
        <w:t>27.2成交通知及成交结果公告。成交供应商确定后2个工作日内，在省级以上财政部门指定的媒体上公告成交结果(成交通知及成交结果公告应使用南宁市模板进行公告，公告内容除包含《政府采购公告和公示信息格式规范(2020年版)》要求内容外，还应包含采购人专门面向中小企业预留份额情况及成交供应商评审价格、优惠率等内容)，同时向成交供应商发出成交通知书，成交通知书规定签订合同的时间不得超过25日。</w:t>
      </w:r>
    </w:p>
    <w:p w14:paraId="642A3213">
      <w:pPr>
        <w:pStyle w:val="77"/>
        <w:ind w:firstLine="420"/>
        <w:rPr>
          <w:color w:val="auto"/>
        </w:rPr>
      </w:pPr>
      <w:r>
        <w:rPr>
          <w:rFonts w:hint="eastAsia"/>
          <w:color w:val="auto"/>
        </w:rPr>
        <w:t>27.3采购人或者采购代理机构发出成交通知书前，应当对成交供应商信用进行查询核实，对列入失信被执行人、重大税收违法案件当事人名单、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竞磋文件一并保存。成交供应商享受《政府采购促进中小企业发展管理办法》</w:t>
      </w:r>
      <w:r>
        <w:rPr>
          <w:rFonts w:hint="eastAsia"/>
          <w:color w:val="auto"/>
        </w:rPr>
        <w:tab/>
      </w:r>
      <w:r>
        <w:rPr>
          <w:rFonts w:hint="eastAsia"/>
          <w:color w:val="auto"/>
        </w:rPr>
        <w:t>(财库〔2020〕46号)规定的中小企业扶持政策的，采购人、采购代理机构应当随成交结果公开成交供应商的《中小企业声明函》。</w:t>
      </w:r>
    </w:p>
    <w:p w14:paraId="42CEAAE7">
      <w:pPr>
        <w:pStyle w:val="77"/>
        <w:ind w:firstLine="420"/>
        <w:rPr>
          <w:color w:val="auto"/>
        </w:rPr>
      </w:pPr>
      <w:r>
        <w:rPr>
          <w:rFonts w:hint="eastAsia"/>
          <w:color w:val="auto"/>
        </w:rPr>
        <w:t>27.4采购人、采购代理机构认为供应商对采购过程、成交结果提出的质疑成立且影响或者可能影响成交结果的，合格供应商符合法定数量时，可以从合格的成交候选人中另行确定成交供应商的，应当依法另行确定成交供应商；否则应当重新开展采购活动。</w:t>
      </w:r>
    </w:p>
    <w:p w14:paraId="3A794EE4">
      <w:pPr>
        <w:pStyle w:val="77"/>
        <w:ind w:firstLine="420"/>
        <w:rPr>
          <w:color w:val="auto"/>
        </w:rPr>
      </w:pPr>
      <w:r>
        <w:rPr>
          <w:rFonts w:hint="eastAsia"/>
          <w:color w:val="auto"/>
        </w:rPr>
        <w:t>27.5排名第一的成交候选人放弃成交、因不可抗力提出不能履行合同，采购人可以确定排名第二的成交候选人为成交供应商。排名第二的成交候选人因前款规定的同样原因不能签订合同的，采购人可以确定排名第三的成交候选人为成交供应商。</w:t>
      </w:r>
    </w:p>
    <w:p w14:paraId="3F63337B">
      <w:pPr>
        <w:pStyle w:val="77"/>
        <w:ind w:firstLine="420"/>
        <w:rPr>
          <w:color w:val="auto"/>
        </w:rPr>
      </w:pPr>
      <w:r>
        <w:rPr>
          <w:rFonts w:hint="eastAsia"/>
          <w:color w:val="auto"/>
        </w:rPr>
        <w:t>28.履约保证金</w:t>
      </w:r>
    </w:p>
    <w:p w14:paraId="5FC5C5AC">
      <w:pPr>
        <w:pStyle w:val="77"/>
        <w:ind w:firstLine="420"/>
        <w:rPr>
          <w:color w:val="auto"/>
        </w:rPr>
      </w:pPr>
      <w:r>
        <w:rPr>
          <w:rFonts w:hint="eastAsia"/>
          <w:color w:val="auto"/>
        </w:rPr>
        <w:t>详见“供应商须知前附表”</w:t>
      </w:r>
    </w:p>
    <w:p w14:paraId="6AC7359A">
      <w:pPr>
        <w:pStyle w:val="77"/>
        <w:ind w:firstLine="420"/>
        <w:rPr>
          <w:color w:val="auto"/>
        </w:rPr>
      </w:pPr>
      <w:r>
        <w:rPr>
          <w:rFonts w:hint="eastAsia"/>
          <w:color w:val="auto"/>
        </w:rPr>
        <w:t>29.签订合同</w:t>
      </w:r>
    </w:p>
    <w:p w14:paraId="7717EE51">
      <w:pPr>
        <w:pStyle w:val="77"/>
        <w:ind w:firstLine="420"/>
        <w:rPr>
          <w:color w:val="auto"/>
        </w:rPr>
      </w:pPr>
      <w:r>
        <w:rPr>
          <w:rFonts w:hint="eastAsia"/>
          <w:color w:val="auto"/>
        </w:rPr>
        <w:t>29.1采购人与成交供应商应当在成交通知书规定的时间内，按照磋商文件确定的合同文本以及采购标的、服务技术、采购金额、采购数量、技术和服务要求等事项签订政府采购合同。如成交供应商为联合体的，由联合体成员各方法定代表人或其授权代表与采购人代表签订合同。</w:t>
      </w:r>
    </w:p>
    <w:p w14:paraId="18F95389">
      <w:pPr>
        <w:pStyle w:val="77"/>
        <w:ind w:firstLine="420"/>
        <w:rPr>
          <w:color w:val="auto"/>
        </w:rPr>
      </w:pPr>
      <w:r>
        <w:rPr>
          <w:rFonts w:hint="eastAsia"/>
          <w:color w:val="auto"/>
        </w:rPr>
        <w:t>29.2采购人不得向成交供应商提出超出磋商文件以外的任何要求作为签订合同的条件，不得与成交供应商订立背离磋商文件确定的合同文本以及采购标的、服务技术、采购金额、采购数量、技术和服务要求等实质性内容的协议。</w:t>
      </w:r>
    </w:p>
    <w:p w14:paraId="705DD0E0">
      <w:pPr>
        <w:pStyle w:val="77"/>
        <w:ind w:firstLine="420"/>
        <w:rPr>
          <w:color w:val="auto"/>
        </w:rPr>
      </w:pPr>
      <w:r>
        <w:rPr>
          <w:rFonts w:hint="eastAsia"/>
          <w:color w:val="auto"/>
        </w:rPr>
        <w:t>29.3成交供应商拒绝签订政府采购合同的，采购人可以按照评审报告推荐的成交候选人名单排序，确定下一候选人为成交供应商，也可以重新开展采购活动。拒绝签订政府采购合同的</w:t>
      </w:r>
    </w:p>
    <w:p w14:paraId="7AB85C19">
      <w:pPr>
        <w:pStyle w:val="77"/>
        <w:ind w:firstLine="420"/>
        <w:rPr>
          <w:color w:val="auto"/>
        </w:rPr>
      </w:pPr>
      <w:r>
        <w:rPr>
          <w:rFonts w:hint="eastAsia"/>
          <w:color w:val="auto"/>
        </w:rPr>
        <w:t>成交供应商不得参加对该项目重新开展的采购活动。</w:t>
      </w:r>
    </w:p>
    <w:p w14:paraId="7A6585B2">
      <w:pPr>
        <w:pStyle w:val="77"/>
        <w:ind w:firstLine="420"/>
        <w:rPr>
          <w:color w:val="auto"/>
        </w:rPr>
      </w:pPr>
      <w:r>
        <w:rPr>
          <w:rFonts w:hint="eastAsia"/>
          <w:color w:val="auto"/>
        </w:rPr>
        <w:t>29.4如签订合同并生效后，供应商无故拒绝或延期，除按照合同条款处理外，列入不良行为记录，并给予通报。</w:t>
      </w:r>
    </w:p>
    <w:p w14:paraId="3CD67DB1">
      <w:pPr>
        <w:pStyle w:val="77"/>
        <w:ind w:firstLine="420"/>
        <w:rPr>
          <w:color w:val="auto"/>
        </w:rPr>
      </w:pPr>
      <w:r>
        <w:rPr>
          <w:rFonts w:hint="eastAsia"/>
          <w:color w:val="auto"/>
        </w:rPr>
        <w:t>29.5采购合同由采购人与成交供应商根据磋商文件、响应文件等内容通过政府采购电子交易平台在线签订，自动备案，在线签订须携带的材料见“供应商须知前附表”。</w:t>
      </w:r>
    </w:p>
    <w:p w14:paraId="4B4EDB81">
      <w:pPr>
        <w:pStyle w:val="77"/>
        <w:ind w:firstLine="420"/>
        <w:rPr>
          <w:color w:val="auto"/>
        </w:rPr>
      </w:pPr>
      <w:r>
        <w:rPr>
          <w:rFonts w:hint="eastAsia"/>
          <w:color w:val="auto"/>
        </w:rPr>
        <w:t>30.政府采购合同公告</w:t>
      </w:r>
    </w:p>
    <w:p w14:paraId="4D9D2EB0">
      <w:pPr>
        <w:pStyle w:val="77"/>
        <w:ind w:firstLine="420"/>
        <w:rPr>
          <w:color w:val="auto"/>
        </w:rPr>
      </w:pPr>
      <w:r>
        <w:rPr>
          <w:rFonts w:hint="eastAsia"/>
          <w:color w:val="auto"/>
        </w:rPr>
        <w:t>采购人或者受托采购代理机构应当自政府采购合同签订之日起2个工作日内，将政府采购合同在以下媒体上发布“广西政府采购网”(http://zfcg.gxzf.gov.cn)上公告，但政府采购合同中涉及国家秘密、商业秘密的内容除外。</w:t>
      </w:r>
    </w:p>
    <w:p w14:paraId="39CD6B68">
      <w:pPr>
        <w:pStyle w:val="77"/>
        <w:ind w:firstLine="420"/>
        <w:rPr>
          <w:color w:val="auto"/>
        </w:rPr>
      </w:pPr>
      <w:r>
        <w:rPr>
          <w:rFonts w:hint="eastAsia"/>
          <w:color w:val="auto"/>
        </w:rPr>
        <w:t>31.询问、质疑和投诉</w:t>
      </w:r>
    </w:p>
    <w:p w14:paraId="68D2E599">
      <w:pPr>
        <w:pStyle w:val="77"/>
        <w:ind w:firstLine="420"/>
        <w:rPr>
          <w:color w:val="auto"/>
        </w:rPr>
      </w:pPr>
      <w:r>
        <w:rPr>
          <w:rFonts w:hint="eastAsia"/>
          <w:color w:val="auto"/>
        </w:rPr>
        <w:t>31.1供应商对政府采购活动事项有疑问的，可以向采购人、采购代理机构提出询问，采购人或者采购代理机构应当在3个工作日内对供应商依法提出的询问作出答复。</w:t>
      </w:r>
    </w:p>
    <w:p w14:paraId="48D36969">
      <w:pPr>
        <w:pStyle w:val="77"/>
        <w:ind w:firstLine="420"/>
        <w:rPr>
          <w:color w:val="auto"/>
        </w:rPr>
      </w:pPr>
      <w:r>
        <w:rPr>
          <w:rFonts w:hint="eastAsia"/>
          <w:color w:val="auto"/>
        </w:rPr>
        <w:t>31.2供应商认为磋商文件、采购过程或者成交结果使自己的合法权益受到损害的，应当在知道或者应知其权益受到损害之日起7个工作日内，以书面形式向采购人、采购代理机构提出质疑，接收质疑函的方式、联系部门、联系电话和通讯地址等信息详见“供应商须知前附表”。具体质疑起算时间及处理方式如下：</w:t>
      </w:r>
    </w:p>
    <w:p w14:paraId="2D2B28B5">
      <w:pPr>
        <w:pStyle w:val="77"/>
        <w:ind w:firstLine="420"/>
        <w:rPr>
          <w:color w:val="auto"/>
        </w:rPr>
      </w:pPr>
      <w:r>
        <w:rPr>
          <w:rFonts w:hint="eastAsia"/>
          <w:color w:val="auto"/>
        </w:rPr>
        <w:t>(1)潜在供应商依法获取采购文件后，认为采购文件使自己的权益受到损害的，应当在竞争性磋商采购文件公告期限届满之日起7个工作日内提出质疑。委托代理协议无特殊约定的，对竞争性磋商文件中采购需求(含资格要求、采购预算和评分办法)的质疑由采购人受理并负责答复；对竞争性磋商文件中的采购执行程序的质疑由采购代理机构受理并负责答复。</w:t>
      </w:r>
    </w:p>
    <w:p w14:paraId="66056846">
      <w:pPr>
        <w:pStyle w:val="77"/>
        <w:ind w:firstLine="420"/>
        <w:rPr>
          <w:color w:val="auto"/>
        </w:rPr>
      </w:pPr>
      <w:r>
        <w:rPr>
          <w:rFonts w:hint="eastAsia"/>
          <w:color w:val="auto"/>
        </w:rPr>
        <w:t>(2)供应商认为采购过程使自己的权益受到损害的，应当在各采购程序环节结束之日起7个工作日内提出质疑。对采购过程中资格审查、符合性审查等具体评审情况的质疑应向采购人或代理机构提出，由采购人或代理机构受理并负责答复；对采购过程中采购执行程序的质疑由采购代理机构受理并负责答复。</w:t>
      </w:r>
    </w:p>
    <w:p w14:paraId="6B28291D">
      <w:pPr>
        <w:pStyle w:val="77"/>
        <w:ind w:firstLine="420"/>
        <w:rPr>
          <w:color w:val="auto"/>
        </w:rPr>
      </w:pPr>
      <w:r>
        <w:rPr>
          <w:rFonts w:hint="eastAsia"/>
          <w:color w:val="auto"/>
        </w:rPr>
        <w:t>(3)供应商认为成交结果使自己的权益受到损害的，应当在成交结果公告期限届满之日起7个工作日内提出质疑，由采购人受理并负责答复。</w:t>
      </w:r>
    </w:p>
    <w:p w14:paraId="36003A41">
      <w:pPr>
        <w:pStyle w:val="77"/>
        <w:ind w:firstLine="420"/>
        <w:rPr>
          <w:color w:val="auto"/>
        </w:rPr>
      </w:pPr>
      <w:r>
        <w:rPr>
          <w:rFonts w:hint="eastAsia"/>
          <w:color w:val="auto"/>
        </w:rPr>
        <w:t>31.3供应商提出的询问或者质疑超出采购人对采购代理机构委托授权范围的，采购代理机构应当告知供应商向采购人提出。政府采购评审专家应当配合采购人或者采购代理机构答复供应商的询问和质疑。</w:t>
      </w:r>
    </w:p>
    <w:p w14:paraId="7FF08748">
      <w:pPr>
        <w:pStyle w:val="77"/>
        <w:ind w:firstLine="420"/>
        <w:rPr>
          <w:color w:val="auto"/>
        </w:rPr>
      </w:pPr>
      <w:r>
        <w:rPr>
          <w:rFonts w:hint="eastAsia"/>
          <w:color w:val="auto"/>
        </w:rPr>
        <w:t>31.4供应商提出质疑应当提交质疑函和必要的证明材料，针对同一采购程序环节的质疑必须在法定质疑期内一次性提出。质疑函应当包括下列内容(质疑函格式后附)：</w:t>
      </w:r>
    </w:p>
    <w:p w14:paraId="1EA8C62A">
      <w:pPr>
        <w:pStyle w:val="77"/>
        <w:ind w:firstLine="420"/>
        <w:rPr>
          <w:color w:val="auto"/>
        </w:rPr>
      </w:pPr>
      <w:r>
        <w:rPr>
          <w:rFonts w:hint="eastAsia"/>
          <w:color w:val="auto"/>
        </w:rPr>
        <w:t>(1)供应商的姓名或者名称、地址、邮编、联系人及联系电话；</w:t>
      </w:r>
    </w:p>
    <w:p w14:paraId="6F8F2517">
      <w:pPr>
        <w:pStyle w:val="77"/>
        <w:ind w:firstLine="420"/>
        <w:rPr>
          <w:color w:val="auto"/>
        </w:rPr>
      </w:pPr>
      <w:r>
        <w:rPr>
          <w:rFonts w:hint="eastAsia"/>
          <w:color w:val="auto"/>
        </w:rPr>
        <w:t>(2)质疑项目的名称、编号；</w:t>
      </w:r>
    </w:p>
    <w:p w14:paraId="5CC890D6">
      <w:pPr>
        <w:pStyle w:val="77"/>
        <w:ind w:firstLine="420"/>
        <w:rPr>
          <w:color w:val="auto"/>
        </w:rPr>
      </w:pPr>
      <w:r>
        <w:rPr>
          <w:rFonts w:hint="eastAsia"/>
          <w:color w:val="auto"/>
        </w:rPr>
        <w:t>(3)具体、明确的质疑事项和与质疑事项相关的请求；</w:t>
      </w:r>
    </w:p>
    <w:p w14:paraId="3A6DBAA6">
      <w:pPr>
        <w:pStyle w:val="77"/>
        <w:ind w:firstLine="420"/>
        <w:rPr>
          <w:color w:val="auto"/>
        </w:rPr>
      </w:pPr>
      <w:r>
        <w:rPr>
          <w:rFonts w:hint="eastAsia"/>
          <w:color w:val="auto"/>
        </w:rPr>
        <w:t>(4)事实依据；</w:t>
      </w:r>
    </w:p>
    <w:p w14:paraId="747B23EB">
      <w:pPr>
        <w:pStyle w:val="77"/>
        <w:ind w:firstLine="420"/>
        <w:rPr>
          <w:color w:val="auto"/>
        </w:rPr>
      </w:pPr>
      <w:r>
        <w:rPr>
          <w:rFonts w:hint="eastAsia"/>
          <w:color w:val="auto"/>
        </w:rPr>
        <w:t>(5)必要的法律依据；</w:t>
      </w:r>
    </w:p>
    <w:p w14:paraId="4B0B965C">
      <w:pPr>
        <w:pStyle w:val="77"/>
        <w:ind w:firstLine="420"/>
        <w:rPr>
          <w:color w:val="auto"/>
        </w:rPr>
      </w:pPr>
      <w:r>
        <w:rPr>
          <w:rFonts w:hint="eastAsia"/>
          <w:color w:val="auto"/>
        </w:rPr>
        <w:t>(6)提出质疑的日期。</w:t>
      </w:r>
    </w:p>
    <w:p w14:paraId="26FF6331">
      <w:pPr>
        <w:pStyle w:val="77"/>
        <w:ind w:firstLine="420"/>
        <w:rPr>
          <w:color w:val="auto"/>
        </w:rPr>
      </w:pPr>
      <w:r>
        <w:rPr>
          <w:rFonts w:hint="eastAsia"/>
          <w:color w:val="auto"/>
        </w:rPr>
        <w:t>供应商为自然人的，应当由本人签字；供应商为法人或者其他组织的，应当由法定代表人主要负责人，或者其委托代理人签字或者盖章，并加盖公章。</w:t>
      </w:r>
    </w:p>
    <w:p w14:paraId="0A185332">
      <w:pPr>
        <w:pStyle w:val="77"/>
        <w:ind w:firstLine="420"/>
        <w:rPr>
          <w:color w:val="auto"/>
        </w:rPr>
      </w:pPr>
      <w:r>
        <w:rPr>
          <w:rFonts w:hint="eastAsia"/>
          <w:color w:val="auto"/>
        </w:rPr>
        <w:t>31.5采购人、采购代理机构认为供应商质疑不成立，或者成立但未对成交结果构成影响的，继续开展采购活动；认为供应商质疑成立且影响或者可能影响成交结果的，按照下列情况处理：</w:t>
      </w:r>
    </w:p>
    <w:p w14:paraId="210B843C">
      <w:pPr>
        <w:pStyle w:val="77"/>
        <w:ind w:firstLine="420"/>
        <w:rPr>
          <w:color w:val="auto"/>
        </w:rPr>
      </w:pPr>
      <w:r>
        <w:rPr>
          <w:rFonts w:hint="eastAsia"/>
          <w:color w:val="auto"/>
        </w:rPr>
        <w:t>(一)对采购文件提出的质疑，依法通过澄清或者修改可以继续开展采购活动的，澄清或者修改采购文件后继续开展采购活动；否则应当修改采购文件后重新开展采购活动。</w:t>
      </w:r>
    </w:p>
    <w:p w14:paraId="45B4137B">
      <w:pPr>
        <w:pStyle w:val="77"/>
        <w:ind w:firstLine="420"/>
        <w:rPr>
          <w:color w:val="auto"/>
        </w:rPr>
      </w:pPr>
      <w:r>
        <w:rPr>
          <w:rFonts w:hint="eastAsia"/>
          <w:color w:val="auto"/>
        </w:rPr>
        <w:t>(二)对采购过程或者成交结果提出的质疑，合格供应商符合法定数量时，可以从合格的成交候选人中另行确定成交供应商的，应当依法另行确定成交供应商；否则应当重新开展采购活动。</w:t>
      </w:r>
    </w:p>
    <w:p w14:paraId="08142B9F">
      <w:pPr>
        <w:pStyle w:val="77"/>
        <w:ind w:firstLine="420"/>
        <w:rPr>
          <w:color w:val="auto"/>
        </w:rPr>
      </w:pPr>
      <w:r>
        <w:rPr>
          <w:rFonts w:hint="eastAsia"/>
          <w:color w:val="auto"/>
        </w:rPr>
        <w:t>质疑答复导致成交结果改变的，采购人或者采购代理机构应当将有关情况书面报告本级财政部门。</w:t>
      </w:r>
    </w:p>
    <w:p w14:paraId="791F0E35">
      <w:pPr>
        <w:pStyle w:val="77"/>
        <w:ind w:firstLine="420"/>
        <w:rPr>
          <w:color w:val="auto"/>
        </w:rPr>
      </w:pPr>
      <w:r>
        <w:rPr>
          <w:rFonts w:hint="eastAsia"/>
          <w:color w:val="auto"/>
        </w:rPr>
        <w:t>31.6投诉的权利。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受理投诉方式见“供应商须知前附表”。</w:t>
      </w:r>
    </w:p>
    <w:p w14:paraId="7FB33034">
      <w:pPr>
        <w:spacing w:before="98" w:line="360" w:lineRule="auto"/>
        <w:ind w:left="542"/>
        <w:rPr>
          <w:rFonts w:ascii="宋体" w:hAnsi="宋体" w:cs="宋体"/>
          <w:b/>
          <w:bCs/>
          <w:color w:val="auto"/>
          <w:spacing w:val="-3"/>
          <w:szCs w:val="21"/>
        </w:rPr>
      </w:pPr>
      <w:r>
        <w:rPr>
          <w:rFonts w:hint="eastAsia" w:ascii="宋体" w:hAnsi="宋体" w:cs="宋体"/>
          <w:b/>
          <w:bCs/>
          <w:color w:val="auto"/>
          <w:spacing w:val="-3"/>
          <w:szCs w:val="21"/>
        </w:rPr>
        <w:t>六、验收</w:t>
      </w:r>
    </w:p>
    <w:p w14:paraId="40C7A046">
      <w:pPr>
        <w:pStyle w:val="77"/>
        <w:ind w:firstLine="420"/>
        <w:rPr>
          <w:color w:val="auto"/>
        </w:rPr>
      </w:pPr>
      <w:r>
        <w:rPr>
          <w:rFonts w:hint="eastAsia"/>
          <w:color w:val="auto"/>
        </w:rPr>
        <w:t>32.验收</w:t>
      </w:r>
    </w:p>
    <w:p w14:paraId="4667CC65">
      <w:pPr>
        <w:pStyle w:val="77"/>
        <w:ind w:firstLine="420"/>
        <w:rPr>
          <w:color w:val="auto"/>
        </w:rPr>
      </w:pPr>
      <w:r>
        <w:rPr>
          <w:rFonts w:hint="eastAsia"/>
          <w:color w:val="auto"/>
        </w:rPr>
        <w:t>32.1采购人会同实际使用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1DAF0382">
      <w:pPr>
        <w:pStyle w:val="77"/>
        <w:ind w:firstLine="420"/>
        <w:rPr>
          <w:color w:val="auto"/>
        </w:rPr>
      </w:pPr>
      <w:r>
        <w:rPr>
          <w:rFonts w:hint="eastAsia"/>
          <w:color w:val="auto"/>
        </w:rPr>
        <w:t>32.2采购人可以邀请参加本项目的其他供应商或者第三方机构参与验收。参与验收的供应商或者第三方机构的意见作为验收书的参考资料一并存档。</w:t>
      </w:r>
    </w:p>
    <w:p w14:paraId="56FA3029">
      <w:pPr>
        <w:pStyle w:val="77"/>
        <w:ind w:firstLine="420"/>
        <w:rPr>
          <w:color w:val="auto"/>
        </w:rPr>
      </w:pPr>
      <w:r>
        <w:rPr>
          <w:rFonts w:hint="eastAsia"/>
          <w:color w:val="auto"/>
        </w:rPr>
        <w:t>32.3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6763640">
      <w:pPr>
        <w:pStyle w:val="77"/>
        <w:ind w:firstLine="420"/>
        <w:rPr>
          <w:color w:val="auto"/>
        </w:rPr>
      </w:pPr>
      <w:r>
        <w:rPr>
          <w:rFonts w:hint="eastAsia"/>
          <w:color w:val="auto"/>
        </w:rPr>
        <w:t>32.4验收合格的项目，实际使用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728ECC48">
      <w:pPr>
        <w:spacing w:before="98" w:line="360" w:lineRule="auto"/>
        <w:ind w:left="542"/>
        <w:rPr>
          <w:rFonts w:ascii="宋体" w:hAnsi="宋体" w:cs="宋体"/>
          <w:b/>
          <w:bCs/>
          <w:color w:val="auto"/>
          <w:spacing w:val="-3"/>
          <w:szCs w:val="21"/>
        </w:rPr>
      </w:pPr>
      <w:r>
        <w:rPr>
          <w:rFonts w:hint="eastAsia" w:ascii="宋体" w:hAnsi="宋体" w:cs="宋体"/>
          <w:b/>
          <w:bCs/>
          <w:color w:val="auto"/>
          <w:spacing w:val="-3"/>
          <w:szCs w:val="21"/>
        </w:rPr>
        <w:t>七、其他事项</w:t>
      </w:r>
    </w:p>
    <w:p w14:paraId="77E198A4">
      <w:pPr>
        <w:pStyle w:val="77"/>
        <w:ind w:firstLine="420"/>
        <w:rPr>
          <w:color w:val="auto"/>
        </w:rPr>
      </w:pPr>
      <w:r>
        <w:rPr>
          <w:rFonts w:hint="eastAsia"/>
          <w:color w:val="auto"/>
        </w:rPr>
        <w:t>33.代理服务费</w:t>
      </w:r>
    </w:p>
    <w:p w14:paraId="7824C869">
      <w:pPr>
        <w:pStyle w:val="77"/>
        <w:ind w:firstLine="420"/>
        <w:rPr>
          <w:color w:val="auto"/>
        </w:rPr>
      </w:pPr>
      <w:r>
        <w:rPr>
          <w:rFonts w:hint="eastAsia"/>
          <w:color w:val="auto"/>
        </w:rPr>
        <w:t>代理服务收费标准及缴费账户详见“供应商须知前附表”，供应商为联合体的，可以由联合体中的一方或者多方共同交纳代理服务费。</w:t>
      </w:r>
    </w:p>
    <w:p w14:paraId="257C8173">
      <w:pPr>
        <w:pStyle w:val="77"/>
        <w:ind w:firstLine="420"/>
        <w:rPr>
          <w:color w:val="auto"/>
        </w:rPr>
      </w:pPr>
      <w:r>
        <w:rPr>
          <w:rFonts w:hint="eastAsia"/>
          <w:color w:val="auto"/>
        </w:rPr>
        <w:t>34.需要补充的其他内容</w:t>
      </w:r>
    </w:p>
    <w:p w14:paraId="1B57007B">
      <w:pPr>
        <w:pStyle w:val="77"/>
        <w:ind w:firstLine="420"/>
        <w:rPr>
          <w:color w:val="auto"/>
        </w:rPr>
      </w:pPr>
      <w:r>
        <w:rPr>
          <w:rFonts w:hint="eastAsia"/>
          <w:color w:val="auto"/>
        </w:rPr>
        <w:t>34.1本磋商文件解释规则详见“供应商须知前附表”。</w:t>
      </w:r>
    </w:p>
    <w:p w14:paraId="438E6F6C">
      <w:pPr>
        <w:pStyle w:val="77"/>
        <w:ind w:firstLine="420"/>
        <w:rPr>
          <w:color w:val="auto"/>
        </w:rPr>
      </w:pPr>
      <w:r>
        <w:rPr>
          <w:rFonts w:hint="eastAsia"/>
          <w:color w:val="auto"/>
        </w:rPr>
        <w:t>34.2其他事项详见“供应商须知前附表”。</w:t>
      </w:r>
    </w:p>
    <w:p w14:paraId="501E6895">
      <w:pPr>
        <w:pStyle w:val="77"/>
        <w:ind w:firstLine="420"/>
        <w:rPr>
          <w:color w:val="auto"/>
        </w:rPr>
      </w:pPr>
      <w:r>
        <w:rPr>
          <w:rFonts w:hint="eastAsia"/>
          <w:color w:val="auto"/>
        </w:rPr>
        <w:t>34.3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服务由中小企业承接，即提供服务的人员为中小企业依照《中华人民共和国劳动合同法》订立劳动合同的从业人员，不对其中涉及的货物的制造商和工程承建商作出要求的，享受本文件规定的中小企业扶持政策。</w:t>
      </w:r>
    </w:p>
    <w:p w14:paraId="7E24A472">
      <w:pPr>
        <w:pStyle w:val="77"/>
        <w:ind w:firstLine="420"/>
        <w:rPr>
          <w:color w:val="auto"/>
        </w:rPr>
      </w:pPr>
      <w:r>
        <w:rPr>
          <w:rFonts w:hint="eastAsia"/>
          <w:color w:val="auto"/>
        </w:rPr>
        <w:t>以联合体形式参加政府采购活动，联合体各方均为中小企业的，联合体视同中小企业。其中，联合体各方均为小微企业的，联合体视同小微企业。</w:t>
      </w:r>
    </w:p>
    <w:p w14:paraId="200822D1">
      <w:pPr>
        <w:pStyle w:val="77"/>
        <w:ind w:firstLine="420"/>
        <w:rPr>
          <w:color w:val="auto"/>
        </w:rPr>
      </w:pPr>
      <w:r>
        <w:rPr>
          <w:rFonts w:hint="eastAsia"/>
          <w:color w:val="auto"/>
        </w:rPr>
        <w:t>依据本文件规定享受扶持政策获得政府采购合同的，小微企业不得将合同分包给大中型企业，中型企业不得将合同分包给大型企业。</w:t>
      </w:r>
    </w:p>
    <w:p w14:paraId="3606D360">
      <w:pPr>
        <w:pStyle w:val="77"/>
        <w:ind w:firstLine="420"/>
        <w:rPr>
          <w:color w:val="auto"/>
        </w:rPr>
      </w:pPr>
      <w:r>
        <w:rPr>
          <w:rFonts w:hint="eastAsia"/>
          <w:color w:val="auto"/>
        </w:rPr>
        <w:t>35.政采贷相关说明</w:t>
      </w:r>
    </w:p>
    <w:p w14:paraId="016A453E">
      <w:pPr>
        <w:pStyle w:val="77"/>
        <w:ind w:firstLine="420"/>
        <w:rPr>
          <w:color w:val="auto"/>
        </w:rPr>
      </w:pPr>
      <w:r>
        <w:rPr>
          <w:rFonts w:hint="eastAsia"/>
          <w:color w:val="auto"/>
        </w:rPr>
        <w:t>为优化政府采购营商环境，缓解供应商资金难题，南宁市政府采购试行政府采购信用融资制度，中标供应商如有融资需求，可凭政府采购合同通过以下方式申请政府采购信用融资贷款：(1)线下渠道：在“南宁市公共资源交易中心”官网(网址：</w:t>
      </w:r>
      <w:r>
        <w:rPr>
          <w:color w:val="auto"/>
        </w:rPr>
        <w:fldChar w:fldCharType="begin"/>
      </w:r>
      <w:r>
        <w:rPr>
          <w:color w:val="auto"/>
        </w:rPr>
        <w:instrText xml:space="preserve"> HYPERLINK "file:///C:\\Users\\opt\\zcy\\modules\\pdf-center\\ä¸­èèµé¶è¡ååå®å¸ä¼ä¸èèµæå¡ä¸­å¿ä¸æ ä¿¡æ¯ç³è¯·æ¿åºéè´­ä¿¡ç¨èèµã" </w:instrText>
      </w:r>
      <w:r>
        <w:rPr>
          <w:color w:val="auto"/>
        </w:rPr>
        <w:fldChar w:fldCharType="separate"/>
      </w:r>
      <w:r>
        <w:rPr>
          <w:rFonts w:hint="eastAsia"/>
          <w:color w:val="auto"/>
        </w:rPr>
        <w:t>http://www.nnggzy.org.cn)“交易信息-政府采购-政府采购信用融资”中融资银行和南宁市</w:t>
      </w:r>
      <w:r>
        <w:rPr>
          <w:rFonts w:hint="eastAsia"/>
          <w:color w:val="auto"/>
        </w:rPr>
        <w:fldChar w:fldCharType="end"/>
      </w:r>
      <w:r>
        <w:rPr>
          <w:color w:val="auto"/>
        </w:rPr>
        <w:fldChar w:fldCharType="begin"/>
      </w:r>
      <w:r>
        <w:rPr>
          <w:color w:val="auto"/>
        </w:rPr>
        <w:instrText xml:space="preserve"> HYPERLINK "file:///C:\\Users\\opt\\zcy\\modules\\pdf-center\\ä¸­èèµé¶è¡ååå®å¸ä¼ä¸èèµæå¡ä¸­å¿ä¸æ ä¿¡æ¯ç³è¯·æ¿åºéè´­ä¿¡ç¨èèµã" </w:instrText>
      </w:r>
      <w:r>
        <w:rPr>
          <w:color w:val="auto"/>
        </w:rPr>
        <w:fldChar w:fldCharType="separate"/>
      </w:r>
      <w:r>
        <w:rPr>
          <w:rFonts w:hint="eastAsia"/>
          <w:color w:val="auto"/>
        </w:rPr>
        <w:t>企业融资服务中心专栏信息申请政府采购信用融资。</w:t>
      </w:r>
      <w:r>
        <w:rPr>
          <w:rFonts w:hint="eastAsia"/>
          <w:color w:val="auto"/>
        </w:rPr>
        <w:fldChar w:fldCharType="end"/>
      </w:r>
    </w:p>
    <w:p w14:paraId="7255841E">
      <w:pPr>
        <w:pStyle w:val="77"/>
        <w:ind w:firstLine="420"/>
        <w:rPr>
          <w:color w:val="auto"/>
        </w:rPr>
      </w:pPr>
      <w:r>
        <w:rPr>
          <w:rFonts w:hint="eastAsia"/>
          <w:color w:val="auto"/>
        </w:rPr>
        <w:t>(2)线上渠道：登录中征营应收账款融资服务平台(网址：</w:t>
      </w:r>
      <w:r>
        <w:rPr>
          <w:color w:val="auto"/>
        </w:rPr>
        <w:fldChar w:fldCharType="begin"/>
      </w:r>
      <w:r>
        <w:rPr>
          <w:color w:val="auto"/>
        </w:rPr>
        <w:instrText xml:space="preserve"> HYPERLINK "https://www.crcrfsp.com" </w:instrText>
      </w:r>
      <w:r>
        <w:rPr>
          <w:color w:val="auto"/>
        </w:rPr>
        <w:fldChar w:fldCharType="separate"/>
      </w:r>
      <w:r>
        <w:rPr>
          <w:rFonts w:hint="eastAsia"/>
          <w:color w:val="auto"/>
        </w:rPr>
        <w:t>https://www.crcrfsp.com</w:t>
      </w:r>
      <w:r>
        <w:rPr>
          <w:rFonts w:hint="eastAsia"/>
          <w:color w:val="auto"/>
        </w:rPr>
        <w:fldChar w:fldCharType="end"/>
      </w:r>
      <w:r>
        <w:rPr>
          <w:rFonts w:hint="eastAsia"/>
          <w:color w:val="auto"/>
        </w:rPr>
        <w:t>，客服电话：400-009-0001)，选择相关金融产品和银行业金融机构金融融资贷款。具体操作方式见《中国人民银行南宁中心支行广西壮族自治区财政厅关于推广线上“政采贷”融资模式的通知》(南宁银发〔2021〕258号)文(文件公开网址详情见：“广西政府采购网”—http://www.ccgp-guangxi.gov.cn/AdministrativeRegulations/AutonomousRegion/9830442.html)</w:t>
      </w:r>
    </w:p>
    <w:p w14:paraId="5F600169">
      <w:pPr>
        <w:spacing w:line="360" w:lineRule="auto"/>
        <w:rPr>
          <w:rFonts w:ascii="宋体" w:hAnsi="宋体" w:cs="宋体"/>
          <w:color w:val="auto"/>
        </w:rPr>
      </w:pPr>
    </w:p>
    <w:p w14:paraId="7189061F">
      <w:pPr>
        <w:spacing w:before="143" w:line="360" w:lineRule="auto"/>
        <w:ind w:left="533"/>
        <w:outlineLvl w:val="0"/>
        <w:rPr>
          <w:rFonts w:ascii="宋体" w:hAnsi="宋体" w:cs="宋体"/>
          <w:color w:val="auto"/>
          <w:sz w:val="44"/>
          <w:szCs w:val="44"/>
        </w:rPr>
      </w:pPr>
      <w:r>
        <w:rPr>
          <w:rFonts w:hint="eastAsia" w:ascii="宋体" w:hAnsi="宋体" w:cs="宋体"/>
          <w:color w:val="auto"/>
          <w:spacing w:val="-1"/>
          <w:sz w:val="44"/>
          <w:szCs w:val="44"/>
        </w:rPr>
        <w:br w:type="page"/>
      </w:r>
      <w:bookmarkStart w:id="13" w:name="_Toc15596"/>
      <w:r>
        <w:rPr>
          <w:rFonts w:hint="eastAsia" w:ascii="宋体" w:hAnsi="宋体" w:cs="宋体"/>
          <w:color w:val="auto"/>
          <w:spacing w:val="-1"/>
          <w:sz w:val="44"/>
          <w:szCs w:val="44"/>
        </w:rPr>
        <w:t>第四章 评审程序、评审方法和评审标准</w:t>
      </w:r>
      <w:bookmarkEnd w:id="13"/>
    </w:p>
    <w:p w14:paraId="1D60F4AC">
      <w:pPr>
        <w:spacing w:line="360" w:lineRule="auto"/>
        <w:rPr>
          <w:rFonts w:ascii="宋体" w:hAnsi="宋体" w:cs="宋体"/>
          <w:color w:val="auto"/>
        </w:rPr>
      </w:pPr>
    </w:p>
    <w:p w14:paraId="37B2F0B0">
      <w:pPr>
        <w:spacing w:line="360" w:lineRule="auto"/>
        <w:rPr>
          <w:rFonts w:ascii="宋体" w:hAnsi="宋体" w:cs="宋体"/>
          <w:color w:val="auto"/>
        </w:rPr>
      </w:pPr>
    </w:p>
    <w:p w14:paraId="09937D55">
      <w:pPr>
        <w:spacing w:before="104" w:line="360" w:lineRule="auto"/>
        <w:jc w:val="center"/>
        <w:outlineLvl w:val="1"/>
        <w:rPr>
          <w:rFonts w:ascii="宋体" w:hAnsi="宋体" w:cs="宋体"/>
          <w:color w:val="auto"/>
          <w:sz w:val="32"/>
          <w:szCs w:val="32"/>
        </w:rPr>
      </w:pPr>
      <w:r>
        <w:rPr>
          <w:rFonts w:hint="eastAsia" w:ascii="宋体" w:hAnsi="宋体" w:cs="宋体"/>
          <w:color w:val="auto"/>
          <w:spacing w:val="-1"/>
          <w:sz w:val="32"/>
          <w:szCs w:val="32"/>
        </w:rPr>
        <w:t>第一节 评审程序和评审方法</w:t>
      </w:r>
    </w:p>
    <w:p w14:paraId="587024CA">
      <w:pPr>
        <w:spacing w:line="360" w:lineRule="auto"/>
        <w:rPr>
          <w:rFonts w:ascii="宋体" w:hAnsi="宋体" w:cs="宋体"/>
          <w:color w:val="auto"/>
        </w:rPr>
      </w:pPr>
    </w:p>
    <w:p w14:paraId="4D6FECFF">
      <w:pPr>
        <w:pStyle w:val="77"/>
        <w:ind w:firstLine="420"/>
        <w:rPr>
          <w:color w:val="auto"/>
        </w:rPr>
      </w:pPr>
      <w:r>
        <w:rPr>
          <w:rFonts w:hint="eastAsia"/>
          <w:color w:val="auto"/>
        </w:rPr>
        <w:t>1.确认磋商文件</w:t>
      </w:r>
    </w:p>
    <w:p w14:paraId="6A2BDD3A">
      <w:pPr>
        <w:pStyle w:val="77"/>
        <w:ind w:firstLine="420"/>
        <w:rPr>
          <w:color w:val="auto"/>
        </w:rPr>
      </w:pPr>
      <w:r>
        <w:rPr>
          <w:rFonts w:hint="eastAsia"/>
          <w:color w:val="auto"/>
        </w:rPr>
        <w:t>由磋商小组确认磋商文件。</w:t>
      </w:r>
    </w:p>
    <w:p w14:paraId="68DDD65F">
      <w:pPr>
        <w:pStyle w:val="77"/>
        <w:ind w:firstLine="420"/>
        <w:rPr>
          <w:color w:val="auto"/>
        </w:rPr>
      </w:pPr>
      <w:r>
        <w:rPr>
          <w:rFonts w:hint="eastAsia"/>
          <w:color w:val="auto"/>
        </w:rPr>
        <w:t>2.资格审查</w:t>
      </w:r>
    </w:p>
    <w:p w14:paraId="422830C2">
      <w:pPr>
        <w:pStyle w:val="77"/>
        <w:ind w:firstLine="420"/>
        <w:rPr>
          <w:color w:val="auto"/>
        </w:rPr>
      </w:pPr>
      <w:r>
        <w:rPr>
          <w:rFonts w:hint="eastAsia"/>
          <w:color w:val="auto"/>
        </w:rPr>
        <w:t>2.1响应文件开启后，磋商小组依法对供应商的资格证明文件进行审查。</w:t>
      </w:r>
    </w:p>
    <w:p w14:paraId="392C9A36">
      <w:pPr>
        <w:pStyle w:val="77"/>
        <w:ind w:firstLine="420"/>
        <w:rPr>
          <w:color w:val="auto"/>
        </w:rPr>
      </w:pPr>
      <w:r>
        <w:rPr>
          <w:rFonts w:hint="eastAsia"/>
          <w:color w:val="auto"/>
        </w:rPr>
        <w:t>注：采购人代表或者采购代理机构在资格审查结束前，对供应商进行信用查询。</w:t>
      </w:r>
    </w:p>
    <w:p w14:paraId="24071205">
      <w:pPr>
        <w:pStyle w:val="77"/>
        <w:ind w:firstLine="420"/>
        <w:rPr>
          <w:color w:val="auto"/>
        </w:rPr>
      </w:pPr>
      <w:r>
        <w:rPr>
          <w:rFonts w:hint="eastAsia"/>
          <w:color w:val="auto"/>
        </w:rPr>
        <w:t>(1)查询渠道：“广西政府采购云平台”平台“信用中国”网站(</w:t>
      </w:r>
      <w:r>
        <w:rPr>
          <w:color w:val="auto"/>
        </w:rPr>
        <w:fldChar w:fldCharType="begin"/>
      </w:r>
      <w:r>
        <w:rPr>
          <w:color w:val="auto"/>
        </w:rPr>
        <w:instrText xml:space="preserve"> HYPERLINK "http://www.creditchina.gov.cn/" </w:instrText>
      </w:r>
      <w:r>
        <w:rPr>
          <w:color w:val="auto"/>
        </w:rPr>
        <w:fldChar w:fldCharType="separate"/>
      </w:r>
      <w:r>
        <w:rPr>
          <w:rFonts w:hint="eastAsia"/>
          <w:color w:val="auto"/>
        </w:rPr>
        <w:t>www.creditchina.gov.cn</w:t>
      </w:r>
      <w:r>
        <w:rPr>
          <w:rFonts w:hint="eastAsia"/>
          <w:color w:val="auto"/>
        </w:rPr>
        <w:fldChar w:fldCharType="end"/>
      </w:r>
      <w:r>
        <w:rPr>
          <w:rFonts w:hint="eastAsia"/>
          <w:color w:val="auto"/>
        </w:rPr>
        <w:t>)、中国政府采购网(</w:t>
      </w:r>
      <w:r>
        <w:rPr>
          <w:color w:val="auto"/>
        </w:rPr>
        <w:fldChar w:fldCharType="begin"/>
      </w:r>
      <w:r>
        <w:rPr>
          <w:color w:val="auto"/>
        </w:rPr>
        <w:instrText xml:space="preserve"> HYPERLINK "http://www.ccgp.gov.cn/" </w:instrText>
      </w:r>
      <w:r>
        <w:rPr>
          <w:color w:val="auto"/>
        </w:rPr>
        <w:fldChar w:fldCharType="separate"/>
      </w:r>
      <w:r>
        <w:rPr>
          <w:rFonts w:hint="eastAsia"/>
          <w:color w:val="auto"/>
        </w:rPr>
        <w:t>www.ccgp.gov.cn</w:t>
      </w:r>
      <w:r>
        <w:rPr>
          <w:rFonts w:hint="eastAsia"/>
          <w:color w:val="auto"/>
        </w:rPr>
        <w:fldChar w:fldCharType="end"/>
      </w:r>
      <w:r>
        <w:rPr>
          <w:rFonts w:hint="eastAsia"/>
          <w:color w:val="auto"/>
        </w:rPr>
        <w:t>)链接入口。</w:t>
      </w:r>
    </w:p>
    <w:p w14:paraId="55C72661">
      <w:pPr>
        <w:pStyle w:val="77"/>
        <w:ind w:firstLine="420"/>
        <w:rPr>
          <w:color w:val="auto"/>
        </w:rPr>
      </w:pPr>
      <w:r>
        <w:rPr>
          <w:rFonts w:hint="eastAsia"/>
          <w:color w:val="auto"/>
        </w:rPr>
        <w:t>(2)信用查询截止时点：资格审查结束前。</w:t>
      </w:r>
    </w:p>
    <w:p w14:paraId="72F85D24">
      <w:pPr>
        <w:pStyle w:val="77"/>
        <w:ind w:firstLine="420"/>
        <w:rPr>
          <w:color w:val="auto"/>
        </w:rPr>
      </w:pPr>
      <w:r>
        <w:rPr>
          <w:rFonts w:hint="eastAsia"/>
          <w:color w:val="auto"/>
        </w:rPr>
        <w:t>查询记录和证据留存方式：在查询网站中直接打印查询记录，截图另存为电子文档作为评审资料保存。</w:t>
      </w:r>
    </w:p>
    <w:p w14:paraId="67E58CE1">
      <w:pPr>
        <w:pStyle w:val="77"/>
        <w:ind w:firstLine="420"/>
        <w:rPr>
          <w:color w:val="auto"/>
        </w:rPr>
      </w:pPr>
      <w:r>
        <w:rPr>
          <w:rFonts w:hint="eastAsia"/>
          <w:color w:val="auto"/>
        </w:rPr>
        <w:t>(3)信用信息使用规则：对在“信用中国”网站(www.creditchina.gov.cn)、中国政府采购网(www.ccgp.gov.cn)被列入失信被执行人、重大税收违法案件当事人名单、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35904BB5">
      <w:pPr>
        <w:pStyle w:val="77"/>
        <w:ind w:firstLine="420"/>
        <w:rPr>
          <w:color w:val="auto"/>
        </w:rPr>
      </w:pPr>
      <w:r>
        <w:rPr>
          <w:rFonts w:hint="eastAsia"/>
          <w:color w:val="auto"/>
        </w:rPr>
        <w:t>2.2资格审查标准为本磋商文件中载明对供应商资格要求的条件。资格审查采用合格制，凡符合磋商文件规定的供应商资格要求的响应文件均通过资格审查。</w:t>
      </w:r>
    </w:p>
    <w:p w14:paraId="04E222AB">
      <w:pPr>
        <w:pStyle w:val="77"/>
        <w:ind w:firstLine="420"/>
        <w:rPr>
          <w:color w:val="auto"/>
        </w:rPr>
      </w:pPr>
      <w:r>
        <w:rPr>
          <w:rFonts w:hint="eastAsia"/>
          <w:color w:val="auto"/>
        </w:rPr>
        <w:t>2.3供应商有下列情形之一的，资格审查不通过，其响应文件按无效响应处理：</w:t>
      </w:r>
    </w:p>
    <w:p w14:paraId="0D2F2294">
      <w:pPr>
        <w:pStyle w:val="77"/>
        <w:ind w:firstLine="420"/>
        <w:rPr>
          <w:color w:val="auto"/>
        </w:rPr>
      </w:pPr>
      <w:r>
        <w:rPr>
          <w:rFonts w:hint="eastAsia"/>
          <w:color w:val="auto"/>
        </w:rPr>
        <w:t>(1)不具备磋商文件中规定的资格要求的；</w:t>
      </w:r>
    </w:p>
    <w:p w14:paraId="3CEFFE73">
      <w:pPr>
        <w:pStyle w:val="77"/>
        <w:ind w:firstLine="420"/>
        <w:rPr>
          <w:color w:val="auto"/>
        </w:rPr>
      </w:pPr>
      <w:r>
        <w:rPr>
          <w:rFonts w:hint="eastAsia"/>
          <w:color w:val="auto"/>
        </w:rPr>
        <w:t>(2)响应文件未提供任一项“供应商须知前附表”资格证明文件规定的“必须提供”的文件资料的；</w:t>
      </w:r>
    </w:p>
    <w:p w14:paraId="6957767E">
      <w:pPr>
        <w:pStyle w:val="77"/>
        <w:ind w:firstLine="420"/>
        <w:rPr>
          <w:color w:val="auto"/>
        </w:rPr>
      </w:pPr>
      <w:r>
        <w:rPr>
          <w:rFonts w:hint="eastAsia"/>
          <w:color w:val="auto"/>
        </w:rPr>
        <w:t>(3)响应文件提供的资格证明文件出现任一项不符合“供应商须知前附表”资格证明文件规定的“必须提供”的文件资料要求或者无效的。</w:t>
      </w:r>
    </w:p>
    <w:p w14:paraId="622F79BB">
      <w:pPr>
        <w:pStyle w:val="77"/>
        <w:ind w:firstLine="420"/>
        <w:rPr>
          <w:color w:val="auto"/>
        </w:rPr>
      </w:pPr>
      <w:r>
        <w:rPr>
          <w:rFonts w:hint="eastAsia"/>
          <w:color w:val="auto"/>
        </w:rPr>
        <w:t>(4)同一合同项下的不同供应商，单位负责人为同一人或者存在直接控股、管理关系的；</w:t>
      </w:r>
    </w:p>
    <w:p w14:paraId="21002E89">
      <w:pPr>
        <w:pStyle w:val="77"/>
        <w:ind w:firstLine="420"/>
        <w:rPr>
          <w:color w:val="auto"/>
        </w:rPr>
      </w:pPr>
      <w:r>
        <w:rPr>
          <w:rFonts w:hint="eastAsia"/>
          <w:color w:val="auto"/>
        </w:rPr>
        <w:t>为本项目提供过整体设计、规范编制或者项目管理、监理、检测等服务的。</w:t>
      </w:r>
    </w:p>
    <w:p w14:paraId="5C5C9065">
      <w:pPr>
        <w:pStyle w:val="77"/>
        <w:ind w:firstLine="420"/>
        <w:rPr>
          <w:color w:val="auto"/>
        </w:rPr>
      </w:pPr>
      <w:r>
        <w:rPr>
          <w:rFonts w:hint="eastAsia"/>
          <w:color w:val="auto"/>
        </w:rPr>
        <w:t>2.4通过资格审查的合格供应商不足3家的，不得进入符合性审查环节，采购人或者采购代理机构应当重新开展采购活动。</w:t>
      </w:r>
    </w:p>
    <w:p w14:paraId="36C2C5F8">
      <w:pPr>
        <w:pStyle w:val="77"/>
        <w:ind w:firstLine="420"/>
        <w:rPr>
          <w:color w:val="auto"/>
        </w:rPr>
      </w:pPr>
      <w:r>
        <w:rPr>
          <w:rFonts w:hint="eastAsia"/>
          <w:color w:val="auto"/>
        </w:rPr>
        <w:t>3.符合性审查</w:t>
      </w:r>
    </w:p>
    <w:p w14:paraId="1E6F6D76">
      <w:pPr>
        <w:pStyle w:val="77"/>
        <w:ind w:firstLine="420"/>
        <w:rPr>
          <w:color w:val="auto"/>
        </w:rPr>
      </w:pPr>
      <w:r>
        <w:rPr>
          <w:rFonts w:hint="eastAsia"/>
          <w:color w:val="auto"/>
        </w:rPr>
        <w:t>3.1由磋商小组对通过资格审查的合格供应商的响应文件的响应报价、商务、技术等实质性要求进行符合性审查，以确定其是否满足磋商文件的实质性要求。</w:t>
      </w:r>
    </w:p>
    <w:p w14:paraId="400D2F89">
      <w:pPr>
        <w:pStyle w:val="77"/>
        <w:ind w:firstLine="420"/>
        <w:rPr>
          <w:color w:val="auto"/>
        </w:rPr>
      </w:pPr>
      <w:r>
        <w:rPr>
          <w:rFonts w:hint="eastAsia"/>
          <w:color w:val="auto"/>
        </w:rPr>
        <w:t>3.2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2B103B58">
      <w:pPr>
        <w:pStyle w:val="77"/>
        <w:ind w:firstLine="420"/>
        <w:rPr>
          <w:color w:val="auto"/>
        </w:rPr>
      </w:pPr>
      <w:r>
        <w:rPr>
          <w:rFonts w:hint="eastAsia"/>
          <w:color w:val="auto"/>
        </w:rPr>
        <w:t>3.3磋商小组要求供应商澄清、说明或者更正响应文件应当以电子澄清函形式作出。供应商的澄清、说明或者更正应当以电子回函形式按照磋商小组的要求作出明确的澄清、说明或者更正，未按磋商小组的要求作出明确澄清、说明或者更正的供应商的响应文件将按照有利于采购人的</w:t>
      </w:r>
    </w:p>
    <w:p w14:paraId="36EF29E2">
      <w:pPr>
        <w:pStyle w:val="77"/>
        <w:ind w:firstLine="420"/>
        <w:rPr>
          <w:color w:val="auto"/>
        </w:rPr>
      </w:pPr>
      <w:r>
        <w:rPr>
          <w:rFonts w:hint="eastAsia"/>
          <w:color w:val="auto"/>
        </w:rPr>
        <w:t>原则由磋商小组进行判定。供应商的澄清、说明或者更正必须加盖电子公章。供应商为自然人的，必须由本人签字并附身份证明。</w:t>
      </w:r>
    </w:p>
    <w:p w14:paraId="2E29E9C7">
      <w:pPr>
        <w:pStyle w:val="77"/>
        <w:ind w:firstLine="420"/>
        <w:rPr>
          <w:color w:val="auto"/>
        </w:rPr>
      </w:pPr>
      <w:r>
        <w:rPr>
          <w:rFonts w:hint="eastAsia"/>
          <w:color w:val="auto"/>
        </w:rPr>
        <w:t>3.4首次响应文件报价出现前后不一致的，按照下列规定修正：</w:t>
      </w:r>
    </w:p>
    <w:p w14:paraId="7DE815C2">
      <w:pPr>
        <w:pStyle w:val="77"/>
        <w:ind w:firstLine="420"/>
        <w:rPr>
          <w:color w:val="auto"/>
        </w:rPr>
      </w:pPr>
      <w:r>
        <w:rPr>
          <w:rFonts w:hint="eastAsia"/>
          <w:color w:val="auto"/>
        </w:rPr>
        <w:t>(1)响应文件中报价表内容与响应文件中相应内容不一致的，以报价表为准；</w:t>
      </w:r>
    </w:p>
    <w:p w14:paraId="4920B137">
      <w:pPr>
        <w:pStyle w:val="77"/>
        <w:ind w:firstLine="420"/>
        <w:rPr>
          <w:color w:val="auto"/>
        </w:rPr>
      </w:pPr>
      <w:r>
        <w:rPr>
          <w:rFonts w:hint="eastAsia"/>
          <w:color w:val="auto"/>
        </w:rPr>
        <w:t>(2)大写金额和小写金额不一致的，以大写金额为准；</w:t>
      </w:r>
    </w:p>
    <w:p w14:paraId="5CC72F84">
      <w:pPr>
        <w:pStyle w:val="77"/>
        <w:ind w:firstLine="420"/>
        <w:rPr>
          <w:color w:val="auto"/>
        </w:rPr>
      </w:pPr>
      <w:r>
        <w:rPr>
          <w:rFonts w:hint="eastAsia"/>
          <w:color w:val="auto"/>
        </w:rPr>
        <w:t>(3)单价金额小数点或者百分比有明显错位的，以报价表的总价为准，并修改单价；</w:t>
      </w:r>
    </w:p>
    <w:p w14:paraId="120C055E">
      <w:pPr>
        <w:pStyle w:val="77"/>
        <w:ind w:firstLine="420"/>
        <w:rPr>
          <w:color w:val="auto"/>
        </w:rPr>
      </w:pPr>
      <w:r>
        <w:rPr>
          <w:rFonts w:hint="eastAsia"/>
          <w:color w:val="auto"/>
        </w:rPr>
        <w:t>(4)总价金额与按单价汇总金额不一致的，以单价金额计算结果为准。</w:t>
      </w:r>
    </w:p>
    <w:p w14:paraId="1A33B845">
      <w:pPr>
        <w:pStyle w:val="77"/>
        <w:ind w:firstLine="420"/>
        <w:rPr>
          <w:color w:val="auto"/>
        </w:rPr>
      </w:pPr>
      <w:r>
        <w:rPr>
          <w:rFonts w:hint="eastAsia"/>
          <w:color w:val="auto"/>
        </w:rPr>
        <w:t>同时出现两种以上不一致的，按照以上(1)-(4)规定的顺序逐条进行修正。修正后的报价经供应商确认后产生约束力，供应商不确认的，其响应文件按无效响应处理。</w:t>
      </w:r>
    </w:p>
    <w:p w14:paraId="428B7C6B">
      <w:pPr>
        <w:pStyle w:val="77"/>
        <w:ind w:firstLine="420"/>
        <w:rPr>
          <w:color w:val="auto"/>
        </w:rPr>
      </w:pPr>
      <w:r>
        <w:rPr>
          <w:rFonts w:hint="eastAsia"/>
          <w:color w:val="auto"/>
        </w:rPr>
        <w:t>3.5商务技术、报价评审</w:t>
      </w:r>
    </w:p>
    <w:p w14:paraId="0C07422B">
      <w:pPr>
        <w:pStyle w:val="77"/>
        <w:ind w:firstLine="420"/>
        <w:rPr>
          <w:color w:val="auto"/>
        </w:rPr>
      </w:pPr>
      <w:r>
        <w:rPr>
          <w:rFonts w:hint="eastAsia"/>
          <w:color w:val="auto"/>
        </w:rPr>
        <w:t>在评审时，如发现下列情形之一的，将被视为响应文件无效处理：</w:t>
      </w:r>
    </w:p>
    <w:p w14:paraId="42159176">
      <w:pPr>
        <w:pStyle w:val="77"/>
        <w:ind w:firstLine="420"/>
        <w:rPr>
          <w:color w:val="auto"/>
        </w:rPr>
      </w:pPr>
      <w:r>
        <w:rPr>
          <w:rFonts w:hint="eastAsia"/>
          <w:color w:val="auto"/>
        </w:rPr>
        <w:t>(1)商务技术评审</w:t>
      </w:r>
    </w:p>
    <w:p w14:paraId="142A18E3">
      <w:pPr>
        <w:pStyle w:val="77"/>
        <w:ind w:firstLine="420"/>
        <w:rPr>
          <w:color w:val="auto"/>
        </w:rPr>
      </w:pPr>
      <w:r>
        <w:rPr>
          <w:rFonts w:hint="eastAsia"/>
          <w:color w:val="auto"/>
        </w:rPr>
        <w:t>1)响应文件未按磋商文件要求签署、盖章；</w:t>
      </w:r>
    </w:p>
    <w:p w14:paraId="66ADEF22">
      <w:pPr>
        <w:pStyle w:val="77"/>
        <w:ind w:firstLine="420"/>
        <w:rPr>
          <w:color w:val="auto"/>
        </w:rPr>
      </w:pPr>
      <w:r>
        <w:rPr>
          <w:rFonts w:hint="eastAsia"/>
          <w:color w:val="auto"/>
        </w:rPr>
        <w:t>2)委托代理人未能出具有效身份证明或者出具的身份证明与授权委托书中的信息不符；</w:t>
      </w:r>
    </w:p>
    <w:p w14:paraId="1AC5EBF6">
      <w:pPr>
        <w:pStyle w:val="77"/>
        <w:ind w:firstLine="420"/>
        <w:rPr>
          <w:color w:val="auto"/>
        </w:rPr>
      </w:pPr>
      <w:r>
        <w:rPr>
          <w:rFonts w:hint="eastAsia"/>
          <w:color w:val="auto"/>
        </w:rPr>
        <w:t>3)响应文件未提供任一项“供应商须知前附表”商务技术文件中“必须提供”或者“委托时必须提供”的文件资料；响应文件提供的商务技术文件出现任一项不符合“供应商须知前附表”商务技术文件中“必须提供”或者“委托时必须提供”文件资料要求的规定或者提供的商务技术文件无效。</w:t>
      </w:r>
    </w:p>
    <w:p w14:paraId="48D20181">
      <w:pPr>
        <w:pStyle w:val="77"/>
        <w:ind w:firstLine="420"/>
        <w:rPr>
          <w:color w:val="auto"/>
        </w:rPr>
      </w:pPr>
      <w:r>
        <w:rPr>
          <w:rFonts w:hint="eastAsia"/>
          <w:color w:val="auto"/>
        </w:rPr>
        <w:t>4)商务条款中标“▲”的条款发生负偏离的或者允许负偏离的条款数超过“供应商须知前附表”规定项数的或者标明实质性的要求发生负偏离；</w:t>
      </w:r>
    </w:p>
    <w:p w14:paraId="1B1708C1">
      <w:pPr>
        <w:pStyle w:val="77"/>
        <w:ind w:firstLine="420"/>
        <w:rPr>
          <w:color w:val="auto"/>
        </w:rPr>
      </w:pPr>
      <w:r>
        <w:rPr>
          <w:rFonts w:hint="eastAsia"/>
          <w:color w:val="auto"/>
        </w:rPr>
        <w:t>5)未对竞标有效期作出响应或者响应文件承诺的竞标有效期不满足磋商文件要求；</w:t>
      </w:r>
    </w:p>
    <w:p w14:paraId="664BB20A">
      <w:pPr>
        <w:pStyle w:val="77"/>
        <w:ind w:firstLine="420"/>
        <w:rPr>
          <w:color w:val="auto"/>
        </w:rPr>
      </w:pPr>
      <w:r>
        <w:rPr>
          <w:rFonts w:hint="eastAsia"/>
          <w:color w:val="auto"/>
        </w:rPr>
        <w:t>6)响应文件的实质性内容未使用中文表述、使用计量单位不符合磋商文件要求；</w:t>
      </w:r>
    </w:p>
    <w:p w14:paraId="0B8F2153">
      <w:pPr>
        <w:pStyle w:val="77"/>
        <w:ind w:firstLine="420"/>
        <w:rPr>
          <w:color w:val="auto"/>
        </w:rPr>
      </w:pPr>
      <w:r>
        <w:rPr>
          <w:rFonts w:hint="eastAsia"/>
          <w:color w:val="auto"/>
        </w:rPr>
        <w:t>7)响应文件中的文件资料因填写不齐全或者内容虚假或者出现其他情形而导致被磋商小组认定无效；</w:t>
      </w:r>
    </w:p>
    <w:p w14:paraId="191CED59">
      <w:pPr>
        <w:pStyle w:val="77"/>
        <w:ind w:firstLine="420"/>
        <w:rPr>
          <w:color w:val="auto"/>
        </w:rPr>
      </w:pPr>
      <w:r>
        <w:rPr>
          <w:rFonts w:hint="eastAsia"/>
          <w:color w:val="auto"/>
        </w:rPr>
        <w:t>8)响应文件含有采购人不能接受的附加条件；</w:t>
      </w:r>
    </w:p>
    <w:p w14:paraId="7659B847">
      <w:pPr>
        <w:pStyle w:val="77"/>
        <w:ind w:firstLine="420"/>
        <w:rPr>
          <w:color w:val="auto"/>
        </w:rPr>
      </w:pPr>
      <w:r>
        <w:rPr>
          <w:rFonts w:hint="eastAsia"/>
          <w:color w:val="auto"/>
        </w:rPr>
        <w:t>9)属于“供应商须知正文”第7.5条情形；</w:t>
      </w:r>
    </w:p>
    <w:p w14:paraId="72FA6CDB">
      <w:pPr>
        <w:pStyle w:val="77"/>
        <w:ind w:firstLine="420"/>
        <w:rPr>
          <w:color w:val="auto"/>
        </w:rPr>
      </w:pPr>
      <w:r>
        <w:rPr>
          <w:rFonts w:hint="eastAsia"/>
          <w:color w:val="auto"/>
        </w:rPr>
        <w:t>10)技术需求允许负偏离的条款数超过“供应商须知前附表”规定项数；</w:t>
      </w:r>
    </w:p>
    <w:p w14:paraId="04298397">
      <w:pPr>
        <w:pStyle w:val="77"/>
        <w:ind w:firstLine="420"/>
        <w:rPr>
          <w:color w:val="auto"/>
        </w:rPr>
      </w:pPr>
      <w:r>
        <w:rPr>
          <w:rFonts w:hint="eastAsia"/>
          <w:color w:val="auto"/>
        </w:rPr>
        <w:t>11)虚假竞标，或者出现其他情形而导致被磋商小组认定无效；</w:t>
      </w:r>
    </w:p>
    <w:p w14:paraId="56E2355B">
      <w:pPr>
        <w:pStyle w:val="77"/>
        <w:ind w:firstLine="420"/>
        <w:rPr>
          <w:color w:val="auto"/>
        </w:rPr>
      </w:pPr>
      <w:r>
        <w:rPr>
          <w:rFonts w:hint="eastAsia"/>
          <w:color w:val="auto"/>
        </w:rPr>
        <w:t>12)竞标服务方案不明确，磋商文件未允许但响应文件中存在一个或者一个以上备选(替代)竞标方案；</w:t>
      </w:r>
    </w:p>
    <w:p w14:paraId="27085C4A">
      <w:pPr>
        <w:pStyle w:val="77"/>
        <w:ind w:firstLine="420"/>
        <w:rPr>
          <w:color w:val="auto"/>
        </w:rPr>
      </w:pPr>
      <w:r>
        <w:rPr>
          <w:rFonts w:hint="eastAsia"/>
          <w:color w:val="auto"/>
        </w:rPr>
        <w:t>13)响应文件标注的项目名称或者项目编号与竞争性磋商文件标注的项目名称或者项目编号不一致的；</w:t>
      </w:r>
    </w:p>
    <w:p w14:paraId="5B5E19D1">
      <w:pPr>
        <w:pStyle w:val="77"/>
        <w:ind w:firstLine="420"/>
        <w:rPr>
          <w:color w:val="auto"/>
        </w:rPr>
      </w:pPr>
      <w:r>
        <w:rPr>
          <w:rFonts w:hint="eastAsia"/>
          <w:color w:val="auto"/>
        </w:rPr>
        <w:t>14)未响应磋商文件实质性要求；15)法律、法规和磋商文件规定的其他无效情形。</w:t>
      </w:r>
    </w:p>
    <w:p w14:paraId="4A0B5E24">
      <w:pPr>
        <w:pStyle w:val="77"/>
        <w:ind w:firstLine="420"/>
        <w:rPr>
          <w:color w:val="auto"/>
        </w:rPr>
      </w:pPr>
      <w:r>
        <w:rPr>
          <w:rFonts w:hint="eastAsia"/>
          <w:color w:val="auto"/>
        </w:rPr>
        <w:t>(2)报价评审</w:t>
      </w:r>
    </w:p>
    <w:p w14:paraId="25F55CB3">
      <w:pPr>
        <w:pStyle w:val="77"/>
        <w:ind w:firstLine="420"/>
        <w:rPr>
          <w:color w:val="auto"/>
        </w:rPr>
      </w:pPr>
      <w:r>
        <w:rPr>
          <w:rFonts w:hint="eastAsia"/>
          <w:color w:val="auto"/>
        </w:rPr>
        <w:t>1)响应文件未提供“供应商须知前附表”报价文件中规定的“响应报价表”；</w:t>
      </w:r>
    </w:p>
    <w:p w14:paraId="4A269784">
      <w:pPr>
        <w:pStyle w:val="77"/>
        <w:ind w:firstLine="420"/>
        <w:rPr>
          <w:color w:val="auto"/>
        </w:rPr>
      </w:pPr>
      <w:r>
        <w:rPr>
          <w:rFonts w:hint="eastAsia"/>
          <w:color w:val="auto"/>
        </w:rPr>
        <w:t>2)未采用人民币报价或者未按照磋商文件标明的币种报价；</w:t>
      </w:r>
    </w:p>
    <w:p w14:paraId="429A1DC4">
      <w:pPr>
        <w:pStyle w:val="77"/>
        <w:ind w:firstLine="420"/>
        <w:rPr>
          <w:color w:val="auto"/>
        </w:rPr>
      </w:pPr>
      <w:r>
        <w:rPr>
          <w:rFonts w:hint="eastAsia"/>
          <w:color w:val="auto"/>
        </w:rPr>
        <w:t>3)供应商未就所竞标分标进行报价或者存在漏项报价；供应商未就所竞标分标的单项内容作唯一报价；供应商未就所竞标分标的全部内容作唯一总价报价；供应商响应文件中存在有选择、有条件报价的(磋商文件允许有备选方案或者其他约定的除外)；</w:t>
      </w:r>
    </w:p>
    <w:p w14:paraId="595D25E8">
      <w:pPr>
        <w:pStyle w:val="77"/>
        <w:ind w:firstLine="420"/>
        <w:rPr>
          <w:color w:val="auto"/>
        </w:rPr>
      </w:pPr>
      <w:r>
        <w:rPr>
          <w:rFonts w:hint="eastAsia"/>
          <w:color w:val="auto"/>
        </w:rPr>
        <w:t>4)响应报价(包含首次报价、最后报价)超过所竞标分标规定的采购预算金额或者最高限价的(如本项目公布了最高限价)；响应报价(包含首次报价、最后报价)超过磋商文件分项采购预算金额或者最高限价的(如本项目公布了最高限价)；</w:t>
      </w:r>
    </w:p>
    <w:p w14:paraId="567E83D0">
      <w:pPr>
        <w:pStyle w:val="77"/>
        <w:ind w:firstLine="420"/>
        <w:rPr>
          <w:color w:val="auto"/>
        </w:rPr>
      </w:pPr>
      <w:r>
        <w:rPr>
          <w:rFonts w:hint="eastAsia"/>
          <w:color w:val="auto"/>
        </w:rPr>
        <w:t>5)修正后的报价，供应商不确认的；或者经供应商确认修正后的响应报价(包含首次报价、最后报价)超过所竞标分标规定的采购预算金额或者最高限价(如本项目公布了最高限价)；或者经供应商确认修正后响应报价(包含首次报价、最后报价)超过磋商文件分项采购预算金额或者最高限价的(如本项目公布了最高限价)。</w:t>
      </w:r>
    </w:p>
    <w:p w14:paraId="1F979976">
      <w:pPr>
        <w:pStyle w:val="77"/>
        <w:ind w:firstLine="420"/>
        <w:rPr>
          <w:color w:val="auto"/>
        </w:rPr>
      </w:pPr>
      <w:r>
        <w:rPr>
          <w:rFonts w:hint="eastAsia"/>
          <w:color w:val="auto"/>
        </w:rPr>
        <w:t>6)响应文件响应的标的数量及单位与竞争性磋商采购文件要求实质性不一致的。</w:t>
      </w:r>
    </w:p>
    <w:p w14:paraId="2EAD7B14">
      <w:pPr>
        <w:pStyle w:val="77"/>
        <w:ind w:firstLine="420"/>
        <w:rPr>
          <w:color w:val="auto"/>
        </w:rPr>
      </w:pPr>
      <w:r>
        <w:rPr>
          <w:rFonts w:hint="eastAsia"/>
          <w:color w:val="auto"/>
        </w:rPr>
        <w:t>3.6磋商小组对响应文件进行评审，未实质性响应磋商文件的响应文件按无效处理，磋商小组应当将资格和符合性不通过的情况告知有关供应商。磋商小组从符合磋商文件规定的相应资格条件的供应商名单中确定不少于3家的供应商参加磋商。</w:t>
      </w:r>
    </w:p>
    <w:p w14:paraId="5EA0D855">
      <w:pPr>
        <w:pStyle w:val="77"/>
        <w:ind w:firstLine="420"/>
        <w:rPr>
          <w:color w:val="auto"/>
        </w:rPr>
      </w:pPr>
      <w:r>
        <w:rPr>
          <w:rFonts w:hint="eastAsia"/>
          <w:color w:val="auto"/>
        </w:rPr>
        <w:t>3.7非政府购买服务项目，通过符合性审查的合格供应商不足3家的，不得进入磋商环节，采购人或者采购代理机构应当重新开展采购活动。政府购买服务项目，按《财政部关于政府采购竞争性磋商采购方式管理暂行办法有关问题的补充通知》(财库〔2015〕124号)规定，采购过程中通过符合性审查的供应商(社会资本)只有2家的，磋商采购活动可以继续进行。</w:t>
      </w:r>
    </w:p>
    <w:p w14:paraId="1FAC973B">
      <w:pPr>
        <w:pStyle w:val="77"/>
        <w:ind w:firstLine="420"/>
        <w:rPr>
          <w:color w:val="auto"/>
        </w:rPr>
      </w:pPr>
      <w:r>
        <w:rPr>
          <w:rFonts w:hint="eastAsia"/>
          <w:color w:val="auto"/>
        </w:rPr>
        <w:t>4.磋商程序</w:t>
      </w:r>
    </w:p>
    <w:p w14:paraId="10B34AD9">
      <w:pPr>
        <w:pStyle w:val="77"/>
        <w:ind w:firstLine="420"/>
        <w:rPr>
          <w:color w:val="auto"/>
        </w:rPr>
      </w:pPr>
      <w:r>
        <w:rPr>
          <w:rFonts w:hint="eastAsia"/>
          <w:color w:val="auto"/>
        </w:rPr>
        <w:t>4.1磋商小组按照“供应商须知前附表”确定的顺序，集中与单一供应商分别进行磋商，并给予所有参加磋商的供应商平等的磋商机会。符合磋商资格的供应商必须在接到磋商通知后规定时间内参加磋商，未在规定时间内参加磋商的视同放弃参加磋商权利，其响应文件按无效响应处理。</w:t>
      </w:r>
    </w:p>
    <w:p w14:paraId="507D1F43">
      <w:pPr>
        <w:pStyle w:val="77"/>
        <w:ind w:firstLine="420"/>
        <w:rPr>
          <w:color w:val="auto"/>
        </w:rPr>
      </w:pPr>
      <w:r>
        <w:rPr>
          <w:rFonts w:hint="eastAsia"/>
          <w:color w:val="auto"/>
        </w:rPr>
        <w:t>4.2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14:paraId="5371B90D">
      <w:pPr>
        <w:pStyle w:val="77"/>
        <w:ind w:firstLine="420"/>
        <w:rPr>
          <w:color w:val="auto"/>
        </w:rPr>
      </w:pPr>
      <w:r>
        <w:rPr>
          <w:rFonts w:hint="eastAsia"/>
          <w:color w:val="auto"/>
        </w:rPr>
        <w:t>4.3对磋商文件作出的实质性变动是磋商文件的有效组成部分，由磋商小组及时以电子澄清函形式同时通知所有参加磋商的供应商。</w:t>
      </w:r>
    </w:p>
    <w:p w14:paraId="4269ACF8">
      <w:pPr>
        <w:pStyle w:val="77"/>
        <w:ind w:firstLine="420"/>
        <w:rPr>
          <w:color w:val="auto"/>
        </w:rPr>
      </w:pPr>
      <w:r>
        <w:rPr>
          <w:rFonts w:hint="eastAsia"/>
          <w:color w:val="auto"/>
        </w:rPr>
        <w:t>4.4供应商必须按照磋商文件的变动情况和磋商小组的要求以回函的形式重新提交响应文件，并加盖电子公章。供应商为自然人的，必须由本人签字并附身份证明。参加磋商的供应商未在规定时间内重新提交响应文件的，视同退出磋商。</w:t>
      </w:r>
    </w:p>
    <w:p w14:paraId="5F0A0102">
      <w:pPr>
        <w:pStyle w:val="77"/>
        <w:ind w:firstLine="420"/>
        <w:rPr>
          <w:color w:val="auto"/>
        </w:rPr>
      </w:pPr>
      <w:r>
        <w:rPr>
          <w:rFonts w:hint="eastAsia"/>
          <w:color w:val="auto"/>
        </w:rPr>
        <w:t>4.5磋商中，磋商的任何一方不得透露与磋商有关的其他供应商的技术资料、价格和其他信息。</w:t>
      </w:r>
    </w:p>
    <w:p w14:paraId="40008DA5">
      <w:pPr>
        <w:pStyle w:val="77"/>
        <w:ind w:firstLine="420"/>
        <w:rPr>
          <w:color w:val="auto"/>
        </w:rPr>
      </w:pPr>
      <w:r>
        <w:rPr>
          <w:rFonts w:hint="eastAsia"/>
          <w:color w:val="auto"/>
        </w:rPr>
        <w:t>4.6磋商小组应对磋商过程和重要磋商内容进行记录，作为评标报告一部分，磋商小组在记录上签字确认。主要内容包括：</w:t>
      </w:r>
    </w:p>
    <w:p w14:paraId="175126BD">
      <w:pPr>
        <w:pStyle w:val="77"/>
        <w:ind w:firstLine="420"/>
        <w:rPr>
          <w:color w:val="auto"/>
        </w:rPr>
      </w:pPr>
      <w:r>
        <w:rPr>
          <w:rFonts w:hint="eastAsia"/>
          <w:color w:val="auto"/>
        </w:rPr>
        <w:t>(1)按照相关规定进行公示的，公示情况说明；</w:t>
      </w:r>
    </w:p>
    <w:p w14:paraId="1D8F6FB0">
      <w:pPr>
        <w:pStyle w:val="77"/>
        <w:ind w:firstLine="420"/>
        <w:rPr>
          <w:color w:val="auto"/>
        </w:rPr>
      </w:pPr>
      <w:r>
        <w:rPr>
          <w:rFonts w:hint="eastAsia"/>
          <w:color w:val="auto"/>
        </w:rPr>
        <w:t>(2)磋商日期和地点，磋商人员名单；</w:t>
      </w:r>
    </w:p>
    <w:p w14:paraId="1D14CB09">
      <w:pPr>
        <w:pStyle w:val="77"/>
        <w:ind w:firstLine="420"/>
        <w:rPr>
          <w:color w:val="auto"/>
        </w:rPr>
      </w:pPr>
      <w:r>
        <w:rPr>
          <w:rFonts w:hint="eastAsia"/>
          <w:color w:val="auto"/>
        </w:rPr>
        <w:t>(3)合同主要条款及价格商定情况。</w:t>
      </w:r>
    </w:p>
    <w:p w14:paraId="7D4CAB4B">
      <w:pPr>
        <w:pStyle w:val="77"/>
        <w:ind w:firstLine="420"/>
        <w:rPr>
          <w:color w:val="auto"/>
        </w:rPr>
      </w:pPr>
      <w:r>
        <w:rPr>
          <w:rFonts w:hint="eastAsia"/>
          <w:color w:val="auto"/>
        </w:rPr>
        <w:t>4.7磋商过程中重新提交的响应文件，供应商可以在开启前补充、修改。</w:t>
      </w:r>
    </w:p>
    <w:p w14:paraId="303EAD72">
      <w:pPr>
        <w:pStyle w:val="77"/>
        <w:ind w:firstLine="420"/>
        <w:rPr>
          <w:color w:val="auto"/>
        </w:rPr>
      </w:pPr>
      <w:r>
        <w:rPr>
          <w:rFonts w:hint="eastAsia"/>
          <w:color w:val="auto"/>
        </w:rPr>
        <w:t>4.8对磋商过程提交的响应文件进行有效性、完整性和响应程度审查，通过审查的合格供应商不足3家的，采购人或者采购代理机构应当重新开展采购活动。</w:t>
      </w:r>
    </w:p>
    <w:p w14:paraId="60FB47A4">
      <w:pPr>
        <w:pStyle w:val="77"/>
        <w:ind w:firstLine="420"/>
        <w:rPr>
          <w:color w:val="auto"/>
        </w:rPr>
      </w:pPr>
      <w:r>
        <w:rPr>
          <w:rFonts w:hint="eastAsia"/>
          <w:color w:val="auto"/>
        </w:rPr>
        <w:t>5.最后报价</w:t>
      </w:r>
    </w:p>
    <w:p w14:paraId="0638B6E3">
      <w:pPr>
        <w:pStyle w:val="77"/>
        <w:ind w:firstLine="420"/>
        <w:rPr>
          <w:color w:val="auto"/>
        </w:rPr>
      </w:pPr>
      <w:r>
        <w:rPr>
          <w:rFonts w:hint="eastAsia"/>
          <w:color w:val="auto"/>
        </w:rPr>
        <w:t>5.1磋商文件能够详细列明采购标的的技术、服务要求的，磋商结束后，由磋商小组要求所有继续参加磋商的供应商在规定时间内密封提交最后报价，除本章第5.3条外，提交最后报价的供应商不得少于3家，否则必须重新采购。</w:t>
      </w:r>
    </w:p>
    <w:p w14:paraId="4B9DEC95">
      <w:pPr>
        <w:pStyle w:val="77"/>
        <w:ind w:firstLine="420"/>
        <w:rPr>
          <w:color w:val="auto"/>
        </w:rPr>
      </w:pPr>
      <w:r>
        <w:rPr>
          <w:rFonts w:hint="eastAsia"/>
          <w:color w:val="auto"/>
        </w:rPr>
        <w:t>5.2磋商文件不能详细列明采购标的的技术、服务要求，需经磋商由供应商提供最后设计方案或者解决方案的，磋商结束后，由磋商小组按照少数服从多数的原则投票推荐3家以上供应商的设计方案或者解决方案，并要求其在规定时间内密封提交最后报价。</w:t>
      </w:r>
    </w:p>
    <w:p w14:paraId="25330BB9">
      <w:pPr>
        <w:pStyle w:val="77"/>
        <w:ind w:firstLine="420"/>
        <w:rPr>
          <w:color w:val="auto"/>
        </w:rPr>
      </w:pPr>
      <w:r>
        <w:rPr>
          <w:rFonts w:hint="eastAsia"/>
          <w:color w:val="auto"/>
        </w:rPr>
        <w:t>5.3最后报价是供应商响应文件的有效组成部分。符合《政府采购竞争性磋商采购方式管理暂行办法》(财库〔2014〕214号)第三条第四项“市场竞争不充分的科研项目，以及需要扶持的科技成果转化项目”的，提交最后报价的供应商可以为2家。</w:t>
      </w:r>
    </w:p>
    <w:p w14:paraId="5F802B1D">
      <w:pPr>
        <w:pStyle w:val="77"/>
        <w:ind w:firstLine="420"/>
        <w:rPr>
          <w:color w:val="auto"/>
        </w:rPr>
      </w:pPr>
      <w:r>
        <w:rPr>
          <w:rFonts w:hint="eastAsia"/>
          <w:color w:val="auto"/>
        </w:rPr>
        <w:t>5.4已经提交响应文件的供应商，在提交最后报价之前，可以根据磋商情况退出磋商，退出磋商的供应商的响应文件按无效响应处理。</w:t>
      </w:r>
    </w:p>
    <w:p w14:paraId="2AB0D5E9">
      <w:pPr>
        <w:pStyle w:val="77"/>
        <w:ind w:firstLine="420"/>
        <w:rPr>
          <w:color w:val="auto"/>
        </w:rPr>
      </w:pPr>
      <w:r>
        <w:rPr>
          <w:rFonts w:hint="eastAsia"/>
          <w:color w:val="auto"/>
        </w:rPr>
        <w:t>5.5供应商未在规定时间内提交最后报价的，视同退出磋商。</w:t>
      </w:r>
    </w:p>
    <w:p w14:paraId="4FDD5A99">
      <w:pPr>
        <w:pStyle w:val="77"/>
        <w:ind w:firstLine="420"/>
        <w:rPr>
          <w:color w:val="auto"/>
        </w:rPr>
      </w:pPr>
      <w:r>
        <w:rPr>
          <w:rFonts w:hint="eastAsia"/>
          <w:color w:val="auto"/>
        </w:rPr>
        <w:t>5.6磋商小组收齐某一分标最后报价后统一开启，磋商小组对最后报价进行有效性、完整性和响应程度的审查。</w:t>
      </w:r>
    </w:p>
    <w:p w14:paraId="4A71830E">
      <w:pPr>
        <w:pStyle w:val="77"/>
        <w:ind w:firstLine="420"/>
        <w:rPr>
          <w:color w:val="auto"/>
        </w:rPr>
      </w:pPr>
      <w:r>
        <w:rPr>
          <w:rFonts w:hint="eastAsia"/>
          <w:color w:val="auto"/>
        </w:rPr>
        <w:t>5.7最终响应文件的报价出现前后不一致的，按照本章第3.4条的规定修正。</w:t>
      </w:r>
    </w:p>
    <w:p w14:paraId="2C2F9C35">
      <w:pPr>
        <w:pStyle w:val="77"/>
        <w:ind w:firstLine="420"/>
        <w:rPr>
          <w:color w:val="auto"/>
        </w:rPr>
      </w:pPr>
      <w:r>
        <w:rPr>
          <w:rFonts w:hint="eastAsia"/>
          <w:color w:val="auto"/>
        </w:rPr>
        <w:t>5.8修正后的最终报价出现下列情形的，按无效响应处理：</w:t>
      </w:r>
    </w:p>
    <w:p w14:paraId="1553891E">
      <w:pPr>
        <w:pStyle w:val="77"/>
        <w:ind w:firstLine="420"/>
        <w:rPr>
          <w:color w:val="auto"/>
        </w:rPr>
      </w:pPr>
      <w:r>
        <w:rPr>
          <w:rFonts w:hint="eastAsia"/>
          <w:color w:val="auto"/>
        </w:rPr>
        <w:t>(1)供应商不确认的(全流程电子化评标采取在线确认)；</w:t>
      </w:r>
    </w:p>
    <w:p w14:paraId="015FCBF9">
      <w:pPr>
        <w:pStyle w:val="77"/>
        <w:ind w:firstLine="420"/>
        <w:rPr>
          <w:color w:val="auto"/>
        </w:rPr>
      </w:pPr>
      <w:r>
        <w:rPr>
          <w:rFonts w:hint="eastAsia"/>
          <w:color w:val="auto"/>
        </w:rPr>
        <w:t>(2)经供应商确认修正后的响应报价(包含首次报价、最后报价)超过所竞标分标规定的采购预算金额或者最高限价的(如本项目公布了最高限价)；</w:t>
      </w:r>
    </w:p>
    <w:p w14:paraId="3AE9965D">
      <w:pPr>
        <w:pStyle w:val="77"/>
        <w:ind w:firstLine="420"/>
        <w:rPr>
          <w:color w:val="auto"/>
        </w:rPr>
      </w:pPr>
      <w:r>
        <w:rPr>
          <w:rFonts w:hint="eastAsia"/>
          <w:color w:val="auto"/>
        </w:rPr>
        <w:t>(3)经供应商确认修正后的响应报价(包含首次报价、最后报价)超过分项采购预算金额或者最高限价的(如本项目公布了最高限价)。</w:t>
      </w:r>
    </w:p>
    <w:p w14:paraId="2CE1FB93">
      <w:pPr>
        <w:pStyle w:val="77"/>
        <w:ind w:firstLine="420"/>
        <w:rPr>
          <w:color w:val="auto"/>
        </w:rPr>
      </w:pPr>
      <w:r>
        <w:rPr>
          <w:rFonts w:hint="eastAsia"/>
          <w:color w:val="auto"/>
        </w:rPr>
        <w:t>5.9经供应商确认修正后的最后报价作为评审及签订合同的依据。</w:t>
      </w:r>
    </w:p>
    <w:p w14:paraId="17D7C057">
      <w:pPr>
        <w:pStyle w:val="77"/>
        <w:ind w:firstLine="420"/>
        <w:rPr>
          <w:color w:val="auto"/>
        </w:rPr>
      </w:pPr>
      <w:r>
        <w:rPr>
          <w:rFonts w:hint="eastAsia"/>
          <w:color w:val="auto"/>
        </w:rPr>
        <w:t>5.10供应商出现最后报价按无效响应处理或者响应文件按无效处理时，磋商小组应当告知有关供应商。</w:t>
      </w:r>
    </w:p>
    <w:p w14:paraId="27B7C65F">
      <w:pPr>
        <w:pStyle w:val="77"/>
        <w:ind w:firstLine="420"/>
        <w:rPr>
          <w:color w:val="auto"/>
        </w:rPr>
      </w:pPr>
      <w:r>
        <w:rPr>
          <w:rFonts w:hint="eastAsia"/>
          <w:color w:val="auto"/>
        </w:rPr>
        <w:t>5.11最后报价结束后，磋商小组不得再与供应商进行任何形式的商谈。</w:t>
      </w:r>
    </w:p>
    <w:p w14:paraId="5626754E">
      <w:pPr>
        <w:pStyle w:val="77"/>
        <w:ind w:firstLine="420"/>
        <w:rPr>
          <w:color w:val="auto"/>
        </w:rPr>
      </w:pPr>
      <w:r>
        <w:rPr>
          <w:rFonts w:hint="eastAsia"/>
          <w:color w:val="auto"/>
        </w:rPr>
        <w:t>6.比较与评价</w:t>
      </w:r>
    </w:p>
    <w:p w14:paraId="03447BC9">
      <w:pPr>
        <w:pStyle w:val="77"/>
        <w:ind w:firstLine="420"/>
        <w:rPr>
          <w:color w:val="auto"/>
        </w:rPr>
      </w:pPr>
      <w:r>
        <w:rPr>
          <w:rFonts w:hint="eastAsia"/>
          <w:color w:val="auto"/>
        </w:rPr>
        <w:t>6.1评审方法：综合评分法。</w:t>
      </w:r>
    </w:p>
    <w:p w14:paraId="3B8A5CC7">
      <w:pPr>
        <w:pStyle w:val="77"/>
        <w:ind w:firstLine="420"/>
        <w:rPr>
          <w:color w:val="auto"/>
        </w:rPr>
      </w:pPr>
      <w:r>
        <w:rPr>
          <w:rFonts w:hint="eastAsia"/>
          <w:color w:val="auto"/>
        </w:rPr>
        <w:t>6.2经磋商确定最终采购需求和提交最后报价的供应商后，由磋商小组采用综合评分法对提交最后报价的供应商的响应文件和最后报价进行综合评分。</w:t>
      </w:r>
    </w:p>
    <w:p w14:paraId="042C7764">
      <w:pPr>
        <w:pStyle w:val="77"/>
        <w:ind w:firstLine="420"/>
        <w:rPr>
          <w:color w:val="auto"/>
        </w:rPr>
      </w:pPr>
      <w:r>
        <w:rPr>
          <w:rFonts w:hint="eastAsia"/>
          <w:color w:val="auto"/>
        </w:rPr>
        <w:t>6.3评审时，磋商小组各成员应当独立对每个有效响应的文件进行评价、打分，然后汇总每个供应商每项评分因素的得分。</w:t>
      </w:r>
    </w:p>
    <w:p w14:paraId="285B9072">
      <w:pPr>
        <w:pStyle w:val="77"/>
        <w:ind w:firstLine="420"/>
        <w:rPr>
          <w:color w:val="auto"/>
        </w:rPr>
      </w:pPr>
      <w:r>
        <w:rPr>
          <w:rFonts w:hint="eastAsia"/>
          <w:color w:val="auto"/>
        </w:rPr>
        <w:t>(1)评审委员会成员要根据政府采购法律法规和采购文件所载明的评审方法、标准进行评审。对供应商的价格分等客观评分项的评分应当一致，对其他需要借助专业知识评判的主观评分项，应当严格按照评分细则公正评分。</w:t>
      </w:r>
    </w:p>
    <w:p w14:paraId="2EA2243C">
      <w:pPr>
        <w:pStyle w:val="77"/>
        <w:ind w:firstLine="420"/>
        <w:rPr>
          <w:color w:val="auto"/>
        </w:rPr>
      </w:pPr>
      <w:r>
        <w:rPr>
          <w:rFonts w:hint="eastAsia"/>
          <w:color w:val="auto"/>
        </w:rPr>
        <w:t>(2)磋商小组按照磋商文件中规定的评审标准计算各供应商的报价得分。项目评审过程中，不得去掉最后报价中的最高报价和最低报价。</w:t>
      </w:r>
    </w:p>
    <w:p w14:paraId="027CE9AF">
      <w:pPr>
        <w:pStyle w:val="77"/>
        <w:ind w:firstLine="420"/>
        <w:rPr>
          <w:color w:val="auto"/>
        </w:rPr>
      </w:pPr>
      <w:r>
        <w:rPr>
          <w:rFonts w:hint="eastAsia"/>
          <w:color w:val="auto"/>
        </w:rPr>
        <w:t>(3)各供应商的得分为磋商小组所有成员的有效评分的算术平均数。</w:t>
      </w:r>
    </w:p>
    <w:p w14:paraId="0E67224E">
      <w:pPr>
        <w:pStyle w:val="77"/>
        <w:ind w:firstLine="420"/>
        <w:rPr>
          <w:color w:val="auto"/>
        </w:rPr>
      </w:pPr>
      <w:r>
        <w:rPr>
          <w:rFonts w:hint="eastAsia"/>
          <w:color w:val="auto"/>
        </w:rPr>
        <w:t>6.4评审价为供应商的最后报价进行政策性扣除后的价格，评审价只是作为评审时使用。最终成交供应商的成交金额等于最后报价(如有修正，以确认修正后的最后报价为准)。</w:t>
      </w:r>
    </w:p>
    <w:p w14:paraId="0F53E80A">
      <w:pPr>
        <w:pStyle w:val="77"/>
        <w:ind w:firstLine="420"/>
        <w:rPr>
          <w:color w:val="auto"/>
        </w:rPr>
      </w:pPr>
      <w:r>
        <w:rPr>
          <w:rFonts w:hint="eastAsia"/>
          <w:color w:val="auto"/>
        </w:rPr>
        <w:t>6.5由磋商小组根据综合评分情况，按照评审得分由高到低顺序推荐3名以上成交候选供应商，并编写评审报告。符合本章第4.3条情形的，可以推荐2家成交候选供应商。评审得分相同的，按照最后报价由低到高的顺序推荐。评审得分且最后报价相同的，按照技术指标优劣顺序推荐。</w:t>
      </w:r>
    </w:p>
    <w:p w14:paraId="28A9535E">
      <w:pPr>
        <w:pStyle w:val="77"/>
        <w:ind w:firstLine="420"/>
        <w:rPr>
          <w:color w:val="auto"/>
        </w:rPr>
      </w:pPr>
      <w:r>
        <w:rPr>
          <w:rFonts w:hint="eastAsia"/>
          <w:color w:val="auto"/>
        </w:rPr>
        <w:t>6.6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349C4F9F">
      <w:pPr>
        <w:pStyle w:val="77"/>
        <w:ind w:firstLine="420"/>
        <w:rPr>
          <w:color w:val="auto"/>
        </w:rPr>
      </w:pPr>
      <w:r>
        <w:rPr>
          <w:rFonts w:hint="eastAsia"/>
          <w:color w:val="auto"/>
        </w:rPr>
        <w:t>7.评审复核</w:t>
      </w:r>
    </w:p>
    <w:p w14:paraId="36D1D7C2">
      <w:pPr>
        <w:pStyle w:val="77"/>
        <w:ind w:firstLine="420"/>
        <w:rPr>
          <w:color w:val="auto"/>
        </w:rPr>
      </w:pPr>
      <w:r>
        <w:rPr>
          <w:rFonts w:hint="eastAsia"/>
          <w:color w:val="auto"/>
        </w:rPr>
        <w:t>7.1评审报告签署前，评审委员会要对评审结果进行复核，复核意见要体现在评审报告中。</w:t>
      </w:r>
    </w:p>
    <w:p w14:paraId="279EBC21">
      <w:pPr>
        <w:pStyle w:val="77"/>
        <w:ind w:firstLine="420"/>
        <w:rPr>
          <w:color w:val="auto"/>
        </w:rPr>
      </w:pPr>
      <w:r>
        <w:rPr>
          <w:rFonts w:hint="eastAsia"/>
          <w:color w:val="auto"/>
        </w:rPr>
        <w:t>7.2评审结果汇总完成后，采购人、采购代理机构和评审委员会均不得修改评审结果或者要求重新评审，但资格性检查认定错误、分值汇总计算错误、分项评分超出评分标准范围、客观分评分不一致、经评审委员会一致认定评分畸高、畸低的情形除外。出现上述除外情形的，评审委员会应当现场修改评审结果，并在评审报告中明确记载。</w:t>
      </w:r>
    </w:p>
    <w:p w14:paraId="40724BE1">
      <w:pPr>
        <w:pStyle w:val="77"/>
        <w:ind w:firstLine="420"/>
        <w:rPr>
          <w:color w:val="auto"/>
        </w:rPr>
      </w:pPr>
      <w:r>
        <w:rPr>
          <w:rFonts w:hint="eastAsia"/>
          <w:color w:val="auto"/>
        </w:rPr>
        <w:t>8.评审标准</w:t>
      </w:r>
    </w:p>
    <w:p w14:paraId="09BCFBC9">
      <w:pPr>
        <w:pStyle w:val="77"/>
        <w:ind w:firstLine="420"/>
        <w:rPr>
          <w:color w:val="auto"/>
        </w:rPr>
      </w:pPr>
      <w:r>
        <w:rPr>
          <w:rFonts w:hint="eastAsia"/>
          <w:color w:val="auto"/>
        </w:rPr>
        <w:t>8.1评审依据：磋商小组将以磋商响应文件为评审依据，对供应商的报价、技术、商务等方面内容按百分制打分。(计分方法按四舍五入取至百分位)</w:t>
      </w:r>
    </w:p>
    <w:p w14:paraId="29E742FD">
      <w:pPr>
        <w:pStyle w:val="77"/>
        <w:ind w:firstLine="420"/>
        <w:rPr>
          <w:color w:val="auto"/>
        </w:rPr>
      </w:pPr>
      <w:r>
        <w:rPr>
          <w:rFonts w:hint="eastAsia"/>
          <w:color w:val="auto"/>
        </w:rPr>
        <w:t>总得分=价格分+技术分+商务分</w:t>
      </w:r>
    </w:p>
    <w:tbl>
      <w:tblPr>
        <w:tblStyle w:val="26"/>
        <w:tblW w:w="106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1"/>
        <w:gridCol w:w="1135"/>
        <w:gridCol w:w="1560"/>
        <w:gridCol w:w="6469"/>
        <w:gridCol w:w="872"/>
        <w:gridCol w:w="19"/>
      </w:tblGrid>
      <w:tr w14:paraId="06719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 w:type="dxa"/>
          <w:trHeight w:val="749" w:hRule="atLeast"/>
          <w:tblHeader/>
          <w:jc w:val="center"/>
        </w:trPr>
        <w:tc>
          <w:tcPr>
            <w:tcW w:w="1696" w:type="dxa"/>
            <w:gridSpan w:val="2"/>
            <w:tcBorders>
              <w:top w:val="single" w:color="auto" w:sz="4" w:space="0"/>
              <w:left w:val="single" w:color="auto" w:sz="4" w:space="0"/>
              <w:bottom w:val="single" w:color="auto" w:sz="4" w:space="0"/>
              <w:right w:val="single" w:color="auto" w:sz="4" w:space="0"/>
            </w:tcBorders>
            <w:vAlign w:val="center"/>
          </w:tcPr>
          <w:p w14:paraId="17EF921A">
            <w:pPr>
              <w:adjustRightInd w:val="0"/>
              <w:jc w:val="center"/>
              <w:textAlignment w:val="baseline"/>
              <w:rPr>
                <w:rFonts w:ascii="宋体" w:hAnsi="宋体"/>
                <w:b/>
                <w:color w:val="auto"/>
                <w:szCs w:val="21"/>
              </w:rPr>
            </w:pPr>
            <w:r>
              <w:rPr>
                <w:rFonts w:hint="eastAsia" w:ascii="宋体" w:hAnsi="宋体"/>
                <w:b/>
                <w:color w:val="auto"/>
                <w:szCs w:val="21"/>
              </w:rPr>
              <w:t>序号</w:t>
            </w:r>
          </w:p>
        </w:tc>
        <w:tc>
          <w:tcPr>
            <w:tcW w:w="1560" w:type="dxa"/>
            <w:tcBorders>
              <w:top w:val="single" w:color="auto" w:sz="4" w:space="0"/>
              <w:left w:val="single" w:color="auto" w:sz="4" w:space="0"/>
              <w:bottom w:val="single" w:color="auto" w:sz="4" w:space="0"/>
              <w:right w:val="single" w:color="auto" w:sz="4" w:space="0"/>
            </w:tcBorders>
            <w:vAlign w:val="center"/>
          </w:tcPr>
          <w:p w14:paraId="09FE791C">
            <w:pPr>
              <w:adjustRightInd w:val="0"/>
              <w:jc w:val="center"/>
              <w:textAlignment w:val="baseline"/>
              <w:rPr>
                <w:rFonts w:ascii="宋体" w:hAnsi="宋体"/>
                <w:b/>
                <w:color w:val="auto"/>
                <w:szCs w:val="21"/>
              </w:rPr>
            </w:pPr>
            <w:r>
              <w:rPr>
                <w:rFonts w:hint="eastAsia" w:ascii="宋体" w:hAnsi="宋体"/>
                <w:b/>
                <w:color w:val="auto"/>
                <w:szCs w:val="21"/>
              </w:rPr>
              <w:t>评分因素</w:t>
            </w:r>
          </w:p>
        </w:tc>
        <w:tc>
          <w:tcPr>
            <w:tcW w:w="6469" w:type="dxa"/>
            <w:tcBorders>
              <w:top w:val="single" w:color="auto" w:sz="4" w:space="0"/>
              <w:left w:val="single" w:color="auto" w:sz="4" w:space="0"/>
              <w:bottom w:val="single" w:color="auto" w:sz="4" w:space="0"/>
              <w:right w:val="single" w:color="auto" w:sz="4" w:space="0"/>
            </w:tcBorders>
            <w:vAlign w:val="center"/>
          </w:tcPr>
          <w:p w14:paraId="1685EE95">
            <w:pPr>
              <w:adjustRightInd w:val="0"/>
              <w:jc w:val="center"/>
              <w:textAlignment w:val="baseline"/>
              <w:rPr>
                <w:rFonts w:ascii="宋体" w:hAnsi="宋体"/>
                <w:b/>
                <w:color w:val="auto"/>
                <w:szCs w:val="21"/>
              </w:rPr>
            </w:pPr>
            <w:r>
              <w:rPr>
                <w:rFonts w:hint="eastAsia" w:ascii="宋体" w:hAnsi="宋体"/>
                <w:b/>
                <w:color w:val="auto"/>
                <w:szCs w:val="21"/>
              </w:rPr>
              <w:t>评分标准</w:t>
            </w:r>
          </w:p>
        </w:tc>
        <w:tc>
          <w:tcPr>
            <w:tcW w:w="872" w:type="dxa"/>
            <w:tcBorders>
              <w:top w:val="single" w:color="auto" w:sz="4" w:space="0"/>
              <w:left w:val="single" w:color="auto" w:sz="4" w:space="0"/>
              <w:bottom w:val="single" w:color="auto" w:sz="4" w:space="0"/>
              <w:right w:val="single" w:color="auto" w:sz="4" w:space="0"/>
            </w:tcBorders>
            <w:vAlign w:val="center"/>
          </w:tcPr>
          <w:p w14:paraId="6299559C">
            <w:pPr>
              <w:adjustRightInd w:val="0"/>
              <w:jc w:val="center"/>
              <w:textAlignment w:val="baseline"/>
              <w:rPr>
                <w:rFonts w:ascii="宋体" w:hAnsi="宋体"/>
                <w:b/>
                <w:color w:val="auto"/>
                <w:szCs w:val="21"/>
              </w:rPr>
            </w:pPr>
            <w:r>
              <w:rPr>
                <w:rFonts w:hint="eastAsia" w:ascii="宋体" w:hAnsi="宋体"/>
                <w:b/>
                <w:color w:val="auto"/>
                <w:szCs w:val="21"/>
              </w:rPr>
              <w:t>分值</w:t>
            </w:r>
          </w:p>
        </w:tc>
      </w:tr>
      <w:tr w14:paraId="17D4A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 w:type="dxa"/>
          <w:jc w:val="center"/>
        </w:trPr>
        <w:tc>
          <w:tcPr>
            <w:tcW w:w="561" w:type="dxa"/>
            <w:vAlign w:val="center"/>
          </w:tcPr>
          <w:p w14:paraId="7E1CB995">
            <w:pPr>
              <w:adjustRightInd w:val="0"/>
              <w:jc w:val="center"/>
              <w:textAlignment w:val="baseline"/>
              <w:rPr>
                <w:rFonts w:ascii="宋体" w:hAnsi="宋体"/>
                <w:color w:val="auto"/>
                <w:szCs w:val="21"/>
              </w:rPr>
            </w:pPr>
            <w:r>
              <w:rPr>
                <w:rFonts w:ascii="宋体" w:hAnsi="宋体"/>
                <w:color w:val="auto"/>
                <w:szCs w:val="21"/>
              </w:rPr>
              <w:t>1</w:t>
            </w:r>
          </w:p>
        </w:tc>
        <w:tc>
          <w:tcPr>
            <w:tcW w:w="1135" w:type="dxa"/>
            <w:vAlign w:val="center"/>
          </w:tcPr>
          <w:p w14:paraId="5D1B774F">
            <w:pPr>
              <w:adjustRightInd w:val="0"/>
              <w:jc w:val="center"/>
              <w:textAlignment w:val="baseline"/>
              <w:rPr>
                <w:rFonts w:ascii="宋体" w:hAnsi="宋体"/>
                <w:b/>
                <w:bCs/>
                <w:color w:val="auto"/>
                <w:szCs w:val="21"/>
              </w:rPr>
            </w:pPr>
            <w:r>
              <w:rPr>
                <w:rFonts w:hint="eastAsia" w:ascii="宋体" w:hAnsi="宋体"/>
                <w:b/>
                <w:bCs/>
                <w:color w:val="auto"/>
                <w:szCs w:val="21"/>
              </w:rPr>
              <w:t>价格分</w:t>
            </w:r>
          </w:p>
          <w:p w14:paraId="63EC827D">
            <w:pPr>
              <w:adjustRightInd w:val="0"/>
              <w:jc w:val="center"/>
              <w:textAlignment w:val="baseline"/>
              <w:rPr>
                <w:rFonts w:ascii="宋体" w:hAnsi="宋体"/>
                <w:color w:val="auto"/>
                <w:szCs w:val="21"/>
              </w:rPr>
            </w:pPr>
            <w:r>
              <w:rPr>
                <w:rFonts w:hint="eastAsia" w:ascii="宋体" w:hAnsi="宋体"/>
                <w:b/>
                <w:bCs/>
                <w:color w:val="auto"/>
                <w:szCs w:val="21"/>
              </w:rPr>
              <w:t>（满分10分）</w:t>
            </w:r>
          </w:p>
        </w:tc>
        <w:tc>
          <w:tcPr>
            <w:tcW w:w="1560" w:type="dxa"/>
            <w:vAlign w:val="center"/>
          </w:tcPr>
          <w:p w14:paraId="487B5C29">
            <w:pPr>
              <w:adjustRightInd w:val="0"/>
              <w:jc w:val="center"/>
              <w:textAlignment w:val="baseline"/>
              <w:rPr>
                <w:rFonts w:ascii="宋体" w:hAnsi="宋体"/>
                <w:color w:val="auto"/>
                <w:szCs w:val="21"/>
              </w:rPr>
            </w:pPr>
            <w:r>
              <w:rPr>
                <w:rFonts w:hint="eastAsia" w:ascii="宋体" w:hAnsi="宋体"/>
                <w:color w:val="auto"/>
                <w:szCs w:val="21"/>
              </w:rPr>
              <w:t>响应报价</w:t>
            </w:r>
          </w:p>
        </w:tc>
        <w:tc>
          <w:tcPr>
            <w:tcW w:w="6469" w:type="dxa"/>
          </w:tcPr>
          <w:p w14:paraId="2E50C218">
            <w:pPr>
              <w:snapToGrid w:val="0"/>
              <w:spacing w:line="360" w:lineRule="auto"/>
              <w:ind w:firstLine="233" w:firstLineChars="111"/>
              <w:rPr>
                <w:rFonts w:ascii="宋体" w:hAnsi="宋体"/>
                <w:bCs/>
                <w:color w:val="auto"/>
                <w:szCs w:val="21"/>
              </w:rPr>
            </w:pPr>
            <w:r>
              <w:rPr>
                <w:rFonts w:ascii="宋体" w:hAnsi="宋体"/>
                <w:bCs/>
                <w:color w:val="auto"/>
                <w:szCs w:val="21"/>
              </w:rPr>
              <w:t>1.评审报价为供应商的最后报价进行政策性扣除后的价格，评审报价只是作为评审时使用。最终成交供应商的成交金额等于最后报价（如有修正，以确认修正后的最后报价为准）。</w:t>
            </w:r>
          </w:p>
          <w:p w14:paraId="4EE5DFA0">
            <w:pPr>
              <w:snapToGrid w:val="0"/>
              <w:spacing w:line="360" w:lineRule="auto"/>
              <w:ind w:firstLine="233" w:firstLineChars="111"/>
              <w:rPr>
                <w:rFonts w:ascii="宋体" w:hAnsi="宋体"/>
                <w:bCs/>
                <w:color w:val="auto"/>
                <w:szCs w:val="21"/>
              </w:rPr>
            </w:pPr>
            <w:r>
              <w:rPr>
                <w:rFonts w:ascii="宋体" w:hAnsi="宋体"/>
                <w:bCs/>
                <w:color w:val="auto"/>
                <w:szCs w:val="21"/>
              </w:rPr>
              <w:t>2.政府采购政策性扣除计算方法</w:t>
            </w:r>
          </w:p>
          <w:p w14:paraId="22C638FD">
            <w:pPr>
              <w:snapToGrid w:val="0"/>
              <w:spacing w:line="360" w:lineRule="auto"/>
              <w:ind w:firstLine="233" w:firstLineChars="111"/>
              <w:rPr>
                <w:rFonts w:ascii="宋体" w:hAnsi="宋体"/>
                <w:bCs/>
                <w:color w:val="auto"/>
                <w:szCs w:val="21"/>
              </w:rPr>
            </w:pPr>
            <w:r>
              <w:rPr>
                <w:rFonts w:hint="eastAsia" w:ascii="宋体" w:hAnsi="宋体"/>
                <w:bCs/>
                <w:color w:val="auto"/>
                <w:szCs w:val="21"/>
              </w:rPr>
              <w:t>（</w:t>
            </w:r>
            <w:r>
              <w:rPr>
                <w:rFonts w:ascii="宋体" w:hAnsi="宋体"/>
                <w:bCs/>
                <w:color w:val="auto"/>
                <w:szCs w:val="21"/>
              </w:rPr>
              <w:t>1）按照《政府采购促进中小企业发展管理办法》（财库〔2020〕46号）及《广西壮族自治区财政厅关于贯彻落实政府采购支持中小企业发展政策的通知》（桂财采〔2022〕31号）的规定，供应商在其响应文件中提供《中小企业声明函》，且服务全部由符合政策要求的小型、微型企业承接的，对其最后报价给予20%的扣除。</w:t>
            </w:r>
          </w:p>
          <w:p w14:paraId="2A5F8DAB">
            <w:pPr>
              <w:snapToGrid w:val="0"/>
              <w:spacing w:line="360" w:lineRule="auto"/>
              <w:ind w:firstLine="233" w:firstLineChars="111"/>
              <w:rPr>
                <w:rFonts w:ascii="宋体" w:hAnsi="宋体"/>
                <w:bCs/>
                <w:color w:val="auto"/>
                <w:szCs w:val="21"/>
              </w:rPr>
            </w:pPr>
            <w:r>
              <w:rPr>
                <w:rFonts w:hint="eastAsia" w:ascii="宋体" w:hAnsi="宋体"/>
                <w:bCs/>
                <w:color w:val="auto"/>
                <w:szCs w:val="21"/>
              </w:rPr>
              <w:t>（</w:t>
            </w:r>
            <w:r>
              <w:rPr>
                <w:rFonts w:ascii="宋体" w:hAnsi="宋体"/>
                <w:bCs/>
                <w:color w:val="auto"/>
                <w:szCs w:val="21"/>
              </w:rPr>
              <w:t>2）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不重复享受政策。</w:t>
            </w:r>
          </w:p>
          <w:p w14:paraId="570D33BF">
            <w:pPr>
              <w:snapToGrid w:val="0"/>
              <w:spacing w:line="360" w:lineRule="auto"/>
              <w:ind w:firstLine="233" w:firstLineChars="111"/>
              <w:rPr>
                <w:rFonts w:ascii="宋体" w:hAnsi="宋体"/>
                <w:bCs/>
                <w:color w:val="auto"/>
                <w:szCs w:val="21"/>
              </w:rPr>
            </w:pPr>
            <w:r>
              <w:rPr>
                <w:rFonts w:hint="eastAsia" w:ascii="宋体" w:hAnsi="宋体"/>
                <w:bCs/>
                <w:color w:val="auto"/>
                <w:szCs w:val="21"/>
              </w:rPr>
              <w:t>（</w:t>
            </w:r>
            <w:r>
              <w:rPr>
                <w:rFonts w:ascii="宋体" w:hAnsi="宋体"/>
                <w:bCs/>
                <w:color w:val="auto"/>
                <w:szCs w:val="21"/>
              </w:rPr>
              <w:t>3）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14:paraId="26D3E00A">
            <w:pPr>
              <w:snapToGrid w:val="0"/>
              <w:spacing w:line="360" w:lineRule="auto"/>
              <w:ind w:firstLine="233" w:firstLineChars="111"/>
              <w:rPr>
                <w:rFonts w:ascii="宋体" w:hAnsi="宋体"/>
                <w:bCs/>
                <w:color w:val="auto"/>
                <w:szCs w:val="21"/>
              </w:rPr>
            </w:pPr>
            <w:r>
              <w:rPr>
                <w:rFonts w:hint="eastAsia" w:ascii="宋体" w:hAnsi="宋体"/>
                <w:bCs/>
                <w:color w:val="auto"/>
                <w:szCs w:val="21"/>
              </w:rPr>
              <w:t>（</w:t>
            </w:r>
            <w:r>
              <w:rPr>
                <w:rFonts w:ascii="宋体" w:hAnsi="宋体"/>
                <w:bCs/>
                <w:color w:val="auto"/>
                <w:szCs w:val="21"/>
              </w:rPr>
              <w:t>4）政策性扣除计算方法。</w:t>
            </w:r>
          </w:p>
          <w:p w14:paraId="6502A97C">
            <w:pPr>
              <w:snapToGrid w:val="0"/>
              <w:spacing w:line="360" w:lineRule="auto"/>
              <w:ind w:firstLine="233" w:firstLineChars="111"/>
              <w:rPr>
                <w:rFonts w:ascii="宋体" w:hAnsi="宋体"/>
                <w:bCs/>
                <w:color w:val="auto"/>
                <w:szCs w:val="21"/>
              </w:rPr>
            </w:pPr>
            <w:r>
              <w:rPr>
                <w:rFonts w:hint="eastAsia" w:ascii="宋体" w:hAnsi="宋体"/>
                <w:bCs/>
                <w:color w:val="auto"/>
                <w:szCs w:val="21"/>
              </w:rPr>
              <w:t>供应商被评定为监狱企业或者残疾人福利性单位或者其服务全部由符合政策要求的小型、微型企业承接的，该供应商的最后报价给予</w:t>
            </w:r>
            <w:r>
              <w:rPr>
                <w:rFonts w:ascii="宋体" w:hAnsi="宋体"/>
                <w:bCs/>
                <w:color w:val="auto"/>
                <w:szCs w:val="21"/>
              </w:rPr>
              <w:t>20%的扣除，扣除后的价格为评审报价，即评审报价=最后报价×（1-20%）；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30%以上的，对联合体或者大中型企业的报价给予6%的扣除，用扣除后的价格参加评审，扣除后的价格为评审报价，即评审报价=最后报价×（1-6%）。</w:t>
            </w:r>
          </w:p>
          <w:p w14:paraId="7F70BB57">
            <w:pPr>
              <w:snapToGrid w:val="0"/>
              <w:spacing w:line="360" w:lineRule="auto"/>
              <w:ind w:firstLine="233" w:firstLineChars="111"/>
              <w:rPr>
                <w:rFonts w:ascii="宋体" w:hAnsi="宋体"/>
                <w:bCs/>
                <w:color w:val="auto"/>
                <w:szCs w:val="21"/>
              </w:rPr>
            </w:pPr>
            <w:r>
              <w:rPr>
                <w:rFonts w:hint="eastAsia" w:ascii="宋体" w:hAnsi="宋体"/>
                <w:bCs/>
                <w:color w:val="auto"/>
                <w:szCs w:val="21"/>
              </w:rPr>
              <w:t>（</w:t>
            </w:r>
            <w:r>
              <w:rPr>
                <w:rFonts w:ascii="宋体" w:hAnsi="宋体"/>
                <w:bCs/>
                <w:color w:val="auto"/>
                <w:szCs w:val="21"/>
              </w:rPr>
              <w:t>5）除上述情况外，评审报价＝最后报价。</w:t>
            </w:r>
          </w:p>
          <w:p w14:paraId="46C26BE7">
            <w:pPr>
              <w:snapToGrid w:val="0"/>
              <w:spacing w:line="360" w:lineRule="auto"/>
              <w:ind w:firstLine="233" w:firstLineChars="111"/>
              <w:rPr>
                <w:rFonts w:ascii="宋体" w:hAnsi="宋体"/>
                <w:bCs/>
                <w:color w:val="auto"/>
                <w:szCs w:val="21"/>
              </w:rPr>
            </w:pPr>
            <w:r>
              <w:rPr>
                <w:rFonts w:hint="eastAsia" w:ascii="宋体" w:hAnsi="宋体"/>
                <w:bCs/>
                <w:color w:val="auto"/>
                <w:szCs w:val="21"/>
              </w:rPr>
              <w:t>（6）以进入比较与评价环节的最低的评审报价为基准价，基准价得分为10分。</w:t>
            </w:r>
          </w:p>
          <w:p w14:paraId="164725DB">
            <w:pPr>
              <w:snapToGrid w:val="0"/>
              <w:spacing w:line="360" w:lineRule="auto"/>
              <w:ind w:firstLine="233" w:firstLineChars="111"/>
              <w:rPr>
                <w:rFonts w:ascii="宋体" w:hAnsi="宋体"/>
                <w:bCs/>
                <w:color w:val="auto"/>
                <w:szCs w:val="21"/>
              </w:rPr>
            </w:pPr>
            <w:r>
              <w:rPr>
                <w:rFonts w:hint="eastAsia" w:ascii="宋体" w:hAnsi="宋体"/>
                <w:bCs/>
                <w:color w:val="auto"/>
                <w:szCs w:val="21"/>
              </w:rPr>
              <w:t>（7）价格分计算公式：</w:t>
            </w:r>
          </w:p>
          <w:p w14:paraId="511E3029">
            <w:pPr>
              <w:pStyle w:val="16"/>
              <w:ind w:firstLine="315" w:firstLineChars="150"/>
              <w:rPr>
                <w:rFonts w:hAnsi="宋体" w:cs="Courier New"/>
                <w:bCs/>
                <w:color w:val="auto"/>
                <w:sz w:val="21"/>
              </w:rPr>
            </w:pPr>
            <w:r>
              <w:rPr>
                <w:rFonts w:hint="eastAsia" w:hAnsi="宋体"/>
                <w:bCs/>
                <w:color w:val="auto"/>
                <w:sz w:val="21"/>
              </w:rPr>
              <w:t>报价得分=（基准价/评审报价）×10分</w:t>
            </w:r>
          </w:p>
        </w:tc>
        <w:tc>
          <w:tcPr>
            <w:tcW w:w="872" w:type="dxa"/>
            <w:vAlign w:val="center"/>
          </w:tcPr>
          <w:p w14:paraId="200E540C">
            <w:pPr>
              <w:snapToGrid w:val="0"/>
              <w:jc w:val="center"/>
              <w:rPr>
                <w:rFonts w:ascii="宋体" w:hAnsi="宋体"/>
                <w:bCs/>
                <w:color w:val="auto"/>
                <w:szCs w:val="21"/>
              </w:rPr>
            </w:pPr>
            <w:r>
              <w:rPr>
                <w:rFonts w:hint="eastAsia" w:ascii="宋体" w:hAnsi="宋体"/>
                <w:bCs/>
                <w:color w:val="auto"/>
                <w:szCs w:val="21"/>
              </w:rPr>
              <w:t>0-10分</w:t>
            </w:r>
          </w:p>
        </w:tc>
      </w:tr>
      <w:tr w14:paraId="74BEA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 w:type="dxa"/>
          <w:jc w:val="center"/>
        </w:trPr>
        <w:tc>
          <w:tcPr>
            <w:tcW w:w="561" w:type="dxa"/>
            <w:vMerge w:val="restart"/>
            <w:vAlign w:val="center"/>
          </w:tcPr>
          <w:p w14:paraId="1E2FDFFF">
            <w:pPr>
              <w:adjustRightInd w:val="0"/>
              <w:snapToGrid w:val="0"/>
              <w:jc w:val="center"/>
              <w:textAlignment w:val="baseline"/>
              <w:rPr>
                <w:rFonts w:ascii="宋体" w:hAnsi="宋体"/>
                <w:color w:val="auto"/>
                <w:szCs w:val="21"/>
              </w:rPr>
            </w:pPr>
            <w:r>
              <w:rPr>
                <w:rFonts w:hint="eastAsia" w:ascii="宋体" w:hAnsi="宋体"/>
                <w:color w:val="auto"/>
                <w:szCs w:val="21"/>
              </w:rPr>
              <w:t>2</w:t>
            </w:r>
          </w:p>
        </w:tc>
        <w:tc>
          <w:tcPr>
            <w:tcW w:w="1135" w:type="dxa"/>
            <w:vMerge w:val="restart"/>
            <w:vAlign w:val="center"/>
          </w:tcPr>
          <w:p w14:paraId="0C0A5133">
            <w:pPr>
              <w:adjustRightInd w:val="0"/>
              <w:snapToGrid w:val="0"/>
              <w:textAlignment w:val="baseline"/>
              <w:rPr>
                <w:rFonts w:ascii="宋体" w:hAnsi="宋体"/>
                <w:b/>
                <w:bCs/>
                <w:color w:val="auto"/>
                <w:szCs w:val="21"/>
              </w:rPr>
            </w:pPr>
          </w:p>
          <w:p w14:paraId="3E295671">
            <w:pPr>
              <w:adjustRightInd w:val="0"/>
              <w:snapToGrid w:val="0"/>
              <w:jc w:val="center"/>
              <w:textAlignment w:val="baseline"/>
              <w:rPr>
                <w:rFonts w:ascii="宋体" w:hAnsi="宋体"/>
                <w:b/>
                <w:bCs/>
                <w:color w:val="auto"/>
                <w:szCs w:val="21"/>
              </w:rPr>
            </w:pPr>
            <w:r>
              <w:rPr>
                <w:rFonts w:hint="eastAsia" w:ascii="宋体" w:hAnsi="宋体"/>
                <w:b/>
                <w:bCs/>
                <w:color w:val="auto"/>
                <w:szCs w:val="21"/>
              </w:rPr>
              <w:t>技术分</w:t>
            </w:r>
          </w:p>
          <w:p w14:paraId="7595B141">
            <w:pPr>
              <w:adjustRightInd w:val="0"/>
              <w:snapToGrid w:val="0"/>
              <w:jc w:val="center"/>
              <w:textAlignment w:val="baseline"/>
              <w:rPr>
                <w:rFonts w:ascii="宋体" w:hAnsi="宋体"/>
                <w:b/>
                <w:bCs/>
                <w:color w:val="auto"/>
                <w:szCs w:val="21"/>
              </w:rPr>
            </w:pPr>
            <w:r>
              <w:rPr>
                <w:rFonts w:hint="eastAsia" w:ascii="宋体" w:hAnsi="宋体"/>
                <w:b/>
                <w:bCs/>
                <w:color w:val="auto"/>
                <w:szCs w:val="21"/>
              </w:rPr>
              <w:t>（满分62分）</w:t>
            </w:r>
          </w:p>
        </w:tc>
        <w:tc>
          <w:tcPr>
            <w:tcW w:w="1560" w:type="dxa"/>
            <w:vAlign w:val="center"/>
          </w:tcPr>
          <w:p w14:paraId="5D6A1FAD">
            <w:pPr>
              <w:rPr>
                <w:rFonts w:ascii="宋体" w:hAnsi="宋体" w:cs="Arial"/>
                <w:b/>
                <w:color w:val="auto"/>
                <w:kern w:val="0"/>
                <w:szCs w:val="21"/>
              </w:rPr>
            </w:pPr>
            <w:r>
              <w:rPr>
                <w:rFonts w:hint="eastAsia" w:ascii="宋体" w:hAnsi="宋体" w:cs="Arial"/>
                <w:b/>
                <w:color w:val="auto"/>
                <w:kern w:val="0"/>
                <w:szCs w:val="21"/>
              </w:rPr>
              <w:t>2.1技术方案分（24分）</w:t>
            </w:r>
          </w:p>
        </w:tc>
        <w:tc>
          <w:tcPr>
            <w:tcW w:w="6469" w:type="dxa"/>
            <w:vAlign w:val="center"/>
          </w:tcPr>
          <w:p w14:paraId="17F4D254">
            <w:pPr>
              <w:adjustRightInd w:val="0"/>
              <w:snapToGrid w:val="0"/>
              <w:ind w:firstLine="420" w:firstLineChars="200"/>
              <w:jc w:val="left"/>
              <w:rPr>
                <w:rFonts w:ascii="宋体" w:hAnsi="宋体"/>
                <w:bCs/>
                <w:color w:val="auto"/>
                <w:szCs w:val="21"/>
              </w:rPr>
            </w:pPr>
            <w:r>
              <w:rPr>
                <w:rFonts w:hint="eastAsia" w:ascii="宋体" w:hAnsi="宋体"/>
                <w:bCs/>
                <w:color w:val="auto"/>
                <w:szCs w:val="21"/>
              </w:rPr>
              <w:t>磋商小组各成员根据供应商的</w:t>
            </w:r>
            <w:r>
              <w:rPr>
                <w:rFonts w:hint="eastAsia" w:ascii="宋体" w:hAnsi="宋体" w:cs="宋体"/>
                <w:b/>
                <w:color w:val="auto"/>
                <w:kern w:val="0"/>
                <w:szCs w:val="20"/>
              </w:rPr>
              <w:t>项目需求理解程度</w:t>
            </w:r>
            <w:r>
              <w:rPr>
                <w:rFonts w:hint="eastAsia" w:ascii="宋体" w:hAnsi="宋体"/>
                <w:bCs/>
                <w:color w:val="auto"/>
                <w:szCs w:val="21"/>
              </w:rPr>
              <w:t>进行独立评审，评审因素为以下4部分：⑴采用基于分组交换、面向连接的分组传送网络技术建立专用通道（响应文件中提供证明材料，并加盖磋商供应商公章）；</w:t>
            </w:r>
            <w:r>
              <w:rPr>
                <w:rFonts w:hint="eastAsia" w:ascii="宋体" w:hAnsi="宋体" w:cs="宋体"/>
                <w:bCs/>
                <w:color w:val="auto"/>
                <w:szCs w:val="21"/>
              </w:rPr>
              <w:t>⑵</w:t>
            </w:r>
            <w:r>
              <w:rPr>
                <w:rFonts w:hint="eastAsia" w:ascii="宋体" w:hAnsi="宋体"/>
                <w:bCs/>
                <w:color w:val="auto"/>
                <w:szCs w:val="21"/>
              </w:rPr>
              <w:t>可设置CAR策略模板，CIR(峰值带宽)、CAR（保证带宽）带宽粒度达64Kpbs（响应文件中提供证明材料，并加盖供应商公章）；</w:t>
            </w:r>
            <w:r>
              <w:rPr>
                <w:rFonts w:hint="eastAsia" w:ascii="宋体" w:hAnsi="宋体" w:cs="宋体"/>
                <w:bCs/>
                <w:color w:val="auto"/>
                <w:szCs w:val="21"/>
              </w:rPr>
              <w:t>⑶</w:t>
            </w:r>
            <w:r>
              <w:rPr>
                <w:rFonts w:hint="eastAsia" w:ascii="宋体" w:hAnsi="宋体"/>
                <w:bCs/>
                <w:color w:val="auto"/>
                <w:szCs w:val="21"/>
              </w:rPr>
              <w:t>有</w:t>
            </w:r>
            <w:r>
              <w:rPr>
                <w:color w:val="auto"/>
                <w:szCs w:val="21"/>
              </w:rPr>
              <w:t>说明</w:t>
            </w:r>
            <w:r>
              <w:rPr>
                <w:rFonts w:hint="eastAsia"/>
                <w:color w:val="auto"/>
                <w:szCs w:val="21"/>
              </w:rPr>
              <w:t>通道</w:t>
            </w:r>
            <w:r>
              <w:rPr>
                <w:color w:val="auto"/>
                <w:szCs w:val="21"/>
              </w:rPr>
              <w:t>结构及所用主要</w:t>
            </w:r>
            <w:r>
              <w:rPr>
                <w:rFonts w:hint="eastAsia"/>
                <w:color w:val="auto"/>
                <w:szCs w:val="21"/>
              </w:rPr>
              <w:t>通道</w:t>
            </w:r>
            <w:r>
              <w:rPr>
                <w:color w:val="auto"/>
                <w:szCs w:val="21"/>
              </w:rPr>
              <w:t>设备</w:t>
            </w:r>
            <w:r>
              <w:rPr>
                <w:rFonts w:hint="eastAsia"/>
                <w:color w:val="auto"/>
                <w:szCs w:val="21"/>
              </w:rPr>
              <w:t>；</w:t>
            </w:r>
            <w:r>
              <w:rPr>
                <w:rFonts w:hint="eastAsia" w:ascii="宋体" w:hAnsi="宋体"/>
                <w:bCs/>
                <w:color w:val="auto"/>
                <w:szCs w:val="21"/>
              </w:rPr>
              <w:t>⑷短信平台具备5G消息功能，具备图片、音频、视频等媒体发送能力（响应文件中提供网址及功能截图，并加盖磋商供应商公章）</w:t>
            </w:r>
            <w:r>
              <w:rPr>
                <w:rFonts w:hint="eastAsia"/>
                <w:color w:val="auto"/>
                <w:szCs w:val="21"/>
              </w:rPr>
              <w:t>。</w:t>
            </w:r>
          </w:p>
          <w:p w14:paraId="59785353">
            <w:pPr>
              <w:adjustRightInd w:val="0"/>
              <w:snapToGrid w:val="0"/>
              <w:ind w:firstLine="420" w:firstLineChars="200"/>
              <w:jc w:val="left"/>
              <w:rPr>
                <w:color w:val="auto"/>
                <w:szCs w:val="21"/>
              </w:rPr>
            </w:pPr>
            <w:r>
              <w:rPr>
                <w:rFonts w:hint="eastAsia"/>
                <w:color w:val="auto"/>
                <w:szCs w:val="21"/>
              </w:rPr>
              <w:t>不满足一档要求的不得分。</w:t>
            </w:r>
          </w:p>
          <w:p w14:paraId="1B1ECE26">
            <w:pPr>
              <w:adjustRightInd w:val="0"/>
              <w:snapToGrid w:val="0"/>
              <w:ind w:firstLine="420" w:firstLineChars="200"/>
              <w:jc w:val="left"/>
              <w:rPr>
                <w:color w:val="auto"/>
                <w:szCs w:val="21"/>
              </w:rPr>
            </w:pPr>
            <w:r>
              <w:rPr>
                <w:rFonts w:hint="eastAsia"/>
                <w:color w:val="auto"/>
                <w:szCs w:val="21"/>
              </w:rPr>
              <w:t>一档（8分）：仅包含其中1项内容，内容表述清晰且满足实施需求。</w:t>
            </w:r>
          </w:p>
          <w:p w14:paraId="6498A651">
            <w:pPr>
              <w:adjustRightInd w:val="0"/>
              <w:snapToGrid w:val="0"/>
              <w:ind w:firstLine="420" w:firstLineChars="200"/>
              <w:jc w:val="left"/>
              <w:rPr>
                <w:color w:val="auto"/>
                <w:szCs w:val="21"/>
              </w:rPr>
            </w:pPr>
            <w:r>
              <w:rPr>
                <w:rFonts w:hint="eastAsia"/>
                <w:color w:val="auto"/>
                <w:szCs w:val="21"/>
              </w:rPr>
              <w:t>二档（16分）：仅包含其中2-3项内容，内容表述清晰且满足实施需求。</w:t>
            </w:r>
          </w:p>
          <w:p w14:paraId="75C9B6A6">
            <w:pPr>
              <w:adjustRightInd w:val="0"/>
              <w:snapToGrid w:val="0"/>
              <w:ind w:firstLine="420" w:firstLineChars="200"/>
              <w:jc w:val="left"/>
              <w:rPr>
                <w:color w:val="auto"/>
                <w:szCs w:val="21"/>
              </w:rPr>
            </w:pPr>
            <w:r>
              <w:rPr>
                <w:rFonts w:hint="eastAsia"/>
                <w:color w:val="auto"/>
                <w:szCs w:val="21"/>
              </w:rPr>
              <w:t>三档（24分）：4项评审因素内容齐全，内容表述清晰且满足实施需求。</w:t>
            </w:r>
          </w:p>
        </w:tc>
        <w:tc>
          <w:tcPr>
            <w:tcW w:w="872" w:type="dxa"/>
            <w:vAlign w:val="center"/>
          </w:tcPr>
          <w:p w14:paraId="573D56DB">
            <w:pPr>
              <w:widowControl/>
              <w:snapToGrid w:val="0"/>
              <w:jc w:val="center"/>
              <w:rPr>
                <w:rFonts w:ascii="宋体" w:hAnsi="宋体" w:cs="微软雅黑"/>
                <w:color w:val="auto"/>
                <w:szCs w:val="21"/>
              </w:rPr>
            </w:pPr>
            <w:r>
              <w:rPr>
                <w:rFonts w:hint="eastAsia" w:ascii="宋体" w:hAnsi="宋体"/>
                <w:bCs/>
                <w:color w:val="auto"/>
                <w:szCs w:val="21"/>
              </w:rPr>
              <w:t>0-</w:t>
            </w:r>
            <w:r>
              <w:rPr>
                <w:rFonts w:ascii="宋体" w:hAnsi="宋体"/>
                <w:bCs/>
                <w:color w:val="auto"/>
                <w:szCs w:val="21"/>
              </w:rPr>
              <w:t>24</w:t>
            </w:r>
            <w:r>
              <w:rPr>
                <w:rFonts w:hint="eastAsia" w:ascii="宋体" w:hAnsi="宋体"/>
                <w:bCs/>
                <w:color w:val="auto"/>
                <w:szCs w:val="21"/>
              </w:rPr>
              <w:t>分</w:t>
            </w:r>
          </w:p>
        </w:tc>
      </w:tr>
      <w:tr w14:paraId="6ED39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 w:type="dxa"/>
          <w:jc w:val="center"/>
        </w:trPr>
        <w:tc>
          <w:tcPr>
            <w:tcW w:w="561" w:type="dxa"/>
            <w:vMerge w:val="continue"/>
            <w:vAlign w:val="center"/>
          </w:tcPr>
          <w:p w14:paraId="7909E568">
            <w:pPr>
              <w:adjustRightInd w:val="0"/>
              <w:snapToGrid w:val="0"/>
              <w:jc w:val="center"/>
              <w:textAlignment w:val="baseline"/>
              <w:rPr>
                <w:rFonts w:ascii="宋体" w:hAnsi="宋体"/>
                <w:color w:val="auto"/>
                <w:szCs w:val="21"/>
              </w:rPr>
            </w:pPr>
          </w:p>
        </w:tc>
        <w:tc>
          <w:tcPr>
            <w:tcW w:w="1135" w:type="dxa"/>
            <w:vMerge w:val="continue"/>
            <w:vAlign w:val="center"/>
          </w:tcPr>
          <w:p w14:paraId="71E5BB0C">
            <w:pPr>
              <w:adjustRightInd w:val="0"/>
              <w:snapToGrid w:val="0"/>
              <w:jc w:val="center"/>
              <w:textAlignment w:val="baseline"/>
              <w:rPr>
                <w:rFonts w:ascii="宋体" w:hAnsi="宋体"/>
                <w:color w:val="auto"/>
                <w:szCs w:val="21"/>
              </w:rPr>
            </w:pPr>
          </w:p>
        </w:tc>
        <w:tc>
          <w:tcPr>
            <w:tcW w:w="1560" w:type="dxa"/>
            <w:vAlign w:val="center"/>
          </w:tcPr>
          <w:p w14:paraId="50565613">
            <w:pPr>
              <w:adjustRightInd w:val="0"/>
              <w:snapToGrid w:val="0"/>
              <w:ind w:firstLine="105" w:firstLineChars="50"/>
              <w:jc w:val="left"/>
              <w:rPr>
                <w:rFonts w:ascii="宋体" w:hAnsi="宋体" w:cs="Arial"/>
                <w:b/>
                <w:color w:val="auto"/>
                <w:kern w:val="0"/>
                <w:szCs w:val="20"/>
              </w:rPr>
            </w:pPr>
            <w:r>
              <w:rPr>
                <w:rFonts w:hint="eastAsia" w:ascii="宋体" w:hAnsi="宋体" w:cs="Arial"/>
                <w:b/>
                <w:color w:val="auto"/>
                <w:kern w:val="0"/>
                <w:szCs w:val="20"/>
              </w:rPr>
              <w:t>2.2 服务方案分（20分）</w:t>
            </w:r>
          </w:p>
        </w:tc>
        <w:tc>
          <w:tcPr>
            <w:tcW w:w="6469" w:type="dxa"/>
            <w:vAlign w:val="center"/>
          </w:tcPr>
          <w:p w14:paraId="7892C7E3">
            <w:pPr>
              <w:adjustRightInd w:val="0"/>
              <w:snapToGrid w:val="0"/>
              <w:spacing w:line="440" w:lineRule="exact"/>
              <w:ind w:firstLine="420" w:firstLineChars="200"/>
              <w:rPr>
                <w:rFonts w:ascii="宋体" w:hAnsi="宋体"/>
                <w:bCs/>
                <w:color w:val="auto"/>
                <w:szCs w:val="21"/>
              </w:rPr>
            </w:pPr>
            <w:r>
              <w:rPr>
                <w:rFonts w:hint="eastAsia" w:ascii="宋体" w:hAnsi="宋体"/>
                <w:bCs/>
                <w:color w:val="auto"/>
                <w:szCs w:val="21"/>
              </w:rPr>
              <w:t>磋商小组各成员根据供应商的</w:t>
            </w:r>
            <w:r>
              <w:rPr>
                <w:rFonts w:hint="eastAsia" w:ascii="宋体" w:hAnsi="宋体"/>
                <w:bCs/>
                <w:color w:val="auto"/>
                <w:szCs w:val="21"/>
                <w:lang w:eastAsia="zh-CN"/>
              </w:rPr>
              <w:t>服务</w:t>
            </w:r>
            <w:r>
              <w:rPr>
                <w:rFonts w:hint="eastAsia" w:ascii="宋体" w:hAnsi="宋体"/>
                <w:bCs/>
                <w:color w:val="auto"/>
                <w:szCs w:val="21"/>
              </w:rPr>
              <w:t>方案进行独立评审，评审因素为以下5部分：（1）对项目背景、目标、范围、建设原则等描述清晰，分析深入；（2）有线路接入技术方案，对APN通道技术的开通搭建做详细描述，根据需求描述介绍相关的设备、系统的技术要点；（3）包含测试与验证方案，详细描述测试计划、测试标准；（4）有运维方案，包含对所提供的服务、设备、系统等相关的维护、巡检方案，包含配合</w:t>
            </w:r>
            <w:r>
              <w:rPr>
                <w:rFonts w:hint="eastAsia" w:ascii="宋体" w:hAnsi="宋体" w:cs="宋体"/>
                <w:color w:val="auto"/>
                <w:szCs w:val="21"/>
              </w:rPr>
              <w:t>OA系统供应商的运维方案</w:t>
            </w:r>
            <w:r>
              <w:rPr>
                <w:rFonts w:hint="eastAsia" w:ascii="宋体" w:hAnsi="宋体"/>
                <w:bCs/>
                <w:color w:val="auto"/>
                <w:szCs w:val="21"/>
              </w:rPr>
              <w:t>；（5）有</w:t>
            </w:r>
            <w:r>
              <w:rPr>
                <w:rFonts w:hint="eastAsia" w:ascii="宋体" w:hAnsi="宋体" w:cs="宋体"/>
                <w:color w:val="auto"/>
                <w:szCs w:val="21"/>
              </w:rPr>
              <w:t>应急服务方案，包含</w:t>
            </w:r>
            <w:r>
              <w:rPr>
                <w:color w:val="auto"/>
              </w:rPr>
              <w:t>明确的应急组织架构，应急处置流程</w:t>
            </w:r>
            <w:r>
              <w:rPr>
                <w:rFonts w:hint="eastAsia" w:ascii="宋体" w:hAnsi="宋体"/>
                <w:bCs/>
                <w:color w:val="auto"/>
                <w:szCs w:val="21"/>
              </w:rPr>
              <w:t>。</w:t>
            </w:r>
          </w:p>
          <w:p w14:paraId="6773B34C">
            <w:pPr>
              <w:rPr>
                <w:rFonts w:ascii="宋体" w:hAnsi="宋体" w:cs="Courier New"/>
                <w:bCs/>
                <w:color w:val="auto"/>
                <w:szCs w:val="21"/>
              </w:rPr>
            </w:pPr>
            <w:r>
              <w:rPr>
                <w:rFonts w:hint="eastAsia" w:ascii="宋体" w:hAnsi="宋体" w:cs="Courier New"/>
                <w:bCs/>
                <w:color w:val="auto"/>
                <w:szCs w:val="21"/>
              </w:rPr>
              <w:t>一档（3分）：</w:t>
            </w:r>
            <w:r>
              <w:rPr>
                <w:rFonts w:hint="eastAsia" w:ascii="宋体" w:hAnsi="宋体" w:cs="Courier New"/>
                <w:bCs/>
                <w:color w:val="auto"/>
                <w:szCs w:val="21"/>
                <w:lang w:eastAsia="zh-CN"/>
              </w:rPr>
              <w:t>服务</w:t>
            </w:r>
            <w:r>
              <w:rPr>
                <w:rFonts w:hint="eastAsia" w:ascii="宋体" w:hAnsi="宋体"/>
                <w:color w:val="auto"/>
                <w:szCs w:val="21"/>
              </w:rPr>
              <w:t>方案</w:t>
            </w:r>
            <w:r>
              <w:rPr>
                <w:rFonts w:hint="eastAsia" w:ascii="宋体" w:hAnsi="宋体" w:cs="Courier New"/>
                <w:bCs/>
                <w:color w:val="auto"/>
                <w:szCs w:val="21"/>
              </w:rPr>
              <w:t>简单，整体构思含糊不明确，方案内容不全或不突出，可行性不高。</w:t>
            </w:r>
          </w:p>
          <w:p w14:paraId="6E9E6909">
            <w:pPr>
              <w:rPr>
                <w:rFonts w:ascii="宋体" w:hAnsi="宋体" w:cs="Courier New"/>
                <w:bCs/>
                <w:color w:val="auto"/>
                <w:szCs w:val="21"/>
              </w:rPr>
            </w:pPr>
            <w:r>
              <w:rPr>
                <w:rFonts w:hint="eastAsia" w:ascii="宋体" w:hAnsi="宋体" w:cs="Courier New"/>
                <w:bCs/>
                <w:color w:val="auto"/>
                <w:szCs w:val="21"/>
              </w:rPr>
              <w:t>二档（9分）：提供的</w:t>
            </w:r>
            <w:r>
              <w:rPr>
                <w:rFonts w:hint="eastAsia" w:ascii="宋体" w:hAnsi="宋体" w:cs="Courier New"/>
                <w:bCs/>
                <w:color w:val="auto"/>
                <w:szCs w:val="21"/>
                <w:lang w:eastAsia="zh-CN"/>
              </w:rPr>
              <w:t>服务</w:t>
            </w:r>
            <w:r>
              <w:rPr>
                <w:rFonts w:hint="eastAsia" w:ascii="宋体" w:hAnsi="宋体" w:cs="Courier New"/>
                <w:bCs/>
                <w:color w:val="auto"/>
                <w:szCs w:val="21"/>
              </w:rPr>
              <w:t>方案优于一档</w:t>
            </w:r>
            <w:r>
              <w:rPr>
                <w:rFonts w:hint="eastAsia" w:ascii="宋体" w:hAnsi="宋体" w:cs="宋体"/>
                <w:color w:val="auto"/>
                <w:szCs w:val="21"/>
              </w:rPr>
              <w:t>，技术</w:t>
            </w:r>
            <w:r>
              <w:rPr>
                <w:rFonts w:hint="eastAsia" w:ascii="宋体" w:hAnsi="宋体"/>
                <w:color w:val="auto"/>
                <w:szCs w:val="21"/>
              </w:rPr>
              <w:t>方案</w:t>
            </w:r>
            <w:r>
              <w:rPr>
                <w:rFonts w:hint="eastAsia" w:ascii="宋体" w:hAnsi="宋体" w:cs="Courier New"/>
                <w:bCs/>
                <w:color w:val="auto"/>
                <w:szCs w:val="21"/>
              </w:rPr>
              <w:t>一般，整体构思一般，展示形式一般，方案重点内容一般，措施一般，方案可行性一般。</w:t>
            </w:r>
          </w:p>
          <w:p w14:paraId="36E73A00">
            <w:pPr>
              <w:rPr>
                <w:rFonts w:ascii="宋体" w:hAnsi="宋体" w:cs="Courier New"/>
                <w:bCs/>
                <w:color w:val="auto"/>
                <w:szCs w:val="21"/>
              </w:rPr>
            </w:pPr>
            <w:r>
              <w:rPr>
                <w:rFonts w:hint="eastAsia" w:ascii="宋体" w:hAnsi="宋体" w:cs="Courier New"/>
                <w:bCs/>
                <w:color w:val="auto"/>
                <w:szCs w:val="21"/>
              </w:rPr>
              <w:t>三档（</w:t>
            </w:r>
            <w:r>
              <w:rPr>
                <w:rFonts w:ascii="宋体" w:hAnsi="宋体" w:cs="Courier New"/>
                <w:bCs/>
                <w:color w:val="auto"/>
                <w:szCs w:val="21"/>
              </w:rPr>
              <w:t>1</w:t>
            </w:r>
            <w:r>
              <w:rPr>
                <w:rFonts w:hint="eastAsia" w:ascii="宋体" w:hAnsi="宋体" w:cs="Courier New"/>
                <w:bCs/>
                <w:color w:val="auto"/>
                <w:szCs w:val="21"/>
              </w:rPr>
              <w:t>5分）：提供的</w:t>
            </w:r>
            <w:r>
              <w:rPr>
                <w:rFonts w:hint="eastAsia" w:ascii="宋体" w:hAnsi="宋体" w:cs="Courier New"/>
                <w:bCs/>
                <w:color w:val="auto"/>
                <w:szCs w:val="21"/>
                <w:lang w:eastAsia="zh-CN"/>
              </w:rPr>
              <w:t>服务</w:t>
            </w:r>
            <w:r>
              <w:rPr>
                <w:rFonts w:hint="eastAsia" w:ascii="宋体" w:hAnsi="宋体" w:cs="Courier New"/>
                <w:bCs/>
                <w:color w:val="auto"/>
                <w:szCs w:val="21"/>
              </w:rPr>
              <w:t>方案优于二档</w:t>
            </w:r>
            <w:r>
              <w:rPr>
                <w:rFonts w:hint="eastAsia" w:ascii="宋体" w:hAnsi="宋体" w:cs="宋体"/>
                <w:color w:val="auto"/>
                <w:szCs w:val="21"/>
              </w:rPr>
              <w:t>，</w:t>
            </w:r>
            <w:r>
              <w:rPr>
                <w:rFonts w:hint="eastAsia" w:ascii="宋体" w:hAnsi="宋体"/>
                <w:color w:val="auto"/>
                <w:szCs w:val="21"/>
              </w:rPr>
              <w:t>对接方案</w:t>
            </w:r>
            <w:r>
              <w:rPr>
                <w:rFonts w:hint="eastAsia" w:ascii="宋体" w:hAnsi="宋体" w:cs="Courier New"/>
                <w:bCs/>
                <w:color w:val="auto"/>
                <w:szCs w:val="21"/>
              </w:rPr>
              <w:t>良好，整体构思良好，展示形式良好，方案重点内容良好，措施良好，方案可行性良好。</w:t>
            </w:r>
          </w:p>
          <w:p w14:paraId="57E9B2DD">
            <w:pPr>
              <w:rPr>
                <w:rFonts w:ascii="宋体" w:hAnsi="宋体" w:cs="Courier New"/>
                <w:bCs/>
                <w:color w:val="auto"/>
                <w:szCs w:val="21"/>
              </w:rPr>
            </w:pPr>
            <w:r>
              <w:rPr>
                <w:rFonts w:hint="eastAsia" w:ascii="宋体" w:hAnsi="宋体" w:cs="Courier New"/>
                <w:bCs/>
                <w:color w:val="auto"/>
                <w:szCs w:val="21"/>
              </w:rPr>
              <w:t>四档（</w:t>
            </w:r>
            <w:r>
              <w:rPr>
                <w:rFonts w:ascii="宋体" w:hAnsi="宋体" w:cs="Courier New"/>
                <w:bCs/>
                <w:color w:val="auto"/>
                <w:szCs w:val="21"/>
              </w:rPr>
              <w:t>2</w:t>
            </w:r>
            <w:r>
              <w:rPr>
                <w:rFonts w:hint="eastAsia" w:ascii="宋体" w:hAnsi="宋体" w:cs="Courier New"/>
                <w:bCs/>
                <w:color w:val="auto"/>
                <w:szCs w:val="21"/>
              </w:rPr>
              <w:t>0分）：提供的</w:t>
            </w:r>
            <w:r>
              <w:rPr>
                <w:rFonts w:hint="eastAsia" w:ascii="宋体" w:hAnsi="宋体" w:cs="Courier New"/>
                <w:bCs/>
                <w:color w:val="auto"/>
                <w:szCs w:val="21"/>
                <w:lang w:eastAsia="zh-CN"/>
              </w:rPr>
              <w:t>服务</w:t>
            </w:r>
            <w:r>
              <w:rPr>
                <w:rFonts w:hint="eastAsia" w:ascii="宋体" w:hAnsi="宋体" w:cs="Courier New"/>
                <w:bCs/>
                <w:color w:val="auto"/>
                <w:szCs w:val="21"/>
              </w:rPr>
              <w:t>方案优于三档</w:t>
            </w:r>
            <w:r>
              <w:rPr>
                <w:rFonts w:hint="eastAsia" w:ascii="宋体" w:hAnsi="宋体" w:cs="宋体"/>
                <w:color w:val="auto"/>
                <w:szCs w:val="21"/>
              </w:rPr>
              <w:t>，</w:t>
            </w:r>
            <w:r>
              <w:rPr>
                <w:rFonts w:hint="eastAsia" w:ascii="宋体" w:hAnsi="宋体"/>
                <w:color w:val="auto"/>
                <w:szCs w:val="21"/>
              </w:rPr>
              <w:t>策划方案</w:t>
            </w:r>
            <w:r>
              <w:rPr>
                <w:rFonts w:hint="eastAsia" w:ascii="宋体" w:hAnsi="宋体" w:cs="Courier New"/>
                <w:bCs/>
                <w:color w:val="auto"/>
                <w:szCs w:val="21"/>
              </w:rPr>
              <w:t>清晰完整，整体构思新颖、目标明确，展示形式灵活多样，方案重点内容突出，措施具体，方案可执行性强，完全能达到采购方的采购目的。</w:t>
            </w:r>
          </w:p>
          <w:p w14:paraId="72380997">
            <w:pPr>
              <w:pStyle w:val="8"/>
              <w:rPr>
                <w:rFonts w:ascii="宋体" w:hAnsi="宋体" w:cs="宋体"/>
                <w:b/>
                <w:bCs/>
                <w:color w:val="auto"/>
                <w:szCs w:val="21"/>
              </w:rPr>
            </w:pPr>
            <w:r>
              <w:rPr>
                <w:rFonts w:hint="eastAsia" w:ascii="宋体" w:hAnsi="宋体" w:cs="宋体"/>
                <w:b/>
                <w:bCs/>
                <w:color w:val="auto"/>
                <w:szCs w:val="21"/>
              </w:rPr>
              <w:t>注：未提供</w:t>
            </w:r>
            <w:r>
              <w:rPr>
                <w:rFonts w:hint="eastAsia" w:ascii="宋体" w:hAnsi="宋体" w:cs="Courier New"/>
                <w:bCs/>
                <w:color w:val="auto"/>
                <w:szCs w:val="21"/>
                <w:lang w:eastAsia="zh-CN"/>
              </w:rPr>
              <w:t>服务</w:t>
            </w:r>
            <w:r>
              <w:rPr>
                <w:rFonts w:hint="eastAsia" w:ascii="宋体" w:hAnsi="宋体" w:cs="宋体"/>
                <w:b/>
                <w:bCs/>
                <w:color w:val="auto"/>
                <w:szCs w:val="21"/>
              </w:rPr>
              <w:t>方案方案或对接方案方案未达到一档标准要求的，得0分。</w:t>
            </w:r>
          </w:p>
        </w:tc>
        <w:tc>
          <w:tcPr>
            <w:tcW w:w="872" w:type="dxa"/>
            <w:vAlign w:val="center"/>
          </w:tcPr>
          <w:p w14:paraId="6B5ABA51">
            <w:pPr>
              <w:widowControl/>
              <w:snapToGrid w:val="0"/>
              <w:jc w:val="center"/>
              <w:rPr>
                <w:rFonts w:ascii="宋体" w:hAnsi="宋体"/>
                <w:bCs/>
                <w:color w:val="auto"/>
                <w:szCs w:val="21"/>
              </w:rPr>
            </w:pPr>
            <w:r>
              <w:rPr>
                <w:rFonts w:hint="eastAsia" w:ascii="宋体" w:hAnsi="宋体"/>
                <w:bCs/>
                <w:color w:val="auto"/>
                <w:szCs w:val="21"/>
              </w:rPr>
              <w:t>0-13分</w:t>
            </w:r>
          </w:p>
        </w:tc>
      </w:tr>
      <w:tr w14:paraId="52C2A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 w:type="dxa"/>
          <w:jc w:val="center"/>
        </w:trPr>
        <w:tc>
          <w:tcPr>
            <w:tcW w:w="561" w:type="dxa"/>
            <w:vMerge w:val="continue"/>
            <w:vAlign w:val="center"/>
          </w:tcPr>
          <w:p w14:paraId="5859EA74">
            <w:pPr>
              <w:adjustRightInd w:val="0"/>
              <w:snapToGrid w:val="0"/>
              <w:jc w:val="center"/>
              <w:textAlignment w:val="baseline"/>
              <w:rPr>
                <w:rFonts w:ascii="宋体" w:hAnsi="宋体"/>
                <w:color w:val="auto"/>
                <w:szCs w:val="21"/>
              </w:rPr>
            </w:pPr>
          </w:p>
        </w:tc>
        <w:tc>
          <w:tcPr>
            <w:tcW w:w="1135" w:type="dxa"/>
            <w:vMerge w:val="continue"/>
            <w:vAlign w:val="center"/>
          </w:tcPr>
          <w:p w14:paraId="551C3EB9">
            <w:pPr>
              <w:adjustRightInd w:val="0"/>
              <w:snapToGrid w:val="0"/>
              <w:jc w:val="center"/>
              <w:textAlignment w:val="baseline"/>
              <w:rPr>
                <w:rFonts w:ascii="宋体" w:hAnsi="宋体"/>
                <w:color w:val="auto"/>
                <w:szCs w:val="21"/>
              </w:rPr>
            </w:pPr>
          </w:p>
        </w:tc>
        <w:tc>
          <w:tcPr>
            <w:tcW w:w="1560" w:type="dxa"/>
            <w:vAlign w:val="center"/>
          </w:tcPr>
          <w:p w14:paraId="4C7B50C0">
            <w:pPr>
              <w:adjustRightInd w:val="0"/>
              <w:snapToGrid w:val="0"/>
              <w:spacing w:line="440" w:lineRule="exact"/>
              <w:rPr>
                <w:rFonts w:ascii="宋体" w:hAnsi="宋体" w:cs="Arial"/>
                <w:b/>
                <w:color w:val="auto"/>
                <w:kern w:val="0"/>
                <w:szCs w:val="20"/>
              </w:rPr>
            </w:pPr>
            <w:r>
              <w:rPr>
                <w:rFonts w:hint="eastAsia" w:ascii="宋体" w:hAnsi="宋体" w:cs="宋体"/>
                <w:b/>
                <w:color w:val="auto"/>
                <w:kern w:val="0"/>
                <w:szCs w:val="20"/>
              </w:rPr>
              <w:t>2.</w:t>
            </w:r>
            <w:r>
              <w:rPr>
                <w:rFonts w:hint="eastAsia" w:ascii="宋体" w:hAnsi="宋体" w:cs="宋体"/>
                <w:b/>
                <w:color w:val="auto"/>
                <w:kern w:val="0"/>
                <w:szCs w:val="20"/>
                <w:lang w:val="en-US" w:eastAsia="zh-CN"/>
              </w:rPr>
              <w:t>3</w:t>
            </w:r>
            <w:r>
              <w:rPr>
                <w:rFonts w:hint="eastAsia" w:ascii="宋体" w:hAnsi="宋体" w:cs="宋体"/>
                <w:b/>
                <w:color w:val="auto"/>
                <w:kern w:val="0"/>
                <w:szCs w:val="20"/>
              </w:rPr>
              <w:t>售后服务方案分（满分18分）</w:t>
            </w:r>
          </w:p>
        </w:tc>
        <w:tc>
          <w:tcPr>
            <w:tcW w:w="6469" w:type="dxa"/>
            <w:vAlign w:val="center"/>
          </w:tcPr>
          <w:p w14:paraId="3E25F13D">
            <w:pPr>
              <w:pStyle w:val="16"/>
              <w:spacing w:line="360" w:lineRule="auto"/>
              <w:ind w:firstLine="420" w:firstLineChars="200"/>
              <w:rPr>
                <w:rFonts w:hAnsi="宋体" w:cs="宋体"/>
                <w:b w:val="0"/>
                <w:bCs w:val="0"/>
                <w:color w:val="auto"/>
                <w:sz w:val="21"/>
              </w:rPr>
            </w:pPr>
            <w:r>
              <w:rPr>
                <w:rFonts w:hint="eastAsia" w:hAnsi="宋体" w:cs="宋体"/>
                <w:color w:val="auto"/>
                <w:sz w:val="21"/>
              </w:rPr>
              <w:t>一档（6分）：提供</w:t>
            </w:r>
            <w:r>
              <w:rPr>
                <w:rFonts w:hint="eastAsia" w:hAnsi="宋体" w:cs="宋体"/>
                <w:b w:val="0"/>
                <w:bCs w:val="0"/>
                <w:color w:val="auto"/>
                <w:sz w:val="21"/>
              </w:rPr>
              <w:t>有</w:t>
            </w:r>
            <w:r>
              <w:rPr>
                <w:rFonts w:hint="eastAsia" w:ascii="宋体" w:hAnsi="宋体" w:cs="宋体"/>
                <w:b w:val="0"/>
                <w:bCs w:val="0"/>
                <w:color w:val="auto"/>
                <w:kern w:val="0"/>
                <w:szCs w:val="20"/>
              </w:rPr>
              <w:t>售后</w:t>
            </w:r>
            <w:r>
              <w:rPr>
                <w:rFonts w:hint="eastAsia" w:hAnsi="宋体" w:cs="宋体"/>
                <w:b w:val="0"/>
                <w:bCs w:val="0"/>
                <w:color w:val="auto"/>
                <w:sz w:val="21"/>
              </w:rPr>
              <w:t>服务方案，方案包含有项目售后维护和服务方案，方案内容可操作性、先进性、完整性弱；提供的服务仅满足采购文件基本需求。</w:t>
            </w:r>
          </w:p>
          <w:p w14:paraId="546ADBE1">
            <w:pPr>
              <w:pStyle w:val="16"/>
              <w:spacing w:line="360" w:lineRule="auto"/>
              <w:ind w:firstLine="420" w:firstLineChars="200"/>
              <w:rPr>
                <w:rFonts w:hAnsi="宋体" w:cs="宋体"/>
                <w:b w:val="0"/>
                <w:bCs w:val="0"/>
                <w:color w:val="auto"/>
                <w:sz w:val="21"/>
              </w:rPr>
            </w:pPr>
            <w:r>
              <w:rPr>
                <w:rFonts w:hint="eastAsia" w:hAnsi="宋体" w:cs="宋体"/>
                <w:b w:val="0"/>
                <w:bCs w:val="0"/>
                <w:color w:val="auto"/>
                <w:sz w:val="21"/>
              </w:rPr>
              <w:t>二档（12分）：提供有</w:t>
            </w:r>
            <w:r>
              <w:rPr>
                <w:rFonts w:hint="eastAsia" w:ascii="宋体" w:hAnsi="宋体" w:cs="宋体"/>
                <w:b w:val="0"/>
                <w:bCs w:val="0"/>
                <w:color w:val="auto"/>
                <w:kern w:val="0"/>
                <w:szCs w:val="20"/>
              </w:rPr>
              <w:t>售后</w:t>
            </w:r>
            <w:r>
              <w:rPr>
                <w:rFonts w:hint="eastAsia" w:hAnsi="宋体" w:cs="宋体"/>
                <w:b w:val="0"/>
                <w:bCs w:val="0"/>
                <w:color w:val="auto"/>
                <w:sz w:val="21"/>
              </w:rPr>
              <w:t>服务方案，方案包含有售后服务支持、服务流程、保修期限、响应时间、用户回访、保密承诺、故障解决等内容，方案内容描述详细；提供的培训计划或方案优于采购文件要求。</w:t>
            </w:r>
          </w:p>
          <w:p w14:paraId="5CA354FF">
            <w:pPr>
              <w:spacing w:line="440" w:lineRule="exact"/>
              <w:ind w:firstLine="420" w:firstLineChars="200"/>
              <w:rPr>
                <w:rFonts w:hAnsi="宋体" w:cs="宋体"/>
                <w:color w:val="auto"/>
                <w:szCs w:val="21"/>
              </w:rPr>
            </w:pPr>
            <w:r>
              <w:rPr>
                <w:rFonts w:hint="eastAsia" w:ascii="宋体" w:hAnsi="宋体" w:cs="宋体"/>
                <w:b w:val="0"/>
                <w:bCs w:val="0"/>
                <w:color w:val="auto"/>
              </w:rPr>
              <w:t>三档（</w:t>
            </w:r>
            <w:r>
              <w:rPr>
                <w:rFonts w:hint="eastAsia" w:hAnsi="宋体" w:cs="宋体"/>
                <w:b w:val="0"/>
                <w:bCs w:val="0"/>
                <w:color w:val="auto"/>
              </w:rPr>
              <w:t>18</w:t>
            </w:r>
            <w:r>
              <w:rPr>
                <w:rFonts w:hint="eastAsia" w:ascii="宋体" w:hAnsi="宋体" w:cs="宋体"/>
                <w:b w:val="0"/>
                <w:bCs w:val="0"/>
                <w:color w:val="auto"/>
              </w:rPr>
              <w:t>分）：</w:t>
            </w:r>
            <w:r>
              <w:rPr>
                <w:rFonts w:hint="eastAsia" w:ascii="宋体" w:hAnsi="宋体" w:cs="宋体"/>
                <w:b w:val="0"/>
                <w:bCs w:val="0"/>
                <w:color w:val="auto"/>
                <w:szCs w:val="21"/>
              </w:rPr>
              <w:t>提供有</w:t>
            </w:r>
            <w:r>
              <w:rPr>
                <w:rFonts w:hint="eastAsia" w:ascii="宋体" w:hAnsi="宋体" w:cs="宋体"/>
                <w:b w:val="0"/>
                <w:bCs w:val="0"/>
                <w:color w:val="auto"/>
                <w:kern w:val="0"/>
                <w:szCs w:val="20"/>
              </w:rPr>
              <w:t>售后</w:t>
            </w:r>
            <w:r>
              <w:rPr>
                <w:rFonts w:hint="eastAsia" w:ascii="宋体" w:hAnsi="宋体" w:cs="宋体"/>
                <w:b w:val="0"/>
                <w:bCs w:val="0"/>
                <w:color w:val="auto"/>
                <w:szCs w:val="21"/>
              </w:rPr>
              <w:t>服务</w:t>
            </w:r>
            <w:r>
              <w:rPr>
                <w:rFonts w:hint="eastAsia" w:ascii="宋体" w:hAnsi="宋体" w:cs="宋体"/>
                <w:color w:val="auto"/>
                <w:szCs w:val="21"/>
              </w:rPr>
              <w:t>方案，方案包含有项目售后维护、售后服务支持、服务流程、保修期限、响应时间等完全优于采购需求，提供用户回访、保密承诺、故障解决等内容，方案内容表述清晰详细，可操作性、先进性、完整性强，且详细描述了方案的方法以及实现方式、售后服务机构及联系人、技术人员名单等资料，服务承诺和保障措施考虑周全完整，免费维护期内，</w:t>
            </w:r>
            <w:r>
              <w:rPr>
                <w:rFonts w:hint="eastAsia" w:hAnsi="宋体" w:cs="宋体"/>
                <w:color w:val="auto"/>
                <w:szCs w:val="21"/>
              </w:rPr>
              <w:t>供应商</w:t>
            </w:r>
            <w:r>
              <w:rPr>
                <w:rFonts w:hint="eastAsia" w:ascii="宋体" w:hAnsi="宋体" w:cs="宋体"/>
                <w:color w:val="auto"/>
                <w:szCs w:val="21"/>
              </w:rPr>
              <w:t>承诺售后服务机构投入本项目的人员</w:t>
            </w:r>
            <w:r>
              <w:rPr>
                <w:rFonts w:hint="eastAsia" w:hAnsi="宋体" w:cs="宋体"/>
                <w:color w:val="auto"/>
                <w:szCs w:val="21"/>
              </w:rPr>
              <w:t>充足。</w:t>
            </w:r>
          </w:p>
          <w:p w14:paraId="7DC50217">
            <w:pPr>
              <w:spacing w:line="440" w:lineRule="exact"/>
              <w:ind w:firstLine="420" w:firstLineChars="200"/>
              <w:rPr>
                <w:color w:val="auto"/>
                <w:szCs w:val="21"/>
              </w:rPr>
            </w:pPr>
          </w:p>
        </w:tc>
        <w:tc>
          <w:tcPr>
            <w:tcW w:w="872" w:type="dxa"/>
            <w:vAlign w:val="center"/>
          </w:tcPr>
          <w:p w14:paraId="28536FE2">
            <w:pPr>
              <w:widowControl/>
              <w:snapToGrid w:val="0"/>
              <w:jc w:val="center"/>
              <w:rPr>
                <w:rFonts w:ascii="宋体" w:hAnsi="宋体"/>
                <w:bCs/>
                <w:color w:val="auto"/>
                <w:szCs w:val="21"/>
              </w:rPr>
            </w:pPr>
            <w:r>
              <w:rPr>
                <w:rFonts w:hint="eastAsia" w:ascii="宋体" w:hAnsi="宋体"/>
                <w:bCs/>
                <w:color w:val="auto"/>
                <w:szCs w:val="21"/>
              </w:rPr>
              <w:t>0-18分</w:t>
            </w:r>
          </w:p>
        </w:tc>
      </w:tr>
      <w:tr w14:paraId="5E6F6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 w:type="dxa"/>
          <w:jc w:val="center"/>
        </w:trPr>
        <w:tc>
          <w:tcPr>
            <w:tcW w:w="561" w:type="dxa"/>
            <w:vMerge w:val="restart"/>
            <w:vAlign w:val="center"/>
          </w:tcPr>
          <w:p w14:paraId="6C633D82">
            <w:pPr>
              <w:adjustRightInd w:val="0"/>
              <w:snapToGrid w:val="0"/>
              <w:jc w:val="center"/>
              <w:textAlignment w:val="baseline"/>
              <w:rPr>
                <w:rFonts w:ascii="宋体" w:hAnsi="宋体"/>
                <w:color w:val="auto"/>
                <w:szCs w:val="21"/>
              </w:rPr>
            </w:pPr>
            <w:r>
              <w:rPr>
                <w:rFonts w:ascii="宋体" w:hAnsi="宋体"/>
                <w:color w:val="auto"/>
                <w:szCs w:val="21"/>
              </w:rPr>
              <w:t>3</w:t>
            </w:r>
          </w:p>
        </w:tc>
        <w:tc>
          <w:tcPr>
            <w:tcW w:w="1135" w:type="dxa"/>
            <w:vMerge w:val="restart"/>
            <w:vAlign w:val="center"/>
          </w:tcPr>
          <w:p w14:paraId="2A69E854">
            <w:pPr>
              <w:adjustRightInd w:val="0"/>
              <w:snapToGrid w:val="0"/>
              <w:jc w:val="center"/>
              <w:textAlignment w:val="baseline"/>
              <w:rPr>
                <w:rFonts w:ascii="宋体" w:hAnsi="宋体"/>
                <w:b/>
                <w:bCs/>
                <w:color w:val="auto"/>
                <w:szCs w:val="21"/>
              </w:rPr>
            </w:pPr>
            <w:r>
              <w:rPr>
                <w:rFonts w:hint="eastAsia" w:ascii="宋体" w:hAnsi="宋体"/>
                <w:b/>
                <w:bCs/>
                <w:color w:val="auto"/>
                <w:szCs w:val="21"/>
              </w:rPr>
              <w:t>商务分</w:t>
            </w:r>
          </w:p>
          <w:p w14:paraId="6E7841E7">
            <w:pPr>
              <w:adjustRightInd w:val="0"/>
              <w:snapToGrid w:val="0"/>
              <w:jc w:val="center"/>
              <w:textAlignment w:val="baseline"/>
              <w:rPr>
                <w:rFonts w:ascii="宋体" w:hAnsi="宋体"/>
                <w:color w:val="auto"/>
                <w:szCs w:val="21"/>
              </w:rPr>
            </w:pPr>
            <w:r>
              <w:rPr>
                <w:rFonts w:hint="eastAsia" w:ascii="宋体" w:hAnsi="宋体"/>
                <w:b/>
                <w:bCs/>
                <w:color w:val="auto"/>
                <w:szCs w:val="21"/>
              </w:rPr>
              <w:t>（满分28</w:t>
            </w:r>
            <w:r>
              <w:rPr>
                <w:rFonts w:ascii="宋体" w:hAnsi="宋体"/>
                <w:b/>
                <w:bCs/>
                <w:color w:val="auto"/>
                <w:szCs w:val="21"/>
              </w:rPr>
              <w:t>分）</w:t>
            </w:r>
          </w:p>
        </w:tc>
        <w:tc>
          <w:tcPr>
            <w:tcW w:w="1560" w:type="dxa"/>
            <w:vAlign w:val="center"/>
          </w:tcPr>
          <w:p w14:paraId="0ECD848C">
            <w:pPr>
              <w:adjustRightInd w:val="0"/>
              <w:snapToGrid w:val="0"/>
              <w:spacing w:line="440" w:lineRule="exact"/>
              <w:rPr>
                <w:rFonts w:ascii="宋体" w:hAnsi="宋体" w:cs="宋体"/>
                <w:b/>
                <w:bCs/>
                <w:color w:val="auto"/>
                <w:szCs w:val="21"/>
              </w:rPr>
            </w:pPr>
            <w:r>
              <w:rPr>
                <w:rFonts w:hint="eastAsia" w:ascii="宋体" w:hAnsi="宋体" w:cs="宋体"/>
                <w:b/>
                <w:color w:val="auto"/>
                <w:kern w:val="0"/>
                <w:szCs w:val="20"/>
              </w:rPr>
              <w:t>3.1有效的管理体系（满分6分）</w:t>
            </w:r>
          </w:p>
        </w:tc>
        <w:tc>
          <w:tcPr>
            <w:tcW w:w="6469" w:type="dxa"/>
            <w:vAlign w:val="center"/>
          </w:tcPr>
          <w:p w14:paraId="3CED6782">
            <w:pPr>
              <w:spacing w:line="440" w:lineRule="exact"/>
              <w:ind w:firstLine="420" w:firstLineChars="200"/>
              <w:rPr>
                <w:rFonts w:ascii="宋体" w:hAnsi="宋体" w:cs="宋体"/>
                <w:bCs/>
                <w:color w:val="auto"/>
                <w:szCs w:val="21"/>
              </w:rPr>
            </w:pPr>
            <w:r>
              <w:rPr>
                <w:rFonts w:hint="eastAsia" w:ascii="宋体" w:hAnsi="宋体" w:cs="宋体"/>
                <w:color w:val="auto"/>
                <w:szCs w:val="21"/>
              </w:rPr>
              <w:t>磋商供应商获得</w:t>
            </w:r>
            <w:r>
              <w:rPr>
                <w:rFonts w:hAnsi="宋体"/>
                <w:bCs/>
                <w:color w:val="auto"/>
              </w:rPr>
              <w:t>IS</w:t>
            </w:r>
            <w:r>
              <w:rPr>
                <w:rFonts w:hint="eastAsia" w:hAnsi="宋体"/>
                <w:bCs/>
                <w:color w:val="auto"/>
              </w:rPr>
              <w:t>O9001</w:t>
            </w:r>
            <w:r>
              <w:rPr>
                <w:rFonts w:hAnsi="宋体"/>
                <w:bCs/>
                <w:color w:val="auto"/>
              </w:rPr>
              <w:t>质量管理体系认证、IS</w:t>
            </w:r>
            <w:r>
              <w:rPr>
                <w:rFonts w:hint="eastAsia" w:hAnsi="宋体"/>
                <w:bCs/>
                <w:color w:val="auto"/>
              </w:rPr>
              <w:t>O27001信息安全管理体系认证和ISO20000信息技术服务管理</w:t>
            </w:r>
            <w:r>
              <w:rPr>
                <w:rFonts w:hAnsi="宋体"/>
                <w:bCs/>
                <w:color w:val="auto"/>
              </w:rPr>
              <w:t>体系认证的</w:t>
            </w:r>
            <w:r>
              <w:rPr>
                <w:rFonts w:hint="eastAsia" w:ascii="宋体" w:hAnsi="宋体" w:cs="宋体"/>
                <w:color w:val="auto"/>
                <w:szCs w:val="21"/>
              </w:rPr>
              <w:t>，每项得2分，满分6分（提供相关证书扫描件，要求证书清晰、完整显示供应商名称，并加盖磋商供应商公章）。</w:t>
            </w:r>
          </w:p>
        </w:tc>
        <w:tc>
          <w:tcPr>
            <w:tcW w:w="872" w:type="dxa"/>
            <w:vAlign w:val="center"/>
          </w:tcPr>
          <w:p w14:paraId="0281AA1B">
            <w:pPr>
              <w:widowControl/>
              <w:jc w:val="center"/>
              <w:rPr>
                <w:rFonts w:ascii="宋体" w:hAnsi="宋体"/>
                <w:color w:val="auto"/>
                <w:szCs w:val="21"/>
              </w:rPr>
            </w:pPr>
            <w:r>
              <w:rPr>
                <w:rFonts w:hint="eastAsia" w:ascii="宋体" w:hAnsi="宋体"/>
                <w:bCs/>
                <w:color w:val="auto"/>
                <w:szCs w:val="21"/>
              </w:rPr>
              <w:t>0-6分</w:t>
            </w:r>
          </w:p>
        </w:tc>
      </w:tr>
      <w:tr w14:paraId="4111E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 w:type="dxa"/>
          <w:jc w:val="center"/>
        </w:trPr>
        <w:tc>
          <w:tcPr>
            <w:tcW w:w="561" w:type="dxa"/>
            <w:vMerge w:val="continue"/>
            <w:vAlign w:val="center"/>
          </w:tcPr>
          <w:p w14:paraId="3D4E5D7C">
            <w:pPr>
              <w:adjustRightInd w:val="0"/>
              <w:snapToGrid w:val="0"/>
              <w:jc w:val="center"/>
              <w:textAlignment w:val="baseline"/>
              <w:rPr>
                <w:rFonts w:ascii="宋体" w:hAnsi="宋体"/>
                <w:color w:val="auto"/>
                <w:szCs w:val="21"/>
              </w:rPr>
            </w:pPr>
          </w:p>
        </w:tc>
        <w:tc>
          <w:tcPr>
            <w:tcW w:w="1135" w:type="dxa"/>
            <w:vMerge w:val="continue"/>
            <w:vAlign w:val="center"/>
          </w:tcPr>
          <w:p w14:paraId="0EC1DB7A">
            <w:pPr>
              <w:adjustRightInd w:val="0"/>
              <w:snapToGrid w:val="0"/>
              <w:jc w:val="center"/>
              <w:textAlignment w:val="baseline"/>
              <w:rPr>
                <w:rFonts w:ascii="宋体" w:hAnsi="宋体"/>
                <w:b/>
                <w:bCs/>
                <w:color w:val="auto"/>
                <w:szCs w:val="21"/>
              </w:rPr>
            </w:pPr>
          </w:p>
        </w:tc>
        <w:tc>
          <w:tcPr>
            <w:tcW w:w="1560" w:type="dxa"/>
            <w:vAlign w:val="center"/>
          </w:tcPr>
          <w:p w14:paraId="319CB302">
            <w:pPr>
              <w:adjustRightInd w:val="0"/>
              <w:snapToGrid w:val="0"/>
              <w:spacing w:line="440" w:lineRule="exact"/>
              <w:rPr>
                <w:rFonts w:ascii="宋体" w:hAnsi="宋体" w:cs="宋体"/>
                <w:b/>
                <w:color w:val="auto"/>
                <w:kern w:val="0"/>
                <w:szCs w:val="20"/>
              </w:rPr>
            </w:pPr>
            <w:r>
              <w:rPr>
                <w:rFonts w:hint="eastAsia" w:ascii="宋体" w:hAnsi="宋体" w:cs="宋体"/>
                <w:b/>
                <w:color w:val="auto"/>
                <w:kern w:val="0"/>
                <w:szCs w:val="20"/>
              </w:rPr>
              <w:t>3.2团队人员能力分（满分16分）</w:t>
            </w:r>
          </w:p>
        </w:tc>
        <w:tc>
          <w:tcPr>
            <w:tcW w:w="6469" w:type="dxa"/>
            <w:vAlign w:val="center"/>
          </w:tcPr>
          <w:p w14:paraId="6EED421D">
            <w:pPr>
              <w:spacing w:line="360" w:lineRule="auto"/>
              <w:ind w:firstLine="422" w:firstLineChars="200"/>
              <w:rPr>
                <w:rFonts w:ascii="宋体" w:hAnsi="宋体" w:cs="宋体"/>
                <w:b/>
                <w:color w:val="auto"/>
                <w:szCs w:val="21"/>
              </w:rPr>
            </w:pPr>
            <w:r>
              <w:rPr>
                <w:rFonts w:hint="eastAsia" w:ascii="宋体" w:hAnsi="宋体" w:cs="宋体"/>
                <w:b/>
                <w:color w:val="auto"/>
                <w:szCs w:val="21"/>
              </w:rPr>
              <w:t>1、技术负责人（满分4分）</w:t>
            </w:r>
          </w:p>
          <w:p w14:paraId="7711BA07">
            <w:pPr>
              <w:spacing w:line="360" w:lineRule="auto"/>
              <w:ind w:firstLine="420" w:firstLineChars="200"/>
              <w:rPr>
                <w:rFonts w:ascii="宋体" w:hAnsi="宋体" w:cs="宋体"/>
                <w:color w:val="auto"/>
                <w:szCs w:val="21"/>
              </w:rPr>
            </w:pPr>
            <w:r>
              <w:rPr>
                <w:rFonts w:hint="eastAsia" w:ascii="宋体" w:hAnsi="宋体" w:cs="宋体"/>
                <w:color w:val="auto"/>
                <w:szCs w:val="21"/>
              </w:rPr>
              <w:t>（1）具有“信息系统项目管理师（高级）”证书的得2分；</w:t>
            </w:r>
          </w:p>
          <w:p w14:paraId="0291E939">
            <w:pPr>
              <w:spacing w:line="360" w:lineRule="auto"/>
              <w:ind w:firstLine="420" w:firstLineChars="200"/>
              <w:rPr>
                <w:rFonts w:ascii="宋体" w:hAnsi="宋体" w:cs="宋体"/>
                <w:color w:val="auto"/>
                <w:szCs w:val="21"/>
              </w:rPr>
            </w:pPr>
            <w:r>
              <w:rPr>
                <w:rFonts w:hint="eastAsia" w:ascii="宋体" w:hAnsi="宋体" w:cs="宋体"/>
                <w:color w:val="auto"/>
                <w:szCs w:val="21"/>
              </w:rPr>
              <w:t>（2）具有“通信工程（高级）工程师”证书的得2分；</w:t>
            </w:r>
          </w:p>
          <w:p w14:paraId="3099F1E6">
            <w:pPr>
              <w:spacing w:line="360" w:lineRule="auto"/>
              <w:ind w:firstLine="422" w:firstLineChars="200"/>
              <w:rPr>
                <w:rFonts w:ascii="宋体" w:hAnsi="宋体" w:cs="宋体"/>
                <w:b/>
                <w:color w:val="auto"/>
                <w:szCs w:val="21"/>
              </w:rPr>
            </w:pPr>
            <w:r>
              <w:rPr>
                <w:rFonts w:hint="eastAsia" w:ascii="宋体" w:hAnsi="宋体" w:cs="宋体"/>
                <w:b/>
                <w:color w:val="auto"/>
                <w:szCs w:val="21"/>
              </w:rPr>
              <w:t>2、项目人员（满分12分）</w:t>
            </w:r>
          </w:p>
          <w:p w14:paraId="7E38C837">
            <w:pPr>
              <w:spacing w:line="360" w:lineRule="auto"/>
              <w:ind w:firstLine="420" w:firstLineChars="200"/>
              <w:rPr>
                <w:rFonts w:ascii="宋体" w:hAnsi="宋体" w:cs="宋体"/>
                <w:color w:val="auto"/>
                <w:szCs w:val="21"/>
              </w:rPr>
            </w:pPr>
            <w:r>
              <w:rPr>
                <w:rFonts w:hint="eastAsia" w:ascii="宋体" w:hAnsi="宋体" w:cs="宋体"/>
                <w:color w:val="auto"/>
                <w:szCs w:val="21"/>
              </w:rPr>
              <w:t>（1）具有“信息系统项目管理师（高级）”证书的每人得2分，满分4分；</w:t>
            </w:r>
          </w:p>
          <w:p w14:paraId="3A66EE3A">
            <w:pPr>
              <w:spacing w:line="360" w:lineRule="auto"/>
              <w:ind w:firstLine="420" w:firstLineChars="200"/>
              <w:rPr>
                <w:rFonts w:ascii="宋体" w:hAnsi="宋体" w:cs="宋体"/>
                <w:color w:val="auto"/>
                <w:szCs w:val="21"/>
              </w:rPr>
            </w:pPr>
            <w:r>
              <w:rPr>
                <w:rFonts w:hint="eastAsia" w:ascii="宋体" w:hAnsi="宋体" w:cs="宋体"/>
                <w:color w:val="auto"/>
                <w:szCs w:val="21"/>
              </w:rPr>
              <w:t>（2）具有“信息与通信工程（高级）”职称证书的，得2分，满分4分；</w:t>
            </w:r>
          </w:p>
          <w:p w14:paraId="22D655D1">
            <w:pPr>
              <w:spacing w:line="360" w:lineRule="auto"/>
              <w:ind w:firstLine="420" w:firstLineChars="200"/>
              <w:rPr>
                <w:rFonts w:ascii="宋体" w:hAnsi="宋体" w:cs="宋体"/>
                <w:color w:val="auto"/>
                <w:szCs w:val="21"/>
              </w:rPr>
            </w:pPr>
            <w:r>
              <w:rPr>
                <w:rFonts w:hint="eastAsia" w:ascii="宋体" w:hAnsi="宋体" w:cs="宋体"/>
                <w:color w:val="auto"/>
                <w:szCs w:val="21"/>
              </w:rPr>
              <w:t>（3）具有“</w:t>
            </w:r>
            <w:r>
              <w:rPr>
                <w:rFonts w:hint="eastAsia" w:ascii="宋体" w:hAnsi="宋体" w:eastAsia="宋体" w:cs="宋体"/>
                <w:color w:val="auto"/>
                <w:sz w:val="21"/>
                <w:szCs w:val="21"/>
                <w:shd w:val="clear" w:color="auto" w:fill="auto"/>
              </w:rPr>
              <w:t>注册信息安全专业人员（</w:t>
            </w:r>
            <w:r>
              <w:rPr>
                <w:rFonts w:ascii="宋体" w:hAnsi="宋体" w:eastAsia="宋体" w:cs="宋体"/>
                <w:color w:val="auto"/>
                <w:sz w:val="21"/>
                <w:szCs w:val="21"/>
                <w:shd w:val="clear" w:color="auto" w:fill="auto"/>
              </w:rPr>
              <w:t>CISP</w:t>
            </w:r>
            <w:r>
              <w:rPr>
                <w:rFonts w:hint="eastAsia" w:ascii="宋体" w:hAnsi="宋体" w:eastAsia="宋体" w:cs="宋体"/>
                <w:color w:val="auto"/>
                <w:sz w:val="21"/>
                <w:szCs w:val="21"/>
                <w:shd w:val="clear" w:color="auto" w:fill="auto"/>
              </w:rPr>
              <w:t>）</w:t>
            </w:r>
            <w:r>
              <w:rPr>
                <w:rFonts w:hint="eastAsia" w:ascii="宋体" w:hAnsi="宋体" w:cs="宋体"/>
                <w:color w:val="auto"/>
                <w:szCs w:val="21"/>
              </w:rPr>
              <w:t>”</w:t>
            </w:r>
            <w:r>
              <w:rPr>
                <w:rFonts w:hint="eastAsia" w:ascii="宋体" w:hAnsi="宋体" w:eastAsia="宋体" w:cs="宋体"/>
                <w:color w:val="auto"/>
                <w:sz w:val="21"/>
                <w:szCs w:val="21"/>
                <w:shd w:val="clear" w:color="auto" w:fill="auto"/>
              </w:rPr>
              <w:t>证书</w:t>
            </w:r>
            <w:r>
              <w:rPr>
                <w:rFonts w:hint="eastAsia" w:ascii="宋体" w:hAnsi="宋体" w:cs="宋体"/>
                <w:color w:val="auto"/>
                <w:szCs w:val="21"/>
              </w:rPr>
              <w:t>或“网络与信息安全应急人员”证书的得2分，满分4分；</w:t>
            </w:r>
            <w:r>
              <w:rPr>
                <w:rFonts w:ascii="宋体" w:hAnsi="宋体" w:cs="宋体"/>
                <w:color w:val="auto"/>
                <w:szCs w:val="21"/>
              </w:rPr>
              <w:t xml:space="preserve"> </w:t>
            </w:r>
          </w:p>
          <w:p w14:paraId="3BB396DD">
            <w:pPr>
              <w:spacing w:line="360" w:lineRule="auto"/>
              <w:ind w:firstLine="420" w:firstLineChars="200"/>
              <w:rPr>
                <w:rFonts w:ascii="宋体" w:hAnsi="宋体" w:cs="宋体"/>
                <w:color w:val="auto"/>
                <w:szCs w:val="21"/>
              </w:rPr>
            </w:pPr>
            <w:r>
              <w:rPr>
                <w:rFonts w:hint="eastAsia" w:ascii="宋体" w:hAnsi="宋体" w:cs="宋体"/>
                <w:color w:val="auto"/>
                <w:szCs w:val="21"/>
              </w:rPr>
              <w:t>注：响应文件中提供相关证书复印件并加盖磋商供应商公章，否则不得分。</w:t>
            </w:r>
          </w:p>
        </w:tc>
        <w:tc>
          <w:tcPr>
            <w:tcW w:w="872" w:type="dxa"/>
            <w:vAlign w:val="center"/>
          </w:tcPr>
          <w:p w14:paraId="0AB1F46F">
            <w:pPr>
              <w:widowControl/>
              <w:jc w:val="center"/>
              <w:rPr>
                <w:rFonts w:ascii="宋体" w:hAnsi="宋体"/>
                <w:bCs/>
                <w:color w:val="auto"/>
                <w:szCs w:val="21"/>
              </w:rPr>
            </w:pPr>
            <w:r>
              <w:rPr>
                <w:rFonts w:hint="eastAsia" w:ascii="宋体" w:hAnsi="宋体"/>
                <w:bCs/>
                <w:color w:val="auto"/>
                <w:szCs w:val="21"/>
              </w:rPr>
              <w:t>0-16分</w:t>
            </w:r>
          </w:p>
        </w:tc>
      </w:tr>
      <w:tr w14:paraId="7C2EA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 w:type="dxa"/>
          <w:trHeight w:val="90" w:hRule="atLeast"/>
          <w:jc w:val="center"/>
        </w:trPr>
        <w:tc>
          <w:tcPr>
            <w:tcW w:w="561" w:type="dxa"/>
            <w:vMerge w:val="continue"/>
            <w:vAlign w:val="center"/>
          </w:tcPr>
          <w:p w14:paraId="5B34B30B">
            <w:pPr>
              <w:adjustRightInd w:val="0"/>
              <w:snapToGrid w:val="0"/>
              <w:jc w:val="center"/>
              <w:textAlignment w:val="baseline"/>
              <w:rPr>
                <w:rFonts w:ascii="宋体" w:hAnsi="宋体"/>
                <w:color w:val="auto"/>
                <w:szCs w:val="21"/>
              </w:rPr>
            </w:pPr>
          </w:p>
        </w:tc>
        <w:tc>
          <w:tcPr>
            <w:tcW w:w="1135" w:type="dxa"/>
            <w:vMerge w:val="continue"/>
            <w:vAlign w:val="center"/>
          </w:tcPr>
          <w:p w14:paraId="6E2F4D2E">
            <w:pPr>
              <w:adjustRightInd w:val="0"/>
              <w:snapToGrid w:val="0"/>
              <w:jc w:val="center"/>
              <w:textAlignment w:val="baseline"/>
              <w:rPr>
                <w:rFonts w:ascii="宋体" w:hAnsi="宋体"/>
                <w:color w:val="auto"/>
                <w:szCs w:val="21"/>
              </w:rPr>
            </w:pPr>
          </w:p>
        </w:tc>
        <w:tc>
          <w:tcPr>
            <w:tcW w:w="1560" w:type="dxa"/>
            <w:vAlign w:val="center"/>
          </w:tcPr>
          <w:p w14:paraId="3A2BFDB0">
            <w:pPr>
              <w:adjustRightInd w:val="0"/>
              <w:snapToGrid w:val="0"/>
              <w:spacing w:line="440" w:lineRule="exact"/>
              <w:rPr>
                <w:rFonts w:ascii="宋体" w:hAnsi="宋体" w:cs="宋体"/>
                <w:b/>
                <w:color w:val="auto"/>
                <w:kern w:val="0"/>
                <w:szCs w:val="20"/>
              </w:rPr>
            </w:pPr>
            <w:r>
              <w:rPr>
                <w:rFonts w:hint="eastAsia" w:ascii="宋体" w:hAnsi="宋体" w:cs="宋体"/>
                <w:b/>
                <w:color w:val="auto"/>
                <w:kern w:val="0"/>
                <w:szCs w:val="20"/>
              </w:rPr>
              <w:t>3.3业绩分（满分6分）</w:t>
            </w:r>
          </w:p>
        </w:tc>
        <w:tc>
          <w:tcPr>
            <w:tcW w:w="6469" w:type="dxa"/>
            <w:vAlign w:val="center"/>
          </w:tcPr>
          <w:p w14:paraId="1C05235D">
            <w:pPr>
              <w:spacing w:line="440" w:lineRule="exact"/>
              <w:ind w:firstLine="420" w:firstLineChars="200"/>
              <w:rPr>
                <w:rFonts w:ascii="宋体" w:hAnsi="宋体" w:cs="宋体"/>
                <w:bCs/>
                <w:color w:val="auto"/>
                <w:szCs w:val="21"/>
              </w:rPr>
            </w:pPr>
            <w:r>
              <w:rPr>
                <w:rFonts w:hint="eastAsia" w:ascii="宋体" w:hAnsi="宋体" w:cs="宋体"/>
                <w:bCs/>
                <w:color w:val="auto"/>
                <w:szCs w:val="21"/>
              </w:rPr>
              <w:t>供应商自2020年1月1日至响应文件提交截止时间，承接过同类项目业绩的，每个业绩得1分，满分6分。（以中标（成交）通知书或合同复印件为准，同一项目只算一个业绩）</w:t>
            </w:r>
          </w:p>
        </w:tc>
        <w:tc>
          <w:tcPr>
            <w:tcW w:w="872" w:type="dxa"/>
            <w:vAlign w:val="center"/>
          </w:tcPr>
          <w:p w14:paraId="6340D83E">
            <w:pPr>
              <w:widowControl/>
              <w:jc w:val="center"/>
              <w:rPr>
                <w:rFonts w:ascii="宋体" w:hAnsi="宋体"/>
                <w:bCs/>
                <w:color w:val="auto"/>
                <w:szCs w:val="21"/>
              </w:rPr>
            </w:pPr>
            <w:r>
              <w:rPr>
                <w:rFonts w:hint="eastAsia" w:ascii="宋体" w:hAnsi="宋体"/>
                <w:bCs/>
                <w:color w:val="auto"/>
                <w:szCs w:val="21"/>
              </w:rPr>
              <w:t>0-6分</w:t>
            </w:r>
          </w:p>
        </w:tc>
      </w:tr>
      <w:tr w14:paraId="5A9C8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 w:type="dxa"/>
          <w:trHeight w:val="90" w:hRule="atLeast"/>
          <w:jc w:val="center"/>
        </w:trPr>
        <w:tc>
          <w:tcPr>
            <w:tcW w:w="561" w:type="dxa"/>
            <w:vMerge w:val="continue"/>
            <w:vAlign w:val="center"/>
          </w:tcPr>
          <w:p w14:paraId="3D175CC8">
            <w:pPr>
              <w:adjustRightInd w:val="0"/>
              <w:snapToGrid w:val="0"/>
              <w:jc w:val="center"/>
              <w:textAlignment w:val="baseline"/>
              <w:rPr>
                <w:rFonts w:ascii="宋体" w:hAnsi="宋体"/>
                <w:color w:val="auto"/>
                <w:szCs w:val="21"/>
              </w:rPr>
            </w:pPr>
          </w:p>
        </w:tc>
        <w:tc>
          <w:tcPr>
            <w:tcW w:w="1135" w:type="dxa"/>
            <w:vMerge w:val="continue"/>
            <w:vAlign w:val="center"/>
          </w:tcPr>
          <w:p w14:paraId="64B35A7A">
            <w:pPr>
              <w:adjustRightInd w:val="0"/>
              <w:snapToGrid w:val="0"/>
              <w:jc w:val="center"/>
              <w:textAlignment w:val="baseline"/>
              <w:rPr>
                <w:rFonts w:ascii="宋体" w:hAnsi="宋体"/>
                <w:color w:val="auto"/>
                <w:szCs w:val="21"/>
              </w:rPr>
            </w:pPr>
          </w:p>
        </w:tc>
        <w:tc>
          <w:tcPr>
            <w:tcW w:w="1560" w:type="dxa"/>
            <w:vAlign w:val="center"/>
          </w:tcPr>
          <w:p w14:paraId="6D0C8BF6">
            <w:pPr>
              <w:pStyle w:val="16"/>
              <w:rPr>
                <w:rFonts w:hAnsi="宋体" w:cs="Courier New"/>
                <w:b/>
                <w:color w:val="auto"/>
                <w:kern w:val="2"/>
                <w:sz w:val="21"/>
              </w:rPr>
            </w:pPr>
            <w:r>
              <w:rPr>
                <w:rFonts w:hint="eastAsia" w:hAnsi="宋体" w:cs="Courier New"/>
                <w:b/>
                <w:color w:val="auto"/>
                <w:kern w:val="2"/>
                <w:sz w:val="21"/>
              </w:rPr>
              <w:t>3</w:t>
            </w:r>
            <w:r>
              <w:rPr>
                <w:rFonts w:hAnsi="宋体" w:cs="Courier New"/>
                <w:b/>
                <w:color w:val="auto"/>
                <w:kern w:val="2"/>
                <w:sz w:val="21"/>
              </w:rPr>
              <w:t>.</w:t>
            </w:r>
            <w:r>
              <w:rPr>
                <w:rFonts w:hint="eastAsia" w:hAnsi="宋体" w:cs="Courier New"/>
                <w:b/>
                <w:color w:val="auto"/>
                <w:kern w:val="2"/>
                <w:sz w:val="21"/>
              </w:rPr>
              <w:t>4诚信分</w:t>
            </w:r>
          </w:p>
        </w:tc>
        <w:tc>
          <w:tcPr>
            <w:tcW w:w="6469" w:type="dxa"/>
            <w:vAlign w:val="center"/>
          </w:tcPr>
          <w:p w14:paraId="610F1124">
            <w:pPr>
              <w:pStyle w:val="16"/>
              <w:rPr>
                <w:rFonts w:hAnsi="宋体" w:cs="Courier New"/>
                <w:bCs/>
                <w:color w:val="auto"/>
                <w:kern w:val="2"/>
                <w:sz w:val="21"/>
              </w:rPr>
            </w:pPr>
            <w:r>
              <w:rPr>
                <w:rFonts w:hint="eastAsia" w:hAnsi="宋体" w:cs="Courier New"/>
                <w:bCs/>
                <w:color w:val="auto"/>
                <w:kern w:val="2"/>
                <w:sz w:val="21"/>
              </w:rPr>
              <w:t>供应商在截标日前 1 年内在政府采购活动中存在违约违规情形的（以财政部门出具的书面材料为评分依据），每次扣除 3 分，最高扣分 6 分。</w:t>
            </w:r>
          </w:p>
        </w:tc>
        <w:tc>
          <w:tcPr>
            <w:tcW w:w="872" w:type="dxa"/>
            <w:vAlign w:val="center"/>
          </w:tcPr>
          <w:p w14:paraId="600BAC80">
            <w:pPr>
              <w:widowControl/>
              <w:jc w:val="center"/>
              <w:rPr>
                <w:rFonts w:ascii="宋体" w:hAnsi="宋体"/>
                <w:bCs/>
                <w:color w:val="auto"/>
                <w:szCs w:val="21"/>
              </w:rPr>
            </w:pPr>
            <w:r>
              <w:rPr>
                <w:rFonts w:ascii="宋体" w:hAnsi="宋体"/>
                <w:bCs/>
                <w:color w:val="auto"/>
                <w:szCs w:val="21"/>
              </w:rPr>
              <w:t>0</w:t>
            </w:r>
            <w:r>
              <w:rPr>
                <w:rFonts w:hint="eastAsia" w:ascii="宋体" w:hAnsi="宋体"/>
                <w:bCs/>
                <w:color w:val="auto"/>
                <w:szCs w:val="21"/>
              </w:rPr>
              <w:t>分</w:t>
            </w:r>
          </w:p>
        </w:tc>
      </w:tr>
      <w:tr w14:paraId="41826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10616" w:type="dxa"/>
            <w:gridSpan w:val="6"/>
            <w:vAlign w:val="center"/>
          </w:tcPr>
          <w:p w14:paraId="0FFF25BE">
            <w:pPr>
              <w:pStyle w:val="16"/>
              <w:snapToGrid w:val="0"/>
              <w:rPr>
                <w:rFonts w:hAnsi="宋体"/>
                <w:b/>
                <w:bCs/>
                <w:color w:val="auto"/>
                <w:sz w:val="21"/>
              </w:rPr>
            </w:pPr>
            <w:r>
              <w:rPr>
                <w:rFonts w:hint="eastAsia" w:hAnsi="宋体"/>
                <w:b/>
                <w:bCs/>
                <w:color w:val="auto"/>
                <w:sz w:val="21"/>
              </w:rPr>
              <w:t>总得分</w:t>
            </w:r>
            <w:r>
              <w:rPr>
                <w:rFonts w:hAnsi="宋体"/>
                <w:b/>
                <w:bCs/>
                <w:color w:val="auto"/>
                <w:sz w:val="21"/>
              </w:rPr>
              <w:t>=1+2+3</w:t>
            </w:r>
          </w:p>
        </w:tc>
      </w:tr>
    </w:tbl>
    <w:p w14:paraId="41D520AE">
      <w:pPr>
        <w:spacing w:before="1" w:line="360" w:lineRule="auto"/>
        <w:ind w:left="462" w:right="910" w:hanging="25"/>
        <w:rPr>
          <w:rFonts w:ascii="宋体" w:hAnsi="宋体" w:cs="宋体"/>
          <w:color w:val="auto"/>
          <w:szCs w:val="21"/>
        </w:rPr>
      </w:pPr>
    </w:p>
    <w:p w14:paraId="7619E1C4">
      <w:pPr>
        <w:pStyle w:val="77"/>
        <w:ind w:firstLine="420"/>
        <w:rPr>
          <w:color w:val="auto"/>
        </w:rPr>
      </w:pPr>
      <w:r>
        <w:rPr>
          <w:rFonts w:hint="eastAsia"/>
          <w:color w:val="auto"/>
        </w:rPr>
        <w:t>8.2 商务技术评审因素为客观评分项的，应在评分项目或评分标准中予以标注为“客观分”。对 供应商的客观评分项目， 各评审专家评分应当一致。</w:t>
      </w:r>
    </w:p>
    <w:p w14:paraId="242BBE87">
      <w:pPr>
        <w:pStyle w:val="77"/>
        <w:ind w:firstLine="420"/>
        <w:rPr>
          <w:color w:val="auto"/>
        </w:rPr>
      </w:pPr>
      <w:r>
        <w:rPr>
          <w:rFonts w:hint="eastAsia"/>
          <w:color w:val="auto"/>
        </w:rPr>
        <w:t>8.3.终止竞争性磋商采购活动</w:t>
      </w:r>
    </w:p>
    <w:p w14:paraId="4C6201B2">
      <w:pPr>
        <w:pStyle w:val="77"/>
        <w:ind w:firstLine="420"/>
        <w:rPr>
          <w:color w:val="auto"/>
        </w:rPr>
      </w:pPr>
      <w:r>
        <w:rPr>
          <w:rFonts w:hint="eastAsia"/>
          <w:color w:val="auto"/>
        </w:rPr>
        <w:t>磋商小组发现竞争性磋商文件存在歧义、重大缺陷导致评审工作无法进行，或者竞争性磋 商文件内容违反国家有关规定的，要停止评审工作并向采购人或采购代理机构书面说明情况， 采购人或采购代理机构应当修改竞争性磋商文件后重新组织采购活动；发现供应商提供虚假材料、串通等违法违规行为的，要及时向采购人或采购代理机构报告。</w:t>
      </w:r>
    </w:p>
    <w:p w14:paraId="3F64BEB4">
      <w:pPr>
        <w:spacing w:line="360" w:lineRule="auto"/>
        <w:rPr>
          <w:rFonts w:ascii="宋体" w:hAnsi="宋体" w:cs="宋体"/>
          <w:color w:val="auto"/>
          <w:szCs w:val="21"/>
        </w:rPr>
      </w:pPr>
    </w:p>
    <w:p w14:paraId="24B1CDEE">
      <w:pPr>
        <w:spacing w:before="104" w:line="360" w:lineRule="auto"/>
        <w:jc w:val="center"/>
        <w:outlineLvl w:val="1"/>
        <w:rPr>
          <w:rFonts w:ascii="宋体" w:hAnsi="宋体" w:cs="宋体"/>
          <w:color w:val="auto"/>
          <w:spacing w:val="-1"/>
          <w:sz w:val="32"/>
          <w:szCs w:val="32"/>
        </w:rPr>
      </w:pPr>
      <w:r>
        <w:rPr>
          <w:rFonts w:hint="eastAsia" w:ascii="宋体" w:hAnsi="宋体" w:cs="宋体"/>
          <w:color w:val="auto"/>
          <w:spacing w:val="-1"/>
          <w:sz w:val="32"/>
          <w:szCs w:val="32"/>
        </w:rPr>
        <w:t>第二节 评标报告</w:t>
      </w:r>
    </w:p>
    <w:p w14:paraId="27969783">
      <w:pPr>
        <w:pStyle w:val="77"/>
        <w:ind w:firstLine="420"/>
        <w:rPr>
          <w:color w:val="auto"/>
        </w:rPr>
      </w:pPr>
      <w:r>
        <w:rPr>
          <w:rFonts w:hint="eastAsia"/>
          <w:color w:val="auto"/>
        </w:rPr>
        <w:t>1.成交标准</w:t>
      </w:r>
    </w:p>
    <w:p w14:paraId="43F175FF">
      <w:pPr>
        <w:pStyle w:val="77"/>
        <w:ind w:firstLine="420"/>
        <w:rPr>
          <w:color w:val="auto"/>
        </w:rPr>
      </w:pPr>
      <w:r>
        <w:rPr>
          <w:rFonts w:hint="eastAsia"/>
          <w:color w:val="auto"/>
        </w:rPr>
        <w:t xml:space="preserve">由磋商小组根据综合评分情况，按照评审得分由高到低顺序推荐 3 名以上成交候选供应商, 并在线编写电子评审报告。符合本章第一节第 5.3 条情形的，可以推荐 2 家成交候选供应商。评 审得分相同的，按照最后报价(不计算价格折扣) 由低到高的顺序推荐。评审得分且最后报价 </w:t>
      </w:r>
      <w:r>
        <w:rPr>
          <w:rFonts w:hint="eastAsia"/>
          <w:color w:val="auto"/>
        </w:rPr>
        <w:tab/>
      </w:r>
      <w:r>
        <w:rPr>
          <w:rFonts w:hint="eastAsia"/>
          <w:color w:val="auto"/>
        </w:rPr>
        <w:t>(不计算价格折扣) 相同的，按照技术指标优劣顺序推荐 (按技术得分由高到低排序，技术得 分相同的按照服务需求偏离分由高到低排序)。评审得分、最后报价(不计算价格折扣)、 技术 得分、服务需求偏离分均相同的，由磋商小组随机抽取推荐。</w:t>
      </w:r>
    </w:p>
    <w:p w14:paraId="768B3A1A">
      <w:pPr>
        <w:pStyle w:val="77"/>
        <w:ind w:firstLine="420"/>
        <w:rPr>
          <w:color w:val="auto"/>
        </w:rPr>
      </w:pPr>
      <w:r>
        <w:rPr>
          <w:rFonts w:hint="eastAsia"/>
          <w:color w:val="auto"/>
        </w:rPr>
        <w:t>2.评标争议事项处理</w:t>
      </w:r>
    </w:p>
    <w:p w14:paraId="036539FA">
      <w:pPr>
        <w:pStyle w:val="77"/>
        <w:ind w:firstLine="420"/>
        <w:rPr>
          <w:color w:val="auto"/>
        </w:rPr>
      </w:pPr>
      <w:r>
        <w:rPr>
          <w:rFonts w:hint="eastAsia"/>
          <w:color w:val="auto"/>
        </w:rPr>
        <w:t>磋商小组成员对需要共同认定的事项存在争议的，应当按照少数服从多数的原则作出结论 持不同意见的磋商小组成员应当在评标报告上签署不同意见及理由， 否则视为同意评标报告。</w:t>
      </w:r>
    </w:p>
    <w:p w14:paraId="5EBD8EE3">
      <w:pPr>
        <w:spacing w:before="1" w:line="360" w:lineRule="auto"/>
        <w:ind w:left="2538"/>
        <w:rPr>
          <w:rFonts w:ascii="宋体" w:hAnsi="宋体" w:cs="宋体"/>
          <w:color w:val="auto"/>
          <w:spacing w:val="-1"/>
          <w:szCs w:val="21"/>
        </w:rPr>
      </w:pPr>
    </w:p>
    <w:p w14:paraId="16C9D4FA">
      <w:pPr>
        <w:spacing w:before="104" w:line="360" w:lineRule="auto"/>
        <w:jc w:val="center"/>
        <w:outlineLvl w:val="1"/>
        <w:rPr>
          <w:rFonts w:ascii="宋体" w:hAnsi="宋体" w:cs="宋体"/>
          <w:color w:val="auto"/>
          <w:spacing w:val="-1"/>
          <w:sz w:val="32"/>
          <w:szCs w:val="32"/>
        </w:rPr>
      </w:pPr>
      <w:r>
        <w:rPr>
          <w:rFonts w:hint="eastAsia" w:ascii="宋体" w:hAnsi="宋体" w:cs="宋体"/>
          <w:color w:val="auto"/>
          <w:spacing w:val="-1"/>
          <w:sz w:val="32"/>
          <w:szCs w:val="32"/>
        </w:rPr>
        <w:t>第三节 评审过程的保密与录像</w:t>
      </w:r>
    </w:p>
    <w:p w14:paraId="7204936C">
      <w:pPr>
        <w:pStyle w:val="77"/>
        <w:ind w:firstLine="420"/>
        <w:rPr>
          <w:color w:val="auto"/>
        </w:rPr>
      </w:pPr>
      <w:r>
        <w:rPr>
          <w:rFonts w:hint="eastAsia"/>
          <w:color w:val="auto"/>
        </w:rPr>
        <w:t>1.保密。</w:t>
      </w:r>
    </w:p>
    <w:p w14:paraId="3DEDB848">
      <w:pPr>
        <w:pStyle w:val="77"/>
        <w:ind w:firstLine="420"/>
        <w:rPr>
          <w:color w:val="auto"/>
        </w:rPr>
      </w:pPr>
      <w:r>
        <w:rPr>
          <w:rFonts w:hint="eastAsia"/>
          <w:color w:val="auto"/>
        </w:rPr>
        <w:t>评审活动在严格保密的情况下进行。评审过程中凡是与采购响应文件评审和比较、中标成交供应商推荐等评审有关的情况，以及涉及国家秘密和商业秘密等信息，评审委员会成员、采购 人和采购机构工作人员、相关监督人员等与评审有关的人员应当予以保密。</w:t>
      </w:r>
    </w:p>
    <w:p w14:paraId="4E823636">
      <w:pPr>
        <w:pStyle w:val="77"/>
        <w:ind w:firstLine="420"/>
        <w:rPr>
          <w:color w:val="auto"/>
        </w:rPr>
      </w:pPr>
      <w:r>
        <w:rPr>
          <w:rFonts w:hint="eastAsia"/>
          <w:color w:val="auto"/>
        </w:rPr>
        <w:t>2.录音录像。</w:t>
      </w:r>
    </w:p>
    <w:p w14:paraId="6A1EEA87">
      <w:pPr>
        <w:pStyle w:val="77"/>
        <w:ind w:firstLine="420"/>
        <w:rPr>
          <w:color w:val="auto"/>
        </w:rPr>
      </w:pPr>
      <w:r>
        <w:rPr>
          <w:rFonts w:hint="eastAsia"/>
          <w:color w:val="auto"/>
        </w:rPr>
        <w:t>采购代理机构对评审工作现场及操作屏幕进行全过程录音录像，录音录像资料作为采购项目文件随其他文件一并存档。</w:t>
      </w:r>
    </w:p>
    <w:p w14:paraId="7E0688F7">
      <w:pPr>
        <w:spacing w:line="360" w:lineRule="auto"/>
        <w:rPr>
          <w:rFonts w:ascii="宋体" w:hAnsi="宋体" w:cs="宋体"/>
          <w:color w:val="auto"/>
          <w:szCs w:val="21"/>
        </w:rPr>
        <w:sectPr>
          <w:pgSz w:w="11905" w:h="16838"/>
          <w:pgMar w:top="1417" w:right="1134" w:bottom="1417" w:left="1100" w:header="703" w:footer="703" w:gutter="0"/>
          <w:cols w:space="720" w:num="1"/>
        </w:sectPr>
      </w:pPr>
    </w:p>
    <w:p w14:paraId="388F3A26">
      <w:pPr>
        <w:spacing w:line="360" w:lineRule="auto"/>
        <w:rPr>
          <w:rFonts w:ascii="宋体" w:hAnsi="宋体" w:cs="宋体"/>
          <w:color w:val="auto"/>
        </w:rPr>
      </w:pPr>
    </w:p>
    <w:p w14:paraId="5FBBC752">
      <w:pPr>
        <w:spacing w:line="360" w:lineRule="auto"/>
        <w:rPr>
          <w:rFonts w:ascii="宋体" w:hAnsi="宋体" w:cs="宋体"/>
          <w:color w:val="auto"/>
        </w:rPr>
      </w:pPr>
    </w:p>
    <w:p w14:paraId="19EF8966">
      <w:pPr>
        <w:spacing w:line="360" w:lineRule="auto"/>
        <w:rPr>
          <w:rFonts w:ascii="宋体" w:hAnsi="宋体" w:cs="宋体"/>
          <w:color w:val="auto"/>
        </w:rPr>
      </w:pPr>
    </w:p>
    <w:p w14:paraId="474B0E62">
      <w:pPr>
        <w:spacing w:line="360" w:lineRule="auto"/>
        <w:rPr>
          <w:rFonts w:ascii="宋体" w:hAnsi="宋体" w:cs="宋体"/>
          <w:color w:val="auto"/>
        </w:rPr>
      </w:pPr>
    </w:p>
    <w:p w14:paraId="17BCFAB4">
      <w:pPr>
        <w:spacing w:line="360" w:lineRule="auto"/>
        <w:rPr>
          <w:rFonts w:ascii="宋体" w:hAnsi="宋体" w:cs="宋体"/>
          <w:color w:val="auto"/>
        </w:rPr>
      </w:pPr>
    </w:p>
    <w:p w14:paraId="4BFCF71F">
      <w:pPr>
        <w:spacing w:line="360" w:lineRule="auto"/>
        <w:rPr>
          <w:rFonts w:ascii="宋体" w:hAnsi="宋体" w:cs="宋体"/>
          <w:color w:val="auto"/>
        </w:rPr>
      </w:pPr>
    </w:p>
    <w:p w14:paraId="21E52E31">
      <w:pPr>
        <w:spacing w:line="360" w:lineRule="auto"/>
        <w:rPr>
          <w:rFonts w:ascii="宋体" w:hAnsi="宋体" w:cs="宋体"/>
          <w:color w:val="auto"/>
        </w:rPr>
      </w:pPr>
    </w:p>
    <w:p w14:paraId="0CA7A5E2">
      <w:pPr>
        <w:spacing w:before="143" w:line="360" w:lineRule="auto"/>
        <w:jc w:val="center"/>
        <w:outlineLvl w:val="0"/>
        <w:rPr>
          <w:rFonts w:ascii="宋体" w:hAnsi="宋体" w:cs="宋体"/>
          <w:color w:val="auto"/>
          <w:sz w:val="44"/>
          <w:szCs w:val="44"/>
        </w:rPr>
      </w:pPr>
      <w:bookmarkStart w:id="14" w:name="_Toc27387"/>
      <w:r>
        <w:rPr>
          <w:rFonts w:hint="eastAsia" w:ascii="宋体" w:hAnsi="宋体" w:cs="宋体"/>
          <w:color w:val="auto"/>
          <w:spacing w:val="-20"/>
          <w:sz w:val="44"/>
          <w:szCs w:val="44"/>
        </w:rPr>
        <w:t>第</w:t>
      </w:r>
      <w:r>
        <w:rPr>
          <w:rFonts w:hint="eastAsia" w:ascii="宋体" w:hAnsi="宋体" w:cs="宋体"/>
          <w:color w:val="auto"/>
          <w:spacing w:val="-12"/>
          <w:sz w:val="44"/>
          <w:szCs w:val="44"/>
        </w:rPr>
        <w:t>五章 响应文件格式</w:t>
      </w:r>
      <w:bookmarkEnd w:id="14"/>
    </w:p>
    <w:p w14:paraId="4CB3540C">
      <w:pPr>
        <w:spacing w:line="360" w:lineRule="auto"/>
        <w:rPr>
          <w:rFonts w:ascii="宋体" w:hAnsi="宋体" w:cs="宋体"/>
          <w:color w:val="auto"/>
        </w:rPr>
        <w:sectPr>
          <w:pgSz w:w="11905" w:h="16838"/>
          <w:pgMar w:top="1417" w:right="1134" w:bottom="1417" w:left="1100" w:header="703" w:footer="703" w:gutter="0"/>
          <w:cols w:space="720" w:num="1"/>
        </w:sectPr>
      </w:pPr>
    </w:p>
    <w:p w14:paraId="2C10856B">
      <w:pPr>
        <w:spacing w:line="360" w:lineRule="auto"/>
        <w:rPr>
          <w:rFonts w:ascii="宋体" w:hAnsi="宋体" w:cs="宋体"/>
          <w:color w:val="auto"/>
        </w:rPr>
      </w:pPr>
    </w:p>
    <w:p w14:paraId="0BE0B54C">
      <w:pPr>
        <w:spacing w:line="360" w:lineRule="auto"/>
        <w:rPr>
          <w:rFonts w:ascii="宋体" w:hAnsi="宋体" w:cs="宋体"/>
          <w:color w:val="auto"/>
        </w:rPr>
      </w:pPr>
    </w:p>
    <w:p w14:paraId="4EDE64A6">
      <w:pPr>
        <w:spacing w:before="104" w:line="360" w:lineRule="auto"/>
        <w:jc w:val="center"/>
        <w:outlineLvl w:val="1"/>
        <w:rPr>
          <w:rFonts w:ascii="宋体" w:hAnsi="宋体" w:cs="宋体"/>
          <w:color w:val="auto"/>
          <w:sz w:val="32"/>
          <w:szCs w:val="32"/>
        </w:rPr>
      </w:pPr>
      <w:r>
        <w:rPr>
          <w:rFonts w:hint="eastAsia" w:ascii="宋体" w:hAnsi="宋体" w:cs="宋体"/>
          <w:color w:val="auto"/>
          <w:spacing w:val="-2"/>
          <w:sz w:val="32"/>
          <w:szCs w:val="32"/>
        </w:rPr>
        <w:t>第一节 封</w:t>
      </w:r>
      <w:r>
        <w:rPr>
          <w:rFonts w:hint="eastAsia" w:ascii="宋体" w:hAnsi="宋体" w:cs="宋体"/>
          <w:color w:val="auto"/>
          <w:spacing w:val="-1"/>
          <w:sz w:val="32"/>
          <w:szCs w:val="32"/>
        </w:rPr>
        <w:t>面格式</w:t>
      </w:r>
    </w:p>
    <w:p w14:paraId="6E717DC3">
      <w:pPr>
        <w:spacing w:line="360" w:lineRule="auto"/>
        <w:rPr>
          <w:rFonts w:ascii="宋体" w:hAnsi="宋体" w:cs="宋体"/>
          <w:color w:val="auto"/>
        </w:rPr>
      </w:pPr>
    </w:p>
    <w:p w14:paraId="40C53D69">
      <w:pPr>
        <w:spacing w:line="360" w:lineRule="auto"/>
        <w:rPr>
          <w:rFonts w:ascii="宋体" w:hAnsi="宋体" w:cs="宋体"/>
          <w:color w:val="auto"/>
        </w:rPr>
      </w:pPr>
    </w:p>
    <w:p w14:paraId="2E87F871">
      <w:pPr>
        <w:spacing w:line="360" w:lineRule="auto"/>
        <w:rPr>
          <w:rFonts w:ascii="宋体" w:hAnsi="宋体" w:cs="宋体"/>
          <w:color w:val="auto"/>
        </w:rPr>
      </w:pPr>
    </w:p>
    <w:p w14:paraId="21DD5BE6">
      <w:pPr>
        <w:spacing w:line="360" w:lineRule="auto"/>
        <w:rPr>
          <w:rFonts w:ascii="宋体" w:hAnsi="宋体" w:cs="宋体"/>
          <w:color w:val="auto"/>
        </w:rPr>
      </w:pPr>
    </w:p>
    <w:p w14:paraId="56C27390">
      <w:pPr>
        <w:spacing w:before="143" w:line="360" w:lineRule="auto"/>
        <w:jc w:val="center"/>
        <w:rPr>
          <w:rFonts w:ascii="宋体" w:hAnsi="宋体" w:cs="宋体"/>
          <w:color w:val="auto"/>
          <w:sz w:val="44"/>
          <w:szCs w:val="44"/>
        </w:rPr>
      </w:pPr>
      <w:r>
        <w:rPr>
          <w:rFonts w:hint="eastAsia" w:ascii="宋体" w:hAnsi="宋体" w:cs="宋体"/>
          <w:color w:val="auto"/>
          <w:spacing w:val="-2"/>
          <w:sz w:val="44"/>
          <w:szCs w:val="44"/>
        </w:rPr>
        <w:t xml:space="preserve">响  应 </w:t>
      </w:r>
      <w:r>
        <w:rPr>
          <w:rFonts w:hint="eastAsia" w:ascii="宋体" w:hAnsi="宋体" w:cs="宋体"/>
          <w:color w:val="auto"/>
          <w:spacing w:val="-1"/>
          <w:sz w:val="44"/>
          <w:szCs w:val="44"/>
        </w:rPr>
        <w:t xml:space="preserve"> 文  件</w:t>
      </w:r>
    </w:p>
    <w:p w14:paraId="044B8E76">
      <w:pPr>
        <w:spacing w:line="360" w:lineRule="auto"/>
        <w:rPr>
          <w:rFonts w:ascii="宋体" w:hAnsi="宋体" w:cs="宋体"/>
          <w:color w:val="auto"/>
        </w:rPr>
      </w:pPr>
    </w:p>
    <w:p w14:paraId="34A69FA5">
      <w:pPr>
        <w:spacing w:line="360" w:lineRule="auto"/>
        <w:rPr>
          <w:rFonts w:ascii="宋体" w:hAnsi="宋体" w:cs="宋体"/>
          <w:color w:val="auto"/>
        </w:rPr>
      </w:pPr>
    </w:p>
    <w:p w14:paraId="65A58F87">
      <w:pPr>
        <w:spacing w:line="360" w:lineRule="auto"/>
        <w:rPr>
          <w:rFonts w:ascii="宋体" w:hAnsi="宋体" w:cs="宋体"/>
          <w:color w:val="auto"/>
        </w:rPr>
      </w:pPr>
    </w:p>
    <w:p w14:paraId="253E5A10">
      <w:pPr>
        <w:spacing w:line="360" w:lineRule="auto"/>
        <w:rPr>
          <w:rFonts w:ascii="宋体" w:hAnsi="宋体" w:cs="宋体"/>
          <w:color w:val="auto"/>
        </w:rPr>
      </w:pPr>
    </w:p>
    <w:p w14:paraId="6C0D1FBA">
      <w:pPr>
        <w:spacing w:before="104" w:line="360" w:lineRule="auto"/>
        <w:ind w:left="655"/>
        <w:rPr>
          <w:rFonts w:ascii="宋体" w:hAnsi="宋体" w:cs="宋体"/>
          <w:color w:val="auto"/>
          <w:sz w:val="32"/>
          <w:szCs w:val="32"/>
        </w:rPr>
      </w:pPr>
      <w:r>
        <w:rPr>
          <w:rFonts w:hint="eastAsia" w:ascii="宋体" w:hAnsi="宋体" w:cs="宋体"/>
          <w:color w:val="auto"/>
          <w:spacing w:val="-12"/>
          <w:position w:val="43"/>
          <w:sz w:val="32"/>
          <w:szCs w:val="32"/>
        </w:rPr>
        <w:t>项</w:t>
      </w:r>
      <w:r>
        <w:rPr>
          <w:rFonts w:hint="eastAsia" w:ascii="宋体" w:hAnsi="宋体" w:cs="宋体"/>
          <w:color w:val="auto"/>
          <w:spacing w:val="-9"/>
          <w:position w:val="43"/>
          <w:sz w:val="32"/>
          <w:szCs w:val="32"/>
        </w:rPr>
        <w:t>目名称：移动流量与短信租用服务采购</w:t>
      </w:r>
    </w:p>
    <w:p w14:paraId="29D8D5EA">
      <w:pPr>
        <w:spacing w:before="1" w:line="360" w:lineRule="auto"/>
        <w:ind w:left="655"/>
        <w:rPr>
          <w:rFonts w:hint="eastAsia" w:ascii="宋体" w:hAnsi="宋体" w:eastAsia="宋体" w:cs="宋体"/>
          <w:color w:val="auto"/>
          <w:sz w:val="32"/>
          <w:szCs w:val="32"/>
          <w:lang w:eastAsia="zh-CN"/>
        </w:rPr>
      </w:pPr>
      <w:r>
        <w:rPr>
          <w:rFonts w:hint="eastAsia" w:ascii="宋体" w:hAnsi="宋体" w:cs="宋体"/>
          <w:color w:val="auto"/>
          <w:spacing w:val="-12"/>
          <w:sz w:val="32"/>
          <w:szCs w:val="32"/>
        </w:rPr>
        <w:t>项</w:t>
      </w:r>
      <w:r>
        <w:rPr>
          <w:rFonts w:hint="eastAsia" w:ascii="宋体" w:hAnsi="宋体" w:cs="宋体"/>
          <w:color w:val="auto"/>
          <w:spacing w:val="-9"/>
          <w:sz w:val="32"/>
          <w:szCs w:val="32"/>
        </w:rPr>
        <w:t>目编号：</w:t>
      </w:r>
      <w:r>
        <w:rPr>
          <w:rFonts w:hint="eastAsia" w:ascii="宋体" w:hAnsi="宋体" w:cs="宋体"/>
          <w:color w:val="auto"/>
          <w:spacing w:val="-9"/>
          <w:sz w:val="32"/>
          <w:szCs w:val="32"/>
          <w:lang w:eastAsia="zh-CN"/>
        </w:rPr>
        <w:t>NNZC2024-C3-991810-GXJH</w:t>
      </w:r>
    </w:p>
    <w:p w14:paraId="6EFEDB22">
      <w:pPr>
        <w:spacing w:line="360" w:lineRule="auto"/>
        <w:rPr>
          <w:rFonts w:ascii="宋体" w:hAnsi="宋体" w:cs="宋体"/>
          <w:color w:val="auto"/>
        </w:rPr>
      </w:pPr>
    </w:p>
    <w:p w14:paraId="1121A35B">
      <w:pPr>
        <w:spacing w:before="105" w:line="360" w:lineRule="auto"/>
        <w:ind w:left="654"/>
        <w:rPr>
          <w:rFonts w:ascii="宋体" w:hAnsi="宋体" w:cs="宋体"/>
          <w:color w:val="auto"/>
          <w:sz w:val="32"/>
          <w:szCs w:val="32"/>
        </w:rPr>
      </w:pPr>
      <w:r>
        <w:rPr>
          <w:rFonts w:hint="eastAsia" w:ascii="宋体" w:hAnsi="宋体" w:cs="宋体"/>
          <w:color w:val="auto"/>
          <w:spacing w:val="4"/>
          <w:sz w:val="32"/>
          <w:szCs w:val="32"/>
        </w:rPr>
        <w:t>所竞分标(如有则填</w:t>
      </w:r>
      <w:r>
        <w:rPr>
          <w:rFonts w:hint="eastAsia" w:ascii="宋体" w:hAnsi="宋体" w:cs="宋体"/>
          <w:color w:val="auto"/>
          <w:spacing w:val="3"/>
          <w:sz w:val="32"/>
          <w:szCs w:val="32"/>
        </w:rPr>
        <w:t>写</w:t>
      </w:r>
      <w:r>
        <w:rPr>
          <w:rFonts w:hint="eastAsia" w:ascii="宋体" w:hAnsi="宋体" w:cs="宋体"/>
          <w:color w:val="auto"/>
          <w:spacing w:val="2"/>
          <w:sz w:val="32"/>
          <w:szCs w:val="32"/>
        </w:rPr>
        <w:t>，无分标时填写“无”或者留空) ：</w:t>
      </w:r>
      <w:r>
        <w:rPr>
          <w:rFonts w:hint="eastAsia" w:ascii="宋体" w:hAnsi="宋体" w:cs="宋体"/>
          <w:color w:val="auto"/>
          <w:sz w:val="32"/>
          <w:szCs w:val="32"/>
        </w:rPr>
        <w:t xml:space="preserve"> </w:t>
      </w:r>
    </w:p>
    <w:p w14:paraId="53860073">
      <w:pPr>
        <w:spacing w:before="105" w:line="360" w:lineRule="auto"/>
        <w:ind w:left="654"/>
        <w:rPr>
          <w:rFonts w:ascii="宋体" w:hAnsi="宋体" w:cs="宋体"/>
          <w:color w:val="auto"/>
          <w:sz w:val="32"/>
          <w:szCs w:val="32"/>
        </w:rPr>
      </w:pPr>
      <w:r>
        <w:rPr>
          <w:rFonts w:hint="eastAsia" w:ascii="宋体" w:hAnsi="宋体" w:cs="宋体"/>
          <w:color w:val="auto"/>
          <w:spacing w:val="-12"/>
          <w:sz w:val="32"/>
          <w:szCs w:val="32"/>
        </w:rPr>
        <w:t>供应商名称：</w:t>
      </w:r>
    </w:p>
    <w:p w14:paraId="5B538026">
      <w:pPr>
        <w:spacing w:before="3" w:line="360" w:lineRule="auto"/>
        <w:ind w:left="3580" w:right="1562" w:hanging="1676"/>
        <w:rPr>
          <w:rFonts w:ascii="宋体" w:hAnsi="宋体" w:cs="宋体"/>
          <w:color w:val="auto"/>
          <w:sz w:val="32"/>
          <w:szCs w:val="32"/>
        </w:rPr>
      </w:pPr>
      <w:r>
        <w:rPr>
          <w:rFonts w:hint="eastAsia" w:ascii="宋体" w:hAnsi="宋体" w:cs="宋体"/>
          <w:color w:val="auto"/>
          <w:spacing w:val="-2"/>
          <w:sz w:val="32"/>
          <w:szCs w:val="32"/>
        </w:rPr>
        <w:t>首次</w:t>
      </w:r>
      <w:r>
        <w:rPr>
          <w:rFonts w:hint="eastAsia" w:ascii="宋体" w:hAnsi="宋体" w:cs="宋体"/>
          <w:color w:val="auto"/>
          <w:spacing w:val="-1"/>
          <w:sz w:val="32"/>
          <w:szCs w:val="32"/>
        </w:rPr>
        <w:t>响应文件提交截止时间前不得解密</w:t>
      </w:r>
      <w:r>
        <w:rPr>
          <w:rFonts w:hint="eastAsia" w:ascii="宋体" w:hAnsi="宋体" w:cs="宋体"/>
          <w:color w:val="auto"/>
          <w:sz w:val="32"/>
          <w:szCs w:val="32"/>
        </w:rPr>
        <w:t xml:space="preserve"> </w:t>
      </w:r>
    </w:p>
    <w:p w14:paraId="377863A2">
      <w:pPr>
        <w:spacing w:before="3" w:line="360" w:lineRule="auto"/>
        <w:ind w:left="3580" w:right="1562" w:hanging="1676"/>
        <w:rPr>
          <w:rFonts w:ascii="宋体" w:hAnsi="宋体" w:cs="宋体"/>
          <w:color w:val="auto"/>
          <w:sz w:val="32"/>
          <w:szCs w:val="32"/>
        </w:rPr>
      </w:pPr>
      <w:r>
        <w:rPr>
          <w:rFonts w:hint="eastAsia" w:ascii="宋体" w:hAnsi="宋体" w:cs="宋体"/>
          <w:color w:val="auto"/>
          <w:spacing w:val="5"/>
          <w:sz w:val="32"/>
          <w:szCs w:val="32"/>
        </w:rPr>
        <w:t xml:space="preserve">年    月    </w:t>
      </w:r>
      <w:r>
        <w:rPr>
          <w:rFonts w:hint="eastAsia" w:ascii="宋体" w:hAnsi="宋体" w:cs="宋体"/>
          <w:color w:val="auto"/>
          <w:spacing w:val="3"/>
          <w:sz w:val="32"/>
          <w:szCs w:val="32"/>
        </w:rPr>
        <w:t>日</w:t>
      </w:r>
    </w:p>
    <w:p w14:paraId="0780B844">
      <w:pPr>
        <w:spacing w:line="360" w:lineRule="auto"/>
        <w:rPr>
          <w:rFonts w:ascii="宋体" w:hAnsi="宋体" w:cs="宋体"/>
          <w:color w:val="auto"/>
        </w:rPr>
        <w:sectPr>
          <w:pgSz w:w="11905" w:h="16838"/>
          <w:pgMar w:top="1417" w:right="1134" w:bottom="1417" w:left="1100" w:header="703" w:footer="703" w:gutter="0"/>
          <w:cols w:space="720" w:num="1"/>
        </w:sectPr>
      </w:pPr>
    </w:p>
    <w:p w14:paraId="2F0B3128">
      <w:pPr>
        <w:spacing w:line="360" w:lineRule="auto"/>
        <w:rPr>
          <w:rFonts w:ascii="宋体" w:hAnsi="宋体" w:cs="宋体"/>
          <w:color w:val="auto"/>
        </w:rPr>
      </w:pPr>
    </w:p>
    <w:p w14:paraId="315397BE">
      <w:pPr>
        <w:spacing w:line="360" w:lineRule="auto"/>
        <w:rPr>
          <w:rFonts w:ascii="宋体" w:hAnsi="宋体" w:cs="宋体"/>
          <w:color w:val="auto"/>
        </w:rPr>
      </w:pPr>
    </w:p>
    <w:p w14:paraId="22B5BC31">
      <w:pPr>
        <w:spacing w:before="104" w:line="360" w:lineRule="auto"/>
        <w:jc w:val="center"/>
        <w:outlineLvl w:val="1"/>
        <w:rPr>
          <w:rFonts w:ascii="宋体" w:hAnsi="宋体" w:cs="宋体"/>
          <w:color w:val="auto"/>
          <w:sz w:val="32"/>
          <w:szCs w:val="32"/>
        </w:rPr>
      </w:pPr>
      <w:r>
        <w:rPr>
          <w:rFonts w:hint="eastAsia" w:ascii="宋体" w:hAnsi="宋体" w:cs="宋体"/>
          <w:color w:val="auto"/>
          <w:spacing w:val="-2"/>
          <w:sz w:val="32"/>
          <w:szCs w:val="32"/>
        </w:rPr>
        <w:t>第</w:t>
      </w:r>
      <w:r>
        <w:rPr>
          <w:rFonts w:hint="eastAsia" w:ascii="宋体" w:hAnsi="宋体" w:cs="宋体"/>
          <w:color w:val="auto"/>
          <w:spacing w:val="-1"/>
          <w:sz w:val="32"/>
          <w:szCs w:val="32"/>
        </w:rPr>
        <w:t>二节 资格证明文件格式</w:t>
      </w:r>
    </w:p>
    <w:p w14:paraId="4DE615D4">
      <w:pPr>
        <w:spacing w:line="360" w:lineRule="auto"/>
        <w:rPr>
          <w:rFonts w:ascii="宋体" w:hAnsi="宋体" w:cs="宋体"/>
          <w:color w:val="auto"/>
        </w:rPr>
      </w:pPr>
    </w:p>
    <w:p w14:paraId="192A31C7">
      <w:pPr>
        <w:spacing w:before="68" w:line="360" w:lineRule="auto"/>
        <w:ind w:left="6250"/>
        <w:rPr>
          <w:rFonts w:ascii="宋体" w:hAnsi="宋体" w:cs="宋体"/>
          <w:color w:val="auto"/>
          <w:szCs w:val="21"/>
        </w:rPr>
      </w:pPr>
      <w:r>
        <w:rPr>
          <w:rFonts w:hint="eastAsia" w:ascii="宋体" w:hAnsi="宋体" w:cs="宋体"/>
          <w:color w:val="auto"/>
          <w:spacing w:val="-2"/>
          <w:szCs w:val="21"/>
        </w:rPr>
        <w:t>全</w:t>
      </w:r>
      <w:r>
        <w:rPr>
          <w:rFonts w:hint="eastAsia" w:ascii="宋体" w:hAnsi="宋体" w:cs="宋体"/>
          <w:color w:val="auto"/>
          <w:spacing w:val="-1"/>
          <w:szCs w:val="21"/>
        </w:rPr>
        <w:t>流程电子文件</w:t>
      </w:r>
    </w:p>
    <w:p w14:paraId="7B42D9EA">
      <w:pPr>
        <w:spacing w:line="360" w:lineRule="auto"/>
        <w:rPr>
          <w:rFonts w:ascii="宋体" w:hAnsi="宋体" w:cs="宋体"/>
          <w:color w:val="auto"/>
        </w:rPr>
      </w:pPr>
    </w:p>
    <w:p w14:paraId="22B88B8D">
      <w:pPr>
        <w:spacing w:line="360" w:lineRule="auto"/>
        <w:rPr>
          <w:rFonts w:ascii="宋体" w:hAnsi="宋体" w:cs="宋体"/>
          <w:color w:val="auto"/>
        </w:rPr>
      </w:pPr>
    </w:p>
    <w:p w14:paraId="3AD9B10F">
      <w:pPr>
        <w:spacing w:before="143" w:line="360" w:lineRule="auto"/>
        <w:jc w:val="center"/>
        <w:rPr>
          <w:rFonts w:ascii="宋体" w:hAnsi="宋体" w:cs="宋体"/>
          <w:color w:val="auto"/>
          <w:sz w:val="44"/>
          <w:szCs w:val="44"/>
        </w:rPr>
      </w:pPr>
      <w:r>
        <w:rPr>
          <w:rFonts w:hint="eastAsia" w:ascii="宋体" w:hAnsi="宋体" w:cs="宋体"/>
          <w:color w:val="auto"/>
          <w:spacing w:val="7"/>
          <w:sz w:val="44"/>
          <w:szCs w:val="44"/>
        </w:rPr>
        <w:t>资  格  证  明  文  件(封面</w:t>
      </w:r>
      <w:r>
        <w:rPr>
          <w:rFonts w:hint="eastAsia" w:ascii="宋体" w:hAnsi="宋体" w:cs="宋体"/>
          <w:color w:val="auto"/>
          <w:spacing w:val="6"/>
          <w:sz w:val="44"/>
          <w:szCs w:val="44"/>
        </w:rPr>
        <w:t>)</w:t>
      </w:r>
    </w:p>
    <w:p w14:paraId="389252CD">
      <w:pPr>
        <w:spacing w:line="360" w:lineRule="auto"/>
        <w:rPr>
          <w:rFonts w:ascii="宋体" w:hAnsi="宋体" w:cs="宋体"/>
          <w:color w:val="auto"/>
        </w:rPr>
      </w:pPr>
    </w:p>
    <w:p w14:paraId="3DA56F5F">
      <w:pPr>
        <w:spacing w:line="360" w:lineRule="auto"/>
        <w:rPr>
          <w:rFonts w:ascii="宋体" w:hAnsi="宋体" w:cs="宋体"/>
          <w:color w:val="auto"/>
        </w:rPr>
      </w:pPr>
    </w:p>
    <w:p w14:paraId="45E4ECC6">
      <w:pPr>
        <w:spacing w:line="360" w:lineRule="auto"/>
        <w:rPr>
          <w:rFonts w:ascii="宋体" w:hAnsi="宋体" w:cs="宋体"/>
          <w:color w:val="auto"/>
        </w:rPr>
      </w:pPr>
    </w:p>
    <w:p w14:paraId="488E1E35">
      <w:pPr>
        <w:spacing w:line="360" w:lineRule="auto"/>
        <w:rPr>
          <w:rFonts w:ascii="宋体" w:hAnsi="宋体" w:cs="宋体"/>
          <w:color w:val="auto"/>
        </w:rPr>
      </w:pPr>
    </w:p>
    <w:p w14:paraId="523EC684">
      <w:pPr>
        <w:spacing w:line="360" w:lineRule="auto"/>
        <w:rPr>
          <w:rFonts w:ascii="宋体" w:hAnsi="宋体" w:cs="宋体"/>
          <w:color w:val="auto"/>
        </w:rPr>
      </w:pPr>
    </w:p>
    <w:p w14:paraId="223B5394">
      <w:pPr>
        <w:spacing w:line="360" w:lineRule="auto"/>
        <w:rPr>
          <w:rFonts w:ascii="宋体" w:hAnsi="宋体" w:cs="宋体"/>
          <w:color w:val="auto"/>
        </w:rPr>
      </w:pPr>
    </w:p>
    <w:p w14:paraId="77719869">
      <w:pPr>
        <w:spacing w:line="360" w:lineRule="auto"/>
        <w:rPr>
          <w:rFonts w:ascii="宋体" w:hAnsi="宋体" w:cs="宋体"/>
          <w:color w:val="auto"/>
        </w:rPr>
      </w:pPr>
    </w:p>
    <w:p w14:paraId="2934DEFD">
      <w:pPr>
        <w:spacing w:before="104" w:line="360" w:lineRule="auto"/>
        <w:ind w:left="655"/>
        <w:rPr>
          <w:rFonts w:ascii="宋体" w:hAnsi="宋体" w:cs="宋体"/>
          <w:color w:val="auto"/>
          <w:sz w:val="32"/>
          <w:szCs w:val="32"/>
        </w:rPr>
      </w:pPr>
      <w:r>
        <w:rPr>
          <w:rFonts w:hint="eastAsia" w:ascii="宋体" w:hAnsi="宋体" w:cs="宋体"/>
          <w:color w:val="auto"/>
          <w:spacing w:val="-12"/>
          <w:position w:val="43"/>
          <w:sz w:val="32"/>
          <w:szCs w:val="32"/>
        </w:rPr>
        <w:t>项</w:t>
      </w:r>
      <w:r>
        <w:rPr>
          <w:rFonts w:hint="eastAsia" w:ascii="宋体" w:hAnsi="宋体" w:cs="宋体"/>
          <w:color w:val="auto"/>
          <w:spacing w:val="-9"/>
          <w:position w:val="43"/>
          <w:sz w:val="32"/>
          <w:szCs w:val="32"/>
        </w:rPr>
        <w:t>目名称：移动流量与短信租用服务采购</w:t>
      </w:r>
    </w:p>
    <w:p w14:paraId="16533CE8">
      <w:pPr>
        <w:spacing w:before="105" w:line="360" w:lineRule="auto"/>
        <w:ind w:left="735"/>
        <w:rPr>
          <w:rFonts w:hint="eastAsia" w:ascii="宋体" w:hAnsi="宋体" w:eastAsia="宋体" w:cs="宋体"/>
          <w:color w:val="auto"/>
          <w:sz w:val="32"/>
          <w:szCs w:val="32"/>
          <w:lang w:eastAsia="zh-CN"/>
        </w:rPr>
      </w:pPr>
      <w:r>
        <w:rPr>
          <w:rFonts w:hint="eastAsia" w:ascii="宋体" w:hAnsi="宋体" w:cs="宋体"/>
          <w:color w:val="auto"/>
          <w:spacing w:val="-12"/>
          <w:sz w:val="32"/>
          <w:szCs w:val="32"/>
        </w:rPr>
        <w:t>项</w:t>
      </w:r>
      <w:r>
        <w:rPr>
          <w:rFonts w:hint="eastAsia" w:ascii="宋体" w:hAnsi="宋体" w:cs="宋体"/>
          <w:color w:val="auto"/>
          <w:spacing w:val="-9"/>
          <w:sz w:val="32"/>
          <w:szCs w:val="32"/>
        </w:rPr>
        <w:t>目编号：</w:t>
      </w:r>
      <w:r>
        <w:rPr>
          <w:rFonts w:hint="eastAsia" w:ascii="宋体" w:hAnsi="宋体" w:cs="宋体"/>
          <w:color w:val="auto"/>
          <w:spacing w:val="-9"/>
          <w:sz w:val="32"/>
          <w:szCs w:val="32"/>
          <w:lang w:eastAsia="zh-CN"/>
        </w:rPr>
        <w:t>NNZC2024-C3-991810-GXJH</w:t>
      </w:r>
    </w:p>
    <w:p w14:paraId="3B414E35">
      <w:pPr>
        <w:spacing w:line="360" w:lineRule="auto"/>
        <w:rPr>
          <w:rFonts w:ascii="宋体" w:hAnsi="宋体" w:cs="宋体"/>
          <w:color w:val="auto"/>
        </w:rPr>
      </w:pPr>
    </w:p>
    <w:p w14:paraId="361C362F">
      <w:pPr>
        <w:spacing w:before="105" w:line="360" w:lineRule="auto"/>
        <w:ind w:left="734"/>
        <w:rPr>
          <w:rFonts w:ascii="宋体" w:hAnsi="宋体" w:cs="宋体"/>
          <w:color w:val="auto"/>
          <w:sz w:val="32"/>
          <w:szCs w:val="32"/>
        </w:rPr>
      </w:pPr>
      <w:r>
        <w:rPr>
          <w:rFonts w:hint="eastAsia" w:ascii="宋体" w:hAnsi="宋体" w:cs="宋体"/>
          <w:color w:val="auto"/>
          <w:spacing w:val="4"/>
          <w:sz w:val="32"/>
          <w:szCs w:val="32"/>
        </w:rPr>
        <w:t>所竞分标(如有则填</w:t>
      </w:r>
      <w:r>
        <w:rPr>
          <w:rFonts w:hint="eastAsia" w:ascii="宋体" w:hAnsi="宋体" w:cs="宋体"/>
          <w:color w:val="auto"/>
          <w:spacing w:val="3"/>
          <w:sz w:val="32"/>
          <w:szCs w:val="32"/>
        </w:rPr>
        <w:t>写</w:t>
      </w:r>
      <w:r>
        <w:rPr>
          <w:rFonts w:hint="eastAsia" w:ascii="宋体" w:hAnsi="宋体" w:cs="宋体"/>
          <w:color w:val="auto"/>
          <w:spacing w:val="2"/>
          <w:sz w:val="32"/>
          <w:szCs w:val="32"/>
        </w:rPr>
        <w:t>，无分标时填写“无”或者留空) ：</w:t>
      </w:r>
      <w:r>
        <w:rPr>
          <w:rFonts w:hint="eastAsia" w:ascii="宋体" w:hAnsi="宋体" w:cs="宋体"/>
          <w:color w:val="auto"/>
          <w:sz w:val="32"/>
          <w:szCs w:val="32"/>
        </w:rPr>
        <w:t xml:space="preserve"> </w:t>
      </w:r>
    </w:p>
    <w:p w14:paraId="4BB9B5BF">
      <w:pPr>
        <w:spacing w:before="105" w:line="360" w:lineRule="auto"/>
        <w:ind w:left="734"/>
        <w:rPr>
          <w:rFonts w:ascii="宋体" w:hAnsi="宋体" w:cs="宋体"/>
          <w:color w:val="auto"/>
          <w:sz w:val="32"/>
          <w:szCs w:val="32"/>
        </w:rPr>
      </w:pPr>
      <w:r>
        <w:rPr>
          <w:rFonts w:hint="eastAsia" w:ascii="宋体" w:hAnsi="宋体" w:cs="宋体"/>
          <w:color w:val="auto"/>
          <w:spacing w:val="-12"/>
          <w:sz w:val="32"/>
          <w:szCs w:val="32"/>
        </w:rPr>
        <w:t>供应商名称：</w:t>
      </w:r>
    </w:p>
    <w:p w14:paraId="1C17BDB9">
      <w:pPr>
        <w:spacing w:line="360" w:lineRule="auto"/>
        <w:rPr>
          <w:rFonts w:ascii="宋体" w:hAnsi="宋体" w:cs="宋体"/>
          <w:color w:val="auto"/>
        </w:rPr>
      </w:pPr>
    </w:p>
    <w:p w14:paraId="20A2DB4A">
      <w:pPr>
        <w:spacing w:line="360" w:lineRule="auto"/>
        <w:rPr>
          <w:rFonts w:ascii="宋体" w:hAnsi="宋体" w:cs="宋体"/>
          <w:color w:val="auto"/>
        </w:rPr>
      </w:pPr>
    </w:p>
    <w:p w14:paraId="55B1BBB1">
      <w:pPr>
        <w:spacing w:line="360" w:lineRule="auto"/>
        <w:rPr>
          <w:rFonts w:ascii="宋体" w:hAnsi="宋体" w:cs="宋体"/>
          <w:color w:val="auto"/>
        </w:rPr>
      </w:pPr>
    </w:p>
    <w:p w14:paraId="2FA36BD6">
      <w:pPr>
        <w:spacing w:line="360" w:lineRule="auto"/>
        <w:rPr>
          <w:rFonts w:ascii="宋体" w:hAnsi="宋体" w:cs="宋体"/>
          <w:color w:val="auto"/>
        </w:rPr>
      </w:pPr>
    </w:p>
    <w:p w14:paraId="63F47C2A">
      <w:pPr>
        <w:spacing w:before="104" w:line="360" w:lineRule="auto"/>
        <w:ind w:left="3259"/>
        <w:rPr>
          <w:rFonts w:ascii="宋体" w:hAnsi="宋体" w:cs="宋体"/>
          <w:color w:val="auto"/>
          <w:sz w:val="32"/>
          <w:szCs w:val="32"/>
        </w:rPr>
      </w:pPr>
      <w:r>
        <w:rPr>
          <w:rFonts w:hint="eastAsia" w:ascii="宋体" w:hAnsi="宋体" w:cs="宋体"/>
          <w:color w:val="auto"/>
          <w:spacing w:val="5"/>
          <w:sz w:val="32"/>
          <w:szCs w:val="32"/>
        </w:rPr>
        <w:t xml:space="preserve">年    月    </w:t>
      </w:r>
      <w:r>
        <w:rPr>
          <w:rFonts w:hint="eastAsia" w:ascii="宋体" w:hAnsi="宋体" w:cs="宋体"/>
          <w:color w:val="auto"/>
          <w:spacing w:val="3"/>
          <w:sz w:val="32"/>
          <w:szCs w:val="32"/>
        </w:rPr>
        <w:t>日</w:t>
      </w:r>
    </w:p>
    <w:p w14:paraId="35F8B3D1">
      <w:pPr>
        <w:spacing w:line="360" w:lineRule="auto"/>
        <w:rPr>
          <w:rFonts w:ascii="宋体" w:hAnsi="宋体" w:cs="宋体"/>
          <w:color w:val="auto"/>
        </w:rPr>
        <w:sectPr>
          <w:pgSz w:w="11905" w:h="16838"/>
          <w:pgMar w:top="1417" w:right="1134" w:bottom="1417" w:left="1100" w:header="703" w:footer="703" w:gutter="0"/>
          <w:cols w:space="720" w:num="1"/>
        </w:sectPr>
      </w:pPr>
    </w:p>
    <w:p w14:paraId="100C310F">
      <w:pPr>
        <w:spacing w:line="360" w:lineRule="auto"/>
        <w:rPr>
          <w:rFonts w:ascii="宋体" w:hAnsi="宋体" w:cs="宋体"/>
          <w:color w:val="auto"/>
        </w:rPr>
      </w:pPr>
    </w:p>
    <w:p w14:paraId="51F4434A">
      <w:pPr>
        <w:spacing w:line="360" w:lineRule="auto"/>
        <w:rPr>
          <w:rFonts w:ascii="宋体" w:hAnsi="宋体" w:cs="宋体"/>
          <w:color w:val="auto"/>
        </w:rPr>
      </w:pPr>
    </w:p>
    <w:p w14:paraId="1FC6192D">
      <w:pPr>
        <w:spacing w:before="117" w:line="360" w:lineRule="auto"/>
        <w:ind w:left="2955"/>
        <w:rPr>
          <w:rFonts w:ascii="宋体" w:hAnsi="宋体" w:cs="宋体"/>
          <w:color w:val="auto"/>
          <w:spacing w:val="-3"/>
          <w:sz w:val="36"/>
          <w:szCs w:val="36"/>
        </w:rPr>
      </w:pPr>
      <w:r>
        <w:rPr>
          <w:rFonts w:hint="eastAsia" w:ascii="宋体" w:hAnsi="宋体" w:cs="宋体"/>
          <w:color w:val="auto"/>
          <w:spacing w:val="-5"/>
          <w:sz w:val="36"/>
          <w:szCs w:val="36"/>
        </w:rPr>
        <w:t>资</w:t>
      </w:r>
      <w:r>
        <w:rPr>
          <w:rFonts w:hint="eastAsia" w:ascii="宋体" w:hAnsi="宋体" w:cs="宋体"/>
          <w:color w:val="auto"/>
          <w:spacing w:val="-3"/>
          <w:sz w:val="36"/>
          <w:szCs w:val="36"/>
        </w:rPr>
        <w:t>格证明文件目录</w:t>
      </w:r>
    </w:p>
    <w:p w14:paraId="15EEADD0">
      <w:pPr>
        <w:pStyle w:val="2"/>
        <w:spacing w:line="360" w:lineRule="auto"/>
        <w:ind w:firstLine="560"/>
        <w:rPr>
          <w:rFonts w:eastAsia="宋体" w:cs="宋体"/>
          <w:color w:val="auto"/>
        </w:rPr>
      </w:pPr>
    </w:p>
    <w:p w14:paraId="113CDE60">
      <w:pPr>
        <w:spacing w:before="295" w:line="360" w:lineRule="auto"/>
        <w:ind w:left="26"/>
        <w:rPr>
          <w:rFonts w:ascii="宋体" w:hAnsi="宋体" w:cs="宋体"/>
          <w:color w:val="auto"/>
          <w:sz w:val="24"/>
        </w:rPr>
      </w:pPr>
      <w:r>
        <w:rPr>
          <w:rFonts w:hint="eastAsia" w:ascii="宋体" w:hAnsi="宋体" w:cs="宋体"/>
          <w:color w:val="auto"/>
          <w:spacing w:val="2"/>
          <w:sz w:val="24"/>
        </w:rPr>
        <w:t>一、营业执照 (或事业法人登记证</w:t>
      </w:r>
      <w:r>
        <w:rPr>
          <w:rFonts w:hint="eastAsia" w:ascii="宋体" w:hAnsi="宋体" w:cs="宋体"/>
          <w:color w:val="auto"/>
          <w:spacing w:val="1"/>
          <w:sz w:val="24"/>
        </w:rPr>
        <w:t>或其他工商等登记证明材料)复印件(供应商为自</w:t>
      </w:r>
    </w:p>
    <w:p w14:paraId="3463770C">
      <w:pPr>
        <w:spacing w:before="80" w:line="360" w:lineRule="auto"/>
        <w:ind w:left="22"/>
        <w:rPr>
          <w:rFonts w:ascii="宋体" w:hAnsi="宋体" w:cs="宋体"/>
          <w:color w:val="auto"/>
          <w:sz w:val="24"/>
        </w:rPr>
      </w:pPr>
      <w:r>
        <w:rPr>
          <w:rFonts w:hint="eastAsia" w:ascii="宋体" w:hAnsi="宋体" w:cs="宋体"/>
          <w:color w:val="auto"/>
          <w:spacing w:val="4"/>
          <w:sz w:val="24"/>
        </w:rPr>
        <w:t>然人的，须提供自然人的身</w:t>
      </w:r>
      <w:r>
        <w:rPr>
          <w:rFonts w:hint="eastAsia" w:ascii="宋体" w:hAnsi="宋体" w:cs="宋体"/>
          <w:color w:val="auto"/>
          <w:spacing w:val="3"/>
          <w:sz w:val="24"/>
        </w:rPr>
        <w:t>份</w:t>
      </w:r>
      <w:r>
        <w:rPr>
          <w:rFonts w:hint="eastAsia" w:ascii="宋体" w:hAnsi="宋体" w:cs="宋体"/>
          <w:color w:val="auto"/>
          <w:spacing w:val="2"/>
          <w:sz w:val="24"/>
        </w:rPr>
        <w:t>证明) …………………………………………(页码)</w:t>
      </w:r>
    </w:p>
    <w:p w14:paraId="25826D96">
      <w:pPr>
        <w:spacing w:before="77" w:line="360" w:lineRule="auto"/>
        <w:ind w:left="24"/>
        <w:rPr>
          <w:rFonts w:ascii="宋体" w:hAnsi="宋体" w:cs="宋体"/>
          <w:color w:val="auto"/>
          <w:sz w:val="24"/>
        </w:rPr>
      </w:pPr>
      <w:r>
        <w:rPr>
          <w:rFonts w:hint="eastAsia" w:ascii="宋体" w:hAnsi="宋体" w:cs="宋体"/>
          <w:color w:val="auto"/>
          <w:spacing w:val="-8"/>
          <w:sz w:val="24"/>
        </w:rPr>
        <w:t>二、符合参与</w:t>
      </w:r>
      <w:r>
        <w:rPr>
          <w:rFonts w:hint="eastAsia" w:ascii="宋体" w:hAnsi="宋体" w:cs="宋体"/>
          <w:color w:val="auto"/>
          <w:spacing w:val="-7"/>
          <w:sz w:val="24"/>
        </w:rPr>
        <w:t>政</w:t>
      </w:r>
      <w:r>
        <w:rPr>
          <w:rFonts w:hint="eastAsia" w:ascii="宋体" w:hAnsi="宋体" w:cs="宋体"/>
          <w:color w:val="auto"/>
          <w:spacing w:val="-4"/>
          <w:sz w:val="24"/>
        </w:rPr>
        <w:t>府采购活动的资格条件依法缴纳税收、社会保障资金等方面的材料…</w:t>
      </w:r>
    </w:p>
    <w:p w14:paraId="74C9F2DF">
      <w:pPr>
        <w:spacing w:before="295" w:line="360" w:lineRule="auto"/>
        <w:ind w:left="26"/>
        <w:rPr>
          <w:rFonts w:ascii="宋体" w:hAnsi="宋体" w:cs="宋体"/>
          <w:color w:val="auto"/>
          <w:spacing w:val="2"/>
          <w:sz w:val="24"/>
        </w:rPr>
      </w:pPr>
      <w:r>
        <w:rPr>
          <w:rFonts w:hint="eastAsia" w:ascii="宋体" w:hAnsi="宋体" w:cs="宋体"/>
          <w:color w:val="auto"/>
          <w:spacing w:val="2"/>
          <w:sz w:val="24"/>
        </w:rPr>
        <w:t>……………………………………………………………………………………(页码)</w:t>
      </w:r>
    </w:p>
    <w:p w14:paraId="23493227">
      <w:pPr>
        <w:spacing w:before="295" w:line="360" w:lineRule="auto"/>
        <w:ind w:left="26"/>
        <w:rPr>
          <w:rFonts w:ascii="宋体" w:hAnsi="宋体" w:cs="宋体"/>
          <w:color w:val="auto"/>
          <w:spacing w:val="2"/>
          <w:sz w:val="24"/>
        </w:rPr>
      </w:pPr>
      <w:r>
        <w:rPr>
          <w:rFonts w:hint="eastAsia" w:ascii="宋体" w:hAnsi="宋体" w:cs="宋体"/>
          <w:color w:val="auto"/>
          <w:spacing w:val="2"/>
          <w:sz w:val="24"/>
        </w:rPr>
        <w:t>三、财务状况报告方面的材料…………………………………………………(页码)</w:t>
      </w:r>
    </w:p>
    <w:p w14:paraId="134758DF">
      <w:pPr>
        <w:spacing w:before="295" w:line="360" w:lineRule="auto"/>
        <w:ind w:left="26"/>
        <w:rPr>
          <w:rFonts w:ascii="宋体" w:hAnsi="宋体" w:cs="宋体"/>
          <w:color w:val="auto"/>
          <w:spacing w:val="2"/>
          <w:sz w:val="24"/>
        </w:rPr>
      </w:pPr>
      <w:r>
        <w:rPr>
          <w:rFonts w:hint="eastAsia" w:ascii="宋体" w:hAnsi="宋体" w:cs="宋体"/>
          <w:color w:val="auto"/>
          <w:spacing w:val="2"/>
          <w:sz w:val="24"/>
        </w:rPr>
        <w:t>四、供应商直接控股股东信息…………………………………………………(页码)</w:t>
      </w:r>
    </w:p>
    <w:p w14:paraId="66002C85">
      <w:pPr>
        <w:spacing w:before="295" w:line="360" w:lineRule="auto"/>
        <w:ind w:left="26"/>
        <w:rPr>
          <w:rFonts w:ascii="宋体" w:hAnsi="宋体" w:cs="宋体"/>
          <w:color w:val="auto"/>
          <w:spacing w:val="2"/>
          <w:sz w:val="24"/>
        </w:rPr>
      </w:pPr>
      <w:r>
        <w:rPr>
          <w:rFonts w:hint="eastAsia" w:ascii="宋体" w:hAnsi="宋体" w:cs="宋体"/>
          <w:color w:val="auto"/>
          <w:spacing w:val="2"/>
          <w:sz w:val="24"/>
        </w:rPr>
        <w:t>五、供应商直接关联关系信息表………………………………………………(页码)</w:t>
      </w:r>
    </w:p>
    <w:p w14:paraId="5F2F1EF7">
      <w:pPr>
        <w:spacing w:before="295" w:line="360" w:lineRule="auto"/>
        <w:ind w:left="26"/>
        <w:rPr>
          <w:rFonts w:ascii="宋体" w:hAnsi="宋体" w:cs="宋体"/>
          <w:color w:val="auto"/>
          <w:spacing w:val="2"/>
          <w:sz w:val="24"/>
        </w:rPr>
      </w:pPr>
      <w:r>
        <w:rPr>
          <w:rFonts w:hint="eastAsia" w:ascii="宋体" w:hAnsi="宋体" w:cs="宋体"/>
          <w:color w:val="auto"/>
          <w:spacing w:val="2"/>
          <w:sz w:val="24"/>
        </w:rPr>
        <w:t>六、资格声明函…………………………………………………………………(页码)</w:t>
      </w:r>
    </w:p>
    <w:p w14:paraId="4FB3C4CB">
      <w:pPr>
        <w:spacing w:before="295" w:line="360" w:lineRule="auto"/>
        <w:ind w:left="26"/>
        <w:rPr>
          <w:rFonts w:ascii="宋体" w:hAnsi="宋体" w:cs="宋体"/>
          <w:color w:val="auto"/>
          <w:spacing w:val="2"/>
          <w:sz w:val="24"/>
        </w:rPr>
      </w:pPr>
      <w:r>
        <w:rPr>
          <w:rFonts w:hint="eastAsia" w:ascii="宋体" w:hAnsi="宋体" w:cs="宋体"/>
          <w:color w:val="auto"/>
          <w:spacing w:val="2"/>
          <w:sz w:val="24"/>
        </w:rPr>
        <w:t>七、除磋商文件规定必须提供以外，供应商认为需要提供的其他证明材料…………(页码)</w:t>
      </w:r>
    </w:p>
    <w:p w14:paraId="4980D7A9">
      <w:pPr>
        <w:spacing w:line="360" w:lineRule="auto"/>
        <w:rPr>
          <w:rFonts w:ascii="宋体" w:hAnsi="宋体" w:cs="宋体"/>
          <w:color w:val="auto"/>
        </w:rPr>
      </w:pPr>
    </w:p>
    <w:p w14:paraId="58E06159">
      <w:pPr>
        <w:spacing w:before="79" w:line="360" w:lineRule="auto"/>
        <w:ind w:left="26" w:right="17" w:hanging="9"/>
        <w:rPr>
          <w:rFonts w:ascii="宋体" w:hAnsi="宋体" w:cs="宋体"/>
          <w:color w:val="auto"/>
          <w:sz w:val="24"/>
        </w:rPr>
      </w:pPr>
      <w:r>
        <w:rPr>
          <w:rFonts w:hint="eastAsia" w:ascii="宋体" w:hAnsi="宋体" w:cs="宋体"/>
          <w:color w:val="auto"/>
          <w:spacing w:val="-2"/>
          <w:sz w:val="24"/>
        </w:rPr>
        <w:t>注： 以上目录是编制供应商响应文件的基本格式要求，各供应商</w:t>
      </w:r>
      <w:r>
        <w:rPr>
          <w:rFonts w:hint="eastAsia" w:ascii="宋体" w:hAnsi="宋体" w:cs="宋体"/>
          <w:color w:val="auto"/>
          <w:spacing w:val="-1"/>
          <w:sz w:val="24"/>
        </w:rPr>
        <w:t>可根据自身情况进</w:t>
      </w:r>
      <w:r>
        <w:rPr>
          <w:rFonts w:hint="eastAsia" w:ascii="宋体" w:hAnsi="宋体" w:cs="宋体"/>
          <w:color w:val="auto"/>
          <w:sz w:val="24"/>
        </w:rPr>
        <w:t xml:space="preserve"> </w:t>
      </w:r>
      <w:r>
        <w:rPr>
          <w:rFonts w:hint="eastAsia" w:ascii="宋体" w:hAnsi="宋体" w:cs="宋体"/>
          <w:color w:val="auto"/>
          <w:spacing w:val="-5"/>
          <w:sz w:val="24"/>
        </w:rPr>
        <w:t>一步细化。</w:t>
      </w:r>
    </w:p>
    <w:p w14:paraId="5690FCDC">
      <w:pPr>
        <w:spacing w:line="360" w:lineRule="auto"/>
        <w:rPr>
          <w:rFonts w:ascii="宋体" w:hAnsi="宋体" w:cs="宋体"/>
          <w:color w:val="auto"/>
        </w:rPr>
        <w:sectPr>
          <w:pgSz w:w="11905" w:h="16838"/>
          <w:pgMar w:top="1417" w:right="1134" w:bottom="1417" w:left="1100" w:header="703" w:footer="703" w:gutter="0"/>
          <w:cols w:space="720" w:num="1"/>
        </w:sectPr>
      </w:pPr>
    </w:p>
    <w:p w14:paraId="33111D7A">
      <w:pPr>
        <w:spacing w:line="360" w:lineRule="auto"/>
        <w:rPr>
          <w:rFonts w:ascii="宋体" w:hAnsi="宋体" w:cs="宋体"/>
          <w:color w:val="auto"/>
        </w:rPr>
      </w:pPr>
    </w:p>
    <w:p w14:paraId="4A77219D">
      <w:pPr>
        <w:spacing w:before="98" w:line="360" w:lineRule="auto"/>
        <w:ind w:left="753" w:right="718" w:firstLine="690"/>
        <w:rPr>
          <w:rFonts w:ascii="宋体" w:hAnsi="宋体" w:cs="宋体"/>
          <w:color w:val="auto"/>
          <w:sz w:val="30"/>
          <w:szCs w:val="30"/>
        </w:rPr>
      </w:pPr>
      <w:r>
        <w:rPr>
          <w:rFonts w:hint="eastAsia" w:ascii="宋体" w:hAnsi="宋体" w:cs="宋体"/>
          <w:color w:val="auto"/>
          <w:spacing w:val="-6"/>
          <w:sz w:val="30"/>
          <w:szCs w:val="30"/>
        </w:rPr>
        <w:t>一、营业</w:t>
      </w:r>
      <w:r>
        <w:rPr>
          <w:rFonts w:hint="eastAsia" w:ascii="宋体" w:hAnsi="宋体" w:cs="宋体"/>
          <w:color w:val="auto"/>
          <w:spacing w:val="-4"/>
          <w:sz w:val="30"/>
          <w:szCs w:val="30"/>
        </w:rPr>
        <w:t>执</w:t>
      </w:r>
      <w:r>
        <w:rPr>
          <w:rFonts w:hint="eastAsia" w:ascii="宋体" w:hAnsi="宋体" w:cs="宋体"/>
          <w:color w:val="auto"/>
          <w:spacing w:val="-3"/>
          <w:sz w:val="30"/>
          <w:szCs w:val="30"/>
        </w:rPr>
        <w:t>照(或事业法人登记证或其他工商等登记证明材料)</w:t>
      </w:r>
      <w:r>
        <w:rPr>
          <w:rFonts w:hint="eastAsia" w:ascii="宋体" w:hAnsi="宋体" w:cs="宋体"/>
          <w:color w:val="auto"/>
          <w:sz w:val="30"/>
          <w:szCs w:val="30"/>
        </w:rPr>
        <w:t xml:space="preserve"> </w:t>
      </w:r>
      <w:r>
        <w:rPr>
          <w:rFonts w:hint="eastAsia" w:ascii="宋体" w:hAnsi="宋体" w:cs="宋体"/>
          <w:color w:val="auto"/>
          <w:spacing w:val="4"/>
          <w:sz w:val="30"/>
          <w:szCs w:val="30"/>
        </w:rPr>
        <w:t>复印件(供应商为自然人的，提供自然人的身份证明)</w:t>
      </w:r>
    </w:p>
    <w:p w14:paraId="41B3BA7C">
      <w:pPr>
        <w:spacing w:line="360" w:lineRule="auto"/>
        <w:rPr>
          <w:rFonts w:ascii="宋体" w:hAnsi="宋体" w:cs="宋体"/>
          <w:color w:val="auto"/>
        </w:rPr>
      </w:pPr>
    </w:p>
    <w:p w14:paraId="53E0A22E">
      <w:pPr>
        <w:spacing w:before="78" w:line="360" w:lineRule="auto"/>
        <w:ind w:left="4610"/>
        <w:rPr>
          <w:rFonts w:ascii="宋体" w:hAnsi="宋体" w:cs="宋体"/>
          <w:color w:val="auto"/>
          <w:sz w:val="24"/>
        </w:rPr>
      </w:pPr>
      <w:r>
        <w:rPr>
          <w:rFonts w:hint="eastAsia" w:ascii="宋体" w:hAnsi="宋体" w:cs="宋体"/>
          <w:color w:val="auto"/>
          <w:spacing w:val="-8"/>
          <w:sz w:val="24"/>
        </w:rPr>
        <w:t>供</w:t>
      </w:r>
      <w:r>
        <w:rPr>
          <w:rFonts w:hint="eastAsia" w:ascii="宋体" w:hAnsi="宋体" w:cs="宋体"/>
          <w:color w:val="auto"/>
          <w:spacing w:val="-7"/>
          <w:sz w:val="24"/>
        </w:rPr>
        <w:t>应</w:t>
      </w:r>
      <w:r>
        <w:rPr>
          <w:rFonts w:hint="eastAsia" w:ascii="宋体" w:hAnsi="宋体" w:cs="宋体"/>
          <w:color w:val="auto"/>
          <w:spacing w:val="-4"/>
          <w:sz w:val="24"/>
        </w:rPr>
        <w:t>商名称( 电子签章 )：</w:t>
      </w:r>
    </w:p>
    <w:p w14:paraId="13F8CFB2">
      <w:pPr>
        <w:spacing w:before="79" w:line="360" w:lineRule="auto"/>
        <w:ind w:left="6894"/>
        <w:rPr>
          <w:rFonts w:ascii="宋体" w:hAnsi="宋体" w:cs="宋体"/>
          <w:color w:val="auto"/>
          <w:sz w:val="24"/>
        </w:rPr>
      </w:pPr>
      <w:r>
        <w:rPr>
          <w:rFonts w:hint="eastAsia" w:ascii="宋体" w:hAnsi="宋体" w:cs="宋体"/>
          <w:color w:val="auto"/>
          <w:spacing w:val="-16"/>
          <w:sz w:val="24"/>
        </w:rPr>
        <w:t>日</w:t>
      </w:r>
      <w:r>
        <w:rPr>
          <w:rFonts w:hint="eastAsia" w:ascii="宋体" w:hAnsi="宋体" w:cs="宋体"/>
          <w:color w:val="auto"/>
          <w:spacing w:val="-9"/>
          <w:sz w:val="24"/>
        </w:rPr>
        <w:t>期</w:t>
      </w:r>
      <w:r>
        <w:rPr>
          <w:rFonts w:hint="eastAsia" w:ascii="宋体" w:hAnsi="宋体" w:cs="宋体"/>
          <w:color w:val="auto"/>
          <w:spacing w:val="-8"/>
          <w:sz w:val="24"/>
        </w:rPr>
        <w:t>：   年  月   日</w:t>
      </w:r>
    </w:p>
    <w:p w14:paraId="75C4CC5D">
      <w:pPr>
        <w:spacing w:line="360" w:lineRule="auto"/>
        <w:rPr>
          <w:rFonts w:ascii="宋体" w:hAnsi="宋体" w:cs="宋体"/>
          <w:color w:val="auto"/>
        </w:rPr>
      </w:pPr>
    </w:p>
    <w:p w14:paraId="67F81853">
      <w:pPr>
        <w:spacing w:before="98" w:line="360" w:lineRule="auto"/>
        <w:ind w:left="756" w:right="744" w:firstLine="595"/>
        <w:rPr>
          <w:rFonts w:ascii="宋体" w:hAnsi="宋体" w:cs="宋体"/>
          <w:color w:val="auto"/>
          <w:sz w:val="30"/>
          <w:szCs w:val="30"/>
        </w:rPr>
      </w:pPr>
      <w:r>
        <w:rPr>
          <w:rFonts w:hint="eastAsia" w:ascii="宋体" w:hAnsi="宋体" w:cs="宋体"/>
          <w:color w:val="auto"/>
          <w:spacing w:val="-2"/>
          <w:sz w:val="30"/>
          <w:szCs w:val="30"/>
        </w:rPr>
        <w:t>二、符</w:t>
      </w:r>
      <w:r>
        <w:rPr>
          <w:rFonts w:hint="eastAsia" w:ascii="宋体" w:hAnsi="宋体" w:cs="宋体"/>
          <w:color w:val="auto"/>
          <w:spacing w:val="-1"/>
          <w:sz w:val="30"/>
          <w:szCs w:val="30"/>
        </w:rPr>
        <w:t>合参与政府采购活动的资格条件依法缴纳税收、社会保</w:t>
      </w:r>
      <w:r>
        <w:rPr>
          <w:rFonts w:hint="eastAsia" w:ascii="宋体" w:hAnsi="宋体" w:cs="宋体"/>
          <w:color w:val="auto"/>
          <w:sz w:val="30"/>
          <w:szCs w:val="30"/>
        </w:rPr>
        <w:t xml:space="preserve"> </w:t>
      </w:r>
      <w:r>
        <w:rPr>
          <w:rFonts w:hint="eastAsia" w:ascii="宋体" w:hAnsi="宋体" w:cs="宋体"/>
          <w:color w:val="auto"/>
          <w:spacing w:val="-6"/>
          <w:sz w:val="30"/>
          <w:szCs w:val="30"/>
        </w:rPr>
        <w:t>障资</w:t>
      </w:r>
      <w:r>
        <w:rPr>
          <w:rFonts w:hint="eastAsia" w:ascii="宋体" w:hAnsi="宋体" w:cs="宋体"/>
          <w:color w:val="auto"/>
          <w:spacing w:val="-3"/>
          <w:sz w:val="30"/>
          <w:szCs w:val="30"/>
        </w:rPr>
        <w:t>金等方面的材料</w:t>
      </w:r>
    </w:p>
    <w:p w14:paraId="2819BA86">
      <w:pPr>
        <w:spacing w:line="360" w:lineRule="auto"/>
        <w:rPr>
          <w:rFonts w:ascii="宋体" w:hAnsi="宋体" w:cs="宋体"/>
          <w:color w:val="auto"/>
        </w:rPr>
      </w:pPr>
    </w:p>
    <w:p w14:paraId="60117072">
      <w:pPr>
        <w:spacing w:before="78" w:line="360" w:lineRule="auto"/>
        <w:ind w:left="4610"/>
        <w:rPr>
          <w:rFonts w:ascii="宋体" w:hAnsi="宋体" w:cs="宋体"/>
          <w:color w:val="auto"/>
          <w:sz w:val="24"/>
        </w:rPr>
      </w:pPr>
      <w:r>
        <w:rPr>
          <w:rFonts w:hint="eastAsia" w:ascii="宋体" w:hAnsi="宋体" w:cs="宋体"/>
          <w:color w:val="auto"/>
          <w:spacing w:val="-8"/>
          <w:sz w:val="24"/>
        </w:rPr>
        <w:t>供</w:t>
      </w:r>
      <w:r>
        <w:rPr>
          <w:rFonts w:hint="eastAsia" w:ascii="宋体" w:hAnsi="宋体" w:cs="宋体"/>
          <w:color w:val="auto"/>
          <w:spacing w:val="-7"/>
          <w:sz w:val="24"/>
        </w:rPr>
        <w:t>应</w:t>
      </w:r>
      <w:r>
        <w:rPr>
          <w:rFonts w:hint="eastAsia" w:ascii="宋体" w:hAnsi="宋体" w:cs="宋体"/>
          <w:color w:val="auto"/>
          <w:spacing w:val="-4"/>
          <w:sz w:val="24"/>
        </w:rPr>
        <w:t>商名称( 电子签章 )：</w:t>
      </w:r>
    </w:p>
    <w:p w14:paraId="505DAAF1">
      <w:pPr>
        <w:spacing w:before="80" w:line="360" w:lineRule="auto"/>
        <w:ind w:left="6894"/>
        <w:rPr>
          <w:rFonts w:ascii="宋体" w:hAnsi="宋体" w:cs="宋体"/>
          <w:color w:val="auto"/>
          <w:sz w:val="24"/>
        </w:rPr>
      </w:pPr>
      <w:r>
        <w:rPr>
          <w:rFonts w:hint="eastAsia" w:ascii="宋体" w:hAnsi="宋体" w:cs="宋体"/>
          <w:color w:val="auto"/>
          <w:spacing w:val="-16"/>
          <w:sz w:val="24"/>
        </w:rPr>
        <w:t>日</w:t>
      </w:r>
      <w:r>
        <w:rPr>
          <w:rFonts w:hint="eastAsia" w:ascii="宋体" w:hAnsi="宋体" w:cs="宋体"/>
          <w:color w:val="auto"/>
          <w:spacing w:val="-9"/>
          <w:sz w:val="24"/>
        </w:rPr>
        <w:t>期</w:t>
      </w:r>
      <w:r>
        <w:rPr>
          <w:rFonts w:hint="eastAsia" w:ascii="宋体" w:hAnsi="宋体" w:cs="宋体"/>
          <w:color w:val="auto"/>
          <w:spacing w:val="-8"/>
          <w:sz w:val="24"/>
        </w:rPr>
        <w:t>：   年  月   日</w:t>
      </w:r>
    </w:p>
    <w:p w14:paraId="4636E3A6">
      <w:pPr>
        <w:spacing w:line="360" w:lineRule="auto"/>
        <w:rPr>
          <w:rFonts w:ascii="宋体" w:hAnsi="宋体" w:cs="宋体"/>
          <w:color w:val="auto"/>
        </w:rPr>
      </w:pPr>
    </w:p>
    <w:p w14:paraId="6AFE83EC">
      <w:pPr>
        <w:spacing w:before="98" w:line="360" w:lineRule="auto"/>
        <w:ind w:left="1344"/>
        <w:rPr>
          <w:rFonts w:ascii="宋体" w:hAnsi="宋体" w:cs="宋体"/>
          <w:color w:val="auto"/>
          <w:sz w:val="30"/>
          <w:szCs w:val="30"/>
        </w:rPr>
      </w:pPr>
      <w:r>
        <w:rPr>
          <w:rFonts w:hint="eastAsia" w:ascii="宋体" w:hAnsi="宋体" w:cs="宋体"/>
          <w:color w:val="auto"/>
          <w:spacing w:val="-3"/>
          <w:sz w:val="30"/>
          <w:szCs w:val="30"/>
        </w:rPr>
        <w:t>三</w:t>
      </w:r>
      <w:r>
        <w:rPr>
          <w:rFonts w:hint="eastAsia" w:ascii="宋体" w:hAnsi="宋体" w:cs="宋体"/>
          <w:color w:val="auto"/>
          <w:spacing w:val="-2"/>
          <w:sz w:val="30"/>
          <w:szCs w:val="30"/>
        </w:rPr>
        <w:t>、财务状况报告方面的材料</w:t>
      </w:r>
    </w:p>
    <w:p w14:paraId="74533AC3">
      <w:pPr>
        <w:spacing w:line="360" w:lineRule="auto"/>
        <w:rPr>
          <w:rFonts w:ascii="宋体" w:hAnsi="宋体" w:cs="宋体"/>
          <w:color w:val="auto"/>
        </w:rPr>
      </w:pPr>
    </w:p>
    <w:p w14:paraId="746CA7B5">
      <w:pPr>
        <w:spacing w:before="78" w:line="360" w:lineRule="auto"/>
        <w:ind w:left="4610"/>
        <w:rPr>
          <w:rFonts w:ascii="宋体" w:hAnsi="宋体" w:cs="宋体"/>
          <w:color w:val="auto"/>
          <w:sz w:val="24"/>
        </w:rPr>
      </w:pPr>
      <w:bookmarkStart w:id="15" w:name="_Hlk180481610"/>
      <w:r>
        <w:rPr>
          <w:rFonts w:hint="eastAsia" w:ascii="宋体" w:hAnsi="宋体" w:cs="宋体"/>
          <w:color w:val="auto"/>
          <w:spacing w:val="-8"/>
          <w:sz w:val="24"/>
        </w:rPr>
        <w:t>供</w:t>
      </w:r>
      <w:r>
        <w:rPr>
          <w:rFonts w:hint="eastAsia" w:ascii="宋体" w:hAnsi="宋体" w:cs="宋体"/>
          <w:color w:val="auto"/>
          <w:spacing w:val="-7"/>
          <w:sz w:val="24"/>
        </w:rPr>
        <w:t>应</w:t>
      </w:r>
      <w:r>
        <w:rPr>
          <w:rFonts w:hint="eastAsia" w:ascii="宋体" w:hAnsi="宋体" w:cs="宋体"/>
          <w:color w:val="auto"/>
          <w:spacing w:val="-4"/>
          <w:sz w:val="24"/>
        </w:rPr>
        <w:t>商名称( 电子签章 )：</w:t>
      </w:r>
    </w:p>
    <w:p w14:paraId="21C1280F">
      <w:pPr>
        <w:spacing w:before="80" w:line="360" w:lineRule="auto"/>
        <w:ind w:left="6894"/>
        <w:rPr>
          <w:rFonts w:ascii="宋体" w:hAnsi="宋体" w:cs="宋体"/>
          <w:color w:val="auto"/>
          <w:sz w:val="24"/>
        </w:rPr>
      </w:pPr>
      <w:r>
        <w:rPr>
          <w:rFonts w:hint="eastAsia" w:ascii="宋体" w:hAnsi="宋体" w:cs="宋体"/>
          <w:color w:val="auto"/>
          <w:spacing w:val="-16"/>
          <w:sz w:val="24"/>
        </w:rPr>
        <w:t>日</w:t>
      </w:r>
      <w:r>
        <w:rPr>
          <w:rFonts w:hint="eastAsia" w:ascii="宋体" w:hAnsi="宋体" w:cs="宋体"/>
          <w:color w:val="auto"/>
          <w:spacing w:val="-9"/>
          <w:sz w:val="24"/>
        </w:rPr>
        <w:t>期</w:t>
      </w:r>
      <w:r>
        <w:rPr>
          <w:rFonts w:hint="eastAsia" w:ascii="宋体" w:hAnsi="宋体" w:cs="宋体"/>
          <w:color w:val="auto"/>
          <w:spacing w:val="-8"/>
          <w:sz w:val="24"/>
        </w:rPr>
        <w:t>：   年  月   日</w:t>
      </w:r>
    </w:p>
    <w:bookmarkEnd w:id="15"/>
    <w:p w14:paraId="03508F56">
      <w:pPr>
        <w:spacing w:line="360" w:lineRule="auto"/>
        <w:rPr>
          <w:rFonts w:ascii="宋体" w:hAnsi="宋体" w:cs="宋体"/>
          <w:color w:val="auto"/>
        </w:rPr>
      </w:pPr>
    </w:p>
    <w:p w14:paraId="36D59E45">
      <w:pPr>
        <w:spacing w:line="360" w:lineRule="auto"/>
        <w:rPr>
          <w:rFonts w:ascii="宋体" w:hAnsi="宋体" w:cs="宋体"/>
          <w:color w:val="auto"/>
        </w:rPr>
      </w:pPr>
      <w:r>
        <w:rPr>
          <w:rFonts w:ascii="宋体" w:hAnsi="宋体" w:cs="宋体"/>
          <w:color w:val="auto"/>
        </w:rPr>
        <w:br w:type="page"/>
      </w:r>
    </w:p>
    <w:p w14:paraId="40DE3B15">
      <w:pPr>
        <w:spacing w:before="98" w:line="360" w:lineRule="auto"/>
        <w:ind w:left="1371"/>
        <w:rPr>
          <w:rFonts w:ascii="宋体" w:hAnsi="宋体" w:cs="宋体"/>
          <w:color w:val="auto"/>
          <w:sz w:val="30"/>
          <w:szCs w:val="30"/>
        </w:rPr>
      </w:pPr>
      <w:r>
        <w:rPr>
          <w:rFonts w:hint="eastAsia" w:ascii="宋体" w:hAnsi="宋体" w:cs="宋体"/>
          <w:color w:val="auto"/>
          <w:spacing w:val="-4"/>
          <w:sz w:val="30"/>
          <w:szCs w:val="30"/>
        </w:rPr>
        <w:t>四、供应商直接控股股东信</w:t>
      </w:r>
      <w:r>
        <w:rPr>
          <w:rFonts w:hint="eastAsia" w:ascii="宋体" w:hAnsi="宋体" w:cs="宋体"/>
          <w:color w:val="auto"/>
          <w:spacing w:val="-3"/>
          <w:sz w:val="30"/>
          <w:szCs w:val="30"/>
        </w:rPr>
        <w:t>息</w:t>
      </w:r>
    </w:p>
    <w:p w14:paraId="13E2652E">
      <w:pPr>
        <w:spacing w:line="360" w:lineRule="auto"/>
        <w:rPr>
          <w:rFonts w:ascii="宋体" w:hAnsi="宋体" w:cs="宋体"/>
          <w:color w:val="auto"/>
        </w:rPr>
      </w:pPr>
    </w:p>
    <w:p w14:paraId="3DA51E4C">
      <w:pPr>
        <w:spacing w:line="360" w:lineRule="auto"/>
        <w:rPr>
          <w:rFonts w:ascii="宋体" w:hAnsi="宋体" w:cs="宋体"/>
          <w:color w:val="auto"/>
        </w:rPr>
      </w:pPr>
    </w:p>
    <w:tbl>
      <w:tblPr>
        <w:tblStyle w:val="26"/>
        <w:tblW w:w="4997" w:type="pct"/>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838"/>
        <w:gridCol w:w="2528"/>
        <w:gridCol w:w="1384"/>
        <w:gridCol w:w="4083"/>
        <w:gridCol w:w="842"/>
      </w:tblGrid>
      <w:tr w14:paraId="09D090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trPr>
        <w:tc>
          <w:tcPr>
            <w:tcW w:w="433" w:type="pct"/>
            <w:tcBorders>
              <w:top w:val="single" w:color="000000" w:sz="2" w:space="0"/>
              <w:bottom w:val="single" w:color="000000" w:sz="2" w:space="0"/>
            </w:tcBorders>
          </w:tcPr>
          <w:p w14:paraId="3E8C2521">
            <w:pPr>
              <w:spacing w:before="125" w:line="360" w:lineRule="auto"/>
              <w:ind w:left="204"/>
              <w:rPr>
                <w:rFonts w:ascii="宋体" w:hAnsi="宋体" w:cs="宋体"/>
                <w:color w:val="auto"/>
                <w:sz w:val="24"/>
              </w:rPr>
            </w:pPr>
            <w:r>
              <w:rPr>
                <w:rFonts w:hint="eastAsia" w:ascii="宋体" w:hAnsi="宋体" w:cs="宋体"/>
                <w:color w:val="auto"/>
                <w:spacing w:val="-5"/>
                <w:sz w:val="24"/>
              </w:rPr>
              <w:t>序</w:t>
            </w:r>
            <w:r>
              <w:rPr>
                <w:rFonts w:hint="eastAsia" w:ascii="宋体" w:hAnsi="宋体" w:cs="宋体"/>
                <w:color w:val="auto"/>
                <w:spacing w:val="-4"/>
                <w:sz w:val="24"/>
              </w:rPr>
              <w:t>号</w:t>
            </w:r>
          </w:p>
        </w:tc>
        <w:tc>
          <w:tcPr>
            <w:tcW w:w="1306" w:type="pct"/>
            <w:tcBorders>
              <w:top w:val="single" w:color="000000" w:sz="2" w:space="0"/>
              <w:bottom w:val="single" w:color="000000" w:sz="2" w:space="0"/>
            </w:tcBorders>
          </w:tcPr>
          <w:p w14:paraId="1E4B30AE">
            <w:pPr>
              <w:spacing w:before="125" w:line="360" w:lineRule="auto"/>
              <w:ind w:left="369"/>
              <w:rPr>
                <w:rFonts w:ascii="宋体" w:hAnsi="宋体" w:cs="宋体"/>
                <w:color w:val="auto"/>
                <w:sz w:val="24"/>
              </w:rPr>
            </w:pPr>
            <w:r>
              <w:rPr>
                <w:rFonts w:hint="eastAsia" w:ascii="宋体" w:hAnsi="宋体" w:cs="宋体"/>
                <w:color w:val="auto"/>
                <w:spacing w:val="-2"/>
                <w:sz w:val="24"/>
              </w:rPr>
              <w:t>直接</w:t>
            </w:r>
            <w:r>
              <w:rPr>
                <w:rFonts w:hint="eastAsia" w:ascii="宋体" w:hAnsi="宋体" w:cs="宋体"/>
                <w:color w:val="auto"/>
                <w:spacing w:val="-1"/>
                <w:sz w:val="24"/>
              </w:rPr>
              <w:t>控股股东名称</w:t>
            </w:r>
          </w:p>
        </w:tc>
        <w:tc>
          <w:tcPr>
            <w:tcW w:w="715" w:type="pct"/>
            <w:tcBorders>
              <w:top w:val="single" w:color="000000" w:sz="2" w:space="0"/>
              <w:bottom w:val="single" w:color="000000" w:sz="2" w:space="0"/>
            </w:tcBorders>
          </w:tcPr>
          <w:p w14:paraId="29FBEA55">
            <w:pPr>
              <w:spacing w:before="125" w:line="360" w:lineRule="auto"/>
              <w:ind w:left="273"/>
              <w:rPr>
                <w:rFonts w:ascii="宋体" w:hAnsi="宋体" w:cs="宋体"/>
                <w:color w:val="auto"/>
                <w:sz w:val="24"/>
              </w:rPr>
            </w:pPr>
            <w:r>
              <w:rPr>
                <w:rFonts w:hint="eastAsia" w:ascii="宋体" w:hAnsi="宋体" w:cs="宋体"/>
                <w:color w:val="auto"/>
                <w:spacing w:val="-9"/>
                <w:sz w:val="24"/>
              </w:rPr>
              <w:t>出</w:t>
            </w:r>
            <w:r>
              <w:rPr>
                <w:rFonts w:hint="eastAsia" w:ascii="宋体" w:hAnsi="宋体" w:cs="宋体"/>
                <w:color w:val="auto"/>
                <w:spacing w:val="-7"/>
                <w:sz w:val="24"/>
              </w:rPr>
              <w:t>资比例</w:t>
            </w:r>
          </w:p>
        </w:tc>
        <w:tc>
          <w:tcPr>
            <w:tcW w:w="2109" w:type="pct"/>
            <w:tcBorders>
              <w:top w:val="single" w:color="000000" w:sz="2" w:space="0"/>
              <w:bottom w:val="single" w:color="000000" w:sz="2" w:space="0"/>
            </w:tcBorders>
          </w:tcPr>
          <w:p w14:paraId="6D47D18A">
            <w:pPr>
              <w:spacing w:before="125" w:line="360" w:lineRule="auto"/>
              <w:ind w:left="355"/>
              <w:rPr>
                <w:rFonts w:ascii="宋体" w:hAnsi="宋体" w:cs="宋体"/>
                <w:color w:val="auto"/>
                <w:sz w:val="24"/>
              </w:rPr>
            </w:pPr>
            <w:r>
              <w:rPr>
                <w:rFonts w:hint="eastAsia" w:ascii="宋体" w:hAnsi="宋体" w:cs="宋体"/>
                <w:color w:val="auto"/>
                <w:spacing w:val="-2"/>
                <w:sz w:val="24"/>
              </w:rPr>
              <w:t>身</w:t>
            </w:r>
            <w:r>
              <w:rPr>
                <w:rFonts w:hint="eastAsia" w:ascii="宋体" w:hAnsi="宋体" w:cs="宋体"/>
                <w:color w:val="auto"/>
                <w:spacing w:val="-1"/>
                <w:sz w:val="24"/>
              </w:rPr>
              <w:t>份证号码或者统一社会信用代码</w:t>
            </w:r>
          </w:p>
        </w:tc>
        <w:tc>
          <w:tcPr>
            <w:tcW w:w="435" w:type="pct"/>
            <w:tcBorders>
              <w:top w:val="single" w:color="000000" w:sz="2" w:space="0"/>
              <w:bottom w:val="single" w:color="000000" w:sz="2" w:space="0"/>
            </w:tcBorders>
          </w:tcPr>
          <w:p w14:paraId="30DD0E4B">
            <w:pPr>
              <w:spacing w:before="125" w:line="360" w:lineRule="auto"/>
              <w:ind w:left="212"/>
              <w:rPr>
                <w:rFonts w:ascii="宋体" w:hAnsi="宋体" w:cs="宋体"/>
                <w:color w:val="auto"/>
                <w:sz w:val="24"/>
              </w:rPr>
            </w:pPr>
            <w:r>
              <w:rPr>
                <w:rFonts w:hint="eastAsia" w:ascii="宋体" w:hAnsi="宋体" w:cs="宋体"/>
                <w:color w:val="auto"/>
                <w:spacing w:val="-4"/>
                <w:sz w:val="24"/>
              </w:rPr>
              <w:t>备</w:t>
            </w:r>
            <w:r>
              <w:rPr>
                <w:rFonts w:hint="eastAsia" w:ascii="宋体" w:hAnsi="宋体" w:cs="宋体"/>
                <w:color w:val="auto"/>
                <w:spacing w:val="-3"/>
                <w:sz w:val="24"/>
              </w:rPr>
              <w:t>注</w:t>
            </w:r>
          </w:p>
        </w:tc>
      </w:tr>
      <w:tr w14:paraId="513A23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433" w:type="pct"/>
            <w:tcBorders>
              <w:top w:val="single" w:color="000000" w:sz="2" w:space="0"/>
              <w:bottom w:val="single" w:color="000000" w:sz="2" w:space="0"/>
            </w:tcBorders>
          </w:tcPr>
          <w:p w14:paraId="0F2A31DE">
            <w:pPr>
              <w:spacing w:before="158" w:line="360" w:lineRule="auto"/>
              <w:ind w:left="403"/>
              <w:rPr>
                <w:rFonts w:ascii="宋体" w:hAnsi="宋体" w:cs="宋体"/>
                <w:color w:val="auto"/>
                <w:sz w:val="24"/>
              </w:rPr>
            </w:pPr>
            <w:r>
              <w:rPr>
                <w:rFonts w:hint="eastAsia" w:ascii="宋体" w:hAnsi="宋体" w:cs="宋体"/>
                <w:color w:val="auto"/>
                <w:sz w:val="24"/>
              </w:rPr>
              <w:t>1</w:t>
            </w:r>
          </w:p>
        </w:tc>
        <w:tc>
          <w:tcPr>
            <w:tcW w:w="1306" w:type="pct"/>
            <w:tcBorders>
              <w:top w:val="single" w:color="000000" w:sz="2" w:space="0"/>
              <w:bottom w:val="single" w:color="000000" w:sz="2" w:space="0"/>
            </w:tcBorders>
          </w:tcPr>
          <w:p w14:paraId="41C0143C">
            <w:pPr>
              <w:spacing w:line="360" w:lineRule="auto"/>
              <w:rPr>
                <w:rFonts w:ascii="宋体" w:hAnsi="宋体" w:cs="宋体"/>
                <w:color w:val="auto"/>
              </w:rPr>
            </w:pPr>
          </w:p>
        </w:tc>
        <w:tc>
          <w:tcPr>
            <w:tcW w:w="715" w:type="pct"/>
            <w:tcBorders>
              <w:top w:val="single" w:color="000000" w:sz="2" w:space="0"/>
              <w:bottom w:val="single" w:color="000000" w:sz="2" w:space="0"/>
            </w:tcBorders>
          </w:tcPr>
          <w:p w14:paraId="164E04A3">
            <w:pPr>
              <w:spacing w:line="360" w:lineRule="auto"/>
              <w:rPr>
                <w:rFonts w:ascii="宋体" w:hAnsi="宋体" w:cs="宋体"/>
                <w:color w:val="auto"/>
              </w:rPr>
            </w:pPr>
          </w:p>
        </w:tc>
        <w:tc>
          <w:tcPr>
            <w:tcW w:w="2109" w:type="pct"/>
            <w:tcBorders>
              <w:top w:val="single" w:color="000000" w:sz="2" w:space="0"/>
              <w:bottom w:val="single" w:color="000000" w:sz="2" w:space="0"/>
            </w:tcBorders>
          </w:tcPr>
          <w:p w14:paraId="279DB0B5">
            <w:pPr>
              <w:spacing w:line="360" w:lineRule="auto"/>
              <w:rPr>
                <w:rFonts w:ascii="宋体" w:hAnsi="宋体" w:cs="宋体"/>
                <w:color w:val="auto"/>
              </w:rPr>
            </w:pPr>
          </w:p>
        </w:tc>
        <w:tc>
          <w:tcPr>
            <w:tcW w:w="435" w:type="pct"/>
            <w:tcBorders>
              <w:top w:val="single" w:color="000000" w:sz="2" w:space="0"/>
              <w:bottom w:val="single" w:color="000000" w:sz="2" w:space="0"/>
            </w:tcBorders>
          </w:tcPr>
          <w:p w14:paraId="6CB3A8E5">
            <w:pPr>
              <w:spacing w:line="360" w:lineRule="auto"/>
              <w:rPr>
                <w:rFonts w:ascii="宋体" w:hAnsi="宋体" w:cs="宋体"/>
                <w:color w:val="auto"/>
              </w:rPr>
            </w:pPr>
          </w:p>
        </w:tc>
      </w:tr>
      <w:tr w14:paraId="60329F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433" w:type="pct"/>
            <w:tcBorders>
              <w:top w:val="single" w:color="000000" w:sz="2" w:space="0"/>
              <w:bottom w:val="single" w:color="000000" w:sz="2" w:space="0"/>
            </w:tcBorders>
          </w:tcPr>
          <w:p w14:paraId="5F469857">
            <w:pPr>
              <w:spacing w:before="161" w:line="360" w:lineRule="auto"/>
              <w:ind w:left="388"/>
              <w:rPr>
                <w:rFonts w:ascii="宋体" w:hAnsi="宋体" w:cs="宋体"/>
                <w:color w:val="auto"/>
                <w:sz w:val="24"/>
              </w:rPr>
            </w:pPr>
            <w:r>
              <w:rPr>
                <w:rFonts w:hint="eastAsia" w:ascii="宋体" w:hAnsi="宋体" w:cs="宋体"/>
                <w:color w:val="auto"/>
                <w:sz w:val="24"/>
              </w:rPr>
              <w:t>2</w:t>
            </w:r>
          </w:p>
        </w:tc>
        <w:tc>
          <w:tcPr>
            <w:tcW w:w="1306" w:type="pct"/>
            <w:tcBorders>
              <w:top w:val="single" w:color="000000" w:sz="2" w:space="0"/>
              <w:bottom w:val="single" w:color="000000" w:sz="2" w:space="0"/>
            </w:tcBorders>
          </w:tcPr>
          <w:p w14:paraId="0DF06FFD">
            <w:pPr>
              <w:spacing w:line="360" w:lineRule="auto"/>
              <w:rPr>
                <w:rFonts w:ascii="宋体" w:hAnsi="宋体" w:cs="宋体"/>
                <w:color w:val="auto"/>
              </w:rPr>
            </w:pPr>
          </w:p>
        </w:tc>
        <w:tc>
          <w:tcPr>
            <w:tcW w:w="715" w:type="pct"/>
            <w:tcBorders>
              <w:top w:val="single" w:color="000000" w:sz="2" w:space="0"/>
              <w:bottom w:val="single" w:color="000000" w:sz="2" w:space="0"/>
            </w:tcBorders>
          </w:tcPr>
          <w:p w14:paraId="35827E00">
            <w:pPr>
              <w:spacing w:line="360" w:lineRule="auto"/>
              <w:rPr>
                <w:rFonts w:ascii="宋体" w:hAnsi="宋体" w:cs="宋体"/>
                <w:color w:val="auto"/>
              </w:rPr>
            </w:pPr>
          </w:p>
        </w:tc>
        <w:tc>
          <w:tcPr>
            <w:tcW w:w="2109" w:type="pct"/>
            <w:tcBorders>
              <w:top w:val="single" w:color="000000" w:sz="2" w:space="0"/>
              <w:bottom w:val="single" w:color="000000" w:sz="2" w:space="0"/>
            </w:tcBorders>
          </w:tcPr>
          <w:p w14:paraId="65007C43">
            <w:pPr>
              <w:spacing w:line="360" w:lineRule="auto"/>
              <w:rPr>
                <w:rFonts w:ascii="宋体" w:hAnsi="宋体" w:cs="宋体"/>
                <w:color w:val="auto"/>
              </w:rPr>
            </w:pPr>
          </w:p>
        </w:tc>
        <w:tc>
          <w:tcPr>
            <w:tcW w:w="435" w:type="pct"/>
            <w:tcBorders>
              <w:top w:val="single" w:color="000000" w:sz="2" w:space="0"/>
              <w:bottom w:val="single" w:color="000000" w:sz="2" w:space="0"/>
            </w:tcBorders>
          </w:tcPr>
          <w:p w14:paraId="1A11946D">
            <w:pPr>
              <w:spacing w:line="360" w:lineRule="auto"/>
              <w:rPr>
                <w:rFonts w:ascii="宋体" w:hAnsi="宋体" w:cs="宋体"/>
                <w:color w:val="auto"/>
              </w:rPr>
            </w:pPr>
          </w:p>
        </w:tc>
      </w:tr>
      <w:tr w14:paraId="240703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433" w:type="pct"/>
            <w:tcBorders>
              <w:top w:val="single" w:color="000000" w:sz="2" w:space="0"/>
              <w:bottom w:val="single" w:color="000000" w:sz="2" w:space="0"/>
            </w:tcBorders>
          </w:tcPr>
          <w:p w14:paraId="42EB45A4">
            <w:pPr>
              <w:spacing w:before="161" w:line="360" w:lineRule="auto"/>
              <w:ind w:left="390"/>
              <w:rPr>
                <w:rFonts w:ascii="宋体" w:hAnsi="宋体" w:cs="宋体"/>
                <w:color w:val="auto"/>
                <w:sz w:val="24"/>
              </w:rPr>
            </w:pPr>
            <w:r>
              <w:rPr>
                <w:rFonts w:hint="eastAsia" w:ascii="宋体" w:hAnsi="宋体" w:cs="宋体"/>
                <w:color w:val="auto"/>
                <w:sz w:val="24"/>
              </w:rPr>
              <w:t>3</w:t>
            </w:r>
          </w:p>
        </w:tc>
        <w:tc>
          <w:tcPr>
            <w:tcW w:w="1306" w:type="pct"/>
            <w:tcBorders>
              <w:top w:val="single" w:color="000000" w:sz="2" w:space="0"/>
              <w:bottom w:val="single" w:color="000000" w:sz="2" w:space="0"/>
            </w:tcBorders>
          </w:tcPr>
          <w:p w14:paraId="6DA261AD">
            <w:pPr>
              <w:spacing w:line="360" w:lineRule="auto"/>
              <w:rPr>
                <w:rFonts w:ascii="宋体" w:hAnsi="宋体" w:cs="宋体"/>
                <w:color w:val="auto"/>
              </w:rPr>
            </w:pPr>
          </w:p>
        </w:tc>
        <w:tc>
          <w:tcPr>
            <w:tcW w:w="715" w:type="pct"/>
            <w:tcBorders>
              <w:top w:val="single" w:color="000000" w:sz="2" w:space="0"/>
              <w:bottom w:val="single" w:color="000000" w:sz="2" w:space="0"/>
            </w:tcBorders>
          </w:tcPr>
          <w:p w14:paraId="3DD1AB57">
            <w:pPr>
              <w:spacing w:line="360" w:lineRule="auto"/>
              <w:rPr>
                <w:rFonts w:ascii="宋体" w:hAnsi="宋体" w:cs="宋体"/>
                <w:color w:val="auto"/>
              </w:rPr>
            </w:pPr>
          </w:p>
        </w:tc>
        <w:tc>
          <w:tcPr>
            <w:tcW w:w="2109" w:type="pct"/>
            <w:tcBorders>
              <w:top w:val="single" w:color="000000" w:sz="2" w:space="0"/>
              <w:bottom w:val="single" w:color="000000" w:sz="2" w:space="0"/>
            </w:tcBorders>
          </w:tcPr>
          <w:p w14:paraId="666A3A76">
            <w:pPr>
              <w:spacing w:line="360" w:lineRule="auto"/>
              <w:rPr>
                <w:rFonts w:ascii="宋体" w:hAnsi="宋体" w:cs="宋体"/>
                <w:color w:val="auto"/>
              </w:rPr>
            </w:pPr>
          </w:p>
        </w:tc>
        <w:tc>
          <w:tcPr>
            <w:tcW w:w="435" w:type="pct"/>
            <w:tcBorders>
              <w:top w:val="single" w:color="000000" w:sz="2" w:space="0"/>
              <w:bottom w:val="single" w:color="000000" w:sz="2" w:space="0"/>
            </w:tcBorders>
          </w:tcPr>
          <w:p w14:paraId="161D0E01">
            <w:pPr>
              <w:spacing w:line="360" w:lineRule="auto"/>
              <w:rPr>
                <w:rFonts w:ascii="宋体" w:hAnsi="宋体" w:cs="宋体"/>
                <w:color w:val="auto"/>
              </w:rPr>
            </w:pPr>
          </w:p>
        </w:tc>
      </w:tr>
      <w:tr w14:paraId="430834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433" w:type="pct"/>
            <w:tcBorders>
              <w:top w:val="single" w:color="000000" w:sz="2" w:space="0"/>
              <w:bottom w:val="single" w:color="000000" w:sz="2" w:space="0"/>
            </w:tcBorders>
          </w:tcPr>
          <w:p w14:paraId="24292076">
            <w:pPr>
              <w:spacing w:before="123" w:line="360" w:lineRule="auto"/>
              <w:ind w:left="220"/>
              <w:rPr>
                <w:rFonts w:ascii="宋体" w:hAnsi="宋体" w:cs="宋体"/>
                <w:color w:val="auto"/>
                <w:sz w:val="24"/>
              </w:rPr>
            </w:pPr>
            <w:r>
              <w:rPr>
                <w:rFonts w:hint="eastAsia" w:ascii="宋体" w:hAnsi="宋体" w:cs="宋体"/>
                <w:color w:val="auto"/>
                <w:spacing w:val="-7"/>
                <w:position w:val="2"/>
                <w:sz w:val="24"/>
              </w:rPr>
              <w:t>…</w:t>
            </w:r>
            <w:r>
              <w:rPr>
                <w:rFonts w:hint="eastAsia" w:ascii="宋体" w:hAnsi="宋体" w:cs="宋体"/>
                <w:color w:val="auto"/>
                <w:spacing w:val="-6"/>
                <w:position w:val="2"/>
                <w:sz w:val="24"/>
              </w:rPr>
              <w:t>…</w:t>
            </w:r>
          </w:p>
        </w:tc>
        <w:tc>
          <w:tcPr>
            <w:tcW w:w="1306" w:type="pct"/>
            <w:tcBorders>
              <w:top w:val="single" w:color="000000" w:sz="2" w:space="0"/>
              <w:bottom w:val="single" w:color="000000" w:sz="2" w:space="0"/>
            </w:tcBorders>
          </w:tcPr>
          <w:p w14:paraId="471433A5">
            <w:pPr>
              <w:spacing w:line="360" w:lineRule="auto"/>
              <w:rPr>
                <w:rFonts w:ascii="宋体" w:hAnsi="宋体" w:cs="宋体"/>
                <w:color w:val="auto"/>
              </w:rPr>
            </w:pPr>
          </w:p>
        </w:tc>
        <w:tc>
          <w:tcPr>
            <w:tcW w:w="715" w:type="pct"/>
            <w:tcBorders>
              <w:top w:val="single" w:color="000000" w:sz="2" w:space="0"/>
              <w:bottom w:val="single" w:color="000000" w:sz="2" w:space="0"/>
            </w:tcBorders>
          </w:tcPr>
          <w:p w14:paraId="4337D947">
            <w:pPr>
              <w:spacing w:line="360" w:lineRule="auto"/>
              <w:rPr>
                <w:rFonts w:ascii="宋体" w:hAnsi="宋体" w:cs="宋体"/>
                <w:color w:val="auto"/>
              </w:rPr>
            </w:pPr>
          </w:p>
        </w:tc>
        <w:tc>
          <w:tcPr>
            <w:tcW w:w="2109" w:type="pct"/>
            <w:tcBorders>
              <w:top w:val="single" w:color="000000" w:sz="2" w:space="0"/>
              <w:bottom w:val="single" w:color="000000" w:sz="2" w:space="0"/>
            </w:tcBorders>
          </w:tcPr>
          <w:p w14:paraId="7C179895">
            <w:pPr>
              <w:spacing w:line="360" w:lineRule="auto"/>
              <w:rPr>
                <w:rFonts w:ascii="宋体" w:hAnsi="宋体" w:cs="宋体"/>
                <w:color w:val="auto"/>
              </w:rPr>
            </w:pPr>
          </w:p>
        </w:tc>
        <w:tc>
          <w:tcPr>
            <w:tcW w:w="435" w:type="pct"/>
            <w:tcBorders>
              <w:top w:val="single" w:color="000000" w:sz="2" w:space="0"/>
              <w:bottom w:val="single" w:color="000000" w:sz="2" w:space="0"/>
            </w:tcBorders>
          </w:tcPr>
          <w:p w14:paraId="5477B73C">
            <w:pPr>
              <w:spacing w:line="360" w:lineRule="auto"/>
              <w:rPr>
                <w:rFonts w:ascii="宋体" w:hAnsi="宋体" w:cs="宋体"/>
                <w:color w:val="auto"/>
              </w:rPr>
            </w:pPr>
          </w:p>
        </w:tc>
      </w:tr>
    </w:tbl>
    <w:p w14:paraId="1AB90FB5">
      <w:pPr>
        <w:spacing w:before="1" w:line="360" w:lineRule="auto"/>
        <w:ind w:left="735"/>
        <w:rPr>
          <w:rFonts w:ascii="宋体" w:hAnsi="宋体" w:cs="宋体"/>
          <w:color w:val="auto"/>
          <w:sz w:val="23"/>
          <w:szCs w:val="23"/>
        </w:rPr>
      </w:pPr>
      <w:r>
        <w:rPr>
          <w:rFonts w:hint="eastAsia" w:ascii="宋体" w:hAnsi="宋体" w:cs="宋体"/>
          <w:color w:val="auto"/>
          <w:spacing w:val="-16"/>
          <w:sz w:val="23"/>
          <w:szCs w:val="23"/>
        </w:rPr>
        <w:t>注：</w:t>
      </w:r>
    </w:p>
    <w:p w14:paraId="03AD5020">
      <w:pPr>
        <w:spacing w:before="69" w:line="360" w:lineRule="auto"/>
        <w:ind w:left="726" w:right="806" w:firstLine="498"/>
        <w:rPr>
          <w:rFonts w:ascii="宋体" w:hAnsi="宋体" w:cs="宋体"/>
          <w:color w:val="auto"/>
          <w:sz w:val="24"/>
        </w:rPr>
      </w:pPr>
      <w:r>
        <w:rPr>
          <w:rFonts w:hint="eastAsia" w:ascii="宋体" w:hAnsi="宋体" w:cs="宋体"/>
          <w:color w:val="auto"/>
          <w:spacing w:val="-5"/>
          <w:sz w:val="24"/>
        </w:rPr>
        <w:t>1</w:t>
      </w:r>
      <w:r>
        <w:rPr>
          <w:rFonts w:hint="eastAsia" w:ascii="宋体" w:hAnsi="宋体" w:cs="宋体"/>
          <w:color w:val="auto"/>
          <w:spacing w:val="-4"/>
          <w:sz w:val="24"/>
        </w:rPr>
        <w:t>.直接控股股东： 是指其出资额占有限责任公司资本总额百分之五十以上或者</w:t>
      </w:r>
      <w:r>
        <w:rPr>
          <w:rFonts w:hint="eastAsia" w:ascii="宋体" w:hAnsi="宋体" w:cs="宋体"/>
          <w:color w:val="auto"/>
          <w:sz w:val="24"/>
        </w:rPr>
        <w:t xml:space="preserve"> </w:t>
      </w:r>
      <w:r>
        <w:rPr>
          <w:rFonts w:hint="eastAsia" w:ascii="宋体" w:hAnsi="宋体" w:cs="宋体"/>
          <w:color w:val="auto"/>
          <w:spacing w:val="-6"/>
          <w:sz w:val="24"/>
        </w:rPr>
        <w:t>其持有的股</w:t>
      </w:r>
      <w:r>
        <w:rPr>
          <w:rFonts w:hint="eastAsia" w:ascii="宋体" w:hAnsi="宋体" w:cs="宋体"/>
          <w:color w:val="auto"/>
          <w:spacing w:val="-4"/>
          <w:sz w:val="24"/>
        </w:rPr>
        <w:t>份</w:t>
      </w:r>
      <w:r>
        <w:rPr>
          <w:rFonts w:hint="eastAsia" w:ascii="宋体" w:hAnsi="宋体" w:cs="宋体"/>
          <w:color w:val="auto"/>
          <w:spacing w:val="-3"/>
          <w:sz w:val="24"/>
        </w:rPr>
        <w:t>占股份有限公司股份总额百分之五十以上的股东； 出资额或者持有股</w:t>
      </w:r>
      <w:r>
        <w:rPr>
          <w:rFonts w:hint="eastAsia" w:ascii="宋体" w:hAnsi="宋体" w:cs="宋体"/>
          <w:color w:val="auto"/>
          <w:sz w:val="24"/>
        </w:rPr>
        <w:t xml:space="preserve"> </w:t>
      </w:r>
      <w:r>
        <w:rPr>
          <w:rFonts w:hint="eastAsia" w:ascii="宋体" w:hAnsi="宋体" w:cs="宋体"/>
          <w:color w:val="auto"/>
          <w:spacing w:val="-1"/>
          <w:sz w:val="24"/>
        </w:rPr>
        <w:t>份的比例虽然不</w:t>
      </w:r>
      <w:r>
        <w:rPr>
          <w:rFonts w:hint="eastAsia" w:ascii="宋体" w:hAnsi="宋体" w:cs="宋体"/>
          <w:color w:val="auto"/>
          <w:sz w:val="24"/>
        </w:rPr>
        <w:t xml:space="preserve">足百分之五十，但依其出资额或者持有的股份所享有的表决权已足 </w:t>
      </w:r>
      <w:r>
        <w:rPr>
          <w:rFonts w:hint="eastAsia" w:ascii="宋体" w:hAnsi="宋体" w:cs="宋体"/>
          <w:color w:val="auto"/>
          <w:spacing w:val="-2"/>
          <w:sz w:val="24"/>
        </w:rPr>
        <w:t>以对股东会、股东大会的决议产生重大影响的股东</w:t>
      </w:r>
      <w:r>
        <w:rPr>
          <w:rFonts w:hint="eastAsia" w:ascii="宋体" w:hAnsi="宋体" w:cs="宋体"/>
          <w:color w:val="auto"/>
          <w:sz w:val="24"/>
        </w:rPr>
        <w:t>。</w:t>
      </w:r>
    </w:p>
    <w:p w14:paraId="5DCC44F7">
      <w:pPr>
        <w:spacing w:before="3" w:line="360" w:lineRule="auto"/>
        <w:ind w:left="749" w:right="806" w:firstLine="469"/>
        <w:rPr>
          <w:rFonts w:ascii="宋体" w:hAnsi="宋体" w:cs="宋体"/>
          <w:color w:val="auto"/>
          <w:sz w:val="24"/>
        </w:rPr>
      </w:pPr>
      <w:r>
        <w:rPr>
          <w:rFonts w:hint="eastAsia" w:ascii="宋体" w:hAnsi="宋体" w:cs="宋体"/>
          <w:color w:val="auto"/>
          <w:spacing w:val="-7"/>
          <w:sz w:val="24"/>
        </w:rPr>
        <w:t>2.本表所指的控股关系仅限于直接控股关系， 不包括间接的控股关系。 公司实</w:t>
      </w:r>
      <w:r>
        <w:rPr>
          <w:rFonts w:hint="eastAsia" w:ascii="宋体" w:hAnsi="宋体" w:cs="宋体"/>
          <w:color w:val="auto"/>
          <w:sz w:val="24"/>
        </w:rPr>
        <w:t xml:space="preserve"> </w:t>
      </w:r>
      <w:r>
        <w:rPr>
          <w:rFonts w:hint="eastAsia" w:ascii="宋体" w:hAnsi="宋体" w:cs="宋体"/>
          <w:color w:val="auto"/>
          <w:spacing w:val="-4"/>
          <w:sz w:val="24"/>
        </w:rPr>
        <w:t>际控制人与公司之间的</w:t>
      </w:r>
      <w:r>
        <w:rPr>
          <w:rFonts w:hint="eastAsia" w:ascii="宋体" w:hAnsi="宋体" w:cs="宋体"/>
          <w:color w:val="auto"/>
          <w:spacing w:val="-3"/>
          <w:sz w:val="24"/>
        </w:rPr>
        <w:t>关</w:t>
      </w:r>
      <w:r>
        <w:rPr>
          <w:rFonts w:hint="eastAsia" w:ascii="宋体" w:hAnsi="宋体" w:cs="宋体"/>
          <w:color w:val="auto"/>
          <w:spacing w:val="-2"/>
          <w:sz w:val="24"/>
        </w:rPr>
        <w:t>系不属于本表所指的直接控股关系。</w:t>
      </w:r>
    </w:p>
    <w:p w14:paraId="31893322">
      <w:pPr>
        <w:spacing w:line="360" w:lineRule="auto"/>
        <w:ind w:left="1228"/>
        <w:rPr>
          <w:rFonts w:ascii="宋体" w:hAnsi="宋体" w:cs="宋体"/>
          <w:color w:val="auto"/>
          <w:sz w:val="24"/>
        </w:rPr>
      </w:pPr>
      <w:r>
        <w:rPr>
          <w:rFonts w:hint="eastAsia" w:ascii="宋体" w:hAnsi="宋体" w:cs="宋体"/>
          <w:color w:val="auto"/>
          <w:spacing w:val="-2"/>
          <w:sz w:val="24"/>
        </w:rPr>
        <w:t>3.供应商不存</w:t>
      </w:r>
      <w:r>
        <w:rPr>
          <w:rFonts w:hint="eastAsia" w:ascii="宋体" w:hAnsi="宋体" w:cs="宋体"/>
          <w:color w:val="auto"/>
          <w:spacing w:val="-1"/>
          <w:sz w:val="24"/>
        </w:rPr>
        <w:t>在直接控股股东的，则填“无”。</w:t>
      </w:r>
    </w:p>
    <w:p w14:paraId="28EABA17">
      <w:pPr>
        <w:spacing w:line="360" w:lineRule="auto"/>
        <w:rPr>
          <w:rFonts w:ascii="宋体" w:hAnsi="宋体" w:cs="宋体"/>
          <w:color w:val="auto"/>
        </w:rPr>
      </w:pPr>
    </w:p>
    <w:p w14:paraId="146D89FE">
      <w:pPr>
        <w:spacing w:line="360" w:lineRule="auto"/>
        <w:rPr>
          <w:rFonts w:ascii="宋体" w:hAnsi="宋体" w:cs="宋体"/>
          <w:color w:val="auto"/>
        </w:rPr>
      </w:pPr>
    </w:p>
    <w:p w14:paraId="779C4B6E">
      <w:pPr>
        <w:spacing w:line="360" w:lineRule="auto"/>
        <w:rPr>
          <w:rFonts w:ascii="宋体" w:hAnsi="宋体" w:cs="宋体"/>
          <w:color w:val="auto"/>
        </w:rPr>
      </w:pPr>
    </w:p>
    <w:p w14:paraId="04B50B4B">
      <w:pPr>
        <w:spacing w:before="78" w:line="360" w:lineRule="auto"/>
        <w:ind w:left="4610"/>
        <w:rPr>
          <w:rFonts w:ascii="宋体" w:hAnsi="宋体" w:cs="宋体"/>
          <w:color w:val="auto"/>
          <w:sz w:val="24"/>
        </w:rPr>
      </w:pPr>
      <w:r>
        <w:rPr>
          <w:rFonts w:hint="eastAsia" w:ascii="宋体" w:hAnsi="宋体" w:cs="宋体"/>
          <w:color w:val="auto"/>
          <w:spacing w:val="-8"/>
          <w:sz w:val="24"/>
        </w:rPr>
        <w:t>供</w:t>
      </w:r>
      <w:r>
        <w:rPr>
          <w:rFonts w:hint="eastAsia" w:ascii="宋体" w:hAnsi="宋体" w:cs="宋体"/>
          <w:color w:val="auto"/>
          <w:spacing w:val="-7"/>
          <w:sz w:val="24"/>
        </w:rPr>
        <w:t>应</w:t>
      </w:r>
      <w:r>
        <w:rPr>
          <w:rFonts w:hint="eastAsia" w:ascii="宋体" w:hAnsi="宋体" w:cs="宋体"/>
          <w:color w:val="auto"/>
          <w:spacing w:val="-4"/>
          <w:sz w:val="24"/>
        </w:rPr>
        <w:t>商名称( 电子签章 )：</w:t>
      </w:r>
    </w:p>
    <w:p w14:paraId="67026264">
      <w:pPr>
        <w:spacing w:line="360" w:lineRule="auto"/>
        <w:rPr>
          <w:rFonts w:ascii="宋体" w:hAnsi="宋体" w:cs="宋体"/>
          <w:color w:val="auto"/>
        </w:rPr>
      </w:pPr>
    </w:p>
    <w:p w14:paraId="43BC9EF0">
      <w:pPr>
        <w:spacing w:before="78" w:line="360" w:lineRule="auto"/>
        <w:ind w:left="6648"/>
        <w:rPr>
          <w:rFonts w:ascii="宋体" w:hAnsi="宋体" w:cs="宋体"/>
          <w:color w:val="auto"/>
          <w:sz w:val="24"/>
        </w:rPr>
      </w:pPr>
      <w:r>
        <w:rPr>
          <w:rFonts w:hint="eastAsia" w:ascii="宋体" w:hAnsi="宋体" w:cs="宋体"/>
          <w:color w:val="auto"/>
          <w:spacing w:val="-16"/>
          <w:sz w:val="24"/>
        </w:rPr>
        <w:t>日</w:t>
      </w:r>
      <w:r>
        <w:rPr>
          <w:rFonts w:hint="eastAsia" w:ascii="宋体" w:hAnsi="宋体" w:cs="宋体"/>
          <w:color w:val="auto"/>
          <w:spacing w:val="-9"/>
          <w:sz w:val="24"/>
        </w:rPr>
        <w:t>期</w:t>
      </w:r>
      <w:r>
        <w:rPr>
          <w:rFonts w:hint="eastAsia" w:ascii="宋体" w:hAnsi="宋体" w:cs="宋体"/>
          <w:color w:val="auto"/>
          <w:spacing w:val="-8"/>
          <w:sz w:val="24"/>
        </w:rPr>
        <w:t>：   年  月   日</w:t>
      </w:r>
    </w:p>
    <w:p w14:paraId="3ED81763">
      <w:pPr>
        <w:spacing w:line="360" w:lineRule="auto"/>
        <w:rPr>
          <w:rFonts w:ascii="宋体" w:hAnsi="宋体" w:cs="宋体"/>
          <w:color w:val="auto"/>
        </w:rPr>
      </w:pPr>
      <w:r>
        <w:rPr>
          <w:rFonts w:ascii="宋体" w:hAnsi="宋体" w:cs="宋体"/>
          <w:color w:val="auto"/>
        </w:rPr>
        <w:br w:type="page"/>
      </w:r>
    </w:p>
    <w:p w14:paraId="718330F7">
      <w:pPr>
        <w:spacing w:before="97" w:line="360" w:lineRule="auto"/>
        <w:ind w:left="1094"/>
        <w:rPr>
          <w:rFonts w:ascii="宋体" w:hAnsi="宋体" w:cs="宋体"/>
          <w:color w:val="auto"/>
          <w:sz w:val="30"/>
          <w:szCs w:val="30"/>
        </w:rPr>
      </w:pPr>
      <w:r>
        <w:rPr>
          <w:rFonts w:hint="eastAsia" w:ascii="宋体" w:hAnsi="宋体" w:cs="宋体"/>
          <w:color w:val="auto"/>
          <w:spacing w:val="-2"/>
          <w:sz w:val="30"/>
          <w:szCs w:val="30"/>
        </w:rPr>
        <w:t>五、供应商直接管理</w:t>
      </w:r>
      <w:r>
        <w:rPr>
          <w:rFonts w:hint="eastAsia" w:ascii="宋体" w:hAnsi="宋体" w:cs="宋体"/>
          <w:color w:val="auto"/>
          <w:spacing w:val="-1"/>
          <w:sz w:val="30"/>
          <w:szCs w:val="30"/>
        </w:rPr>
        <w:t>关系信息表</w:t>
      </w:r>
    </w:p>
    <w:p w14:paraId="4672160C">
      <w:pPr>
        <w:spacing w:line="360" w:lineRule="auto"/>
        <w:rPr>
          <w:rFonts w:ascii="宋体" w:hAnsi="宋体" w:cs="宋体"/>
          <w:color w:val="auto"/>
        </w:rPr>
      </w:pPr>
    </w:p>
    <w:p w14:paraId="04B493BE">
      <w:pPr>
        <w:spacing w:line="360" w:lineRule="auto"/>
        <w:rPr>
          <w:rFonts w:ascii="宋体" w:hAnsi="宋体" w:cs="宋体"/>
          <w:color w:val="auto"/>
        </w:rPr>
      </w:pPr>
    </w:p>
    <w:tbl>
      <w:tblPr>
        <w:tblStyle w:val="26"/>
        <w:tblW w:w="9662" w:type="dxa"/>
        <w:tblInd w:w="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2"/>
        <w:gridCol w:w="3596"/>
        <w:gridCol w:w="3553"/>
        <w:gridCol w:w="1701"/>
      </w:tblGrid>
      <w:tr w14:paraId="06864F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812" w:type="dxa"/>
            <w:tcBorders>
              <w:top w:val="single" w:color="000000" w:sz="2" w:space="0"/>
              <w:bottom w:val="single" w:color="000000" w:sz="2" w:space="0"/>
            </w:tcBorders>
          </w:tcPr>
          <w:p w14:paraId="52002AFD">
            <w:pPr>
              <w:spacing w:before="125" w:line="360" w:lineRule="auto"/>
              <w:ind w:left="168"/>
              <w:rPr>
                <w:rFonts w:ascii="宋体" w:hAnsi="宋体" w:cs="宋体"/>
                <w:color w:val="auto"/>
                <w:sz w:val="24"/>
              </w:rPr>
            </w:pPr>
            <w:r>
              <w:rPr>
                <w:rFonts w:hint="eastAsia" w:ascii="宋体" w:hAnsi="宋体" w:cs="宋体"/>
                <w:color w:val="auto"/>
                <w:spacing w:val="-5"/>
                <w:sz w:val="24"/>
              </w:rPr>
              <w:t>序</w:t>
            </w:r>
            <w:r>
              <w:rPr>
                <w:rFonts w:hint="eastAsia" w:ascii="宋体" w:hAnsi="宋体" w:cs="宋体"/>
                <w:color w:val="auto"/>
                <w:spacing w:val="-4"/>
                <w:sz w:val="24"/>
              </w:rPr>
              <w:t>号</w:t>
            </w:r>
          </w:p>
        </w:tc>
        <w:tc>
          <w:tcPr>
            <w:tcW w:w="3596" w:type="dxa"/>
            <w:tcBorders>
              <w:top w:val="single" w:color="000000" w:sz="2" w:space="0"/>
              <w:bottom w:val="single" w:color="000000" w:sz="2" w:space="0"/>
            </w:tcBorders>
          </w:tcPr>
          <w:p w14:paraId="28C35074">
            <w:pPr>
              <w:spacing w:before="125" w:line="360" w:lineRule="auto"/>
              <w:ind w:left="601"/>
              <w:rPr>
                <w:rFonts w:ascii="宋体" w:hAnsi="宋体" w:cs="宋体"/>
                <w:color w:val="auto"/>
                <w:sz w:val="24"/>
              </w:rPr>
            </w:pPr>
            <w:r>
              <w:rPr>
                <w:rFonts w:hint="eastAsia" w:ascii="宋体" w:hAnsi="宋体" w:cs="宋体"/>
                <w:color w:val="auto"/>
                <w:spacing w:val="-1"/>
                <w:sz w:val="24"/>
              </w:rPr>
              <w:t>直接管理关系单位名称</w:t>
            </w:r>
          </w:p>
        </w:tc>
        <w:tc>
          <w:tcPr>
            <w:tcW w:w="3553" w:type="dxa"/>
            <w:tcBorders>
              <w:top w:val="single" w:color="000000" w:sz="2" w:space="0"/>
              <w:bottom w:val="single" w:color="000000" w:sz="2" w:space="0"/>
            </w:tcBorders>
          </w:tcPr>
          <w:p w14:paraId="49CF1FB0">
            <w:pPr>
              <w:spacing w:before="125" w:line="360" w:lineRule="auto"/>
              <w:ind w:left="826"/>
              <w:rPr>
                <w:rFonts w:ascii="宋体" w:hAnsi="宋体" w:cs="宋体"/>
                <w:color w:val="auto"/>
                <w:sz w:val="24"/>
              </w:rPr>
            </w:pPr>
            <w:r>
              <w:rPr>
                <w:rFonts w:hint="eastAsia" w:ascii="宋体" w:hAnsi="宋体" w:cs="宋体"/>
                <w:color w:val="auto"/>
                <w:spacing w:val="-2"/>
                <w:sz w:val="24"/>
              </w:rPr>
              <w:t>统一社会信</w:t>
            </w:r>
            <w:r>
              <w:rPr>
                <w:rFonts w:hint="eastAsia" w:ascii="宋体" w:hAnsi="宋体" w:cs="宋体"/>
                <w:color w:val="auto"/>
                <w:spacing w:val="-1"/>
                <w:sz w:val="24"/>
              </w:rPr>
              <w:t>用代码</w:t>
            </w:r>
          </w:p>
        </w:tc>
        <w:tc>
          <w:tcPr>
            <w:tcW w:w="1701" w:type="dxa"/>
            <w:tcBorders>
              <w:top w:val="single" w:color="000000" w:sz="2" w:space="0"/>
              <w:bottom w:val="single" w:color="000000" w:sz="2" w:space="0"/>
            </w:tcBorders>
          </w:tcPr>
          <w:p w14:paraId="046723FE">
            <w:pPr>
              <w:spacing w:before="125" w:line="360" w:lineRule="auto"/>
              <w:ind w:left="621"/>
              <w:rPr>
                <w:rFonts w:ascii="宋体" w:hAnsi="宋体" w:cs="宋体"/>
                <w:color w:val="auto"/>
                <w:sz w:val="24"/>
              </w:rPr>
            </w:pPr>
            <w:r>
              <w:rPr>
                <w:rFonts w:hint="eastAsia" w:ascii="宋体" w:hAnsi="宋体" w:cs="宋体"/>
                <w:color w:val="auto"/>
                <w:spacing w:val="-4"/>
                <w:sz w:val="24"/>
              </w:rPr>
              <w:t>备</w:t>
            </w:r>
            <w:r>
              <w:rPr>
                <w:rFonts w:hint="eastAsia" w:ascii="宋体" w:hAnsi="宋体" w:cs="宋体"/>
                <w:color w:val="auto"/>
                <w:spacing w:val="-3"/>
                <w:sz w:val="24"/>
              </w:rPr>
              <w:t>注</w:t>
            </w:r>
          </w:p>
        </w:tc>
      </w:tr>
      <w:tr w14:paraId="7F522E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812" w:type="dxa"/>
            <w:tcBorders>
              <w:top w:val="single" w:color="000000" w:sz="2" w:space="0"/>
              <w:bottom w:val="single" w:color="000000" w:sz="2" w:space="0"/>
            </w:tcBorders>
          </w:tcPr>
          <w:p w14:paraId="45C4DE73">
            <w:pPr>
              <w:spacing w:before="159" w:line="360" w:lineRule="auto"/>
              <w:ind w:left="367"/>
              <w:rPr>
                <w:rFonts w:ascii="宋体" w:hAnsi="宋体" w:cs="宋体"/>
                <w:color w:val="auto"/>
                <w:sz w:val="24"/>
              </w:rPr>
            </w:pPr>
            <w:r>
              <w:rPr>
                <w:rFonts w:hint="eastAsia" w:ascii="宋体" w:hAnsi="宋体" w:cs="宋体"/>
                <w:color w:val="auto"/>
                <w:sz w:val="24"/>
              </w:rPr>
              <w:t>1</w:t>
            </w:r>
          </w:p>
        </w:tc>
        <w:tc>
          <w:tcPr>
            <w:tcW w:w="3596" w:type="dxa"/>
            <w:tcBorders>
              <w:top w:val="single" w:color="000000" w:sz="2" w:space="0"/>
              <w:bottom w:val="single" w:color="000000" w:sz="2" w:space="0"/>
            </w:tcBorders>
          </w:tcPr>
          <w:p w14:paraId="0392FAD7">
            <w:pPr>
              <w:spacing w:line="360" w:lineRule="auto"/>
              <w:rPr>
                <w:rFonts w:ascii="宋体" w:hAnsi="宋体" w:cs="宋体"/>
                <w:color w:val="auto"/>
              </w:rPr>
            </w:pPr>
          </w:p>
        </w:tc>
        <w:tc>
          <w:tcPr>
            <w:tcW w:w="3553" w:type="dxa"/>
            <w:tcBorders>
              <w:top w:val="single" w:color="000000" w:sz="2" w:space="0"/>
              <w:bottom w:val="single" w:color="000000" w:sz="2" w:space="0"/>
            </w:tcBorders>
          </w:tcPr>
          <w:p w14:paraId="43809877">
            <w:pPr>
              <w:spacing w:line="360" w:lineRule="auto"/>
              <w:rPr>
                <w:rFonts w:ascii="宋体" w:hAnsi="宋体" w:cs="宋体"/>
                <w:color w:val="auto"/>
              </w:rPr>
            </w:pPr>
          </w:p>
        </w:tc>
        <w:tc>
          <w:tcPr>
            <w:tcW w:w="1701" w:type="dxa"/>
            <w:tcBorders>
              <w:top w:val="single" w:color="000000" w:sz="2" w:space="0"/>
              <w:bottom w:val="single" w:color="000000" w:sz="2" w:space="0"/>
            </w:tcBorders>
          </w:tcPr>
          <w:p w14:paraId="0E106BA1">
            <w:pPr>
              <w:spacing w:line="360" w:lineRule="auto"/>
              <w:rPr>
                <w:rFonts w:ascii="宋体" w:hAnsi="宋体" w:cs="宋体"/>
                <w:color w:val="auto"/>
              </w:rPr>
            </w:pPr>
          </w:p>
        </w:tc>
      </w:tr>
      <w:tr w14:paraId="593971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812" w:type="dxa"/>
            <w:tcBorders>
              <w:top w:val="single" w:color="000000" w:sz="2" w:space="0"/>
              <w:bottom w:val="single" w:color="000000" w:sz="2" w:space="0"/>
            </w:tcBorders>
          </w:tcPr>
          <w:p w14:paraId="17D33061">
            <w:pPr>
              <w:spacing w:before="162" w:line="360" w:lineRule="auto"/>
              <w:ind w:left="352"/>
              <w:rPr>
                <w:rFonts w:ascii="宋体" w:hAnsi="宋体" w:cs="宋体"/>
                <w:color w:val="auto"/>
                <w:sz w:val="24"/>
              </w:rPr>
            </w:pPr>
            <w:r>
              <w:rPr>
                <w:rFonts w:hint="eastAsia" w:ascii="宋体" w:hAnsi="宋体" w:cs="宋体"/>
                <w:color w:val="auto"/>
                <w:sz w:val="24"/>
              </w:rPr>
              <w:t>2</w:t>
            </w:r>
          </w:p>
        </w:tc>
        <w:tc>
          <w:tcPr>
            <w:tcW w:w="3596" w:type="dxa"/>
            <w:tcBorders>
              <w:top w:val="single" w:color="000000" w:sz="2" w:space="0"/>
              <w:bottom w:val="single" w:color="000000" w:sz="2" w:space="0"/>
            </w:tcBorders>
          </w:tcPr>
          <w:p w14:paraId="7F56E538">
            <w:pPr>
              <w:spacing w:line="360" w:lineRule="auto"/>
              <w:rPr>
                <w:rFonts w:ascii="宋体" w:hAnsi="宋体" w:cs="宋体"/>
                <w:color w:val="auto"/>
              </w:rPr>
            </w:pPr>
          </w:p>
        </w:tc>
        <w:tc>
          <w:tcPr>
            <w:tcW w:w="3553" w:type="dxa"/>
            <w:tcBorders>
              <w:top w:val="single" w:color="000000" w:sz="2" w:space="0"/>
              <w:bottom w:val="single" w:color="000000" w:sz="2" w:space="0"/>
            </w:tcBorders>
          </w:tcPr>
          <w:p w14:paraId="3B3819D9">
            <w:pPr>
              <w:spacing w:line="360" w:lineRule="auto"/>
              <w:rPr>
                <w:rFonts w:ascii="宋体" w:hAnsi="宋体" w:cs="宋体"/>
                <w:color w:val="auto"/>
              </w:rPr>
            </w:pPr>
          </w:p>
        </w:tc>
        <w:tc>
          <w:tcPr>
            <w:tcW w:w="1701" w:type="dxa"/>
            <w:tcBorders>
              <w:top w:val="single" w:color="000000" w:sz="2" w:space="0"/>
              <w:bottom w:val="single" w:color="000000" w:sz="2" w:space="0"/>
            </w:tcBorders>
          </w:tcPr>
          <w:p w14:paraId="5CC91EA3">
            <w:pPr>
              <w:spacing w:line="360" w:lineRule="auto"/>
              <w:rPr>
                <w:rFonts w:ascii="宋体" w:hAnsi="宋体" w:cs="宋体"/>
                <w:color w:val="auto"/>
              </w:rPr>
            </w:pPr>
          </w:p>
        </w:tc>
      </w:tr>
      <w:tr w14:paraId="487E6C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812" w:type="dxa"/>
            <w:tcBorders>
              <w:top w:val="single" w:color="000000" w:sz="2" w:space="0"/>
              <w:bottom w:val="single" w:color="000000" w:sz="2" w:space="0"/>
            </w:tcBorders>
          </w:tcPr>
          <w:p w14:paraId="1FF6452E">
            <w:pPr>
              <w:spacing w:before="162" w:line="360" w:lineRule="auto"/>
              <w:ind w:left="354"/>
              <w:rPr>
                <w:rFonts w:ascii="宋体" w:hAnsi="宋体" w:cs="宋体"/>
                <w:color w:val="auto"/>
                <w:sz w:val="24"/>
              </w:rPr>
            </w:pPr>
            <w:r>
              <w:rPr>
                <w:rFonts w:hint="eastAsia" w:ascii="宋体" w:hAnsi="宋体" w:cs="宋体"/>
                <w:color w:val="auto"/>
                <w:sz w:val="24"/>
              </w:rPr>
              <w:t>3</w:t>
            </w:r>
          </w:p>
        </w:tc>
        <w:tc>
          <w:tcPr>
            <w:tcW w:w="3596" w:type="dxa"/>
            <w:tcBorders>
              <w:top w:val="single" w:color="000000" w:sz="2" w:space="0"/>
              <w:bottom w:val="single" w:color="000000" w:sz="2" w:space="0"/>
            </w:tcBorders>
          </w:tcPr>
          <w:p w14:paraId="3D2391FD">
            <w:pPr>
              <w:spacing w:line="360" w:lineRule="auto"/>
              <w:rPr>
                <w:rFonts w:ascii="宋体" w:hAnsi="宋体" w:cs="宋体"/>
                <w:color w:val="auto"/>
              </w:rPr>
            </w:pPr>
          </w:p>
        </w:tc>
        <w:tc>
          <w:tcPr>
            <w:tcW w:w="3553" w:type="dxa"/>
            <w:tcBorders>
              <w:top w:val="single" w:color="000000" w:sz="2" w:space="0"/>
              <w:bottom w:val="single" w:color="000000" w:sz="2" w:space="0"/>
            </w:tcBorders>
          </w:tcPr>
          <w:p w14:paraId="250C51AE">
            <w:pPr>
              <w:spacing w:line="360" w:lineRule="auto"/>
              <w:rPr>
                <w:rFonts w:ascii="宋体" w:hAnsi="宋体" w:cs="宋体"/>
                <w:color w:val="auto"/>
              </w:rPr>
            </w:pPr>
          </w:p>
        </w:tc>
        <w:tc>
          <w:tcPr>
            <w:tcW w:w="1701" w:type="dxa"/>
            <w:tcBorders>
              <w:top w:val="single" w:color="000000" w:sz="2" w:space="0"/>
              <w:bottom w:val="single" w:color="000000" w:sz="2" w:space="0"/>
            </w:tcBorders>
          </w:tcPr>
          <w:p w14:paraId="0AB79C97">
            <w:pPr>
              <w:spacing w:line="360" w:lineRule="auto"/>
              <w:rPr>
                <w:rFonts w:ascii="宋体" w:hAnsi="宋体" w:cs="宋体"/>
                <w:color w:val="auto"/>
              </w:rPr>
            </w:pPr>
          </w:p>
        </w:tc>
      </w:tr>
      <w:tr w14:paraId="73B33C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trPr>
        <w:tc>
          <w:tcPr>
            <w:tcW w:w="812" w:type="dxa"/>
            <w:tcBorders>
              <w:top w:val="single" w:color="000000" w:sz="2" w:space="0"/>
              <w:bottom w:val="single" w:color="000000" w:sz="2" w:space="0"/>
            </w:tcBorders>
          </w:tcPr>
          <w:p w14:paraId="7AD44E89">
            <w:pPr>
              <w:spacing w:before="124" w:line="360" w:lineRule="auto"/>
              <w:ind w:left="184"/>
              <w:rPr>
                <w:rFonts w:ascii="宋体" w:hAnsi="宋体" w:cs="宋体"/>
                <w:color w:val="auto"/>
                <w:sz w:val="24"/>
              </w:rPr>
            </w:pPr>
            <w:r>
              <w:rPr>
                <w:rFonts w:hint="eastAsia" w:ascii="宋体" w:hAnsi="宋体" w:cs="宋体"/>
                <w:color w:val="auto"/>
                <w:spacing w:val="-7"/>
                <w:position w:val="2"/>
                <w:sz w:val="24"/>
              </w:rPr>
              <w:t>…</w:t>
            </w:r>
            <w:r>
              <w:rPr>
                <w:rFonts w:hint="eastAsia" w:ascii="宋体" w:hAnsi="宋体" w:cs="宋体"/>
                <w:color w:val="auto"/>
                <w:spacing w:val="-6"/>
                <w:position w:val="2"/>
                <w:sz w:val="24"/>
              </w:rPr>
              <w:t>…</w:t>
            </w:r>
          </w:p>
        </w:tc>
        <w:tc>
          <w:tcPr>
            <w:tcW w:w="3596" w:type="dxa"/>
            <w:tcBorders>
              <w:top w:val="single" w:color="000000" w:sz="2" w:space="0"/>
              <w:bottom w:val="single" w:color="000000" w:sz="2" w:space="0"/>
            </w:tcBorders>
          </w:tcPr>
          <w:p w14:paraId="12E0EE28">
            <w:pPr>
              <w:spacing w:line="360" w:lineRule="auto"/>
              <w:rPr>
                <w:rFonts w:ascii="宋体" w:hAnsi="宋体" w:cs="宋体"/>
                <w:color w:val="auto"/>
              </w:rPr>
            </w:pPr>
          </w:p>
        </w:tc>
        <w:tc>
          <w:tcPr>
            <w:tcW w:w="3553" w:type="dxa"/>
            <w:tcBorders>
              <w:top w:val="single" w:color="000000" w:sz="2" w:space="0"/>
              <w:bottom w:val="single" w:color="000000" w:sz="2" w:space="0"/>
            </w:tcBorders>
          </w:tcPr>
          <w:p w14:paraId="7C835EAC">
            <w:pPr>
              <w:spacing w:line="360" w:lineRule="auto"/>
              <w:rPr>
                <w:rFonts w:ascii="宋体" w:hAnsi="宋体" w:cs="宋体"/>
                <w:color w:val="auto"/>
              </w:rPr>
            </w:pPr>
          </w:p>
        </w:tc>
        <w:tc>
          <w:tcPr>
            <w:tcW w:w="1701" w:type="dxa"/>
            <w:tcBorders>
              <w:top w:val="single" w:color="000000" w:sz="2" w:space="0"/>
              <w:bottom w:val="single" w:color="000000" w:sz="2" w:space="0"/>
            </w:tcBorders>
          </w:tcPr>
          <w:p w14:paraId="79D3454F">
            <w:pPr>
              <w:spacing w:line="360" w:lineRule="auto"/>
              <w:rPr>
                <w:rFonts w:ascii="宋体" w:hAnsi="宋体" w:cs="宋体"/>
                <w:color w:val="auto"/>
              </w:rPr>
            </w:pPr>
          </w:p>
        </w:tc>
      </w:tr>
    </w:tbl>
    <w:p w14:paraId="533F7CF6">
      <w:pPr>
        <w:spacing w:line="360" w:lineRule="auto"/>
        <w:ind w:left="969"/>
        <w:rPr>
          <w:rFonts w:ascii="宋体" w:hAnsi="宋体" w:cs="宋体"/>
          <w:color w:val="auto"/>
          <w:sz w:val="23"/>
          <w:szCs w:val="23"/>
        </w:rPr>
      </w:pPr>
      <w:r>
        <w:rPr>
          <w:rFonts w:hint="eastAsia" w:ascii="宋体" w:hAnsi="宋体" w:cs="宋体"/>
          <w:color w:val="auto"/>
          <w:spacing w:val="-16"/>
          <w:sz w:val="23"/>
          <w:szCs w:val="23"/>
        </w:rPr>
        <w:t>注：</w:t>
      </w:r>
    </w:p>
    <w:p w14:paraId="7A864FAA">
      <w:pPr>
        <w:spacing w:before="69" w:line="360" w:lineRule="auto"/>
        <w:ind w:left="978"/>
        <w:rPr>
          <w:rFonts w:ascii="宋体" w:hAnsi="宋体" w:cs="宋体"/>
          <w:color w:val="auto"/>
          <w:sz w:val="24"/>
        </w:rPr>
      </w:pPr>
      <w:r>
        <w:rPr>
          <w:rFonts w:hint="eastAsia" w:ascii="宋体" w:hAnsi="宋体" w:cs="宋体"/>
          <w:color w:val="auto"/>
          <w:spacing w:val="-5"/>
          <w:sz w:val="24"/>
        </w:rPr>
        <w:t>1</w:t>
      </w:r>
      <w:r>
        <w:rPr>
          <w:rFonts w:hint="eastAsia" w:ascii="宋体" w:hAnsi="宋体" w:cs="宋体"/>
          <w:color w:val="auto"/>
          <w:spacing w:val="-4"/>
          <w:sz w:val="24"/>
        </w:rPr>
        <w:t>.管理关系： 是指不具有出资持股关系的其他单位之间存在的管理与被管理关</w:t>
      </w:r>
    </w:p>
    <w:p w14:paraId="76618E18">
      <w:pPr>
        <w:spacing w:before="82" w:line="360" w:lineRule="auto"/>
        <w:ind w:left="494"/>
        <w:rPr>
          <w:rFonts w:ascii="宋体" w:hAnsi="宋体" w:cs="宋体"/>
          <w:color w:val="auto"/>
          <w:sz w:val="24"/>
        </w:rPr>
      </w:pPr>
      <w:r>
        <w:rPr>
          <w:rFonts w:hint="eastAsia" w:ascii="宋体" w:hAnsi="宋体" w:cs="宋体"/>
          <w:color w:val="auto"/>
          <w:spacing w:val="-10"/>
          <w:sz w:val="24"/>
        </w:rPr>
        <w:t>系</w:t>
      </w:r>
      <w:r>
        <w:rPr>
          <w:rFonts w:hint="eastAsia" w:ascii="宋体" w:hAnsi="宋体" w:cs="宋体"/>
          <w:color w:val="auto"/>
          <w:spacing w:val="-8"/>
          <w:sz w:val="24"/>
        </w:rPr>
        <w:t>， 如一些上下级关系的事业单位和团体组织。</w:t>
      </w:r>
    </w:p>
    <w:p w14:paraId="4FB37E7D">
      <w:pPr>
        <w:spacing w:before="75" w:line="360" w:lineRule="auto"/>
        <w:ind w:left="981" w:right="1326" w:hanging="9"/>
        <w:rPr>
          <w:rFonts w:ascii="宋体" w:hAnsi="宋体" w:cs="宋体"/>
          <w:color w:val="auto"/>
          <w:sz w:val="24"/>
        </w:rPr>
      </w:pPr>
      <w:r>
        <w:rPr>
          <w:rFonts w:hint="eastAsia" w:ascii="宋体" w:hAnsi="宋体" w:cs="宋体"/>
          <w:color w:val="auto"/>
          <w:spacing w:val="-10"/>
          <w:sz w:val="24"/>
        </w:rPr>
        <w:t>2.本表</w:t>
      </w:r>
      <w:r>
        <w:rPr>
          <w:rFonts w:hint="eastAsia" w:ascii="宋体" w:hAnsi="宋体" w:cs="宋体"/>
          <w:color w:val="auto"/>
          <w:spacing w:val="-8"/>
          <w:sz w:val="24"/>
        </w:rPr>
        <w:t>所</w:t>
      </w:r>
      <w:r>
        <w:rPr>
          <w:rFonts w:hint="eastAsia" w:ascii="宋体" w:hAnsi="宋体" w:cs="宋体"/>
          <w:color w:val="auto"/>
          <w:spacing w:val="-5"/>
          <w:sz w:val="24"/>
        </w:rPr>
        <w:t>指的管理关系仅限于直接管理关系， 不包括间接的管理关系。</w:t>
      </w:r>
      <w:r>
        <w:rPr>
          <w:rFonts w:hint="eastAsia" w:ascii="宋体" w:hAnsi="宋体" w:cs="宋体"/>
          <w:color w:val="auto"/>
          <w:sz w:val="24"/>
        </w:rPr>
        <w:t xml:space="preserve"> </w:t>
      </w:r>
      <w:r>
        <w:rPr>
          <w:rFonts w:hint="eastAsia" w:ascii="宋体" w:hAnsi="宋体" w:cs="宋体"/>
          <w:color w:val="auto"/>
          <w:spacing w:val="-2"/>
          <w:sz w:val="24"/>
        </w:rPr>
        <w:t>3.供应商不存</w:t>
      </w:r>
      <w:r>
        <w:rPr>
          <w:rFonts w:hint="eastAsia" w:ascii="宋体" w:hAnsi="宋体" w:cs="宋体"/>
          <w:color w:val="auto"/>
          <w:spacing w:val="-1"/>
          <w:sz w:val="24"/>
        </w:rPr>
        <w:t>在直接管理关系的，则填“无”。</w:t>
      </w:r>
    </w:p>
    <w:p w14:paraId="1CB64250">
      <w:pPr>
        <w:spacing w:line="360" w:lineRule="auto"/>
        <w:rPr>
          <w:rFonts w:ascii="宋体" w:hAnsi="宋体" w:cs="宋体"/>
          <w:color w:val="auto"/>
        </w:rPr>
      </w:pPr>
    </w:p>
    <w:p w14:paraId="5EA90805">
      <w:pPr>
        <w:spacing w:before="79" w:line="360" w:lineRule="auto"/>
        <w:ind w:left="4364"/>
        <w:rPr>
          <w:rFonts w:ascii="宋体" w:hAnsi="宋体" w:cs="宋体"/>
          <w:color w:val="auto"/>
          <w:sz w:val="24"/>
        </w:rPr>
      </w:pPr>
      <w:r>
        <w:rPr>
          <w:rFonts w:hint="eastAsia" w:ascii="宋体" w:hAnsi="宋体" w:cs="宋体"/>
          <w:color w:val="auto"/>
          <w:spacing w:val="-8"/>
          <w:sz w:val="24"/>
        </w:rPr>
        <w:t>供</w:t>
      </w:r>
      <w:r>
        <w:rPr>
          <w:rFonts w:hint="eastAsia" w:ascii="宋体" w:hAnsi="宋体" w:cs="宋体"/>
          <w:color w:val="auto"/>
          <w:spacing w:val="-7"/>
          <w:sz w:val="24"/>
        </w:rPr>
        <w:t>应</w:t>
      </w:r>
      <w:r>
        <w:rPr>
          <w:rFonts w:hint="eastAsia" w:ascii="宋体" w:hAnsi="宋体" w:cs="宋体"/>
          <w:color w:val="auto"/>
          <w:spacing w:val="-4"/>
          <w:sz w:val="24"/>
        </w:rPr>
        <w:t>商名称( 电子签章 )：</w:t>
      </w:r>
    </w:p>
    <w:p w14:paraId="6CF745CD">
      <w:pPr>
        <w:spacing w:before="79" w:line="360" w:lineRule="auto"/>
        <w:ind w:left="6648"/>
        <w:rPr>
          <w:rFonts w:ascii="宋体" w:hAnsi="宋体" w:cs="宋体"/>
          <w:color w:val="auto"/>
          <w:sz w:val="24"/>
        </w:rPr>
      </w:pPr>
      <w:r>
        <w:rPr>
          <w:rFonts w:hint="eastAsia" w:ascii="宋体" w:hAnsi="宋体" w:cs="宋体"/>
          <w:color w:val="auto"/>
          <w:spacing w:val="-16"/>
          <w:sz w:val="24"/>
        </w:rPr>
        <w:t>日</w:t>
      </w:r>
      <w:r>
        <w:rPr>
          <w:rFonts w:hint="eastAsia" w:ascii="宋体" w:hAnsi="宋体" w:cs="宋体"/>
          <w:color w:val="auto"/>
          <w:spacing w:val="-9"/>
          <w:sz w:val="24"/>
        </w:rPr>
        <w:t>期</w:t>
      </w:r>
      <w:r>
        <w:rPr>
          <w:rFonts w:hint="eastAsia" w:ascii="宋体" w:hAnsi="宋体" w:cs="宋体"/>
          <w:color w:val="auto"/>
          <w:spacing w:val="-8"/>
          <w:sz w:val="24"/>
        </w:rPr>
        <w:t>：   年  月   日</w:t>
      </w:r>
    </w:p>
    <w:p w14:paraId="135C559A">
      <w:pPr>
        <w:spacing w:line="360" w:lineRule="auto"/>
        <w:rPr>
          <w:rFonts w:ascii="宋体" w:hAnsi="宋体" w:cs="宋体"/>
          <w:color w:val="auto"/>
        </w:rPr>
      </w:pPr>
    </w:p>
    <w:p w14:paraId="518E545A">
      <w:pPr>
        <w:pStyle w:val="2"/>
        <w:spacing w:line="360" w:lineRule="auto"/>
        <w:ind w:firstLine="420"/>
        <w:rPr>
          <w:rFonts w:eastAsia="宋体" w:cs="宋体"/>
          <w:color w:val="auto"/>
          <w:sz w:val="21"/>
        </w:rPr>
      </w:pPr>
    </w:p>
    <w:p w14:paraId="2CD566D0">
      <w:pPr>
        <w:pStyle w:val="2"/>
        <w:spacing w:line="360" w:lineRule="auto"/>
        <w:ind w:firstLine="420"/>
        <w:rPr>
          <w:rFonts w:eastAsia="宋体" w:cs="宋体"/>
          <w:color w:val="auto"/>
          <w:sz w:val="21"/>
        </w:rPr>
      </w:pPr>
    </w:p>
    <w:p w14:paraId="5D8717E2">
      <w:pPr>
        <w:pStyle w:val="2"/>
        <w:spacing w:line="360" w:lineRule="auto"/>
        <w:ind w:firstLine="420"/>
        <w:rPr>
          <w:rFonts w:eastAsia="宋体" w:cs="宋体"/>
          <w:color w:val="auto"/>
          <w:sz w:val="21"/>
        </w:rPr>
      </w:pPr>
    </w:p>
    <w:p w14:paraId="15DDC2B3">
      <w:pPr>
        <w:pStyle w:val="2"/>
        <w:spacing w:line="360" w:lineRule="auto"/>
        <w:ind w:firstLine="420"/>
        <w:rPr>
          <w:rFonts w:eastAsia="宋体" w:cs="宋体"/>
          <w:color w:val="auto"/>
          <w:sz w:val="21"/>
        </w:rPr>
      </w:pPr>
    </w:p>
    <w:p w14:paraId="40815EBF">
      <w:pPr>
        <w:pStyle w:val="2"/>
        <w:spacing w:line="360" w:lineRule="auto"/>
        <w:ind w:firstLine="420"/>
        <w:rPr>
          <w:rFonts w:eastAsia="宋体" w:cs="宋体"/>
          <w:color w:val="auto"/>
          <w:sz w:val="21"/>
        </w:rPr>
      </w:pPr>
    </w:p>
    <w:p w14:paraId="3DB2DC74">
      <w:pPr>
        <w:spacing w:before="98" w:line="360" w:lineRule="auto"/>
        <w:rPr>
          <w:rFonts w:ascii="宋体" w:hAnsi="宋体" w:cs="宋体"/>
          <w:color w:val="auto"/>
          <w:sz w:val="30"/>
          <w:szCs w:val="30"/>
        </w:rPr>
      </w:pPr>
      <w:r>
        <w:rPr>
          <w:rFonts w:ascii="宋体" w:hAnsi="宋体" w:cs="宋体"/>
          <w:color w:val="auto"/>
          <w:spacing w:val="-4"/>
          <w:sz w:val="30"/>
          <w:szCs w:val="30"/>
        </w:rPr>
        <w:br w:type="page"/>
      </w:r>
      <w:r>
        <w:rPr>
          <w:rFonts w:hint="eastAsia" w:ascii="宋体" w:hAnsi="宋体" w:cs="宋体"/>
          <w:color w:val="auto"/>
          <w:spacing w:val="-4"/>
          <w:sz w:val="30"/>
          <w:szCs w:val="30"/>
        </w:rPr>
        <w:t>六、资</w:t>
      </w:r>
      <w:r>
        <w:rPr>
          <w:rFonts w:hint="eastAsia" w:ascii="宋体" w:hAnsi="宋体" w:cs="宋体"/>
          <w:color w:val="auto"/>
          <w:spacing w:val="-2"/>
          <w:sz w:val="30"/>
          <w:szCs w:val="30"/>
        </w:rPr>
        <w:t>格声明函</w:t>
      </w:r>
    </w:p>
    <w:p w14:paraId="0F920171">
      <w:pPr>
        <w:spacing w:before="263" w:line="360" w:lineRule="auto"/>
        <w:ind w:left="3590"/>
        <w:rPr>
          <w:rFonts w:ascii="宋体" w:hAnsi="宋体" w:cs="宋体"/>
          <w:color w:val="auto"/>
          <w:sz w:val="32"/>
          <w:szCs w:val="32"/>
        </w:rPr>
      </w:pPr>
      <w:r>
        <w:rPr>
          <w:rFonts w:hint="eastAsia" w:ascii="宋体" w:hAnsi="宋体" w:cs="宋体"/>
          <w:color w:val="auto"/>
          <w:spacing w:val="-5"/>
          <w:sz w:val="32"/>
          <w:szCs w:val="32"/>
        </w:rPr>
        <w:t>资格声明函</w:t>
      </w:r>
    </w:p>
    <w:p w14:paraId="0C8D4112">
      <w:pPr>
        <w:spacing w:line="320" w:lineRule="exact"/>
        <w:jc w:val="center"/>
        <w:rPr>
          <w:rFonts w:ascii="宋体" w:hAnsi="宋体" w:cs="宋体"/>
          <w:color w:val="auto"/>
          <w:sz w:val="24"/>
          <w:szCs w:val="20"/>
        </w:rPr>
      </w:pPr>
    </w:p>
    <w:p w14:paraId="535E02A7">
      <w:pPr>
        <w:spacing w:line="360" w:lineRule="auto"/>
        <w:rPr>
          <w:rFonts w:ascii="宋体" w:hAnsi="宋体" w:cs="宋体"/>
          <w:color w:val="auto"/>
          <w:sz w:val="24"/>
        </w:rPr>
      </w:pPr>
      <w:r>
        <w:rPr>
          <w:rFonts w:hint="eastAsia" w:ascii="宋体" w:hAnsi="宋体" w:cs="宋体"/>
          <w:color w:val="auto"/>
          <w:sz w:val="24"/>
        </w:rPr>
        <w:t>致：（招标代理机构）</w:t>
      </w:r>
    </w:p>
    <w:p w14:paraId="1B386EB2">
      <w:pPr>
        <w:spacing w:line="360" w:lineRule="auto"/>
        <w:ind w:firstLine="480" w:firstLineChars="200"/>
        <w:rPr>
          <w:rFonts w:ascii="宋体" w:hAnsi="宋体" w:cs="宋体"/>
          <w:color w:val="auto"/>
          <w:sz w:val="24"/>
        </w:rPr>
      </w:pPr>
      <w:r>
        <w:rPr>
          <w:rFonts w:hint="eastAsia" w:ascii="宋体" w:hAnsi="宋体" w:cs="宋体"/>
          <w:color w:val="auto"/>
          <w:sz w:val="24"/>
          <w:u w:val="single"/>
        </w:rPr>
        <w:t>（供应商名称）</w:t>
      </w:r>
      <w:r>
        <w:rPr>
          <w:rFonts w:hint="eastAsia" w:ascii="宋体" w:hAnsi="宋体" w:cs="宋体"/>
          <w:color w:val="auto"/>
          <w:sz w:val="24"/>
        </w:rPr>
        <w:t>系中华人民共和国合法供应商，经营地址：</w:t>
      </w:r>
      <w:r>
        <w:rPr>
          <w:rFonts w:hint="eastAsia" w:ascii="宋体" w:hAnsi="宋体" w:cs="宋体"/>
          <w:color w:val="auto"/>
          <w:sz w:val="24"/>
          <w:u w:val="single"/>
        </w:rPr>
        <w:t xml:space="preserve">           </w:t>
      </w:r>
      <w:r>
        <w:rPr>
          <w:rFonts w:hint="eastAsia" w:ascii="宋体" w:hAnsi="宋体" w:cs="宋体"/>
          <w:color w:val="auto"/>
          <w:sz w:val="24"/>
        </w:rPr>
        <w:t>。</w:t>
      </w:r>
    </w:p>
    <w:p w14:paraId="6FDAEA24">
      <w:pPr>
        <w:spacing w:line="360" w:lineRule="auto"/>
        <w:ind w:firstLine="480" w:firstLineChars="200"/>
        <w:rPr>
          <w:rFonts w:ascii="宋体" w:hAnsi="宋体" w:cs="宋体"/>
          <w:color w:val="auto"/>
          <w:sz w:val="24"/>
        </w:rPr>
      </w:pPr>
      <w:r>
        <w:rPr>
          <w:rFonts w:hint="eastAsia" w:ascii="宋体" w:hAnsi="宋体" w:cs="宋体"/>
          <w:color w:val="auto"/>
          <w:sz w:val="24"/>
        </w:rPr>
        <w:t>我方愿意参加贵方组织的</w:t>
      </w:r>
      <w:r>
        <w:rPr>
          <w:rFonts w:hint="eastAsia" w:ascii="宋体" w:hAnsi="宋体" w:cs="宋体"/>
          <w:color w:val="auto"/>
          <w:sz w:val="24"/>
          <w:u w:val="single"/>
        </w:rPr>
        <w:t>（项目名称：            ；项目编号：      ）</w:t>
      </w:r>
      <w:r>
        <w:rPr>
          <w:rFonts w:hint="eastAsia" w:ascii="宋体" w:hAnsi="宋体" w:cs="宋体"/>
          <w:color w:val="auto"/>
          <w:sz w:val="24"/>
        </w:rPr>
        <w:t>的竞标，为便于贵方公正、择优地确定成交供应商及其竞标产品和服务，我方就本次竞标有关事项郑重声明如下：</w:t>
      </w:r>
    </w:p>
    <w:p w14:paraId="72046FD5">
      <w:pPr>
        <w:spacing w:line="360" w:lineRule="auto"/>
        <w:ind w:firstLine="480" w:firstLineChars="200"/>
        <w:rPr>
          <w:rFonts w:ascii="宋体" w:hAnsi="宋体" w:cs="宋体"/>
          <w:color w:val="auto"/>
          <w:sz w:val="24"/>
        </w:rPr>
      </w:pPr>
      <w:r>
        <w:rPr>
          <w:rFonts w:hint="eastAsia" w:ascii="宋体" w:hAnsi="宋体" w:cs="宋体"/>
          <w:color w:val="auto"/>
          <w:sz w:val="24"/>
        </w:rPr>
        <w:t>1.我方向贵方提交的所有响应文件、资料都是准确的和真实的。</w:t>
      </w:r>
    </w:p>
    <w:p w14:paraId="01CFD702">
      <w:pPr>
        <w:spacing w:line="360" w:lineRule="auto"/>
        <w:ind w:firstLine="480" w:firstLineChars="200"/>
        <w:rPr>
          <w:rFonts w:ascii="宋体" w:hAnsi="宋体" w:cs="宋体"/>
          <w:color w:val="auto"/>
          <w:sz w:val="24"/>
        </w:rPr>
      </w:pPr>
      <w:r>
        <w:rPr>
          <w:rFonts w:hint="eastAsia" w:ascii="宋体" w:hAnsi="宋体" w:cs="宋体"/>
          <w:color w:val="auto"/>
          <w:sz w:val="24"/>
        </w:rPr>
        <w:t>2.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14:paraId="1131EFFB">
      <w:pPr>
        <w:spacing w:line="360" w:lineRule="auto"/>
        <w:ind w:firstLine="480" w:firstLineChars="200"/>
        <w:rPr>
          <w:rFonts w:ascii="宋体" w:hAnsi="宋体" w:cs="宋体"/>
          <w:color w:val="auto"/>
          <w:sz w:val="24"/>
        </w:rPr>
      </w:pPr>
      <w:r>
        <w:rPr>
          <w:rFonts w:hint="eastAsia" w:ascii="宋体" w:hAnsi="宋体" w:cs="宋体"/>
          <w:color w:val="auto"/>
          <w:sz w:val="24"/>
        </w:rPr>
        <w:t>3.在此，我方宣布同意如下：</w:t>
      </w:r>
    </w:p>
    <w:p w14:paraId="3615E0B6">
      <w:pPr>
        <w:spacing w:line="360" w:lineRule="auto"/>
        <w:ind w:firstLine="480" w:firstLineChars="200"/>
        <w:rPr>
          <w:rFonts w:ascii="宋体" w:hAnsi="宋体" w:cs="宋体"/>
          <w:color w:val="auto"/>
          <w:sz w:val="24"/>
        </w:rPr>
      </w:pPr>
      <w:r>
        <w:rPr>
          <w:rFonts w:hint="eastAsia" w:ascii="宋体" w:hAnsi="宋体" w:cs="宋体"/>
          <w:color w:val="auto"/>
          <w:sz w:val="24"/>
        </w:rPr>
        <w:t>（1）将按磋商文件的约定履行合同责任和义务；</w:t>
      </w:r>
    </w:p>
    <w:p w14:paraId="3A66A06C">
      <w:pPr>
        <w:spacing w:line="360" w:lineRule="auto"/>
        <w:ind w:firstLine="480" w:firstLineChars="200"/>
        <w:rPr>
          <w:rFonts w:ascii="宋体" w:hAnsi="宋体" w:cs="宋体"/>
          <w:color w:val="auto"/>
          <w:sz w:val="24"/>
        </w:rPr>
      </w:pPr>
      <w:r>
        <w:rPr>
          <w:rFonts w:hint="eastAsia" w:ascii="宋体" w:hAnsi="宋体" w:cs="宋体"/>
          <w:color w:val="auto"/>
          <w:sz w:val="24"/>
        </w:rPr>
        <w:t>（2）已详细审查全部磋商文件，包括澄清或者更正公告（如有）；</w:t>
      </w:r>
    </w:p>
    <w:p w14:paraId="4DFC9F2C">
      <w:pPr>
        <w:spacing w:line="360" w:lineRule="auto"/>
        <w:ind w:firstLine="480" w:firstLineChars="200"/>
        <w:rPr>
          <w:rFonts w:ascii="宋体" w:hAnsi="宋体" w:cs="宋体"/>
          <w:color w:val="auto"/>
          <w:sz w:val="24"/>
        </w:rPr>
      </w:pPr>
      <w:r>
        <w:rPr>
          <w:rFonts w:hint="eastAsia" w:ascii="宋体" w:hAnsi="宋体" w:cs="宋体"/>
          <w:color w:val="auto"/>
          <w:sz w:val="24"/>
        </w:rPr>
        <w:t>（3）同意提供按照贵方可能要求的与谈判有关的一切数据或者资料；</w:t>
      </w:r>
    </w:p>
    <w:p w14:paraId="3B6C90DC">
      <w:pPr>
        <w:spacing w:line="360" w:lineRule="auto"/>
        <w:ind w:firstLine="480" w:firstLineChars="200"/>
        <w:rPr>
          <w:rFonts w:ascii="宋体" w:hAnsi="宋体" w:cs="宋体"/>
          <w:color w:val="auto"/>
          <w:sz w:val="24"/>
        </w:rPr>
      </w:pPr>
      <w:r>
        <w:rPr>
          <w:rFonts w:hint="eastAsia" w:ascii="宋体" w:hAnsi="宋体" w:cs="宋体"/>
          <w:color w:val="auto"/>
          <w:sz w:val="24"/>
        </w:rPr>
        <w:t>（4）响应磋商文件规定的竞标有效期。</w:t>
      </w:r>
    </w:p>
    <w:p w14:paraId="6C5D66B7">
      <w:pPr>
        <w:spacing w:line="360" w:lineRule="auto"/>
        <w:ind w:firstLine="480" w:firstLineChars="200"/>
        <w:rPr>
          <w:rFonts w:ascii="宋体" w:hAnsi="宋体" w:cs="宋体"/>
          <w:color w:val="auto"/>
          <w:sz w:val="24"/>
        </w:rPr>
      </w:pPr>
      <w:r>
        <w:rPr>
          <w:rFonts w:hint="eastAsia" w:ascii="宋体" w:hAnsi="宋体" w:cs="宋体"/>
          <w:color w:val="auto"/>
          <w:sz w:val="24"/>
        </w:rPr>
        <w:t>4.我方承诺已经具备《中华人民共和国政府采购法》第二十二条中规定的参加政府采购活动的供应商应当具备的条件并按本项目响应文件“第三章”“第二节供应商须知前附表”中“资格证明文件组成”完整提供证明材料。</w:t>
      </w:r>
    </w:p>
    <w:p w14:paraId="55628513">
      <w:pPr>
        <w:spacing w:line="360" w:lineRule="auto"/>
        <w:ind w:firstLine="480" w:firstLineChars="200"/>
        <w:rPr>
          <w:rFonts w:ascii="宋体" w:hAnsi="宋体" w:cs="宋体"/>
          <w:color w:val="auto"/>
          <w:sz w:val="24"/>
        </w:rPr>
      </w:pPr>
      <w:r>
        <w:rPr>
          <w:rFonts w:hint="eastAsia" w:ascii="宋体" w:hAnsi="宋体" w:cs="宋体"/>
          <w:color w:val="auto"/>
          <w:sz w:val="24"/>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完全符合《中华人民共和国政府采购法》第二十二条规定的供应商资格条件，我方对此声明负全部法律责任。</w:t>
      </w:r>
    </w:p>
    <w:p w14:paraId="1E760AE3">
      <w:pPr>
        <w:spacing w:line="360" w:lineRule="auto"/>
        <w:ind w:firstLine="480" w:firstLineChars="200"/>
        <w:rPr>
          <w:rFonts w:ascii="宋体" w:hAnsi="宋体" w:cs="宋体"/>
          <w:color w:val="auto"/>
          <w:sz w:val="24"/>
        </w:rPr>
      </w:pPr>
      <w:r>
        <w:rPr>
          <w:rFonts w:hint="eastAsia" w:ascii="宋体" w:hAnsi="宋体" w:cs="宋体"/>
          <w:color w:val="auto"/>
          <w:sz w:val="24"/>
        </w:rPr>
        <w:t>6.根据《中华人民共和国政府采购法实施条例》第五十条要求对政府采购合同进行公告，但政府采购合同中涉及国家秘密、商业秘密的内容除外。我方就对本次响应文件进行注明如下：（两项内容中必须选择一项）</w:t>
      </w:r>
    </w:p>
    <w:p w14:paraId="07FC2A32">
      <w:pPr>
        <w:spacing w:line="360" w:lineRule="auto"/>
        <w:ind w:firstLine="480" w:firstLineChars="200"/>
        <w:rPr>
          <w:rFonts w:ascii="宋体" w:hAnsi="宋体" w:cs="宋体"/>
          <w:color w:val="auto"/>
          <w:sz w:val="24"/>
        </w:rPr>
      </w:pPr>
      <w:r>
        <w:rPr>
          <w:rFonts w:hint="eastAsia" w:ascii="宋体" w:hAnsi="宋体" w:cs="宋体"/>
          <w:color w:val="auto"/>
          <w:sz w:val="24"/>
        </w:rPr>
        <w:t>□我方本次响应文件</w:t>
      </w:r>
      <w:r>
        <w:rPr>
          <w:rFonts w:hint="eastAsia" w:ascii="宋体" w:hAnsi="宋体" w:cs="宋体"/>
          <w:color w:val="auto"/>
          <w:kern w:val="0"/>
          <w:sz w:val="24"/>
        </w:rPr>
        <w:t>内容中</w:t>
      </w:r>
      <w:r>
        <w:rPr>
          <w:rFonts w:hint="eastAsia" w:ascii="宋体" w:hAnsi="宋体" w:cs="宋体"/>
          <w:color w:val="auto"/>
          <w:sz w:val="24"/>
        </w:rPr>
        <w:t>未</w:t>
      </w:r>
      <w:r>
        <w:rPr>
          <w:rFonts w:hint="eastAsia" w:ascii="宋体" w:hAnsi="宋体" w:cs="宋体"/>
          <w:color w:val="auto"/>
          <w:kern w:val="0"/>
          <w:sz w:val="24"/>
        </w:rPr>
        <w:t>涉及商业秘密；</w:t>
      </w:r>
    </w:p>
    <w:p w14:paraId="18AB38AB">
      <w:pPr>
        <w:spacing w:line="360" w:lineRule="auto"/>
        <w:ind w:firstLine="480" w:firstLineChars="200"/>
        <w:rPr>
          <w:rFonts w:ascii="宋体" w:hAnsi="宋体" w:cs="宋体"/>
          <w:color w:val="auto"/>
          <w:sz w:val="24"/>
        </w:rPr>
      </w:pPr>
      <w:r>
        <w:rPr>
          <w:rFonts w:hint="eastAsia" w:ascii="宋体" w:hAnsi="宋体" w:cs="宋体"/>
          <w:color w:val="auto"/>
          <w:sz w:val="24"/>
        </w:rPr>
        <w:t>□我方本次响应文件</w:t>
      </w:r>
      <w:r>
        <w:rPr>
          <w:rFonts w:hint="eastAsia" w:ascii="宋体" w:hAnsi="宋体" w:cs="宋体"/>
          <w:color w:val="auto"/>
          <w:kern w:val="0"/>
          <w:sz w:val="24"/>
        </w:rPr>
        <w:t>涉及商业秘密的内容有：；</w:t>
      </w:r>
    </w:p>
    <w:p w14:paraId="49EDDBBD">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7.与本磋商有关的一切正式往来信函请寄：</w:t>
      </w:r>
    </w:p>
    <w:p w14:paraId="3C763946">
      <w:pPr>
        <w:spacing w:line="360" w:lineRule="auto"/>
        <w:ind w:firstLine="480" w:firstLineChars="200"/>
        <w:rPr>
          <w:rFonts w:ascii="宋体" w:hAnsi="宋体" w:cs="宋体"/>
          <w:color w:val="auto"/>
          <w:kern w:val="0"/>
          <w:sz w:val="24"/>
          <w:u w:val="single"/>
        </w:rPr>
      </w:pPr>
      <w:r>
        <w:rPr>
          <w:rFonts w:hint="eastAsia" w:ascii="宋体" w:hAnsi="宋体" w:cs="宋体"/>
          <w:color w:val="auto"/>
          <w:kern w:val="0"/>
          <w:sz w:val="24"/>
        </w:rPr>
        <w:t>邮政编号：</w:t>
      </w:r>
    </w:p>
    <w:p w14:paraId="0F05FE18">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电话/传真：                电子函件：</w:t>
      </w:r>
    </w:p>
    <w:p w14:paraId="0EECA2BE">
      <w:pPr>
        <w:tabs>
          <w:tab w:val="left" w:pos="939"/>
        </w:tabs>
        <w:spacing w:line="360" w:lineRule="auto"/>
        <w:ind w:left="141" w:leftChars="67" w:firstLine="360" w:firstLineChars="150"/>
        <w:rPr>
          <w:rFonts w:ascii="宋体" w:hAnsi="宋体" w:cs="宋体"/>
          <w:color w:val="auto"/>
          <w:sz w:val="24"/>
        </w:rPr>
      </w:pPr>
      <w:r>
        <w:rPr>
          <w:rFonts w:hint="eastAsia" w:ascii="宋体" w:hAnsi="宋体" w:cs="宋体"/>
          <w:color w:val="auto"/>
          <w:sz w:val="24"/>
        </w:rPr>
        <w:t>开户银行：</w:t>
      </w:r>
      <w:r>
        <w:rPr>
          <w:rFonts w:hint="eastAsia" w:ascii="宋体" w:hAnsi="宋体" w:cs="宋体"/>
          <w:color w:val="auto"/>
          <w:kern w:val="0"/>
          <w:sz w:val="24"/>
        </w:rPr>
        <w:t xml:space="preserve">                 </w:t>
      </w:r>
      <w:r>
        <w:rPr>
          <w:rFonts w:hint="eastAsia" w:ascii="宋体" w:hAnsi="宋体" w:cs="宋体"/>
          <w:color w:val="auto"/>
          <w:sz w:val="24"/>
        </w:rPr>
        <w:t>帐号：</w:t>
      </w:r>
    </w:p>
    <w:p w14:paraId="76D579A3">
      <w:pPr>
        <w:tabs>
          <w:tab w:val="left" w:pos="939"/>
        </w:tabs>
        <w:spacing w:line="360" w:lineRule="auto"/>
        <w:ind w:firstLine="480" w:firstLineChars="200"/>
        <w:rPr>
          <w:rFonts w:ascii="宋体" w:hAnsi="宋体" w:cs="宋体"/>
          <w:color w:val="auto"/>
          <w:sz w:val="24"/>
        </w:rPr>
      </w:pPr>
      <w:r>
        <w:rPr>
          <w:rFonts w:hint="eastAsia" w:ascii="宋体" w:hAnsi="宋体" w:cs="宋体"/>
          <w:color w:val="auto"/>
          <w:sz w:val="24"/>
        </w:rPr>
        <w:t>8.以上事项如有虚假或者隐瞒，我方愿意承担一切后果，并不再寻求任何旨在减轻或者免除法律责任的辩解。</w:t>
      </w:r>
    </w:p>
    <w:p w14:paraId="7E771387">
      <w:pPr>
        <w:tabs>
          <w:tab w:val="left" w:pos="939"/>
        </w:tabs>
        <w:spacing w:line="360" w:lineRule="auto"/>
        <w:ind w:left="141" w:leftChars="67" w:firstLine="360" w:firstLineChars="150"/>
        <w:rPr>
          <w:rFonts w:ascii="宋体" w:hAnsi="宋体" w:cs="宋体"/>
          <w:color w:val="auto"/>
          <w:sz w:val="24"/>
        </w:rPr>
      </w:pPr>
      <w:r>
        <w:rPr>
          <w:rFonts w:hint="eastAsia" w:ascii="宋体" w:hAnsi="宋体" w:cs="宋体"/>
          <w:color w:val="auto"/>
          <w:sz w:val="24"/>
        </w:rPr>
        <w:t>特此承诺。</w:t>
      </w:r>
    </w:p>
    <w:p w14:paraId="6282F06A">
      <w:pPr>
        <w:tabs>
          <w:tab w:val="left" w:pos="939"/>
        </w:tabs>
        <w:spacing w:line="360" w:lineRule="auto"/>
        <w:ind w:firstLine="480" w:firstLineChars="200"/>
        <w:rPr>
          <w:rFonts w:ascii="宋体" w:hAnsi="宋体" w:cs="宋体"/>
          <w:color w:val="auto"/>
          <w:sz w:val="24"/>
        </w:rPr>
      </w:pPr>
      <w:r>
        <w:rPr>
          <w:rFonts w:hint="eastAsia" w:ascii="宋体" w:hAnsi="宋体" w:cs="宋体"/>
          <w:color w:val="auto"/>
          <w:sz w:val="24"/>
        </w:rPr>
        <w:t>注：如为联合体竞标，盖章处须加盖联合体各方公章并由联合体各方法定代表人签署，否则其响应文件按无效响应处理。</w:t>
      </w:r>
    </w:p>
    <w:p w14:paraId="4B6BF34B">
      <w:pPr>
        <w:tabs>
          <w:tab w:val="left" w:pos="939"/>
        </w:tabs>
        <w:spacing w:line="360" w:lineRule="auto"/>
        <w:ind w:firstLine="480" w:firstLineChars="200"/>
        <w:rPr>
          <w:rFonts w:ascii="宋体" w:hAnsi="宋体" w:cs="宋体"/>
          <w:color w:val="auto"/>
          <w:sz w:val="24"/>
        </w:rPr>
      </w:pPr>
    </w:p>
    <w:p w14:paraId="4A75F2BE">
      <w:pPr>
        <w:autoSpaceDE w:val="0"/>
        <w:autoSpaceDN w:val="0"/>
        <w:spacing w:line="360" w:lineRule="auto"/>
        <w:ind w:left="4365" w:leftChars="1850" w:hanging="480" w:hangingChars="200"/>
        <w:rPr>
          <w:rFonts w:ascii="宋体" w:hAnsi="宋体" w:cs="宋体"/>
          <w:color w:val="auto"/>
          <w:kern w:val="0"/>
          <w:sz w:val="24"/>
        </w:rPr>
      </w:pPr>
      <w:r>
        <w:rPr>
          <w:rFonts w:hint="eastAsia" w:ascii="宋体" w:hAnsi="宋体" w:cs="宋体"/>
          <w:color w:val="auto"/>
          <w:kern w:val="0"/>
          <w:sz w:val="24"/>
        </w:rPr>
        <w:t>供应商名称（盖法人单位章或电子签章）：</w:t>
      </w:r>
    </w:p>
    <w:p w14:paraId="7DFAA0EC">
      <w:pPr>
        <w:pStyle w:val="13"/>
        <w:jc w:val="right"/>
        <w:rPr>
          <w:rFonts w:ascii="宋体" w:hAnsi="宋体"/>
          <w:color w:val="auto"/>
          <w:lang w:val="zh-CN"/>
        </w:rPr>
      </w:pPr>
      <w:r>
        <w:rPr>
          <w:rFonts w:hint="eastAsia" w:ascii="宋体" w:hAnsi="宋体" w:cs="宋体"/>
          <w:color w:val="auto"/>
          <w:kern w:val="0"/>
          <w:sz w:val="24"/>
          <w:lang w:val="zh-CN"/>
        </w:rPr>
        <w:t>日期：  年  月   日</w:t>
      </w:r>
    </w:p>
    <w:p w14:paraId="0AEDCB2F">
      <w:pPr>
        <w:rPr>
          <w:rFonts w:ascii="宋体" w:hAnsi="宋体"/>
          <w:color w:val="auto"/>
          <w:lang w:val="zh-CN"/>
        </w:rPr>
      </w:pPr>
    </w:p>
    <w:p w14:paraId="4B6AFA3C">
      <w:pPr>
        <w:pStyle w:val="13"/>
        <w:rPr>
          <w:rFonts w:ascii="宋体" w:hAnsi="宋体"/>
          <w:color w:val="auto"/>
          <w:lang w:val="zh-CN"/>
        </w:rPr>
      </w:pPr>
    </w:p>
    <w:p w14:paraId="1CF30999">
      <w:pPr>
        <w:autoSpaceDE w:val="0"/>
        <w:autoSpaceDN w:val="0"/>
        <w:spacing w:line="360" w:lineRule="auto"/>
        <w:jc w:val="left"/>
        <w:rPr>
          <w:rFonts w:ascii="宋体" w:hAnsi="宋体" w:cs="宋体"/>
          <w:color w:val="auto"/>
          <w:sz w:val="24"/>
        </w:rPr>
      </w:pPr>
      <w:r>
        <w:rPr>
          <w:rFonts w:ascii="宋体" w:hAnsi="宋体" w:cs="宋体"/>
          <w:color w:val="auto"/>
          <w:sz w:val="24"/>
          <w:szCs w:val="20"/>
          <w:u w:val="single"/>
        </w:rPr>
        <w:br w:type="page"/>
      </w:r>
      <w:r>
        <w:rPr>
          <w:rFonts w:hint="eastAsia" w:ascii="宋体" w:hAnsi="宋体" w:cs="宋体"/>
          <w:color w:val="auto"/>
          <w:sz w:val="28"/>
          <w:szCs w:val="21"/>
          <w:u w:val="single"/>
        </w:rPr>
        <w:t>七、</w:t>
      </w:r>
      <w:r>
        <w:rPr>
          <w:rFonts w:hint="eastAsia" w:ascii="宋体" w:hAnsi="宋体" w:cs="宋体"/>
          <w:color w:val="auto"/>
          <w:spacing w:val="2"/>
          <w:sz w:val="28"/>
          <w:szCs w:val="28"/>
        </w:rPr>
        <w:t>除磋商文件规定必须提供以外，供应商认为需要提供的其他证明材料</w:t>
      </w:r>
    </w:p>
    <w:p w14:paraId="5E1BB413">
      <w:pPr>
        <w:pStyle w:val="13"/>
        <w:rPr>
          <w:rFonts w:ascii="宋体" w:hAnsi="宋体"/>
          <w:color w:val="auto"/>
        </w:rPr>
      </w:pPr>
    </w:p>
    <w:p w14:paraId="5898E542">
      <w:pPr>
        <w:spacing w:before="78" w:line="360" w:lineRule="auto"/>
        <w:ind w:left="4610"/>
        <w:rPr>
          <w:rFonts w:ascii="宋体" w:hAnsi="宋体" w:cs="宋体"/>
          <w:color w:val="auto"/>
          <w:sz w:val="24"/>
        </w:rPr>
      </w:pPr>
      <w:r>
        <w:rPr>
          <w:rFonts w:hint="eastAsia" w:ascii="宋体" w:hAnsi="宋体" w:cs="宋体"/>
          <w:color w:val="auto"/>
          <w:spacing w:val="-8"/>
          <w:sz w:val="24"/>
        </w:rPr>
        <w:t>供</w:t>
      </w:r>
      <w:r>
        <w:rPr>
          <w:rFonts w:hint="eastAsia" w:ascii="宋体" w:hAnsi="宋体" w:cs="宋体"/>
          <w:color w:val="auto"/>
          <w:spacing w:val="-7"/>
          <w:sz w:val="24"/>
        </w:rPr>
        <w:t>应</w:t>
      </w:r>
      <w:r>
        <w:rPr>
          <w:rFonts w:hint="eastAsia" w:ascii="宋体" w:hAnsi="宋体" w:cs="宋体"/>
          <w:color w:val="auto"/>
          <w:spacing w:val="-4"/>
          <w:sz w:val="24"/>
        </w:rPr>
        <w:t>商名称( 电子签章 )：</w:t>
      </w:r>
    </w:p>
    <w:p w14:paraId="27E0E0D1">
      <w:pPr>
        <w:spacing w:before="80" w:line="360" w:lineRule="auto"/>
        <w:ind w:left="6894"/>
        <w:rPr>
          <w:rFonts w:ascii="宋体" w:hAnsi="宋体" w:cs="宋体"/>
          <w:color w:val="auto"/>
          <w:sz w:val="24"/>
        </w:rPr>
      </w:pPr>
      <w:r>
        <w:rPr>
          <w:rFonts w:hint="eastAsia" w:ascii="宋体" w:hAnsi="宋体" w:cs="宋体"/>
          <w:color w:val="auto"/>
          <w:spacing w:val="-16"/>
          <w:sz w:val="24"/>
        </w:rPr>
        <w:t>日</w:t>
      </w:r>
      <w:r>
        <w:rPr>
          <w:rFonts w:hint="eastAsia" w:ascii="宋体" w:hAnsi="宋体" w:cs="宋体"/>
          <w:color w:val="auto"/>
          <w:spacing w:val="-9"/>
          <w:sz w:val="24"/>
        </w:rPr>
        <w:t>期</w:t>
      </w:r>
      <w:r>
        <w:rPr>
          <w:rFonts w:hint="eastAsia" w:ascii="宋体" w:hAnsi="宋体" w:cs="宋体"/>
          <w:color w:val="auto"/>
          <w:spacing w:val="-8"/>
          <w:sz w:val="24"/>
        </w:rPr>
        <w:t>：   年  月   日</w:t>
      </w:r>
    </w:p>
    <w:p w14:paraId="03A0606A">
      <w:pPr>
        <w:autoSpaceDE w:val="0"/>
        <w:autoSpaceDN w:val="0"/>
        <w:spacing w:line="360" w:lineRule="auto"/>
        <w:rPr>
          <w:rFonts w:ascii="宋体" w:hAnsi="宋体" w:cs="宋体"/>
          <w:color w:val="auto"/>
          <w:spacing w:val="2"/>
          <w:sz w:val="24"/>
          <w:szCs w:val="20"/>
        </w:rPr>
      </w:pPr>
    </w:p>
    <w:p w14:paraId="16606549">
      <w:pPr>
        <w:pStyle w:val="13"/>
        <w:rPr>
          <w:rFonts w:ascii="宋体" w:hAnsi="宋体"/>
          <w:color w:val="auto"/>
        </w:rPr>
      </w:pPr>
    </w:p>
    <w:p w14:paraId="79EDEE16">
      <w:pPr>
        <w:pStyle w:val="2"/>
        <w:spacing w:line="360" w:lineRule="auto"/>
        <w:ind w:firstLine="560"/>
        <w:rPr>
          <w:rFonts w:eastAsia="宋体"/>
          <w:color w:val="auto"/>
        </w:rPr>
      </w:pPr>
    </w:p>
    <w:p w14:paraId="05BEE50F">
      <w:pPr>
        <w:spacing w:before="104" w:line="360" w:lineRule="auto"/>
        <w:jc w:val="center"/>
        <w:outlineLvl w:val="1"/>
        <w:rPr>
          <w:rFonts w:ascii="宋体" w:hAnsi="宋体" w:cs="宋体"/>
          <w:color w:val="auto"/>
          <w:sz w:val="32"/>
          <w:szCs w:val="32"/>
        </w:rPr>
      </w:pPr>
      <w:r>
        <w:rPr>
          <w:rFonts w:ascii="宋体" w:hAnsi="宋体" w:cs="宋体"/>
          <w:color w:val="auto"/>
          <w:spacing w:val="-2"/>
          <w:sz w:val="32"/>
          <w:szCs w:val="32"/>
        </w:rPr>
        <w:br w:type="page"/>
      </w:r>
      <w:r>
        <w:rPr>
          <w:rFonts w:hint="eastAsia" w:ascii="宋体" w:hAnsi="宋体" w:cs="宋体"/>
          <w:color w:val="auto"/>
          <w:spacing w:val="-2"/>
          <w:sz w:val="32"/>
          <w:szCs w:val="32"/>
        </w:rPr>
        <w:t>第</w:t>
      </w:r>
      <w:r>
        <w:rPr>
          <w:rFonts w:hint="eastAsia" w:ascii="宋体" w:hAnsi="宋体" w:cs="宋体"/>
          <w:color w:val="auto"/>
          <w:spacing w:val="-1"/>
          <w:sz w:val="32"/>
          <w:szCs w:val="32"/>
        </w:rPr>
        <w:t>三节 商务技术文件格式</w:t>
      </w:r>
    </w:p>
    <w:p w14:paraId="4BC1E26C">
      <w:pPr>
        <w:spacing w:line="360" w:lineRule="auto"/>
        <w:rPr>
          <w:rFonts w:ascii="宋体" w:hAnsi="宋体" w:cs="宋体"/>
          <w:color w:val="auto"/>
        </w:rPr>
      </w:pPr>
    </w:p>
    <w:p w14:paraId="7DB66664">
      <w:pPr>
        <w:spacing w:before="68" w:line="360" w:lineRule="auto"/>
        <w:ind w:left="6250"/>
        <w:rPr>
          <w:rFonts w:ascii="宋体" w:hAnsi="宋体" w:cs="宋体"/>
          <w:color w:val="auto"/>
          <w:szCs w:val="21"/>
        </w:rPr>
      </w:pPr>
      <w:r>
        <w:rPr>
          <w:rFonts w:hint="eastAsia" w:ascii="宋体" w:hAnsi="宋体" w:cs="宋体"/>
          <w:color w:val="auto"/>
          <w:spacing w:val="-2"/>
          <w:szCs w:val="21"/>
        </w:rPr>
        <w:t>全</w:t>
      </w:r>
      <w:r>
        <w:rPr>
          <w:rFonts w:hint="eastAsia" w:ascii="宋体" w:hAnsi="宋体" w:cs="宋体"/>
          <w:color w:val="auto"/>
          <w:spacing w:val="-1"/>
          <w:szCs w:val="21"/>
        </w:rPr>
        <w:t>流程电子文件</w:t>
      </w:r>
    </w:p>
    <w:p w14:paraId="2090823A">
      <w:pPr>
        <w:spacing w:line="360" w:lineRule="auto"/>
        <w:rPr>
          <w:rFonts w:ascii="宋体" w:hAnsi="宋体" w:cs="宋体"/>
          <w:color w:val="auto"/>
        </w:rPr>
      </w:pPr>
    </w:p>
    <w:p w14:paraId="52F1B5EA">
      <w:pPr>
        <w:spacing w:line="360" w:lineRule="auto"/>
        <w:rPr>
          <w:rFonts w:ascii="宋体" w:hAnsi="宋体" w:cs="宋体"/>
          <w:color w:val="auto"/>
        </w:rPr>
      </w:pPr>
    </w:p>
    <w:p w14:paraId="386F3F61">
      <w:pPr>
        <w:spacing w:line="360" w:lineRule="auto"/>
        <w:rPr>
          <w:rFonts w:ascii="宋体" w:hAnsi="宋体" w:cs="宋体"/>
          <w:color w:val="auto"/>
        </w:rPr>
      </w:pPr>
    </w:p>
    <w:p w14:paraId="345188DF">
      <w:pPr>
        <w:spacing w:line="360" w:lineRule="auto"/>
        <w:rPr>
          <w:rFonts w:ascii="宋体" w:hAnsi="宋体" w:cs="宋体"/>
          <w:color w:val="auto"/>
        </w:rPr>
      </w:pPr>
    </w:p>
    <w:p w14:paraId="7D4F14A3">
      <w:pPr>
        <w:spacing w:before="143" w:line="360" w:lineRule="auto"/>
        <w:jc w:val="center"/>
        <w:rPr>
          <w:rFonts w:ascii="宋体" w:hAnsi="宋体" w:cs="宋体"/>
          <w:color w:val="auto"/>
          <w:sz w:val="44"/>
          <w:szCs w:val="44"/>
        </w:rPr>
      </w:pPr>
      <w:r>
        <w:rPr>
          <w:rFonts w:hint="eastAsia" w:ascii="宋体" w:hAnsi="宋体" w:cs="宋体"/>
          <w:color w:val="auto"/>
          <w:spacing w:val="13"/>
          <w:sz w:val="44"/>
          <w:szCs w:val="44"/>
        </w:rPr>
        <w:t>商</w:t>
      </w:r>
      <w:r>
        <w:rPr>
          <w:rFonts w:hint="eastAsia" w:ascii="宋体" w:hAnsi="宋体" w:cs="宋体"/>
          <w:color w:val="auto"/>
          <w:spacing w:val="7"/>
          <w:sz w:val="44"/>
          <w:szCs w:val="44"/>
        </w:rPr>
        <w:t xml:space="preserve">  务  技  术  文  件(封面)</w:t>
      </w:r>
    </w:p>
    <w:p w14:paraId="3119DCC3">
      <w:pPr>
        <w:spacing w:line="360" w:lineRule="auto"/>
        <w:rPr>
          <w:rFonts w:ascii="宋体" w:hAnsi="宋体" w:cs="宋体"/>
          <w:color w:val="auto"/>
        </w:rPr>
      </w:pPr>
    </w:p>
    <w:p w14:paraId="6D1E9247">
      <w:pPr>
        <w:spacing w:line="360" w:lineRule="auto"/>
        <w:rPr>
          <w:rFonts w:ascii="宋体" w:hAnsi="宋体" w:cs="宋体"/>
          <w:color w:val="auto"/>
        </w:rPr>
      </w:pPr>
    </w:p>
    <w:p w14:paraId="39ABEDDA">
      <w:pPr>
        <w:spacing w:line="360" w:lineRule="auto"/>
        <w:rPr>
          <w:rFonts w:ascii="宋体" w:hAnsi="宋体" w:cs="宋体"/>
          <w:color w:val="auto"/>
        </w:rPr>
      </w:pPr>
    </w:p>
    <w:p w14:paraId="40625B75">
      <w:pPr>
        <w:spacing w:line="360" w:lineRule="auto"/>
        <w:rPr>
          <w:rFonts w:ascii="宋体" w:hAnsi="宋体" w:cs="宋体"/>
          <w:color w:val="auto"/>
        </w:rPr>
      </w:pPr>
    </w:p>
    <w:p w14:paraId="49EB5E48">
      <w:pPr>
        <w:spacing w:line="360" w:lineRule="auto"/>
        <w:rPr>
          <w:rFonts w:ascii="宋体" w:hAnsi="宋体" w:cs="宋体"/>
          <w:color w:val="auto"/>
        </w:rPr>
      </w:pPr>
    </w:p>
    <w:p w14:paraId="349CF0E7">
      <w:pPr>
        <w:spacing w:line="360" w:lineRule="auto"/>
        <w:rPr>
          <w:rFonts w:ascii="宋体" w:hAnsi="宋体" w:cs="宋体"/>
          <w:color w:val="auto"/>
        </w:rPr>
      </w:pPr>
    </w:p>
    <w:p w14:paraId="051F0232">
      <w:pPr>
        <w:spacing w:line="360" w:lineRule="auto"/>
        <w:rPr>
          <w:rFonts w:ascii="宋体" w:hAnsi="宋体" w:cs="宋体"/>
          <w:color w:val="auto"/>
        </w:rPr>
      </w:pPr>
    </w:p>
    <w:p w14:paraId="64F16F8F">
      <w:pPr>
        <w:spacing w:before="104" w:line="360" w:lineRule="auto"/>
        <w:ind w:left="655"/>
        <w:rPr>
          <w:rFonts w:ascii="宋体" w:hAnsi="宋体" w:cs="宋体"/>
          <w:color w:val="auto"/>
          <w:sz w:val="32"/>
          <w:szCs w:val="32"/>
        </w:rPr>
      </w:pPr>
      <w:r>
        <w:rPr>
          <w:rFonts w:hint="eastAsia" w:ascii="宋体" w:hAnsi="宋体" w:cs="宋体"/>
          <w:color w:val="auto"/>
          <w:spacing w:val="-12"/>
          <w:position w:val="43"/>
          <w:sz w:val="32"/>
          <w:szCs w:val="32"/>
        </w:rPr>
        <w:t>项</w:t>
      </w:r>
      <w:r>
        <w:rPr>
          <w:rFonts w:hint="eastAsia" w:ascii="宋体" w:hAnsi="宋体" w:cs="宋体"/>
          <w:color w:val="auto"/>
          <w:spacing w:val="-9"/>
          <w:position w:val="43"/>
          <w:sz w:val="32"/>
          <w:szCs w:val="32"/>
        </w:rPr>
        <w:t>目名称：移动流量与短信租用服务采购</w:t>
      </w:r>
    </w:p>
    <w:p w14:paraId="35744695">
      <w:pPr>
        <w:spacing w:before="2" w:line="360" w:lineRule="auto"/>
        <w:ind w:left="655"/>
        <w:rPr>
          <w:rFonts w:hint="eastAsia" w:ascii="宋体" w:hAnsi="宋体" w:eastAsia="宋体" w:cs="宋体"/>
          <w:color w:val="auto"/>
          <w:sz w:val="32"/>
          <w:szCs w:val="32"/>
          <w:lang w:eastAsia="zh-CN"/>
        </w:rPr>
      </w:pPr>
      <w:r>
        <w:rPr>
          <w:rFonts w:hint="eastAsia" w:ascii="宋体" w:hAnsi="宋体" w:cs="宋体"/>
          <w:color w:val="auto"/>
          <w:spacing w:val="-12"/>
          <w:sz w:val="32"/>
          <w:szCs w:val="32"/>
        </w:rPr>
        <w:t>项</w:t>
      </w:r>
      <w:r>
        <w:rPr>
          <w:rFonts w:hint="eastAsia" w:ascii="宋体" w:hAnsi="宋体" w:cs="宋体"/>
          <w:color w:val="auto"/>
          <w:spacing w:val="-9"/>
          <w:sz w:val="32"/>
          <w:szCs w:val="32"/>
        </w:rPr>
        <w:t>目编号：</w:t>
      </w:r>
      <w:r>
        <w:rPr>
          <w:rFonts w:hint="eastAsia" w:ascii="宋体" w:hAnsi="宋体" w:cs="宋体"/>
          <w:color w:val="auto"/>
          <w:spacing w:val="-9"/>
          <w:sz w:val="32"/>
          <w:szCs w:val="32"/>
          <w:lang w:eastAsia="zh-CN"/>
        </w:rPr>
        <w:t>NNZC2024-C3-991810-GXJH</w:t>
      </w:r>
    </w:p>
    <w:p w14:paraId="7923AEAB">
      <w:pPr>
        <w:spacing w:line="360" w:lineRule="auto"/>
        <w:rPr>
          <w:rFonts w:ascii="宋体" w:hAnsi="宋体" w:cs="宋体"/>
          <w:color w:val="auto"/>
        </w:rPr>
      </w:pPr>
    </w:p>
    <w:p w14:paraId="31ED6936">
      <w:pPr>
        <w:spacing w:before="105" w:line="360" w:lineRule="auto"/>
        <w:ind w:left="654"/>
        <w:rPr>
          <w:rFonts w:ascii="宋体" w:hAnsi="宋体" w:cs="宋体"/>
          <w:color w:val="auto"/>
          <w:sz w:val="32"/>
          <w:szCs w:val="32"/>
        </w:rPr>
      </w:pPr>
      <w:r>
        <w:rPr>
          <w:rFonts w:hint="eastAsia" w:ascii="宋体" w:hAnsi="宋体" w:cs="宋体"/>
          <w:color w:val="auto"/>
          <w:spacing w:val="4"/>
          <w:sz w:val="32"/>
          <w:szCs w:val="32"/>
        </w:rPr>
        <w:t>所竞分标(如有则填</w:t>
      </w:r>
      <w:r>
        <w:rPr>
          <w:rFonts w:hint="eastAsia" w:ascii="宋体" w:hAnsi="宋体" w:cs="宋体"/>
          <w:color w:val="auto"/>
          <w:spacing w:val="3"/>
          <w:sz w:val="32"/>
          <w:szCs w:val="32"/>
        </w:rPr>
        <w:t>写</w:t>
      </w:r>
      <w:r>
        <w:rPr>
          <w:rFonts w:hint="eastAsia" w:ascii="宋体" w:hAnsi="宋体" w:cs="宋体"/>
          <w:color w:val="auto"/>
          <w:spacing w:val="2"/>
          <w:sz w:val="32"/>
          <w:szCs w:val="32"/>
        </w:rPr>
        <w:t>，无分标时填写“无”或者留空) ：</w:t>
      </w:r>
      <w:r>
        <w:rPr>
          <w:rFonts w:hint="eastAsia" w:ascii="宋体" w:hAnsi="宋体" w:cs="宋体"/>
          <w:color w:val="auto"/>
          <w:sz w:val="32"/>
          <w:szCs w:val="32"/>
        </w:rPr>
        <w:t xml:space="preserve"> </w:t>
      </w:r>
    </w:p>
    <w:p w14:paraId="03B6E9E4">
      <w:pPr>
        <w:spacing w:before="105" w:line="360" w:lineRule="auto"/>
        <w:ind w:left="654"/>
        <w:rPr>
          <w:rFonts w:ascii="宋体" w:hAnsi="宋体" w:cs="宋体"/>
          <w:color w:val="auto"/>
          <w:sz w:val="32"/>
          <w:szCs w:val="32"/>
        </w:rPr>
      </w:pPr>
      <w:r>
        <w:rPr>
          <w:rFonts w:hint="eastAsia" w:ascii="宋体" w:hAnsi="宋体" w:cs="宋体"/>
          <w:color w:val="auto"/>
          <w:spacing w:val="-12"/>
          <w:sz w:val="32"/>
          <w:szCs w:val="32"/>
        </w:rPr>
        <w:t>供应商名称：</w:t>
      </w:r>
    </w:p>
    <w:p w14:paraId="4136A165">
      <w:pPr>
        <w:spacing w:line="360" w:lineRule="auto"/>
        <w:rPr>
          <w:rFonts w:ascii="宋体" w:hAnsi="宋体" w:cs="宋体"/>
          <w:color w:val="auto"/>
        </w:rPr>
      </w:pPr>
    </w:p>
    <w:p w14:paraId="1AEB7DF3">
      <w:pPr>
        <w:spacing w:line="360" w:lineRule="auto"/>
        <w:rPr>
          <w:rFonts w:ascii="宋体" w:hAnsi="宋体" w:cs="宋体"/>
          <w:color w:val="auto"/>
        </w:rPr>
      </w:pPr>
    </w:p>
    <w:p w14:paraId="6A9E8F0E">
      <w:pPr>
        <w:spacing w:before="104" w:line="360" w:lineRule="auto"/>
        <w:ind w:left="3259"/>
        <w:rPr>
          <w:rFonts w:ascii="宋体" w:hAnsi="宋体" w:cs="宋体"/>
          <w:color w:val="auto"/>
          <w:sz w:val="32"/>
          <w:szCs w:val="32"/>
        </w:rPr>
      </w:pPr>
      <w:r>
        <w:rPr>
          <w:rFonts w:hint="eastAsia" w:ascii="宋体" w:hAnsi="宋体" w:cs="宋体"/>
          <w:color w:val="auto"/>
          <w:spacing w:val="5"/>
          <w:sz w:val="32"/>
          <w:szCs w:val="32"/>
        </w:rPr>
        <w:t xml:space="preserve">年    月    </w:t>
      </w:r>
      <w:r>
        <w:rPr>
          <w:rFonts w:hint="eastAsia" w:ascii="宋体" w:hAnsi="宋体" w:cs="宋体"/>
          <w:color w:val="auto"/>
          <w:spacing w:val="3"/>
          <w:sz w:val="32"/>
          <w:szCs w:val="32"/>
        </w:rPr>
        <w:t>日</w:t>
      </w:r>
    </w:p>
    <w:p w14:paraId="6291BA88">
      <w:pPr>
        <w:spacing w:line="360" w:lineRule="auto"/>
        <w:rPr>
          <w:rFonts w:ascii="宋体" w:hAnsi="宋体" w:cs="宋体"/>
          <w:color w:val="auto"/>
        </w:rPr>
        <w:sectPr>
          <w:pgSz w:w="11905" w:h="16838"/>
          <w:pgMar w:top="1417" w:right="1134" w:bottom="1417" w:left="1100" w:header="703" w:footer="703" w:gutter="0"/>
          <w:cols w:space="720" w:num="1"/>
        </w:sectPr>
      </w:pPr>
    </w:p>
    <w:p w14:paraId="466E6173">
      <w:pPr>
        <w:spacing w:line="360" w:lineRule="auto"/>
        <w:rPr>
          <w:rFonts w:ascii="宋体" w:hAnsi="宋体" w:cs="宋体"/>
          <w:color w:val="auto"/>
        </w:rPr>
      </w:pPr>
    </w:p>
    <w:p w14:paraId="7A9C069A">
      <w:pPr>
        <w:spacing w:before="91" w:line="360" w:lineRule="auto"/>
        <w:ind w:left="3268"/>
        <w:rPr>
          <w:rFonts w:ascii="宋体" w:hAnsi="宋体" w:cs="宋体"/>
          <w:color w:val="auto"/>
          <w:spacing w:val="-2"/>
          <w:sz w:val="28"/>
          <w:szCs w:val="28"/>
        </w:rPr>
      </w:pPr>
      <w:r>
        <w:rPr>
          <w:rFonts w:hint="eastAsia" w:ascii="宋体" w:hAnsi="宋体" w:cs="宋体"/>
          <w:color w:val="auto"/>
          <w:spacing w:val="-4"/>
          <w:sz w:val="28"/>
          <w:szCs w:val="28"/>
        </w:rPr>
        <w:t>商务</w:t>
      </w:r>
      <w:r>
        <w:rPr>
          <w:rFonts w:hint="eastAsia" w:ascii="宋体" w:hAnsi="宋体" w:cs="宋体"/>
          <w:color w:val="auto"/>
          <w:spacing w:val="-3"/>
          <w:sz w:val="28"/>
          <w:szCs w:val="28"/>
        </w:rPr>
        <w:t>技</w:t>
      </w:r>
      <w:r>
        <w:rPr>
          <w:rFonts w:hint="eastAsia" w:ascii="宋体" w:hAnsi="宋体" w:cs="宋体"/>
          <w:color w:val="auto"/>
          <w:spacing w:val="-2"/>
          <w:sz w:val="28"/>
          <w:szCs w:val="28"/>
        </w:rPr>
        <w:t>术文件目录</w:t>
      </w:r>
    </w:p>
    <w:p w14:paraId="3C694DFB">
      <w:pPr>
        <w:pStyle w:val="2"/>
        <w:spacing w:line="360" w:lineRule="auto"/>
        <w:ind w:firstLine="560"/>
        <w:rPr>
          <w:rFonts w:eastAsia="宋体"/>
          <w:color w:val="auto"/>
        </w:rPr>
      </w:pPr>
    </w:p>
    <w:p w14:paraId="4E1BCE14">
      <w:pPr>
        <w:spacing w:before="228" w:line="360" w:lineRule="auto"/>
        <w:rPr>
          <w:rFonts w:ascii="宋体" w:hAnsi="宋体" w:cs="宋体"/>
          <w:color w:val="auto"/>
          <w:sz w:val="24"/>
        </w:rPr>
      </w:pPr>
      <w:r>
        <w:rPr>
          <w:rFonts w:hint="eastAsia" w:ascii="宋体" w:hAnsi="宋体" w:cs="宋体"/>
          <w:color w:val="auto"/>
          <w:spacing w:val="24"/>
          <w:sz w:val="24"/>
        </w:rPr>
        <w:t>一</w:t>
      </w:r>
      <w:r>
        <w:rPr>
          <w:rFonts w:hint="eastAsia" w:ascii="宋体" w:hAnsi="宋体" w:cs="宋体"/>
          <w:color w:val="auto"/>
          <w:spacing w:val="15"/>
          <w:sz w:val="24"/>
        </w:rPr>
        <w:t>、</w:t>
      </w:r>
      <w:r>
        <w:rPr>
          <w:rFonts w:hint="eastAsia" w:ascii="宋体" w:hAnsi="宋体" w:cs="宋体"/>
          <w:color w:val="auto"/>
          <w:spacing w:val="12"/>
          <w:sz w:val="24"/>
        </w:rPr>
        <w:t>无串标行为承诺函………………………………………………(页</w:t>
      </w:r>
      <w:r>
        <w:rPr>
          <w:rFonts w:hint="eastAsia" w:ascii="宋体" w:hAnsi="宋体" w:cs="宋体"/>
          <w:color w:val="auto"/>
          <w:spacing w:val="-5"/>
          <w:sz w:val="24"/>
        </w:rPr>
        <w:t>码</w:t>
      </w:r>
      <w:r>
        <w:rPr>
          <w:rFonts w:hint="eastAsia" w:ascii="宋体" w:hAnsi="宋体" w:cs="宋体"/>
          <w:color w:val="auto"/>
          <w:spacing w:val="-4"/>
          <w:sz w:val="24"/>
        </w:rPr>
        <w:t>)</w:t>
      </w:r>
    </w:p>
    <w:p w14:paraId="6412BA58">
      <w:pPr>
        <w:spacing w:before="76" w:line="360" w:lineRule="auto"/>
        <w:rPr>
          <w:rFonts w:ascii="宋体" w:hAnsi="宋体" w:cs="宋体"/>
          <w:color w:val="auto"/>
          <w:sz w:val="24"/>
        </w:rPr>
      </w:pPr>
      <w:r>
        <w:rPr>
          <w:rFonts w:hint="eastAsia" w:ascii="宋体" w:hAnsi="宋体" w:cs="宋体"/>
          <w:color w:val="auto"/>
          <w:spacing w:val="24"/>
          <w:sz w:val="24"/>
        </w:rPr>
        <w:t>二</w:t>
      </w:r>
      <w:r>
        <w:rPr>
          <w:rFonts w:hint="eastAsia" w:ascii="宋体" w:hAnsi="宋体" w:cs="宋体"/>
          <w:color w:val="auto"/>
          <w:spacing w:val="20"/>
          <w:sz w:val="24"/>
        </w:rPr>
        <w:t>、</w:t>
      </w:r>
      <w:r>
        <w:rPr>
          <w:rFonts w:hint="eastAsia" w:ascii="宋体" w:hAnsi="宋体" w:cs="宋体"/>
          <w:color w:val="auto"/>
          <w:spacing w:val="12"/>
          <w:sz w:val="24"/>
        </w:rPr>
        <w:t>法定代表人身份证明及法定代表人有效身份证正反面复印件…(页</w:t>
      </w:r>
      <w:r>
        <w:rPr>
          <w:rFonts w:hint="eastAsia" w:ascii="宋体" w:hAnsi="宋体" w:cs="宋体"/>
          <w:color w:val="auto"/>
          <w:spacing w:val="-5"/>
          <w:sz w:val="24"/>
        </w:rPr>
        <w:t>码</w:t>
      </w:r>
      <w:r>
        <w:rPr>
          <w:rFonts w:hint="eastAsia" w:ascii="宋体" w:hAnsi="宋体" w:cs="宋体"/>
          <w:color w:val="auto"/>
          <w:spacing w:val="-4"/>
          <w:sz w:val="24"/>
        </w:rPr>
        <w:t>)</w:t>
      </w:r>
    </w:p>
    <w:p w14:paraId="75C97B93">
      <w:pPr>
        <w:spacing w:before="76" w:line="360" w:lineRule="auto"/>
        <w:rPr>
          <w:rFonts w:ascii="宋体" w:hAnsi="宋体" w:cs="宋体"/>
          <w:color w:val="auto"/>
          <w:sz w:val="24"/>
        </w:rPr>
      </w:pPr>
      <w:r>
        <w:rPr>
          <w:rFonts w:hint="eastAsia" w:ascii="宋体" w:hAnsi="宋体" w:cs="宋体"/>
          <w:color w:val="auto"/>
          <w:spacing w:val="22"/>
          <w:sz w:val="24"/>
        </w:rPr>
        <w:t>三、</w:t>
      </w:r>
      <w:r>
        <w:rPr>
          <w:rFonts w:hint="eastAsia" w:ascii="宋体" w:hAnsi="宋体" w:cs="宋体"/>
          <w:color w:val="auto"/>
          <w:spacing w:val="14"/>
          <w:sz w:val="24"/>
        </w:rPr>
        <w:t>法</w:t>
      </w:r>
      <w:r>
        <w:rPr>
          <w:rFonts w:hint="eastAsia" w:ascii="宋体" w:hAnsi="宋体" w:cs="宋体"/>
          <w:color w:val="auto"/>
          <w:spacing w:val="11"/>
          <w:sz w:val="24"/>
        </w:rPr>
        <w:t>定代表人授权委托书( 如有委托时) ………………………(页</w:t>
      </w:r>
      <w:r>
        <w:rPr>
          <w:rFonts w:hint="eastAsia" w:ascii="宋体" w:hAnsi="宋体" w:cs="宋体"/>
          <w:color w:val="auto"/>
          <w:spacing w:val="-5"/>
          <w:sz w:val="24"/>
        </w:rPr>
        <w:t>码</w:t>
      </w:r>
      <w:r>
        <w:rPr>
          <w:rFonts w:hint="eastAsia" w:ascii="宋体" w:hAnsi="宋体" w:cs="宋体"/>
          <w:color w:val="auto"/>
          <w:spacing w:val="-4"/>
          <w:sz w:val="24"/>
        </w:rPr>
        <w:t>)</w:t>
      </w:r>
    </w:p>
    <w:p w14:paraId="09AF2094">
      <w:pPr>
        <w:spacing w:before="75" w:line="360" w:lineRule="auto"/>
        <w:rPr>
          <w:rFonts w:ascii="宋体" w:hAnsi="宋体" w:cs="宋体"/>
          <w:color w:val="auto"/>
          <w:sz w:val="24"/>
        </w:rPr>
      </w:pPr>
      <w:r>
        <w:rPr>
          <w:rFonts w:hint="eastAsia" w:ascii="宋体" w:hAnsi="宋体" w:cs="宋体"/>
          <w:color w:val="auto"/>
          <w:spacing w:val="18"/>
          <w:sz w:val="24"/>
        </w:rPr>
        <w:t>四</w:t>
      </w:r>
      <w:r>
        <w:rPr>
          <w:rFonts w:hint="eastAsia" w:ascii="宋体" w:hAnsi="宋体" w:cs="宋体"/>
          <w:color w:val="auto"/>
          <w:spacing w:val="12"/>
          <w:sz w:val="24"/>
        </w:rPr>
        <w:t>、商务条款偏离表…………………………………………………(页</w:t>
      </w:r>
      <w:r>
        <w:rPr>
          <w:rFonts w:hint="eastAsia" w:ascii="宋体" w:hAnsi="宋体" w:cs="宋体"/>
          <w:color w:val="auto"/>
          <w:spacing w:val="-5"/>
          <w:sz w:val="24"/>
        </w:rPr>
        <w:t>码</w:t>
      </w:r>
      <w:r>
        <w:rPr>
          <w:rFonts w:hint="eastAsia" w:ascii="宋体" w:hAnsi="宋体" w:cs="宋体"/>
          <w:color w:val="auto"/>
          <w:spacing w:val="-4"/>
          <w:sz w:val="24"/>
        </w:rPr>
        <w:t>)</w:t>
      </w:r>
    </w:p>
    <w:p w14:paraId="74D3D5BD">
      <w:pPr>
        <w:spacing w:before="76" w:line="360" w:lineRule="auto"/>
        <w:rPr>
          <w:rFonts w:ascii="宋体" w:hAnsi="宋体" w:cs="宋体"/>
          <w:color w:val="auto"/>
          <w:sz w:val="24"/>
        </w:rPr>
      </w:pPr>
      <w:r>
        <w:rPr>
          <w:rFonts w:hint="eastAsia" w:ascii="宋体" w:hAnsi="宋体" w:cs="宋体"/>
          <w:color w:val="auto"/>
          <w:spacing w:val="10"/>
          <w:sz w:val="24"/>
        </w:rPr>
        <w:t>五</w:t>
      </w:r>
      <w:r>
        <w:rPr>
          <w:rFonts w:hint="eastAsia" w:ascii="宋体" w:hAnsi="宋体" w:cs="宋体"/>
          <w:color w:val="auto"/>
          <w:spacing w:val="7"/>
          <w:sz w:val="24"/>
        </w:rPr>
        <w:t>、</w:t>
      </w:r>
      <w:r>
        <w:rPr>
          <w:rFonts w:hint="eastAsia" w:ascii="宋体" w:hAnsi="宋体" w:cs="宋体"/>
          <w:color w:val="auto"/>
          <w:spacing w:val="5"/>
          <w:sz w:val="24"/>
        </w:rPr>
        <w:t>竞标人情况介绍 ……………………………… ……………………(页</w:t>
      </w:r>
      <w:r>
        <w:rPr>
          <w:rFonts w:hint="eastAsia" w:ascii="宋体" w:hAnsi="宋体" w:cs="宋体"/>
          <w:color w:val="auto"/>
          <w:spacing w:val="-5"/>
          <w:sz w:val="24"/>
        </w:rPr>
        <w:t>码</w:t>
      </w:r>
      <w:r>
        <w:rPr>
          <w:rFonts w:hint="eastAsia" w:ascii="宋体" w:hAnsi="宋体" w:cs="宋体"/>
          <w:color w:val="auto"/>
          <w:spacing w:val="-4"/>
          <w:sz w:val="24"/>
        </w:rPr>
        <w:t>)</w:t>
      </w:r>
    </w:p>
    <w:p w14:paraId="18D9AE18">
      <w:pPr>
        <w:spacing w:before="76" w:line="360" w:lineRule="auto"/>
        <w:rPr>
          <w:rFonts w:ascii="宋体" w:hAnsi="宋体" w:cs="宋体"/>
          <w:color w:val="auto"/>
          <w:sz w:val="24"/>
        </w:rPr>
      </w:pPr>
      <w:r>
        <w:rPr>
          <w:rFonts w:hint="eastAsia" w:ascii="宋体" w:hAnsi="宋体" w:cs="宋体"/>
          <w:color w:val="auto"/>
          <w:spacing w:val="16"/>
          <w:sz w:val="24"/>
        </w:rPr>
        <w:t>六、</w:t>
      </w:r>
      <w:r>
        <w:rPr>
          <w:rFonts w:hint="eastAsia" w:ascii="宋体" w:hAnsi="宋体" w:cs="宋体"/>
          <w:color w:val="auto"/>
          <w:spacing w:val="8"/>
          <w:sz w:val="24"/>
        </w:rPr>
        <w:t>供应商类似业绩的证明文件( 如有要求) ……………………… (页</w:t>
      </w:r>
      <w:r>
        <w:rPr>
          <w:rFonts w:hint="eastAsia" w:ascii="宋体" w:hAnsi="宋体" w:cs="宋体"/>
          <w:color w:val="auto"/>
          <w:spacing w:val="-5"/>
          <w:sz w:val="24"/>
        </w:rPr>
        <w:t>码</w:t>
      </w:r>
      <w:r>
        <w:rPr>
          <w:rFonts w:hint="eastAsia" w:ascii="宋体" w:hAnsi="宋体" w:cs="宋体"/>
          <w:color w:val="auto"/>
          <w:spacing w:val="-4"/>
          <w:sz w:val="24"/>
        </w:rPr>
        <w:t>)</w:t>
      </w:r>
    </w:p>
    <w:p w14:paraId="0B87BF03">
      <w:pPr>
        <w:spacing w:before="76" w:line="360" w:lineRule="auto"/>
        <w:rPr>
          <w:rFonts w:ascii="宋体" w:hAnsi="宋体" w:cs="宋体"/>
          <w:color w:val="auto"/>
          <w:sz w:val="24"/>
        </w:rPr>
      </w:pPr>
      <w:r>
        <w:rPr>
          <w:rFonts w:hint="eastAsia" w:ascii="宋体" w:hAnsi="宋体" w:cs="宋体"/>
          <w:color w:val="auto"/>
          <w:spacing w:val="24"/>
          <w:sz w:val="24"/>
        </w:rPr>
        <w:t>七、</w:t>
      </w:r>
      <w:r>
        <w:rPr>
          <w:rFonts w:hint="eastAsia" w:ascii="宋体" w:hAnsi="宋体" w:cs="宋体"/>
          <w:color w:val="auto"/>
          <w:spacing w:val="13"/>
          <w:sz w:val="24"/>
        </w:rPr>
        <w:t>服</w:t>
      </w:r>
      <w:r>
        <w:rPr>
          <w:rFonts w:hint="eastAsia" w:ascii="宋体" w:hAnsi="宋体" w:cs="宋体"/>
          <w:color w:val="auto"/>
          <w:spacing w:val="12"/>
          <w:sz w:val="24"/>
        </w:rPr>
        <w:t>务需求偏离表…………………………………………………(页</w:t>
      </w:r>
      <w:r>
        <w:rPr>
          <w:rFonts w:hint="eastAsia" w:ascii="宋体" w:hAnsi="宋体" w:cs="宋体"/>
          <w:color w:val="auto"/>
          <w:spacing w:val="-5"/>
          <w:sz w:val="24"/>
        </w:rPr>
        <w:t>码</w:t>
      </w:r>
      <w:r>
        <w:rPr>
          <w:rFonts w:hint="eastAsia" w:ascii="宋体" w:hAnsi="宋体" w:cs="宋体"/>
          <w:color w:val="auto"/>
          <w:spacing w:val="-4"/>
          <w:sz w:val="24"/>
        </w:rPr>
        <w:t>)</w:t>
      </w:r>
    </w:p>
    <w:p w14:paraId="6E954AEC">
      <w:pPr>
        <w:spacing w:before="76" w:line="360" w:lineRule="auto"/>
        <w:rPr>
          <w:rFonts w:ascii="宋体" w:hAnsi="宋体" w:cs="宋体"/>
          <w:color w:val="auto"/>
          <w:sz w:val="24"/>
        </w:rPr>
      </w:pPr>
      <w:r>
        <w:rPr>
          <w:rFonts w:hint="eastAsia" w:ascii="宋体" w:hAnsi="宋体" w:cs="宋体"/>
          <w:color w:val="auto"/>
          <w:spacing w:val="24"/>
          <w:sz w:val="24"/>
        </w:rPr>
        <w:t>八、</w:t>
      </w:r>
      <w:r>
        <w:rPr>
          <w:rFonts w:hint="eastAsia" w:ascii="宋体" w:hAnsi="宋体" w:cs="宋体"/>
          <w:color w:val="auto"/>
          <w:spacing w:val="14"/>
          <w:sz w:val="24"/>
        </w:rPr>
        <w:t>组</w:t>
      </w:r>
      <w:r>
        <w:rPr>
          <w:rFonts w:hint="eastAsia" w:ascii="宋体" w:hAnsi="宋体" w:cs="宋体"/>
          <w:color w:val="auto"/>
          <w:spacing w:val="12"/>
          <w:sz w:val="24"/>
        </w:rPr>
        <w:t>织服务方案……………………………………………………(页</w:t>
      </w:r>
      <w:r>
        <w:rPr>
          <w:rFonts w:hint="eastAsia" w:ascii="宋体" w:hAnsi="宋体" w:cs="宋体"/>
          <w:color w:val="auto"/>
          <w:spacing w:val="-5"/>
          <w:sz w:val="24"/>
        </w:rPr>
        <w:t>码</w:t>
      </w:r>
      <w:r>
        <w:rPr>
          <w:rFonts w:hint="eastAsia" w:ascii="宋体" w:hAnsi="宋体" w:cs="宋体"/>
          <w:color w:val="auto"/>
          <w:spacing w:val="-4"/>
          <w:sz w:val="24"/>
        </w:rPr>
        <w:t>)</w:t>
      </w:r>
    </w:p>
    <w:p w14:paraId="2882A974">
      <w:pPr>
        <w:spacing w:before="76" w:line="360" w:lineRule="auto"/>
        <w:rPr>
          <w:rFonts w:ascii="宋体" w:hAnsi="宋体" w:cs="宋体"/>
          <w:color w:val="auto"/>
          <w:sz w:val="24"/>
        </w:rPr>
      </w:pPr>
      <w:r>
        <w:rPr>
          <w:rFonts w:hint="eastAsia" w:ascii="宋体" w:hAnsi="宋体" w:cs="宋体"/>
          <w:color w:val="auto"/>
          <w:spacing w:val="2"/>
          <w:sz w:val="24"/>
        </w:rPr>
        <w:t>九、售后服务方案 …………………………………………………………(</w:t>
      </w:r>
      <w:r>
        <w:rPr>
          <w:rFonts w:hint="eastAsia" w:ascii="宋体" w:hAnsi="宋体" w:cs="宋体"/>
          <w:color w:val="auto"/>
          <w:sz w:val="24"/>
        </w:rPr>
        <w:t>页</w:t>
      </w:r>
      <w:r>
        <w:rPr>
          <w:rFonts w:hint="eastAsia" w:ascii="宋体" w:hAnsi="宋体" w:cs="宋体"/>
          <w:color w:val="auto"/>
          <w:spacing w:val="-5"/>
          <w:sz w:val="24"/>
        </w:rPr>
        <w:t>码</w:t>
      </w:r>
      <w:r>
        <w:rPr>
          <w:rFonts w:hint="eastAsia" w:ascii="宋体" w:hAnsi="宋体" w:cs="宋体"/>
          <w:color w:val="auto"/>
          <w:spacing w:val="-4"/>
          <w:sz w:val="24"/>
        </w:rPr>
        <w:t>)</w:t>
      </w:r>
    </w:p>
    <w:p w14:paraId="5FAB5541">
      <w:pPr>
        <w:spacing w:before="76" w:line="360" w:lineRule="auto"/>
        <w:rPr>
          <w:rFonts w:ascii="宋体" w:hAnsi="宋体" w:cs="宋体"/>
          <w:color w:val="auto"/>
          <w:sz w:val="24"/>
        </w:rPr>
      </w:pPr>
      <w:r>
        <w:rPr>
          <w:rFonts w:hint="eastAsia" w:ascii="宋体" w:hAnsi="宋体" w:cs="宋体"/>
          <w:color w:val="auto"/>
          <w:spacing w:val="13"/>
          <w:sz w:val="24"/>
        </w:rPr>
        <w:t>十、项目实施人员一览表…………………………</w:t>
      </w:r>
      <w:r>
        <w:rPr>
          <w:rFonts w:hint="eastAsia" w:ascii="宋体" w:hAnsi="宋体" w:cs="宋体"/>
          <w:color w:val="auto"/>
          <w:spacing w:val="2"/>
          <w:sz w:val="24"/>
        </w:rPr>
        <w:t>…</w:t>
      </w:r>
      <w:r>
        <w:rPr>
          <w:rFonts w:hint="eastAsia" w:ascii="宋体" w:hAnsi="宋体" w:cs="宋体"/>
          <w:color w:val="auto"/>
          <w:spacing w:val="13"/>
          <w:sz w:val="24"/>
        </w:rPr>
        <w:t>………………(</w:t>
      </w:r>
      <w:r>
        <w:rPr>
          <w:rFonts w:hint="eastAsia" w:ascii="宋体" w:hAnsi="宋体" w:cs="宋体"/>
          <w:color w:val="auto"/>
          <w:spacing w:val="6"/>
          <w:sz w:val="24"/>
        </w:rPr>
        <w:t>页</w:t>
      </w:r>
      <w:r>
        <w:rPr>
          <w:rFonts w:hint="eastAsia" w:ascii="宋体" w:hAnsi="宋体" w:cs="宋体"/>
          <w:color w:val="auto"/>
          <w:spacing w:val="-5"/>
          <w:sz w:val="24"/>
        </w:rPr>
        <w:t>码</w:t>
      </w:r>
      <w:r>
        <w:rPr>
          <w:rFonts w:hint="eastAsia" w:ascii="宋体" w:hAnsi="宋体" w:cs="宋体"/>
          <w:color w:val="auto"/>
          <w:spacing w:val="-4"/>
          <w:sz w:val="24"/>
        </w:rPr>
        <w:t>)</w:t>
      </w:r>
    </w:p>
    <w:p w14:paraId="0F76FB4D">
      <w:pPr>
        <w:spacing w:before="76" w:line="360" w:lineRule="auto"/>
        <w:rPr>
          <w:rFonts w:ascii="宋体" w:hAnsi="宋体" w:cs="宋体"/>
          <w:color w:val="auto"/>
          <w:sz w:val="24"/>
        </w:rPr>
      </w:pPr>
      <w:r>
        <w:rPr>
          <w:rFonts w:hint="eastAsia" w:ascii="宋体" w:hAnsi="宋体" w:cs="宋体"/>
          <w:color w:val="auto"/>
          <w:spacing w:val="-8"/>
          <w:sz w:val="24"/>
        </w:rPr>
        <w:t>十一、服务需求、商务条款要求提供的其他材料 ………</w:t>
      </w:r>
      <w:r>
        <w:rPr>
          <w:rFonts w:hint="eastAsia" w:ascii="宋体" w:hAnsi="宋体" w:cs="宋体"/>
          <w:color w:val="auto"/>
          <w:spacing w:val="2"/>
          <w:sz w:val="24"/>
        </w:rPr>
        <w:t>……</w:t>
      </w:r>
      <w:r>
        <w:rPr>
          <w:rFonts w:hint="eastAsia" w:ascii="宋体" w:hAnsi="宋体" w:cs="宋体"/>
          <w:color w:val="auto"/>
          <w:spacing w:val="-8"/>
          <w:sz w:val="24"/>
        </w:rPr>
        <w:t>…………………(页码</w:t>
      </w:r>
      <w:r>
        <w:rPr>
          <w:rFonts w:hint="eastAsia" w:ascii="宋体" w:hAnsi="宋体" w:cs="宋体"/>
          <w:color w:val="auto"/>
          <w:spacing w:val="-6"/>
          <w:sz w:val="24"/>
        </w:rPr>
        <w:t>)</w:t>
      </w:r>
    </w:p>
    <w:p w14:paraId="306850F9">
      <w:pPr>
        <w:spacing w:before="80" w:line="360" w:lineRule="auto"/>
        <w:ind w:left="19" w:right="18" w:hanging="2"/>
        <w:rPr>
          <w:rFonts w:ascii="宋体" w:hAnsi="宋体" w:cs="宋体"/>
          <w:color w:val="auto"/>
          <w:sz w:val="24"/>
        </w:rPr>
      </w:pPr>
      <w:r>
        <w:rPr>
          <w:rFonts w:hint="eastAsia" w:ascii="宋体" w:hAnsi="宋体" w:cs="宋体"/>
          <w:color w:val="auto"/>
          <w:spacing w:val="-2"/>
          <w:sz w:val="24"/>
        </w:rPr>
        <w:t>注： 以上目录是基本格式要求，各供应商可根据自身情况进一步</w:t>
      </w:r>
      <w:r>
        <w:rPr>
          <w:rFonts w:hint="eastAsia" w:ascii="宋体" w:hAnsi="宋体" w:cs="宋体"/>
          <w:color w:val="auto"/>
          <w:spacing w:val="-1"/>
          <w:sz w:val="24"/>
        </w:rPr>
        <w:t>向下增加内容或细</w:t>
      </w:r>
      <w:r>
        <w:rPr>
          <w:rFonts w:hint="eastAsia" w:ascii="宋体" w:hAnsi="宋体" w:cs="宋体"/>
          <w:color w:val="auto"/>
          <w:spacing w:val="-9"/>
          <w:sz w:val="24"/>
        </w:rPr>
        <w:t>化。</w:t>
      </w:r>
    </w:p>
    <w:p w14:paraId="21B1C774">
      <w:pPr>
        <w:spacing w:line="360" w:lineRule="auto"/>
        <w:rPr>
          <w:rFonts w:ascii="宋体" w:hAnsi="宋体" w:cs="宋体"/>
          <w:color w:val="auto"/>
          <w:sz w:val="24"/>
        </w:rPr>
        <w:sectPr>
          <w:pgSz w:w="11905" w:h="16838"/>
          <w:pgMar w:top="1417" w:right="1134" w:bottom="1417" w:left="1100" w:header="703" w:footer="703" w:gutter="0"/>
          <w:cols w:space="720" w:num="1"/>
        </w:sectPr>
      </w:pPr>
    </w:p>
    <w:p w14:paraId="30B9FEF8">
      <w:pPr>
        <w:spacing w:before="98" w:line="360" w:lineRule="auto"/>
        <w:ind w:left="906"/>
        <w:rPr>
          <w:rFonts w:ascii="宋体" w:hAnsi="宋体" w:cs="宋体"/>
          <w:color w:val="auto"/>
          <w:sz w:val="30"/>
          <w:szCs w:val="30"/>
        </w:rPr>
      </w:pPr>
      <w:r>
        <w:rPr>
          <w:rFonts w:hint="eastAsia" w:ascii="宋体" w:hAnsi="宋体" w:cs="宋体"/>
          <w:color w:val="auto"/>
          <w:spacing w:val="-4"/>
          <w:sz w:val="30"/>
          <w:szCs w:val="30"/>
        </w:rPr>
        <w:t>一</w:t>
      </w:r>
      <w:r>
        <w:rPr>
          <w:rFonts w:hint="eastAsia" w:ascii="宋体" w:hAnsi="宋体" w:cs="宋体"/>
          <w:color w:val="auto"/>
          <w:spacing w:val="-3"/>
          <w:sz w:val="30"/>
          <w:szCs w:val="30"/>
        </w:rPr>
        <w:t>、</w:t>
      </w:r>
      <w:r>
        <w:rPr>
          <w:rFonts w:hint="eastAsia" w:ascii="宋体" w:hAnsi="宋体" w:cs="宋体"/>
          <w:color w:val="auto"/>
          <w:spacing w:val="-2"/>
          <w:sz w:val="30"/>
          <w:szCs w:val="30"/>
        </w:rPr>
        <w:t>无串标行为承诺函</w:t>
      </w:r>
    </w:p>
    <w:p w14:paraId="6DE1AAE5">
      <w:pPr>
        <w:spacing w:line="360" w:lineRule="auto"/>
        <w:rPr>
          <w:rFonts w:ascii="宋体" w:hAnsi="宋体" w:cs="宋体"/>
          <w:color w:val="auto"/>
        </w:rPr>
      </w:pPr>
    </w:p>
    <w:p w14:paraId="054AA66D">
      <w:pPr>
        <w:spacing w:before="143" w:line="360" w:lineRule="auto"/>
        <w:ind w:left="1980"/>
        <w:rPr>
          <w:rFonts w:ascii="宋体" w:hAnsi="宋体" w:cs="宋体"/>
          <w:color w:val="auto"/>
          <w:sz w:val="44"/>
          <w:szCs w:val="44"/>
        </w:rPr>
      </w:pPr>
      <w:r>
        <w:rPr>
          <w:rFonts w:hint="eastAsia" w:ascii="宋体" w:hAnsi="宋体" w:cs="宋体"/>
          <w:color w:val="auto"/>
          <w:spacing w:val="-3"/>
          <w:sz w:val="44"/>
          <w:szCs w:val="44"/>
        </w:rPr>
        <w:t>无串通竞标行为的承诺</w:t>
      </w:r>
      <w:r>
        <w:rPr>
          <w:rFonts w:hint="eastAsia" w:ascii="宋体" w:hAnsi="宋体" w:cs="宋体"/>
          <w:color w:val="auto"/>
          <w:spacing w:val="-2"/>
          <w:sz w:val="44"/>
          <w:szCs w:val="44"/>
        </w:rPr>
        <w:t>函</w:t>
      </w:r>
    </w:p>
    <w:p w14:paraId="50208262">
      <w:pPr>
        <w:spacing w:line="360" w:lineRule="auto"/>
        <w:rPr>
          <w:rFonts w:ascii="宋体" w:hAnsi="宋体" w:cs="宋体"/>
          <w:color w:val="auto"/>
        </w:rPr>
      </w:pPr>
    </w:p>
    <w:p w14:paraId="7FDFF1B3">
      <w:pPr>
        <w:spacing w:before="78" w:line="360" w:lineRule="auto"/>
        <w:ind w:left="496"/>
        <w:rPr>
          <w:rFonts w:ascii="宋体" w:hAnsi="宋体" w:cs="宋体"/>
          <w:color w:val="auto"/>
          <w:sz w:val="24"/>
        </w:rPr>
      </w:pPr>
      <w:r>
        <w:rPr>
          <w:rFonts w:hint="eastAsia" w:ascii="宋体" w:hAnsi="宋体" w:cs="宋体"/>
          <w:color w:val="auto"/>
          <w:spacing w:val="-12"/>
          <w:sz w:val="24"/>
        </w:rPr>
        <w:t>一、</w:t>
      </w:r>
      <w:r>
        <w:rPr>
          <w:rFonts w:hint="eastAsia" w:ascii="宋体" w:hAnsi="宋体" w:cs="宋体"/>
          <w:color w:val="auto"/>
          <w:spacing w:val="-7"/>
          <w:sz w:val="24"/>
        </w:rPr>
        <w:t xml:space="preserve"> </w:t>
      </w:r>
      <w:r>
        <w:rPr>
          <w:rFonts w:hint="eastAsia" w:ascii="宋体" w:hAnsi="宋体" w:cs="宋体"/>
          <w:color w:val="auto"/>
          <w:spacing w:val="-6"/>
          <w:sz w:val="24"/>
        </w:rPr>
        <w:t>我方承诺无下列相互串通竞标的情形：</w:t>
      </w:r>
    </w:p>
    <w:p w14:paraId="5FBBE590">
      <w:pPr>
        <w:spacing w:before="50" w:line="360" w:lineRule="auto"/>
        <w:ind w:left="15" w:right="4" w:firstLine="481"/>
        <w:rPr>
          <w:rFonts w:ascii="宋体" w:hAnsi="宋体" w:cs="宋体"/>
          <w:color w:val="auto"/>
          <w:spacing w:val="2"/>
          <w:sz w:val="24"/>
        </w:rPr>
      </w:pPr>
      <w:r>
        <w:rPr>
          <w:rFonts w:hint="eastAsia" w:ascii="宋体" w:hAnsi="宋体" w:cs="宋体"/>
          <w:color w:val="auto"/>
          <w:spacing w:val="2"/>
          <w:sz w:val="24"/>
        </w:rPr>
        <w:t>1.不同供应商的响应文件由同一单位或者个人编制； 或者不同供应商报名的 IP 地址一致的；或者编制响应文件硬件设备 CPU 编号、硬盘编号、 网卡地址一致的情况</w:t>
      </w:r>
    </w:p>
    <w:p w14:paraId="0ECE2F0A">
      <w:pPr>
        <w:spacing w:before="50" w:line="360" w:lineRule="auto"/>
        <w:ind w:left="15" w:right="4" w:firstLine="481"/>
        <w:rPr>
          <w:rFonts w:ascii="宋体" w:hAnsi="宋体" w:cs="宋体"/>
          <w:color w:val="auto"/>
          <w:spacing w:val="2"/>
          <w:sz w:val="24"/>
        </w:rPr>
      </w:pPr>
      <w:r>
        <w:rPr>
          <w:rFonts w:hint="eastAsia" w:ascii="宋体" w:hAnsi="宋体" w:cs="宋体"/>
          <w:color w:val="auto"/>
          <w:spacing w:val="2"/>
          <w:sz w:val="24"/>
        </w:rPr>
        <w:t xml:space="preserve">2.不同供应商委托同一单位或者个人办理竞标事宜；        </w:t>
      </w:r>
    </w:p>
    <w:p w14:paraId="01245083">
      <w:pPr>
        <w:spacing w:before="50" w:line="360" w:lineRule="auto"/>
        <w:ind w:left="15" w:right="4" w:firstLine="481"/>
        <w:rPr>
          <w:rFonts w:ascii="宋体" w:hAnsi="宋体" w:cs="宋体"/>
          <w:color w:val="auto"/>
          <w:spacing w:val="2"/>
          <w:sz w:val="24"/>
        </w:rPr>
      </w:pPr>
      <w:r>
        <w:rPr>
          <w:rFonts w:hint="eastAsia" w:ascii="宋体" w:hAnsi="宋体" w:cs="宋体"/>
          <w:color w:val="auto"/>
          <w:spacing w:val="2"/>
          <w:sz w:val="24"/>
        </w:rPr>
        <w:t xml:space="preserve">3.不同供应商的响应文件载明的项目管理员为同一个人；    </w:t>
      </w:r>
    </w:p>
    <w:p w14:paraId="7C92ACF0">
      <w:pPr>
        <w:spacing w:before="50" w:line="360" w:lineRule="auto"/>
        <w:ind w:left="15" w:right="4" w:firstLine="481"/>
        <w:rPr>
          <w:rFonts w:ascii="宋体" w:hAnsi="宋体" w:cs="宋体"/>
          <w:color w:val="auto"/>
          <w:spacing w:val="2"/>
          <w:sz w:val="24"/>
        </w:rPr>
      </w:pPr>
      <w:r>
        <w:rPr>
          <w:rFonts w:hint="eastAsia" w:ascii="宋体" w:hAnsi="宋体" w:cs="宋体"/>
          <w:color w:val="auto"/>
          <w:spacing w:val="2"/>
          <w:sz w:val="24"/>
        </w:rPr>
        <w:t xml:space="preserve">4.不同供应商的响应文件异常一致或者响应报价呈规律性差异； </w:t>
      </w:r>
    </w:p>
    <w:p w14:paraId="1CB5EDC1">
      <w:pPr>
        <w:spacing w:before="50" w:line="360" w:lineRule="auto"/>
        <w:ind w:left="15" w:right="4" w:firstLine="481"/>
        <w:rPr>
          <w:rFonts w:ascii="宋体" w:hAnsi="宋体" w:cs="宋体"/>
          <w:color w:val="auto"/>
          <w:spacing w:val="2"/>
          <w:sz w:val="24"/>
        </w:rPr>
      </w:pPr>
      <w:r>
        <w:rPr>
          <w:rFonts w:hint="eastAsia" w:ascii="宋体" w:hAnsi="宋体" w:cs="宋体"/>
          <w:color w:val="auto"/>
          <w:spacing w:val="2"/>
          <w:sz w:val="24"/>
        </w:rPr>
        <w:t xml:space="preserve">5.不同供应商的响应文件相互混装；                      </w:t>
      </w:r>
    </w:p>
    <w:p w14:paraId="4ACF7610">
      <w:pPr>
        <w:spacing w:before="50" w:line="360" w:lineRule="auto"/>
        <w:ind w:left="15" w:right="4" w:firstLine="481"/>
        <w:rPr>
          <w:rFonts w:ascii="宋体" w:hAnsi="宋体" w:cs="宋体"/>
          <w:color w:val="auto"/>
          <w:spacing w:val="2"/>
          <w:sz w:val="24"/>
        </w:rPr>
      </w:pPr>
      <w:r>
        <w:rPr>
          <w:rFonts w:hint="eastAsia" w:ascii="宋体" w:hAnsi="宋体" w:cs="宋体"/>
          <w:color w:val="auto"/>
          <w:spacing w:val="2"/>
          <w:sz w:val="24"/>
        </w:rPr>
        <w:t>6.不同供应商的磋商保证金从同一单位或者个人账户转出。</w:t>
      </w:r>
    </w:p>
    <w:p w14:paraId="4A2C8498">
      <w:pPr>
        <w:spacing w:line="360" w:lineRule="auto"/>
        <w:ind w:left="497"/>
        <w:rPr>
          <w:rFonts w:ascii="宋体" w:hAnsi="宋体" w:cs="宋体"/>
          <w:color w:val="auto"/>
          <w:sz w:val="24"/>
        </w:rPr>
      </w:pPr>
      <w:r>
        <w:rPr>
          <w:rFonts w:hint="eastAsia" w:ascii="宋体" w:hAnsi="宋体" w:cs="宋体"/>
          <w:color w:val="auto"/>
          <w:spacing w:val="-14"/>
          <w:sz w:val="24"/>
        </w:rPr>
        <w:t>二</w:t>
      </w:r>
      <w:r>
        <w:rPr>
          <w:rFonts w:hint="eastAsia" w:ascii="宋体" w:hAnsi="宋体" w:cs="宋体"/>
          <w:color w:val="auto"/>
          <w:spacing w:val="-8"/>
          <w:sz w:val="24"/>
        </w:rPr>
        <w:t>、</w:t>
      </w:r>
      <w:r>
        <w:rPr>
          <w:rFonts w:hint="eastAsia" w:ascii="宋体" w:hAnsi="宋体" w:cs="宋体"/>
          <w:color w:val="auto"/>
          <w:spacing w:val="-7"/>
          <w:sz w:val="24"/>
        </w:rPr>
        <w:t xml:space="preserve"> 我方承诺无下列恶意串通的情形：</w:t>
      </w:r>
    </w:p>
    <w:p w14:paraId="4BA89570">
      <w:pPr>
        <w:spacing w:before="78" w:line="360" w:lineRule="auto"/>
        <w:ind w:left="17" w:right="24" w:firstLine="491"/>
        <w:rPr>
          <w:rFonts w:ascii="宋体" w:hAnsi="宋体" w:cs="宋体"/>
          <w:color w:val="auto"/>
          <w:sz w:val="24"/>
        </w:rPr>
      </w:pPr>
      <w:r>
        <w:rPr>
          <w:rFonts w:hint="eastAsia" w:ascii="宋体" w:hAnsi="宋体" w:cs="宋体"/>
          <w:color w:val="auto"/>
          <w:spacing w:val="1"/>
          <w:sz w:val="24"/>
        </w:rPr>
        <w:t>1.供应商直接或者间接从采购人或者采购代理机构处获得其他供应商的相关信</w:t>
      </w:r>
      <w:r>
        <w:rPr>
          <w:rFonts w:hint="eastAsia" w:ascii="宋体" w:hAnsi="宋体" w:cs="宋体"/>
          <w:color w:val="auto"/>
          <w:sz w:val="24"/>
        </w:rPr>
        <w:t xml:space="preserve"> </w:t>
      </w:r>
      <w:r>
        <w:rPr>
          <w:rFonts w:hint="eastAsia" w:ascii="宋体" w:hAnsi="宋体" w:cs="宋体"/>
          <w:color w:val="auto"/>
          <w:spacing w:val="-10"/>
          <w:sz w:val="24"/>
        </w:rPr>
        <w:t>息</w:t>
      </w:r>
      <w:r>
        <w:rPr>
          <w:rFonts w:hint="eastAsia" w:ascii="宋体" w:hAnsi="宋体" w:cs="宋体"/>
          <w:color w:val="auto"/>
          <w:spacing w:val="-8"/>
          <w:sz w:val="24"/>
        </w:rPr>
        <w:t>并</w:t>
      </w:r>
      <w:r>
        <w:rPr>
          <w:rFonts w:hint="eastAsia" w:ascii="宋体" w:hAnsi="宋体" w:cs="宋体"/>
          <w:color w:val="auto"/>
          <w:spacing w:val="-5"/>
          <w:sz w:val="24"/>
        </w:rPr>
        <w:t>修改其响应文件；</w:t>
      </w:r>
    </w:p>
    <w:p w14:paraId="3B4BA57D">
      <w:pPr>
        <w:spacing w:before="2" w:line="360" w:lineRule="auto"/>
        <w:ind w:left="495" w:right="1103" w:hanging="1"/>
        <w:rPr>
          <w:rFonts w:ascii="宋体" w:hAnsi="宋体" w:cs="宋体"/>
          <w:color w:val="auto"/>
          <w:sz w:val="24"/>
        </w:rPr>
      </w:pPr>
      <w:r>
        <w:rPr>
          <w:rFonts w:hint="eastAsia" w:ascii="宋体" w:hAnsi="宋体" w:cs="宋体"/>
          <w:color w:val="auto"/>
          <w:spacing w:val="-4"/>
          <w:sz w:val="24"/>
        </w:rPr>
        <w:t>2.供</w:t>
      </w:r>
      <w:r>
        <w:rPr>
          <w:rFonts w:hint="eastAsia" w:ascii="宋体" w:hAnsi="宋体" w:cs="宋体"/>
          <w:color w:val="auto"/>
          <w:spacing w:val="-2"/>
          <w:sz w:val="24"/>
        </w:rPr>
        <w:t>应商按照采购人或者采购代理机构的授意撤换、修改响应文件；</w:t>
      </w:r>
      <w:r>
        <w:rPr>
          <w:rFonts w:hint="eastAsia" w:ascii="宋体" w:hAnsi="宋体" w:cs="宋体"/>
          <w:color w:val="auto"/>
          <w:sz w:val="24"/>
        </w:rPr>
        <w:t xml:space="preserve"> </w:t>
      </w:r>
    </w:p>
    <w:p w14:paraId="170C9ADF">
      <w:pPr>
        <w:spacing w:before="2" w:line="360" w:lineRule="auto"/>
        <w:ind w:left="495" w:right="1103" w:hanging="1"/>
        <w:rPr>
          <w:rFonts w:ascii="宋体" w:hAnsi="宋体" w:cs="宋体"/>
          <w:color w:val="auto"/>
          <w:sz w:val="24"/>
        </w:rPr>
      </w:pPr>
      <w:r>
        <w:rPr>
          <w:rFonts w:hint="eastAsia" w:ascii="宋体" w:hAnsi="宋体" w:cs="宋体"/>
          <w:color w:val="auto"/>
          <w:spacing w:val="-10"/>
          <w:sz w:val="24"/>
        </w:rPr>
        <w:t>3.</w:t>
      </w:r>
      <w:r>
        <w:rPr>
          <w:rFonts w:hint="eastAsia" w:ascii="宋体" w:hAnsi="宋体" w:cs="宋体"/>
          <w:color w:val="auto"/>
          <w:spacing w:val="-8"/>
          <w:sz w:val="24"/>
        </w:rPr>
        <w:t>供</w:t>
      </w:r>
      <w:r>
        <w:rPr>
          <w:rFonts w:hint="eastAsia" w:ascii="宋体" w:hAnsi="宋体" w:cs="宋体"/>
          <w:color w:val="auto"/>
          <w:spacing w:val="-5"/>
          <w:sz w:val="24"/>
        </w:rPr>
        <w:t>应商之间协商报价、技术方案等响应文件的实质性内容；</w:t>
      </w:r>
    </w:p>
    <w:p w14:paraId="2DB05A22">
      <w:pPr>
        <w:spacing w:before="3" w:line="360" w:lineRule="auto"/>
        <w:ind w:left="10" w:firstLine="480"/>
        <w:rPr>
          <w:rFonts w:ascii="宋体" w:hAnsi="宋体" w:cs="宋体"/>
          <w:color w:val="auto"/>
          <w:sz w:val="24"/>
        </w:rPr>
      </w:pPr>
      <w:r>
        <w:rPr>
          <w:rFonts w:hint="eastAsia" w:ascii="宋体" w:hAnsi="宋体" w:cs="宋体"/>
          <w:color w:val="auto"/>
          <w:spacing w:val="-8"/>
          <w:sz w:val="24"/>
        </w:rPr>
        <w:t>4.属于</w:t>
      </w:r>
      <w:r>
        <w:rPr>
          <w:rFonts w:hint="eastAsia" w:ascii="宋体" w:hAnsi="宋体" w:cs="宋体"/>
          <w:color w:val="auto"/>
          <w:spacing w:val="-5"/>
          <w:sz w:val="24"/>
        </w:rPr>
        <w:t>同</w:t>
      </w:r>
      <w:r>
        <w:rPr>
          <w:rFonts w:hint="eastAsia" w:ascii="宋体" w:hAnsi="宋体" w:cs="宋体"/>
          <w:color w:val="auto"/>
          <w:spacing w:val="-4"/>
          <w:sz w:val="24"/>
        </w:rPr>
        <w:t>一集团、协会、商会等组织成员的供应商按照该组织要求协同参加政府</w:t>
      </w:r>
      <w:r>
        <w:rPr>
          <w:rFonts w:hint="eastAsia" w:ascii="宋体" w:hAnsi="宋体" w:cs="宋体"/>
          <w:color w:val="auto"/>
          <w:sz w:val="24"/>
        </w:rPr>
        <w:t xml:space="preserve"> </w:t>
      </w:r>
      <w:r>
        <w:rPr>
          <w:rFonts w:hint="eastAsia" w:ascii="宋体" w:hAnsi="宋体" w:cs="宋体"/>
          <w:color w:val="auto"/>
          <w:spacing w:val="-2"/>
          <w:sz w:val="24"/>
        </w:rPr>
        <w:t>采购活动</w:t>
      </w:r>
      <w:r>
        <w:rPr>
          <w:rFonts w:hint="eastAsia" w:ascii="宋体" w:hAnsi="宋体" w:cs="宋体"/>
          <w:color w:val="auto"/>
          <w:spacing w:val="-1"/>
          <w:sz w:val="24"/>
        </w:rPr>
        <w:t>；</w:t>
      </w:r>
    </w:p>
    <w:p w14:paraId="2C9D5E0D">
      <w:pPr>
        <w:spacing w:before="3" w:line="360" w:lineRule="auto"/>
        <w:ind w:left="13" w:right="18" w:firstLine="482"/>
        <w:rPr>
          <w:rFonts w:ascii="宋体" w:hAnsi="宋体" w:cs="宋体"/>
          <w:color w:val="auto"/>
          <w:sz w:val="24"/>
        </w:rPr>
      </w:pPr>
      <w:r>
        <w:rPr>
          <w:rFonts w:hint="eastAsia" w:ascii="宋体" w:hAnsi="宋体" w:cs="宋体"/>
          <w:color w:val="auto"/>
          <w:spacing w:val="2"/>
          <w:sz w:val="24"/>
        </w:rPr>
        <w:t>5.供应商之间事先约定一</w:t>
      </w:r>
      <w:r>
        <w:rPr>
          <w:rFonts w:hint="eastAsia" w:ascii="宋体" w:hAnsi="宋体" w:cs="宋体"/>
          <w:color w:val="auto"/>
          <w:spacing w:val="1"/>
          <w:sz w:val="24"/>
        </w:rPr>
        <w:t>致抬高或者压低响应报价，或者在竞争性磋商项目中</w:t>
      </w:r>
      <w:r>
        <w:rPr>
          <w:rFonts w:hint="eastAsia" w:ascii="宋体" w:hAnsi="宋体" w:cs="宋体"/>
          <w:color w:val="auto"/>
          <w:sz w:val="24"/>
        </w:rPr>
        <w:t xml:space="preserve"> </w:t>
      </w:r>
      <w:r>
        <w:rPr>
          <w:rFonts w:hint="eastAsia" w:ascii="宋体" w:hAnsi="宋体" w:cs="宋体"/>
          <w:color w:val="auto"/>
          <w:spacing w:val="2"/>
          <w:sz w:val="24"/>
        </w:rPr>
        <w:t>事先约定轮流以高价位或者低价位成交，或者事先</w:t>
      </w:r>
      <w:r>
        <w:rPr>
          <w:rFonts w:hint="eastAsia" w:ascii="宋体" w:hAnsi="宋体" w:cs="宋体"/>
          <w:color w:val="auto"/>
          <w:spacing w:val="1"/>
          <w:sz w:val="24"/>
        </w:rPr>
        <w:t>约定由某一特定供应商成交，然</w:t>
      </w:r>
      <w:r>
        <w:rPr>
          <w:rFonts w:hint="eastAsia" w:ascii="宋体" w:hAnsi="宋体" w:cs="宋体"/>
          <w:color w:val="auto"/>
          <w:sz w:val="24"/>
        </w:rPr>
        <w:t xml:space="preserve"> </w:t>
      </w:r>
      <w:r>
        <w:rPr>
          <w:rFonts w:hint="eastAsia" w:ascii="宋体" w:hAnsi="宋体" w:cs="宋体"/>
          <w:color w:val="auto"/>
          <w:spacing w:val="-8"/>
          <w:sz w:val="24"/>
        </w:rPr>
        <w:t>后再参加竞标；</w:t>
      </w:r>
    </w:p>
    <w:p w14:paraId="0B5DF83E">
      <w:pPr>
        <w:spacing w:before="1" w:line="360" w:lineRule="auto"/>
        <w:ind w:left="493"/>
        <w:rPr>
          <w:rFonts w:ascii="宋体" w:hAnsi="宋体" w:cs="宋体"/>
          <w:color w:val="auto"/>
          <w:sz w:val="24"/>
        </w:rPr>
      </w:pPr>
      <w:r>
        <w:rPr>
          <w:rFonts w:hint="eastAsia" w:ascii="宋体" w:hAnsi="宋体" w:cs="宋体"/>
          <w:color w:val="auto"/>
          <w:spacing w:val="-2"/>
          <w:sz w:val="24"/>
        </w:rPr>
        <w:t>6.供应商之间商定部分供应商放弃参加</w:t>
      </w:r>
      <w:r>
        <w:rPr>
          <w:rFonts w:hint="eastAsia" w:ascii="宋体" w:hAnsi="宋体" w:cs="宋体"/>
          <w:color w:val="auto"/>
          <w:spacing w:val="-1"/>
          <w:sz w:val="24"/>
        </w:rPr>
        <w:t>政府采购活动或者放弃成交；</w:t>
      </w:r>
    </w:p>
    <w:p w14:paraId="64838231">
      <w:pPr>
        <w:spacing w:before="50" w:line="360" w:lineRule="auto"/>
        <w:ind w:left="15" w:right="4" w:firstLine="481"/>
        <w:rPr>
          <w:rFonts w:ascii="宋体" w:hAnsi="宋体" w:cs="宋体"/>
          <w:color w:val="auto"/>
          <w:sz w:val="24"/>
        </w:rPr>
      </w:pPr>
      <w:r>
        <w:rPr>
          <w:rFonts w:hint="eastAsia" w:ascii="宋体" w:hAnsi="宋体" w:cs="宋体"/>
          <w:color w:val="auto"/>
          <w:spacing w:val="2"/>
          <w:sz w:val="24"/>
        </w:rPr>
        <w:t>7.供应商与采购人或者采购代理机构之间、供应商相互之间，为谋求特定供</w:t>
      </w:r>
      <w:r>
        <w:rPr>
          <w:rFonts w:hint="eastAsia" w:ascii="宋体" w:hAnsi="宋体" w:cs="宋体"/>
          <w:color w:val="auto"/>
          <w:sz w:val="24"/>
        </w:rPr>
        <w:t xml:space="preserve">应 </w:t>
      </w:r>
      <w:r>
        <w:rPr>
          <w:rFonts w:hint="eastAsia" w:ascii="宋体" w:hAnsi="宋体" w:cs="宋体"/>
          <w:color w:val="auto"/>
          <w:spacing w:val="-8"/>
          <w:sz w:val="24"/>
        </w:rPr>
        <w:t>商</w:t>
      </w:r>
      <w:r>
        <w:rPr>
          <w:rFonts w:hint="eastAsia" w:ascii="宋体" w:hAnsi="宋体" w:cs="宋体"/>
          <w:color w:val="auto"/>
          <w:spacing w:val="-6"/>
          <w:sz w:val="24"/>
        </w:rPr>
        <w:t>成交或者排斥其他供应商的其他串通行为。</w:t>
      </w:r>
    </w:p>
    <w:p w14:paraId="6C6F960F">
      <w:pPr>
        <w:spacing w:before="2" w:line="360" w:lineRule="auto"/>
        <w:ind w:left="13" w:right="20" w:firstLine="505"/>
        <w:rPr>
          <w:rFonts w:ascii="宋体" w:hAnsi="宋体" w:cs="宋体"/>
          <w:color w:val="auto"/>
          <w:sz w:val="24"/>
        </w:rPr>
      </w:pPr>
      <w:r>
        <w:rPr>
          <w:rFonts w:hint="eastAsia" w:ascii="宋体" w:hAnsi="宋体" w:cs="宋体"/>
          <w:color w:val="auto"/>
          <w:spacing w:val="1"/>
          <w:sz w:val="24"/>
        </w:rPr>
        <w:t>以上情形一经核查属实，接受政府采购监管部门对我方认定存在围标串</w:t>
      </w:r>
      <w:r>
        <w:rPr>
          <w:rFonts w:hint="eastAsia" w:ascii="宋体" w:hAnsi="宋体" w:cs="宋体"/>
          <w:color w:val="auto"/>
          <w:sz w:val="24"/>
        </w:rPr>
        <w:t xml:space="preserve">标行为 </w:t>
      </w:r>
      <w:r>
        <w:rPr>
          <w:rFonts w:hint="eastAsia" w:ascii="宋体" w:hAnsi="宋体" w:cs="宋体"/>
          <w:color w:val="auto"/>
          <w:spacing w:val="-1"/>
          <w:sz w:val="24"/>
        </w:rPr>
        <w:t>我方愿意承担一切后果，并</w:t>
      </w:r>
      <w:r>
        <w:rPr>
          <w:rFonts w:hint="eastAsia" w:ascii="宋体" w:hAnsi="宋体" w:cs="宋体"/>
          <w:color w:val="auto"/>
          <w:sz w:val="24"/>
        </w:rPr>
        <w:t>不再寻求任何旨在减轻或者免除法律责任的辩解。</w:t>
      </w:r>
    </w:p>
    <w:p w14:paraId="49D8DC61">
      <w:pPr>
        <w:spacing w:before="1" w:line="360" w:lineRule="auto"/>
        <w:ind w:left="4102"/>
        <w:rPr>
          <w:rFonts w:ascii="宋体" w:hAnsi="宋体" w:cs="宋体"/>
          <w:color w:val="auto"/>
          <w:sz w:val="24"/>
        </w:rPr>
      </w:pPr>
      <w:r>
        <w:rPr>
          <w:rFonts w:hint="eastAsia" w:ascii="宋体" w:hAnsi="宋体" w:cs="宋体"/>
          <w:color w:val="auto"/>
          <w:spacing w:val="-8"/>
          <w:sz w:val="24"/>
        </w:rPr>
        <w:t>供</w:t>
      </w:r>
      <w:r>
        <w:rPr>
          <w:rFonts w:hint="eastAsia" w:ascii="宋体" w:hAnsi="宋体" w:cs="宋体"/>
          <w:color w:val="auto"/>
          <w:spacing w:val="-7"/>
          <w:sz w:val="24"/>
        </w:rPr>
        <w:t>应</w:t>
      </w:r>
      <w:r>
        <w:rPr>
          <w:rFonts w:hint="eastAsia" w:ascii="宋体" w:hAnsi="宋体" w:cs="宋体"/>
          <w:color w:val="auto"/>
          <w:spacing w:val="-4"/>
          <w:sz w:val="24"/>
        </w:rPr>
        <w:t>商名称( 电子签章 )：</w:t>
      </w:r>
    </w:p>
    <w:p w14:paraId="0CD257DF">
      <w:pPr>
        <w:spacing w:before="290" w:line="360" w:lineRule="auto"/>
        <w:ind w:right="33"/>
        <w:jc w:val="right"/>
        <w:rPr>
          <w:rFonts w:ascii="宋体" w:hAnsi="宋体" w:cs="宋体"/>
          <w:color w:val="auto"/>
          <w:sz w:val="24"/>
        </w:rPr>
      </w:pPr>
      <w:r>
        <w:rPr>
          <w:rFonts w:hint="eastAsia" w:ascii="宋体" w:hAnsi="宋体" w:cs="宋体"/>
          <w:color w:val="auto"/>
          <w:spacing w:val="-16"/>
          <w:sz w:val="24"/>
        </w:rPr>
        <w:t>日</w:t>
      </w:r>
      <w:r>
        <w:rPr>
          <w:rFonts w:hint="eastAsia" w:ascii="宋体" w:hAnsi="宋体" w:cs="宋体"/>
          <w:color w:val="auto"/>
          <w:spacing w:val="-9"/>
          <w:sz w:val="24"/>
        </w:rPr>
        <w:t>期</w:t>
      </w:r>
      <w:r>
        <w:rPr>
          <w:rFonts w:hint="eastAsia" w:ascii="宋体" w:hAnsi="宋体" w:cs="宋体"/>
          <w:color w:val="auto"/>
          <w:spacing w:val="-8"/>
          <w:sz w:val="24"/>
        </w:rPr>
        <w:t>：   年  月   日</w:t>
      </w:r>
    </w:p>
    <w:p w14:paraId="132308DC">
      <w:pPr>
        <w:spacing w:line="360" w:lineRule="auto"/>
        <w:rPr>
          <w:rFonts w:ascii="宋体" w:hAnsi="宋体" w:cs="宋体"/>
          <w:color w:val="auto"/>
        </w:rPr>
        <w:sectPr>
          <w:pgSz w:w="11905" w:h="16838"/>
          <w:pgMar w:top="1417" w:right="1134" w:bottom="1417" w:left="1100" w:header="703" w:footer="703" w:gutter="0"/>
          <w:cols w:space="720" w:num="1"/>
        </w:sectPr>
      </w:pPr>
    </w:p>
    <w:p w14:paraId="01B9642E">
      <w:pPr>
        <w:spacing w:line="360" w:lineRule="auto"/>
        <w:rPr>
          <w:rFonts w:ascii="宋体" w:hAnsi="宋体" w:cs="宋体"/>
          <w:color w:val="auto"/>
        </w:rPr>
      </w:pPr>
    </w:p>
    <w:p w14:paraId="1161B3A3">
      <w:pPr>
        <w:spacing w:before="97" w:line="360" w:lineRule="auto"/>
        <w:rPr>
          <w:rFonts w:ascii="宋体" w:hAnsi="宋体" w:cs="宋体"/>
          <w:color w:val="auto"/>
          <w:sz w:val="30"/>
          <w:szCs w:val="30"/>
        </w:rPr>
      </w:pPr>
      <w:r>
        <w:rPr>
          <w:rFonts w:hint="eastAsia" w:ascii="宋体" w:hAnsi="宋体" w:cs="宋体"/>
          <w:color w:val="auto"/>
          <w:spacing w:val="-13"/>
          <w:sz w:val="30"/>
          <w:szCs w:val="30"/>
        </w:rPr>
        <w:t>二</w:t>
      </w:r>
      <w:r>
        <w:rPr>
          <w:rFonts w:hint="eastAsia" w:ascii="宋体" w:hAnsi="宋体" w:cs="宋体"/>
          <w:color w:val="auto"/>
          <w:spacing w:val="-7"/>
          <w:sz w:val="30"/>
          <w:szCs w:val="30"/>
        </w:rPr>
        <w:t>、法定代表人身</w:t>
      </w:r>
      <w:r>
        <w:rPr>
          <w:rFonts w:hint="eastAsia" w:ascii="宋体" w:hAnsi="宋体" w:cs="宋体"/>
          <w:color w:val="auto"/>
          <w:spacing w:val="-1"/>
          <w:sz w:val="30"/>
          <w:szCs w:val="30"/>
        </w:rPr>
        <w:t>份证明及法定代表人有效身份证正反面复印</w:t>
      </w:r>
      <w:r>
        <w:rPr>
          <w:rFonts w:hint="eastAsia" w:ascii="宋体" w:hAnsi="宋体" w:cs="宋体"/>
          <w:color w:val="auto"/>
          <w:sz w:val="30"/>
          <w:szCs w:val="30"/>
        </w:rPr>
        <w:t>件</w:t>
      </w:r>
    </w:p>
    <w:p w14:paraId="55A221AB">
      <w:pPr>
        <w:spacing w:before="39" w:line="360" w:lineRule="auto"/>
        <w:ind w:left="2649"/>
        <w:rPr>
          <w:rFonts w:ascii="宋体" w:hAnsi="宋体" w:cs="宋体"/>
          <w:color w:val="auto"/>
          <w:sz w:val="44"/>
          <w:szCs w:val="44"/>
        </w:rPr>
      </w:pPr>
      <w:r>
        <w:rPr>
          <w:rFonts w:hint="eastAsia" w:ascii="宋体" w:hAnsi="宋体" w:cs="宋体"/>
          <w:color w:val="auto"/>
          <w:spacing w:val="-8"/>
          <w:sz w:val="44"/>
          <w:szCs w:val="44"/>
        </w:rPr>
        <w:t>法</w:t>
      </w:r>
      <w:r>
        <w:rPr>
          <w:rFonts w:hint="eastAsia" w:ascii="宋体" w:hAnsi="宋体" w:cs="宋体"/>
          <w:color w:val="auto"/>
          <w:spacing w:val="-6"/>
          <w:sz w:val="44"/>
          <w:szCs w:val="44"/>
        </w:rPr>
        <w:t>定</w:t>
      </w:r>
      <w:r>
        <w:rPr>
          <w:rFonts w:hint="eastAsia" w:ascii="宋体" w:hAnsi="宋体" w:cs="宋体"/>
          <w:color w:val="auto"/>
          <w:spacing w:val="-4"/>
          <w:sz w:val="44"/>
          <w:szCs w:val="44"/>
        </w:rPr>
        <w:t>代表人证明书</w:t>
      </w:r>
    </w:p>
    <w:p w14:paraId="53140C44">
      <w:pPr>
        <w:spacing w:line="360" w:lineRule="auto"/>
        <w:rPr>
          <w:rFonts w:ascii="宋体" w:hAnsi="宋体" w:cs="宋体"/>
          <w:color w:val="auto"/>
        </w:rPr>
      </w:pPr>
    </w:p>
    <w:p w14:paraId="43776581">
      <w:pPr>
        <w:spacing w:before="79" w:line="360" w:lineRule="auto"/>
        <w:ind w:left="551" w:right="27"/>
        <w:jc w:val="left"/>
        <w:rPr>
          <w:rFonts w:ascii="宋体" w:hAnsi="宋体" w:cs="宋体"/>
          <w:color w:val="auto"/>
          <w:sz w:val="24"/>
        </w:rPr>
      </w:pPr>
      <w:r>
        <w:rPr>
          <w:rFonts w:hint="eastAsia" w:ascii="宋体" w:hAnsi="宋体" w:cs="宋体"/>
          <w:color w:val="auto"/>
          <w:spacing w:val="-4"/>
          <w:sz w:val="24"/>
        </w:rPr>
        <w:t>供应</w:t>
      </w:r>
      <w:r>
        <w:rPr>
          <w:rFonts w:hint="eastAsia" w:ascii="宋体" w:hAnsi="宋体" w:cs="宋体"/>
          <w:color w:val="auto"/>
          <w:spacing w:val="-2"/>
          <w:sz w:val="24"/>
        </w:rPr>
        <w:t>商名称：</w:t>
      </w:r>
      <w:r>
        <w:rPr>
          <w:rFonts w:hint="eastAsia" w:ascii="宋体" w:hAnsi="宋体" w:cs="宋体"/>
          <w:color w:val="auto"/>
          <w:spacing w:val="-2"/>
          <w:sz w:val="24"/>
          <w:u w:val="single"/>
        </w:rPr>
        <w:t xml:space="preserve">                                                         </w:t>
      </w:r>
      <w:r>
        <w:rPr>
          <w:rFonts w:hint="eastAsia" w:ascii="宋体" w:hAnsi="宋体" w:cs="宋体"/>
          <w:color w:val="auto"/>
          <w:sz w:val="24"/>
        </w:rPr>
        <w:t xml:space="preserve"> </w:t>
      </w:r>
      <w:r>
        <w:rPr>
          <w:rFonts w:hint="eastAsia" w:ascii="宋体" w:hAnsi="宋体" w:cs="宋体"/>
          <w:color w:val="auto"/>
          <w:spacing w:val="-18"/>
          <w:sz w:val="24"/>
        </w:rPr>
        <w:t>地</w:t>
      </w:r>
      <w:r>
        <w:rPr>
          <w:rFonts w:hint="eastAsia" w:ascii="宋体" w:hAnsi="宋体" w:cs="宋体"/>
          <w:color w:val="auto"/>
          <w:spacing w:val="-16"/>
          <w:sz w:val="24"/>
        </w:rPr>
        <w:t xml:space="preserve">    址 ：</w:t>
      </w:r>
      <w:r>
        <w:rPr>
          <w:rFonts w:hint="eastAsia" w:ascii="宋体" w:hAnsi="宋体" w:cs="宋体"/>
          <w:color w:val="auto"/>
          <w:sz w:val="24"/>
          <w:u w:val="single"/>
        </w:rPr>
        <w:t xml:space="preserve">                                                         </w:t>
      </w:r>
    </w:p>
    <w:p w14:paraId="7C487621">
      <w:pPr>
        <w:spacing w:line="360" w:lineRule="auto"/>
        <w:ind w:left="551"/>
        <w:rPr>
          <w:rFonts w:ascii="宋体" w:hAnsi="宋体" w:cs="宋体"/>
          <w:color w:val="auto"/>
          <w:sz w:val="24"/>
        </w:rPr>
      </w:pPr>
      <w:r>
        <w:rPr>
          <w:rFonts w:hint="eastAsia" w:ascii="宋体" w:hAnsi="宋体" w:cs="宋体"/>
          <w:color w:val="auto"/>
          <w:spacing w:val="-14"/>
          <w:sz w:val="24"/>
        </w:rPr>
        <w:t xml:space="preserve">姓 </w:t>
      </w:r>
      <w:r>
        <w:rPr>
          <w:rFonts w:hint="eastAsia" w:ascii="宋体" w:hAnsi="宋体" w:cs="宋体"/>
          <w:color w:val="auto"/>
          <w:spacing w:val="-12"/>
          <w:sz w:val="24"/>
        </w:rPr>
        <w:t xml:space="preserve"> </w:t>
      </w:r>
      <w:r>
        <w:rPr>
          <w:rFonts w:hint="eastAsia" w:ascii="宋体" w:hAnsi="宋体" w:cs="宋体"/>
          <w:color w:val="auto"/>
          <w:spacing w:val="-7"/>
          <w:sz w:val="24"/>
        </w:rPr>
        <w:t xml:space="preserve">  名：</w:t>
      </w:r>
      <w:r>
        <w:rPr>
          <w:rFonts w:hint="eastAsia" w:ascii="宋体" w:hAnsi="宋体" w:cs="宋体"/>
          <w:color w:val="auto"/>
          <w:spacing w:val="-7"/>
          <w:sz w:val="24"/>
          <w:u w:val="single"/>
        </w:rPr>
        <w:t xml:space="preserve">                 </w:t>
      </w:r>
      <w:r>
        <w:rPr>
          <w:rFonts w:hint="eastAsia" w:ascii="宋体" w:hAnsi="宋体" w:cs="宋体"/>
          <w:color w:val="auto"/>
          <w:spacing w:val="-7"/>
          <w:sz w:val="24"/>
        </w:rPr>
        <w:t>性     别 ：</w:t>
      </w:r>
      <w:r>
        <w:rPr>
          <w:rFonts w:hint="eastAsia" w:ascii="宋体" w:hAnsi="宋体" w:cs="宋体"/>
          <w:color w:val="auto"/>
          <w:sz w:val="24"/>
          <w:u w:val="single"/>
        </w:rPr>
        <w:t xml:space="preserve">                 </w:t>
      </w:r>
    </w:p>
    <w:p w14:paraId="3750241F">
      <w:pPr>
        <w:spacing w:before="76" w:line="360" w:lineRule="auto"/>
        <w:ind w:left="552"/>
        <w:rPr>
          <w:rFonts w:ascii="宋体" w:hAnsi="宋体" w:cs="宋体"/>
          <w:color w:val="auto"/>
          <w:sz w:val="24"/>
        </w:rPr>
      </w:pPr>
      <w:r>
        <w:rPr>
          <w:rFonts w:hint="eastAsia" w:ascii="宋体" w:hAnsi="宋体" w:cs="宋体"/>
          <w:color w:val="auto"/>
          <w:spacing w:val="-11"/>
          <w:sz w:val="24"/>
        </w:rPr>
        <w:t>年</w:t>
      </w:r>
      <w:r>
        <w:rPr>
          <w:rFonts w:hint="eastAsia" w:ascii="宋体" w:hAnsi="宋体" w:cs="宋体"/>
          <w:color w:val="auto"/>
          <w:spacing w:val="-10"/>
          <w:sz w:val="24"/>
        </w:rPr>
        <w:t xml:space="preserve">    龄 ：</w:t>
      </w:r>
      <w:r>
        <w:rPr>
          <w:rFonts w:hint="eastAsia" w:ascii="宋体" w:hAnsi="宋体" w:cs="宋体"/>
          <w:color w:val="auto"/>
          <w:spacing w:val="-10"/>
          <w:sz w:val="24"/>
          <w:u w:val="single"/>
        </w:rPr>
        <w:t xml:space="preserve">                 </w:t>
      </w:r>
      <w:r>
        <w:rPr>
          <w:rFonts w:hint="eastAsia" w:ascii="宋体" w:hAnsi="宋体" w:cs="宋体"/>
          <w:color w:val="auto"/>
          <w:spacing w:val="-10"/>
          <w:sz w:val="24"/>
        </w:rPr>
        <w:t>职     务：</w:t>
      </w:r>
      <w:r>
        <w:rPr>
          <w:rFonts w:hint="eastAsia" w:ascii="宋体" w:hAnsi="宋体" w:cs="宋体"/>
          <w:color w:val="auto"/>
          <w:sz w:val="24"/>
          <w:u w:val="single"/>
        </w:rPr>
        <w:t xml:space="preserve">                 </w:t>
      </w:r>
    </w:p>
    <w:p w14:paraId="41EC79A5">
      <w:pPr>
        <w:spacing w:before="77" w:line="360" w:lineRule="auto"/>
        <w:ind w:left="557"/>
        <w:rPr>
          <w:rFonts w:ascii="宋体" w:hAnsi="宋体" w:cs="宋体"/>
          <w:color w:val="auto"/>
          <w:sz w:val="24"/>
        </w:rPr>
      </w:pPr>
      <w:r>
        <w:rPr>
          <w:rFonts w:hint="eastAsia" w:ascii="宋体" w:hAnsi="宋体" w:cs="宋体"/>
          <w:color w:val="auto"/>
          <w:spacing w:val="-4"/>
          <w:sz w:val="24"/>
        </w:rPr>
        <w:t>身份</w:t>
      </w:r>
      <w:r>
        <w:rPr>
          <w:rFonts w:hint="eastAsia" w:ascii="宋体" w:hAnsi="宋体" w:cs="宋体"/>
          <w:color w:val="auto"/>
          <w:spacing w:val="-2"/>
          <w:sz w:val="24"/>
        </w:rPr>
        <w:t>证号码：</w:t>
      </w:r>
      <w:r>
        <w:rPr>
          <w:rFonts w:hint="eastAsia" w:ascii="宋体" w:hAnsi="宋体" w:cs="宋体"/>
          <w:color w:val="auto"/>
          <w:sz w:val="24"/>
          <w:u w:val="single"/>
        </w:rPr>
        <w:t xml:space="preserve">                                         </w:t>
      </w:r>
    </w:p>
    <w:p w14:paraId="43061517">
      <w:pPr>
        <w:spacing w:line="360" w:lineRule="auto"/>
        <w:ind w:left="496"/>
        <w:rPr>
          <w:rFonts w:ascii="宋体" w:hAnsi="宋体" w:cs="宋体"/>
          <w:color w:val="auto"/>
          <w:sz w:val="24"/>
        </w:rPr>
      </w:pPr>
      <w:r>
        <w:rPr>
          <w:rFonts w:hint="eastAsia" w:ascii="宋体" w:hAnsi="宋体" w:cs="宋体"/>
          <w:color w:val="auto"/>
          <w:spacing w:val="-2"/>
          <w:sz w:val="24"/>
        </w:rPr>
        <w:t>系</w:t>
      </w:r>
      <w:r>
        <w:rPr>
          <w:rFonts w:hint="eastAsia" w:ascii="宋体" w:hAnsi="宋体" w:cs="宋体"/>
          <w:color w:val="auto"/>
          <w:spacing w:val="-2"/>
          <w:sz w:val="24"/>
          <w:u w:val="single"/>
        </w:rPr>
        <w:t xml:space="preserve"> (供应商名称) </w:t>
      </w:r>
      <w:r>
        <w:rPr>
          <w:rFonts w:hint="eastAsia" w:ascii="宋体" w:hAnsi="宋体" w:cs="宋体"/>
          <w:color w:val="auto"/>
          <w:spacing w:val="-2"/>
          <w:sz w:val="24"/>
        </w:rPr>
        <w:t>的法定代表人</w:t>
      </w:r>
      <w:r>
        <w:rPr>
          <w:rFonts w:hint="eastAsia" w:ascii="宋体" w:hAnsi="宋体" w:cs="宋体"/>
          <w:color w:val="auto"/>
          <w:sz w:val="24"/>
        </w:rPr>
        <w:t>。</w:t>
      </w:r>
    </w:p>
    <w:p w14:paraId="1ABDFC5D">
      <w:pPr>
        <w:spacing w:before="77" w:line="360" w:lineRule="auto"/>
        <w:ind w:left="548"/>
        <w:rPr>
          <w:rFonts w:ascii="宋体" w:hAnsi="宋体" w:cs="宋体"/>
          <w:color w:val="auto"/>
          <w:sz w:val="24"/>
        </w:rPr>
      </w:pPr>
      <w:r>
        <w:rPr>
          <w:rFonts w:hint="eastAsia" w:ascii="宋体" w:hAnsi="宋体" w:cs="宋体"/>
          <w:color w:val="auto"/>
          <w:spacing w:val="-8"/>
          <w:sz w:val="24"/>
        </w:rPr>
        <w:t>特</w:t>
      </w:r>
      <w:r>
        <w:rPr>
          <w:rFonts w:hint="eastAsia" w:ascii="宋体" w:hAnsi="宋体" w:cs="宋体"/>
          <w:color w:val="auto"/>
          <w:spacing w:val="-4"/>
          <w:sz w:val="24"/>
        </w:rPr>
        <w:t>此证明。</w:t>
      </w:r>
    </w:p>
    <w:p w14:paraId="70D5AED6">
      <w:pPr>
        <w:spacing w:line="360" w:lineRule="auto"/>
        <w:rPr>
          <w:rFonts w:ascii="宋体" w:hAnsi="宋体" w:cs="宋体"/>
          <w:color w:val="auto"/>
        </w:rPr>
      </w:pPr>
    </w:p>
    <w:p w14:paraId="52263E5E">
      <w:pPr>
        <w:spacing w:line="360" w:lineRule="auto"/>
        <w:rPr>
          <w:rFonts w:ascii="宋体" w:hAnsi="宋体" w:cs="宋体"/>
          <w:color w:val="auto"/>
        </w:rPr>
      </w:pPr>
    </w:p>
    <w:p w14:paraId="28132225">
      <w:pPr>
        <w:spacing w:line="360" w:lineRule="auto"/>
        <w:rPr>
          <w:rFonts w:ascii="宋体" w:hAnsi="宋体" w:cs="宋体"/>
          <w:color w:val="auto"/>
        </w:rPr>
      </w:pPr>
    </w:p>
    <w:p w14:paraId="6F64D1EA">
      <w:pPr>
        <w:spacing w:line="360" w:lineRule="auto"/>
        <w:rPr>
          <w:rFonts w:ascii="宋体" w:hAnsi="宋体" w:cs="宋体"/>
          <w:color w:val="auto"/>
        </w:rPr>
      </w:pPr>
    </w:p>
    <w:p w14:paraId="3406FA19">
      <w:pPr>
        <w:spacing w:before="78" w:line="360" w:lineRule="auto"/>
        <w:ind w:left="570"/>
        <w:rPr>
          <w:rFonts w:ascii="宋体" w:hAnsi="宋体" w:cs="宋体"/>
          <w:color w:val="auto"/>
          <w:sz w:val="24"/>
        </w:rPr>
      </w:pPr>
      <w:r>
        <w:rPr>
          <w:rFonts w:hint="eastAsia" w:ascii="宋体" w:hAnsi="宋体" w:cs="宋体"/>
          <w:color w:val="auto"/>
          <w:spacing w:val="-2"/>
          <w:sz w:val="24"/>
        </w:rPr>
        <w:t>附件：法定代表人有效</w:t>
      </w:r>
      <w:r>
        <w:rPr>
          <w:rFonts w:hint="eastAsia" w:ascii="宋体" w:hAnsi="宋体" w:cs="宋体"/>
          <w:color w:val="auto"/>
          <w:spacing w:val="-1"/>
          <w:sz w:val="24"/>
        </w:rPr>
        <w:t>身份证正反面复印件</w:t>
      </w:r>
    </w:p>
    <w:p w14:paraId="2A92D788">
      <w:pPr>
        <w:spacing w:line="360" w:lineRule="auto"/>
        <w:rPr>
          <w:rFonts w:ascii="宋体" w:hAnsi="宋体" w:cs="宋体"/>
          <w:color w:val="auto"/>
        </w:rPr>
      </w:pPr>
    </w:p>
    <w:p w14:paraId="22E63FA8">
      <w:pPr>
        <w:spacing w:before="79" w:line="360" w:lineRule="auto"/>
        <w:ind w:left="4102"/>
        <w:rPr>
          <w:rFonts w:ascii="宋体" w:hAnsi="宋体" w:cs="宋体"/>
          <w:color w:val="auto"/>
          <w:sz w:val="24"/>
        </w:rPr>
      </w:pPr>
      <w:r>
        <w:rPr>
          <w:rFonts w:hint="eastAsia" w:ascii="宋体" w:hAnsi="宋体" w:cs="宋体"/>
          <w:color w:val="auto"/>
          <w:spacing w:val="-8"/>
          <w:sz w:val="24"/>
        </w:rPr>
        <w:t>供</w:t>
      </w:r>
      <w:r>
        <w:rPr>
          <w:rFonts w:hint="eastAsia" w:ascii="宋体" w:hAnsi="宋体" w:cs="宋体"/>
          <w:color w:val="auto"/>
          <w:spacing w:val="-7"/>
          <w:sz w:val="24"/>
        </w:rPr>
        <w:t>应</w:t>
      </w:r>
      <w:r>
        <w:rPr>
          <w:rFonts w:hint="eastAsia" w:ascii="宋体" w:hAnsi="宋体" w:cs="宋体"/>
          <w:color w:val="auto"/>
          <w:spacing w:val="-4"/>
          <w:sz w:val="24"/>
        </w:rPr>
        <w:t>商名称( 电子签章 )：</w:t>
      </w:r>
    </w:p>
    <w:p w14:paraId="55D398F9">
      <w:pPr>
        <w:spacing w:before="79" w:line="360" w:lineRule="auto"/>
        <w:ind w:right="109"/>
        <w:jc w:val="right"/>
        <w:rPr>
          <w:rFonts w:ascii="宋体" w:hAnsi="宋体" w:cs="宋体"/>
          <w:color w:val="auto"/>
          <w:sz w:val="24"/>
        </w:rPr>
      </w:pPr>
      <w:r>
        <w:rPr>
          <w:rFonts w:hint="eastAsia" w:ascii="宋体" w:hAnsi="宋体" w:cs="宋体"/>
          <w:color w:val="auto"/>
          <w:spacing w:val="-16"/>
          <w:sz w:val="24"/>
        </w:rPr>
        <w:t>日</w:t>
      </w:r>
      <w:r>
        <w:rPr>
          <w:rFonts w:hint="eastAsia" w:ascii="宋体" w:hAnsi="宋体" w:cs="宋体"/>
          <w:color w:val="auto"/>
          <w:spacing w:val="-9"/>
          <w:sz w:val="24"/>
        </w:rPr>
        <w:t>期</w:t>
      </w:r>
      <w:r>
        <w:rPr>
          <w:rFonts w:hint="eastAsia" w:ascii="宋体" w:hAnsi="宋体" w:cs="宋体"/>
          <w:color w:val="auto"/>
          <w:spacing w:val="-8"/>
          <w:sz w:val="24"/>
        </w:rPr>
        <w:t>：   年  月   日</w:t>
      </w:r>
    </w:p>
    <w:p w14:paraId="5B5BCD7A">
      <w:pPr>
        <w:spacing w:line="360" w:lineRule="auto"/>
        <w:rPr>
          <w:rFonts w:ascii="宋体" w:hAnsi="宋体" w:cs="宋体"/>
          <w:color w:val="auto"/>
        </w:rPr>
      </w:pPr>
    </w:p>
    <w:p w14:paraId="6F58718C">
      <w:pPr>
        <w:spacing w:before="79" w:line="360" w:lineRule="auto"/>
        <w:ind w:left="10"/>
        <w:rPr>
          <w:rFonts w:ascii="宋体" w:hAnsi="宋体" w:cs="宋体"/>
          <w:color w:val="auto"/>
          <w:sz w:val="24"/>
        </w:rPr>
      </w:pPr>
      <w:r>
        <w:rPr>
          <w:rFonts w:hint="eastAsia" w:ascii="宋体" w:hAnsi="宋体" w:cs="宋体"/>
          <w:color w:val="auto"/>
          <w:spacing w:val="-14"/>
          <w:sz w:val="24"/>
        </w:rPr>
        <w:t>注</w:t>
      </w:r>
      <w:r>
        <w:rPr>
          <w:rFonts w:hint="eastAsia" w:ascii="宋体" w:hAnsi="宋体" w:cs="宋体"/>
          <w:color w:val="auto"/>
          <w:spacing w:val="-12"/>
          <w:sz w:val="24"/>
        </w:rPr>
        <w:t>： 1. 自然人竞标的无需提供， 联合体竞标的只需牵头人出具。</w:t>
      </w:r>
    </w:p>
    <w:p w14:paraId="1EBC2C60">
      <w:pPr>
        <w:spacing w:before="80" w:line="360" w:lineRule="auto"/>
        <w:ind w:left="12" w:right="87" w:firstLine="481"/>
        <w:rPr>
          <w:rFonts w:ascii="宋体" w:hAnsi="宋体" w:cs="宋体"/>
          <w:color w:val="auto"/>
          <w:sz w:val="24"/>
        </w:rPr>
      </w:pPr>
      <w:r>
        <w:rPr>
          <w:rFonts w:hint="eastAsia" w:ascii="宋体" w:hAnsi="宋体" w:cs="宋体"/>
          <w:color w:val="auto"/>
          <w:spacing w:val="-1"/>
          <w:sz w:val="24"/>
        </w:rPr>
        <w:t>2.供应商为其他组织或者自</w:t>
      </w:r>
      <w:r>
        <w:rPr>
          <w:rFonts w:hint="eastAsia" w:ascii="宋体" w:hAnsi="宋体" w:cs="宋体"/>
          <w:color w:val="auto"/>
          <w:sz w:val="24"/>
        </w:rPr>
        <w:t xml:space="preserve">然人时，本磋商文件规定的法定代表人指负责人或 </w:t>
      </w:r>
      <w:r>
        <w:rPr>
          <w:rFonts w:hint="eastAsia" w:ascii="宋体" w:hAnsi="宋体" w:cs="宋体"/>
          <w:color w:val="auto"/>
          <w:spacing w:val="-2"/>
          <w:sz w:val="24"/>
        </w:rPr>
        <w:t>者自然人。本磋商文件所称负责人是指参加竞标的其他组织</w:t>
      </w:r>
      <w:r>
        <w:rPr>
          <w:rFonts w:hint="eastAsia" w:ascii="宋体" w:hAnsi="宋体" w:cs="宋体"/>
          <w:color w:val="auto"/>
          <w:spacing w:val="-1"/>
          <w:sz w:val="24"/>
        </w:rPr>
        <w:t>营业执照上的负责人，</w:t>
      </w:r>
      <w:r>
        <w:rPr>
          <w:rFonts w:hint="eastAsia" w:ascii="宋体" w:hAnsi="宋体" w:cs="宋体"/>
          <w:color w:val="auto"/>
          <w:sz w:val="24"/>
        </w:rPr>
        <w:t xml:space="preserve"> </w:t>
      </w:r>
      <w:r>
        <w:rPr>
          <w:rFonts w:hint="eastAsia" w:ascii="宋体" w:hAnsi="宋体" w:cs="宋体"/>
          <w:color w:val="auto"/>
          <w:spacing w:val="-2"/>
          <w:sz w:val="24"/>
        </w:rPr>
        <w:t>本磋商文件所称自然人指参与竞</w:t>
      </w:r>
      <w:r>
        <w:rPr>
          <w:rFonts w:hint="eastAsia" w:ascii="宋体" w:hAnsi="宋体" w:cs="宋体"/>
          <w:color w:val="auto"/>
          <w:spacing w:val="-1"/>
          <w:sz w:val="24"/>
        </w:rPr>
        <w:t>标的自然人本人。</w:t>
      </w:r>
    </w:p>
    <w:p w14:paraId="0D417782">
      <w:pPr>
        <w:spacing w:line="360" w:lineRule="auto"/>
        <w:rPr>
          <w:rFonts w:ascii="宋体" w:hAnsi="宋体" w:cs="宋体"/>
          <w:color w:val="auto"/>
        </w:rPr>
        <w:sectPr>
          <w:pgSz w:w="11905" w:h="16838"/>
          <w:pgMar w:top="1417" w:right="1134" w:bottom="1417" w:left="1100" w:header="703" w:footer="703" w:gutter="0"/>
          <w:cols w:space="720" w:num="1"/>
        </w:sectPr>
      </w:pPr>
    </w:p>
    <w:p w14:paraId="76AAD321">
      <w:pPr>
        <w:spacing w:line="360" w:lineRule="auto"/>
        <w:rPr>
          <w:rFonts w:ascii="宋体" w:hAnsi="宋体" w:cs="宋体"/>
          <w:color w:val="auto"/>
        </w:rPr>
      </w:pPr>
    </w:p>
    <w:p w14:paraId="785ABAF1">
      <w:pPr>
        <w:spacing w:before="78" w:line="360" w:lineRule="auto"/>
        <w:ind w:left="628"/>
        <w:rPr>
          <w:rFonts w:ascii="宋体" w:hAnsi="宋体" w:cs="宋体"/>
          <w:color w:val="auto"/>
          <w:sz w:val="24"/>
        </w:rPr>
      </w:pPr>
      <w:r>
        <w:rPr>
          <w:rFonts w:hint="eastAsia" w:ascii="宋体" w:hAnsi="宋体" w:cs="宋体"/>
          <w:color w:val="auto"/>
          <w:spacing w:val="-20"/>
          <w:sz w:val="24"/>
        </w:rPr>
        <w:t>附</w:t>
      </w:r>
      <w:r>
        <w:rPr>
          <w:rFonts w:hint="eastAsia" w:ascii="宋体" w:hAnsi="宋体" w:cs="宋体"/>
          <w:color w:val="auto"/>
          <w:spacing w:val="-18"/>
          <w:sz w:val="24"/>
        </w:rPr>
        <w:t>件：</w:t>
      </w:r>
    </w:p>
    <w:p w14:paraId="29B2403E">
      <w:pPr>
        <w:spacing w:line="360" w:lineRule="auto"/>
        <w:rPr>
          <w:rFonts w:ascii="宋体" w:hAnsi="宋体" w:cs="宋体"/>
          <w:color w:val="auto"/>
        </w:rPr>
      </w:pPr>
    </w:p>
    <w:p w14:paraId="26A0912D">
      <w:pPr>
        <w:spacing w:line="360" w:lineRule="auto"/>
        <w:rPr>
          <w:rFonts w:ascii="宋体" w:hAnsi="宋体" w:cs="宋体"/>
          <w:color w:val="auto"/>
        </w:rPr>
      </w:pPr>
    </w:p>
    <w:p w14:paraId="7FEDC796">
      <w:pPr>
        <w:spacing w:line="360" w:lineRule="auto"/>
        <w:rPr>
          <w:rFonts w:ascii="宋体" w:hAnsi="宋体" w:cs="宋体"/>
          <w:color w:val="auto"/>
        </w:rPr>
      </w:pPr>
    </w:p>
    <w:p w14:paraId="5AEB386F">
      <w:pPr>
        <w:spacing w:line="360" w:lineRule="auto"/>
        <w:rPr>
          <w:rFonts w:ascii="宋体" w:hAnsi="宋体" w:cs="宋体"/>
          <w:color w:val="auto"/>
        </w:rPr>
      </w:pPr>
    </w:p>
    <w:tbl>
      <w:tblPr>
        <w:tblStyle w:val="26"/>
        <w:tblW w:w="8470" w:type="dxa"/>
        <w:tblInd w:w="10"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8470"/>
      </w:tblGrid>
      <w:tr w14:paraId="258CD6AC">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8695" w:hRule="atLeast"/>
        </w:trPr>
        <w:tc>
          <w:tcPr>
            <w:tcW w:w="8470" w:type="dxa"/>
          </w:tcPr>
          <w:p w14:paraId="208C3FDE">
            <w:pPr>
              <w:spacing w:line="360" w:lineRule="auto"/>
              <w:rPr>
                <w:rFonts w:ascii="宋体" w:hAnsi="宋体" w:cs="宋体"/>
                <w:color w:val="auto"/>
              </w:rPr>
            </w:pPr>
          </w:p>
          <w:p w14:paraId="02766973">
            <w:pPr>
              <w:spacing w:before="78" w:line="360" w:lineRule="auto"/>
              <w:ind w:left="114"/>
              <w:rPr>
                <w:rFonts w:ascii="宋体" w:hAnsi="宋体" w:cs="宋体"/>
                <w:color w:val="auto"/>
                <w:sz w:val="24"/>
              </w:rPr>
            </w:pPr>
            <w:r>
              <w:rPr>
                <w:rFonts w:hint="eastAsia" w:ascii="宋体" w:hAnsi="宋体" w:cs="宋体"/>
                <w:color w:val="auto"/>
                <w:spacing w:val="-11"/>
                <w:sz w:val="24"/>
              </w:rPr>
              <w:t>法</w:t>
            </w:r>
            <w:r>
              <w:rPr>
                <w:rFonts w:hint="eastAsia" w:ascii="宋体" w:hAnsi="宋体" w:cs="宋体"/>
                <w:color w:val="auto"/>
                <w:spacing w:val="-6"/>
                <w:sz w:val="24"/>
              </w:rPr>
              <w:t>定代表身份证复印件粘帖处 (正、 反面)</w:t>
            </w:r>
          </w:p>
        </w:tc>
      </w:tr>
    </w:tbl>
    <w:p w14:paraId="663AAB4C">
      <w:pPr>
        <w:spacing w:line="360" w:lineRule="auto"/>
        <w:rPr>
          <w:rFonts w:ascii="宋体" w:hAnsi="宋体" w:cs="宋体"/>
          <w:color w:val="auto"/>
        </w:rPr>
      </w:pPr>
    </w:p>
    <w:p w14:paraId="47BE9874">
      <w:pPr>
        <w:spacing w:line="360" w:lineRule="auto"/>
        <w:rPr>
          <w:rFonts w:ascii="宋体" w:hAnsi="宋体" w:cs="宋体"/>
          <w:color w:val="auto"/>
        </w:rPr>
        <w:sectPr>
          <w:pgSz w:w="11905" w:h="16838"/>
          <w:pgMar w:top="1417" w:right="1134" w:bottom="1417" w:left="1100" w:header="703" w:footer="703" w:gutter="0"/>
          <w:cols w:space="720" w:num="1"/>
        </w:sectPr>
      </w:pPr>
    </w:p>
    <w:p w14:paraId="3FBA6691">
      <w:pPr>
        <w:spacing w:line="360" w:lineRule="auto"/>
        <w:rPr>
          <w:rFonts w:ascii="宋体" w:hAnsi="宋体" w:cs="宋体"/>
          <w:color w:val="auto"/>
        </w:rPr>
      </w:pPr>
    </w:p>
    <w:p w14:paraId="48F0992D">
      <w:pPr>
        <w:spacing w:before="98" w:line="360" w:lineRule="auto"/>
        <w:ind w:left="910"/>
        <w:rPr>
          <w:rFonts w:ascii="宋体" w:hAnsi="宋体" w:cs="宋体"/>
          <w:color w:val="auto"/>
          <w:sz w:val="30"/>
          <w:szCs w:val="30"/>
        </w:rPr>
      </w:pPr>
      <w:r>
        <w:rPr>
          <w:rFonts w:hint="eastAsia" w:ascii="宋体" w:hAnsi="宋体" w:cs="宋体"/>
          <w:color w:val="auto"/>
          <w:spacing w:val="-4"/>
          <w:sz w:val="30"/>
          <w:szCs w:val="30"/>
        </w:rPr>
        <w:t>三</w:t>
      </w:r>
      <w:r>
        <w:rPr>
          <w:rFonts w:hint="eastAsia" w:ascii="宋体" w:hAnsi="宋体" w:cs="宋体"/>
          <w:color w:val="auto"/>
          <w:spacing w:val="-2"/>
          <w:sz w:val="30"/>
          <w:szCs w:val="30"/>
        </w:rPr>
        <w:t>、法定代表人授权委托书</w:t>
      </w:r>
    </w:p>
    <w:p w14:paraId="2FE61572">
      <w:pPr>
        <w:spacing w:line="360" w:lineRule="auto"/>
        <w:rPr>
          <w:rFonts w:ascii="宋体" w:hAnsi="宋体" w:cs="宋体"/>
          <w:color w:val="auto"/>
        </w:rPr>
      </w:pPr>
    </w:p>
    <w:p w14:paraId="76558FFC">
      <w:pPr>
        <w:spacing w:before="143" w:line="360" w:lineRule="auto"/>
        <w:jc w:val="center"/>
        <w:rPr>
          <w:rFonts w:ascii="宋体" w:hAnsi="宋体" w:cs="宋体"/>
          <w:color w:val="auto"/>
          <w:sz w:val="44"/>
          <w:szCs w:val="44"/>
        </w:rPr>
      </w:pPr>
      <w:r>
        <w:rPr>
          <w:rFonts w:hint="eastAsia" w:ascii="宋体" w:hAnsi="宋体" w:cs="宋体"/>
          <w:color w:val="auto"/>
          <w:spacing w:val="20"/>
          <w:sz w:val="44"/>
          <w:szCs w:val="44"/>
        </w:rPr>
        <w:t>授</w:t>
      </w:r>
      <w:r>
        <w:rPr>
          <w:rFonts w:hint="eastAsia" w:ascii="宋体" w:hAnsi="宋体" w:cs="宋体"/>
          <w:color w:val="auto"/>
          <w:spacing w:val="11"/>
          <w:sz w:val="44"/>
          <w:szCs w:val="44"/>
        </w:rPr>
        <w:t>权</w:t>
      </w:r>
      <w:r>
        <w:rPr>
          <w:rFonts w:hint="eastAsia" w:ascii="宋体" w:hAnsi="宋体" w:cs="宋体"/>
          <w:color w:val="auto"/>
          <w:spacing w:val="10"/>
          <w:sz w:val="44"/>
          <w:szCs w:val="44"/>
        </w:rPr>
        <w:t>委托书</w:t>
      </w:r>
    </w:p>
    <w:p w14:paraId="4247F644">
      <w:pPr>
        <w:spacing w:line="360" w:lineRule="auto"/>
        <w:ind w:left="2855"/>
        <w:rPr>
          <w:rFonts w:ascii="宋体" w:hAnsi="宋体" w:cs="宋体"/>
          <w:color w:val="auto"/>
          <w:sz w:val="44"/>
          <w:szCs w:val="44"/>
        </w:rPr>
      </w:pPr>
      <w:r>
        <w:rPr>
          <w:rFonts w:hint="eastAsia" w:ascii="宋体" w:hAnsi="宋体" w:cs="宋体"/>
          <w:color w:val="auto"/>
          <w:spacing w:val="23"/>
          <w:sz w:val="44"/>
          <w:szCs w:val="44"/>
        </w:rPr>
        <w:t>(如有委托时)</w:t>
      </w:r>
    </w:p>
    <w:p w14:paraId="7DCAB4D5">
      <w:pPr>
        <w:spacing w:line="360" w:lineRule="auto"/>
        <w:rPr>
          <w:rFonts w:ascii="宋体" w:hAnsi="宋体" w:cs="宋体"/>
          <w:color w:val="auto"/>
        </w:rPr>
      </w:pPr>
    </w:p>
    <w:p w14:paraId="33C2E87A">
      <w:pPr>
        <w:spacing w:before="78" w:line="360" w:lineRule="auto"/>
        <w:ind w:left="11"/>
        <w:rPr>
          <w:rFonts w:ascii="宋体" w:hAnsi="宋体" w:cs="宋体"/>
          <w:color w:val="auto"/>
          <w:sz w:val="24"/>
        </w:rPr>
      </w:pPr>
      <w:r>
        <w:rPr>
          <w:rFonts w:hint="eastAsia" w:ascii="宋体" w:hAnsi="宋体" w:cs="宋体"/>
          <w:color w:val="auto"/>
          <w:spacing w:val="-22"/>
          <w:sz w:val="24"/>
        </w:rPr>
        <w:t>致</w:t>
      </w:r>
      <w:r>
        <w:rPr>
          <w:rFonts w:hint="eastAsia" w:ascii="宋体" w:hAnsi="宋体" w:cs="宋体"/>
          <w:color w:val="auto"/>
          <w:spacing w:val="-12"/>
          <w:sz w:val="24"/>
        </w:rPr>
        <w:t xml:space="preserve">： </w:t>
      </w:r>
      <w:r>
        <w:rPr>
          <w:rFonts w:hint="eastAsia" w:ascii="宋体" w:hAnsi="宋体" w:cs="宋体"/>
          <w:color w:val="auto"/>
          <w:spacing w:val="-12"/>
          <w:sz w:val="24"/>
          <w:u w:val="single"/>
        </w:rPr>
        <w:t xml:space="preserve"> [项目采购-采购组织机构]</w:t>
      </w:r>
      <w:r>
        <w:rPr>
          <w:rFonts w:hint="eastAsia" w:ascii="宋体" w:hAnsi="宋体" w:cs="宋体"/>
          <w:color w:val="auto"/>
          <w:spacing w:val="-12"/>
          <w:sz w:val="24"/>
        </w:rPr>
        <w:t>：</w:t>
      </w:r>
    </w:p>
    <w:p w14:paraId="1C00C3AF">
      <w:pPr>
        <w:spacing w:before="74" w:line="360" w:lineRule="auto"/>
        <w:ind w:left="12" w:right="210" w:firstLine="480"/>
        <w:rPr>
          <w:rFonts w:ascii="宋体" w:hAnsi="宋体" w:cs="宋体"/>
          <w:color w:val="auto"/>
          <w:sz w:val="24"/>
        </w:rPr>
      </w:pPr>
      <w:r>
        <w:rPr>
          <w:rFonts w:hint="eastAsia" w:ascii="宋体" w:hAnsi="宋体" w:cs="宋体"/>
          <w:color w:val="auto"/>
          <w:spacing w:val="-11"/>
          <w:sz w:val="24"/>
        </w:rPr>
        <w:t>我</w:t>
      </w:r>
      <w:r>
        <w:rPr>
          <w:rFonts w:hint="eastAsia" w:ascii="宋体" w:hAnsi="宋体" w:cs="宋体"/>
          <w:color w:val="auto"/>
          <w:spacing w:val="-11"/>
          <w:sz w:val="24"/>
          <w:u w:val="single"/>
        </w:rPr>
        <w:t xml:space="preserve">   (姓名)   </w:t>
      </w:r>
      <w:r>
        <w:rPr>
          <w:rFonts w:hint="eastAsia" w:ascii="宋体" w:hAnsi="宋体" w:cs="宋体"/>
          <w:color w:val="auto"/>
          <w:spacing w:val="-11"/>
          <w:sz w:val="24"/>
        </w:rPr>
        <w:t xml:space="preserve"> 系 </w:t>
      </w:r>
      <w:r>
        <w:rPr>
          <w:rFonts w:hint="eastAsia" w:ascii="宋体" w:hAnsi="宋体" w:cs="宋体"/>
          <w:color w:val="auto"/>
          <w:spacing w:val="-11"/>
          <w:sz w:val="24"/>
          <w:u w:val="single"/>
        </w:rPr>
        <w:t xml:space="preserve">   (供应商名称)   </w:t>
      </w:r>
      <w:r>
        <w:rPr>
          <w:rFonts w:hint="eastAsia" w:ascii="宋体" w:hAnsi="宋体" w:cs="宋体"/>
          <w:color w:val="auto"/>
          <w:spacing w:val="-11"/>
          <w:sz w:val="24"/>
        </w:rPr>
        <w:t xml:space="preserve"> 的( </w:t>
      </w:r>
      <w:r>
        <w:rPr>
          <w:rFonts w:hint="eastAsia" w:ascii="宋体" w:hAnsi="宋体" w:cs="宋体"/>
          <w:color w:val="auto"/>
          <w:spacing w:val="-11"/>
          <w:sz w:val="24"/>
          <w:u w:val="single"/>
        </w:rPr>
        <w:t xml:space="preserve"> □法定代表人/□负责人/□ 自然</w:t>
      </w:r>
      <w:r>
        <w:rPr>
          <w:rFonts w:hint="eastAsia" w:ascii="宋体" w:hAnsi="宋体" w:cs="宋体"/>
          <w:color w:val="auto"/>
          <w:spacing w:val="-2"/>
          <w:sz w:val="24"/>
          <w:u w:val="single"/>
        </w:rPr>
        <w:t>人</w:t>
      </w:r>
      <w:r>
        <w:rPr>
          <w:rFonts w:hint="eastAsia" w:ascii="宋体" w:hAnsi="宋体" w:cs="宋体"/>
          <w:color w:val="auto"/>
          <w:sz w:val="24"/>
        </w:rPr>
        <w:t xml:space="preserve"> </w:t>
      </w:r>
      <w:r>
        <w:rPr>
          <w:rFonts w:hint="eastAsia" w:ascii="宋体" w:hAnsi="宋体" w:cs="宋体"/>
          <w:color w:val="auto"/>
          <w:spacing w:val="-6"/>
          <w:sz w:val="24"/>
          <w:u w:val="single"/>
        </w:rPr>
        <w:t>本人</w:t>
      </w:r>
      <w:r>
        <w:rPr>
          <w:rFonts w:hint="eastAsia" w:ascii="宋体" w:hAnsi="宋体" w:cs="宋体"/>
          <w:color w:val="auto"/>
          <w:spacing w:val="-6"/>
          <w:sz w:val="24"/>
        </w:rPr>
        <w:t xml:space="preserve">) ，现授权 </w:t>
      </w:r>
      <w:r>
        <w:rPr>
          <w:rFonts w:hint="eastAsia" w:ascii="宋体" w:hAnsi="宋体" w:cs="宋体"/>
          <w:color w:val="auto"/>
          <w:spacing w:val="-6"/>
          <w:sz w:val="24"/>
          <w:u w:val="single"/>
        </w:rPr>
        <w:t xml:space="preserve">  </w:t>
      </w:r>
      <w:r>
        <w:rPr>
          <w:rFonts w:hint="eastAsia" w:ascii="宋体" w:hAnsi="宋体" w:cs="宋体"/>
          <w:color w:val="auto"/>
          <w:spacing w:val="-5"/>
          <w:sz w:val="24"/>
          <w:u w:val="single"/>
        </w:rPr>
        <w:t>(</w:t>
      </w:r>
      <w:r>
        <w:rPr>
          <w:rFonts w:hint="eastAsia" w:ascii="宋体" w:hAnsi="宋体" w:cs="宋体"/>
          <w:color w:val="auto"/>
          <w:spacing w:val="-3"/>
          <w:sz w:val="24"/>
          <w:u w:val="single"/>
        </w:rPr>
        <w:t xml:space="preserve">姓名)  </w:t>
      </w:r>
      <w:r>
        <w:rPr>
          <w:rFonts w:hint="eastAsia" w:ascii="宋体" w:hAnsi="宋体" w:cs="宋体"/>
          <w:color w:val="auto"/>
          <w:spacing w:val="-3"/>
          <w:sz w:val="24"/>
        </w:rPr>
        <w:t xml:space="preserve"> 以我方的名义参加</w:t>
      </w:r>
      <w:r>
        <w:rPr>
          <w:rFonts w:hint="eastAsia" w:ascii="宋体" w:hAnsi="宋体" w:cs="宋体"/>
          <w:color w:val="auto"/>
          <w:spacing w:val="-3"/>
          <w:sz w:val="24"/>
          <w:u w:val="single"/>
        </w:rPr>
        <w:t xml:space="preserve">[项目采购-项目名称] </w:t>
      </w:r>
      <w:r>
        <w:rPr>
          <w:rFonts w:hint="eastAsia" w:ascii="宋体" w:hAnsi="宋体" w:cs="宋体"/>
          <w:color w:val="auto"/>
          <w:spacing w:val="-3"/>
          <w:sz w:val="24"/>
        </w:rPr>
        <w:t>项目的竞标</w:t>
      </w:r>
      <w:r>
        <w:rPr>
          <w:rFonts w:hint="eastAsia" w:ascii="宋体" w:hAnsi="宋体" w:cs="宋体"/>
          <w:color w:val="auto"/>
          <w:sz w:val="24"/>
        </w:rPr>
        <w:t xml:space="preserve"> </w:t>
      </w:r>
      <w:r>
        <w:rPr>
          <w:rFonts w:hint="eastAsia" w:ascii="宋体" w:hAnsi="宋体" w:cs="宋体"/>
          <w:color w:val="auto"/>
          <w:spacing w:val="2"/>
          <w:sz w:val="24"/>
        </w:rPr>
        <w:t>活动，并代表我方全权办理针对上述项目的所有采购</w:t>
      </w:r>
      <w:r>
        <w:rPr>
          <w:rFonts w:hint="eastAsia" w:ascii="宋体" w:hAnsi="宋体" w:cs="宋体"/>
          <w:color w:val="auto"/>
          <w:spacing w:val="1"/>
          <w:sz w:val="24"/>
        </w:rPr>
        <w:t>程序和环节的具体事务和签署</w:t>
      </w:r>
      <w:r>
        <w:rPr>
          <w:rFonts w:hint="eastAsia" w:ascii="宋体" w:hAnsi="宋体" w:cs="宋体"/>
          <w:color w:val="auto"/>
          <w:sz w:val="24"/>
        </w:rPr>
        <w:t xml:space="preserve"> </w:t>
      </w:r>
      <w:r>
        <w:rPr>
          <w:rFonts w:hint="eastAsia" w:ascii="宋体" w:hAnsi="宋体" w:cs="宋体"/>
          <w:color w:val="auto"/>
          <w:spacing w:val="-8"/>
          <w:sz w:val="24"/>
        </w:rPr>
        <w:t>相</w:t>
      </w:r>
      <w:r>
        <w:rPr>
          <w:rFonts w:hint="eastAsia" w:ascii="宋体" w:hAnsi="宋体" w:cs="宋体"/>
          <w:color w:val="auto"/>
          <w:spacing w:val="-7"/>
          <w:sz w:val="24"/>
        </w:rPr>
        <w:t>关文件。</w:t>
      </w:r>
    </w:p>
    <w:p w14:paraId="5A7A874B">
      <w:pPr>
        <w:spacing w:before="1" w:line="360" w:lineRule="auto"/>
        <w:ind w:left="493"/>
        <w:rPr>
          <w:rFonts w:ascii="宋体" w:hAnsi="宋体" w:cs="宋体"/>
          <w:color w:val="auto"/>
          <w:sz w:val="24"/>
        </w:rPr>
      </w:pPr>
      <w:r>
        <w:rPr>
          <w:rFonts w:hint="eastAsia" w:ascii="宋体" w:hAnsi="宋体" w:cs="宋体"/>
          <w:color w:val="auto"/>
          <w:spacing w:val="-1"/>
          <w:sz w:val="24"/>
        </w:rPr>
        <w:t>我方对委托代理人的签字事</w:t>
      </w:r>
      <w:r>
        <w:rPr>
          <w:rFonts w:hint="eastAsia" w:ascii="宋体" w:hAnsi="宋体" w:cs="宋体"/>
          <w:color w:val="auto"/>
          <w:sz w:val="24"/>
        </w:rPr>
        <w:t>项负全部责任。</w:t>
      </w:r>
    </w:p>
    <w:p w14:paraId="21944257">
      <w:pPr>
        <w:spacing w:before="81" w:line="360" w:lineRule="auto"/>
        <w:ind w:left="10" w:firstLine="481"/>
        <w:rPr>
          <w:rFonts w:ascii="宋体" w:hAnsi="宋体" w:cs="宋体"/>
          <w:color w:val="auto"/>
          <w:sz w:val="24"/>
        </w:rPr>
      </w:pPr>
      <w:r>
        <w:rPr>
          <w:rFonts w:hint="eastAsia" w:ascii="宋体" w:hAnsi="宋体" w:cs="宋体"/>
          <w:color w:val="auto"/>
          <w:spacing w:val="2"/>
          <w:sz w:val="24"/>
        </w:rPr>
        <w:t>本授权书自签</w:t>
      </w:r>
      <w:r>
        <w:rPr>
          <w:rFonts w:hint="eastAsia" w:ascii="宋体" w:hAnsi="宋体" w:cs="宋体"/>
          <w:color w:val="auto"/>
          <w:spacing w:val="1"/>
          <w:sz w:val="24"/>
        </w:rPr>
        <w:t>署之日起生效，在撤销授权的书面通知以前，本授权书一直有效。</w:t>
      </w:r>
      <w:r>
        <w:rPr>
          <w:rFonts w:hint="eastAsia" w:ascii="宋体" w:hAnsi="宋体" w:cs="宋体"/>
          <w:color w:val="auto"/>
          <w:sz w:val="24"/>
        </w:rPr>
        <w:t xml:space="preserve"> </w:t>
      </w:r>
      <w:r>
        <w:rPr>
          <w:rFonts w:hint="eastAsia" w:ascii="宋体" w:hAnsi="宋体" w:cs="宋体"/>
          <w:color w:val="auto"/>
          <w:spacing w:val="-1"/>
          <w:sz w:val="24"/>
        </w:rPr>
        <w:t>委托代理人在授权书</w:t>
      </w:r>
      <w:r>
        <w:rPr>
          <w:rFonts w:hint="eastAsia" w:ascii="宋体" w:hAnsi="宋体" w:cs="宋体"/>
          <w:color w:val="auto"/>
          <w:sz w:val="24"/>
        </w:rPr>
        <w:t>有效期内签署的所有文件不因授权的撤销而失效。</w:t>
      </w:r>
    </w:p>
    <w:p w14:paraId="022A8835">
      <w:pPr>
        <w:spacing w:before="1" w:line="360" w:lineRule="auto"/>
        <w:ind w:left="490"/>
        <w:rPr>
          <w:rFonts w:ascii="宋体" w:hAnsi="宋体" w:cs="宋体"/>
          <w:color w:val="auto"/>
          <w:sz w:val="24"/>
        </w:rPr>
      </w:pPr>
      <w:r>
        <w:rPr>
          <w:rFonts w:hint="eastAsia" w:ascii="宋体" w:hAnsi="宋体" w:cs="宋体"/>
          <w:color w:val="auto"/>
          <w:spacing w:val="-1"/>
          <w:sz w:val="24"/>
        </w:rPr>
        <w:t>委托代理人无转委托</w:t>
      </w:r>
      <w:r>
        <w:rPr>
          <w:rFonts w:hint="eastAsia" w:ascii="宋体" w:hAnsi="宋体" w:cs="宋体"/>
          <w:color w:val="auto"/>
          <w:sz w:val="24"/>
        </w:rPr>
        <w:t>权，特此委托。</w:t>
      </w:r>
    </w:p>
    <w:p w14:paraId="12995C24">
      <w:pPr>
        <w:spacing w:before="81" w:line="360" w:lineRule="auto"/>
        <w:ind w:left="510"/>
        <w:rPr>
          <w:rFonts w:ascii="宋体" w:hAnsi="宋体" w:cs="宋体"/>
          <w:color w:val="auto"/>
          <w:sz w:val="24"/>
        </w:rPr>
      </w:pPr>
      <w:r>
        <w:rPr>
          <w:rFonts w:hint="eastAsia" w:ascii="宋体" w:hAnsi="宋体" w:cs="宋体"/>
          <w:color w:val="auto"/>
          <w:spacing w:val="-1"/>
          <w:sz w:val="24"/>
        </w:rPr>
        <w:t>附：委托代理人有效身份证正反面复印件</w:t>
      </w:r>
    </w:p>
    <w:p w14:paraId="5AF1EB54">
      <w:pPr>
        <w:spacing w:line="360" w:lineRule="auto"/>
        <w:rPr>
          <w:rFonts w:ascii="宋体" w:hAnsi="宋体" w:cs="宋体"/>
          <w:color w:val="auto"/>
        </w:rPr>
      </w:pPr>
    </w:p>
    <w:p w14:paraId="1E1BBF3E">
      <w:pPr>
        <w:spacing w:line="360" w:lineRule="auto"/>
        <w:rPr>
          <w:rFonts w:ascii="宋体" w:hAnsi="宋体" w:cs="宋体"/>
          <w:color w:val="auto"/>
        </w:rPr>
      </w:pPr>
    </w:p>
    <w:p w14:paraId="40C8E6A7">
      <w:pPr>
        <w:spacing w:line="360" w:lineRule="auto"/>
        <w:rPr>
          <w:rFonts w:ascii="宋体" w:hAnsi="宋体" w:cs="宋体"/>
          <w:color w:val="auto"/>
        </w:rPr>
        <w:sectPr>
          <w:pgSz w:w="11905" w:h="16838"/>
          <w:pgMar w:top="1417" w:right="1134" w:bottom="1417" w:left="1100" w:header="703" w:footer="703" w:gutter="0"/>
          <w:cols w:space="720" w:num="1"/>
        </w:sectPr>
      </w:pPr>
    </w:p>
    <w:p w14:paraId="4459217F">
      <w:pPr>
        <w:spacing w:before="48" w:line="360" w:lineRule="auto"/>
        <w:ind w:left="10"/>
        <w:rPr>
          <w:rFonts w:ascii="宋体" w:hAnsi="宋体" w:cs="宋体"/>
          <w:color w:val="auto"/>
          <w:sz w:val="24"/>
        </w:rPr>
      </w:pPr>
      <w:r>
        <w:rPr>
          <w:rFonts w:hint="eastAsia" w:ascii="宋体" w:hAnsi="宋体" w:cs="宋体"/>
          <w:color w:val="auto"/>
          <w:spacing w:val="23"/>
          <w:position w:val="8"/>
          <w:sz w:val="24"/>
        </w:rPr>
        <w:t>委</w:t>
      </w:r>
      <w:r>
        <w:rPr>
          <w:rFonts w:hint="eastAsia" w:ascii="宋体" w:hAnsi="宋体" w:cs="宋体"/>
          <w:color w:val="auto"/>
          <w:spacing w:val="17"/>
          <w:position w:val="8"/>
          <w:sz w:val="24"/>
        </w:rPr>
        <w:t>托代理人(签名)：</w:t>
      </w:r>
    </w:p>
    <w:p w14:paraId="2EBE41E0">
      <w:pPr>
        <w:spacing w:before="1" w:line="360" w:lineRule="auto"/>
        <w:ind w:left="10"/>
        <w:rPr>
          <w:rFonts w:ascii="宋体" w:hAnsi="宋体" w:cs="宋体"/>
          <w:color w:val="auto"/>
          <w:sz w:val="2"/>
        </w:rPr>
      </w:pPr>
      <w:r>
        <w:rPr>
          <w:rFonts w:hint="eastAsia" w:ascii="宋体" w:hAnsi="宋体" w:cs="宋体"/>
          <w:color w:val="auto"/>
          <w:spacing w:val="-1"/>
          <w:sz w:val="24"/>
        </w:rPr>
        <w:t>委托代理人身份证号</w:t>
      </w:r>
      <w:r>
        <w:rPr>
          <w:rFonts w:hint="eastAsia" w:ascii="宋体" w:hAnsi="宋体" w:cs="宋体"/>
          <w:color w:val="auto"/>
          <w:sz w:val="24"/>
        </w:rPr>
        <w:t>码：</w:t>
      </w:r>
    </w:p>
    <w:p w14:paraId="496300E7">
      <w:pPr>
        <w:spacing w:before="46" w:line="360" w:lineRule="auto"/>
        <w:rPr>
          <w:rFonts w:ascii="宋体" w:hAnsi="宋体" w:cs="宋体"/>
          <w:color w:val="auto"/>
          <w:sz w:val="24"/>
        </w:rPr>
      </w:pPr>
      <w:r>
        <w:rPr>
          <w:rFonts w:hint="eastAsia" w:ascii="宋体" w:hAnsi="宋体" w:cs="宋体"/>
          <w:color w:val="auto"/>
          <w:spacing w:val="18"/>
          <w:sz w:val="24"/>
        </w:rPr>
        <w:t>法</w:t>
      </w:r>
      <w:r>
        <w:rPr>
          <w:rFonts w:hint="eastAsia" w:ascii="宋体" w:hAnsi="宋体" w:cs="宋体"/>
          <w:color w:val="auto"/>
          <w:spacing w:val="13"/>
          <w:sz w:val="24"/>
        </w:rPr>
        <w:t>定代表人(签名或盖章)：</w:t>
      </w:r>
    </w:p>
    <w:p w14:paraId="74FFF712">
      <w:pPr>
        <w:spacing w:line="360" w:lineRule="auto"/>
        <w:rPr>
          <w:rFonts w:ascii="宋体" w:hAnsi="宋体" w:cs="宋体"/>
          <w:color w:val="auto"/>
        </w:rPr>
        <w:sectPr>
          <w:type w:val="continuous"/>
          <w:pgSz w:w="11905" w:h="16838"/>
          <w:pgMar w:top="1417" w:right="1134" w:bottom="1417" w:left="1100" w:header="703" w:footer="703" w:gutter="0"/>
          <w:cols w:space="720" w:num="1"/>
        </w:sectPr>
      </w:pPr>
    </w:p>
    <w:p w14:paraId="1F47BC5C">
      <w:pPr>
        <w:spacing w:line="360" w:lineRule="auto"/>
        <w:rPr>
          <w:rFonts w:ascii="宋体" w:hAnsi="宋体" w:cs="宋体"/>
          <w:color w:val="auto"/>
        </w:rPr>
      </w:pPr>
    </w:p>
    <w:p w14:paraId="26FB57BF">
      <w:pPr>
        <w:spacing w:before="78" w:line="360" w:lineRule="auto"/>
        <w:ind w:left="3006"/>
        <w:rPr>
          <w:rFonts w:ascii="宋体" w:hAnsi="宋体" w:cs="宋体"/>
          <w:color w:val="auto"/>
          <w:sz w:val="24"/>
        </w:rPr>
      </w:pPr>
      <w:r>
        <w:rPr>
          <w:rFonts w:hint="eastAsia" w:ascii="宋体" w:hAnsi="宋体" w:cs="宋体"/>
          <w:color w:val="auto"/>
          <w:spacing w:val="-8"/>
          <w:sz w:val="24"/>
        </w:rPr>
        <w:t>供</w:t>
      </w:r>
      <w:r>
        <w:rPr>
          <w:rFonts w:hint="eastAsia" w:ascii="宋体" w:hAnsi="宋体" w:cs="宋体"/>
          <w:color w:val="auto"/>
          <w:spacing w:val="-7"/>
          <w:sz w:val="24"/>
        </w:rPr>
        <w:t>应</w:t>
      </w:r>
      <w:r>
        <w:rPr>
          <w:rFonts w:hint="eastAsia" w:ascii="宋体" w:hAnsi="宋体" w:cs="宋体"/>
          <w:color w:val="auto"/>
          <w:spacing w:val="-4"/>
          <w:sz w:val="24"/>
        </w:rPr>
        <w:t>商名称( 电子签章 )：</w:t>
      </w:r>
    </w:p>
    <w:p w14:paraId="56E1F8CE">
      <w:pPr>
        <w:spacing w:before="80" w:line="360" w:lineRule="auto"/>
        <w:ind w:right="313"/>
        <w:jc w:val="right"/>
        <w:rPr>
          <w:rFonts w:ascii="宋体" w:hAnsi="宋体" w:cs="宋体"/>
          <w:color w:val="auto"/>
          <w:sz w:val="24"/>
        </w:rPr>
      </w:pPr>
      <w:r>
        <w:rPr>
          <w:rFonts w:hint="eastAsia" w:ascii="宋体" w:hAnsi="宋体" w:cs="宋体"/>
          <w:color w:val="auto"/>
          <w:spacing w:val="-16"/>
          <w:sz w:val="24"/>
        </w:rPr>
        <w:t>日</w:t>
      </w:r>
      <w:r>
        <w:rPr>
          <w:rFonts w:hint="eastAsia" w:ascii="宋体" w:hAnsi="宋体" w:cs="宋体"/>
          <w:color w:val="auto"/>
          <w:spacing w:val="-9"/>
          <w:sz w:val="24"/>
        </w:rPr>
        <w:t>期</w:t>
      </w:r>
      <w:r>
        <w:rPr>
          <w:rFonts w:hint="eastAsia" w:ascii="宋体" w:hAnsi="宋体" w:cs="宋体"/>
          <w:color w:val="auto"/>
          <w:spacing w:val="-8"/>
          <w:sz w:val="24"/>
        </w:rPr>
        <w:t>：   年  月   日</w:t>
      </w:r>
    </w:p>
    <w:p w14:paraId="241661BF">
      <w:pPr>
        <w:spacing w:line="360" w:lineRule="auto"/>
        <w:rPr>
          <w:rFonts w:ascii="宋体" w:hAnsi="宋体" w:cs="宋体"/>
          <w:color w:val="auto"/>
        </w:rPr>
      </w:pPr>
    </w:p>
    <w:p w14:paraId="18453E85">
      <w:pPr>
        <w:spacing w:before="78" w:line="360" w:lineRule="auto"/>
        <w:ind w:left="10" w:right="234"/>
        <w:rPr>
          <w:rFonts w:ascii="宋体" w:hAnsi="宋体" w:cs="宋体"/>
          <w:color w:val="auto"/>
          <w:sz w:val="24"/>
        </w:rPr>
      </w:pPr>
      <w:r>
        <w:rPr>
          <w:rFonts w:hint="eastAsia" w:ascii="宋体" w:hAnsi="宋体" w:cs="宋体"/>
          <w:color w:val="auto"/>
          <w:spacing w:val="8"/>
          <w:sz w:val="24"/>
        </w:rPr>
        <w:t xml:space="preserve">注：1. </w:t>
      </w:r>
      <w:r>
        <w:rPr>
          <w:rFonts w:hint="eastAsia" w:ascii="宋体" w:hAnsi="宋体" w:cs="宋体"/>
          <w:color w:val="auto"/>
          <w:spacing w:val="5"/>
          <w:sz w:val="24"/>
        </w:rPr>
        <w:t>法</w:t>
      </w:r>
      <w:r>
        <w:rPr>
          <w:rFonts w:hint="eastAsia" w:ascii="宋体" w:hAnsi="宋体" w:cs="宋体"/>
          <w:color w:val="auto"/>
          <w:spacing w:val="4"/>
          <w:sz w:val="24"/>
        </w:rPr>
        <w:t>定代表人必须在授权委托书上亲笔签字或盖章，委托代理人必须在授权</w:t>
      </w:r>
      <w:r>
        <w:rPr>
          <w:rFonts w:hint="eastAsia" w:ascii="宋体" w:hAnsi="宋体" w:cs="宋体"/>
          <w:color w:val="auto"/>
          <w:sz w:val="24"/>
        </w:rPr>
        <w:t xml:space="preserve"> </w:t>
      </w:r>
      <w:r>
        <w:rPr>
          <w:rFonts w:hint="eastAsia" w:ascii="宋体" w:hAnsi="宋体" w:cs="宋体"/>
          <w:color w:val="auto"/>
          <w:spacing w:val="-6"/>
          <w:sz w:val="24"/>
        </w:rPr>
        <w:t>委托书上亲笔签字， 否则其响应文件按无效响应处理</w:t>
      </w:r>
      <w:r>
        <w:rPr>
          <w:rFonts w:hint="eastAsia" w:ascii="宋体" w:hAnsi="宋体" w:cs="宋体"/>
          <w:color w:val="auto"/>
          <w:spacing w:val="-2"/>
          <w:sz w:val="24"/>
        </w:rPr>
        <w:t>。</w:t>
      </w:r>
    </w:p>
    <w:p w14:paraId="6449A1E1">
      <w:pPr>
        <w:spacing w:before="4" w:line="360" w:lineRule="auto"/>
        <w:ind w:left="12" w:right="292" w:firstLine="481"/>
        <w:rPr>
          <w:rFonts w:ascii="宋体" w:hAnsi="宋体" w:cs="宋体"/>
          <w:color w:val="auto"/>
          <w:sz w:val="24"/>
        </w:rPr>
      </w:pPr>
      <w:r>
        <w:rPr>
          <w:rFonts w:hint="eastAsia" w:ascii="宋体" w:hAnsi="宋体" w:cs="宋体"/>
          <w:color w:val="auto"/>
          <w:spacing w:val="-1"/>
          <w:sz w:val="24"/>
        </w:rPr>
        <w:t>2.供应商为其他组织或者自</w:t>
      </w:r>
      <w:r>
        <w:rPr>
          <w:rFonts w:hint="eastAsia" w:ascii="宋体" w:hAnsi="宋体" w:cs="宋体"/>
          <w:color w:val="auto"/>
          <w:sz w:val="24"/>
        </w:rPr>
        <w:t xml:space="preserve">然人时，本磋商文件规定的法定代表人指负责人或 </w:t>
      </w:r>
      <w:r>
        <w:rPr>
          <w:rFonts w:hint="eastAsia" w:ascii="宋体" w:hAnsi="宋体" w:cs="宋体"/>
          <w:color w:val="auto"/>
          <w:spacing w:val="-2"/>
          <w:sz w:val="24"/>
        </w:rPr>
        <w:t>者自然人。本磋商文件所称负责人是指参加竞标的其他组织</w:t>
      </w:r>
      <w:r>
        <w:rPr>
          <w:rFonts w:hint="eastAsia" w:ascii="宋体" w:hAnsi="宋体" w:cs="宋体"/>
          <w:color w:val="auto"/>
          <w:spacing w:val="-1"/>
          <w:sz w:val="24"/>
        </w:rPr>
        <w:t>营业执照上的负责人，</w:t>
      </w:r>
      <w:r>
        <w:rPr>
          <w:rFonts w:hint="eastAsia" w:ascii="宋体" w:hAnsi="宋体" w:cs="宋体"/>
          <w:color w:val="auto"/>
          <w:sz w:val="24"/>
        </w:rPr>
        <w:t xml:space="preserve"> </w:t>
      </w:r>
      <w:r>
        <w:rPr>
          <w:rFonts w:hint="eastAsia" w:ascii="宋体" w:hAnsi="宋体" w:cs="宋体"/>
          <w:color w:val="auto"/>
          <w:spacing w:val="-2"/>
          <w:sz w:val="24"/>
        </w:rPr>
        <w:t>本磋商文件所称自然人指参与竞</w:t>
      </w:r>
      <w:r>
        <w:rPr>
          <w:rFonts w:hint="eastAsia" w:ascii="宋体" w:hAnsi="宋体" w:cs="宋体"/>
          <w:color w:val="auto"/>
          <w:spacing w:val="-1"/>
          <w:sz w:val="24"/>
        </w:rPr>
        <w:t>标的自然人本人。</w:t>
      </w:r>
    </w:p>
    <w:p w14:paraId="6643A1D3">
      <w:pPr>
        <w:spacing w:line="360" w:lineRule="auto"/>
        <w:ind w:left="12" w:right="204" w:firstLine="483"/>
        <w:rPr>
          <w:rFonts w:ascii="宋体" w:hAnsi="宋体" w:cs="宋体"/>
          <w:color w:val="auto"/>
          <w:sz w:val="24"/>
        </w:rPr>
      </w:pPr>
      <w:r>
        <w:rPr>
          <w:rFonts w:hint="eastAsia" w:ascii="宋体" w:hAnsi="宋体" w:cs="宋体"/>
          <w:color w:val="auto"/>
          <w:spacing w:val="-2"/>
          <w:sz w:val="24"/>
        </w:rPr>
        <w:t>3. 法人、其他组织竞</w:t>
      </w:r>
      <w:r>
        <w:rPr>
          <w:rFonts w:hint="eastAsia" w:ascii="宋体" w:hAnsi="宋体" w:cs="宋体"/>
          <w:color w:val="auto"/>
          <w:spacing w:val="-1"/>
          <w:sz w:val="24"/>
        </w:rPr>
        <w:t>标时“我方”是指“我单位”，自然人竞标时“我方”是</w:t>
      </w:r>
      <w:r>
        <w:rPr>
          <w:rFonts w:hint="eastAsia" w:ascii="宋体" w:hAnsi="宋体" w:cs="宋体"/>
          <w:color w:val="auto"/>
          <w:sz w:val="24"/>
        </w:rPr>
        <w:t xml:space="preserve"> </w:t>
      </w:r>
      <w:r>
        <w:rPr>
          <w:rFonts w:hint="eastAsia" w:ascii="宋体" w:hAnsi="宋体" w:cs="宋体"/>
          <w:color w:val="auto"/>
          <w:spacing w:val="-7"/>
          <w:sz w:val="24"/>
        </w:rPr>
        <w:t>指</w:t>
      </w:r>
      <w:r>
        <w:rPr>
          <w:rFonts w:hint="eastAsia" w:ascii="宋体" w:hAnsi="宋体" w:cs="宋体"/>
          <w:color w:val="auto"/>
          <w:spacing w:val="-6"/>
          <w:sz w:val="24"/>
        </w:rPr>
        <w:t>“本人”。</w:t>
      </w:r>
    </w:p>
    <w:p w14:paraId="19168E68">
      <w:pPr>
        <w:spacing w:line="360" w:lineRule="auto"/>
        <w:rPr>
          <w:rFonts w:ascii="宋体" w:hAnsi="宋体" w:cs="宋体"/>
          <w:color w:val="auto"/>
        </w:rPr>
        <w:sectPr>
          <w:type w:val="continuous"/>
          <w:pgSz w:w="11905" w:h="16838"/>
          <w:pgMar w:top="1417" w:right="1134" w:bottom="1417" w:left="1100" w:header="703" w:footer="703" w:gutter="0"/>
          <w:cols w:space="720" w:num="1"/>
        </w:sectPr>
      </w:pPr>
    </w:p>
    <w:p w14:paraId="484AD7B2">
      <w:pPr>
        <w:spacing w:line="360" w:lineRule="auto"/>
        <w:rPr>
          <w:rFonts w:ascii="宋体" w:hAnsi="宋体" w:cs="宋体"/>
          <w:color w:val="auto"/>
        </w:rPr>
      </w:pPr>
    </w:p>
    <w:p w14:paraId="77E61FDD">
      <w:pPr>
        <w:spacing w:before="98" w:line="360" w:lineRule="auto"/>
        <w:ind w:left="813"/>
        <w:rPr>
          <w:rFonts w:ascii="宋体" w:hAnsi="宋体" w:cs="宋体"/>
          <w:color w:val="auto"/>
          <w:sz w:val="30"/>
          <w:szCs w:val="30"/>
        </w:rPr>
      </w:pPr>
      <w:r>
        <w:rPr>
          <w:rFonts w:hint="eastAsia" w:ascii="宋体" w:hAnsi="宋体" w:cs="宋体"/>
          <w:color w:val="auto"/>
          <w:spacing w:val="-10"/>
          <w:sz w:val="30"/>
          <w:szCs w:val="30"/>
        </w:rPr>
        <w:t>四</w:t>
      </w:r>
      <w:r>
        <w:rPr>
          <w:rFonts w:hint="eastAsia" w:ascii="宋体" w:hAnsi="宋体" w:cs="宋体"/>
          <w:color w:val="auto"/>
          <w:spacing w:val="-5"/>
          <w:sz w:val="30"/>
          <w:szCs w:val="30"/>
        </w:rPr>
        <w:t>、商务条款偏离表</w:t>
      </w:r>
    </w:p>
    <w:p w14:paraId="7CC2052B">
      <w:pPr>
        <w:spacing w:before="23" w:line="360" w:lineRule="auto"/>
        <w:ind w:left="2986"/>
        <w:rPr>
          <w:rFonts w:ascii="宋体" w:hAnsi="宋体" w:cs="宋体"/>
          <w:color w:val="auto"/>
          <w:sz w:val="44"/>
          <w:szCs w:val="44"/>
        </w:rPr>
      </w:pPr>
      <w:r>
        <w:rPr>
          <w:rFonts w:hint="eastAsia" w:ascii="宋体" w:hAnsi="宋体" w:cs="宋体"/>
          <w:color w:val="auto"/>
          <w:spacing w:val="-9"/>
          <w:sz w:val="44"/>
          <w:szCs w:val="44"/>
        </w:rPr>
        <w:t>商</w:t>
      </w:r>
      <w:r>
        <w:rPr>
          <w:rFonts w:hint="eastAsia" w:ascii="宋体" w:hAnsi="宋体" w:cs="宋体"/>
          <w:color w:val="auto"/>
          <w:spacing w:val="-5"/>
          <w:sz w:val="44"/>
          <w:szCs w:val="44"/>
        </w:rPr>
        <w:t>务条款偏离表</w:t>
      </w:r>
    </w:p>
    <w:p w14:paraId="56DF9025">
      <w:pPr>
        <w:spacing w:line="360" w:lineRule="auto"/>
        <w:rPr>
          <w:rFonts w:ascii="宋体" w:hAnsi="宋体" w:cs="宋体"/>
          <w:color w:val="auto"/>
        </w:rPr>
      </w:pPr>
    </w:p>
    <w:p w14:paraId="75F28D14">
      <w:pPr>
        <w:spacing w:before="78" w:line="360" w:lineRule="auto"/>
        <w:ind w:left="126"/>
        <w:rPr>
          <w:rFonts w:ascii="宋体" w:hAnsi="宋体" w:cs="宋体"/>
          <w:color w:val="auto"/>
          <w:sz w:val="24"/>
        </w:rPr>
      </w:pPr>
      <w:r>
        <w:rPr>
          <w:rFonts w:hint="eastAsia" w:ascii="宋体" w:hAnsi="宋体" w:cs="宋体"/>
          <w:color w:val="auto"/>
          <w:spacing w:val="-10"/>
          <w:sz w:val="24"/>
        </w:rPr>
        <w:t>采购</w:t>
      </w:r>
      <w:r>
        <w:rPr>
          <w:rFonts w:hint="eastAsia" w:ascii="宋体" w:hAnsi="宋体" w:cs="宋体"/>
          <w:color w:val="auto"/>
          <w:spacing w:val="-9"/>
          <w:sz w:val="24"/>
        </w:rPr>
        <w:t>项</w:t>
      </w:r>
      <w:r>
        <w:rPr>
          <w:rFonts w:hint="eastAsia" w:ascii="宋体" w:hAnsi="宋体" w:cs="宋体"/>
          <w:color w:val="auto"/>
          <w:spacing w:val="-5"/>
          <w:sz w:val="24"/>
        </w:rPr>
        <w:t>目编号：</w:t>
      </w:r>
      <w:r>
        <w:rPr>
          <w:rFonts w:hint="eastAsia" w:ascii="宋体" w:hAnsi="宋体" w:cs="宋体"/>
          <w:color w:val="auto"/>
          <w:spacing w:val="-5"/>
          <w:sz w:val="24"/>
          <w:u w:val="single"/>
        </w:rPr>
        <w:t xml:space="preserve">   [项目采购-项目编号]</w:t>
      </w:r>
      <w:r>
        <w:rPr>
          <w:rFonts w:hint="eastAsia" w:ascii="宋体" w:hAnsi="宋体" w:cs="宋体"/>
          <w:color w:val="auto"/>
          <w:sz w:val="24"/>
          <w:u w:val="single"/>
        </w:rPr>
        <w:t xml:space="preserve"> </w:t>
      </w:r>
    </w:p>
    <w:p w14:paraId="3FF092B1">
      <w:pPr>
        <w:spacing w:before="1" w:line="360" w:lineRule="auto"/>
        <w:ind w:left="126"/>
        <w:rPr>
          <w:rFonts w:ascii="宋体" w:hAnsi="宋体" w:cs="宋体"/>
          <w:color w:val="auto"/>
          <w:sz w:val="24"/>
        </w:rPr>
      </w:pPr>
      <w:r>
        <w:rPr>
          <w:rFonts w:hint="eastAsia" w:ascii="宋体" w:hAnsi="宋体" w:cs="宋体"/>
          <w:color w:val="auto"/>
          <w:spacing w:val="-6"/>
          <w:sz w:val="24"/>
        </w:rPr>
        <w:t>采购项目名称：</w:t>
      </w:r>
      <w:r>
        <w:rPr>
          <w:rFonts w:hint="eastAsia" w:ascii="宋体" w:hAnsi="宋体" w:cs="宋体"/>
          <w:color w:val="auto"/>
          <w:spacing w:val="-6"/>
          <w:sz w:val="24"/>
          <w:u w:val="single"/>
        </w:rPr>
        <w:t xml:space="preserve">  [项目采购-项目名称</w:t>
      </w:r>
      <w:r>
        <w:rPr>
          <w:rFonts w:hint="eastAsia" w:ascii="宋体" w:hAnsi="宋体" w:cs="宋体"/>
          <w:color w:val="auto"/>
          <w:spacing w:val="-3"/>
          <w:sz w:val="24"/>
          <w:u w:val="single"/>
        </w:rPr>
        <w:t>]</w:t>
      </w:r>
      <w:r>
        <w:rPr>
          <w:rFonts w:hint="eastAsia" w:ascii="宋体" w:hAnsi="宋体" w:cs="宋体"/>
          <w:color w:val="auto"/>
          <w:sz w:val="24"/>
          <w:u w:val="single"/>
        </w:rPr>
        <w:t xml:space="preserve"> </w:t>
      </w:r>
    </w:p>
    <w:p w14:paraId="0E80F2E0">
      <w:pPr>
        <w:spacing w:before="76" w:line="360" w:lineRule="auto"/>
        <w:ind w:left="130"/>
        <w:rPr>
          <w:rFonts w:ascii="宋体" w:hAnsi="宋体" w:cs="宋体"/>
          <w:color w:val="auto"/>
          <w:sz w:val="24"/>
        </w:rPr>
      </w:pPr>
      <w:r>
        <w:rPr>
          <w:rFonts w:hint="eastAsia" w:ascii="宋体" w:hAnsi="宋体" w:cs="宋体"/>
          <w:color w:val="auto"/>
          <w:spacing w:val="1"/>
          <w:sz w:val="24"/>
          <w:u w:val="single"/>
        </w:rPr>
        <w:t>分标号 (此处有分标时填写具体分标</w:t>
      </w:r>
      <w:r>
        <w:rPr>
          <w:rFonts w:hint="eastAsia" w:ascii="宋体" w:hAnsi="宋体" w:cs="宋体"/>
          <w:color w:val="auto"/>
          <w:sz w:val="24"/>
          <w:u w:val="single"/>
        </w:rPr>
        <w:t>号，无分标时填写“无”) ：</w:t>
      </w:r>
    </w:p>
    <w:p w14:paraId="2F7BAD0F">
      <w:pPr>
        <w:spacing w:line="360" w:lineRule="auto"/>
        <w:rPr>
          <w:rFonts w:ascii="宋体" w:hAnsi="宋体" w:cs="宋体"/>
          <w:color w:val="auto"/>
        </w:rPr>
      </w:pPr>
    </w:p>
    <w:tbl>
      <w:tblPr>
        <w:tblStyle w:val="26"/>
        <w:tblW w:w="4998" w:type="pct"/>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679"/>
        <w:gridCol w:w="4154"/>
        <w:gridCol w:w="3556"/>
        <w:gridCol w:w="1288"/>
      </w:tblGrid>
      <w:tr w14:paraId="30EDEE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1" w:hRule="atLeast"/>
        </w:trPr>
        <w:tc>
          <w:tcPr>
            <w:tcW w:w="351" w:type="pct"/>
            <w:tcBorders>
              <w:top w:val="single" w:color="000000" w:sz="2" w:space="0"/>
              <w:bottom w:val="single" w:color="000000" w:sz="2" w:space="0"/>
            </w:tcBorders>
          </w:tcPr>
          <w:p w14:paraId="771DCE86">
            <w:pPr>
              <w:spacing w:before="96" w:line="360" w:lineRule="auto"/>
              <w:ind w:left="141"/>
              <w:rPr>
                <w:rFonts w:ascii="宋体" w:hAnsi="宋体" w:cs="宋体"/>
                <w:color w:val="auto"/>
                <w:szCs w:val="21"/>
              </w:rPr>
            </w:pPr>
            <w:r>
              <w:rPr>
                <w:rFonts w:hint="eastAsia" w:ascii="宋体" w:hAnsi="宋体" w:cs="宋体"/>
                <w:color w:val="auto"/>
                <w:spacing w:val="-3"/>
                <w:szCs w:val="21"/>
              </w:rPr>
              <w:t>项</w:t>
            </w:r>
            <w:r>
              <w:rPr>
                <w:rFonts w:hint="eastAsia" w:ascii="宋体" w:hAnsi="宋体" w:cs="宋体"/>
                <w:color w:val="auto"/>
                <w:spacing w:val="-2"/>
                <w:szCs w:val="21"/>
              </w:rPr>
              <w:t>号</w:t>
            </w:r>
          </w:p>
        </w:tc>
        <w:tc>
          <w:tcPr>
            <w:tcW w:w="2146" w:type="pct"/>
            <w:tcBorders>
              <w:top w:val="single" w:color="000000" w:sz="2" w:space="0"/>
              <w:bottom w:val="single" w:color="000000" w:sz="2" w:space="0"/>
            </w:tcBorders>
          </w:tcPr>
          <w:p w14:paraId="5C72EE2E">
            <w:pPr>
              <w:spacing w:before="97" w:line="360" w:lineRule="auto"/>
              <w:ind w:left="496"/>
              <w:rPr>
                <w:rFonts w:ascii="宋体" w:hAnsi="宋体" w:cs="宋体"/>
                <w:color w:val="auto"/>
                <w:szCs w:val="21"/>
              </w:rPr>
            </w:pPr>
            <w:r>
              <w:rPr>
                <w:rFonts w:hint="eastAsia" w:ascii="宋体" w:hAnsi="宋体" w:cs="宋体"/>
                <w:color w:val="auto"/>
                <w:spacing w:val="-1"/>
                <w:szCs w:val="21"/>
              </w:rPr>
              <w:t>竞争性磋商采购文件的</w:t>
            </w:r>
            <w:r>
              <w:rPr>
                <w:rFonts w:hint="eastAsia" w:ascii="宋体" w:hAnsi="宋体" w:cs="宋体"/>
                <w:color w:val="auto"/>
                <w:szCs w:val="21"/>
              </w:rPr>
              <w:t>商务需求</w:t>
            </w:r>
          </w:p>
        </w:tc>
        <w:tc>
          <w:tcPr>
            <w:tcW w:w="1837" w:type="pct"/>
            <w:tcBorders>
              <w:top w:val="single" w:color="000000" w:sz="2" w:space="0"/>
              <w:bottom w:val="single" w:color="000000" w:sz="2" w:space="0"/>
            </w:tcBorders>
          </w:tcPr>
          <w:p w14:paraId="3AB3D73B">
            <w:pPr>
              <w:spacing w:before="96" w:line="360" w:lineRule="auto"/>
              <w:ind w:left="657"/>
              <w:rPr>
                <w:rFonts w:ascii="宋体" w:hAnsi="宋体" w:cs="宋体"/>
                <w:color w:val="auto"/>
                <w:szCs w:val="21"/>
              </w:rPr>
            </w:pPr>
            <w:r>
              <w:rPr>
                <w:rFonts w:hint="eastAsia" w:ascii="宋体" w:hAnsi="宋体" w:cs="宋体"/>
                <w:color w:val="auto"/>
                <w:spacing w:val="-2"/>
                <w:szCs w:val="21"/>
              </w:rPr>
              <w:t>响应文件承诺的商务条款</w:t>
            </w:r>
          </w:p>
        </w:tc>
        <w:tc>
          <w:tcPr>
            <w:tcW w:w="665" w:type="pct"/>
            <w:tcBorders>
              <w:top w:val="single" w:color="000000" w:sz="2" w:space="0"/>
              <w:bottom w:val="single" w:color="000000" w:sz="2" w:space="0"/>
            </w:tcBorders>
          </w:tcPr>
          <w:p w14:paraId="19821657">
            <w:pPr>
              <w:spacing w:before="96" w:line="360" w:lineRule="auto"/>
              <w:ind w:left="230"/>
              <w:rPr>
                <w:rFonts w:ascii="宋体" w:hAnsi="宋体" w:cs="宋体"/>
                <w:color w:val="auto"/>
                <w:szCs w:val="21"/>
              </w:rPr>
            </w:pPr>
            <w:r>
              <w:rPr>
                <w:rFonts w:hint="eastAsia" w:ascii="宋体" w:hAnsi="宋体" w:cs="宋体"/>
                <w:color w:val="auto"/>
                <w:spacing w:val="-3"/>
                <w:szCs w:val="21"/>
              </w:rPr>
              <w:t>偏</w:t>
            </w:r>
            <w:r>
              <w:rPr>
                <w:rFonts w:hint="eastAsia" w:ascii="宋体" w:hAnsi="宋体" w:cs="宋体"/>
                <w:color w:val="auto"/>
                <w:spacing w:val="-2"/>
                <w:szCs w:val="21"/>
              </w:rPr>
              <w:t>离说明</w:t>
            </w:r>
          </w:p>
        </w:tc>
      </w:tr>
      <w:tr w14:paraId="639792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3" w:hRule="atLeast"/>
        </w:trPr>
        <w:tc>
          <w:tcPr>
            <w:tcW w:w="351" w:type="pct"/>
            <w:tcBorders>
              <w:top w:val="single" w:color="000000" w:sz="2" w:space="0"/>
              <w:bottom w:val="single" w:color="000000" w:sz="2" w:space="0"/>
            </w:tcBorders>
          </w:tcPr>
          <w:p w14:paraId="116A09E5">
            <w:pPr>
              <w:spacing w:before="172" w:line="360" w:lineRule="auto"/>
              <w:ind w:left="114"/>
              <w:rPr>
                <w:rFonts w:ascii="宋体" w:hAnsi="宋体" w:cs="宋体"/>
                <w:color w:val="auto"/>
                <w:sz w:val="9"/>
                <w:szCs w:val="9"/>
              </w:rPr>
            </w:pPr>
            <w:r>
              <w:rPr>
                <w:rFonts w:hint="eastAsia" w:ascii="宋体" w:hAnsi="宋体" w:cs="宋体"/>
                <w:color w:val="auto"/>
                <w:spacing w:val="109"/>
                <w:position w:val="1"/>
                <w:sz w:val="9"/>
                <w:szCs w:val="9"/>
              </w:rPr>
              <w:t>一</w:t>
            </w:r>
          </w:p>
        </w:tc>
        <w:tc>
          <w:tcPr>
            <w:tcW w:w="2146" w:type="pct"/>
            <w:tcBorders>
              <w:top w:val="single" w:color="000000" w:sz="2" w:space="0"/>
              <w:bottom w:val="single" w:color="000000" w:sz="2" w:space="0"/>
            </w:tcBorders>
          </w:tcPr>
          <w:p w14:paraId="051C915D">
            <w:pPr>
              <w:spacing w:before="91" w:line="360" w:lineRule="auto"/>
              <w:ind w:left="123"/>
              <w:rPr>
                <w:rFonts w:ascii="宋体" w:hAnsi="宋体" w:cs="宋体"/>
                <w:color w:val="auto"/>
                <w:szCs w:val="21"/>
              </w:rPr>
            </w:pPr>
            <w:r>
              <w:rPr>
                <w:rFonts w:hint="eastAsia" w:ascii="宋体" w:hAnsi="宋体" w:cs="宋体"/>
                <w:color w:val="auto"/>
                <w:spacing w:val="-4"/>
                <w:position w:val="9"/>
                <w:szCs w:val="21"/>
              </w:rPr>
              <w:t>1</w:t>
            </w:r>
            <w:r>
              <w:rPr>
                <w:rFonts w:hint="eastAsia" w:ascii="宋体" w:hAnsi="宋体" w:cs="宋体"/>
                <w:color w:val="auto"/>
                <w:spacing w:val="-3"/>
                <w:position w:val="9"/>
                <w:szCs w:val="21"/>
              </w:rPr>
              <w:t xml:space="preserve"> </w:t>
            </w:r>
            <w:r>
              <w:rPr>
                <w:rFonts w:hint="eastAsia" w:ascii="宋体" w:hAnsi="宋体" w:cs="宋体"/>
                <w:color w:val="auto"/>
                <w:spacing w:val="-2"/>
                <w:position w:val="9"/>
                <w:szCs w:val="21"/>
              </w:rPr>
              <w:t xml:space="preserve"> ……</w:t>
            </w:r>
          </w:p>
          <w:p w14:paraId="13CB8B80">
            <w:pPr>
              <w:spacing w:line="360" w:lineRule="auto"/>
              <w:ind w:left="110"/>
              <w:rPr>
                <w:rFonts w:ascii="宋体" w:hAnsi="宋体" w:cs="宋体"/>
                <w:color w:val="auto"/>
                <w:szCs w:val="21"/>
              </w:rPr>
            </w:pPr>
            <w:r>
              <w:rPr>
                <w:rFonts w:hint="eastAsia" w:ascii="宋体" w:hAnsi="宋体" w:cs="宋体"/>
                <w:color w:val="auto"/>
                <w:szCs w:val="21"/>
              </w:rPr>
              <w:t>2  ……</w:t>
            </w:r>
          </w:p>
          <w:p w14:paraId="73F3CD43">
            <w:pPr>
              <w:spacing w:before="66" w:line="360" w:lineRule="auto"/>
              <w:ind w:left="112"/>
              <w:rPr>
                <w:rFonts w:ascii="宋体" w:hAnsi="宋体" w:cs="宋体"/>
                <w:color w:val="auto"/>
                <w:szCs w:val="21"/>
              </w:rPr>
            </w:pPr>
            <w:r>
              <w:rPr>
                <w:rFonts w:hint="eastAsia" w:ascii="宋体" w:hAnsi="宋体" w:cs="宋体"/>
                <w:color w:val="auto"/>
                <w:spacing w:val="-1"/>
                <w:szCs w:val="21"/>
              </w:rPr>
              <w:t>3</w:t>
            </w:r>
            <w:r>
              <w:rPr>
                <w:rFonts w:hint="eastAsia" w:ascii="宋体" w:hAnsi="宋体" w:cs="宋体"/>
                <w:color w:val="auto"/>
                <w:szCs w:val="21"/>
              </w:rPr>
              <w:t xml:space="preserve">  ……</w:t>
            </w:r>
          </w:p>
          <w:p w14:paraId="7C8F5C0F">
            <w:pPr>
              <w:spacing w:before="68" w:line="360" w:lineRule="auto"/>
              <w:ind w:left="121"/>
              <w:rPr>
                <w:rFonts w:ascii="宋体" w:hAnsi="宋体" w:cs="宋体"/>
                <w:color w:val="auto"/>
                <w:szCs w:val="21"/>
              </w:rPr>
            </w:pPr>
            <w:r>
              <w:rPr>
                <w:rFonts w:hint="eastAsia" w:ascii="宋体" w:hAnsi="宋体" w:cs="宋体"/>
                <w:color w:val="auto"/>
                <w:spacing w:val="-6"/>
                <w:szCs w:val="21"/>
              </w:rPr>
              <w:t>…</w:t>
            </w:r>
            <w:r>
              <w:rPr>
                <w:rFonts w:hint="eastAsia" w:ascii="宋体" w:hAnsi="宋体" w:cs="宋体"/>
                <w:color w:val="auto"/>
                <w:spacing w:val="-5"/>
                <w:szCs w:val="21"/>
              </w:rPr>
              <w:t>…</w:t>
            </w:r>
          </w:p>
        </w:tc>
        <w:tc>
          <w:tcPr>
            <w:tcW w:w="1837" w:type="pct"/>
            <w:tcBorders>
              <w:top w:val="single" w:color="000000" w:sz="2" w:space="0"/>
              <w:bottom w:val="single" w:color="000000" w:sz="2" w:space="0"/>
            </w:tcBorders>
          </w:tcPr>
          <w:p w14:paraId="6D2DC2D9">
            <w:pPr>
              <w:spacing w:before="91" w:line="360" w:lineRule="auto"/>
              <w:ind w:left="127"/>
              <w:rPr>
                <w:rFonts w:ascii="宋体" w:hAnsi="宋体" w:cs="宋体"/>
                <w:color w:val="auto"/>
                <w:szCs w:val="21"/>
              </w:rPr>
            </w:pPr>
            <w:r>
              <w:rPr>
                <w:rFonts w:hint="eastAsia" w:ascii="宋体" w:hAnsi="宋体" w:cs="宋体"/>
                <w:color w:val="auto"/>
                <w:spacing w:val="-4"/>
                <w:position w:val="9"/>
                <w:szCs w:val="21"/>
              </w:rPr>
              <w:t>1</w:t>
            </w:r>
            <w:r>
              <w:rPr>
                <w:rFonts w:hint="eastAsia" w:ascii="宋体" w:hAnsi="宋体" w:cs="宋体"/>
                <w:color w:val="auto"/>
                <w:spacing w:val="-3"/>
                <w:position w:val="9"/>
                <w:szCs w:val="21"/>
              </w:rPr>
              <w:t xml:space="preserve"> </w:t>
            </w:r>
            <w:r>
              <w:rPr>
                <w:rFonts w:hint="eastAsia" w:ascii="宋体" w:hAnsi="宋体" w:cs="宋体"/>
                <w:color w:val="auto"/>
                <w:spacing w:val="-2"/>
                <w:position w:val="9"/>
                <w:szCs w:val="21"/>
              </w:rPr>
              <w:t xml:space="preserve"> ……</w:t>
            </w:r>
          </w:p>
          <w:p w14:paraId="53BFACB6">
            <w:pPr>
              <w:spacing w:line="360" w:lineRule="auto"/>
              <w:ind w:left="114"/>
              <w:rPr>
                <w:rFonts w:ascii="宋体" w:hAnsi="宋体" w:cs="宋体"/>
                <w:color w:val="auto"/>
                <w:szCs w:val="21"/>
              </w:rPr>
            </w:pPr>
            <w:r>
              <w:rPr>
                <w:rFonts w:hint="eastAsia" w:ascii="宋体" w:hAnsi="宋体" w:cs="宋体"/>
                <w:color w:val="auto"/>
                <w:spacing w:val="1"/>
                <w:szCs w:val="21"/>
              </w:rPr>
              <w:t>2</w:t>
            </w:r>
            <w:r>
              <w:rPr>
                <w:rFonts w:hint="eastAsia" w:ascii="宋体" w:hAnsi="宋体" w:cs="宋体"/>
                <w:color w:val="auto"/>
                <w:szCs w:val="21"/>
              </w:rPr>
              <w:t xml:space="preserve">  ……</w:t>
            </w:r>
          </w:p>
          <w:p w14:paraId="07CDEE5D">
            <w:pPr>
              <w:spacing w:before="66" w:line="360" w:lineRule="auto"/>
              <w:ind w:left="116"/>
              <w:rPr>
                <w:rFonts w:ascii="宋体" w:hAnsi="宋体" w:cs="宋体"/>
                <w:color w:val="auto"/>
                <w:szCs w:val="21"/>
              </w:rPr>
            </w:pPr>
            <w:r>
              <w:rPr>
                <w:rFonts w:hint="eastAsia" w:ascii="宋体" w:hAnsi="宋体" w:cs="宋体"/>
                <w:color w:val="auto"/>
                <w:spacing w:val="-1"/>
                <w:szCs w:val="21"/>
              </w:rPr>
              <w:t>3</w:t>
            </w:r>
            <w:r>
              <w:rPr>
                <w:rFonts w:hint="eastAsia" w:ascii="宋体" w:hAnsi="宋体" w:cs="宋体"/>
                <w:color w:val="auto"/>
                <w:szCs w:val="21"/>
              </w:rPr>
              <w:t xml:space="preserve">  ……</w:t>
            </w:r>
          </w:p>
          <w:p w14:paraId="65C54F7A">
            <w:pPr>
              <w:spacing w:before="68" w:line="360" w:lineRule="auto"/>
              <w:ind w:left="125"/>
              <w:rPr>
                <w:rFonts w:ascii="宋体" w:hAnsi="宋体" w:cs="宋体"/>
                <w:color w:val="auto"/>
                <w:szCs w:val="21"/>
              </w:rPr>
            </w:pPr>
            <w:r>
              <w:rPr>
                <w:rFonts w:hint="eastAsia" w:ascii="宋体" w:hAnsi="宋体" w:cs="宋体"/>
                <w:color w:val="auto"/>
                <w:spacing w:val="-6"/>
                <w:szCs w:val="21"/>
              </w:rPr>
              <w:t>…</w:t>
            </w:r>
            <w:r>
              <w:rPr>
                <w:rFonts w:hint="eastAsia" w:ascii="宋体" w:hAnsi="宋体" w:cs="宋体"/>
                <w:color w:val="auto"/>
                <w:spacing w:val="-5"/>
                <w:szCs w:val="21"/>
              </w:rPr>
              <w:t>…</w:t>
            </w:r>
          </w:p>
        </w:tc>
        <w:tc>
          <w:tcPr>
            <w:tcW w:w="665" w:type="pct"/>
            <w:tcBorders>
              <w:top w:val="single" w:color="000000" w:sz="2" w:space="0"/>
              <w:bottom w:val="single" w:color="000000" w:sz="2" w:space="0"/>
            </w:tcBorders>
          </w:tcPr>
          <w:p w14:paraId="5265F5D9">
            <w:pPr>
              <w:spacing w:line="360" w:lineRule="auto"/>
              <w:rPr>
                <w:rFonts w:ascii="宋体" w:hAnsi="宋体" w:cs="宋体"/>
                <w:color w:val="auto"/>
              </w:rPr>
            </w:pPr>
          </w:p>
        </w:tc>
      </w:tr>
      <w:tr w14:paraId="525343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3" w:hRule="atLeast"/>
        </w:trPr>
        <w:tc>
          <w:tcPr>
            <w:tcW w:w="351" w:type="pct"/>
            <w:tcBorders>
              <w:top w:val="single" w:color="000000" w:sz="2" w:space="0"/>
              <w:bottom w:val="single" w:color="000000" w:sz="2" w:space="0"/>
            </w:tcBorders>
          </w:tcPr>
          <w:p w14:paraId="00C58D91">
            <w:pPr>
              <w:spacing w:before="132" w:line="360" w:lineRule="auto"/>
              <w:ind w:left="115"/>
              <w:rPr>
                <w:rFonts w:ascii="宋体" w:hAnsi="宋体" w:cs="宋体"/>
                <w:color w:val="auto"/>
                <w:szCs w:val="21"/>
              </w:rPr>
            </w:pPr>
            <w:r>
              <w:rPr>
                <w:rFonts w:hint="eastAsia" w:ascii="宋体" w:hAnsi="宋体" w:cs="宋体"/>
                <w:color w:val="auto"/>
                <w:szCs w:val="21"/>
              </w:rPr>
              <w:t>二</w:t>
            </w:r>
          </w:p>
        </w:tc>
        <w:tc>
          <w:tcPr>
            <w:tcW w:w="2146" w:type="pct"/>
            <w:tcBorders>
              <w:top w:val="single" w:color="000000" w:sz="2" w:space="0"/>
              <w:bottom w:val="single" w:color="000000" w:sz="2" w:space="0"/>
            </w:tcBorders>
          </w:tcPr>
          <w:p w14:paraId="3D6226B9">
            <w:pPr>
              <w:spacing w:before="93" w:line="360" w:lineRule="auto"/>
              <w:ind w:left="123"/>
              <w:rPr>
                <w:rFonts w:ascii="宋体" w:hAnsi="宋体" w:cs="宋体"/>
                <w:color w:val="auto"/>
                <w:szCs w:val="21"/>
              </w:rPr>
            </w:pPr>
            <w:r>
              <w:rPr>
                <w:rFonts w:hint="eastAsia" w:ascii="宋体" w:hAnsi="宋体" w:cs="宋体"/>
                <w:color w:val="auto"/>
                <w:spacing w:val="-4"/>
                <w:position w:val="9"/>
                <w:szCs w:val="21"/>
              </w:rPr>
              <w:t>1</w:t>
            </w:r>
            <w:r>
              <w:rPr>
                <w:rFonts w:hint="eastAsia" w:ascii="宋体" w:hAnsi="宋体" w:cs="宋体"/>
                <w:color w:val="auto"/>
                <w:spacing w:val="-3"/>
                <w:position w:val="9"/>
                <w:szCs w:val="21"/>
              </w:rPr>
              <w:t xml:space="preserve"> </w:t>
            </w:r>
            <w:r>
              <w:rPr>
                <w:rFonts w:hint="eastAsia" w:ascii="宋体" w:hAnsi="宋体" w:cs="宋体"/>
                <w:color w:val="auto"/>
                <w:spacing w:val="-2"/>
                <w:position w:val="9"/>
                <w:szCs w:val="21"/>
              </w:rPr>
              <w:t xml:space="preserve"> ……</w:t>
            </w:r>
          </w:p>
          <w:p w14:paraId="0A044382">
            <w:pPr>
              <w:spacing w:line="360" w:lineRule="auto"/>
              <w:ind w:left="110"/>
              <w:rPr>
                <w:rFonts w:ascii="宋体" w:hAnsi="宋体" w:cs="宋体"/>
                <w:color w:val="auto"/>
                <w:szCs w:val="21"/>
              </w:rPr>
            </w:pPr>
            <w:r>
              <w:rPr>
                <w:rFonts w:hint="eastAsia" w:ascii="宋体" w:hAnsi="宋体" w:cs="宋体"/>
                <w:color w:val="auto"/>
                <w:szCs w:val="21"/>
              </w:rPr>
              <w:t>2  ……</w:t>
            </w:r>
          </w:p>
          <w:p w14:paraId="3E779E78">
            <w:pPr>
              <w:spacing w:before="66" w:line="360" w:lineRule="auto"/>
              <w:ind w:left="112"/>
              <w:rPr>
                <w:rFonts w:ascii="宋体" w:hAnsi="宋体" w:cs="宋体"/>
                <w:color w:val="auto"/>
                <w:szCs w:val="21"/>
              </w:rPr>
            </w:pPr>
            <w:r>
              <w:rPr>
                <w:rFonts w:hint="eastAsia" w:ascii="宋体" w:hAnsi="宋体" w:cs="宋体"/>
                <w:color w:val="auto"/>
                <w:spacing w:val="-1"/>
                <w:szCs w:val="21"/>
              </w:rPr>
              <w:t>3</w:t>
            </w:r>
            <w:r>
              <w:rPr>
                <w:rFonts w:hint="eastAsia" w:ascii="宋体" w:hAnsi="宋体" w:cs="宋体"/>
                <w:color w:val="auto"/>
                <w:szCs w:val="21"/>
              </w:rPr>
              <w:t xml:space="preserve">  ……</w:t>
            </w:r>
          </w:p>
          <w:p w14:paraId="3DECC5F2">
            <w:pPr>
              <w:spacing w:before="68" w:line="360" w:lineRule="auto"/>
              <w:ind w:left="121"/>
              <w:rPr>
                <w:rFonts w:ascii="宋体" w:hAnsi="宋体" w:cs="宋体"/>
                <w:color w:val="auto"/>
                <w:szCs w:val="21"/>
              </w:rPr>
            </w:pPr>
            <w:r>
              <w:rPr>
                <w:rFonts w:hint="eastAsia" w:ascii="宋体" w:hAnsi="宋体" w:cs="宋体"/>
                <w:color w:val="auto"/>
                <w:spacing w:val="-6"/>
                <w:szCs w:val="21"/>
              </w:rPr>
              <w:t>…</w:t>
            </w:r>
            <w:r>
              <w:rPr>
                <w:rFonts w:hint="eastAsia" w:ascii="宋体" w:hAnsi="宋体" w:cs="宋体"/>
                <w:color w:val="auto"/>
                <w:spacing w:val="-5"/>
                <w:szCs w:val="21"/>
              </w:rPr>
              <w:t>…</w:t>
            </w:r>
          </w:p>
        </w:tc>
        <w:tc>
          <w:tcPr>
            <w:tcW w:w="1837" w:type="pct"/>
            <w:tcBorders>
              <w:top w:val="single" w:color="000000" w:sz="2" w:space="0"/>
              <w:bottom w:val="single" w:color="000000" w:sz="2" w:space="0"/>
            </w:tcBorders>
          </w:tcPr>
          <w:p w14:paraId="1EF1B889">
            <w:pPr>
              <w:spacing w:before="93" w:line="360" w:lineRule="auto"/>
              <w:ind w:left="127"/>
              <w:rPr>
                <w:rFonts w:ascii="宋体" w:hAnsi="宋体" w:cs="宋体"/>
                <w:color w:val="auto"/>
                <w:szCs w:val="21"/>
              </w:rPr>
            </w:pPr>
            <w:r>
              <w:rPr>
                <w:rFonts w:hint="eastAsia" w:ascii="宋体" w:hAnsi="宋体" w:cs="宋体"/>
                <w:color w:val="auto"/>
                <w:spacing w:val="-4"/>
                <w:position w:val="9"/>
                <w:szCs w:val="21"/>
              </w:rPr>
              <w:t>1</w:t>
            </w:r>
            <w:r>
              <w:rPr>
                <w:rFonts w:hint="eastAsia" w:ascii="宋体" w:hAnsi="宋体" w:cs="宋体"/>
                <w:color w:val="auto"/>
                <w:spacing w:val="-3"/>
                <w:position w:val="9"/>
                <w:szCs w:val="21"/>
              </w:rPr>
              <w:t xml:space="preserve"> </w:t>
            </w:r>
            <w:r>
              <w:rPr>
                <w:rFonts w:hint="eastAsia" w:ascii="宋体" w:hAnsi="宋体" w:cs="宋体"/>
                <w:color w:val="auto"/>
                <w:spacing w:val="-2"/>
                <w:position w:val="9"/>
                <w:szCs w:val="21"/>
              </w:rPr>
              <w:t xml:space="preserve"> ……</w:t>
            </w:r>
          </w:p>
          <w:p w14:paraId="33619095">
            <w:pPr>
              <w:spacing w:line="360" w:lineRule="auto"/>
              <w:ind w:left="114"/>
              <w:rPr>
                <w:rFonts w:ascii="宋体" w:hAnsi="宋体" w:cs="宋体"/>
                <w:color w:val="auto"/>
                <w:szCs w:val="21"/>
              </w:rPr>
            </w:pPr>
            <w:r>
              <w:rPr>
                <w:rFonts w:hint="eastAsia" w:ascii="宋体" w:hAnsi="宋体" w:cs="宋体"/>
                <w:color w:val="auto"/>
                <w:spacing w:val="1"/>
                <w:szCs w:val="21"/>
              </w:rPr>
              <w:t>2</w:t>
            </w:r>
            <w:r>
              <w:rPr>
                <w:rFonts w:hint="eastAsia" w:ascii="宋体" w:hAnsi="宋体" w:cs="宋体"/>
                <w:color w:val="auto"/>
                <w:szCs w:val="21"/>
              </w:rPr>
              <w:t xml:space="preserve">  ……</w:t>
            </w:r>
          </w:p>
          <w:p w14:paraId="7C92C5B8">
            <w:pPr>
              <w:spacing w:before="66" w:line="360" w:lineRule="auto"/>
              <w:ind w:left="116"/>
              <w:rPr>
                <w:rFonts w:ascii="宋体" w:hAnsi="宋体" w:cs="宋体"/>
                <w:color w:val="auto"/>
                <w:szCs w:val="21"/>
              </w:rPr>
            </w:pPr>
            <w:r>
              <w:rPr>
                <w:rFonts w:hint="eastAsia" w:ascii="宋体" w:hAnsi="宋体" w:cs="宋体"/>
                <w:color w:val="auto"/>
                <w:spacing w:val="-1"/>
                <w:szCs w:val="21"/>
              </w:rPr>
              <w:t>3</w:t>
            </w:r>
            <w:r>
              <w:rPr>
                <w:rFonts w:hint="eastAsia" w:ascii="宋体" w:hAnsi="宋体" w:cs="宋体"/>
                <w:color w:val="auto"/>
                <w:szCs w:val="21"/>
              </w:rPr>
              <w:t xml:space="preserve">  ……</w:t>
            </w:r>
          </w:p>
          <w:p w14:paraId="7A0A47AA">
            <w:pPr>
              <w:spacing w:before="68" w:line="360" w:lineRule="auto"/>
              <w:ind w:left="125"/>
              <w:rPr>
                <w:rFonts w:ascii="宋体" w:hAnsi="宋体" w:cs="宋体"/>
                <w:color w:val="auto"/>
                <w:szCs w:val="21"/>
              </w:rPr>
            </w:pPr>
            <w:r>
              <w:rPr>
                <w:rFonts w:hint="eastAsia" w:ascii="宋体" w:hAnsi="宋体" w:cs="宋体"/>
                <w:color w:val="auto"/>
                <w:spacing w:val="-6"/>
                <w:szCs w:val="21"/>
              </w:rPr>
              <w:t>…</w:t>
            </w:r>
            <w:r>
              <w:rPr>
                <w:rFonts w:hint="eastAsia" w:ascii="宋体" w:hAnsi="宋体" w:cs="宋体"/>
                <w:color w:val="auto"/>
                <w:spacing w:val="-5"/>
                <w:szCs w:val="21"/>
              </w:rPr>
              <w:t>…</w:t>
            </w:r>
          </w:p>
        </w:tc>
        <w:tc>
          <w:tcPr>
            <w:tcW w:w="665" w:type="pct"/>
            <w:tcBorders>
              <w:top w:val="single" w:color="000000" w:sz="2" w:space="0"/>
              <w:bottom w:val="single" w:color="000000" w:sz="2" w:space="0"/>
            </w:tcBorders>
          </w:tcPr>
          <w:p w14:paraId="1E74563B">
            <w:pPr>
              <w:spacing w:line="360" w:lineRule="auto"/>
              <w:rPr>
                <w:rFonts w:ascii="宋体" w:hAnsi="宋体" w:cs="宋体"/>
                <w:color w:val="auto"/>
              </w:rPr>
            </w:pPr>
          </w:p>
        </w:tc>
      </w:tr>
      <w:tr w14:paraId="5E5A6D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59" w:hRule="atLeast"/>
        </w:trPr>
        <w:tc>
          <w:tcPr>
            <w:tcW w:w="351" w:type="pct"/>
            <w:tcBorders>
              <w:top w:val="single" w:color="000000" w:sz="2" w:space="0"/>
              <w:bottom w:val="single" w:color="000000" w:sz="2" w:space="0"/>
            </w:tcBorders>
          </w:tcPr>
          <w:p w14:paraId="14AC61D8">
            <w:pPr>
              <w:spacing w:before="249" w:line="360" w:lineRule="auto"/>
              <w:ind w:left="117"/>
              <w:rPr>
                <w:rFonts w:ascii="宋体" w:hAnsi="宋体" w:cs="宋体"/>
                <w:color w:val="auto"/>
                <w:szCs w:val="21"/>
              </w:rPr>
            </w:pPr>
            <w:r>
              <w:rPr>
                <w:rFonts w:hint="eastAsia" w:ascii="宋体" w:hAnsi="宋体" w:cs="宋体"/>
                <w:color w:val="auto"/>
                <w:spacing w:val="-7"/>
                <w:position w:val="1"/>
                <w:szCs w:val="21"/>
              </w:rPr>
              <w:t>.</w:t>
            </w:r>
            <w:r>
              <w:rPr>
                <w:rFonts w:hint="eastAsia" w:ascii="宋体" w:hAnsi="宋体" w:cs="宋体"/>
                <w:color w:val="auto"/>
                <w:spacing w:val="-4"/>
                <w:position w:val="1"/>
                <w:szCs w:val="21"/>
              </w:rPr>
              <w:t>..</w:t>
            </w:r>
          </w:p>
        </w:tc>
        <w:tc>
          <w:tcPr>
            <w:tcW w:w="2146" w:type="pct"/>
            <w:tcBorders>
              <w:top w:val="single" w:color="000000" w:sz="2" w:space="0"/>
              <w:bottom w:val="single" w:color="000000" w:sz="2" w:space="0"/>
            </w:tcBorders>
          </w:tcPr>
          <w:p w14:paraId="702921B0">
            <w:pPr>
              <w:spacing w:before="95" w:line="360" w:lineRule="auto"/>
              <w:ind w:left="123"/>
              <w:rPr>
                <w:rFonts w:ascii="宋体" w:hAnsi="宋体" w:cs="宋体"/>
                <w:color w:val="auto"/>
                <w:szCs w:val="21"/>
              </w:rPr>
            </w:pPr>
            <w:r>
              <w:rPr>
                <w:rFonts w:hint="eastAsia" w:ascii="宋体" w:hAnsi="宋体" w:cs="宋体"/>
                <w:color w:val="auto"/>
                <w:spacing w:val="-4"/>
                <w:position w:val="9"/>
                <w:szCs w:val="21"/>
              </w:rPr>
              <w:t>1</w:t>
            </w:r>
            <w:r>
              <w:rPr>
                <w:rFonts w:hint="eastAsia" w:ascii="宋体" w:hAnsi="宋体" w:cs="宋体"/>
                <w:color w:val="auto"/>
                <w:spacing w:val="-3"/>
                <w:position w:val="9"/>
                <w:szCs w:val="21"/>
              </w:rPr>
              <w:t xml:space="preserve"> </w:t>
            </w:r>
            <w:r>
              <w:rPr>
                <w:rFonts w:hint="eastAsia" w:ascii="宋体" w:hAnsi="宋体" w:cs="宋体"/>
                <w:color w:val="auto"/>
                <w:spacing w:val="-2"/>
                <w:position w:val="9"/>
                <w:szCs w:val="21"/>
              </w:rPr>
              <w:t xml:space="preserve"> ……</w:t>
            </w:r>
          </w:p>
          <w:p w14:paraId="732ABD18">
            <w:pPr>
              <w:spacing w:line="360" w:lineRule="auto"/>
              <w:ind w:left="110"/>
              <w:rPr>
                <w:rFonts w:ascii="宋体" w:hAnsi="宋体" w:cs="宋体"/>
                <w:color w:val="auto"/>
                <w:szCs w:val="21"/>
              </w:rPr>
            </w:pPr>
            <w:r>
              <w:rPr>
                <w:rFonts w:hint="eastAsia" w:ascii="宋体" w:hAnsi="宋体" w:cs="宋体"/>
                <w:color w:val="auto"/>
                <w:szCs w:val="21"/>
              </w:rPr>
              <w:t>2  ……</w:t>
            </w:r>
          </w:p>
          <w:p w14:paraId="464812E9">
            <w:pPr>
              <w:spacing w:before="66" w:line="360" w:lineRule="auto"/>
              <w:ind w:left="112"/>
              <w:rPr>
                <w:rFonts w:ascii="宋体" w:hAnsi="宋体" w:cs="宋体"/>
                <w:color w:val="auto"/>
                <w:szCs w:val="21"/>
              </w:rPr>
            </w:pPr>
            <w:r>
              <w:rPr>
                <w:rFonts w:hint="eastAsia" w:ascii="宋体" w:hAnsi="宋体" w:cs="宋体"/>
                <w:color w:val="auto"/>
                <w:spacing w:val="-1"/>
                <w:szCs w:val="21"/>
              </w:rPr>
              <w:t>3</w:t>
            </w:r>
            <w:r>
              <w:rPr>
                <w:rFonts w:hint="eastAsia" w:ascii="宋体" w:hAnsi="宋体" w:cs="宋体"/>
                <w:color w:val="auto"/>
                <w:szCs w:val="21"/>
              </w:rPr>
              <w:t xml:space="preserve">  ……</w:t>
            </w:r>
          </w:p>
          <w:p w14:paraId="52A209E3">
            <w:pPr>
              <w:spacing w:before="68" w:line="360" w:lineRule="auto"/>
              <w:ind w:left="121"/>
              <w:rPr>
                <w:rFonts w:ascii="宋体" w:hAnsi="宋体" w:cs="宋体"/>
                <w:color w:val="auto"/>
                <w:szCs w:val="21"/>
              </w:rPr>
            </w:pPr>
            <w:r>
              <w:rPr>
                <w:rFonts w:hint="eastAsia" w:ascii="宋体" w:hAnsi="宋体" w:cs="宋体"/>
                <w:color w:val="auto"/>
                <w:spacing w:val="-6"/>
                <w:position w:val="2"/>
                <w:szCs w:val="21"/>
              </w:rPr>
              <w:t>…</w:t>
            </w:r>
            <w:r>
              <w:rPr>
                <w:rFonts w:hint="eastAsia" w:ascii="宋体" w:hAnsi="宋体" w:cs="宋体"/>
                <w:color w:val="auto"/>
                <w:spacing w:val="-5"/>
                <w:position w:val="2"/>
                <w:szCs w:val="21"/>
              </w:rPr>
              <w:t>…</w:t>
            </w:r>
          </w:p>
        </w:tc>
        <w:tc>
          <w:tcPr>
            <w:tcW w:w="1837" w:type="pct"/>
            <w:tcBorders>
              <w:top w:val="single" w:color="000000" w:sz="2" w:space="0"/>
              <w:bottom w:val="single" w:color="000000" w:sz="2" w:space="0"/>
            </w:tcBorders>
          </w:tcPr>
          <w:p w14:paraId="3B7B527D">
            <w:pPr>
              <w:spacing w:before="95" w:line="360" w:lineRule="auto"/>
              <w:ind w:left="127"/>
              <w:rPr>
                <w:rFonts w:ascii="宋体" w:hAnsi="宋体" w:cs="宋体"/>
                <w:color w:val="auto"/>
                <w:szCs w:val="21"/>
              </w:rPr>
            </w:pPr>
            <w:r>
              <w:rPr>
                <w:rFonts w:hint="eastAsia" w:ascii="宋体" w:hAnsi="宋体" w:cs="宋体"/>
                <w:color w:val="auto"/>
                <w:spacing w:val="-4"/>
                <w:position w:val="9"/>
                <w:szCs w:val="21"/>
              </w:rPr>
              <w:t>1</w:t>
            </w:r>
            <w:r>
              <w:rPr>
                <w:rFonts w:hint="eastAsia" w:ascii="宋体" w:hAnsi="宋体" w:cs="宋体"/>
                <w:color w:val="auto"/>
                <w:spacing w:val="-3"/>
                <w:position w:val="9"/>
                <w:szCs w:val="21"/>
              </w:rPr>
              <w:t xml:space="preserve"> </w:t>
            </w:r>
            <w:r>
              <w:rPr>
                <w:rFonts w:hint="eastAsia" w:ascii="宋体" w:hAnsi="宋体" w:cs="宋体"/>
                <w:color w:val="auto"/>
                <w:spacing w:val="-2"/>
                <w:position w:val="9"/>
                <w:szCs w:val="21"/>
              </w:rPr>
              <w:t xml:space="preserve"> ……</w:t>
            </w:r>
          </w:p>
          <w:p w14:paraId="19BB8FD2">
            <w:pPr>
              <w:spacing w:line="360" w:lineRule="auto"/>
              <w:ind w:left="114"/>
              <w:rPr>
                <w:rFonts w:ascii="宋体" w:hAnsi="宋体" w:cs="宋体"/>
                <w:color w:val="auto"/>
                <w:szCs w:val="21"/>
              </w:rPr>
            </w:pPr>
            <w:r>
              <w:rPr>
                <w:rFonts w:hint="eastAsia" w:ascii="宋体" w:hAnsi="宋体" w:cs="宋体"/>
                <w:color w:val="auto"/>
                <w:spacing w:val="1"/>
                <w:szCs w:val="21"/>
              </w:rPr>
              <w:t>2</w:t>
            </w:r>
            <w:r>
              <w:rPr>
                <w:rFonts w:hint="eastAsia" w:ascii="宋体" w:hAnsi="宋体" w:cs="宋体"/>
                <w:color w:val="auto"/>
                <w:szCs w:val="21"/>
              </w:rPr>
              <w:t xml:space="preserve">  ……</w:t>
            </w:r>
          </w:p>
          <w:p w14:paraId="0C27E569">
            <w:pPr>
              <w:spacing w:before="66" w:line="360" w:lineRule="auto"/>
              <w:ind w:left="116"/>
              <w:rPr>
                <w:rFonts w:ascii="宋体" w:hAnsi="宋体" w:cs="宋体"/>
                <w:color w:val="auto"/>
                <w:szCs w:val="21"/>
              </w:rPr>
            </w:pPr>
            <w:r>
              <w:rPr>
                <w:rFonts w:hint="eastAsia" w:ascii="宋体" w:hAnsi="宋体" w:cs="宋体"/>
                <w:color w:val="auto"/>
                <w:spacing w:val="-1"/>
                <w:szCs w:val="21"/>
              </w:rPr>
              <w:t>3</w:t>
            </w:r>
            <w:r>
              <w:rPr>
                <w:rFonts w:hint="eastAsia" w:ascii="宋体" w:hAnsi="宋体" w:cs="宋体"/>
                <w:color w:val="auto"/>
                <w:szCs w:val="21"/>
              </w:rPr>
              <w:t xml:space="preserve">  ……</w:t>
            </w:r>
          </w:p>
          <w:p w14:paraId="368A6D5A">
            <w:pPr>
              <w:spacing w:before="68" w:line="360" w:lineRule="auto"/>
              <w:ind w:left="125"/>
              <w:rPr>
                <w:rFonts w:ascii="宋体" w:hAnsi="宋体" w:cs="宋体"/>
                <w:color w:val="auto"/>
                <w:szCs w:val="21"/>
              </w:rPr>
            </w:pPr>
            <w:r>
              <w:rPr>
                <w:rFonts w:hint="eastAsia" w:ascii="宋体" w:hAnsi="宋体" w:cs="宋体"/>
                <w:color w:val="auto"/>
                <w:spacing w:val="-6"/>
                <w:position w:val="2"/>
                <w:szCs w:val="21"/>
              </w:rPr>
              <w:t>…</w:t>
            </w:r>
            <w:r>
              <w:rPr>
                <w:rFonts w:hint="eastAsia" w:ascii="宋体" w:hAnsi="宋体" w:cs="宋体"/>
                <w:color w:val="auto"/>
                <w:spacing w:val="-5"/>
                <w:position w:val="2"/>
                <w:szCs w:val="21"/>
              </w:rPr>
              <w:t>…</w:t>
            </w:r>
          </w:p>
        </w:tc>
        <w:tc>
          <w:tcPr>
            <w:tcW w:w="665" w:type="pct"/>
            <w:tcBorders>
              <w:top w:val="single" w:color="000000" w:sz="2" w:space="0"/>
              <w:bottom w:val="single" w:color="000000" w:sz="2" w:space="0"/>
            </w:tcBorders>
          </w:tcPr>
          <w:p w14:paraId="3AA72B98">
            <w:pPr>
              <w:spacing w:line="360" w:lineRule="auto"/>
              <w:rPr>
                <w:rFonts w:ascii="宋体" w:hAnsi="宋体" w:cs="宋体"/>
                <w:color w:val="auto"/>
              </w:rPr>
            </w:pPr>
          </w:p>
        </w:tc>
      </w:tr>
    </w:tbl>
    <w:p w14:paraId="6800B1A8">
      <w:pPr>
        <w:spacing w:before="112" w:line="360" w:lineRule="auto"/>
        <w:ind w:left="126"/>
        <w:rPr>
          <w:rFonts w:ascii="宋体" w:hAnsi="宋体" w:cs="宋体"/>
          <w:color w:val="auto"/>
          <w:sz w:val="24"/>
        </w:rPr>
      </w:pPr>
      <w:r>
        <w:rPr>
          <w:rFonts w:hint="eastAsia" w:ascii="宋体" w:hAnsi="宋体" w:cs="宋体"/>
          <w:color w:val="auto"/>
          <w:spacing w:val="-16"/>
          <w:sz w:val="24"/>
        </w:rPr>
        <w:t>注：</w:t>
      </w:r>
    </w:p>
    <w:p w14:paraId="22E4739F">
      <w:pPr>
        <w:spacing w:before="112" w:line="360" w:lineRule="auto"/>
        <w:ind w:left="133" w:right="32" w:firstLine="12"/>
        <w:rPr>
          <w:rFonts w:ascii="宋体" w:hAnsi="宋体" w:cs="宋体"/>
          <w:color w:val="auto"/>
          <w:sz w:val="24"/>
        </w:rPr>
      </w:pPr>
      <w:r>
        <w:rPr>
          <w:rFonts w:hint="eastAsia" w:ascii="宋体" w:hAnsi="宋体" w:cs="宋体"/>
          <w:color w:val="auto"/>
          <w:spacing w:val="4"/>
          <w:sz w:val="24"/>
        </w:rPr>
        <w:t>1.说明：应对照磋商文</w:t>
      </w:r>
      <w:r>
        <w:rPr>
          <w:rFonts w:hint="eastAsia" w:ascii="宋体" w:hAnsi="宋体" w:cs="宋体"/>
          <w:color w:val="auto"/>
          <w:spacing w:val="3"/>
          <w:sz w:val="24"/>
        </w:rPr>
        <w:t>件</w:t>
      </w:r>
      <w:r>
        <w:rPr>
          <w:rFonts w:hint="eastAsia" w:ascii="宋体" w:hAnsi="宋体" w:cs="宋体"/>
          <w:color w:val="auto"/>
          <w:spacing w:val="2"/>
          <w:sz w:val="24"/>
        </w:rPr>
        <w:t>“第二章 采购需求”中的商务条款逐条作出明确响应，</w:t>
      </w:r>
      <w:r>
        <w:rPr>
          <w:rFonts w:hint="eastAsia" w:ascii="宋体" w:hAnsi="宋体" w:cs="宋体"/>
          <w:color w:val="auto"/>
          <w:sz w:val="24"/>
        </w:rPr>
        <w:t xml:space="preserve"> </w:t>
      </w:r>
      <w:r>
        <w:rPr>
          <w:rFonts w:hint="eastAsia" w:ascii="宋体" w:hAnsi="宋体" w:cs="宋体"/>
          <w:color w:val="auto"/>
          <w:spacing w:val="-8"/>
          <w:sz w:val="24"/>
        </w:rPr>
        <w:t>并</w:t>
      </w:r>
      <w:r>
        <w:rPr>
          <w:rFonts w:hint="eastAsia" w:ascii="宋体" w:hAnsi="宋体" w:cs="宋体"/>
          <w:color w:val="auto"/>
          <w:spacing w:val="-6"/>
          <w:sz w:val="24"/>
        </w:rPr>
        <w:t>作</w:t>
      </w:r>
      <w:r>
        <w:rPr>
          <w:rFonts w:hint="eastAsia" w:ascii="宋体" w:hAnsi="宋体" w:cs="宋体"/>
          <w:color w:val="auto"/>
          <w:spacing w:val="-4"/>
          <w:sz w:val="24"/>
        </w:rPr>
        <w:t>出偏离说明。</w:t>
      </w:r>
    </w:p>
    <w:p w14:paraId="0F7182BF">
      <w:pPr>
        <w:spacing w:before="4" w:line="360" w:lineRule="auto"/>
        <w:ind w:left="108" w:right="32" w:firstLine="21"/>
        <w:rPr>
          <w:rFonts w:ascii="宋体" w:hAnsi="宋体" w:cs="宋体"/>
          <w:color w:val="auto"/>
          <w:sz w:val="24"/>
        </w:rPr>
      </w:pPr>
      <w:r>
        <w:rPr>
          <w:rFonts w:hint="eastAsia" w:ascii="宋体" w:hAnsi="宋体" w:cs="宋体"/>
          <w:color w:val="auto"/>
          <w:spacing w:val="13"/>
          <w:sz w:val="24"/>
        </w:rPr>
        <w:t>2</w:t>
      </w:r>
      <w:r>
        <w:rPr>
          <w:rFonts w:hint="eastAsia" w:ascii="宋体" w:hAnsi="宋体" w:cs="宋体"/>
          <w:color w:val="auto"/>
          <w:spacing w:val="8"/>
          <w:sz w:val="24"/>
        </w:rPr>
        <w:t>.供应商应根据自身的承诺，对照磋商文件要求，在“偏离说明”中注明“正偏</w:t>
      </w:r>
      <w:r>
        <w:rPr>
          <w:rFonts w:hint="eastAsia" w:ascii="宋体" w:hAnsi="宋体" w:cs="宋体"/>
          <w:color w:val="auto"/>
          <w:sz w:val="24"/>
        </w:rPr>
        <w:t xml:space="preserve"> </w:t>
      </w:r>
      <w:r>
        <w:rPr>
          <w:rFonts w:hint="eastAsia" w:ascii="宋体" w:hAnsi="宋体" w:cs="宋体"/>
          <w:color w:val="auto"/>
          <w:spacing w:val="4"/>
          <w:sz w:val="24"/>
        </w:rPr>
        <w:t>离”、</w:t>
      </w:r>
      <w:r>
        <w:rPr>
          <w:rFonts w:hint="eastAsia" w:ascii="宋体" w:hAnsi="宋体" w:cs="宋体"/>
          <w:color w:val="auto"/>
          <w:spacing w:val="3"/>
          <w:sz w:val="24"/>
        </w:rPr>
        <w:t>“</w:t>
      </w:r>
      <w:r>
        <w:rPr>
          <w:rFonts w:hint="eastAsia" w:ascii="宋体" w:hAnsi="宋体" w:cs="宋体"/>
          <w:color w:val="auto"/>
          <w:spacing w:val="2"/>
          <w:sz w:val="24"/>
        </w:rPr>
        <w:t>负偏离”或者“无偏离”。既不属于“正偏离”也不属于“负偏离”即为</w:t>
      </w:r>
      <w:r>
        <w:rPr>
          <w:rFonts w:hint="eastAsia" w:ascii="宋体" w:hAnsi="宋体" w:cs="宋体"/>
          <w:color w:val="auto"/>
          <w:sz w:val="24"/>
        </w:rPr>
        <w:t xml:space="preserve"> </w:t>
      </w:r>
      <w:r>
        <w:rPr>
          <w:rFonts w:hint="eastAsia" w:ascii="宋体" w:hAnsi="宋体" w:cs="宋体"/>
          <w:color w:val="auto"/>
          <w:spacing w:val="-6"/>
          <w:sz w:val="24"/>
        </w:rPr>
        <w:t>“无偏离”。  当</w:t>
      </w:r>
      <w:r>
        <w:rPr>
          <w:rFonts w:hint="eastAsia" w:ascii="宋体" w:hAnsi="宋体" w:cs="宋体"/>
          <w:color w:val="auto"/>
          <w:spacing w:val="-5"/>
          <w:sz w:val="24"/>
        </w:rPr>
        <w:t>响</w:t>
      </w:r>
      <w:r>
        <w:rPr>
          <w:rFonts w:hint="eastAsia" w:ascii="宋体" w:hAnsi="宋体" w:cs="宋体"/>
          <w:color w:val="auto"/>
          <w:spacing w:val="-3"/>
          <w:sz w:val="24"/>
        </w:rPr>
        <w:t>应文件的商务内容低于竞争性磋商采购文件要求时，竞标人应当</w:t>
      </w:r>
      <w:r>
        <w:rPr>
          <w:rFonts w:hint="eastAsia" w:ascii="宋体" w:hAnsi="宋体" w:cs="宋体"/>
          <w:color w:val="auto"/>
          <w:sz w:val="24"/>
        </w:rPr>
        <w:t xml:space="preserve"> </w:t>
      </w:r>
      <w:r>
        <w:rPr>
          <w:rFonts w:hint="eastAsia" w:ascii="宋体" w:hAnsi="宋体" w:cs="宋体"/>
          <w:color w:val="auto"/>
          <w:spacing w:val="-6"/>
          <w:sz w:val="24"/>
        </w:rPr>
        <w:t>如实写明“负偏离”， 否则视为虚假应</w:t>
      </w:r>
      <w:r>
        <w:rPr>
          <w:rFonts w:hint="eastAsia" w:ascii="宋体" w:hAnsi="宋体" w:cs="宋体"/>
          <w:color w:val="auto"/>
          <w:spacing w:val="-3"/>
          <w:sz w:val="24"/>
        </w:rPr>
        <w:t>标</w:t>
      </w:r>
    </w:p>
    <w:p w14:paraId="400C1BD9">
      <w:pPr>
        <w:spacing w:before="4" w:line="360" w:lineRule="auto"/>
        <w:ind w:left="126" w:right="32" w:firstLine="5"/>
        <w:rPr>
          <w:rFonts w:ascii="宋体" w:hAnsi="宋体" w:cs="宋体"/>
          <w:color w:val="auto"/>
          <w:sz w:val="24"/>
        </w:rPr>
      </w:pPr>
      <w:r>
        <w:rPr>
          <w:rFonts w:hint="eastAsia" w:ascii="宋体" w:hAnsi="宋体" w:cs="宋体"/>
          <w:color w:val="auto"/>
          <w:spacing w:val="-10"/>
          <w:sz w:val="24"/>
        </w:rPr>
        <w:t>3.表</w:t>
      </w:r>
      <w:r>
        <w:rPr>
          <w:rFonts w:hint="eastAsia" w:ascii="宋体" w:hAnsi="宋体" w:cs="宋体"/>
          <w:color w:val="auto"/>
          <w:spacing w:val="-8"/>
          <w:sz w:val="24"/>
        </w:rPr>
        <w:t>格</w:t>
      </w:r>
      <w:r>
        <w:rPr>
          <w:rFonts w:hint="eastAsia" w:ascii="宋体" w:hAnsi="宋体" w:cs="宋体"/>
          <w:color w:val="auto"/>
          <w:spacing w:val="-5"/>
          <w:sz w:val="24"/>
        </w:rPr>
        <w:t>内容均需按要求填写，不得留空， 否则按竞标无效处理。</w:t>
      </w:r>
      <w:r>
        <w:rPr>
          <w:rFonts w:hint="eastAsia" w:ascii="宋体" w:hAnsi="宋体" w:cs="宋体"/>
          <w:color w:val="auto"/>
          <w:sz w:val="24"/>
        </w:rPr>
        <w:t xml:space="preserve">                 </w:t>
      </w:r>
    </w:p>
    <w:p w14:paraId="1B8FF28B">
      <w:pPr>
        <w:spacing w:before="4" w:line="360" w:lineRule="auto"/>
        <w:ind w:left="126" w:right="32" w:firstLine="5"/>
        <w:rPr>
          <w:rFonts w:ascii="宋体" w:hAnsi="宋体" w:cs="宋体"/>
          <w:color w:val="auto"/>
          <w:sz w:val="24"/>
        </w:rPr>
      </w:pPr>
      <w:r>
        <w:rPr>
          <w:rFonts w:hint="eastAsia" w:ascii="宋体" w:hAnsi="宋体" w:cs="宋体"/>
          <w:color w:val="auto"/>
          <w:spacing w:val="-11"/>
          <w:sz w:val="24"/>
        </w:rPr>
        <w:t>4</w:t>
      </w:r>
      <w:r>
        <w:rPr>
          <w:rFonts w:hint="eastAsia" w:ascii="宋体" w:hAnsi="宋体" w:cs="宋体"/>
          <w:color w:val="auto"/>
          <w:spacing w:val="-10"/>
          <w:sz w:val="24"/>
        </w:rPr>
        <w:t>.如果采购需求为小于、小于等于、 大于或大于等于某个数值标准时， 响应文件承诺</w:t>
      </w:r>
      <w:r>
        <w:rPr>
          <w:rFonts w:hint="eastAsia" w:ascii="宋体" w:hAnsi="宋体" w:cs="宋体"/>
          <w:color w:val="auto"/>
          <w:sz w:val="24"/>
        </w:rPr>
        <w:t xml:space="preserve"> </w:t>
      </w:r>
      <w:r>
        <w:rPr>
          <w:rFonts w:hint="eastAsia" w:ascii="宋体" w:hAnsi="宋体" w:cs="宋体"/>
          <w:color w:val="auto"/>
          <w:spacing w:val="2"/>
          <w:sz w:val="24"/>
        </w:rPr>
        <w:t>不得直接复制采购需求，响应文件承诺内容应当写明竞标</w:t>
      </w:r>
      <w:r>
        <w:rPr>
          <w:rFonts w:hint="eastAsia" w:ascii="宋体" w:hAnsi="宋体" w:cs="宋体"/>
          <w:color w:val="auto"/>
          <w:spacing w:val="1"/>
          <w:sz w:val="24"/>
        </w:rPr>
        <w:t>货物具体参数或商务响应</w:t>
      </w:r>
      <w:r>
        <w:rPr>
          <w:rFonts w:hint="eastAsia" w:ascii="宋体" w:hAnsi="宋体" w:cs="宋体"/>
          <w:color w:val="auto"/>
          <w:sz w:val="24"/>
        </w:rPr>
        <w:t xml:space="preserve"> </w:t>
      </w:r>
      <w:r>
        <w:rPr>
          <w:rFonts w:hint="eastAsia" w:ascii="宋体" w:hAnsi="宋体" w:cs="宋体"/>
          <w:color w:val="auto"/>
          <w:spacing w:val="2"/>
          <w:sz w:val="24"/>
        </w:rPr>
        <w:t>承诺的具体数值，否则按竞标无效处理。如该采购需</w:t>
      </w:r>
      <w:r>
        <w:rPr>
          <w:rFonts w:hint="eastAsia" w:ascii="宋体" w:hAnsi="宋体" w:cs="宋体"/>
          <w:color w:val="auto"/>
          <w:spacing w:val="1"/>
          <w:sz w:val="24"/>
        </w:rPr>
        <w:t>求属于不能明确具体数值的，</w:t>
      </w:r>
      <w:r>
        <w:rPr>
          <w:rFonts w:hint="eastAsia" w:ascii="宋体" w:hAnsi="宋体" w:cs="宋体"/>
          <w:color w:val="auto"/>
          <w:sz w:val="24"/>
        </w:rPr>
        <w:t xml:space="preserve"> </w:t>
      </w:r>
      <w:r>
        <w:rPr>
          <w:rFonts w:hint="eastAsia" w:ascii="宋体" w:hAnsi="宋体" w:cs="宋体"/>
          <w:color w:val="auto"/>
          <w:spacing w:val="2"/>
          <w:sz w:val="24"/>
        </w:rPr>
        <w:t>采购人应在此采购需求的数值后标注◆号，对标注◆号的</w:t>
      </w:r>
      <w:r>
        <w:rPr>
          <w:rFonts w:hint="eastAsia" w:ascii="宋体" w:hAnsi="宋体" w:cs="宋体"/>
          <w:color w:val="auto"/>
          <w:spacing w:val="1"/>
          <w:sz w:val="24"/>
        </w:rPr>
        <w:t>采购需求不适用上述“竞</w:t>
      </w:r>
      <w:r>
        <w:rPr>
          <w:rFonts w:hint="eastAsia" w:ascii="宋体" w:hAnsi="宋体" w:cs="宋体"/>
          <w:color w:val="auto"/>
          <w:spacing w:val="-6"/>
          <w:sz w:val="24"/>
        </w:rPr>
        <w:t>标</w:t>
      </w:r>
      <w:r>
        <w:rPr>
          <w:rFonts w:hint="eastAsia" w:ascii="宋体" w:hAnsi="宋体" w:cs="宋体"/>
          <w:color w:val="auto"/>
          <w:spacing w:val="-5"/>
          <w:sz w:val="24"/>
        </w:rPr>
        <w:t>无效”条款。</w:t>
      </w:r>
    </w:p>
    <w:p w14:paraId="492DDC73">
      <w:pPr>
        <w:spacing w:before="2" w:line="360" w:lineRule="auto"/>
        <w:ind w:left="3962"/>
        <w:rPr>
          <w:rFonts w:ascii="宋体" w:hAnsi="宋体" w:cs="宋体"/>
          <w:color w:val="auto"/>
          <w:sz w:val="24"/>
        </w:rPr>
      </w:pPr>
      <w:r>
        <w:rPr>
          <w:rFonts w:hint="eastAsia" w:ascii="宋体" w:hAnsi="宋体" w:cs="宋体"/>
          <w:color w:val="auto"/>
          <w:spacing w:val="-8"/>
          <w:sz w:val="24"/>
        </w:rPr>
        <w:t>供</w:t>
      </w:r>
      <w:r>
        <w:rPr>
          <w:rFonts w:hint="eastAsia" w:ascii="宋体" w:hAnsi="宋体" w:cs="宋体"/>
          <w:color w:val="auto"/>
          <w:spacing w:val="-7"/>
          <w:sz w:val="24"/>
        </w:rPr>
        <w:t>应</w:t>
      </w:r>
      <w:r>
        <w:rPr>
          <w:rFonts w:hint="eastAsia" w:ascii="宋体" w:hAnsi="宋体" w:cs="宋体"/>
          <w:color w:val="auto"/>
          <w:spacing w:val="-4"/>
          <w:sz w:val="24"/>
        </w:rPr>
        <w:t>商名称( 电子签章 )：</w:t>
      </w:r>
    </w:p>
    <w:p w14:paraId="1B68277A">
      <w:pPr>
        <w:spacing w:before="79" w:line="360" w:lineRule="auto"/>
        <w:ind w:left="6456"/>
        <w:rPr>
          <w:rFonts w:ascii="宋体" w:hAnsi="宋体" w:cs="宋体"/>
          <w:color w:val="auto"/>
          <w:sz w:val="24"/>
        </w:rPr>
      </w:pPr>
      <w:r>
        <w:rPr>
          <w:rFonts w:hint="eastAsia" w:ascii="宋体" w:hAnsi="宋体" w:cs="宋体"/>
          <w:color w:val="auto"/>
          <w:spacing w:val="-16"/>
          <w:sz w:val="24"/>
        </w:rPr>
        <w:t>日</w:t>
      </w:r>
      <w:r>
        <w:rPr>
          <w:rFonts w:hint="eastAsia" w:ascii="宋体" w:hAnsi="宋体" w:cs="宋体"/>
          <w:color w:val="auto"/>
          <w:spacing w:val="-9"/>
          <w:sz w:val="24"/>
        </w:rPr>
        <w:t>期</w:t>
      </w:r>
      <w:r>
        <w:rPr>
          <w:rFonts w:hint="eastAsia" w:ascii="宋体" w:hAnsi="宋体" w:cs="宋体"/>
          <w:color w:val="auto"/>
          <w:spacing w:val="-8"/>
          <w:sz w:val="24"/>
        </w:rPr>
        <w:t>：   年  月   日</w:t>
      </w:r>
    </w:p>
    <w:p w14:paraId="2D094435">
      <w:pPr>
        <w:spacing w:before="78" w:line="360" w:lineRule="auto"/>
        <w:ind w:left="744"/>
        <w:rPr>
          <w:rFonts w:ascii="宋体" w:hAnsi="宋体" w:cs="宋体"/>
          <w:color w:val="auto"/>
          <w:sz w:val="30"/>
          <w:szCs w:val="30"/>
        </w:rPr>
      </w:pPr>
      <w:r>
        <w:rPr>
          <w:rFonts w:ascii="宋体" w:hAnsi="宋体" w:cs="宋体"/>
          <w:color w:val="auto"/>
          <w:spacing w:val="-4"/>
          <w:sz w:val="30"/>
          <w:szCs w:val="30"/>
        </w:rPr>
        <w:br w:type="page"/>
      </w:r>
      <w:r>
        <w:rPr>
          <w:rFonts w:hint="eastAsia" w:ascii="宋体" w:hAnsi="宋体" w:cs="宋体"/>
          <w:color w:val="auto"/>
          <w:spacing w:val="-4"/>
          <w:sz w:val="30"/>
          <w:szCs w:val="30"/>
        </w:rPr>
        <w:t>五、</w:t>
      </w:r>
      <w:r>
        <w:rPr>
          <w:rFonts w:hint="eastAsia" w:ascii="宋体" w:hAnsi="宋体" w:cs="宋体"/>
          <w:color w:val="auto"/>
          <w:spacing w:val="-2"/>
          <w:sz w:val="30"/>
          <w:szCs w:val="30"/>
        </w:rPr>
        <w:t>竞标人情况介绍</w:t>
      </w:r>
    </w:p>
    <w:p w14:paraId="05CD5F9B">
      <w:pPr>
        <w:spacing w:line="360" w:lineRule="auto"/>
        <w:rPr>
          <w:rFonts w:ascii="宋体" w:hAnsi="宋体" w:cs="宋体"/>
          <w:color w:val="auto"/>
        </w:rPr>
      </w:pPr>
    </w:p>
    <w:p w14:paraId="42D200AD">
      <w:pPr>
        <w:spacing w:line="360" w:lineRule="auto"/>
        <w:rPr>
          <w:rFonts w:ascii="宋体" w:hAnsi="宋体" w:cs="宋体"/>
          <w:color w:val="auto"/>
        </w:rPr>
      </w:pPr>
    </w:p>
    <w:p w14:paraId="56AED8C0">
      <w:pPr>
        <w:spacing w:line="360" w:lineRule="auto"/>
        <w:rPr>
          <w:rFonts w:ascii="宋体" w:hAnsi="宋体" w:cs="宋体"/>
          <w:color w:val="auto"/>
        </w:rPr>
      </w:pPr>
    </w:p>
    <w:p w14:paraId="61FC777A">
      <w:pPr>
        <w:spacing w:line="360" w:lineRule="auto"/>
        <w:rPr>
          <w:rFonts w:ascii="宋体" w:hAnsi="宋体" w:cs="宋体"/>
          <w:color w:val="auto"/>
        </w:rPr>
      </w:pPr>
    </w:p>
    <w:p w14:paraId="043BC546">
      <w:pPr>
        <w:spacing w:line="360" w:lineRule="auto"/>
        <w:rPr>
          <w:rFonts w:ascii="宋体" w:hAnsi="宋体" w:cs="宋体"/>
          <w:color w:val="auto"/>
        </w:rPr>
      </w:pPr>
    </w:p>
    <w:p w14:paraId="7528B9A2">
      <w:pPr>
        <w:spacing w:line="360" w:lineRule="auto"/>
        <w:rPr>
          <w:rFonts w:ascii="宋体" w:hAnsi="宋体" w:cs="宋体"/>
          <w:color w:val="auto"/>
        </w:rPr>
      </w:pPr>
    </w:p>
    <w:p w14:paraId="524BE009">
      <w:pPr>
        <w:spacing w:line="360" w:lineRule="auto"/>
        <w:rPr>
          <w:rFonts w:ascii="宋体" w:hAnsi="宋体" w:cs="宋体"/>
          <w:color w:val="auto"/>
        </w:rPr>
      </w:pPr>
    </w:p>
    <w:p w14:paraId="723DE5EE">
      <w:pPr>
        <w:spacing w:line="360" w:lineRule="auto"/>
        <w:rPr>
          <w:rFonts w:ascii="宋体" w:hAnsi="宋体" w:cs="宋体"/>
          <w:color w:val="auto"/>
        </w:rPr>
      </w:pPr>
    </w:p>
    <w:p w14:paraId="04856374">
      <w:pPr>
        <w:spacing w:before="78" w:line="360" w:lineRule="auto"/>
        <w:ind w:left="4218"/>
        <w:rPr>
          <w:rFonts w:ascii="宋体" w:hAnsi="宋体" w:cs="宋体"/>
          <w:color w:val="auto"/>
          <w:sz w:val="24"/>
        </w:rPr>
      </w:pPr>
      <w:r>
        <w:rPr>
          <w:rFonts w:hint="eastAsia" w:ascii="宋体" w:hAnsi="宋体" w:cs="宋体"/>
          <w:color w:val="auto"/>
          <w:spacing w:val="-8"/>
          <w:sz w:val="24"/>
        </w:rPr>
        <w:t>供</w:t>
      </w:r>
      <w:r>
        <w:rPr>
          <w:rFonts w:hint="eastAsia" w:ascii="宋体" w:hAnsi="宋体" w:cs="宋体"/>
          <w:color w:val="auto"/>
          <w:spacing w:val="-7"/>
          <w:sz w:val="24"/>
        </w:rPr>
        <w:t>应</w:t>
      </w:r>
      <w:r>
        <w:rPr>
          <w:rFonts w:hint="eastAsia" w:ascii="宋体" w:hAnsi="宋体" w:cs="宋体"/>
          <w:color w:val="auto"/>
          <w:spacing w:val="-4"/>
          <w:sz w:val="24"/>
        </w:rPr>
        <w:t>商名称( 电子签章 )：</w:t>
      </w:r>
    </w:p>
    <w:p w14:paraId="310F4D34">
      <w:pPr>
        <w:spacing w:line="360" w:lineRule="auto"/>
        <w:rPr>
          <w:rFonts w:ascii="宋体" w:hAnsi="宋体" w:cs="宋体"/>
          <w:color w:val="auto"/>
        </w:rPr>
      </w:pPr>
    </w:p>
    <w:p w14:paraId="51062119">
      <w:pPr>
        <w:spacing w:before="78" w:line="360" w:lineRule="auto"/>
        <w:jc w:val="center"/>
        <w:rPr>
          <w:rFonts w:ascii="宋体" w:hAnsi="宋体" w:cs="宋体"/>
          <w:color w:val="auto"/>
          <w:sz w:val="24"/>
        </w:rPr>
      </w:pPr>
      <w:r>
        <w:rPr>
          <w:rFonts w:hint="eastAsia" w:ascii="宋体" w:hAnsi="宋体" w:cs="宋体"/>
          <w:color w:val="auto"/>
          <w:spacing w:val="-13"/>
          <w:sz w:val="24"/>
        </w:rPr>
        <w:t xml:space="preserve">              日 期 ：     年   </w:t>
      </w:r>
      <w:r>
        <w:rPr>
          <w:rFonts w:hint="eastAsia" w:ascii="宋体" w:hAnsi="宋体" w:cs="宋体"/>
          <w:color w:val="auto"/>
          <w:spacing w:val="-12"/>
          <w:sz w:val="24"/>
        </w:rPr>
        <w:t xml:space="preserve">月    </w:t>
      </w:r>
      <w:r>
        <w:rPr>
          <w:rFonts w:hint="eastAsia" w:ascii="宋体" w:hAnsi="宋体" w:cs="宋体"/>
          <w:color w:val="auto"/>
          <w:sz w:val="24"/>
        </w:rPr>
        <w:t>日</w:t>
      </w:r>
    </w:p>
    <w:p w14:paraId="65ACDA6A">
      <w:pPr>
        <w:pStyle w:val="2"/>
        <w:spacing w:line="360" w:lineRule="auto"/>
        <w:ind w:firstLine="560"/>
        <w:rPr>
          <w:rFonts w:eastAsia="宋体" w:cs="宋体"/>
          <w:color w:val="auto"/>
        </w:rPr>
      </w:pPr>
    </w:p>
    <w:p w14:paraId="64ACFD4B">
      <w:pPr>
        <w:spacing w:before="191" w:line="360" w:lineRule="auto"/>
        <w:ind w:left="742"/>
        <w:rPr>
          <w:rFonts w:ascii="宋体" w:hAnsi="宋体" w:cs="宋体"/>
          <w:color w:val="auto"/>
          <w:sz w:val="30"/>
          <w:szCs w:val="30"/>
        </w:rPr>
      </w:pPr>
      <w:r>
        <w:rPr>
          <w:rFonts w:ascii="宋体" w:hAnsi="宋体" w:cs="宋体"/>
          <w:color w:val="auto"/>
          <w:spacing w:val="-2"/>
          <w:sz w:val="30"/>
          <w:szCs w:val="30"/>
        </w:rPr>
        <w:br w:type="page"/>
      </w:r>
      <w:r>
        <w:rPr>
          <w:rFonts w:hint="eastAsia" w:ascii="宋体" w:hAnsi="宋体" w:cs="宋体"/>
          <w:color w:val="auto"/>
          <w:spacing w:val="-2"/>
          <w:sz w:val="30"/>
          <w:szCs w:val="30"/>
        </w:rPr>
        <w:t>六、供应商类似</w:t>
      </w:r>
      <w:r>
        <w:rPr>
          <w:rFonts w:hint="eastAsia" w:ascii="宋体" w:hAnsi="宋体" w:cs="宋体"/>
          <w:color w:val="auto"/>
          <w:spacing w:val="-1"/>
          <w:sz w:val="30"/>
          <w:szCs w:val="30"/>
        </w:rPr>
        <w:t>的业绩证明文件</w:t>
      </w:r>
    </w:p>
    <w:p w14:paraId="2D4B02AC">
      <w:pPr>
        <w:spacing w:line="360" w:lineRule="auto"/>
        <w:rPr>
          <w:rFonts w:ascii="宋体" w:hAnsi="宋体" w:cs="宋体"/>
          <w:color w:val="auto"/>
        </w:rPr>
      </w:pPr>
    </w:p>
    <w:tbl>
      <w:tblPr>
        <w:tblStyle w:val="26"/>
        <w:tblW w:w="9491" w:type="dxa"/>
        <w:tblInd w:w="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85"/>
        <w:gridCol w:w="1840"/>
        <w:gridCol w:w="1133"/>
        <w:gridCol w:w="1133"/>
        <w:gridCol w:w="1698"/>
        <w:gridCol w:w="1089"/>
        <w:gridCol w:w="1213"/>
      </w:tblGrid>
      <w:tr w14:paraId="644E83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1385" w:type="dxa"/>
            <w:vMerge w:val="restart"/>
            <w:tcBorders>
              <w:top w:val="single" w:color="000000" w:sz="2" w:space="0"/>
              <w:bottom w:val="nil"/>
            </w:tcBorders>
          </w:tcPr>
          <w:p w14:paraId="4C9626C6">
            <w:pPr>
              <w:spacing w:line="360" w:lineRule="auto"/>
              <w:rPr>
                <w:rFonts w:ascii="宋体" w:hAnsi="宋体" w:cs="宋体"/>
                <w:color w:val="auto"/>
              </w:rPr>
            </w:pPr>
          </w:p>
          <w:p w14:paraId="0F3ABAD7">
            <w:pPr>
              <w:spacing w:before="78" w:line="360" w:lineRule="auto"/>
              <w:ind w:left="576" w:right="206" w:hanging="360"/>
              <w:rPr>
                <w:rFonts w:ascii="宋体" w:hAnsi="宋体" w:cs="宋体"/>
                <w:color w:val="auto"/>
                <w:sz w:val="24"/>
              </w:rPr>
            </w:pPr>
            <w:r>
              <w:rPr>
                <w:rFonts w:hint="eastAsia" w:ascii="宋体" w:hAnsi="宋体" w:cs="宋体"/>
                <w:color w:val="auto"/>
                <w:spacing w:val="-3"/>
                <w:sz w:val="24"/>
              </w:rPr>
              <w:t>采</w:t>
            </w:r>
            <w:r>
              <w:rPr>
                <w:rFonts w:hint="eastAsia" w:ascii="宋体" w:hAnsi="宋体" w:cs="宋体"/>
                <w:color w:val="auto"/>
                <w:spacing w:val="-2"/>
                <w:sz w:val="24"/>
              </w:rPr>
              <w:t>购人名</w:t>
            </w:r>
            <w:r>
              <w:rPr>
                <w:rFonts w:hint="eastAsia" w:ascii="宋体" w:hAnsi="宋体" w:cs="宋体"/>
                <w:color w:val="auto"/>
                <w:sz w:val="24"/>
              </w:rPr>
              <w:t xml:space="preserve"> 称</w:t>
            </w:r>
          </w:p>
        </w:tc>
        <w:tc>
          <w:tcPr>
            <w:tcW w:w="1840" w:type="dxa"/>
            <w:vMerge w:val="restart"/>
            <w:tcBorders>
              <w:top w:val="single" w:color="000000" w:sz="2" w:space="0"/>
              <w:bottom w:val="nil"/>
            </w:tcBorders>
          </w:tcPr>
          <w:p w14:paraId="391F1746">
            <w:pPr>
              <w:spacing w:line="360" w:lineRule="auto"/>
              <w:rPr>
                <w:rFonts w:ascii="宋体" w:hAnsi="宋体" w:cs="宋体"/>
                <w:color w:val="auto"/>
              </w:rPr>
            </w:pPr>
          </w:p>
          <w:p w14:paraId="53D34109">
            <w:pPr>
              <w:spacing w:before="78" w:line="360" w:lineRule="auto"/>
              <w:ind w:left="445"/>
              <w:rPr>
                <w:rFonts w:ascii="宋体" w:hAnsi="宋体" w:cs="宋体"/>
                <w:color w:val="auto"/>
                <w:sz w:val="24"/>
              </w:rPr>
            </w:pPr>
            <w:r>
              <w:rPr>
                <w:rFonts w:hint="eastAsia" w:ascii="宋体" w:hAnsi="宋体" w:cs="宋体"/>
                <w:color w:val="auto"/>
                <w:spacing w:val="-2"/>
                <w:sz w:val="24"/>
              </w:rPr>
              <w:t>项目名称</w:t>
            </w:r>
          </w:p>
        </w:tc>
        <w:tc>
          <w:tcPr>
            <w:tcW w:w="1133" w:type="dxa"/>
            <w:vMerge w:val="restart"/>
            <w:tcBorders>
              <w:top w:val="single" w:color="000000" w:sz="2" w:space="0"/>
              <w:bottom w:val="nil"/>
            </w:tcBorders>
          </w:tcPr>
          <w:p w14:paraId="4887BFEF">
            <w:pPr>
              <w:spacing w:before="167" w:line="360" w:lineRule="auto"/>
              <w:ind w:left="333"/>
              <w:rPr>
                <w:rFonts w:ascii="宋体" w:hAnsi="宋体" w:cs="宋体"/>
                <w:color w:val="auto"/>
                <w:sz w:val="24"/>
              </w:rPr>
            </w:pPr>
            <w:r>
              <w:rPr>
                <w:rFonts w:hint="eastAsia" w:ascii="宋体" w:hAnsi="宋体" w:cs="宋体"/>
                <w:color w:val="auto"/>
                <w:spacing w:val="-4"/>
                <w:sz w:val="24"/>
              </w:rPr>
              <w:t>合</w:t>
            </w:r>
            <w:r>
              <w:rPr>
                <w:rFonts w:hint="eastAsia" w:ascii="宋体" w:hAnsi="宋体" w:cs="宋体"/>
                <w:color w:val="auto"/>
                <w:spacing w:val="-2"/>
                <w:sz w:val="24"/>
              </w:rPr>
              <w:t>同</w:t>
            </w:r>
          </w:p>
          <w:p w14:paraId="0EE1E7B2">
            <w:pPr>
              <w:spacing w:line="360" w:lineRule="auto"/>
              <w:ind w:left="334"/>
              <w:rPr>
                <w:rFonts w:ascii="宋体" w:hAnsi="宋体" w:cs="宋体"/>
                <w:color w:val="auto"/>
                <w:sz w:val="24"/>
              </w:rPr>
            </w:pPr>
            <w:r>
              <w:rPr>
                <w:rFonts w:hint="eastAsia" w:ascii="宋体" w:hAnsi="宋体" w:cs="宋体"/>
                <w:color w:val="auto"/>
                <w:spacing w:val="-3"/>
                <w:sz w:val="24"/>
              </w:rPr>
              <w:t>金额</w:t>
            </w:r>
          </w:p>
          <w:p w14:paraId="71C16052">
            <w:pPr>
              <w:spacing w:line="360" w:lineRule="auto"/>
              <w:ind w:left="338"/>
              <w:rPr>
                <w:rFonts w:ascii="宋体" w:hAnsi="宋体" w:cs="宋体"/>
                <w:color w:val="auto"/>
                <w:sz w:val="24"/>
              </w:rPr>
            </w:pPr>
            <w:r>
              <w:rPr>
                <w:rFonts w:hint="eastAsia" w:ascii="宋体" w:hAnsi="宋体" w:cs="宋体"/>
                <w:color w:val="auto"/>
                <w:spacing w:val="52"/>
                <w:sz w:val="24"/>
              </w:rPr>
              <w:t>(万</w:t>
            </w:r>
          </w:p>
          <w:p w14:paraId="0DF9F3D9">
            <w:pPr>
              <w:spacing w:line="360" w:lineRule="auto"/>
              <w:ind w:left="333"/>
              <w:rPr>
                <w:rFonts w:ascii="宋体" w:hAnsi="宋体" w:cs="宋体"/>
                <w:color w:val="auto"/>
                <w:sz w:val="24"/>
              </w:rPr>
            </w:pPr>
            <w:r>
              <w:rPr>
                <w:rFonts w:hint="eastAsia" w:ascii="宋体" w:hAnsi="宋体" w:cs="宋体"/>
                <w:color w:val="auto"/>
                <w:spacing w:val="-6"/>
                <w:sz w:val="24"/>
              </w:rPr>
              <w:t>元</w:t>
            </w:r>
            <w:r>
              <w:rPr>
                <w:rFonts w:hint="eastAsia" w:ascii="宋体" w:hAnsi="宋体" w:cs="宋体"/>
                <w:color w:val="auto"/>
                <w:spacing w:val="-5"/>
                <w:sz w:val="24"/>
              </w:rPr>
              <w:t>)</w:t>
            </w:r>
          </w:p>
        </w:tc>
        <w:tc>
          <w:tcPr>
            <w:tcW w:w="3920" w:type="dxa"/>
            <w:gridSpan w:val="3"/>
            <w:tcBorders>
              <w:top w:val="single" w:color="000000" w:sz="2" w:space="0"/>
              <w:bottom w:val="single" w:color="000000" w:sz="2" w:space="0"/>
            </w:tcBorders>
          </w:tcPr>
          <w:p w14:paraId="55A3A8BC">
            <w:pPr>
              <w:spacing w:before="109" w:line="360" w:lineRule="auto"/>
              <w:ind w:left="880"/>
              <w:rPr>
                <w:rFonts w:ascii="宋体" w:hAnsi="宋体" w:cs="宋体"/>
                <w:color w:val="auto"/>
                <w:sz w:val="24"/>
              </w:rPr>
            </w:pPr>
            <w:r>
              <w:rPr>
                <w:rFonts w:hint="eastAsia" w:ascii="宋体" w:hAnsi="宋体" w:cs="宋体"/>
                <w:color w:val="auto"/>
                <w:spacing w:val="-3"/>
                <w:sz w:val="24"/>
              </w:rPr>
              <w:t>附件在响应文件中页</w:t>
            </w:r>
            <w:r>
              <w:rPr>
                <w:rFonts w:hint="eastAsia" w:ascii="宋体" w:hAnsi="宋体" w:cs="宋体"/>
                <w:color w:val="auto"/>
                <w:spacing w:val="-2"/>
                <w:sz w:val="24"/>
              </w:rPr>
              <w:t>码</w:t>
            </w:r>
          </w:p>
        </w:tc>
        <w:tc>
          <w:tcPr>
            <w:tcW w:w="1213" w:type="dxa"/>
            <w:vMerge w:val="restart"/>
            <w:tcBorders>
              <w:top w:val="single" w:color="000000" w:sz="2" w:space="0"/>
              <w:bottom w:val="nil"/>
            </w:tcBorders>
          </w:tcPr>
          <w:p w14:paraId="352A8F8B">
            <w:pPr>
              <w:spacing w:line="360" w:lineRule="auto"/>
              <w:rPr>
                <w:rFonts w:ascii="宋体" w:hAnsi="宋体" w:cs="宋体"/>
                <w:color w:val="auto"/>
              </w:rPr>
            </w:pPr>
          </w:p>
          <w:p w14:paraId="6464729D">
            <w:pPr>
              <w:spacing w:before="78" w:line="360" w:lineRule="auto"/>
              <w:ind w:left="334" w:right="199" w:hanging="120"/>
              <w:rPr>
                <w:rFonts w:ascii="宋体" w:hAnsi="宋体" w:cs="宋体"/>
                <w:color w:val="auto"/>
                <w:sz w:val="24"/>
              </w:rPr>
            </w:pPr>
            <w:r>
              <w:rPr>
                <w:rFonts w:hint="eastAsia" w:ascii="宋体" w:hAnsi="宋体" w:cs="宋体"/>
                <w:color w:val="auto"/>
                <w:spacing w:val="-2"/>
                <w:sz w:val="24"/>
              </w:rPr>
              <w:t>采购人</w:t>
            </w:r>
            <w:r>
              <w:rPr>
                <w:rFonts w:hint="eastAsia" w:ascii="宋体" w:hAnsi="宋体" w:cs="宋体"/>
                <w:color w:val="auto"/>
                <w:spacing w:val="-1"/>
                <w:sz w:val="24"/>
              </w:rPr>
              <w:t>联系人</w:t>
            </w:r>
            <w:r>
              <w:rPr>
                <w:rFonts w:hint="eastAsia" w:ascii="宋体" w:hAnsi="宋体" w:cs="宋体"/>
                <w:color w:val="auto"/>
                <w:sz w:val="24"/>
              </w:rPr>
              <w:t xml:space="preserve"> </w:t>
            </w:r>
            <w:r>
              <w:rPr>
                <w:rFonts w:hint="eastAsia" w:ascii="宋体" w:hAnsi="宋体" w:cs="宋体"/>
                <w:color w:val="auto"/>
                <w:spacing w:val="-2"/>
                <w:sz w:val="24"/>
              </w:rPr>
              <w:t>及联系电</w:t>
            </w:r>
            <w:r>
              <w:rPr>
                <w:rFonts w:hint="eastAsia" w:ascii="宋体" w:hAnsi="宋体" w:cs="宋体"/>
                <w:color w:val="auto"/>
                <w:spacing w:val="-1"/>
                <w:sz w:val="24"/>
              </w:rPr>
              <w:t>话</w:t>
            </w:r>
          </w:p>
        </w:tc>
      </w:tr>
      <w:tr w14:paraId="3EA0B8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0" w:hRule="atLeast"/>
        </w:trPr>
        <w:tc>
          <w:tcPr>
            <w:tcW w:w="1385" w:type="dxa"/>
            <w:vMerge w:val="continue"/>
            <w:tcBorders>
              <w:top w:val="nil"/>
              <w:bottom w:val="single" w:color="000000" w:sz="2" w:space="0"/>
            </w:tcBorders>
          </w:tcPr>
          <w:p w14:paraId="333EDE33">
            <w:pPr>
              <w:spacing w:line="360" w:lineRule="auto"/>
              <w:rPr>
                <w:rFonts w:ascii="宋体" w:hAnsi="宋体" w:cs="宋体"/>
                <w:color w:val="auto"/>
              </w:rPr>
            </w:pPr>
          </w:p>
        </w:tc>
        <w:tc>
          <w:tcPr>
            <w:tcW w:w="1840" w:type="dxa"/>
            <w:vMerge w:val="continue"/>
            <w:tcBorders>
              <w:top w:val="nil"/>
              <w:bottom w:val="single" w:color="000000" w:sz="2" w:space="0"/>
            </w:tcBorders>
          </w:tcPr>
          <w:p w14:paraId="4C574280">
            <w:pPr>
              <w:spacing w:line="360" w:lineRule="auto"/>
              <w:rPr>
                <w:rFonts w:ascii="宋体" w:hAnsi="宋体" w:cs="宋体"/>
                <w:color w:val="auto"/>
              </w:rPr>
            </w:pPr>
          </w:p>
        </w:tc>
        <w:tc>
          <w:tcPr>
            <w:tcW w:w="1133" w:type="dxa"/>
            <w:vMerge w:val="continue"/>
            <w:tcBorders>
              <w:top w:val="nil"/>
              <w:bottom w:val="single" w:color="000000" w:sz="2" w:space="0"/>
            </w:tcBorders>
          </w:tcPr>
          <w:p w14:paraId="45259798">
            <w:pPr>
              <w:spacing w:line="360" w:lineRule="auto"/>
              <w:rPr>
                <w:rFonts w:ascii="宋体" w:hAnsi="宋体" w:cs="宋体"/>
                <w:color w:val="auto"/>
              </w:rPr>
            </w:pPr>
          </w:p>
        </w:tc>
        <w:tc>
          <w:tcPr>
            <w:tcW w:w="1133" w:type="dxa"/>
            <w:tcBorders>
              <w:top w:val="single" w:color="000000" w:sz="2" w:space="0"/>
              <w:bottom w:val="single" w:color="000000" w:sz="2" w:space="0"/>
            </w:tcBorders>
          </w:tcPr>
          <w:p w14:paraId="5C9FEE4B">
            <w:pPr>
              <w:spacing w:before="277" w:line="360" w:lineRule="auto"/>
              <w:ind w:left="334"/>
              <w:rPr>
                <w:rFonts w:ascii="宋体" w:hAnsi="宋体" w:cs="宋体"/>
                <w:color w:val="auto"/>
                <w:sz w:val="24"/>
              </w:rPr>
            </w:pPr>
            <w:r>
              <w:rPr>
                <w:rFonts w:hint="eastAsia" w:ascii="宋体" w:hAnsi="宋体" w:cs="宋体"/>
                <w:color w:val="auto"/>
                <w:spacing w:val="-4"/>
                <w:sz w:val="24"/>
              </w:rPr>
              <w:t>合</w:t>
            </w:r>
            <w:r>
              <w:rPr>
                <w:rFonts w:hint="eastAsia" w:ascii="宋体" w:hAnsi="宋体" w:cs="宋体"/>
                <w:color w:val="auto"/>
                <w:spacing w:val="-2"/>
                <w:sz w:val="24"/>
              </w:rPr>
              <w:t>同</w:t>
            </w:r>
          </w:p>
        </w:tc>
        <w:tc>
          <w:tcPr>
            <w:tcW w:w="1698" w:type="dxa"/>
            <w:tcBorders>
              <w:top w:val="single" w:color="000000" w:sz="2" w:space="0"/>
              <w:bottom w:val="single" w:color="000000" w:sz="2" w:space="0"/>
            </w:tcBorders>
          </w:tcPr>
          <w:p w14:paraId="360DCBAE">
            <w:pPr>
              <w:spacing w:before="277" w:line="360" w:lineRule="auto"/>
              <w:ind w:left="375"/>
              <w:rPr>
                <w:rFonts w:ascii="宋体" w:hAnsi="宋体" w:cs="宋体"/>
                <w:color w:val="auto"/>
                <w:sz w:val="24"/>
              </w:rPr>
            </w:pPr>
            <w:r>
              <w:rPr>
                <w:rFonts w:hint="eastAsia" w:ascii="宋体" w:hAnsi="宋体" w:cs="宋体"/>
                <w:color w:val="auto"/>
                <w:spacing w:val="-3"/>
                <w:sz w:val="24"/>
              </w:rPr>
              <w:t>验</w:t>
            </w:r>
            <w:r>
              <w:rPr>
                <w:rFonts w:hint="eastAsia" w:ascii="宋体" w:hAnsi="宋体" w:cs="宋体"/>
                <w:color w:val="auto"/>
                <w:spacing w:val="-2"/>
                <w:sz w:val="24"/>
              </w:rPr>
              <w:t>收报告</w:t>
            </w:r>
          </w:p>
        </w:tc>
        <w:tc>
          <w:tcPr>
            <w:tcW w:w="1089" w:type="dxa"/>
            <w:tcBorders>
              <w:top w:val="single" w:color="000000" w:sz="2" w:space="0"/>
              <w:bottom w:val="single" w:color="000000" w:sz="2" w:space="0"/>
            </w:tcBorders>
          </w:tcPr>
          <w:p w14:paraId="186D3F99">
            <w:pPr>
              <w:spacing w:before="277" w:line="360" w:lineRule="auto"/>
              <w:ind w:left="166"/>
              <w:rPr>
                <w:rFonts w:ascii="宋体" w:hAnsi="宋体" w:cs="宋体"/>
                <w:color w:val="auto"/>
                <w:sz w:val="24"/>
              </w:rPr>
            </w:pPr>
            <w:r>
              <w:rPr>
                <w:rFonts w:hint="eastAsia" w:ascii="宋体" w:hAnsi="宋体" w:cs="宋体"/>
                <w:color w:val="auto"/>
                <w:spacing w:val="-4"/>
                <w:sz w:val="24"/>
              </w:rPr>
              <w:t>用</w:t>
            </w:r>
            <w:r>
              <w:rPr>
                <w:rFonts w:hint="eastAsia" w:ascii="宋体" w:hAnsi="宋体" w:cs="宋体"/>
                <w:color w:val="auto"/>
                <w:spacing w:val="-2"/>
                <w:sz w:val="24"/>
              </w:rPr>
              <w:t>户评价</w:t>
            </w:r>
          </w:p>
        </w:tc>
        <w:tc>
          <w:tcPr>
            <w:tcW w:w="1213" w:type="dxa"/>
            <w:vMerge w:val="continue"/>
            <w:tcBorders>
              <w:top w:val="nil"/>
              <w:bottom w:val="single" w:color="000000" w:sz="2" w:space="0"/>
            </w:tcBorders>
          </w:tcPr>
          <w:p w14:paraId="62348EFC">
            <w:pPr>
              <w:spacing w:line="360" w:lineRule="auto"/>
              <w:rPr>
                <w:rFonts w:ascii="宋体" w:hAnsi="宋体" w:cs="宋体"/>
                <w:color w:val="auto"/>
              </w:rPr>
            </w:pPr>
          </w:p>
        </w:tc>
      </w:tr>
      <w:tr w14:paraId="08ECCA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2" w:hRule="atLeast"/>
        </w:trPr>
        <w:tc>
          <w:tcPr>
            <w:tcW w:w="1385" w:type="dxa"/>
            <w:tcBorders>
              <w:top w:val="single" w:color="000000" w:sz="2" w:space="0"/>
              <w:bottom w:val="single" w:color="000000" w:sz="2" w:space="0"/>
            </w:tcBorders>
          </w:tcPr>
          <w:p w14:paraId="19E555BB">
            <w:pPr>
              <w:spacing w:line="360" w:lineRule="auto"/>
              <w:rPr>
                <w:rFonts w:ascii="宋体" w:hAnsi="宋体" w:cs="宋体"/>
                <w:color w:val="auto"/>
              </w:rPr>
            </w:pPr>
          </w:p>
        </w:tc>
        <w:tc>
          <w:tcPr>
            <w:tcW w:w="1840" w:type="dxa"/>
            <w:tcBorders>
              <w:top w:val="single" w:color="000000" w:sz="2" w:space="0"/>
              <w:bottom w:val="single" w:color="000000" w:sz="2" w:space="0"/>
            </w:tcBorders>
          </w:tcPr>
          <w:p w14:paraId="1381B592">
            <w:pPr>
              <w:spacing w:line="360" w:lineRule="auto"/>
              <w:rPr>
                <w:rFonts w:ascii="宋体" w:hAnsi="宋体" w:cs="宋体"/>
                <w:color w:val="auto"/>
              </w:rPr>
            </w:pPr>
          </w:p>
        </w:tc>
        <w:tc>
          <w:tcPr>
            <w:tcW w:w="1133" w:type="dxa"/>
            <w:tcBorders>
              <w:top w:val="single" w:color="000000" w:sz="2" w:space="0"/>
              <w:bottom w:val="single" w:color="000000" w:sz="2" w:space="0"/>
            </w:tcBorders>
          </w:tcPr>
          <w:p w14:paraId="03D02664">
            <w:pPr>
              <w:spacing w:line="360" w:lineRule="auto"/>
              <w:rPr>
                <w:rFonts w:ascii="宋体" w:hAnsi="宋体" w:cs="宋体"/>
                <w:color w:val="auto"/>
              </w:rPr>
            </w:pPr>
          </w:p>
        </w:tc>
        <w:tc>
          <w:tcPr>
            <w:tcW w:w="1133" w:type="dxa"/>
            <w:tcBorders>
              <w:top w:val="single" w:color="000000" w:sz="2" w:space="0"/>
              <w:bottom w:val="single" w:color="000000" w:sz="2" w:space="0"/>
            </w:tcBorders>
          </w:tcPr>
          <w:p w14:paraId="72899830">
            <w:pPr>
              <w:spacing w:line="360" w:lineRule="auto"/>
              <w:rPr>
                <w:rFonts w:ascii="宋体" w:hAnsi="宋体" w:cs="宋体"/>
                <w:color w:val="auto"/>
              </w:rPr>
            </w:pPr>
          </w:p>
        </w:tc>
        <w:tc>
          <w:tcPr>
            <w:tcW w:w="1698" w:type="dxa"/>
            <w:tcBorders>
              <w:top w:val="single" w:color="000000" w:sz="2" w:space="0"/>
              <w:bottom w:val="single" w:color="000000" w:sz="2" w:space="0"/>
            </w:tcBorders>
          </w:tcPr>
          <w:p w14:paraId="16DE3DBF">
            <w:pPr>
              <w:spacing w:line="360" w:lineRule="auto"/>
              <w:rPr>
                <w:rFonts w:ascii="宋体" w:hAnsi="宋体" w:cs="宋体"/>
                <w:color w:val="auto"/>
              </w:rPr>
            </w:pPr>
          </w:p>
        </w:tc>
        <w:tc>
          <w:tcPr>
            <w:tcW w:w="1089" w:type="dxa"/>
            <w:tcBorders>
              <w:top w:val="single" w:color="000000" w:sz="2" w:space="0"/>
              <w:bottom w:val="single" w:color="000000" w:sz="2" w:space="0"/>
            </w:tcBorders>
          </w:tcPr>
          <w:p w14:paraId="421B3E37">
            <w:pPr>
              <w:spacing w:line="360" w:lineRule="auto"/>
              <w:rPr>
                <w:rFonts w:ascii="宋体" w:hAnsi="宋体" w:cs="宋体"/>
                <w:color w:val="auto"/>
              </w:rPr>
            </w:pPr>
          </w:p>
        </w:tc>
        <w:tc>
          <w:tcPr>
            <w:tcW w:w="1213" w:type="dxa"/>
            <w:tcBorders>
              <w:top w:val="single" w:color="000000" w:sz="2" w:space="0"/>
              <w:bottom w:val="single" w:color="000000" w:sz="2" w:space="0"/>
            </w:tcBorders>
          </w:tcPr>
          <w:p w14:paraId="4A439D8C">
            <w:pPr>
              <w:spacing w:line="360" w:lineRule="auto"/>
              <w:rPr>
                <w:rFonts w:ascii="宋体" w:hAnsi="宋体" w:cs="宋体"/>
                <w:color w:val="auto"/>
              </w:rPr>
            </w:pPr>
          </w:p>
        </w:tc>
      </w:tr>
      <w:tr w14:paraId="147A29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4" w:hRule="atLeast"/>
        </w:trPr>
        <w:tc>
          <w:tcPr>
            <w:tcW w:w="1385" w:type="dxa"/>
            <w:tcBorders>
              <w:top w:val="single" w:color="000000" w:sz="2" w:space="0"/>
              <w:bottom w:val="single" w:color="000000" w:sz="2" w:space="0"/>
            </w:tcBorders>
          </w:tcPr>
          <w:p w14:paraId="3A0AFE17">
            <w:pPr>
              <w:spacing w:line="360" w:lineRule="auto"/>
              <w:rPr>
                <w:rFonts w:ascii="宋体" w:hAnsi="宋体" w:cs="宋体"/>
                <w:color w:val="auto"/>
              </w:rPr>
            </w:pPr>
          </w:p>
        </w:tc>
        <w:tc>
          <w:tcPr>
            <w:tcW w:w="1840" w:type="dxa"/>
            <w:tcBorders>
              <w:top w:val="single" w:color="000000" w:sz="2" w:space="0"/>
              <w:bottom w:val="single" w:color="000000" w:sz="2" w:space="0"/>
            </w:tcBorders>
          </w:tcPr>
          <w:p w14:paraId="7AAE6BFB">
            <w:pPr>
              <w:spacing w:line="360" w:lineRule="auto"/>
              <w:rPr>
                <w:rFonts w:ascii="宋体" w:hAnsi="宋体" w:cs="宋体"/>
                <w:color w:val="auto"/>
              </w:rPr>
            </w:pPr>
          </w:p>
        </w:tc>
        <w:tc>
          <w:tcPr>
            <w:tcW w:w="1133" w:type="dxa"/>
            <w:tcBorders>
              <w:top w:val="single" w:color="000000" w:sz="2" w:space="0"/>
              <w:bottom w:val="single" w:color="000000" w:sz="2" w:space="0"/>
            </w:tcBorders>
          </w:tcPr>
          <w:p w14:paraId="565FFD37">
            <w:pPr>
              <w:spacing w:line="360" w:lineRule="auto"/>
              <w:rPr>
                <w:rFonts w:ascii="宋体" w:hAnsi="宋体" w:cs="宋体"/>
                <w:color w:val="auto"/>
              </w:rPr>
            </w:pPr>
          </w:p>
        </w:tc>
        <w:tc>
          <w:tcPr>
            <w:tcW w:w="1133" w:type="dxa"/>
            <w:tcBorders>
              <w:top w:val="single" w:color="000000" w:sz="2" w:space="0"/>
              <w:bottom w:val="single" w:color="000000" w:sz="2" w:space="0"/>
            </w:tcBorders>
          </w:tcPr>
          <w:p w14:paraId="04A41741">
            <w:pPr>
              <w:spacing w:line="360" w:lineRule="auto"/>
              <w:rPr>
                <w:rFonts w:ascii="宋体" w:hAnsi="宋体" w:cs="宋体"/>
                <w:color w:val="auto"/>
              </w:rPr>
            </w:pPr>
          </w:p>
        </w:tc>
        <w:tc>
          <w:tcPr>
            <w:tcW w:w="1698" w:type="dxa"/>
            <w:tcBorders>
              <w:top w:val="single" w:color="000000" w:sz="2" w:space="0"/>
              <w:bottom w:val="single" w:color="000000" w:sz="2" w:space="0"/>
            </w:tcBorders>
          </w:tcPr>
          <w:p w14:paraId="0AE2E459">
            <w:pPr>
              <w:spacing w:line="360" w:lineRule="auto"/>
              <w:rPr>
                <w:rFonts w:ascii="宋体" w:hAnsi="宋体" w:cs="宋体"/>
                <w:color w:val="auto"/>
              </w:rPr>
            </w:pPr>
          </w:p>
        </w:tc>
        <w:tc>
          <w:tcPr>
            <w:tcW w:w="1089" w:type="dxa"/>
            <w:tcBorders>
              <w:top w:val="single" w:color="000000" w:sz="2" w:space="0"/>
              <w:bottom w:val="single" w:color="000000" w:sz="2" w:space="0"/>
            </w:tcBorders>
          </w:tcPr>
          <w:p w14:paraId="39EBF644">
            <w:pPr>
              <w:spacing w:line="360" w:lineRule="auto"/>
              <w:rPr>
                <w:rFonts w:ascii="宋体" w:hAnsi="宋体" w:cs="宋体"/>
                <w:color w:val="auto"/>
              </w:rPr>
            </w:pPr>
          </w:p>
        </w:tc>
        <w:tc>
          <w:tcPr>
            <w:tcW w:w="1213" w:type="dxa"/>
            <w:tcBorders>
              <w:top w:val="single" w:color="000000" w:sz="2" w:space="0"/>
              <w:bottom w:val="single" w:color="000000" w:sz="2" w:space="0"/>
            </w:tcBorders>
          </w:tcPr>
          <w:p w14:paraId="336DFF3D">
            <w:pPr>
              <w:spacing w:line="360" w:lineRule="auto"/>
              <w:rPr>
                <w:rFonts w:ascii="宋体" w:hAnsi="宋体" w:cs="宋体"/>
                <w:color w:val="auto"/>
              </w:rPr>
            </w:pPr>
          </w:p>
        </w:tc>
      </w:tr>
      <w:tr w14:paraId="1F219D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4" w:hRule="atLeast"/>
        </w:trPr>
        <w:tc>
          <w:tcPr>
            <w:tcW w:w="1385" w:type="dxa"/>
            <w:tcBorders>
              <w:top w:val="single" w:color="000000" w:sz="2" w:space="0"/>
              <w:bottom w:val="single" w:color="000000" w:sz="2" w:space="0"/>
            </w:tcBorders>
          </w:tcPr>
          <w:p w14:paraId="76C3026C">
            <w:pPr>
              <w:spacing w:line="360" w:lineRule="auto"/>
              <w:rPr>
                <w:rFonts w:ascii="宋体" w:hAnsi="宋体" w:cs="宋体"/>
                <w:color w:val="auto"/>
              </w:rPr>
            </w:pPr>
          </w:p>
        </w:tc>
        <w:tc>
          <w:tcPr>
            <w:tcW w:w="1840" w:type="dxa"/>
            <w:tcBorders>
              <w:top w:val="single" w:color="000000" w:sz="2" w:space="0"/>
              <w:bottom w:val="single" w:color="000000" w:sz="2" w:space="0"/>
            </w:tcBorders>
          </w:tcPr>
          <w:p w14:paraId="0E9A3A74">
            <w:pPr>
              <w:spacing w:line="360" w:lineRule="auto"/>
              <w:rPr>
                <w:rFonts w:ascii="宋体" w:hAnsi="宋体" w:cs="宋体"/>
                <w:color w:val="auto"/>
              </w:rPr>
            </w:pPr>
          </w:p>
        </w:tc>
        <w:tc>
          <w:tcPr>
            <w:tcW w:w="1133" w:type="dxa"/>
            <w:tcBorders>
              <w:top w:val="single" w:color="000000" w:sz="2" w:space="0"/>
              <w:bottom w:val="single" w:color="000000" w:sz="2" w:space="0"/>
            </w:tcBorders>
          </w:tcPr>
          <w:p w14:paraId="21DB8B3C">
            <w:pPr>
              <w:spacing w:line="360" w:lineRule="auto"/>
              <w:rPr>
                <w:rFonts w:ascii="宋体" w:hAnsi="宋体" w:cs="宋体"/>
                <w:color w:val="auto"/>
              </w:rPr>
            </w:pPr>
          </w:p>
        </w:tc>
        <w:tc>
          <w:tcPr>
            <w:tcW w:w="1133" w:type="dxa"/>
            <w:tcBorders>
              <w:top w:val="single" w:color="000000" w:sz="2" w:space="0"/>
              <w:bottom w:val="single" w:color="000000" w:sz="2" w:space="0"/>
            </w:tcBorders>
          </w:tcPr>
          <w:p w14:paraId="5001FFE8">
            <w:pPr>
              <w:spacing w:line="360" w:lineRule="auto"/>
              <w:rPr>
                <w:rFonts w:ascii="宋体" w:hAnsi="宋体" w:cs="宋体"/>
                <w:color w:val="auto"/>
              </w:rPr>
            </w:pPr>
          </w:p>
        </w:tc>
        <w:tc>
          <w:tcPr>
            <w:tcW w:w="1698" w:type="dxa"/>
            <w:tcBorders>
              <w:top w:val="single" w:color="000000" w:sz="2" w:space="0"/>
              <w:bottom w:val="single" w:color="000000" w:sz="2" w:space="0"/>
            </w:tcBorders>
          </w:tcPr>
          <w:p w14:paraId="2C3BDF2B">
            <w:pPr>
              <w:spacing w:line="360" w:lineRule="auto"/>
              <w:rPr>
                <w:rFonts w:ascii="宋体" w:hAnsi="宋体" w:cs="宋体"/>
                <w:color w:val="auto"/>
              </w:rPr>
            </w:pPr>
          </w:p>
        </w:tc>
        <w:tc>
          <w:tcPr>
            <w:tcW w:w="1089" w:type="dxa"/>
            <w:tcBorders>
              <w:top w:val="single" w:color="000000" w:sz="2" w:space="0"/>
              <w:bottom w:val="single" w:color="000000" w:sz="2" w:space="0"/>
            </w:tcBorders>
          </w:tcPr>
          <w:p w14:paraId="59D6C113">
            <w:pPr>
              <w:spacing w:line="360" w:lineRule="auto"/>
              <w:rPr>
                <w:rFonts w:ascii="宋体" w:hAnsi="宋体" w:cs="宋体"/>
                <w:color w:val="auto"/>
              </w:rPr>
            </w:pPr>
          </w:p>
        </w:tc>
        <w:tc>
          <w:tcPr>
            <w:tcW w:w="1213" w:type="dxa"/>
            <w:tcBorders>
              <w:top w:val="single" w:color="000000" w:sz="2" w:space="0"/>
              <w:bottom w:val="single" w:color="000000" w:sz="2" w:space="0"/>
            </w:tcBorders>
          </w:tcPr>
          <w:p w14:paraId="4691CFB3">
            <w:pPr>
              <w:spacing w:line="360" w:lineRule="auto"/>
              <w:rPr>
                <w:rFonts w:ascii="宋体" w:hAnsi="宋体" w:cs="宋体"/>
                <w:color w:val="auto"/>
              </w:rPr>
            </w:pPr>
          </w:p>
        </w:tc>
      </w:tr>
      <w:tr w14:paraId="31FC27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4" w:hRule="atLeast"/>
        </w:trPr>
        <w:tc>
          <w:tcPr>
            <w:tcW w:w="1385" w:type="dxa"/>
            <w:tcBorders>
              <w:top w:val="single" w:color="000000" w:sz="2" w:space="0"/>
              <w:bottom w:val="single" w:color="000000" w:sz="2" w:space="0"/>
            </w:tcBorders>
          </w:tcPr>
          <w:p w14:paraId="43E1E1B4">
            <w:pPr>
              <w:spacing w:line="360" w:lineRule="auto"/>
              <w:rPr>
                <w:rFonts w:ascii="宋体" w:hAnsi="宋体" w:cs="宋体"/>
                <w:color w:val="auto"/>
              </w:rPr>
            </w:pPr>
          </w:p>
        </w:tc>
        <w:tc>
          <w:tcPr>
            <w:tcW w:w="1840" w:type="dxa"/>
            <w:tcBorders>
              <w:top w:val="single" w:color="000000" w:sz="2" w:space="0"/>
              <w:bottom w:val="single" w:color="000000" w:sz="2" w:space="0"/>
            </w:tcBorders>
          </w:tcPr>
          <w:p w14:paraId="1B124AD7">
            <w:pPr>
              <w:spacing w:line="360" w:lineRule="auto"/>
              <w:rPr>
                <w:rFonts w:ascii="宋体" w:hAnsi="宋体" w:cs="宋体"/>
                <w:color w:val="auto"/>
              </w:rPr>
            </w:pPr>
          </w:p>
        </w:tc>
        <w:tc>
          <w:tcPr>
            <w:tcW w:w="1133" w:type="dxa"/>
            <w:tcBorders>
              <w:top w:val="single" w:color="000000" w:sz="2" w:space="0"/>
              <w:bottom w:val="single" w:color="000000" w:sz="2" w:space="0"/>
            </w:tcBorders>
          </w:tcPr>
          <w:p w14:paraId="0E3FF3B2">
            <w:pPr>
              <w:spacing w:line="360" w:lineRule="auto"/>
              <w:rPr>
                <w:rFonts w:ascii="宋体" w:hAnsi="宋体" w:cs="宋体"/>
                <w:color w:val="auto"/>
              </w:rPr>
            </w:pPr>
          </w:p>
        </w:tc>
        <w:tc>
          <w:tcPr>
            <w:tcW w:w="1133" w:type="dxa"/>
            <w:tcBorders>
              <w:top w:val="single" w:color="000000" w:sz="2" w:space="0"/>
              <w:bottom w:val="single" w:color="000000" w:sz="2" w:space="0"/>
            </w:tcBorders>
          </w:tcPr>
          <w:p w14:paraId="2A5D85D3">
            <w:pPr>
              <w:spacing w:line="360" w:lineRule="auto"/>
              <w:rPr>
                <w:rFonts w:ascii="宋体" w:hAnsi="宋体" w:cs="宋体"/>
                <w:color w:val="auto"/>
              </w:rPr>
            </w:pPr>
          </w:p>
        </w:tc>
        <w:tc>
          <w:tcPr>
            <w:tcW w:w="1698" w:type="dxa"/>
            <w:tcBorders>
              <w:top w:val="single" w:color="000000" w:sz="2" w:space="0"/>
              <w:bottom w:val="single" w:color="000000" w:sz="2" w:space="0"/>
            </w:tcBorders>
          </w:tcPr>
          <w:p w14:paraId="3F8A6701">
            <w:pPr>
              <w:spacing w:line="360" w:lineRule="auto"/>
              <w:rPr>
                <w:rFonts w:ascii="宋体" w:hAnsi="宋体" w:cs="宋体"/>
                <w:color w:val="auto"/>
              </w:rPr>
            </w:pPr>
          </w:p>
        </w:tc>
        <w:tc>
          <w:tcPr>
            <w:tcW w:w="1089" w:type="dxa"/>
            <w:tcBorders>
              <w:top w:val="single" w:color="000000" w:sz="2" w:space="0"/>
              <w:bottom w:val="single" w:color="000000" w:sz="2" w:space="0"/>
            </w:tcBorders>
          </w:tcPr>
          <w:p w14:paraId="2E78FE97">
            <w:pPr>
              <w:spacing w:line="360" w:lineRule="auto"/>
              <w:rPr>
                <w:rFonts w:ascii="宋体" w:hAnsi="宋体" w:cs="宋体"/>
                <w:color w:val="auto"/>
              </w:rPr>
            </w:pPr>
          </w:p>
        </w:tc>
        <w:tc>
          <w:tcPr>
            <w:tcW w:w="1213" w:type="dxa"/>
            <w:tcBorders>
              <w:top w:val="single" w:color="000000" w:sz="2" w:space="0"/>
              <w:bottom w:val="single" w:color="000000" w:sz="2" w:space="0"/>
            </w:tcBorders>
          </w:tcPr>
          <w:p w14:paraId="19E19312">
            <w:pPr>
              <w:spacing w:line="360" w:lineRule="auto"/>
              <w:rPr>
                <w:rFonts w:ascii="宋体" w:hAnsi="宋体" w:cs="宋体"/>
                <w:color w:val="auto"/>
              </w:rPr>
            </w:pPr>
          </w:p>
        </w:tc>
      </w:tr>
      <w:tr w14:paraId="25AF70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trPr>
        <w:tc>
          <w:tcPr>
            <w:tcW w:w="1385" w:type="dxa"/>
            <w:tcBorders>
              <w:top w:val="single" w:color="000000" w:sz="2" w:space="0"/>
              <w:bottom w:val="single" w:color="000000" w:sz="2" w:space="0"/>
            </w:tcBorders>
          </w:tcPr>
          <w:p w14:paraId="1934128A">
            <w:pPr>
              <w:spacing w:line="360" w:lineRule="auto"/>
              <w:rPr>
                <w:rFonts w:ascii="宋体" w:hAnsi="宋体" w:cs="宋体"/>
                <w:color w:val="auto"/>
              </w:rPr>
            </w:pPr>
          </w:p>
        </w:tc>
        <w:tc>
          <w:tcPr>
            <w:tcW w:w="1840" w:type="dxa"/>
            <w:tcBorders>
              <w:top w:val="single" w:color="000000" w:sz="2" w:space="0"/>
              <w:bottom w:val="single" w:color="000000" w:sz="2" w:space="0"/>
            </w:tcBorders>
          </w:tcPr>
          <w:p w14:paraId="466DCC97">
            <w:pPr>
              <w:spacing w:line="360" w:lineRule="auto"/>
              <w:rPr>
                <w:rFonts w:ascii="宋体" w:hAnsi="宋体" w:cs="宋体"/>
                <w:color w:val="auto"/>
              </w:rPr>
            </w:pPr>
          </w:p>
        </w:tc>
        <w:tc>
          <w:tcPr>
            <w:tcW w:w="1133" w:type="dxa"/>
            <w:tcBorders>
              <w:top w:val="single" w:color="000000" w:sz="2" w:space="0"/>
              <w:bottom w:val="single" w:color="000000" w:sz="2" w:space="0"/>
            </w:tcBorders>
          </w:tcPr>
          <w:p w14:paraId="13BDCADF">
            <w:pPr>
              <w:spacing w:line="360" w:lineRule="auto"/>
              <w:rPr>
                <w:rFonts w:ascii="宋体" w:hAnsi="宋体" w:cs="宋体"/>
                <w:color w:val="auto"/>
              </w:rPr>
            </w:pPr>
          </w:p>
        </w:tc>
        <w:tc>
          <w:tcPr>
            <w:tcW w:w="1133" w:type="dxa"/>
            <w:tcBorders>
              <w:top w:val="single" w:color="000000" w:sz="2" w:space="0"/>
              <w:bottom w:val="single" w:color="000000" w:sz="2" w:space="0"/>
            </w:tcBorders>
          </w:tcPr>
          <w:p w14:paraId="2A051AD6">
            <w:pPr>
              <w:spacing w:line="360" w:lineRule="auto"/>
              <w:rPr>
                <w:rFonts w:ascii="宋体" w:hAnsi="宋体" w:cs="宋体"/>
                <w:color w:val="auto"/>
              </w:rPr>
            </w:pPr>
          </w:p>
        </w:tc>
        <w:tc>
          <w:tcPr>
            <w:tcW w:w="1698" w:type="dxa"/>
            <w:tcBorders>
              <w:top w:val="single" w:color="000000" w:sz="2" w:space="0"/>
              <w:bottom w:val="single" w:color="000000" w:sz="2" w:space="0"/>
            </w:tcBorders>
          </w:tcPr>
          <w:p w14:paraId="2A057CF5">
            <w:pPr>
              <w:spacing w:line="360" w:lineRule="auto"/>
              <w:rPr>
                <w:rFonts w:ascii="宋体" w:hAnsi="宋体" w:cs="宋体"/>
                <w:color w:val="auto"/>
              </w:rPr>
            </w:pPr>
          </w:p>
        </w:tc>
        <w:tc>
          <w:tcPr>
            <w:tcW w:w="1089" w:type="dxa"/>
            <w:tcBorders>
              <w:top w:val="single" w:color="000000" w:sz="2" w:space="0"/>
              <w:bottom w:val="single" w:color="000000" w:sz="2" w:space="0"/>
            </w:tcBorders>
          </w:tcPr>
          <w:p w14:paraId="070DC045">
            <w:pPr>
              <w:spacing w:line="360" w:lineRule="auto"/>
              <w:rPr>
                <w:rFonts w:ascii="宋体" w:hAnsi="宋体" w:cs="宋体"/>
                <w:color w:val="auto"/>
              </w:rPr>
            </w:pPr>
          </w:p>
        </w:tc>
        <w:tc>
          <w:tcPr>
            <w:tcW w:w="1213" w:type="dxa"/>
            <w:tcBorders>
              <w:top w:val="single" w:color="000000" w:sz="2" w:space="0"/>
              <w:bottom w:val="single" w:color="000000" w:sz="2" w:space="0"/>
            </w:tcBorders>
          </w:tcPr>
          <w:p w14:paraId="0907159F">
            <w:pPr>
              <w:spacing w:line="360" w:lineRule="auto"/>
              <w:rPr>
                <w:rFonts w:ascii="宋体" w:hAnsi="宋体" w:cs="宋体"/>
                <w:color w:val="auto"/>
              </w:rPr>
            </w:pPr>
          </w:p>
        </w:tc>
      </w:tr>
    </w:tbl>
    <w:p w14:paraId="1F1B6E6E">
      <w:pPr>
        <w:spacing w:line="360" w:lineRule="auto"/>
        <w:rPr>
          <w:rFonts w:ascii="宋体" w:hAnsi="宋体" w:cs="宋体"/>
          <w:color w:val="auto"/>
        </w:rPr>
      </w:pPr>
    </w:p>
    <w:p w14:paraId="347AD650">
      <w:pPr>
        <w:spacing w:before="78" w:line="360" w:lineRule="auto"/>
        <w:ind w:left="127" w:right="1484" w:firstLine="137"/>
        <w:rPr>
          <w:rFonts w:ascii="宋体" w:hAnsi="宋体" w:cs="宋体"/>
          <w:color w:val="auto"/>
          <w:szCs w:val="21"/>
        </w:rPr>
      </w:pPr>
      <w:r>
        <w:rPr>
          <w:rFonts w:hint="eastAsia" w:ascii="宋体" w:hAnsi="宋体" w:cs="宋体"/>
          <w:color w:val="auto"/>
          <w:spacing w:val="2"/>
          <w:szCs w:val="21"/>
        </w:rPr>
        <w:t>附表 :相关项目业绩一览表(供应商同类项目合同</w:t>
      </w:r>
      <w:r>
        <w:rPr>
          <w:rFonts w:hint="eastAsia" w:ascii="宋体" w:hAnsi="宋体" w:cs="宋体"/>
          <w:color w:val="auto"/>
          <w:spacing w:val="1"/>
          <w:szCs w:val="21"/>
        </w:rPr>
        <w:t>复印件、用户验收报告、用户评</w:t>
      </w:r>
      <w:r>
        <w:rPr>
          <w:rFonts w:hint="eastAsia" w:ascii="宋体" w:hAnsi="宋体" w:cs="宋体"/>
          <w:color w:val="auto"/>
          <w:szCs w:val="21"/>
        </w:rPr>
        <w:t xml:space="preserve"> </w:t>
      </w:r>
      <w:r>
        <w:rPr>
          <w:rFonts w:hint="eastAsia" w:ascii="宋体" w:hAnsi="宋体" w:cs="宋体"/>
          <w:color w:val="auto"/>
          <w:spacing w:val="-2"/>
          <w:szCs w:val="21"/>
        </w:rPr>
        <w:t>价意</w:t>
      </w:r>
      <w:r>
        <w:rPr>
          <w:rFonts w:hint="eastAsia" w:ascii="宋体" w:hAnsi="宋体" w:cs="宋体"/>
          <w:color w:val="auto"/>
          <w:spacing w:val="-1"/>
          <w:szCs w:val="21"/>
        </w:rPr>
        <w:t>见格式自拟)</w:t>
      </w:r>
    </w:p>
    <w:p w14:paraId="6A3A4F4F">
      <w:pPr>
        <w:spacing w:line="360" w:lineRule="auto"/>
        <w:ind w:left="196" w:right="1498"/>
        <w:rPr>
          <w:rFonts w:ascii="宋体" w:hAnsi="宋体" w:cs="宋体"/>
          <w:color w:val="auto"/>
        </w:rPr>
      </w:pPr>
      <w:r>
        <w:rPr>
          <w:rFonts w:hint="eastAsia" w:ascii="宋体" w:hAnsi="宋体" w:cs="宋体"/>
          <w:color w:val="auto"/>
          <w:spacing w:val="-2"/>
          <w:szCs w:val="21"/>
        </w:rPr>
        <w:t>注：供应商可按上述的格式自行编制， 须随表提</w:t>
      </w:r>
      <w:r>
        <w:rPr>
          <w:rFonts w:hint="eastAsia" w:ascii="宋体" w:hAnsi="宋体" w:cs="宋体"/>
          <w:color w:val="auto"/>
          <w:spacing w:val="-1"/>
          <w:szCs w:val="21"/>
        </w:rPr>
        <w:t>交相应的合同复印件和用户单位验收证明并注明所</w:t>
      </w:r>
      <w:r>
        <w:rPr>
          <w:rFonts w:hint="eastAsia" w:ascii="宋体" w:hAnsi="宋体" w:cs="宋体"/>
          <w:color w:val="auto"/>
          <w:szCs w:val="21"/>
        </w:rPr>
        <w:t xml:space="preserve"> </w:t>
      </w:r>
      <w:r>
        <w:rPr>
          <w:rFonts w:hint="eastAsia" w:ascii="宋体" w:hAnsi="宋体" w:cs="宋体"/>
          <w:color w:val="auto"/>
          <w:spacing w:val="-1"/>
          <w:szCs w:val="21"/>
        </w:rPr>
        <w:t>在供应商商务技术</w:t>
      </w:r>
      <w:r>
        <w:rPr>
          <w:rFonts w:hint="eastAsia" w:ascii="宋体" w:hAnsi="宋体" w:cs="宋体"/>
          <w:color w:val="auto"/>
          <w:szCs w:val="21"/>
        </w:rPr>
        <w:t>文件页码。</w:t>
      </w:r>
    </w:p>
    <w:p w14:paraId="47F73146">
      <w:pPr>
        <w:spacing w:line="360" w:lineRule="auto"/>
        <w:rPr>
          <w:rFonts w:ascii="宋体" w:hAnsi="宋体" w:cs="宋体"/>
          <w:color w:val="auto"/>
        </w:rPr>
      </w:pPr>
    </w:p>
    <w:p w14:paraId="38DF1309">
      <w:pPr>
        <w:spacing w:before="79" w:line="360" w:lineRule="auto"/>
        <w:ind w:left="4532"/>
        <w:rPr>
          <w:rFonts w:ascii="宋体" w:hAnsi="宋体" w:cs="宋体"/>
          <w:color w:val="auto"/>
          <w:sz w:val="24"/>
        </w:rPr>
      </w:pPr>
      <w:r>
        <w:rPr>
          <w:rFonts w:hint="eastAsia" w:ascii="宋体" w:hAnsi="宋体" w:cs="宋体"/>
          <w:color w:val="auto"/>
          <w:spacing w:val="-1"/>
          <w:sz w:val="24"/>
        </w:rPr>
        <w:t>供应商名称</w:t>
      </w:r>
      <w:r>
        <w:rPr>
          <w:rFonts w:hint="eastAsia" w:ascii="宋体" w:hAnsi="宋体" w:cs="宋体"/>
          <w:color w:val="auto"/>
          <w:sz w:val="24"/>
        </w:rPr>
        <w:t>(电子签章)：</w:t>
      </w:r>
    </w:p>
    <w:p w14:paraId="1E22185A">
      <w:pPr>
        <w:spacing w:before="274" w:line="360" w:lineRule="auto"/>
        <w:ind w:left="6576"/>
        <w:rPr>
          <w:rFonts w:ascii="宋体" w:hAnsi="宋体" w:cs="宋体"/>
          <w:color w:val="auto"/>
          <w:sz w:val="24"/>
        </w:rPr>
      </w:pPr>
      <w:r>
        <w:rPr>
          <w:rFonts w:hint="eastAsia" w:ascii="宋体" w:hAnsi="宋体" w:cs="宋体"/>
          <w:color w:val="auto"/>
          <w:spacing w:val="-16"/>
          <w:sz w:val="24"/>
        </w:rPr>
        <w:t>日</w:t>
      </w:r>
      <w:r>
        <w:rPr>
          <w:rFonts w:hint="eastAsia" w:ascii="宋体" w:hAnsi="宋体" w:cs="宋体"/>
          <w:color w:val="auto"/>
          <w:spacing w:val="-9"/>
          <w:sz w:val="24"/>
        </w:rPr>
        <w:t>期</w:t>
      </w:r>
      <w:r>
        <w:rPr>
          <w:rFonts w:hint="eastAsia" w:ascii="宋体" w:hAnsi="宋体" w:cs="宋体"/>
          <w:color w:val="auto"/>
          <w:spacing w:val="-8"/>
          <w:sz w:val="24"/>
        </w:rPr>
        <w:t>：   年  月   日</w:t>
      </w:r>
    </w:p>
    <w:p w14:paraId="04881611">
      <w:pPr>
        <w:spacing w:line="360" w:lineRule="auto"/>
        <w:rPr>
          <w:rFonts w:ascii="宋体" w:hAnsi="宋体" w:cs="宋体"/>
          <w:color w:val="auto"/>
        </w:rPr>
        <w:sectPr>
          <w:pgSz w:w="11905" w:h="16838"/>
          <w:pgMar w:top="1417" w:right="1134" w:bottom="1417" w:left="1100" w:header="703" w:footer="703" w:gutter="0"/>
          <w:cols w:space="720" w:num="1"/>
        </w:sectPr>
      </w:pPr>
    </w:p>
    <w:p w14:paraId="4E539EC1">
      <w:pPr>
        <w:spacing w:line="360" w:lineRule="auto"/>
        <w:rPr>
          <w:rFonts w:ascii="宋体" w:hAnsi="宋体" w:cs="宋体"/>
          <w:color w:val="auto"/>
        </w:rPr>
      </w:pPr>
    </w:p>
    <w:p w14:paraId="4F499796">
      <w:pPr>
        <w:spacing w:before="98" w:line="360" w:lineRule="auto"/>
        <w:ind w:left="629"/>
        <w:rPr>
          <w:rFonts w:ascii="宋体" w:hAnsi="宋体" w:cs="宋体"/>
          <w:color w:val="auto"/>
          <w:sz w:val="30"/>
          <w:szCs w:val="30"/>
        </w:rPr>
      </w:pPr>
      <w:r>
        <w:rPr>
          <w:rFonts w:hint="eastAsia" w:ascii="宋体" w:hAnsi="宋体" w:cs="宋体"/>
          <w:color w:val="auto"/>
          <w:spacing w:val="-4"/>
          <w:sz w:val="30"/>
          <w:szCs w:val="30"/>
        </w:rPr>
        <w:t>七、</w:t>
      </w:r>
      <w:r>
        <w:rPr>
          <w:rFonts w:hint="eastAsia" w:ascii="宋体" w:hAnsi="宋体" w:cs="宋体"/>
          <w:color w:val="auto"/>
          <w:spacing w:val="-3"/>
          <w:sz w:val="30"/>
          <w:szCs w:val="30"/>
        </w:rPr>
        <w:t>服</w:t>
      </w:r>
      <w:r>
        <w:rPr>
          <w:rFonts w:hint="eastAsia" w:ascii="宋体" w:hAnsi="宋体" w:cs="宋体"/>
          <w:color w:val="auto"/>
          <w:spacing w:val="-2"/>
          <w:sz w:val="30"/>
          <w:szCs w:val="30"/>
        </w:rPr>
        <w:t>务需求偏离表</w:t>
      </w:r>
    </w:p>
    <w:p w14:paraId="17906CAF">
      <w:pPr>
        <w:spacing w:before="110" w:line="360" w:lineRule="auto"/>
        <w:ind w:left="1987"/>
        <w:rPr>
          <w:rFonts w:ascii="宋体" w:hAnsi="宋体" w:cs="宋体"/>
          <w:color w:val="auto"/>
          <w:spacing w:val="58"/>
          <w:sz w:val="28"/>
          <w:szCs w:val="28"/>
        </w:rPr>
      </w:pPr>
    </w:p>
    <w:p w14:paraId="536853D6">
      <w:pPr>
        <w:spacing w:before="110" w:line="360" w:lineRule="auto"/>
        <w:jc w:val="center"/>
        <w:rPr>
          <w:rFonts w:ascii="宋体" w:hAnsi="宋体" w:cs="宋体"/>
          <w:color w:val="auto"/>
          <w:sz w:val="28"/>
          <w:szCs w:val="28"/>
        </w:rPr>
      </w:pPr>
      <w:r>
        <w:rPr>
          <w:rFonts w:hint="eastAsia" w:ascii="宋体" w:hAnsi="宋体" w:cs="宋体"/>
          <w:color w:val="auto"/>
          <w:spacing w:val="56"/>
          <w:sz w:val="28"/>
          <w:szCs w:val="28"/>
        </w:rPr>
        <w:t>服务需求偏离表</w:t>
      </w:r>
    </w:p>
    <w:p w14:paraId="5B1B44AC">
      <w:pPr>
        <w:spacing w:line="360" w:lineRule="auto"/>
        <w:jc w:val="center"/>
        <w:rPr>
          <w:rFonts w:ascii="宋体" w:hAnsi="宋体" w:cs="宋体"/>
          <w:color w:val="auto"/>
          <w:sz w:val="28"/>
          <w:szCs w:val="28"/>
        </w:rPr>
      </w:pPr>
      <w:r>
        <w:rPr>
          <w:rFonts w:hint="eastAsia" w:ascii="宋体" w:hAnsi="宋体" w:cs="宋体"/>
          <w:color w:val="auto"/>
          <w:spacing w:val="41"/>
          <w:position w:val="8"/>
          <w:sz w:val="28"/>
          <w:szCs w:val="28"/>
        </w:rPr>
        <w:t>(</w:t>
      </w:r>
      <w:r>
        <w:rPr>
          <w:rFonts w:hint="eastAsia" w:ascii="宋体" w:hAnsi="宋体" w:cs="宋体"/>
          <w:color w:val="auto"/>
          <w:spacing w:val="37"/>
          <w:position w:val="8"/>
          <w:sz w:val="28"/>
          <w:szCs w:val="28"/>
        </w:rPr>
        <w:t>注：按采购需求具体条款修改)</w:t>
      </w:r>
    </w:p>
    <w:p w14:paraId="5F653478">
      <w:pPr>
        <w:spacing w:before="107" w:line="360" w:lineRule="auto"/>
        <w:ind w:left="10" w:right="11" w:firstLine="2"/>
        <w:rPr>
          <w:rFonts w:ascii="宋体" w:hAnsi="宋体" w:cs="宋体"/>
          <w:color w:val="auto"/>
          <w:sz w:val="24"/>
        </w:rPr>
      </w:pPr>
      <w:r>
        <w:rPr>
          <w:rFonts w:hint="eastAsia" w:ascii="宋体" w:hAnsi="宋体" w:cs="宋体"/>
          <w:color w:val="auto"/>
          <w:spacing w:val="-7"/>
          <w:szCs w:val="21"/>
        </w:rPr>
        <w:t>所竞分标：</w:t>
      </w:r>
      <w:r>
        <w:rPr>
          <w:rFonts w:hint="eastAsia" w:ascii="宋体" w:hAnsi="宋体" w:cs="宋体"/>
          <w:color w:val="auto"/>
          <w:sz w:val="24"/>
          <w:u w:val="single"/>
        </w:rPr>
        <w:t xml:space="preserve">               </w:t>
      </w:r>
    </w:p>
    <w:p w14:paraId="27B4BF47">
      <w:pPr>
        <w:spacing w:line="360" w:lineRule="auto"/>
        <w:rPr>
          <w:rFonts w:ascii="宋体" w:hAnsi="宋体" w:cs="宋体"/>
          <w:color w:val="auto"/>
        </w:rPr>
      </w:pPr>
    </w:p>
    <w:tbl>
      <w:tblPr>
        <w:tblStyle w:val="26"/>
        <w:tblW w:w="91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
        <w:gridCol w:w="1293"/>
        <w:gridCol w:w="834"/>
        <w:gridCol w:w="1787"/>
        <w:gridCol w:w="1291"/>
        <w:gridCol w:w="745"/>
        <w:gridCol w:w="1300"/>
        <w:gridCol w:w="1241"/>
      </w:tblGrid>
      <w:tr w14:paraId="39AE3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4" w:hRule="atLeast"/>
          <w:jc w:val="center"/>
        </w:trPr>
        <w:tc>
          <w:tcPr>
            <w:tcW w:w="671" w:type="dxa"/>
            <w:vMerge w:val="restart"/>
            <w:tcBorders>
              <w:top w:val="single" w:color="auto" w:sz="4" w:space="0"/>
              <w:left w:val="single" w:color="auto" w:sz="4" w:space="0"/>
              <w:bottom w:val="single" w:color="auto" w:sz="4" w:space="0"/>
              <w:right w:val="single" w:color="auto" w:sz="4" w:space="0"/>
            </w:tcBorders>
            <w:vAlign w:val="center"/>
          </w:tcPr>
          <w:p w14:paraId="0DDBC6EC">
            <w:pPr>
              <w:rPr>
                <w:rFonts w:ascii="宋体" w:hAnsi="宋体"/>
                <w:color w:val="auto"/>
                <w:szCs w:val="21"/>
              </w:rPr>
            </w:pPr>
            <w:r>
              <w:rPr>
                <w:rFonts w:hint="eastAsia" w:ascii="宋体" w:hAnsi="宋体"/>
                <w:color w:val="auto"/>
                <w:szCs w:val="21"/>
              </w:rPr>
              <w:t>项号</w:t>
            </w:r>
          </w:p>
        </w:tc>
        <w:tc>
          <w:tcPr>
            <w:tcW w:w="3914" w:type="dxa"/>
            <w:gridSpan w:val="3"/>
            <w:tcBorders>
              <w:top w:val="single" w:color="auto" w:sz="4" w:space="0"/>
              <w:left w:val="single" w:color="auto" w:sz="4" w:space="0"/>
              <w:bottom w:val="single" w:color="auto" w:sz="4" w:space="0"/>
              <w:right w:val="single" w:color="auto" w:sz="4" w:space="0"/>
            </w:tcBorders>
            <w:vAlign w:val="center"/>
          </w:tcPr>
          <w:p w14:paraId="48B347CA">
            <w:pPr>
              <w:jc w:val="center"/>
              <w:rPr>
                <w:rFonts w:ascii="宋体" w:hAnsi="宋体"/>
                <w:color w:val="auto"/>
                <w:szCs w:val="21"/>
              </w:rPr>
            </w:pPr>
            <w:r>
              <w:rPr>
                <w:rFonts w:hint="eastAsia" w:ascii="宋体" w:hAnsi="宋体"/>
                <w:color w:val="auto"/>
                <w:szCs w:val="21"/>
              </w:rPr>
              <w:t>竞争性磋商采购文件需求</w:t>
            </w:r>
          </w:p>
        </w:tc>
        <w:tc>
          <w:tcPr>
            <w:tcW w:w="3336" w:type="dxa"/>
            <w:gridSpan w:val="3"/>
            <w:tcBorders>
              <w:top w:val="single" w:color="auto" w:sz="4" w:space="0"/>
              <w:left w:val="single" w:color="auto" w:sz="4" w:space="0"/>
              <w:bottom w:val="single" w:color="auto" w:sz="4" w:space="0"/>
              <w:right w:val="single" w:color="auto" w:sz="4" w:space="0"/>
            </w:tcBorders>
            <w:vAlign w:val="center"/>
          </w:tcPr>
          <w:p w14:paraId="6641CF28">
            <w:pPr>
              <w:jc w:val="center"/>
              <w:rPr>
                <w:rFonts w:ascii="宋体" w:hAnsi="宋体"/>
                <w:color w:val="auto"/>
                <w:szCs w:val="21"/>
              </w:rPr>
            </w:pPr>
            <w:r>
              <w:rPr>
                <w:rFonts w:hint="eastAsia" w:ascii="宋体" w:hAnsi="宋体"/>
                <w:color w:val="auto"/>
                <w:szCs w:val="21"/>
              </w:rPr>
              <w:t>响应文件承诺</w:t>
            </w:r>
          </w:p>
        </w:tc>
        <w:tc>
          <w:tcPr>
            <w:tcW w:w="1241" w:type="dxa"/>
            <w:vMerge w:val="restart"/>
            <w:tcBorders>
              <w:top w:val="single" w:color="auto" w:sz="4" w:space="0"/>
              <w:left w:val="single" w:color="auto" w:sz="4" w:space="0"/>
              <w:bottom w:val="single" w:color="auto" w:sz="4" w:space="0"/>
              <w:right w:val="single" w:color="auto" w:sz="4" w:space="0"/>
            </w:tcBorders>
            <w:vAlign w:val="center"/>
          </w:tcPr>
          <w:p w14:paraId="41992ED9">
            <w:pPr>
              <w:rPr>
                <w:rFonts w:ascii="宋体" w:hAnsi="宋体"/>
                <w:color w:val="auto"/>
                <w:szCs w:val="21"/>
              </w:rPr>
            </w:pPr>
            <w:r>
              <w:rPr>
                <w:rFonts w:hint="eastAsia" w:ascii="宋体" w:hAnsi="宋体"/>
                <w:color w:val="auto"/>
                <w:szCs w:val="21"/>
              </w:rPr>
              <w:t>偏离说明</w:t>
            </w:r>
          </w:p>
        </w:tc>
      </w:tr>
      <w:tr w14:paraId="466C2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671" w:type="dxa"/>
            <w:vMerge w:val="continue"/>
            <w:tcBorders>
              <w:top w:val="single" w:color="auto" w:sz="4" w:space="0"/>
              <w:left w:val="single" w:color="auto" w:sz="4" w:space="0"/>
              <w:bottom w:val="single" w:color="auto" w:sz="4" w:space="0"/>
              <w:right w:val="single" w:color="auto" w:sz="4" w:space="0"/>
            </w:tcBorders>
            <w:vAlign w:val="center"/>
          </w:tcPr>
          <w:p w14:paraId="06521311">
            <w:pPr>
              <w:widowControl/>
              <w:jc w:val="left"/>
              <w:rPr>
                <w:rFonts w:ascii="宋体" w:hAnsi="宋体"/>
                <w:color w:val="auto"/>
                <w:szCs w:val="21"/>
              </w:rPr>
            </w:pPr>
          </w:p>
        </w:tc>
        <w:tc>
          <w:tcPr>
            <w:tcW w:w="1293" w:type="dxa"/>
            <w:tcBorders>
              <w:top w:val="single" w:color="auto" w:sz="4" w:space="0"/>
              <w:left w:val="single" w:color="auto" w:sz="4" w:space="0"/>
              <w:bottom w:val="single" w:color="auto" w:sz="4" w:space="0"/>
              <w:right w:val="single" w:color="auto" w:sz="4" w:space="0"/>
            </w:tcBorders>
            <w:vAlign w:val="center"/>
          </w:tcPr>
          <w:p w14:paraId="21B2ECFD">
            <w:pPr>
              <w:rPr>
                <w:rFonts w:ascii="宋体" w:hAnsi="宋体"/>
                <w:color w:val="auto"/>
                <w:szCs w:val="21"/>
              </w:rPr>
            </w:pPr>
            <w:r>
              <w:rPr>
                <w:rFonts w:hint="eastAsia" w:ascii="宋体" w:hAnsi="宋体"/>
                <w:color w:val="auto"/>
                <w:szCs w:val="21"/>
              </w:rPr>
              <w:t>服务名称</w:t>
            </w:r>
          </w:p>
        </w:tc>
        <w:tc>
          <w:tcPr>
            <w:tcW w:w="834" w:type="dxa"/>
            <w:tcBorders>
              <w:top w:val="single" w:color="auto" w:sz="4" w:space="0"/>
              <w:left w:val="single" w:color="auto" w:sz="4" w:space="0"/>
              <w:bottom w:val="single" w:color="auto" w:sz="4" w:space="0"/>
              <w:right w:val="single" w:color="auto" w:sz="4" w:space="0"/>
            </w:tcBorders>
            <w:vAlign w:val="center"/>
          </w:tcPr>
          <w:p w14:paraId="4252F661">
            <w:pPr>
              <w:rPr>
                <w:rFonts w:ascii="宋体" w:hAnsi="宋体"/>
                <w:color w:val="auto"/>
                <w:szCs w:val="21"/>
              </w:rPr>
            </w:pPr>
            <w:r>
              <w:rPr>
                <w:rFonts w:hint="eastAsia" w:ascii="宋体" w:hAnsi="宋体"/>
                <w:color w:val="auto"/>
                <w:szCs w:val="21"/>
              </w:rPr>
              <w:t>数量</w:t>
            </w:r>
          </w:p>
        </w:tc>
        <w:tc>
          <w:tcPr>
            <w:tcW w:w="1786" w:type="dxa"/>
            <w:tcBorders>
              <w:top w:val="single" w:color="auto" w:sz="4" w:space="0"/>
              <w:left w:val="single" w:color="auto" w:sz="4" w:space="0"/>
              <w:bottom w:val="single" w:color="auto" w:sz="4" w:space="0"/>
              <w:right w:val="single" w:color="auto" w:sz="4" w:space="0"/>
            </w:tcBorders>
            <w:vAlign w:val="center"/>
          </w:tcPr>
          <w:p w14:paraId="5834188A">
            <w:pPr>
              <w:rPr>
                <w:rFonts w:ascii="宋体" w:hAnsi="宋体"/>
                <w:color w:val="auto"/>
                <w:szCs w:val="21"/>
              </w:rPr>
            </w:pPr>
            <w:r>
              <w:rPr>
                <w:rFonts w:hint="eastAsia" w:ascii="宋体" w:hAnsi="宋体"/>
                <w:color w:val="auto"/>
                <w:szCs w:val="21"/>
              </w:rPr>
              <w:t>服务参数要求</w:t>
            </w:r>
          </w:p>
        </w:tc>
        <w:tc>
          <w:tcPr>
            <w:tcW w:w="1291" w:type="dxa"/>
            <w:tcBorders>
              <w:top w:val="single" w:color="auto" w:sz="4" w:space="0"/>
              <w:left w:val="single" w:color="auto" w:sz="4" w:space="0"/>
              <w:bottom w:val="single" w:color="auto" w:sz="4" w:space="0"/>
              <w:right w:val="single" w:color="auto" w:sz="4" w:space="0"/>
            </w:tcBorders>
            <w:vAlign w:val="center"/>
          </w:tcPr>
          <w:p w14:paraId="25B810C0">
            <w:pPr>
              <w:rPr>
                <w:rFonts w:ascii="宋体" w:hAnsi="宋体"/>
                <w:color w:val="auto"/>
                <w:szCs w:val="21"/>
              </w:rPr>
            </w:pPr>
            <w:r>
              <w:rPr>
                <w:rFonts w:hint="eastAsia" w:ascii="宋体" w:hAnsi="宋体"/>
                <w:color w:val="auto"/>
                <w:szCs w:val="21"/>
              </w:rPr>
              <w:t>服务名称</w:t>
            </w:r>
          </w:p>
        </w:tc>
        <w:tc>
          <w:tcPr>
            <w:tcW w:w="745" w:type="dxa"/>
            <w:tcBorders>
              <w:top w:val="single" w:color="auto" w:sz="4" w:space="0"/>
              <w:left w:val="single" w:color="auto" w:sz="4" w:space="0"/>
              <w:bottom w:val="single" w:color="auto" w:sz="4" w:space="0"/>
              <w:right w:val="single" w:color="auto" w:sz="4" w:space="0"/>
            </w:tcBorders>
            <w:vAlign w:val="center"/>
          </w:tcPr>
          <w:p w14:paraId="36DE7091">
            <w:pPr>
              <w:rPr>
                <w:rFonts w:ascii="宋体" w:hAnsi="宋体"/>
                <w:color w:val="auto"/>
                <w:szCs w:val="21"/>
              </w:rPr>
            </w:pPr>
            <w:r>
              <w:rPr>
                <w:rFonts w:hint="eastAsia" w:ascii="宋体" w:hAnsi="宋体"/>
                <w:color w:val="auto"/>
                <w:szCs w:val="21"/>
              </w:rPr>
              <w:t>数量</w:t>
            </w:r>
          </w:p>
        </w:tc>
        <w:tc>
          <w:tcPr>
            <w:tcW w:w="1299" w:type="dxa"/>
            <w:tcBorders>
              <w:top w:val="single" w:color="auto" w:sz="4" w:space="0"/>
              <w:left w:val="single" w:color="auto" w:sz="4" w:space="0"/>
              <w:bottom w:val="single" w:color="auto" w:sz="4" w:space="0"/>
              <w:right w:val="single" w:color="auto" w:sz="4" w:space="0"/>
            </w:tcBorders>
            <w:vAlign w:val="center"/>
          </w:tcPr>
          <w:p w14:paraId="3A5FCC67">
            <w:pPr>
              <w:rPr>
                <w:rFonts w:ascii="宋体" w:hAnsi="宋体"/>
                <w:color w:val="auto"/>
                <w:szCs w:val="21"/>
              </w:rPr>
            </w:pPr>
            <w:r>
              <w:rPr>
                <w:rFonts w:hint="eastAsia" w:ascii="宋体" w:hAnsi="宋体"/>
                <w:color w:val="auto"/>
                <w:szCs w:val="21"/>
              </w:rPr>
              <w:t>服务承诺参数</w:t>
            </w:r>
          </w:p>
        </w:tc>
        <w:tc>
          <w:tcPr>
            <w:tcW w:w="1241" w:type="dxa"/>
            <w:vMerge w:val="continue"/>
            <w:tcBorders>
              <w:top w:val="single" w:color="auto" w:sz="4" w:space="0"/>
              <w:left w:val="single" w:color="auto" w:sz="4" w:space="0"/>
              <w:bottom w:val="single" w:color="auto" w:sz="4" w:space="0"/>
              <w:right w:val="single" w:color="auto" w:sz="4" w:space="0"/>
            </w:tcBorders>
            <w:vAlign w:val="center"/>
          </w:tcPr>
          <w:p w14:paraId="70373CE3">
            <w:pPr>
              <w:widowControl/>
              <w:jc w:val="left"/>
              <w:rPr>
                <w:rFonts w:ascii="宋体" w:hAnsi="宋体"/>
                <w:color w:val="auto"/>
                <w:szCs w:val="21"/>
              </w:rPr>
            </w:pPr>
          </w:p>
        </w:tc>
      </w:tr>
      <w:tr w14:paraId="548EE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2" w:hRule="atLeast"/>
          <w:jc w:val="center"/>
        </w:trPr>
        <w:tc>
          <w:tcPr>
            <w:tcW w:w="671" w:type="dxa"/>
            <w:tcBorders>
              <w:top w:val="single" w:color="auto" w:sz="4" w:space="0"/>
              <w:left w:val="single" w:color="auto" w:sz="4" w:space="0"/>
              <w:bottom w:val="single" w:color="auto" w:sz="4" w:space="0"/>
              <w:right w:val="single" w:color="auto" w:sz="4" w:space="0"/>
            </w:tcBorders>
            <w:vAlign w:val="center"/>
          </w:tcPr>
          <w:p w14:paraId="66F4B21A">
            <w:pPr>
              <w:rPr>
                <w:rFonts w:ascii="宋体" w:hAnsi="宋体"/>
                <w:color w:val="auto"/>
                <w:szCs w:val="21"/>
              </w:rPr>
            </w:pPr>
            <w:r>
              <w:rPr>
                <w:rFonts w:hint="eastAsia" w:ascii="宋体" w:hAnsi="宋体"/>
                <w:color w:val="auto"/>
                <w:szCs w:val="21"/>
              </w:rPr>
              <w:t>1</w:t>
            </w:r>
          </w:p>
        </w:tc>
        <w:tc>
          <w:tcPr>
            <w:tcW w:w="1293" w:type="dxa"/>
            <w:tcBorders>
              <w:top w:val="single" w:color="auto" w:sz="4" w:space="0"/>
              <w:left w:val="single" w:color="auto" w:sz="4" w:space="0"/>
              <w:bottom w:val="single" w:color="auto" w:sz="4" w:space="0"/>
              <w:right w:val="single" w:color="auto" w:sz="4" w:space="0"/>
            </w:tcBorders>
            <w:vAlign w:val="center"/>
          </w:tcPr>
          <w:p w14:paraId="267F33EA">
            <w:pPr>
              <w:rPr>
                <w:rFonts w:ascii="宋体" w:hAnsi="宋体"/>
                <w:color w:val="auto"/>
                <w:szCs w:val="21"/>
              </w:rPr>
            </w:pPr>
            <w:r>
              <w:rPr>
                <w:rFonts w:hint="eastAsia" w:ascii="宋体" w:hAnsi="宋体"/>
                <w:color w:val="auto"/>
                <w:szCs w:val="21"/>
              </w:rPr>
              <w:t>……</w:t>
            </w:r>
          </w:p>
        </w:tc>
        <w:tc>
          <w:tcPr>
            <w:tcW w:w="834" w:type="dxa"/>
            <w:tcBorders>
              <w:top w:val="single" w:color="auto" w:sz="4" w:space="0"/>
              <w:left w:val="single" w:color="auto" w:sz="4" w:space="0"/>
              <w:bottom w:val="single" w:color="auto" w:sz="4" w:space="0"/>
              <w:right w:val="single" w:color="auto" w:sz="4" w:space="0"/>
            </w:tcBorders>
            <w:vAlign w:val="center"/>
          </w:tcPr>
          <w:p w14:paraId="054FFDEC">
            <w:pPr>
              <w:rPr>
                <w:rFonts w:ascii="宋体" w:hAnsi="宋体"/>
                <w:color w:val="auto"/>
                <w:szCs w:val="21"/>
              </w:rPr>
            </w:pPr>
            <w:r>
              <w:rPr>
                <w:rFonts w:hint="eastAsia" w:ascii="宋体" w:hAnsi="宋体"/>
                <w:color w:val="auto"/>
                <w:szCs w:val="21"/>
              </w:rPr>
              <w:t>…</w:t>
            </w:r>
          </w:p>
        </w:tc>
        <w:tc>
          <w:tcPr>
            <w:tcW w:w="1786" w:type="dxa"/>
            <w:tcBorders>
              <w:top w:val="single" w:color="auto" w:sz="4" w:space="0"/>
              <w:left w:val="single" w:color="auto" w:sz="4" w:space="0"/>
              <w:bottom w:val="single" w:color="auto" w:sz="4" w:space="0"/>
              <w:right w:val="single" w:color="auto" w:sz="4" w:space="0"/>
            </w:tcBorders>
            <w:vAlign w:val="center"/>
          </w:tcPr>
          <w:p w14:paraId="53567245">
            <w:pPr>
              <w:rPr>
                <w:rFonts w:ascii="宋体" w:hAnsi="宋体"/>
                <w:color w:val="auto"/>
                <w:szCs w:val="21"/>
              </w:rPr>
            </w:pPr>
            <w:r>
              <w:rPr>
                <w:rFonts w:hint="eastAsia" w:ascii="宋体" w:hAnsi="宋体"/>
                <w:color w:val="auto"/>
                <w:szCs w:val="21"/>
              </w:rPr>
              <w:t>1  ……</w:t>
            </w:r>
          </w:p>
          <w:p w14:paraId="3E436076">
            <w:pPr>
              <w:rPr>
                <w:rFonts w:ascii="宋体" w:hAnsi="宋体"/>
                <w:color w:val="auto"/>
                <w:szCs w:val="21"/>
              </w:rPr>
            </w:pPr>
            <w:r>
              <w:rPr>
                <w:rFonts w:hint="eastAsia" w:ascii="宋体" w:hAnsi="宋体"/>
                <w:color w:val="auto"/>
                <w:szCs w:val="21"/>
              </w:rPr>
              <w:t>2  ……</w:t>
            </w:r>
          </w:p>
          <w:p w14:paraId="1AB2BB6B">
            <w:pPr>
              <w:rPr>
                <w:rFonts w:ascii="宋体" w:hAnsi="宋体"/>
                <w:color w:val="auto"/>
                <w:szCs w:val="21"/>
              </w:rPr>
            </w:pPr>
            <w:r>
              <w:rPr>
                <w:rFonts w:hint="eastAsia" w:ascii="宋体" w:hAnsi="宋体"/>
                <w:color w:val="auto"/>
                <w:szCs w:val="21"/>
              </w:rPr>
              <w:t>3  ……</w:t>
            </w:r>
          </w:p>
          <w:p w14:paraId="47BDB667">
            <w:pPr>
              <w:rPr>
                <w:rFonts w:ascii="宋体" w:hAnsi="宋体"/>
                <w:color w:val="auto"/>
                <w:szCs w:val="21"/>
              </w:rPr>
            </w:pPr>
            <w:r>
              <w:rPr>
                <w:rFonts w:hint="eastAsia" w:ascii="宋体" w:hAnsi="宋体"/>
                <w:color w:val="auto"/>
                <w:szCs w:val="21"/>
              </w:rPr>
              <w:t>……</w:t>
            </w:r>
          </w:p>
        </w:tc>
        <w:tc>
          <w:tcPr>
            <w:tcW w:w="1291" w:type="dxa"/>
            <w:tcBorders>
              <w:top w:val="single" w:color="auto" w:sz="4" w:space="0"/>
              <w:left w:val="single" w:color="auto" w:sz="4" w:space="0"/>
              <w:bottom w:val="single" w:color="auto" w:sz="4" w:space="0"/>
              <w:right w:val="single" w:color="auto" w:sz="4" w:space="0"/>
            </w:tcBorders>
            <w:vAlign w:val="center"/>
          </w:tcPr>
          <w:p w14:paraId="6EB0154D">
            <w:pPr>
              <w:rPr>
                <w:rFonts w:ascii="宋体" w:hAnsi="宋体"/>
                <w:color w:val="auto"/>
                <w:szCs w:val="21"/>
              </w:rPr>
            </w:pPr>
            <w:r>
              <w:rPr>
                <w:rFonts w:hint="eastAsia" w:ascii="宋体" w:hAnsi="宋体"/>
                <w:color w:val="auto"/>
                <w:szCs w:val="21"/>
              </w:rPr>
              <w:t>……</w:t>
            </w:r>
          </w:p>
        </w:tc>
        <w:tc>
          <w:tcPr>
            <w:tcW w:w="745" w:type="dxa"/>
            <w:tcBorders>
              <w:top w:val="single" w:color="auto" w:sz="4" w:space="0"/>
              <w:left w:val="single" w:color="auto" w:sz="4" w:space="0"/>
              <w:bottom w:val="single" w:color="auto" w:sz="4" w:space="0"/>
              <w:right w:val="single" w:color="auto" w:sz="4" w:space="0"/>
            </w:tcBorders>
            <w:vAlign w:val="center"/>
          </w:tcPr>
          <w:p w14:paraId="1320A3D7">
            <w:pPr>
              <w:rPr>
                <w:rFonts w:ascii="宋体" w:hAnsi="宋体"/>
                <w:color w:val="auto"/>
                <w:szCs w:val="21"/>
              </w:rPr>
            </w:pPr>
            <w:r>
              <w:rPr>
                <w:rFonts w:hint="eastAsia" w:ascii="宋体" w:hAnsi="宋体"/>
                <w:color w:val="auto"/>
                <w:szCs w:val="21"/>
              </w:rPr>
              <w:t>…</w:t>
            </w:r>
          </w:p>
        </w:tc>
        <w:tc>
          <w:tcPr>
            <w:tcW w:w="1299" w:type="dxa"/>
            <w:tcBorders>
              <w:top w:val="single" w:color="auto" w:sz="4" w:space="0"/>
              <w:left w:val="single" w:color="auto" w:sz="4" w:space="0"/>
              <w:bottom w:val="single" w:color="auto" w:sz="4" w:space="0"/>
              <w:right w:val="single" w:color="auto" w:sz="4" w:space="0"/>
            </w:tcBorders>
            <w:vAlign w:val="center"/>
          </w:tcPr>
          <w:p w14:paraId="67BDB3BE">
            <w:pPr>
              <w:rPr>
                <w:rFonts w:ascii="宋体" w:hAnsi="宋体"/>
                <w:color w:val="auto"/>
                <w:szCs w:val="21"/>
              </w:rPr>
            </w:pPr>
            <w:r>
              <w:rPr>
                <w:rFonts w:hint="eastAsia" w:ascii="宋体" w:hAnsi="宋体"/>
                <w:color w:val="auto"/>
                <w:szCs w:val="21"/>
              </w:rPr>
              <w:t>1  ……</w:t>
            </w:r>
          </w:p>
          <w:p w14:paraId="0C65E8BC">
            <w:pPr>
              <w:rPr>
                <w:rFonts w:ascii="宋体" w:hAnsi="宋体"/>
                <w:color w:val="auto"/>
                <w:szCs w:val="21"/>
              </w:rPr>
            </w:pPr>
            <w:r>
              <w:rPr>
                <w:rFonts w:hint="eastAsia" w:ascii="宋体" w:hAnsi="宋体"/>
                <w:color w:val="auto"/>
                <w:szCs w:val="21"/>
              </w:rPr>
              <w:t>2  ……</w:t>
            </w:r>
          </w:p>
          <w:p w14:paraId="73A6FDB4">
            <w:pPr>
              <w:rPr>
                <w:rFonts w:ascii="宋体" w:hAnsi="宋体"/>
                <w:color w:val="auto"/>
                <w:szCs w:val="21"/>
              </w:rPr>
            </w:pPr>
            <w:r>
              <w:rPr>
                <w:rFonts w:hint="eastAsia" w:ascii="宋体" w:hAnsi="宋体"/>
                <w:color w:val="auto"/>
                <w:szCs w:val="21"/>
              </w:rPr>
              <w:t>3  ……</w:t>
            </w:r>
          </w:p>
          <w:p w14:paraId="1F61D8F0">
            <w:pPr>
              <w:rPr>
                <w:rFonts w:ascii="宋体" w:hAnsi="宋体"/>
                <w:color w:val="auto"/>
                <w:szCs w:val="21"/>
              </w:rPr>
            </w:pPr>
            <w:r>
              <w:rPr>
                <w:rFonts w:hint="eastAsia" w:ascii="宋体" w:hAnsi="宋体"/>
                <w:color w:val="auto"/>
                <w:szCs w:val="21"/>
              </w:rPr>
              <w:t>……</w:t>
            </w:r>
          </w:p>
        </w:tc>
        <w:tc>
          <w:tcPr>
            <w:tcW w:w="1241" w:type="dxa"/>
            <w:tcBorders>
              <w:top w:val="single" w:color="auto" w:sz="4" w:space="0"/>
              <w:left w:val="single" w:color="auto" w:sz="4" w:space="0"/>
              <w:bottom w:val="single" w:color="auto" w:sz="4" w:space="0"/>
              <w:right w:val="single" w:color="auto" w:sz="4" w:space="0"/>
            </w:tcBorders>
            <w:vAlign w:val="center"/>
          </w:tcPr>
          <w:p w14:paraId="565AFBF2">
            <w:pPr>
              <w:rPr>
                <w:rFonts w:ascii="宋体" w:hAnsi="宋体"/>
                <w:color w:val="auto"/>
                <w:szCs w:val="21"/>
              </w:rPr>
            </w:pPr>
          </w:p>
        </w:tc>
      </w:tr>
      <w:tr w14:paraId="62050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0" w:hRule="atLeast"/>
          <w:jc w:val="center"/>
        </w:trPr>
        <w:tc>
          <w:tcPr>
            <w:tcW w:w="671" w:type="dxa"/>
            <w:tcBorders>
              <w:top w:val="single" w:color="auto" w:sz="4" w:space="0"/>
              <w:left w:val="single" w:color="auto" w:sz="4" w:space="0"/>
              <w:bottom w:val="single" w:color="auto" w:sz="4" w:space="0"/>
              <w:right w:val="single" w:color="auto" w:sz="4" w:space="0"/>
            </w:tcBorders>
            <w:vAlign w:val="center"/>
          </w:tcPr>
          <w:p w14:paraId="5BBC1D76">
            <w:pPr>
              <w:rPr>
                <w:rFonts w:ascii="宋体" w:hAnsi="宋体"/>
                <w:color w:val="auto"/>
                <w:szCs w:val="21"/>
              </w:rPr>
            </w:pPr>
            <w:r>
              <w:rPr>
                <w:rFonts w:hint="eastAsia" w:ascii="宋体" w:hAnsi="宋体"/>
                <w:color w:val="auto"/>
                <w:szCs w:val="21"/>
              </w:rPr>
              <w:t>2</w:t>
            </w:r>
          </w:p>
        </w:tc>
        <w:tc>
          <w:tcPr>
            <w:tcW w:w="1293" w:type="dxa"/>
            <w:tcBorders>
              <w:top w:val="single" w:color="auto" w:sz="4" w:space="0"/>
              <w:left w:val="single" w:color="auto" w:sz="4" w:space="0"/>
              <w:bottom w:val="single" w:color="auto" w:sz="4" w:space="0"/>
              <w:right w:val="single" w:color="auto" w:sz="4" w:space="0"/>
            </w:tcBorders>
            <w:vAlign w:val="center"/>
          </w:tcPr>
          <w:p w14:paraId="4008A4E3">
            <w:pPr>
              <w:rPr>
                <w:rFonts w:ascii="宋体" w:hAnsi="宋体"/>
                <w:color w:val="auto"/>
                <w:szCs w:val="21"/>
              </w:rPr>
            </w:pPr>
            <w:r>
              <w:rPr>
                <w:rFonts w:hint="eastAsia" w:ascii="宋体" w:hAnsi="宋体"/>
                <w:color w:val="auto"/>
                <w:szCs w:val="21"/>
              </w:rPr>
              <w:t>……</w:t>
            </w:r>
          </w:p>
        </w:tc>
        <w:tc>
          <w:tcPr>
            <w:tcW w:w="834" w:type="dxa"/>
            <w:tcBorders>
              <w:top w:val="single" w:color="auto" w:sz="4" w:space="0"/>
              <w:left w:val="single" w:color="auto" w:sz="4" w:space="0"/>
              <w:bottom w:val="single" w:color="auto" w:sz="4" w:space="0"/>
              <w:right w:val="single" w:color="auto" w:sz="4" w:space="0"/>
            </w:tcBorders>
            <w:vAlign w:val="center"/>
          </w:tcPr>
          <w:p w14:paraId="4A3796B1">
            <w:pPr>
              <w:rPr>
                <w:rFonts w:ascii="宋体" w:hAnsi="宋体"/>
                <w:color w:val="auto"/>
                <w:szCs w:val="21"/>
              </w:rPr>
            </w:pPr>
            <w:r>
              <w:rPr>
                <w:rFonts w:hint="eastAsia" w:ascii="宋体" w:hAnsi="宋体"/>
                <w:color w:val="auto"/>
                <w:szCs w:val="21"/>
              </w:rPr>
              <w:t>…</w:t>
            </w:r>
          </w:p>
        </w:tc>
        <w:tc>
          <w:tcPr>
            <w:tcW w:w="1786" w:type="dxa"/>
            <w:tcBorders>
              <w:top w:val="single" w:color="auto" w:sz="4" w:space="0"/>
              <w:left w:val="single" w:color="auto" w:sz="4" w:space="0"/>
              <w:bottom w:val="single" w:color="auto" w:sz="4" w:space="0"/>
              <w:right w:val="single" w:color="auto" w:sz="4" w:space="0"/>
            </w:tcBorders>
            <w:vAlign w:val="center"/>
          </w:tcPr>
          <w:p w14:paraId="5D4B5A40">
            <w:pPr>
              <w:rPr>
                <w:rFonts w:ascii="宋体" w:hAnsi="宋体"/>
                <w:color w:val="auto"/>
                <w:szCs w:val="21"/>
              </w:rPr>
            </w:pPr>
            <w:r>
              <w:rPr>
                <w:rFonts w:hint="eastAsia" w:ascii="宋体" w:hAnsi="宋体"/>
                <w:color w:val="auto"/>
                <w:szCs w:val="21"/>
              </w:rPr>
              <w:t>1  ……</w:t>
            </w:r>
          </w:p>
          <w:p w14:paraId="155781A0">
            <w:pPr>
              <w:rPr>
                <w:rFonts w:ascii="宋体" w:hAnsi="宋体"/>
                <w:color w:val="auto"/>
                <w:szCs w:val="21"/>
              </w:rPr>
            </w:pPr>
            <w:r>
              <w:rPr>
                <w:rFonts w:hint="eastAsia" w:ascii="宋体" w:hAnsi="宋体"/>
                <w:color w:val="auto"/>
                <w:szCs w:val="21"/>
              </w:rPr>
              <w:t>2  ……</w:t>
            </w:r>
          </w:p>
          <w:p w14:paraId="07D3BDBC">
            <w:pPr>
              <w:rPr>
                <w:rFonts w:ascii="宋体" w:hAnsi="宋体"/>
                <w:color w:val="auto"/>
                <w:szCs w:val="21"/>
              </w:rPr>
            </w:pPr>
            <w:r>
              <w:rPr>
                <w:rFonts w:hint="eastAsia" w:ascii="宋体" w:hAnsi="宋体"/>
                <w:color w:val="auto"/>
                <w:szCs w:val="21"/>
              </w:rPr>
              <w:t>3  ……</w:t>
            </w:r>
          </w:p>
          <w:p w14:paraId="1396B7D7">
            <w:pPr>
              <w:rPr>
                <w:rFonts w:ascii="宋体" w:hAnsi="宋体"/>
                <w:color w:val="auto"/>
                <w:szCs w:val="21"/>
              </w:rPr>
            </w:pPr>
            <w:r>
              <w:rPr>
                <w:rFonts w:hint="eastAsia" w:ascii="宋体" w:hAnsi="宋体"/>
                <w:color w:val="auto"/>
                <w:szCs w:val="21"/>
              </w:rPr>
              <w:t>……</w:t>
            </w:r>
          </w:p>
        </w:tc>
        <w:tc>
          <w:tcPr>
            <w:tcW w:w="1291" w:type="dxa"/>
            <w:tcBorders>
              <w:top w:val="single" w:color="auto" w:sz="4" w:space="0"/>
              <w:left w:val="single" w:color="auto" w:sz="4" w:space="0"/>
              <w:bottom w:val="single" w:color="auto" w:sz="4" w:space="0"/>
              <w:right w:val="single" w:color="auto" w:sz="4" w:space="0"/>
            </w:tcBorders>
            <w:vAlign w:val="center"/>
          </w:tcPr>
          <w:p w14:paraId="32F2601D">
            <w:pPr>
              <w:rPr>
                <w:rFonts w:ascii="宋体" w:hAnsi="宋体"/>
                <w:color w:val="auto"/>
                <w:szCs w:val="21"/>
              </w:rPr>
            </w:pPr>
            <w:r>
              <w:rPr>
                <w:rFonts w:hint="eastAsia" w:ascii="宋体" w:hAnsi="宋体"/>
                <w:color w:val="auto"/>
                <w:szCs w:val="21"/>
              </w:rPr>
              <w:t>……</w:t>
            </w:r>
          </w:p>
        </w:tc>
        <w:tc>
          <w:tcPr>
            <w:tcW w:w="745" w:type="dxa"/>
            <w:tcBorders>
              <w:top w:val="single" w:color="auto" w:sz="4" w:space="0"/>
              <w:left w:val="single" w:color="auto" w:sz="4" w:space="0"/>
              <w:bottom w:val="single" w:color="auto" w:sz="4" w:space="0"/>
              <w:right w:val="single" w:color="auto" w:sz="4" w:space="0"/>
            </w:tcBorders>
            <w:vAlign w:val="center"/>
          </w:tcPr>
          <w:p w14:paraId="69F293A4">
            <w:pPr>
              <w:rPr>
                <w:rFonts w:ascii="宋体" w:hAnsi="宋体"/>
                <w:color w:val="auto"/>
                <w:szCs w:val="21"/>
              </w:rPr>
            </w:pPr>
            <w:r>
              <w:rPr>
                <w:rFonts w:hint="eastAsia" w:ascii="宋体" w:hAnsi="宋体"/>
                <w:color w:val="auto"/>
                <w:szCs w:val="21"/>
              </w:rPr>
              <w:t>…</w:t>
            </w:r>
          </w:p>
        </w:tc>
        <w:tc>
          <w:tcPr>
            <w:tcW w:w="1299" w:type="dxa"/>
            <w:tcBorders>
              <w:top w:val="single" w:color="auto" w:sz="4" w:space="0"/>
              <w:left w:val="single" w:color="auto" w:sz="4" w:space="0"/>
              <w:bottom w:val="single" w:color="auto" w:sz="4" w:space="0"/>
              <w:right w:val="single" w:color="auto" w:sz="4" w:space="0"/>
            </w:tcBorders>
            <w:vAlign w:val="center"/>
          </w:tcPr>
          <w:p w14:paraId="134B6A19">
            <w:pPr>
              <w:rPr>
                <w:rFonts w:ascii="宋体" w:hAnsi="宋体"/>
                <w:color w:val="auto"/>
                <w:szCs w:val="21"/>
              </w:rPr>
            </w:pPr>
            <w:r>
              <w:rPr>
                <w:rFonts w:hint="eastAsia" w:ascii="宋体" w:hAnsi="宋体"/>
                <w:color w:val="auto"/>
                <w:szCs w:val="21"/>
              </w:rPr>
              <w:t>1  ……</w:t>
            </w:r>
          </w:p>
          <w:p w14:paraId="41D1AF6C">
            <w:pPr>
              <w:rPr>
                <w:rFonts w:ascii="宋体" w:hAnsi="宋体"/>
                <w:color w:val="auto"/>
                <w:szCs w:val="21"/>
              </w:rPr>
            </w:pPr>
            <w:r>
              <w:rPr>
                <w:rFonts w:hint="eastAsia" w:ascii="宋体" w:hAnsi="宋体"/>
                <w:color w:val="auto"/>
                <w:szCs w:val="21"/>
              </w:rPr>
              <w:t>2  ……</w:t>
            </w:r>
          </w:p>
          <w:p w14:paraId="1C37BDB7">
            <w:pPr>
              <w:rPr>
                <w:rFonts w:ascii="宋体" w:hAnsi="宋体"/>
                <w:color w:val="auto"/>
                <w:szCs w:val="21"/>
              </w:rPr>
            </w:pPr>
            <w:r>
              <w:rPr>
                <w:rFonts w:hint="eastAsia" w:ascii="宋体" w:hAnsi="宋体"/>
                <w:color w:val="auto"/>
                <w:szCs w:val="21"/>
              </w:rPr>
              <w:t>3  ……</w:t>
            </w:r>
          </w:p>
          <w:p w14:paraId="1A5D4FE7">
            <w:pPr>
              <w:rPr>
                <w:rFonts w:ascii="宋体" w:hAnsi="宋体"/>
                <w:color w:val="auto"/>
                <w:szCs w:val="21"/>
              </w:rPr>
            </w:pPr>
            <w:r>
              <w:rPr>
                <w:rFonts w:hint="eastAsia" w:ascii="宋体" w:hAnsi="宋体"/>
                <w:color w:val="auto"/>
                <w:szCs w:val="21"/>
              </w:rPr>
              <w:t>……</w:t>
            </w:r>
          </w:p>
        </w:tc>
        <w:tc>
          <w:tcPr>
            <w:tcW w:w="1241" w:type="dxa"/>
            <w:tcBorders>
              <w:top w:val="single" w:color="auto" w:sz="4" w:space="0"/>
              <w:left w:val="single" w:color="auto" w:sz="4" w:space="0"/>
              <w:bottom w:val="single" w:color="auto" w:sz="4" w:space="0"/>
              <w:right w:val="single" w:color="auto" w:sz="4" w:space="0"/>
            </w:tcBorders>
            <w:vAlign w:val="center"/>
          </w:tcPr>
          <w:p w14:paraId="1F631F50">
            <w:pPr>
              <w:rPr>
                <w:rFonts w:ascii="宋体" w:hAnsi="宋体"/>
                <w:color w:val="auto"/>
                <w:szCs w:val="21"/>
              </w:rPr>
            </w:pPr>
          </w:p>
        </w:tc>
      </w:tr>
      <w:tr w14:paraId="46C1C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671" w:type="dxa"/>
            <w:tcBorders>
              <w:top w:val="single" w:color="auto" w:sz="4" w:space="0"/>
              <w:left w:val="single" w:color="auto" w:sz="4" w:space="0"/>
              <w:bottom w:val="single" w:color="auto" w:sz="4" w:space="0"/>
              <w:right w:val="single" w:color="auto" w:sz="4" w:space="0"/>
            </w:tcBorders>
            <w:vAlign w:val="center"/>
          </w:tcPr>
          <w:p w14:paraId="025CFE34">
            <w:pPr>
              <w:rPr>
                <w:rFonts w:ascii="宋体" w:hAnsi="宋体"/>
                <w:color w:val="auto"/>
                <w:szCs w:val="21"/>
              </w:rPr>
            </w:pPr>
            <w:r>
              <w:rPr>
                <w:rFonts w:hint="eastAsia" w:ascii="宋体" w:hAnsi="宋体"/>
                <w:color w:val="auto"/>
                <w:szCs w:val="21"/>
              </w:rPr>
              <w:t>...</w:t>
            </w:r>
          </w:p>
        </w:tc>
        <w:tc>
          <w:tcPr>
            <w:tcW w:w="1293" w:type="dxa"/>
            <w:tcBorders>
              <w:top w:val="single" w:color="auto" w:sz="4" w:space="0"/>
              <w:left w:val="single" w:color="auto" w:sz="4" w:space="0"/>
              <w:bottom w:val="single" w:color="auto" w:sz="4" w:space="0"/>
              <w:right w:val="single" w:color="auto" w:sz="4" w:space="0"/>
            </w:tcBorders>
            <w:vAlign w:val="center"/>
          </w:tcPr>
          <w:p w14:paraId="36B5513F">
            <w:pPr>
              <w:rPr>
                <w:rFonts w:ascii="宋体" w:hAnsi="宋体"/>
                <w:color w:val="auto"/>
                <w:szCs w:val="21"/>
              </w:rPr>
            </w:pPr>
          </w:p>
        </w:tc>
        <w:tc>
          <w:tcPr>
            <w:tcW w:w="834" w:type="dxa"/>
            <w:tcBorders>
              <w:top w:val="single" w:color="auto" w:sz="4" w:space="0"/>
              <w:left w:val="single" w:color="auto" w:sz="4" w:space="0"/>
              <w:bottom w:val="single" w:color="auto" w:sz="4" w:space="0"/>
              <w:right w:val="single" w:color="auto" w:sz="4" w:space="0"/>
            </w:tcBorders>
            <w:vAlign w:val="center"/>
          </w:tcPr>
          <w:p w14:paraId="712A33B8">
            <w:pPr>
              <w:rPr>
                <w:rFonts w:ascii="宋体" w:hAnsi="宋体"/>
                <w:color w:val="auto"/>
                <w:szCs w:val="21"/>
              </w:rPr>
            </w:pPr>
          </w:p>
        </w:tc>
        <w:tc>
          <w:tcPr>
            <w:tcW w:w="1786" w:type="dxa"/>
            <w:tcBorders>
              <w:top w:val="single" w:color="auto" w:sz="4" w:space="0"/>
              <w:left w:val="single" w:color="auto" w:sz="4" w:space="0"/>
              <w:bottom w:val="single" w:color="auto" w:sz="4" w:space="0"/>
              <w:right w:val="single" w:color="auto" w:sz="4" w:space="0"/>
            </w:tcBorders>
            <w:vAlign w:val="center"/>
          </w:tcPr>
          <w:p w14:paraId="0D84E9E2">
            <w:pPr>
              <w:rPr>
                <w:rFonts w:ascii="宋体" w:hAnsi="宋体"/>
                <w:color w:val="auto"/>
                <w:szCs w:val="21"/>
              </w:rPr>
            </w:pPr>
          </w:p>
        </w:tc>
        <w:tc>
          <w:tcPr>
            <w:tcW w:w="1291" w:type="dxa"/>
            <w:tcBorders>
              <w:top w:val="single" w:color="auto" w:sz="4" w:space="0"/>
              <w:left w:val="single" w:color="auto" w:sz="4" w:space="0"/>
              <w:bottom w:val="single" w:color="auto" w:sz="4" w:space="0"/>
              <w:right w:val="single" w:color="auto" w:sz="4" w:space="0"/>
            </w:tcBorders>
            <w:vAlign w:val="center"/>
          </w:tcPr>
          <w:p w14:paraId="05761ABE">
            <w:pPr>
              <w:rPr>
                <w:rFonts w:ascii="宋体" w:hAnsi="宋体"/>
                <w:color w:val="auto"/>
                <w:szCs w:val="21"/>
              </w:rPr>
            </w:pPr>
          </w:p>
        </w:tc>
        <w:tc>
          <w:tcPr>
            <w:tcW w:w="745" w:type="dxa"/>
            <w:tcBorders>
              <w:top w:val="single" w:color="auto" w:sz="4" w:space="0"/>
              <w:left w:val="single" w:color="auto" w:sz="4" w:space="0"/>
              <w:bottom w:val="single" w:color="auto" w:sz="4" w:space="0"/>
              <w:right w:val="single" w:color="auto" w:sz="4" w:space="0"/>
            </w:tcBorders>
            <w:vAlign w:val="center"/>
          </w:tcPr>
          <w:p w14:paraId="5CD503AF">
            <w:pPr>
              <w:rPr>
                <w:rFonts w:ascii="宋体" w:hAnsi="宋体"/>
                <w:color w:val="auto"/>
                <w:szCs w:val="21"/>
              </w:rPr>
            </w:pPr>
          </w:p>
        </w:tc>
        <w:tc>
          <w:tcPr>
            <w:tcW w:w="1299" w:type="dxa"/>
            <w:tcBorders>
              <w:top w:val="single" w:color="auto" w:sz="4" w:space="0"/>
              <w:left w:val="single" w:color="auto" w:sz="4" w:space="0"/>
              <w:bottom w:val="single" w:color="auto" w:sz="4" w:space="0"/>
              <w:right w:val="single" w:color="auto" w:sz="4" w:space="0"/>
            </w:tcBorders>
            <w:vAlign w:val="center"/>
          </w:tcPr>
          <w:p w14:paraId="3D7A17FD">
            <w:pPr>
              <w:rPr>
                <w:rFonts w:ascii="宋体" w:hAnsi="宋体"/>
                <w:color w:val="auto"/>
                <w:szCs w:val="21"/>
              </w:rPr>
            </w:pPr>
          </w:p>
        </w:tc>
        <w:tc>
          <w:tcPr>
            <w:tcW w:w="1241" w:type="dxa"/>
            <w:tcBorders>
              <w:top w:val="single" w:color="auto" w:sz="4" w:space="0"/>
              <w:left w:val="single" w:color="auto" w:sz="4" w:space="0"/>
              <w:bottom w:val="single" w:color="auto" w:sz="4" w:space="0"/>
              <w:right w:val="single" w:color="auto" w:sz="4" w:space="0"/>
            </w:tcBorders>
            <w:vAlign w:val="center"/>
          </w:tcPr>
          <w:p w14:paraId="74F53209">
            <w:pPr>
              <w:rPr>
                <w:rFonts w:ascii="宋体" w:hAnsi="宋体"/>
                <w:color w:val="auto"/>
                <w:szCs w:val="21"/>
              </w:rPr>
            </w:pPr>
          </w:p>
        </w:tc>
      </w:tr>
    </w:tbl>
    <w:p w14:paraId="1A29567F">
      <w:pPr>
        <w:spacing w:line="360" w:lineRule="auto"/>
        <w:rPr>
          <w:rFonts w:ascii="宋体" w:hAnsi="宋体" w:cs="宋体"/>
          <w:color w:val="auto"/>
        </w:rPr>
      </w:pPr>
    </w:p>
    <w:p w14:paraId="0D1F6987">
      <w:pPr>
        <w:spacing w:line="360" w:lineRule="auto"/>
        <w:rPr>
          <w:rFonts w:ascii="宋体" w:hAnsi="宋体" w:cs="宋体"/>
          <w:color w:val="auto"/>
        </w:rPr>
      </w:pPr>
    </w:p>
    <w:p w14:paraId="5843E338">
      <w:pPr>
        <w:spacing w:before="68" w:line="360" w:lineRule="auto"/>
        <w:ind w:left="27" w:right="38" w:hanging="2"/>
        <w:rPr>
          <w:rFonts w:ascii="宋体" w:hAnsi="宋体" w:cs="宋体"/>
          <w:color w:val="auto"/>
          <w:szCs w:val="21"/>
        </w:rPr>
      </w:pPr>
      <w:r>
        <w:rPr>
          <w:rFonts w:hint="eastAsia" w:ascii="宋体" w:hAnsi="宋体" w:cs="宋体"/>
          <w:color w:val="auto"/>
          <w:spacing w:val="2"/>
          <w:szCs w:val="21"/>
        </w:rPr>
        <w:t>1.说明：应对照磋商文件“第</w:t>
      </w:r>
      <w:r>
        <w:rPr>
          <w:rFonts w:hint="eastAsia" w:ascii="宋体" w:hAnsi="宋体" w:cs="宋体"/>
          <w:color w:val="auto"/>
          <w:spacing w:val="1"/>
          <w:szCs w:val="21"/>
        </w:rPr>
        <w:t>二章”中“服务需求一览表”的采购清单及技术参数条款逐条作</w:t>
      </w:r>
      <w:r>
        <w:rPr>
          <w:rFonts w:hint="eastAsia" w:ascii="宋体" w:hAnsi="宋体" w:cs="宋体"/>
          <w:color w:val="auto"/>
          <w:szCs w:val="21"/>
        </w:rPr>
        <w:t xml:space="preserve"> </w:t>
      </w:r>
      <w:r>
        <w:rPr>
          <w:rFonts w:hint="eastAsia" w:ascii="宋体" w:hAnsi="宋体" w:cs="宋体"/>
          <w:color w:val="auto"/>
          <w:spacing w:val="-11"/>
          <w:szCs w:val="21"/>
        </w:rPr>
        <w:t>出</w:t>
      </w:r>
      <w:r>
        <w:rPr>
          <w:rFonts w:hint="eastAsia" w:ascii="宋体" w:hAnsi="宋体" w:cs="宋体"/>
          <w:color w:val="auto"/>
          <w:spacing w:val="-10"/>
          <w:szCs w:val="21"/>
        </w:rPr>
        <w:t>明确响应， 并作出偏离说明。</w:t>
      </w:r>
    </w:p>
    <w:p w14:paraId="7455D337">
      <w:pPr>
        <w:spacing w:before="107" w:line="360" w:lineRule="auto"/>
        <w:ind w:left="10" w:right="11" w:firstLine="2"/>
        <w:rPr>
          <w:rFonts w:ascii="宋体" w:hAnsi="宋体" w:cs="宋体"/>
          <w:color w:val="auto"/>
          <w:szCs w:val="21"/>
        </w:rPr>
      </w:pPr>
      <w:r>
        <w:rPr>
          <w:rFonts w:hint="eastAsia" w:ascii="宋体" w:hAnsi="宋体" w:cs="宋体"/>
          <w:color w:val="auto"/>
          <w:spacing w:val="2"/>
          <w:szCs w:val="21"/>
        </w:rPr>
        <w:t>2.供应商应根据自身的承诺，对照磋商文件要求，在“偏离</w:t>
      </w:r>
      <w:r>
        <w:rPr>
          <w:rFonts w:hint="eastAsia" w:ascii="宋体" w:hAnsi="宋体" w:cs="宋体"/>
          <w:color w:val="auto"/>
          <w:spacing w:val="1"/>
          <w:szCs w:val="21"/>
        </w:rPr>
        <w:t>说明”中注明“正偏离”、“负偏</w:t>
      </w:r>
      <w:r>
        <w:rPr>
          <w:rFonts w:hint="eastAsia" w:ascii="宋体" w:hAnsi="宋体" w:cs="宋体"/>
          <w:color w:val="auto"/>
          <w:szCs w:val="21"/>
        </w:rPr>
        <w:t xml:space="preserve"> </w:t>
      </w:r>
      <w:r>
        <w:rPr>
          <w:rFonts w:hint="eastAsia" w:ascii="宋体" w:hAnsi="宋体" w:cs="宋体"/>
          <w:color w:val="auto"/>
          <w:spacing w:val="-14"/>
          <w:szCs w:val="21"/>
        </w:rPr>
        <w:t>离</w:t>
      </w:r>
      <w:r>
        <w:rPr>
          <w:rFonts w:hint="eastAsia" w:ascii="宋体" w:hAnsi="宋体" w:cs="宋体"/>
          <w:color w:val="auto"/>
          <w:spacing w:val="-8"/>
          <w:szCs w:val="21"/>
        </w:rPr>
        <w:t>”</w:t>
      </w:r>
      <w:r>
        <w:rPr>
          <w:rFonts w:hint="eastAsia" w:ascii="宋体" w:hAnsi="宋体" w:cs="宋体"/>
          <w:color w:val="auto"/>
          <w:spacing w:val="-7"/>
          <w:szCs w:val="21"/>
        </w:rPr>
        <w:t>或者“无偏离”。 既不属于“正偏离”也不属于“负偏离”即为 “无偏离”。  当响应文件</w:t>
      </w:r>
      <w:r>
        <w:rPr>
          <w:rFonts w:hint="eastAsia" w:ascii="宋体" w:hAnsi="宋体" w:cs="宋体"/>
          <w:color w:val="auto"/>
          <w:szCs w:val="21"/>
        </w:rPr>
        <w:t xml:space="preserve"> </w:t>
      </w:r>
      <w:r>
        <w:rPr>
          <w:rFonts w:hint="eastAsia" w:ascii="宋体" w:hAnsi="宋体" w:cs="宋体"/>
          <w:color w:val="auto"/>
          <w:spacing w:val="2"/>
          <w:szCs w:val="21"/>
        </w:rPr>
        <w:t>的商务内容低于竞争性磋商采购文件要求时，竞标人应当如实写明“</w:t>
      </w:r>
      <w:r>
        <w:rPr>
          <w:rFonts w:hint="eastAsia" w:ascii="宋体" w:hAnsi="宋体" w:cs="宋体"/>
          <w:color w:val="auto"/>
          <w:spacing w:val="1"/>
          <w:szCs w:val="21"/>
        </w:rPr>
        <w:t>负偏离”，否则视为虚假</w:t>
      </w:r>
      <w:r>
        <w:rPr>
          <w:rFonts w:hint="eastAsia" w:ascii="宋体" w:hAnsi="宋体" w:cs="宋体"/>
          <w:color w:val="auto"/>
          <w:szCs w:val="21"/>
        </w:rPr>
        <w:t xml:space="preserve"> </w:t>
      </w:r>
      <w:r>
        <w:rPr>
          <w:rFonts w:hint="eastAsia" w:ascii="宋体" w:hAnsi="宋体" w:cs="宋体"/>
          <w:color w:val="auto"/>
          <w:spacing w:val="-3"/>
          <w:szCs w:val="21"/>
        </w:rPr>
        <w:t>应</w:t>
      </w:r>
      <w:r>
        <w:rPr>
          <w:rFonts w:hint="eastAsia" w:ascii="宋体" w:hAnsi="宋体" w:cs="宋体"/>
          <w:color w:val="auto"/>
          <w:spacing w:val="-2"/>
          <w:szCs w:val="21"/>
        </w:rPr>
        <w:t>标</w:t>
      </w:r>
    </w:p>
    <w:p w14:paraId="2B0396ED">
      <w:pPr>
        <w:spacing w:before="3" w:line="360" w:lineRule="auto"/>
        <w:ind w:left="9" w:firstLine="5"/>
        <w:rPr>
          <w:rFonts w:ascii="宋体" w:hAnsi="宋体" w:cs="宋体"/>
          <w:color w:val="auto"/>
          <w:szCs w:val="21"/>
        </w:rPr>
      </w:pPr>
      <w:r>
        <w:rPr>
          <w:rFonts w:hint="eastAsia" w:ascii="宋体" w:hAnsi="宋体" w:cs="宋体"/>
          <w:color w:val="auto"/>
          <w:spacing w:val="-8"/>
          <w:szCs w:val="21"/>
        </w:rPr>
        <w:t>3.表</w:t>
      </w:r>
      <w:r>
        <w:rPr>
          <w:rFonts w:hint="eastAsia" w:ascii="宋体" w:hAnsi="宋体" w:cs="宋体"/>
          <w:color w:val="auto"/>
          <w:spacing w:val="-7"/>
          <w:szCs w:val="21"/>
        </w:rPr>
        <w:t>格</w:t>
      </w:r>
      <w:r>
        <w:rPr>
          <w:rFonts w:hint="eastAsia" w:ascii="宋体" w:hAnsi="宋体" w:cs="宋体"/>
          <w:color w:val="auto"/>
          <w:spacing w:val="-4"/>
          <w:szCs w:val="21"/>
        </w:rPr>
        <w:t>内容均需按要求填写并盖章，不得留空， 否则按竞标无效处理。</w:t>
      </w:r>
      <w:r>
        <w:rPr>
          <w:rFonts w:hint="eastAsia" w:ascii="宋体" w:hAnsi="宋体" w:cs="宋体"/>
          <w:color w:val="auto"/>
          <w:szCs w:val="21"/>
        </w:rPr>
        <w:t xml:space="preserve">                     </w:t>
      </w:r>
    </w:p>
    <w:p w14:paraId="7F5B6BEE">
      <w:pPr>
        <w:spacing w:before="3" w:line="360" w:lineRule="auto"/>
        <w:ind w:left="9" w:firstLine="5"/>
        <w:rPr>
          <w:rFonts w:ascii="宋体" w:hAnsi="宋体" w:cs="宋体"/>
          <w:color w:val="auto"/>
          <w:szCs w:val="21"/>
        </w:rPr>
      </w:pPr>
      <w:r>
        <w:rPr>
          <w:rFonts w:hint="eastAsia" w:ascii="宋体" w:hAnsi="宋体" w:cs="宋体"/>
          <w:color w:val="auto"/>
          <w:spacing w:val="-7"/>
          <w:szCs w:val="21"/>
        </w:rPr>
        <w:t>4.如果采购需求为小于、小于等于、 大于或大于等于某个数值标准时， 响应文件承诺不得直接</w:t>
      </w:r>
      <w:r>
        <w:rPr>
          <w:rFonts w:hint="eastAsia" w:ascii="宋体" w:hAnsi="宋体" w:cs="宋体"/>
          <w:color w:val="auto"/>
          <w:spacing w:val="-2"/>
          <w:szCs w:val="21"/>
        </w:rPr>
        <w:t>复</w:t>
      </w:r>
      <w:r>
        <w:rPr>
          <w:rFonts w:hint="eastAsia" w:ascii="宋体" w:hAnsi="宋体" w:cs="宋体"/>
          <w:color w:val="auto"/>
          <w:szCs w:val="21"/>
        </w:rPr>
        <w:t xml:space="preserve"> </w:t>
      </w:r>
      <w:r>
        <w:rPr>
          <w:rFonts w:hint="eastAsia" w:ascii="宋体" w:hAnsi="宋体" w:cs="宋体"/>
          <w:color w:val="auto"/>
          <w:spacing w:val="2"/>
          <w:szCs w:val="21"/>
        </w:rPr>
        <w:t>制采购需求，响应文件承诺内容应当写明竞标服务具体参数或商务响应</w:t>
      </w:r>
      <w:r>
        <w:rPr>
          <w:rFonts w:hint="eastAsia" w:ascii="宋体" w:hAnsi="宋体" w:cs="宋体"/>
          <w:color w:val="auto"/>
          <w:spacing w:val="1"/>
          <w:szCs w:val="21"/>
        </w:rPr>
        <w:t>承诺的具体数值，否则</w:t>
      </w:r>
      <w:r>
        <w:rPr>
          <w:rFonts w:hint="eastAsia" w:ascii="宋体" w:hAnsi="宋体" w:cs="宋体"/>
          <w:color w:val="auto"/>
          <w:szCs w:val="21"/>
        </w:rPr>
        <w:t xml:space="preserve"> </w:t>
      </w:r>
      <w:r>
        <w:rPr>
          <w:rFonts w:hint="eastAsia" w:ascii="宋体" w:hAnsi="宋体" w:cs="宋体"/>
          <w:color w:val="auto"/>
          <w:spacing w:val="2"/>
          <w:szCs w:val="21"/>
        </w:rPr>
        <w:t>按竞标无效处理。如该采购需求属于不能明确具体数值的，采购人应在</w:t>
      </w:r>
      <w:r>
        <w:rPr>
          <w:rFonts w:hint="eastAsia" w:ascii="宋体" w:hAnsi="宋体" w:cs="宋体"/>
          <w:color w:val="auto"/>
          <w:spacing w:val="1"/>
          <w:szCs w:val="21"/>
        </w:rPr>
        <w:t>此采购需求的数值后标</w:t>
      </w:r>
      <w:r>
        <w:rPr>
          <w:rFonts w:hint="eastAsia" w:ascii="宋体" w:hAnsi="宋体" w:cs="宋体"/>
          <w:color w:val="auto"/>
          <w:spacing w:val="-8"/>
          <w:szCs w:val="21"/>
        </w:rPr>
        <w:t>注◆号，</w:t>
      </w:r>
      <w:r>
        <w:rPr>
          <w:rFonts w:hint="eastAsia" w:ascii="宋体" w:hAnsi="宋体" w:cs="宋体"/>
          <w:color w:val="auto"/>
          <w:spacing w:val="-7"/>
          <w:szCs w:val="21"/>
        </w:rPr>
        <w:t>对</w:t>
      </w:r>
      <w:r>
        <w:rPr>
          <w:rFonts w:hint="eastAsia" w:ascii="宋体" w:hAnsi="宋体" w:cs="宋体"/>
          <w:color w:val="auto"/>
          <w:spacing w:val="-4"/>
          <w:szCs w:val="21"/>
        </w:rPr>
        <w:t>标注◆号的采购需求不适用上述 “竞标无效”条款。</w:t>
      </w:r>
    </w:p>
    <w:p w14:paraId="4F076C88">
      <w:pPr>
        <w:spacing w:before="12" w:line="360" w:lineRule="auto"/>
        <w:ind w:left="14"/>
        <w:rPr>
          <w:rFonts w:ascii="宋体" w:hAnsi="宋体" w:cs="宋体"/>
          <w:color w:val="auto"/>
          <w:szCs w:val="21"/>
        </w:rPr>
      </w:pPr>
      <w:r>
        <w:rPr>
          <w:rFonts w:hint="eastAsia" w:ascii="宋体" w:hAnsi="宋体" w:cs="宋体"/>
          <w:color w:val="auto"/>
          <w:spacing w:val="-1"/>
          <w:szCs w:val="21"/>
        </w:rPr>
        <w:t>5. 如技术偏离表中的竞</w:t>
      </w:r>
      <w:r>
        <w:rPr>
          <w:rFonts w:hint="eastAsia" w:ascii="宋体" w:hAnsi="宋体" w:cs="宋体"/>
          <w:color w:val="auto"/>
          <w:szCs w:val="21"/>
        </w:rPr>
        <w:t>标响应与佐证材料不一致的，以佐证材料为准。</w:t>
      </w:r>
    </w:p>
    <w:p w14:paraId="5E3AF8AF">
      <w:pPr>
        <w:spacing w:line="360" w:lineRule="auto"/>
        <w:rPr>
          <w:rFonts w:ascii="宋体" w:hAnsi="宋体" w:cs="宋体"/>
          <w:color w:val="auto"/>
          <w:szCs w:val="21"/>
        </w:rPr>
      </w:pPr>
    </w:p>
    <w:p w14:paraId="7D3BA004">
      <w:pPr>
        <w:spacing w:before="79" w:line="360" w:lineRule="auto"/>
        <w:ind w:left="4102"/>
        <w:rPr>
          <w:rFonts w:ascii="宋体" w:hAnsi="宋体" w:cs="宋体"/>
          <w:color w:val="auto"/>
          <w:szCs w:val="21"/>
        </w:rPr>
      </w:pPr>
      <w:r>
        <w:rPr>
          <w:rFonts w:hint="eastAsia" w:ascii="宋体" w:hAnsi="宋体" w:cs="宋体"/>
          <w:color w:val="auto"/>
          <w:spacing w:val="-8"/>
          <w:szCs w:val="21"/>
        </w:rPr>
        <w:t>供</w:t>
      </w:r>
      <w:r>
        <w:rPr>
          <w:rFonts w:hint="eastAsia" w:ascii="宋体" w:hAnsi="宋体" w:cs="宋体"/>
          <w:color w:val="auto"/>
          <w:spacing w:val="-7"/>
          <w:szCs w:val="21"/>
        </w:rPr>
        <w:t>应</w:t>
      </w:r>
      <w:r>
        <w:rPr>
          <w:rFonts w:hint="eastAsia" w:ascii="宋体" w:hAnsi="宋体" w:cs="宋体"/>
          <w:color w:val="auto"/>
          <w:spacing w:val="-4"/>
          <w:szCs w:val="21"/>
        </w:rPr>
        <w:t>商名称( 电子签章 )：</w:t>
      </w:r>
    </w:p>
    <w:p w14:paraId="073BA4E1">
      <w:pPr>
        <w:spacing w:before="79" w:line="360" w:lineRule="auto"/>
        <w:jc w:val="center"/>
        <w:rPr>
          <w:rFonts w:ascii="宋体" w:hAnsi="宋体" w:cs="宋体"/>
          <w:color w:val="auto"/>
          <w:szCs w:val="21"/>
        </w:rPr>
      </w:pPr>
      <w:r>
        <w:rPr>
          <w:rFonts w:hint="eastAsia" w:ascii="宋体" w:hAnsi="宋体" w:cs="宋体"/>
          <w:color w:val="auto"/>
          <w:spacing w:val="-20"/>
          <w:szCs w:val="21"/>
        </w:rPr>
        <w:t>日</w:t>
      </w:r>
      <w:r>
        <w:rPr>
          <w:rFonts w:hint="eastAsia" w:ascii="宋体" w:hAnsi="宋体" w:cs="宋体"/>
          <w:color w:val="auto"/>
          <w:spacing w:val="-14"/>
          <w:szCs w:val="21"/>
        </w:rPr>
        <w:t xml:space="preserve"> 期 ：     年   月   </w:t>
      </w:r>
      <w:r>
        <w:rPr>
          <w:rFonts w:hint="eastAsia" w:ascii="宋体" w:hAnsi="宋体" w:cs="宋体"/>
          <w:color w:val="auto"/>
          <w:szCs w:val="21"/>
        </w:rPr>
        <w:t>日</w:t>
      </w:r>
    </w:p>
    <w:p w14:paraId="1B013A83">
      <w:pPr>
        <w:spacing w:line="360" w:lineRule="auto"/>
        <w:rPr>
          <w:rFonts w:ascii="宋体" w:hAnsi="宋体" w:cs="宋体"/>
          <w:color w:val="auto"/>
        </w:rPr>
      </w:pPr>
    </w:p>
    <w:p w14:paraId="4D68BD13">
      <w:pPr>
        <w:spacing w:line="360" w:lineRule="auto"/>
        <w:rPr>
          <w:rFonts w:ascii="宋体" w:hAnsi="宋体" w:cs="宋体"/>
          <w:color w:val="auto"/>
        </w:rPr>
      </w:pPr>
    </w:p>
    <w:p w14:paraId="46B9EF76">
      <w:pPr>
        <w:pStyle w:val="2"/>
        <w:spacing w:line="360" w:lineRule="auto"/>
        <w:ind w:firstLine="560"/>
        <w:rPr>
          <w:rFonts w:eastAsia="宋体" w:cs="宋体"/>
          <w:color w:val="auto"/>
        </w:rPr>
      </w:pPr>
    </w:p>
    <w:p w14:paraId="3FFA2009">
      <w:pPr>
        <w:spacing w:before="144" w:line="360" w:lineRule="auto"/>
        <w:ind w:left="2193"/>
        <w:rPr>
          <w:rFonts w:ascii="宋体" w:hAnsi="宋体" w:cs="宋体"/>
          <w:color w:val="auto"/>
          <w:sz w:val="44"/>
          <w:szCs w:val="44"/>
        </w:rPr>
      </w:pPr>
      <w:r>
        <w:rPr>
          <w:rFonts w:hint="eastAsia" w:ascii="宋体" w:hAnsi="宋体" w:cs="宋体"/>
          <w:color w:val="auto"/>
          <w:spacing w:val="19"/>
          <w:sz w:val="44"/>
          <w:szCs w:val="44"/>
        </w:rPr>
        <w:t>服</w:t>
      </w:r>
      <w:r>
        <w:rPr>
          <w:rFonts w:hint="eastAsia" w:ascii="宋体" w:hAnsi="宋体" w:cs="宋体"/>
          <w:color w:val="auto"/>
          <w:spacing w:val="16"/>
          <w:sz w:val="44"/>
          <w:szCs w:val="44"/>
        </w:rPr>
        <w:t>务配置清单(如有)</w:t>
      </w:r>
    </w:p>
    <w:p w14:paraId="2B970381">
      <w:pPr>
        <w:spacing w:line="360" w:lineRule="auto"/>
        <w:rPr>
          <w:rFonts w:ascii="宋体" w:hAnsi="宋体" w:cs="宋体"/>
          <w:color w:val="auto"/>
        </w:rPr>
      </w:pPr>
    </w:p>
    <w:p w14:paraId="203FB9D1">
      <w:pPr>
        <w:spacing w:before="78" w:line="360" w:lineRule="auto"/>
        <w:ind w:left="11"/>
        <w:rPr>
          <w:rFonts w:ascii="宋体" w:hAnsi="宋体" w:cs="宋体"/>
          <w:color w:val="auto"/>
          <w:sz w:val="24"/>
        </w:rPr>
      </w:pPr>
      <w:r>
        <w:rPr>
          <w:rFonts w:hint="eastAsia" w:ascii="宋体" w:hAnsi="宋体" w:cs="宋体"/>
          <w:color w:val="auto"/>
          <w:spacing w:val="-32"/>
          <w:sz w:val="24"/>
          <w:u w:val="single"/>
        </w:rPr>
        <w:t>所</w:t>
      </w:r>
      <w:r>
        <w:rPr>
          <w:rFonts w:hint="eastAsia" w:ascii="宋体" w:hAnsi="宋体" w:cs="宋体"/>
          <w:color w:val="auto"/>
          <w:spacing w:val="-29"/>
          <w:sz w:val="24"/>
          <w:u w:val="single"/>
        </w:rPr>
        <w:t>竞分标：</w:t>
      </w:r>
      <w:r>
        <w:rPr>
          <w:rFonts w:hint="eastAsia" w:ascii="宋体" w:hAnsi="宋体" w:cs="宋体"/>
          <w:color w:val="auto"/>
          <w:sz w:val="24"/>
          <w:u w:val="single"/>
        </w:rPr>
        <w:t xml:space="preserve">                  </w:t>
      </w:r>
    </w:p>
    <w:p w14:paraId="4E007270">
      <w:pPr>
        <w:spacing w:line="360" w:lineRule="auto"/>
        <w:rPr>
          <w:rFonts w:ascii="宋体" w:hAnsi="宋体" w:cs="宋体"/>
          <w:color w:val="auto"/>
        </w:rPr>
      </w:pPr>
    </w:p>
    <w:p w14:paraId="77817C6C">
      <w:pPr>
        <w:spacing w:line="360" w:lineRule="auto"/>
        <w:rPr>
          <w:rFonts w:ascii="宋体" w:hAnsi="宋体" w:cs="宋体"/>
          <w:color w:val="auto"/>
        </w:rPr>
      </w:pPr>
    </w:p>
    <w:tbl>
      <w:tblPr>
        <w:tblStyle w:val="26"/>
        <w:tblW w:w="8956" w:type="dxa"/>
        <w:tblInd w:w="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42"/>
        <w:gridCol w:w="1245"/>
        <w:gridCol w:w="801"/>
        <w:gridCol w:w="895"/>
        <w:gridCol w:w="1784"/>
        <w:gridCol w:w="1243"/>
        <w:gridCol w:w="737"/>
        <w:gridCol w:w="1509"/>
      </w:tblGrid>
      <w:tr w14:paraId="13EDA2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8" w:hRule="atLeast"/>
        </w:trPr>
        <w:tc>
          <w:tcPr>
            <w:tcW w:w="742" w:type="dxa"/>
            <w:tcBorders>
              <w:top w:val="single" w:color="000000" w:sz="2" w:space="0"/>
              <w:bottom w:val="single" w:color="000000" w:sz="2" w:space="0"/>
            </w:tcBorders>
          </w:tcPr>
          <w:p w14:paraId="57C4E8D9">
            <w:pPr>
              <w:spacing w:line="360" w:lineRule="auto"/>
              <w:rPr>
                <w:rFonts w:ascii="宋体" w:hAnsi="宋体" w:cs="宋体"/>
                <w:color w:val="auto"/>
              </w:rPr>
            </w:pPr>
          </w:p>
          <w:p w14:paraId="17A5B164">
            <w:pPr>
              <w:spacing w:before="78" w:line="360" w:lineRule="auto"/>
              <w:ind w:left="134"/>
              <w:rPr>
                <w:rFonts w:ascii="宋体" w:hAnsi="宋体" w:cs="宋体"/>
                <w:color w:val="auto"/>
                <w:sz w:val="24"/>
              </w:rPr>
            </w:pPr>
            <w:r>
              <w:rPr>
                <w:rFonts w:hint="eastAsia" w:ascii="宋体" w:hAnsi="宋体" w:cs="宋体"/>
                <w:color w:val="auto"/>
                <w:spacing w:val="-5"/>
                <w:sz w:val="24"/>
              </w:rPr>
              <w:t>序</w:t>
            </w:r>
            <w:r>
              <w:rPr>
                <w:rFonts w:hint="eastAsia" w:ascii="宋体" w:hAnsi="宋体" w:cs="宋体"/>
                <w:color w:val="auto"/>
                <w:spacing w:val="-4"/>
                <w:sz w:val="24"/>
              </w:rPr>
              <w:t>号</w:t>
            </w:r>
          </w:p>
        </w:tc>
        <w:tc>
          <w:tcPr>
            <w:tcW w:w="1245" w:type="dxa"/>
            <w:tcBorders>
              <w:top w:val="single" w:color="000000" w:sz="2" w:space="0"/>
              <w:bottom w:val="single" w:color="000000" w:sz="2" w:space="0"/>
            </w:tcBorders>
          </w:tcPr>
          <w:p w14:paraId="1F75D76E">
            <w:pPr>
              <w:spacing w:line="360" w:lineRule="auto"/>
              <w:rPr>
                <w:rFonts w:ascii="宋体" w:hAnsi="宋体" w:cs="宋体"/>
                <w:color w:val="auto"/>
              </w:rPr>
            </w:pPr>
          </w:p>
          <w:p w14:paraId="3A001D44">
            <w:pPr>
              <w:spacing w:before="78" w:line="360" w:lineRule="auto"/>
              <w:ind w:left="145"/>
              <w:rPr>
                <w:rFonts w:ascii="宋体" w:hAnsi="宋体" w:cs="宋体"/>
                <w:color w:val="auto"/>
                <w:sz w:val="24"/>
              </w:rPr>
            </w:pPr>
            <w:r>
              <w:rPr>
                <w:rFonts w:hint="eastAsia" w:ascii="宋体" w:hAnsi="宋体" w:cs="宋体"/>
                <w:color w:val="auto"/>
                <w:spacing w:val="-2"/>
                <w:sz w:val="24"/>
              </w:rPr>
              <w:t>服务名称</w:t>
            </w:r>
          </w:p>
        </w:tc>
        <w:tc>
          <w:tcPr>
            <w:tcW w:w="801" w:type="dxa"/>
            <w:tcBorders>
              <w:top w:val="single" w:color="000000" w:sz="2" w:space="0"/>
              <w:bottom w:val="single" w:color="000000" w:sz="2" w:space="0"/>
            </w:tcBorders>
          </w:tcPr>
          <w:p w14:paraId="31939933">
            <w:pPr>
              <w:spacing w:before="105" w:line="360" w:lineRule="auto"/>
              <w:ind w:left="166"/>
              <w:rPr>
                <w:rFonts w:ascii="宋体" w:hAnsi="宋体" w:cs="宋体"/>
                <w:color w:val="auto"/>
                <w:sz w:val="24"/>
              </w:rPr>
            </w:pPr>
            <w:r>
              <w:rPr>
                <w:rFonts w:hint="eastAsia" w:ascii="宋体" w:hAnsi="宋体" w:cs="宋体"/>
                <w:color w:val="auto"/>
                <w:spacing w:val="-3"/>
                <w:sz w:val="24"/>
              </w:rPr>
              <w:t>数量</w:t>
            </w:r>
          </w:p>
          <w:p w14:paraId="23EA1057">
            <w:pPr>
              <w:spacing w:line="360" w:lineRule="auto"/>
              <w:ind w:left="163"/>
              <w:rPr>
                <w:rFonts w:ascii="宋体" w:hAnsi="宋体" w:cs="宋体"/>
                <w:color w:val="auto"/>
                <w:sz w:val="24"/>
              </w:rPr>
            </w:pPr>
            <w:r>
              <w:rPr>
                <w:rFonts w:hint="eastAsia" w:ascii="宋体" w:hAnsi="宋体" w:cs="宋体"/>
                <w:color w:val="auto"/>
                <w:spacing w:val="-5"/>
                <w:sz w:val="24"/>
              </w:rPr>
              <w:t>及</w:t>
            </w:r>
            <w:r>
              <w:rPr>
                <w:rFonts w:hint="eastAsia" w:ascii="宋体" w:hAnsi="宋体" w:cs="宋体"/>
                <w:color w:val="auto"/>
                <w:spacing w:val="-4"/>
                <w:sz w:val="24"/>
              </w:rPr>
              <w:t>单</w:t>
            </w:r>
          </w:p>
          <w:p w14:paraId="60DE2344">
            <w:pPr>
              <w:spacing w:line="360" w:lineRule="auto"/>
              <w:ind w:left="282"/>
              <w:rPr>
                <w:rFonts w:ascii="宋体" w:hAnsi="宋体" w:cs="宋体"/>
                <w:color w:val="auto"/>
                <w:sz w:val="24"/>
              </w:rPr>
            </w:pPr>
            <w:r>
              <w:rPr>
                <w:rFonts w:hint="eastAsia" w:ascii="宋体" w:hAnsi="宋体" w:cs="宋体"/>
                <w:color w:val="auto"/>
                <w:sz w:val="24"/>
              </w:rPr>
              <w:t>位</w:t>
            </w:r>
          </w:p>
        </w:tc>
        <w:tc>
          <w:tcPr>
            <w:tcW w:w="895" w:type="dxa"/>
            <w:tcBorders>
              <w:top w:val="single" w:color="000000" w:sz="2" w:space="0"/>
              <w:bottom w:val="single" w:color="000000" w:sz="2" w:space="0"/>
            </w:tcBorders>
          </w:tcPr>
          <w:p w14:paraId="1B12EA0B">
            <w:pPr>
              <w:spacing w:line="360" w:lineRule="auto"/>
              <w:rPr>
                <w:rFonts w:ascii="宋体" w:hAnsi="宋体" w:cs="宋体"/>
                <w:color w:val="auto"/>
              </w:rPr>
            </w:pPr>
          </w:p>
          <w:p w14:paraId="56074C52">
            <w:pPr>
              <w:spacing w:before="78" w:line="360" w:lineRule="auto"/>
              <w:ind w:left="231"/>
              <w:rPr>
                <w:rFonts w:ascii="宋体" w:hAnsi="宋体" w:cs="宋体"/>
                <w:color w:val="auto"/>
                <w:sz w:val="24"/>
              </w:rPr>
            </w:pPr>
            <w:r>
              <w:rPr>
                <w:rFonts w:hint="eastAsia" w:ascii="宋体" w:hAnsi="宋体" w:cs="宋体"/>
                <w:color w:val="auto"/>
                <w:spacing w:val="-8"/>
                <w:sz w:val="24"/>
              </w:rPr>
              <w:t>品</w:t>
            </w:r>
            <w:r>
              <w:rPr>
                <w:rFonts w:hint="eastAsia" w:ascii="宋体" w:hAnsi="宋体" w:cs="宋体"/>
                <w:color w:val="auto"/>
                <w:spacing w:val="-7"/>
                <w:sz w:val="24"/>
              </w:rPr>
              <w:t>牌</w:t>
            </w:r>
          </w:p>
        </w:tc>
        <w:tc>
          <w:tcPr>
            <w:tcW w:w="1784" w:type="dxa"/>
            <w:tcBorders>
              <w:top w:val="single" w:color="000000" w:sz="2" w:space="0"/>
              <w:bottom w:val="single" w:color="000000" w:sz="2" w:space="0"/>
            </w:tcBorders>
          </w:tcPr>
          <w:p w14:paraId="242419CA">
            <w:pPr>
              <w:spacing w:line="360" w:lineRule="auto"/>
              <w:rPr>
                <w:rFonts w:ascii="宋体" w:hAnsi="宋体" w:cs="宋体"/>
                <w:color w:val="auto"/>
              </w:rPr>
            </w:pPr>
          </w:p>
          <w:p w14:paraId="4B5B240E">
            <w:pPr>
              <w:spacing w:before="78" w:line="360" w:lineRule="auto"/>
              <w:ind w:left="417"/>
              <w:rPr>
                <w:rFonts w:ascii="宋体" w:hAnsi="宋体" w:cs="宋体"/>
                <w:color w:val="auto"/>
                <w:sz w:val="24"/>
              </w:rPr>
            </w:pPr>
            <w:r>
              <w:rPr>
                <w:rFonts w:hint="eastAsia" w:ascii="宋体" w:hAnsi="宋体" w:cs="宋体"/>
                <w:color w:val="auto"/>
                <w:spacing w:val="-4"/>
                <w:sz w:val="24"/>
              </w:rPr>
              <w:t>规</w:t>
            </w:r>
            <w:r>
              <w:rPr>
                <w:rFonts w:hint="eastAsia" w:ascii="宋体" w:hAnsi="宋体" w:cs="宋体"/>
                <w:color w:val="auto"/>
                <w:spacing w:val="-3"/>
                <w:sz w:val="24"/>
              </w:rPr>
              <w:t>格</w:t>
            </w:r>
            <w:r>
              <w:rPr>
                <w:rFonts w:hint="eastAsia" w:ascii="宋体" w:hAnsi="宋体" w:cs="宋体"/>
                <w:color w:val="auto"/>
                <w:spacing w:val="-2"/>
                <w:sz w:val="24"/>
              </w:rPr>
              <w:t>型号</w:t>
            </w:r>
          </w:p>
        </w:tc>
        <w:tc>
          <w:tcPr>
            <w:tcW w:w="1243" w:type="dxa"/>
            <w:tcBorders>
              <w:top w:val="single" w:color="000000" w:sz="2" w:space="0"/>
              <w:bottom w:val="single" w:color="000000" w:sz="2" w:space="0"/>
            </w:tcBorders>
          </w:tcPr>
          <w:p w14:paraId="162FB9E0">
            <w:pPr>
              <w:spacing w:line="360" w:lineRule="auto"/>
              <w:rPr>
                <w:rFonts w:ascii="宋体" w:hAnsi="宋体" w:cs="宋体"/>
                <w:color w:val="auto"/>
              </w:rPr>
            </w:pPr>
          </w:p>
          <w:p w14:paraId="54FDAC6D">
            <w:pPr>
              <w:spacing w:before="78" w:line="360" w:lineRule="auto"/>
              <w:ind w:left="268"/>
              <w:rPr>
                <w:rFonts w:ascii="宋体" w:hAnsi="宋体" w:cs="宋体"/>
                <w:color w:val="auto"/>
                <w:sz w:val="24"/>
              </w:rPr>
            </w:pPr>
            <w:r>
              <w:rPr>
                <w:rFonts w:hint="eastAsia" w:ascii="宋体" w:hAnsi="宋体" w:cs="宋体"/>
                <w:color w:val="auto"/>
                <w:spacing w:val="-4"/>
                <w:sz w:val="24"/>
              </w:rPr>
              <w:t>制</w:t>
            </w:r>
            <w:r>
              <w:rPr>
                <w:rFonts w:hint="eastAsia" w:ascii="宋体" w:hAnsi="宋体" w:cs="宋体"/>
                <w:color w:val="auto"/>
                <w:spacing w:val="-3"/>
                <w:sz w:val="24"/>
              </w:rPr>
              <w:t>造商</w:t>
            </w:r>
          </w:p>
        </w:tc>
        <w:tc>
          <w:tcPr>
            <w:tcW w:w="737" w:type="dxa"/>
            <w:tcBorders>
              <w:top w:val="single" w:color="000000" w:sz="2" w:space="0"/>
              <w:bottom w:val="single" w:color="000000" w:sz="2" w:space="0"/>
            </w:tcBorders>
          </w:tcPr>
          <w:p w14:paraId="2DC2E892">
            <w:pPr>
              <w:spacing w:before="225" w:line="360" w:lineRule="auto"/>
              <w:ind w:left="256" w:right="119" w:hanging="113"/>
              <w:rPr>
                <w:rFonts w:ascii="宋体" w:hAnsi="宋体" w:cs="宋体"/>
                <w:color w:val="auto"/>
                <w:sz w:val="24"/>
              </w:rPr>
            </w:pPr>
            <w:r>
              <w:rPr>
                <w:rFonts w:hint="eastAsia" w:ascii="宋体" w:hAnsi="宋体" w:cs="宋体"/>
                <w:color w:val="auto"/>
                <w:spacing w:val="-8"/>
                <w:sz w:val="24"/>
              </w:rPr>
              <w:t>原产</w:t>
            </w:r>
            <w:r>
              <w:rPr>
                <w:rFonts w:hint="eastAsia" w:ascii="宋体" w:hAnsi="宋体" w:cs="宋体"/>
                <w:color w:val="auto"/>
                <w:sz w:val="24"/>
              </w:rPr>
              <w:t xml:space="preserve"> 地</w:t>
            </w:r>
          </w:p>
        </w:tc>
        <w:tc>
          <w:tcPr>
            <w:tcW w:w="1509" w:type="dxa"/>
            <w:tcBorders>
              <w:top w:val="single" w:color="000000" w:sz="2" w:space="0"/>
              <w:bottom w:val="single" w:color="000000" w:sz="2" w:space="0"/>
            </w:tcBorders>
          </w:tcPr>
          <w:p w14:paraId="6AEF6328">
            <w:pPr>
              <w:spacing w:before="226" w:line="360" w:lineRule="auto"/>
              <w:ind w:left="161" w:right="148"/>
              <w:rPr>
                <w:rFonts w:ascii="宋体" w:hAnsi="宋体" w:cs="宋体"/>
                <w:color w:val="auto"/>
                <w:sz w:val="24"/>
              </w:rPr>
            </w:pPr>
            <w:r>
              <w:rPr>
                <w:rFonts w:hint="eastAsia" w:ascii="宋体" w:hAnsi="宋体" w:cs="宋体"/>
                <w:color w:val="auto"/>
                <w:spacing w:val="-11"/>
                <w:sz w:val="24"/>
              </w:rPr>
              <w:t>参</w:t>
            </w:r>
            <w:r>
              <w:rPr>
                <w:rFonts w:hint="eastAsia" w:ascii="宋体" w:hAnsi="宋体" w:cs="宋体"/>
                <w:color w:val="auto"/>
                <w:spacing w:val="-9"/>
                <w:sz w:val="24"/>
              </w:rPr>
              <w:t>数性能、</w:t>
            </w:r>
            <w:r>
              <w:rPr>
                <w:rFonts w:hint="eastAsia" w:ascii="宋体" w:hAnsi="宋体" w:cs="宋体"/>
                <w:color w:val="auto"/>
                <w:sz w:val="24"/>
              </w:rPr>
              <w:t xml:space="preserve"> </w:t>
            </w:r>
            <w:r>
              <w:rPr>
                <w:rFonts w:hint="eastAsia" w:ascii="宋体" w:hAnsi="宋体" w:cs="宋体"/>
                <w:color w:val="auto"/>
                <w:spacing w:val="-3"/>
                <w:sz w:val="24"/>
              </w:rPr>
              <w:t>指</w:t>
            </w:r>
            <w:r>
              <w:rPr>
                <w:rFonts w:hint="eastAsia" w:ascii="宋体" w:hAnsi="宋体" w:cs="宋体"/>
                <w:color w:val="auto"/>
                <w:spacing w:val="-2"/>
                <w:sz w:val="24"/>
              </w:rPr>
              <w:t>标及配置</w:t>
            </w:r>
          </w:p>
        </w:tc>
      </w:tr>
      <w:tr w14:paraId="181B1D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4" w:hRule="atLeast"/>
        </w:trPr>
        <w:tc>
          <w:tcPr>
            <w:tcW w:w="742" w:type="dxa"/>
            <w:tcBorders>
              <w:top w:val="single" w:color="000000" w:sz="2" w:space="0"/>
              <w:bottom w:val="single" w:color="000000" w:sz="2" w:space="0"/>
            </w:tcBorders>
          </w:tcPr>
          <w:p w14:paraId="20C13DC3">
            <w:pPr>
              <w:spacing w:line="360" w:lineRule="auto"/>
              <w:rPr>
                <w:rFonts w:ascii="宋体" w:hAnsi="宋体" w:cs="宋体"/>
                <w:color w:val="auto"/>
              </w:rPr>
            </w:pPr>
          </w:p>
        </w:tc>
        <w:tc>
          <w:tcPr>
            <w:tcW w:w="1245" w:type="dxa"/>
            <w:tcBorders>
              <w:top w:val="single" w:color="000000" w:sz="2" w:space="0"/>
              <w:bottom w:val="single" w:color="000000" w:sz="2" w:space="0"/>
            </w:tcBorders>
          </w:tcPr>
          <w:p w14:paraId="5DFD9E67">
            <w:pPr>
              <w:spacing w:line="360" w:lineRule="auto"/>
              <w:rPr>
                <w:rFonts w:ascii="宋体" w:hAnsi="宋体" w:cs="宋体"/>
                <w:color w:val="auto"/>
              </w:rPr>
            </w:pPr>
          </w:p>
        </w:tc>
        <w:tc>
          <w:tcPr>
            <w:tcW w:w="801" w:type="dxa"/>
            <w:tcBorders>
              <w:top w:val="single" w:color="000000" w:sz="2" w:space="0"/>
              <w:bottom w:val="single" w:color="000000" w:sz="2" w:space="0"/>
            </w:tcBorders>
          </w:tcPr>
          <w:p w14:paraId="299262DE">
            <w:pPr>
              <w:spacing w:line="360" w:lineRule="auto"/>
              <w:rPr>
                <w:rFonts w:ascii="宋体" w:hAnsi="宋体" w:cs="宋体"/>
                <w:color w:val="auto"/>
              </w:rPr>
            </w:pPr>
          </w:p>
        </w:tc>
        <w:tc>
          <w:tcPr>
            <w:tcW w:w="895" w:type="dxa"/>
            <w:tcBorders>
              <w:top w:val="single" w:color="000000" w:sz="2" w:space="0"/>
              <w:bottom w:val="single" w:color="000000" w:sz="2" w:space="0"/>
            </w:tcBorders>
          </w:tcPr>
          <w:p w14:paraId="58FC7208">
            <w:pPr>
              <w:spacing w:line="360" w:lineRule="auto"/>
              <w:rPr>
                <w:rFonts w:ascii="宋体" w:hAnsi="宋体" w:cs="宋体"/>
                <w:color w:val="auto"/>
              </w:rPr>
            </w:pPr>
          </w:p>
        </w:tc>
        <w:tc>
          <w:tcPr>
            <w:tcW w:w="1784" w:type="dxa"/>
            <w:tcBorders>
              <w:top w:val="single" w:color="000000" w:sz="2" w:space="0"/>
              <w:bottom w:val="single" w:color="000000" w:sz="2" w:space="0"/>
            </w:tcBorders>
          </w:tcPr>
          <w:p w14:paraId="62E7E850">
            <w:pPr>
              <w:spacing w:line="360" w:lineRule="auto"/>
              <w:rPr>
                <w:rFonts w:ascii="宋体" w:hAnsi="宋体" w:cs="宋体"/>
                <w:color w:val="auto"/>
              </w:rPr>
            </w:pPr>
          </w:p>
        </w:tc>
        <w:tc>
          <w:tcPr>
            <w:tcW w:w="1243" w:type="dxa"/>
            <w:tcBorders>
              <w:top w:val="single" w:color="000000" w:sz="2" w:space="0"/>
              <w:bottom w:val="single" w:color="000000" w:sz="2" w:space="0"/>
            </w:tcBorders>
          </w:tcPr>
          <w:p w14:paraId="5C94DA4D">
            <w:pPr>
              <w:spacing w:line="360" w:lineRule="auto"/>
              <w:rPr>
                <w:rFonts w:ascii="宋体" w:hAnsi="宋体" w:cs="宋体"/>
                <w:color w:val="auto"/>
              </w:rPr>
            </w:pPr>
          </w:p>
        </w:tc>
        <w:tc>
          <w:tcPr>
            <w:tcW w:w="737" w:type="dxa"/>
            <w:tcBorders>
              <w:top w:val="single" w:color="000000" w:sz="2" w:space="0"/>
              <w:bottom w:val="single" w:color="000000" w:sz="2" w:space="0"/>
            </w:tcBorders>
          </w:tcPr>
          <w:p w14:paraId="4C02CD31">
            <w:pPr>
              <w:spacing w:line="360" w:lineRule="auto"/>
              <w:rPr>
                <w:rFonts w:ascii="宋体" w:hAnsi="宋体" w:cs="宋体"/>
                <w:color w:val="auto"/>
              </w:rPr>
            </w:pPr>
          </w:p>
        </w:tc>
        <w:tc>
          <w:tcPr>
            <w:tcW w:w="1509" w:type="dxa"/>
            <w:tcBorders>
              <w:top w:val="single" w:color="000000" w:sz="2" w:space="0"/>
              <w:bottom w:val="single" w:color="000000" w:sz="2" w:space="0"/>
            </w:tcBorders>
          </w:tcPr>
          <w:p w14:paraId="5A073EFD">
            <w:pPr>
              <w:spacing w:line="360" w:lineRule="auto"/>
              <w:rPr>
                <w:rFonts w:ascii="宋体" w:hAnsi="宋体" w:cs="宋体"/>
                <w:color w:val="auto"/>
              </w:rPr>
            </w:pPr>
          </w:p>
        </w:tc>
      </w:tr>
      <w:tr w14:paraId="6193C6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 w:hRule="atLeast"/>
        </w:trPr>
        <w:tc>
          <w:tcPr>
            <w:tcW w:w="742" w:type="dxa"/>
            <w:tcBorders>
              <w:top w:val="single" w:color="000000" w:sz="2" w:space="0"/>
              <w:bottom w:val="single" w:color="000000" w:sz="2" w:space="0"/>
            </w:tcBorders>
          </w:tcPr>
          <w:p w14:paraId="0866B4C0">
            <w:pPr>
              <w:spacing w:line="360" w:lineRule="auto"/>
              <w:rPr>
                <w:rFonts w:ascii="宋体" w:hAnsi="宋体" w:cs="宋体"/>
                <w:color w:val="auto"/>
              </w:rPr>
            </w:pPr>
          </w:p>
        </w:tc>
        <w:tc>
          <w:tcPr>
            <w:tcW w:w="1245" w:type="dxa"/>
            <w:tcBorders>
              <w:top w:val="single" w:color="000000" w:sz="2" w:space="0"/>
              <w:bottom w:val="single" w:color="000000" w:sz="2" w:space="0"/>
            </w:tcBorders>
          </w:tcPr>
          <w:p w14:paraId="37276DC9">
            <w:pPr>
              <w:spacing w:line="360" w:lineRule="auto"/>
              <w:rPr>
                <w:rFonts w:ascii="宋体" w:hAnsi="宋体" w:cs="宋体"/>
                <w:color w:val="auto"/>
              </w:rPr>
            </w:pPr>
          </w:p>
        </w:tc>
        <w:tc>
          <w:tcPr>
            <w:tcW w:w="801" w:type="dxa"/>
            <w:tcBorders>
              <w:top w:val="single" w:color="000000" w:sz="2" w:space="0"/>
              <w:bottom w:val="single" w:color="000000" w:sz="2" w:space="0"/>
            </w:tcBorders>
          </w:tcPr>
          <w:p w14:paraId="68FFD480">
            <w:pPr>
              <w:spacing w:line="360" w:lineRule="auto"/>
              <w:rPr>
                <w:rFonts w:ascii="宋体" w:hAnsi="宋体" w:cs="宋体"/>
                <w:color w:val="auto"/>
              </w:rPr>
            </w:pPr>
          </w:p>
        </w:tc>
        <w:tc>
          <w:tcPr>
            <w:tcW w:w="895" w:type="dxa"/>
            <w:tcBorders>
              <w:top w:val="single" w:color="000000" w:sz="2" w:space="0"/>
              <w:bottom w:val="single" w:color="000000" w:sz="2" w:space="0"/>
            </w:tcBorders>
          </w:tcPr>
          <w:p w14:paraId="6B7455C7">
            <w:pPr>
              <w:spacing w:line="360" w:lineRule="auto"/>
              <w:rPr>
                <w:rFonts w:ascii="宋体" w:hAnsi="宋体" w:cs="宋体"/>
                <w:color w:val="auto"/>
              </w:rPr>
            </w:pPr>
          </w:p>
        </w:tc>
        <w:tc>
          <w:tcPr>
            <w:tcW w:w="1784" w:type="dxa"/>
            <w:tcBorders>
              <w:top w:val="single" w:color="000000" w:sz="2" w:space="0"/>
              <w:bottom w:val="single" w:color="000000" w:sz="2" w:space="0"/>
            </w:tcBorders>
          </w:tcPr>
          <w:p w14:paraId="5DB0656A">
            <w:pPr>
              <w:spacing w:line="360" w:lineRule="auto"/>
              <w:rPr>
                <w:rFonts w:ascii="宋体" w:hAnsi="宋体" w:cs="宋体"/>
                <w:color w:val="auto"/>
              </w:rPr>
            </w:pPr>
          </w:p>
        </w:tc>
        <w:tc>
          <w:tcPr>
            <w:tcW w:w="1243" w:type="dxa"/>
            <w:tcBorders>
              <w:top w:val="single" w:color="000000" w:sz="2" w:space="0"/>
              <w:bottom w:val="single" w:color="000000" w:sz="2" w:space="0"/>
            </w:tcBorders>
          </w:tcPr>
          <w:p w14:paraId="370FB6FD">
            <w:pPr>
              <w:spacing w:line="360" w:lineRule="auto"/>
              <w:rPr>
                <w:rFonts w:ascii="宋体" w:hAnsi="宋体" w:cs="宋体"/>
                <w:color w:val="auto"/>
              </w:rPr>
            </w:pPr>
          </w:p>
        </w:tc>
        <w:tc>
          <w:tcPr>
            <w:tcW w:w="737" w:type="dxa"/>
            <w:tcBorders>
              <w:top w:val="single" w:color="000000" w:sz="2" w:space="0"/>
              <w:bottom w:val="single" w:color="000000" w:sz="2" w:space="0"/>
            </w:tcBorders>
          </w:tcPr>
          <w:p w14:paraId="7BD475EB">
            <w:pPr>
              <w:spacing w:line="360" w:lineRule="auto"/>
              <w:rPr>
                <w:rFonts w:ascii="宋体" w:hAnsi="宋体" w:cs="宋体"/>
                <w:color w:val="auto"/>
              </w:rPr>
            </w:pPr>
          </w:p>
        </w:tc>
        <w:tc>
          <w:tcPr>
            <w:tcW w:w="1509" w:type="dxa"/>
            <w:tcBorders>
              <w:top w:val="single" w:color="000000" w:sz="2" w:space="0"/>
              <w:bottom w:val="single" w:color="000000" w:sz="2" w:space="0"/>
            </w:tcBorders>
          </w:tcPr>
          <w:p w14:paraId="02BB0F0B">
            <w:pPr>
              <w:spacing w:line="360" w:lineRule="auto"/>
              <w:rPr>
                <w:rFonts w:ascii="宋体" w:hAnsi="宋体" w:cs="宋体"/>
                <w:color w:val="auto"/>
              </w:rPr>
            </w:pPr>
          </w:p>
        </w:tc>
      </w:tr>
      <w:tr w14:paraId="3FFFE1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742" w:type="dxa"/>
            <w:tcBorders>
              <w:top w:val="single" w:color="000000" w:sz="2" w:space="0"/>
              <w:bottom w:val="single" w:color="000000" w:sz="2" w:space="0"/>
            </w:tcBorders>
          </w:tcPr>
          <w:p w14:paraId="1668A17B">
            <w:pPr>
              <w:spacing w:line="360" w:lineRule="auto"/>
              <w:rPr>
                <w:rFonts w:ascii="宋体" w:hAnsi="宋体" w:cs="宋体"/>
                <w:color w:val="auto"/>
              </w:rPr>
            </w:pPr>
          </w:p>
        </w:tc>
        <w:tc>
          <w:tcPr>
            <w:tcW w:w="1245" w:type="dxa"/>
            <w:tcBorders>
              <w:top w:val="single" w:color="000000" w:sz="2" w:space="0"/>
              <w:bottom w:val="single" w:color="000000" w:sz="2" w:space="0"/>
            </w:tcBorders>
          </w:tcPr>
          <w:p w14:paraId="366EFD5C">
            <w:pPr>
              <w:spacing w:line="360" w:lineRule="auto"/>
              <w:rPr>
                <w:rFonts w:ascii="宋体" w:hAnsi="宋体" w:cs="宋体"/>
                <w:color w:val="auto"/>
              </w:rPr>
            </w:pPr>
          </w:p>
        </w:tc>
        <w:tc>
          <w:tcPr>
            <w:tcW w:w="801" w:type="dxa"/>
            <w:tcBorders>
              <w:top w:val="single" w:color="000000" w:sz="2" w:space="0"/>
              <w:bottom w:val="single" w:color="000000" w:sz="2" w:space="0"/>
            </w:tcBorders>
          </w:tcPr>
          <w:p w14:paraId="0D0652C8">
            <w:pPr>
              <w:spacing w:line="360" w:lineRule="auto"/>
              <w:rPr>
                <w:rFonts w:ascii="宋体" w:hAnsi="宋体" w:cs="宋体"/>
                <w:color w:val="auto"/>
              </w:rPr>
            </w:pPr>
          </w:p>
        </w:tc>
        <w:tc>
          <w:tcPr>
            <w:tcW w:w="895" w:type="dxa"/>
            <w:tcBorders>
              <w:top w:val="single" w:color="000000" w:sz="2" w:space="0"/>
              <w:bottom w:val="single" w:color="000000" w:sz="2" w:space="0"/>
            </w:tcBorders>
          </w:tcPr>
          <w:p w14:paraId="5FF2EB92">
            <w:pPr>
              <w:spacing w:line="360" w:lineRule="auto"/>
              <w:rPr>
                <w:rFonts w:ascii="宋体" w:hAnsi="宋体" w:cs="宋体"/>
                <w:color w:val="auto"/>
              </w:rPr>
            </w:pPr>
          </w:p>
        </w:tc>
        <w:tc>
          <w:tcPr>
            <w:tcW w:w="1784" w:type="dxa"/>
            <w:tcBorders>
              <w:top w:val="single" w:color="000000" w:sz="2" w:space="0"/>
              <w:bottom w:val="single" w:color="000000" w:sz="2" w:space="0"/>
            </w:tcBorders>
          </w:tcPr>
          <w:p w14:paraId="4D5CBC15">
            <w:pPr>
              <w:spacing w:line="360" w:lineRule="auto"/>
              <w:rPr>
                <w:rFonts w:ascii="宋体" w:hAnsi="宋体" w:cs="宋体"/>
                <w:color w:val="auto"/>
              </w:rPr>
            </w:pPr>
          </w:p>
        </w:tc>
        <w:tc>
          <w:tcPr>
            <w:tcW w:w="1243" w:type="dxa"/>
            <w:tcBorders>
              <w:top w:val="single" w:color="000000" w:sz="2" w:space="0"/>
              <w:bottom w:val="single" w:color="000000" w:sz="2" w:space="0"/>
            </w:tcBorders>
          </w:tcPr>
          <w:p w14:paraId="61DA7619">
            <w:pPr>
              <w:spacing w:line="360" w:lineRule="auto"/>
              <w:rPr>
                <w:rFonts w:ascii="宋体" w:hAnsi="宋体" w:cs="宋体"/>
                <w:color w:val="auto"/>
              </w:rPr>
            </w:pPr>
          </w:p>
        </w:tc>
        <w:tc>
          <w:tcPr>
            <w:tcW w:w="737" w:type="dxa"/>
            <w:tcBorders>
              <w:top w:val="single" w:color="000000" w:sz="2" w:space="0"/>
              <w:bottom w:val="single" w:color="000000" w:sz="2" w:space="0"/>
            </w:tcBorders>
          </w:tcPr>
          <w:p w14:paraId="59285567">
            <w:pPr>
              <w:spacing w:line="360" w:lineRule="auto"/>
              <w:rPr>
                <w:rFonts w:ascii="宋体" w:hAnsi="宋体" w:cs="宋体"/>
                <w:color w:val="auto"/>
              </w:rPr>
            </w:pPr>
          </w:p>
        </w:tc>
        <w:tc>
          <w:tcPr>
            <w:tcW w:w="1509" w:type="dxa"/>
            <w:tcBorders>
              <w:top w:val="single" w:color="000000" w:sz="2" w:space="0"/>
              <w:bottom w:val="single" w:color="000000" w:sz="2" w:space="0"/>
            </w:tcBorders>
          </w:tcPr>
          <w:p w14:paraId="5CF53D4A">
            <w:pPr>
              <w:spacing w:line="360" w:lineRule="auto"/>
              <w:rPr>
                <w:rFonts w:ascii="宋体" w:hAnsi="宋体" w:cs="宋体"/>
                <w:color w:val="auto"/>
              </w:rPr>
            </w:pPr>
          </w:p>
        </w:tc>
      </w:tr>
    </w:tbl>
    <w:p w14:paraId="443E2278">
      <w:pPr>
        <w:spacing w:line="360" w:lineRule="auto"/>
        <w:ind w:left="132"/>
        <w:rPr>
          <w:rFonts w:ascii="宋体" w:hAnsi="宋体" w:cs="宋体"/>
          <w:color w:val="auto"/>
          <w:sz w:val="23"/>
          <w:szCs w:val="23"/>
        </w:rPr>
      </w:pPr>
      <w:r>
        <w:rPr>
          <w:rFonts w:hint="eastAsia" w:ascii="宋体" w:hAnsi="宋体" w:cs="宋体"/>
          <w:color w:val="auto"/>
          <w:spacing w:val="-11"/>
          <w:sz w:val="23"/>
          <w:szCs w:val="23"/>
        </w:rPr>
        <w:t>备</w:t>
      </w:r>
      <w:r>
        <w:rPr>
          <w:rFonts w:hint="eastAsia" w:ascii="宋体" w:hAnsi="宋体" w:cs="宋体"/>
          <w:color w:val="auto"/>
          <w:spacing w:val="-9"/>
          <w:sz w:val="23"/>
          <w:szCs w:val="23"/>
        </w:rPr>
        <w:t>注：</w:t>
      </w:r>
    </w:p>
    <w:p w14:paraId="5E92C624">
      <w:pPr>
        <w:spacing w:before="3" w:line="360" w:lineRule="auto"/>
        <w:ind w:left="9" w:firstLine="5"/>
        <w:rPr>
          <w:rFonts w:ascii="宋体" w:hAnsi="宋体" w:cs="宋体"/>
          <w:color w:val="auto"/>
          <w:spacing w:val="-7"/>
          <w:szCs w:val="21"/>
        </w:rPr>
      </w:pPr>
      <w:r>
        <w:rPr>
          <w:rFonts w:hint="eastAsia" w:ascii="宋体" w:hAnsi="宋体" w:cs="宋体"/>
          <w:color w:val="auto"/>
          <w:spacing w:val="-7"/>
          <w:szCs w:val="21"/>
        </w:rPr>
        <w:t>以上性能配置清单中“服务名称、数量及单位、品牌、规格型号、制造商、原产地、参数性能、指标及配置”必须如实填写完整，品牌、规格型号没有则填无，填写有缺漏的， 响应文件作无效处理。服务名称、数量及单位、 品牌必须与“服务需求一览表”一致， 否则响应文件作无效处理。</w:t>
      </w:r>
    </w:p>
    <w:p w14:paraId="23E5D153">
      <w:pPr>
        <w:spacing w:line="360" w:lineRule="auto"/>
        <w:rPr>
          <w:rFonts w:ascii="宋体" w:hAnsi="宋体" w:cs="宋体"/>
          <w:color w:val="auto"/>
        </w:rPr>
      </w:pPr>
    </w:p>
    <w:p w14:paraId="4F3D57A2">
      <w:pPr>
        <w:spacing w:before="79" w:line="360" w:lineRule="auto"/>
        <w:ind w:left="4220"/>
        <w:rPr>
          <w:rFonts w:ascii="宋体" w:hAnsi="宋体" w:cs="宋体"/>
          <w:color w:val="auto"/>
          <w:sz w:val="24"/>
        </w:rPr>
      </w:pPr>
      <w:r>
        <w:rPr>
          <w:rFonts w:hint="eastAsia" w:ascii="宋体" w:hAnsi="宋体" w:cs="宋体"/>
          <w:color w:val="auto"/>
          <w:spacing w:val="-8"/>
          <w:sz w:val="24"/>
        </w:rPr>
        <w:t>供</w:t>
      </w:r>
      <w:r>
        <w:rPr>
          <w:rFonts w:hint="eastAsia" w:ascii="宋体" w:hAnsi="宋体" w:cs="宋体"/>
          <w:color w:val="auto"/>
          <w:spacing w:val="-7"/>
          <w:sz w:val="24"/>
        </w:rPr>
        <w:t>应</w:t>
      </w:r>
      <w:r>
        <w:rPr>
          <w:rFonts w:hint="eastAsia" w:ascii="宋体" w:hAnsi="宋体" w:cs="宋体"/>
          <w:color w:val="auto"/>
          <w:spacing w:val="-4"/>
          <w:sz w:val="24"/>
        </w:rPr>
        <w:t>商名称( 电子签章 )：</w:t>
      </w:r>
    </w:p>
    <w:p w14:paraId="5268CA28">
      <w:pPr>
        <w:spacing w:before="274" w:line="360" w:lineRule="auto"/>
        <w:ind w:left="3398"/>
        <w:rPr>
          <w:rFonts w:ascii="宋体" w:hAnsi="宋体" w:cs="宋体"/>
          <w:color w:val="auto"/>
          <w:sz w:val="24"/>
        </w:rPr>
      </w:pPr>
      <w:r>
        <w:rPr>
          <w:rFonts w:hint="eastAsia" w:ascii="宋体" w:hAnsi="宋体" w:cs="宋体"/>
          <w:color w:val="auto"/>
          <w:spacing w:val="-16"/>
          <w:sz w:val="24"/>
        </w:rPr>
        <w:t>日</w:t>
      </w:r>
      <w:r>
        <w:rPr>
          <w:rFonts w:hint="eastAsia" w:ascii="宋体" w:hAnsi="宋体" w:cs="宋体"/>
          <w:color w:val="auto"/>
          <w:spacing w:val="-9"/>
          <w:sz w:val="24"/>
        </w:rPr>
        <w:t>期</w:t>
      </w:r>
      <w:r>
        <w:rPr>
          <w:rFonts w:hint="eastAsia" w:ascii="宋体" w:hAnsi="宋体" w:cs="宋体"/>
          <w:color w:val="auto"/>
          <w:spacing w:val="-8"/>
          <w:sz w:val="24"/>
        </w:rPr>
        <w:t>：   年  月   日</w:t>
      </w:r>
    </w:p>
    <w:p w14:paraId="19BCB667">
      <w:pPr>
        <w:spacing w:line="360" w:lineRule="auto"/>
        <w:rPr>
          <w:rFonts w:ascii="宋体" w:hAnsi="宋体" w:cs="宋体"/>
          <w:color w:val="auto"/>
        </w:rPr>
        <w:sectPr>
          <w:pgSz w:w="11905" w:h="16838"/>
          <w:pgMar w:top="1417" w:right="1134" w:bottom="1417" w:left="1100" w:header="703" w:footer="703" w:gutter="0"/>
          <w:cols w:space="720" w:num="1"/>
        </w:sectPr>
      </w:pPr>
    </w:p>
    <w:p w14:paraId="4BEA09E6">
      <w:pPr>
        <w:spacing w:line="360" w:lineRule="auto"/>
        <w:rPr>
          <w:rFonts w:ascii="宋体" w:hAnsi="宋体" w:cs="宋体"/>
          <w:color w:val="auto"/>
        </w:rPr>
      </w:pPr>
    </w:p>
    <w:p w14:paraId="5FA7BCB9">
      <w:pPr>
        <w:spacing w:before="98" w:line="360" w:lineRule="auto"/>
        <w:ind w:left="1274"/>
        <w:rPr>
          <w:rFonts w:ascii="宋体" w:hAnsi="宋体" w:cs="宋体"/>
          <w:color w:val="auto"/>
          <w:sz w:val="30"/>
          <w:szCs w:val="30"/>
        </w:rPr>
      </w:pPr>
      <w:r>
        <w:rPr>
          <w:rFonts w:hint="eastAsia" w:ascii="宋体" w:hAnsi="宋体" w:cs="宋体"/>
          <w:color w:val="auto"/>
          <w:spacing w:val="-3"/>
          <w:sz w:val="30"/>
          <w:szCs w:val="30"/>
        </w:rPr>
        <w:t>八</w:t>
      </w:r>
      <w:r>
        <w:rPr>
          <w:rFonts w:hint="eastAsia" w:ascii="宋体" w:hAnsi="宋体" w:cs="宋体"/>
          <w:color w:val="auto"/>
          <w:spacing w:val="-2"/>
          <w:sz w:val="30"/>
          <w:szCs w:val="30"/>
        </w:rPr>
        <w:t>、组织服务方案</w:t>
      </w:r>
    </w:p>
    <w:p w14:paraId="1B00674C">
      <w:pPr>
        <w:spacing w:before="88" w:line="360" w:lineRule="auto"/>
        <w:ind w:left="2498"/>
        <w:jc w:val="center"/>
        <w:rPr>
          <w:rFonts w:ascii="宋体" w:hAnsi="宋体" w:cs="宋体"/>
          <w:color w:val="auto"/>
          <w:spacing w:val="-1"/>
          <w:sz w:val="24"/>
        </w:rPr>
      </w:pPr>
    </w:p>
    <w:p w14:paraId="71D9E097">
      <w:pPr>
        <w:spacing w:line="360" w:lineRule="auto"/>
        <w:jc w:val="center"/>
        <w:rPr>
          <w:rFonts w:ascii="宋体" w:hAnsi="宋体" w:cs="宋体"/>
          <w:color w:val="auto"/>
          <w:sz w:val="24"/>
        </w:rPr>
      </w:pPr>
      <w:r>
        <w:rPr>
          <w:rFonts w:hint="eastAsia" w:ascii="宋体" w:hAnsi="宋体" w:cs="宋体"/>
          <w:color w:val="auto"/>
          <w:spacing w:val="-1"/>
          <w:sz w:val="24"/>
        </w:rPr>
        <w:t>（由供应商根据采购需求及采购文件要求或评分办法编制）</w:t>
      </w:r>
    </w:p>
    <w:p w14:paraId="4BE51A61">
      <w:pPr>
        <w:pStyle w:val="2"/>
        <w:spacing w:after="0" w:line="360" w:lineRule="auto"/>
        <w:ind w:left="0" w:leftChars="0" w:firstLine="560"/>
        <w:rPr>
          <w:rFonts w:eastAsia="宋体"/>
          <w:color w:val="auto"/>
        </w:rPr>
      </w:pPr>
    </w:p>
    <w:p w14:paraId="34581C2F">
      <w:pPr>
        <w:spacing w:line="360" w:lineRule="auto"/>
        <w:rPr>
          <w:rFonts w:ascii="宋体" w:hAnsi="宋体" w:cs="宋体"/>
          <w:color w:val="auto"/>
        </w:rPr>
      </w:pPr>
    </w:p>
    <w:p w14:paraId="7FFA656D">
      <w:pPr>
        <w:spacing w:line="360" w:lineRule="auto"/>
        <w:rPr>
          <w:rFonts w:ascii="宋体" w:hAnsi="宋体" w:cs="宋体"/>
          <w:color w:val="auto"/>
        </w:rPr>
      </w:pPr>
    </w:p>
    <w:p w14:paraId="4A260541">
      <w:pPr>
        <w:spacing w:line="360" w:lineRule="auto"/>
        <w:rPr>
          <w:rFonts w:ascii="宋体" w:hAnsi="宋体" w:cs="宋体"/>
          <w:color w:val="auto"/>
        </w:rPr>
      </w:pPr>
    </w:p>
    <w:p w14:paraId="2D463CE5">
      <w:pPr>
        <w:spacing w:before="78" w:line="360" w:lineRule="auto"/>
        <w:ind w:left="4754"/>
        <w:rPr>
          <w:rFonts w:ascii="宋体" w:hAnsi="宋体" w:cs="宋体"/>
          <w:color w:val="auto"/>
          <w:sz w:val="24"/>
        </w:rPr>
      </w:pPr>
      <w:r>
        <w:rPr>
          <w:rFonts w:hint="eastAsia" w:ascii="宋体" w:hAnsi="宋体" w:cs="宋体"/>
          <w:color w:val="auto"/>
          <w:spacing w:val="-8"/>
          <w:sz w:val="24"/>
        </w:rPr>
        <w:t>供</w:t>
      </w:r>
      <w:r>
        <w:rPr>
          <w:rFonts w:hint="eastAsia" w:ascii="宋体" w:hAnsi="宋体" w:cs="宋体"/>
          <w:color w:val="auto"/>
          <w:spacing w:val="-7"/>
          <w:sz w:val="24"/>
        </w:rPr>
        <w:t>应</w:t>
      </w:r>
      <w:r>
        <w:rPr>
          <w:rFonts w:hint="eastAsia" w:ascii="宋体" w:hAnsi="宋体" w:cs="宋体"/>
          <w:color w:val="auto"/>
          <w:spacing w:val="-4"/>
          <w:sz w:val="24"/>
        </w:rPr>
        <w:t>商名称( 电子签章 )：</w:t>
      </w:r>
    </w:p>
    <w:p w14:paraId="0F6E26CB">
      <w:pPr>
        <w:spacing w:before="80" w:line="360" w:lineRule="auto"/>
        <w:jc w:val="center"/>
        <w:rPr>
          <w:rFonts w:ascii="宋体" w:hAnsi="宋体" w:cs="宋体"/>
          <w:color w:val="auto"/>
        </w:rPr>
      </w:pPr>
      <w:r>
        <w:rPr>
          <w:rFonts w:hint="eastAsia" w:ascii="宋体" w:hAnsi="宋体" w:cs="宋体"/>
          <w:color w:val="auto"/>
          <w:spacing w:val="-13"/>
          <w:sz w:val="24"/>
        </w:rPr>
        <w:t xml:space="preserve">日 期 ：     年   </w:t>
      </w:r>
      <w:r>
        <w:rPr>
          <w:rFonts w:hint="eastAsia" w:ascii="宋体" w:hAnsi="宋体" w:cs="宋体"/>
          <w:color w:val="auto"/>
          <w:spacing w:val="-12"/>
          <w:sz w:val="24"/>
        </w:rPr>
        <w:t xml:space="preserve">月  </w:t>
      </w:r>
      <w:r>
        <w:rPr>
          <w:rFonts w:hint="eastAsia" w:ascii="宋体" w:hAnsi="宋体" w:cs="宋体"/>
          <w:color w:val="auto"/>
          <w:sz w:val="24"/>
        </w:rPr>
        <w:t>日</w:t>
      </w:r>
    </w:p>
    <w:p w14:paraId="4BE7C684">
      <w:pPr>
        <w:spacing w:before="80" w:line="360" w:lineRule="auto"/>
        <w:rPr>
          <w:rFonts w:ascii="宋体" w:hAnsi="宋体" w:cs="宋体"/>
          <w:color w:val="auto"/>
        </w:rPr>
      </w:pPr>
    </w:p>
    <w:p w14:paraId="5CB0CE2E">
      <w:pPr>
        <w:spacing w:before="80" w:line="360" w:lineRule="auto"/>
        <w:rPr>
          <w:rFonts w:ascii="宋体" w:hAnsi="宋体" w:cs="宋体"/>
          <w:color w:val="auto"/>
          <w:spacing w:val="-2"/>
          <w:sz w:val="30"/>
          <w:szCs w:val="30"/>
        </w:rPr>
      </w:pPr>
      <w:r>
        <w:rPr>
          <w:rFonts w:hint="eastAsia" w:ascii="宋体" w:hAnsi="宋体" w:cs="宋体"/>
          <w:color w:val="auto"/>
          <w:spacing w:val="-2"/>
          <w:sz w:val="30"/>
          <w:szCs w:val="30"/>
        </w:rPr>
        <w:t>九、售后服务方案</w:t>
      </w:r>
    </w:p>
    <w:p w14:paraId="3C910E3E">
      <w:pPr>
        <w:spacing w:before="62" w:line="360" w:lineRule="auto"/>
        <w:ind w:left="807" w:right="105" w:firstLine="445"/>
        <w:rPr>
          <w:rFonts w:ascii="宋体" w:hAnsi="宋体" w:cs="宋体"/>
          <w:color w:val="auto"/>
          <w:szCs w:val="21"/>
        </w:rPr>
      </w:pPr>
      <w:r>
        <w:rPr>
          <w:rFonts w:hint="eastAsia" w:ascii="宋体" w:hAnsi="宋体" w:cs="宋体"/>
          <w:color w:val="auto"/>
          <w:spacing w:val="3"/>
          <w:szCs w:val="21"/>
        </w:rPr>
        <w:t>由竞标人按本项目竞争性磋商采购文件第二章“服务需求一览表”中商务条款部分的</w:t>
      </w:r>
      <w:r>
        <w:rPr>
          <w:rFonts w:hint="eastAsia" w:ascii="宋体" w:hAnsi="宋体" w:cs="宋体"/>
          <w:color w:val="auto"/>
          <w:spacing w:val="1"/>
          <w:szCs w:val="21"/>
        </w:rPr>
        <w:t>售</w:t>
      </w:r>
      <w:r>
        <w:rPr>
          <w:rFonts w:hint="eastAsia" w:ascii="宋体" w:hAnsi="宋体" w:cs="宋体"/>
          <w:color w:val="auto"/>
          <w:szCs w:val="21"/>
        </w:rPr>
        <w:t xml:space="preserve"> </w:t>
      </w:r>
      <w:r>
        <w:rPr>
          <w:rFonts w:hint="eastAsia" w:ascii="宋体" w:hAnsi="宋体" w:cs="宋体"/>
          <w:color w:val="auto"/>
          <w:spacing w:val="-1"/>
          <w:szCs w:val="21"/>
        </w:rPr>
        <w:t>后服务要求自行填写，</w:t>
      </w:r>
      <w:r>
        <w:rPr>
          <w:rFonts w:hint="eastAsia" w:ascii="宋体" w:hAnsi="宋体" w:cs="宋体"/>
          <w:color w:val="auto"/>
          <w:szCs w:val="21"/>
        </w:rPr>
        <w:t>其中要包含售后服务承诺书。</w:t>
      </w:r>
    </w:p>
    <w:p w14:paraId="6E308DDF">
      <w:pPr>
        <w:numPr>
          <w:ilvl w:val="0"/>
          <w:numId w:val="3"/>
        </w:numPr>
        <w:spacing w:before="83" w:line="360" w:lineRule="auto"/>
        <w:ind w:left="3924"/>
        <w:rPr>
          <w:rFonts w:ascii="宋体" w:hAnsi="宋体" w:cs="宋体"/>
          <w:color w:val="auto"/>
          <w:spacing w:val="-4"/>
          <w:sz w:val="32"/>
          <w:szCs w:val="32"/>
        </w:rPr>
      </w:pPr>
      <w:r>
        <w:rPr>
          <w:rFonts w:hint="eastAsia" w:ascii="宋体" w:hAnsi="宋体" w:cs="宋体"/>
          <w:color w:val="auto"/>
          <w:spacing w:val="-4"/>
          <w:sz w:val="32"/>
          <w:szCs w:val="32"/>
        </w:rPr>
        <w:t>售后服务承诺</w:t>
      </w:r>
    </w:p>
    <w:p w14:paraId="753483B7">
      <w:pPr>
        <w:pStyle w:val="2"/>
        <w:spacing w:line="360" w:lineRule="auto"/>
        <w:ind w:left="0" w:leftChars="0" w:firstLine="0" w:firstLineChars="0"/>
        <w:rPr>
          <w:rFonts w:eastAsia="宋体"/>
          <w:color w:val="auto"/>
        </w:rPr>
      </w:pPr>
    </w:p>
    <w:p w14:paraId="6C051735">
      <w:pPr>
        <w:spacing w:before="1" w:line="360" w:lineRule="auto"/>
        <w:ind w:left="681"/>
        <w:rPr>
          <w:rFonts w:ascii="宋体" w:hAnsi="宋体" w:cs="宋体"/>
          <w:color w:val="auto"/>
          <w:sz w:val="24"/>
        </w:rPr>
      </w:pPr>
      <w:r>
        <w:rPr>
          <w:rFonts w:hint="eastAsia" w:ascii="宋体" w:hAnsi="宋体" w:cs="宋体"/>
          <w:color w:val="auto"/>
          <w:spacing w:val="8"/>
          <w:sz w:val="24"/>
        </w:rPr>
        <w:t>附表</w:t>
      </w:r>
      <w:r>
        <w:rPr>
          <w:rFonts w:hint="eastAsia" w:ascii="宋体" w:hAnsi="宋体" w:cs="宋体"/>
          <w:color w:val="auto"/>
          <w:sz w:val="24"/>
        </w:rPr>
        <w:t>A</w:t>
      </w:r>
      <w:r>
        <w:rPr>
          <w:rFonts w:hint="eastAsia" w:ascii="宋体" w:hAnsi="宋体" w:cs="宋体"/>
          <w:color w:val="auto"/>
          <w:spacing w:val="8"/>
          <w:sz w:val="24"/>
        </w:rPr>
        <w:t>:</w:t>
      </w:r>
      <w:r>
        <w:rPr>
          <w:rFonts w:hint="eastAsia" w:ascii="宋体" w:hAnsi="宋体" w:cs="宋体"/>
          <w:color w:val="auto"/>
          <w:spacing w:val="4"/>
          <w:sz w:val="24"/>
        </w:rPr>
        <w:t>售后服务机构情况表(按此格式自制)</w:t>
      </w:r>
    </w:p>
    <w:p w14:paraId="23C42ADA">
      <w:pPr>
        <w:spacing w:line="360" w:lineRule="auto"/>
        <w:rPr>
          <w:rFonts w:ascii="宋体" w:hAnsi="宋体" w:cs="宋体"/>
          <w:color w:val="auto"/>
        </w:rPr>
      </w:pPr>
    </w:p>
    <w:tbl>
      <w:tblPr>
        <w:tblStyle w:val="26"/>
        <w:tblW w:w="8358" w:type="dxa"/>
        <w:tblInd w:w="65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94"/>
        <w:gridCol w:w="2230"/>
        <w:gridCol w:w="1045"/>
        <w:gridCol w:w="1186"/>
        <w:gridCol w:w="1888"/>
        <w:gridCol w:w="1215"/>
      </w:tblGrid>
      <w:tr w14:paraId="052506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87" w:hRule="atLeast"/>
        </w:trPr>
        <w:tc>
          <w:tcPr>
            <w:tcW w:w="794" w:type="dxa"/>
            <w:tcBorders>
              <w:top w:val="single" w:color="000000" w:sz="2" w:space="0"/>
              <w:bottom w:val="single" w:color="000000" w:sz="2" w:space="0"/>
            </w:tcBorders>
          </w:tcPr>
          <w:p w14:paraId="577BA46C">
            <w:pPr>
              <w:spacing w:before="6" w:line="360" w:lineRule="auto"/>
              <w:ind w:left="177"/>
              <w:rPr>
                <w:rFonts w:ascii="宋体" w:hAnsi="宋体" w:cs="宋体"/>
                <w:color w:val="auto"/>
                <w:sz w:val="24"/>
              </w:rPr>
            </w:pPr>
            <w:r>
              <w:rPr>
                <w:rFonts w:hint="eastAsia" w:ascii="宋体" w:hAnsi="宋体" w:cs="宋体"/>
                <w:color w:val="auto"/>
                <w:spacing w:val="-5"/>
                <w:sz w:val="24"/>
              </w:rPr>
              <w:t>序</w:t>
            </w:r>
            <w:r>
              <w:rPr>
                <w:rFonts w:hint="eastAsia" w:ascii="宋体" w:hAnsi="宋体" w:cs="宋体"/>
                <w:color w:val="auto"/>
                <w:spacing w:val="-3"/>
                <w:sz w:val="24"/>
              </w:rPr>
              <w:t>号</w:t>
            </w:r>
          </w:p>
        </w:tc>
        <w:tc>
          <w:tcPr>
            <w:tcW w:w="2230" w:type="dxa"/>
            <w:tcBorders>
              <w:top w:val="single" w:color="000000" w:sz="2" w:space="0"/>
              <w:bottom w:val="single" w:color="000000" w:sz="2" w:space="0"/>
            </w:tcBorders>
          </w:tcPr>
          <w:p w14:paraId="40649DB5">
            <w:pPr>
              <w:spacing w:before="5" w:line="360" w:lineRule="auto"/>
              <w:ind w:left="689"/>
              <w:rPr>
                <w:rFonts w:ascii="宋体" w:hAnsi="宋体" w:cs="宋体"/>
                <w:color w:val="auto"/>
                <w:sz w:val="24"/>
              </w:rPr>
            </w:pPr>
            <w:r>
              <w:rPr>
                <w:rFonts w:hint="eastAsia" w:ascii="宋体" w:hAnsi="宋体" w:cs="宋体"/>
                <w:color w:val="auto"/>
                <w:spacing w:val="-2"/>
                <w:sz w:val="24"/>
              </w:rPr>
              <w:t>机构</w:t>
            </w:r>
            <w:r>
              <w:rPr>
                <w:rFonts w:hint="eastAsia" w:ascii="宋体" w:hAnsi="宋体" w:cs="宋体"/>
                <w:color w:val="auto"/>
                <w:spacing w:val="-1"/>
                <w:sz w:val="24"/>
              </w:rPr>
              <w:t>名称</w:t>
            </w:r>
          </w:p>
        </w:tc>
        <w:tc>
          <w:tcPr>
            <w:tcW w:w="1045" w:type="dxa"/>
            <w:tcBorders>
              <w:top w:val="single" w:color="000000" w:sz="2" w:space="0"/>
              <w:bottom w:val="single" w:color="000000" w:sz="2" w:space="0"/>
            </w:tcBorders>
          </w:tcPr>
          <w:p w14:paraId="03E8FDF9">
            <w:pPr>
              <w:spacing w:before="4" w:line="360" w:lineRule="auto"/>
              <w:ind w:left="432" w:right="182" w:hanging="242"/>
              <w:rPr>
                <w:rFonts w:ascii="宋体" w:hAnsi="宋体" w:cs="宋体"/>
                <w:color w:val="auto"/>
                <w:sz w:val="24"/>
              </w:rPr>
            </w:pPr>
            <w:r>
              <w:rPr>
                <w:rFonts w:hint="eastAsia" w:ascii="宋体" w:hAnsi="宋体" w:cs="宋体"/>
                <w:color w:val="auto"/>
                <w:spacing w:val="-4"/>
                <w:sz w:val="24"/>
              </w:rPr>
              <w:t>机</w:t>
            </w:r>
            <w:r>
              <w:rPr>
                <w:rFonts w:hint="eastAsia" w:ascii="宋体" w:hAnsi="宋体" w:cs="宋体"/>
                <w:color w:val="auto"/>
                <w:spacing w:val="-2"/>
                <w:sz w:val="24"/>
              </w:rPr>
              <w:t>构性</w:t>
            </w:r>
            <w:r>
              <w:rPr>
                <w:rFonts w:hint="eastAsia" w:ascii="宋体" w:hAnsi="宋体" w:cs="宋体"/>
                <w:color w:val="auto"/>
                <w:sz w:val="24"/>
              </w:rPr>
              <w:t xml:space="preserve"> 质</w:t>
            </w:r>
          </w:p>
        </w:tc>
        <w:tc>
          <w:tcPr>
            <w:tcW w:w="1186" w:type="dxa"/>
            <w:tcBorders>
              <w:top w:val="single" w:color="000000" w:sz="2" w:space="0"/>
              <w:bottom w:val="single" w:color="000000" w:sz="2" w:space="0"/>
            </w:tcBorders>
          </w:tcPr>
          <w:p w14:paraId="1D4EEE0C">
            <w:pPr>
              <w:spacing w:before="5" w:line="360" w:lineRule="auto"/>
              <w:ind w:left="153"/>
              <w:rPr>
                <w:rFonts w:ascii="宋体" w:hAnsi="宋体" w:cs="宋体"/>
                <w:color w:val="auto"/>
                <w:sz w:val="24"/>
              </w:rPr>
            </w:pPr>
            <w:r>
              <w:rPr>
                <w:rFonts w:hint="eastAsia" w:ascii="宋体" w:hAnsi="宋体" w:cs="宋体"/>
                <w:color w:val="auto"/>
                <w:spacing w:val="-6"/>
                <w:sz w:val="24"/>
              </w:rPr>
              <w:t>注</w:t>
            </w:r>
            <w:r>
              <w:rPr>
                <w:rFonts w:hint="eastAsia" w:ascii="宋体" w:hAnsi="宋体" w:cs="宋体"/>
                <w:color w:val="auto"/>
                <w:spacing w:val="-4"/>
                <w:sz w:val="24"/>
              </w:rPr>
              <w:t>册</w:t>
            </w:r>
            <w:r>
              <w:rPr>
                <w:rFonts w:hint="eastAsia" w:ascii="宋体" w:hAnsi="宋体" w:cs="宋体"/>
                <w:color w:val="auto"/>
                <w:spacing w:val="-3"/>
                <w:sz w:val="24"/>
              </w:rPr>
              <w:t>地址</w:t>
            </w:r>
          </w:p>
        </w:tc>
        <w:tc>
          <w:tcPr>
            <w:tcW w:w="1888" w:type="dxa"/>
            <w:tcBorders>
              <w:top w:val="single" w:color="000000" w:sz="2" w:space="0"/>
              <w:bottom w:val="single" w:color="000000" w:sz="2" w:space="0"/>
            </w:tcBorders>
          </w:tcPr>
          <w:p w14:paraId="3E879587">
            <w:pPr>
              <w:spacing w:before="4" w:line="360" w:lineRule="auto"/>
              <w:ind w:left="881" w:right="140" w:hanging="722"/>
              <w:rPr>
                <w:rFonts w:ascii="宋体" w:hAnsi="宋体" w:cs="宋体"/>
                <w:color w:val="auto"/>
                <w:sz w:val="24"/>
              </w:rPr>
            </w:pPr>
            <w:r>
              <w:rPr>
                <w:rFonts w:hint="eastAsia" w:ascii="宋体" w:hAnsi="宋体" w:cs="宋体"/>
                <w:color w:val="auto"/>
                <w:spacing w:val="-2"/>
                <w:sz w:val="24"/>
              </w:rPr>
              <w:t>服务技术人员</w:t>
            </w:r>
            <w:r>
              <w:rPr>
                <w:rFonts w:hint="eastAsia" w:ascii="宋体" w:hAnsi="宋体" w:cs="宋体"/>
                <w:color w:val="auto"/>
                <w:spacing w:val="-1"/>
                <w:sz w:val="24"/>
              </w:rPr>
              <w:t>数</w:t>
            </w:r>
            <w:r>
              <w:rPr>
                <w:rFonts w:hint="eastAsia" w:ascii="宋体" w:hAnsi="宋体" w:cs="宋体"/>
                <w:color w:val="auto"/>
                <w:sz w:val="24"/>
              </w:rPr>
              <w:t xml:space="preserve"> 量</w:t>
            </w:r>
          </w:p>
        </w:tc>
        <w:tc>
          <w:tcPr>
            <w:tcW w:w="1215" w:type="dxa"/>
            <w:tcBorders>
              <w:top w:val="single" w:color="000000" w:sz="2" w:space="0"/>
              <w:bottom w:val="single" w:color="000000" w:sz="2" w:space="0"/>
            </w:tcBorders>
          </w:tcPr>
          <w:p w14:paraId="144BB309">
            <w:pPr>
              <w:spacing w:before="5" w:line="360" w:lineRule="auto"/>
              <w:ind w:left="164"/>
              <w:rPr>
                <w:rFonts w:ascii="宋体" w:hAnsi="宋体" w:cs="宋体"/>
                <w:color w:val="auto"/>
                <w:sz w:val="24"/>
              </w:rPr>
            </w:pPr>
            <w:r>
              <w:rPr>
                <w:rFonts w:hint="eastAsia" w:ascii="宋体" w:hAnsi="宋体" w:cs="宋体"/>
                <w:color w:val="auto"/>
                <w:spacing w:val="-4"/>
                <w:sz w:val="24"/>
              </w:rPr>
              <w:t>联</w:t>
            </w:r>
            <w:r>
              <w:rPr>
                <w:rFonts w:hint="eastAsia" w:ascii="宋体" w:hAnsi="宋体" w:cs="宋体"/>
                <w:color w:val="auto"/>
                <w:spacing w:val="-2"/>
                <w:sz w:val="24"/>
              </w:rPr>
              <w:t>系电话</w:t>
            </w:r>
          </w:p>
        </w:tc>
      </w:tr>
      <w:tr w14:paraId="66F5CA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6" w:hRule="atLeast"/>
        </w:trPr>
        <w:tc>
          <w:tcPr>
            <w:tcW w:w="794" w:type="dxa"/>
            <w:tcBorders>
              <w:top w:val="single" w:color="000000" w:sz="2" w:space="0"/>
              <w:bottom w:val="single" w:color="000000" w:sz="2" w:space="0"/>
            </w:tcBorders>
          </w:tcPr>
          <w:p w14:paraId="1FBB7EC1">
            <w:pPr>
              <w:spacing w:line="360" w:lineRule="auto"/>
              <w:rPr>
                <w:rFonts w:ascii="宋体" w:hAnsi="宋体" w:cs="宋体"/>
                <w:color w:val="auto"/>
              </w:rPr>
            </w:pPr>
          </w:p>
        </w:tc>
        <w:tc>
          <w:tcPr>
            <w:tcW w:w="2230" w:type="dxa"/>
            <w:tcBorders>
              <w:top w:val="single" w:color="000000" w:sz="2" w:space="0"/>
              <w:bottom w:val="single" w:color="000000" w:sz="2" w:space="0"/>
            </w:tcBorders>
          </w:tcPr>
          <w:p w14:paraId="7EA97AA7">
            <w:pPr>
              <w:spacing w:line="360" w:lineRule="auto"/>
              <w:rPr>
                <w:rFonts w:ascii="宋体" w:hAnsi="宋体" w:cs="宋体"/>
                <w:color w:val="auto"/>
              </w:rPr>
            </w:pPr>
          </w:p>
        </w:tc>
        <w:tc>
          <w:tcPr>
            <w:tcW w:w="1045" w:type="dxa"/>
            <w:tcBorders>
              <w:top w:val="single" w:color="000000" w:sz="2" w:space="0"/>
              <w:bottom w:val="single" w:color="000000" w:sz="2" w:space="0"/>
            </w:tcBorders>
          </w:tcPr>
          <w:p w14:paraId="25559E73">
            <w:pPr>
              <w:spacing w:line="360" w:lineRule="auto"/>
              <w:rPr>
                <w:rFonts w:ascii="宋体" w:hAnsi="宋体" w:cs="宋体"/>
                <w:color w:val="auto"/>
              </w:rPr>
            </w:pPr>
          </w:p>
        </w:tc>
        <w:tc>
          <w:tcPr>
            <w:tcW w:w="1186" w:type="dxa"/>
            <w:tcBorders>
              <w:top w:val="single" w:color="000000" w:sz="2" w:space="0"/>
              <w:bottom w:val="single" w:color="000000" w:sz="2" w:space="0"/>
            </w:tcBorders>
          </w:tcPr>
          <w:p w14:paraId="2332AB61">
            <w:pPr>
              <w:spacing w:line="360" w:lineRule="auto"/>
              <w:rPr>
                <w:rFonts w:ascii="宋体" w:hAnsi="宋体" w:cs="宋体"/>
                <w:color w:val="auto"/>
              </w:rPr>
            </w:pPr>
          </w:p>
        </w:tc>
        <w:tc>
          <w:tcPr>
            <w:tcW w:w="1888" w:type="dxa"/>
            <w:tcBorders>
              <w:top w:val="single" w:color="000000" w:sz="2" w:space="0"/>
              <w:bottom w:val="single" w:color="000000" w:sz="2" w:space="0"/>
            </w:tcBorders>
          </w:tcPr>
          <w:p w14:paraId="0B6C4044">
            <w:pPr>
              <w:spacing w:line="360" w:lineRule="auto"/>
              <w:rPr>
                <w:rFonts w:ascii="宋体" w:hAnsi="宋体" w:cs="宋体"/>
                <w:color w:val="auto"/>
              </w:rPr>
            </w:pPr>
          </w:p>
        </w:tc>
        <w:tc>
          <w:tcPr>
            <w:tcW w:w="1215" w:type="dxa"/>
            <w:tcBorders>
              <w:top w:val="single" w:color="000000" w:sz="2" w:space="0"/>
              <w:bottom w:val="single" w:color="000000" w:sz="2" w:space="0"/>
            </w:tcBorders>
          </w:tcPr>
          <w:p w14:paraId="22B8C205">
            <w:pPr>
              <w:spacing w:line="360" w:lineRule="auto"/>
              <w:rPr>
                <w:rFonts w:ascii="宋体" w:hAnsi="宋体" w:cs="宋体"/>
                <w:color w:val="auto"/>
              </w:rPr>
            </w:pPr>
          </w:p>
        </w:tc>
      </w:tr>
      <w:tr w14:paraId="12C435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6" w:hRule="atLeast"/>
        </w:trPr>
        <w:tc>
          <w:tcPr>
            <w:tcW w:w="794" w:type="dxa"/>
            <w:tcBorders>
              <w:top w:val="single" w:color="000000" w:sz="2" w:space="0"/>
              <w:bottom w:val="single" w:color="000000" w:sz="2" w:space="0"/>
            </w:tcBorders>
          </w:tcPr>
          <w:p w14:paraId="635F726E">
            <w:pPr>
              <w:spacing w:line="360" w:lineRule="auto"/>
              <w:rPr>
                <w:rFonts w:ascii="宋体" w:hAnsi="宋体" w:cs="宋体"/>
                <w:color w:val="auto"/>
              </w:rPr>
            </w:pPr>
          </w:p>
        </w:tc>
        <w:tc>
          <w:tcPr>
            <w:tcW w:w="2230" w:type="dxa"/>
            <w:tcBorders>
              <w:top w:val="single" w:color="000000" w:sz="2" w:space="0"/>
              <w:bottom w:val="single" w:color="000000" w:sz="2" w:space="0"/>
            </w:tcBorders>
          </w:tcPr>
          <w:p w14:paraId="768226FE">
            <w:pPr>
              <w:spacing w:line="360" w:lineRule="auto"/>
              <w:rPr>
                <w:rFonts w:ascii="宋体" w:hAnsi="宋体" w:cs="宋体"/>
                <w:color w:val="auto"/>
              </w:rPr>
            </w:pPr>
          </w:p>
        </w:tc>
        <w:tc>
          <w:tcPr>
            <w:tcW w:w="1045" w:type="dxa"/>
            <w:tcBorders>
              <w:top w:val="single" w:color="000000" w:sz="2" w:space="0"/>
              <w:bottom w:val="single" w:color="000000" w:sz="2" w:space="0"/>
            </w:tcBorders>
          </w:tcPr>
          <w:p w14:paraId="4645C574">
            <w:pPr>
              <w:spacing w:line="360" w:lineRule="auto"/>
              <w:rPr>
                <w:rFonts w:ascii="宋体" w:hAnsi="宋体" w:cs="宋体"/>
                <w:color w:val="auto"/>
              </w:rPr>
            </w:pPr>
          </w:p>
        </w:tc>
        <w:tc>
          <w:tcPr>
            <w:tcW w:w="1186" w:type="dxa"/>
            <w:tcBorders>
              <w:top w:val="single" w:color="000000" w:sz="2" w:space="0"/>
              <w:bottom w:val="single" w:color="000000" w:sz="2" w:space="0"/>
            </w:tcBorders>
          </w:tcPr>
          <w:p w14:paraId="017B4AE9">
            <w:pPr>
              <w:spacing w:line="360" w:lineRule="auto"/>
              <w:rPr>
                <w:rFonts w:ascii="宋体" w:hAnsi="宋体" w:cs="宋体"/>
                <w:color w:val="auto"/>
              </w:rPr>
            </w:pPr>
          </w:p>
        </w:tc>
        <w:tc>
          <w:tcPr>
            <w:tcW w:w="1888" w:type="dxa"/>
            <w:tcBorders>
              <w:top w:val="single" w:color="000000" w:sz="2" w:space="0"/>
              <w:bottom w:val="single" w:color="000000" w:sz="2" w:space="0"/>
            </w:tcBorders>
          </w:tcPr>
          <w:p w14:paraId="33A25F82">
            <w:pPr>
              <w:spacing w:line="360" w:lineRule="auto"/>
              <w:rPr>
                <w:rFonts w:ascii="宋体" w:hAnsi="宋体" w:cs="宋体"/>
                <w:color w:val="auto"/>
              </w:rPr>
            </w:pPr>
          </w:p>
        </w:tc>
        <w:tc>
          <w:tcPr>
            <w:tcW w:w="1215" w:type="dxa"/>
            <w:tcBorders>
              <w:top w:val="single" w:color="000000" w:sz="2" w:space="0"/>
              <w:bottom w:val="single" w:color="000000" w:sz="2" w:space="0"/>
            </w:tcBorders>
          </w:tcPr>
          <w:p w14:paraId="66AA1983">
            <w:pPr>
              <w:spacing w:line="360" w:lineRule="auto"/>
              <w:rPr>
                <w:rFonts w:ascii="宋体" w:hAnsi="宋体" w:cs="宋体"/>
                <w:color w:val="auto"/>
              </w:rPr>
            </w:pPr>
          </w:p>
        </w:tc>
      </w:tr>
      <w:tr w14:paraId="4AE483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794" w:type="dxa"/>
            <w:tcBorders>
              <w:top w:val="single" w:color="000000" w:sz="2" w:space="0"/>
              <w:bottom w:val="single" w:color="000000" w:sz="2" w:space="0"/>
            </w:tcBorders>
          </w:tcPr>
          <w:p w14:paraId="2F758231">
            <w:pPr>
              <w:spacing w:line="360" w:lineRule="auto"/>
              <w:rPr>
                <w:rFonts w:ascii="宋体" w:hAnsi="宋体" w:cs="宋体"/>
                <w:color w:val="auto"/>
              </w:rPr>
            </w:pPr>
          </w:p>
        </w:tc>
        <w:tc>
          <w:tcPr>
            <w:tcW w:w="2230" w:type="dxa"/>
            <w:tcBorders>
              <w:top w:val="single" w:color="000000" w:sz="2" w:space="0"/>
              <w:bottom w:val="single" w:color="000000" w:sz="2" w:space="0"/>
            </w:tcBorders>
          </w:tcPr>
          <w:p w14:paraId="4E2A1613">
            <w:pPr>
              <w:spacing w:line="360" w:lineRule="auto"/>
              <w:rPr>
                <w:rFonts w:ascii="宋体" w:hAnsi="宋体" w:cs="宋体"/>
                <w:color w:val="auto"/>
              </w:rPr>
            </w:pPr>
          </w:p>
        </w:tc>
        <w:tc>
          <w:tcPr>
            <w:tcW w:w="1045" w:type="dxa"/>
            <w:tcBorders>
              <w:top w:val="single" w:color="000000" w:sz="2" w:space="0"/>
              <w:bottom w:val="single" w:color="000000" w:sz="2" w:space="0"/>
            </w:tcBorders>
          </w:tcPr>
          <w:p w14:paraId="137471BE">
            <w:pPr>
              <w:spacing w:line="360" w:lineRule="auto"/>
              <w:rPr>
                <w:rFonts w:ascii="宋体" w:hAnsi="宋体" w:cs="宋体"/>
                <w:color w:val="auto"/>
              </w:rPr>
            </w:pPr>
          </w:p>
        </w:tc>
        <w:tc>
          <w:tcPr>
            <w:tcW w:w="1186" w:type="dxa"/>
            <w:tcBorders>
              <w:top w:val="single" w:color="000000" w:sz="2" w:space="0"/>
              <w:bottom w:val="single" w:color="000000" w:sz="2" w:space="0"/>
            </w:tcBorders>
          </w:tcPr>
          <w:p w14:paraId="79C6C71C">
            <w:pPr>
              <w:spacing w:line="360" w:lineRule="auto"/>
              <w:rPr>
                <w:rFonts w:ascii="宋体" w:hAnsi="宋体" w:cs="宋体"/>
                <w:color w:val="auto"/>
              </w:rPr>
            </w:pPr>
          </w:p>
        </w:tc>
        <w:tc>
          <w:tcPr>
            <w:tcW w:w="1888" w:type="dxa"/>
            <w:tcBorders>
              <w:top w:val="single" w:color="000000" w:sz="2" w:space="0"/>
              <w:bottom w:val="single" w:color="000000" w:sz="2" w:space="0"/>
            </w:tcBorders>
          </w:tcPr>
          <w:p w14:paraId="30252001">
            <w:pPr>
              <w:spacing w:line="360" w:lineRule="auto"/>
              <w:rPr>
                <w:rFonts w:ascii="宋体" w:hAnsi="宋体" w:cs="宋体"/>
                <w:color w:val="auto"/>
              </w:rPr>
            </w:pPr>
          </w:p>
        </w:tc>
        <w:tc>
          <w:tcPr>
            <w:tcW w:w="1215" w:type="dxa"/>
            <w:tcBorders>
              <w:top w:val="single" w:color="000000" w:sz="2" w:space="0"/>
              <w:bottom w:val="single" w:color="000000" w:sz="2" w:space="0"/>
            </w:tcBorders>
          </w:tcPr>
          <w:p w14:paraId="539D1461">
            <w:pPr>
              <w:spacing w:line="360" w:lineRule="auto"/>
              <w:rPr>
                <w:rFonts w:ascii="宋体" w:hAnsi="宋体" w:cs="宋体"/>
                <w:color w:val="auto"/>
              </w:rPr>
            </w:pPr>
          </w:p>
        </w:tc>
      </w:tr>
    </w:tbl>
    <w:p w14:paraId="55C11F8E">
      <w:pPr>
        <w:spacing w:before="2" w:line="360" w:lineRule="auto"/>
        <w:ind w:left="660" w:right="105" w:firstLine="8"/>
        <w:rPr>
          <w:rFonts w:ascii="宋体" w:hAnsi="宋体" w:cs="宋体"/>
          <w:color w:val="auto"/>
          <w:szCs w:val="21"/>
        </w:rPr>
      </w:pPr>
      <w:r>
        <w:rPr>
          <w:rFonts w:hint="eastAsia" w:ascii="宋体" w:hAnsi="宋体" w:cs="宋体"/>
          <w:color w:val="auto"/>
          <w:spacing w:val="22"/>
          <w:szCs w:val="21"/>
        </w:rPr>
        <w:t>注</w:t>
      </w:r>
      <w:r>
        <w:rPr>
          <w:rFonts w:hint="eastAsia" w:ascii="宋体" w:hAnsi="宋体" w:cs="宋体"/>
          <w:color w:val="auto"/>
          <w:spacing w:val="16"/>
          <w:szCs w:val="21"/>
        </w:rPr>
        <w:t>：</w:t>
      </w:r>
      <w:r>
        <w:rPr>
          <w:rFonts w:hint="eastAsia" w:ascii="宋体" w:hAnsi="宋体" w:cs="宋体"/>
          <w:color w:val="auto"/>
          <w:spacing w:val="11"/>
          <w:szCs w:val="21"/>
        </w:rPr>
        <w:t>关于项目涉及的所有售后服务机构均在本表注明，包括供应商本单位和符合条</w:t>
      </w:r>
      <w:r>
        <w:rPr>
          <w:rFonts w:hint="eastAsia" w:ascii="宋体" w:hAnsi="宋体" w:cs="宋体"/>
          <w:color w:val="auto"/>
          <w:szCs w:val="21"/>
        </w:rPr>
        <w:t xml:space="preserve"> </w:t>
      </w:r>
      <w:r>
        <w:rPr>
          <w:rFonts w:hint="eastAsia" w:ascii="宋体" w:hAnsi="宋体" w:cs="宋体"/>
          <w:color w:val="auto"/>
          <w:spacing w:val="4"/>
          <w:szCs w:val="21"/>
        </w:rPr>
        <w:t>件的</w:t>
      </w:r>
      <w:r>
        <w:rPr>
          <w:rFonts w:hint="eastAsia" w:ascii="宋体" w:hAnsi="宋体" w:cs="宋体"/>
          <w:color w:val="auto"/>
          <w:spacing w:val="3"/>
          <w:szCs w:val="21"/>
        </w:rPr>
        <w:t>第</w:t>
      </w:r>
      <w:r>
        <w:rPr>
          <w:rFonts w:hint="eastAsia" w:ascii="宋体" w:hAnsi="宋体" w:cs="宋体"/>
          <w:color w:val="auto"/>
          <w:spacing w:val="2"/>
          <w:szCs w:val="21"/>
        </w:rPr>
        <w:t>三方服务机构；</w:t>
      </w:r>
    </w:p>
    <w:p w14:paraId="66B3C647">
      <w:pPr>
        <w:spacing w:line="360" w:lineRule="auto"/>
        <w:rPr>
          <w:rFonts w:ascii="宋体" w:hAnsi="宋体" w:cs="宋体"/>
          <w:color w:val="auto"/>
        </w:rPr>
      </w:pPr>
    </w:p>
    <w:p w14:paraId="00180A00">
      <w:pPr>
        <w:spacing w:before="78" w:line="360" w:lineRule="auto"/>
        <w:ind w:left="681"/>
        <w:rPr>
          <w:rFonts w:ascii="宋体" w:hAnsi="宋体" w:cs="宋体"/>
          <w:color w:val="auto"/>
          <w:sz w:val="24"/>
        </w:rPr>
      </w:pPr>
      <w:r>
        <w:rPr>
          <w:rFonts w:hint="eastAsia" w:ascii="宋体" w:hAnsi="宋体" w:cs="宋体"/>
          <w:color w:val="auto"/>
          <w:spacing w:val="-2"/>
          <w:sz w:val="24"/>
        </w:rPr>
        <w:t>附表</w:t>
      </w:r>
      <w:r>
        <w:rPr>
          <w:rFonts w:hint="eastAsia" w:ascii="宋体" w:hAnsi="宋体" w:cs="宋体"/>
          <w:color w:val="auto"/>
          <w:spacing w:val="-1"/>
          <w:sz w:val="24"/>
        </w:rPr>
        <w:t>B</w:t>
      </w:r>
      <w:r>
        <w:rPr>
          <w:rFonts w:hint="eastAsia" w:ascii="宋体" w:hAnsi="宋体" w:cs="宋体"/>
          <w:color w:val="auto"/>
          <w:spacing w:val="-2"/>
          <w:sz w:val="24"/>
        </w:rPr>
        <w:t>：售后服</w:t>
      </w:r>
      <w:r>
        <w:rPr>
          <w:rFonts w:hint="eastAsia" w:ascii="宋体" w:hAnsi="宋体" w:cs="宋体"/>
          <w:color w:val="auto"/>
          <w:spacing w:val="-1"/>
          <w:sz w:val="24"/>
        </w:rPr>
        <w:t>务人员情况表 (按此格式自制)</w:t>
      </w:r>
    </w:p>
    <w:p w14:paraId="22EB8B29">
      <w:pPr>
        <w:spacing w:line="360" w:lineRule="auto"/>
        <w:rPr>
          <w:rFonts w:ascii="宋体" w:hAnsi="宋体" w:cs="宋体"/>
          <w:color w:val="auto"/>
        </w:rPr>
      </w:pPr>
    </w:p>
    <w:tbl>
      <w:tblPr>
        <w:tblStyle w:val="26"/>
        <w:tblW w:w="5014" w:type="pct"/>
        <w:tblInd w:w="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632"/>
        <w:gridCol w:w="1007"/>
        <w:gridCol w:w="476"/>
        <w:gridCol w:w="659"/>
        <w:gridCol w:w="609"/>
        <w:gridCol w:w="1046"/>
        <w:gridCol w:w="1046"/>
        <w:gridCol w:w="1046"/>
        <w:gridCol w:w="1221"/>
        <w:gridCol w:w="871"/>
        <w:gridCol w:w="1101"/>
      </w:tblGrid>
      <w:tr w14:paraId="658634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96" w:hRule="atLeast"/>
        </w:trPr>
        <w:tc>
          <w:tcPr>
            <w:tcW w:w="325" w:type="pct"/>
            <w:tcBorders>
              <w:left w:val="single" w:color="000000" w:sz="6" w:space="0"/>
              <w:right w:val="single" w:color="000000" w:sz="4" w:space="0"/>
            </w:tcBorders>
            <w:textDirection w:val="tbRlV"/>
          </w:tcPr>
          <w:p w14:paraId="4B52ACCF">
            <w:pPr>
              <w:spacing w:before="202" w:line="360" w:lineRule="auto"/>
              <w:ind w:left="11"/>
              <w:rPr>
                <w:rFonts w:ascii="宋体" w:hAnsi="宋体" w:cs="宋体"/>
                <w:color w:val="auto"/>
                <w:sz w:val="24"/>
              </w:rPr>
            </w:pPr>
            <w:r>
              <w:rPr>
                <w:rFonts w:hint="eastAsia" w:ascii="宋体" w:hAnsi="宋体" w:cs="宋体"/>
                <w:color w:val="auto"/>
                <w:spacing w:val="-1"/>
                <w:sz w:val="24"/>
              </w:rPr>
              <w:t>序</w:t>
            </w:r>
            <w:r>
              <w:rPr>
                <w:rFonts w:hint="eastAsia" w:ascii="宋体" w:hAnsi="宋体" w:cs="宋体"/>
                <w:color w:val="auto"/>
                <w:spacing w:val="2"/>
                <w:sz w:val="24"/>
              </w:rPr>
              <w:t xml:space="preserve"> </w:t>
            </w:r>
            <w:r>
              <w:rPr>
                <w:rFonts w:hint="eastAsia" w:ascii="宋体" w:hAnsi="宋体" w:cs="宋体"/>
                <w:color w:val="auto"/>
                <w:spacing w:val="-1"/>
                <w:sz w:val="24"/>
              </w:rPr>
              <w:t>号</w:t>
            </w:r>
          </w:p>
        </w:tc>
        <w:tc>
          <w:tcPr>
            <w:tcW w:w="518" w:type="pct"/>
            <w:tcBorders>
              <w:left w:val="single" w:color="000000" w:sz="4" w:space="0"/>
              <w:right w:val="single" w:color="000000" w:sz="6" w:space="0"/>
            </w:tcBorders>
          </w:tcPr>
          <w:p w14:paraId="5FDCC782">
            <w:pPr>
              <w:spacing w:line="360" w:lineRule="auto"/>
              <w:rPr>
                <w:rFonts w:ascii="宋体" w:hAnsi="宋体" w:cs="宋体"/>
                <w:color w:val="auto"/>
              </w:rPr>
            </w:pPr>
          </w:p>
          <w:p w14:paraId="7794D774">
            <w:pPr>
              <w:spacing w:before="78" w:line="360" w:lineRule="auto"/>
              <w:ind w:left="145"/>
              <w:rPr>
                <w:rFonts w:ascii="宋体" w:hAnsi="宋体" w:cs="宋体"/>
                <w:color w:val="auto"/>
                <w:sz w:val="24"/>
              </w:rPr>
            </w:pPr>
            <w:r>
              <w:rPr>
                <w:rFonts w:hint="eastAsia" w:ascii="宋体" w:hAnsi="宋体" w:cs="宋体"/>
                <w:color w:val="auto"/>
                <w:spacing w:val="-6"/>
                <w:sz w:val="24"/>
              </w:rPr>
              <w:t>类</w:t>
            </w:r>
            <w:r>
              <w:rPr>
                <w:rFonts w:hint="eastAsia" w:ascii="宋体" w:hAnsi="宋体" w:cs="宋体"/>
                <w:color w:val="auto"/>
                <w:spacing w:val="-5"/>
                <w:sz w:val="24"/>
              </w:rPr>
              <w:t>别</w:t>
            </w:r>
          </w:p>
        </w:tc>
        <w:tc>
          <w:tcPr>
            <w:tcW w:w="245" w:type="pct"/>
            <w:tcBorders>
              <w:left w:val="single" w:color="000000" w:sz="6" w:space="0"/>
              <w:right w:val="single" w:color="000000" w:sz="6" w:space="0"/>
            </w:tcBorders>
          </w:tcPr>
          <w:p w14:paraId="59DC3CB3">
            <w:pPr>
              <w:spacing w:line="360" w:lineRule="auto"/>
              <w:rPr>
                <w:rFonts w:ascii="宋体" w:hAnsi="宋体" w:cs="宋体"/>
                <w:color w:val="auto"/>
              </w:rPr>
            </w:pPr>
          </w:p>
          <w:p w14:paraId="356C0A0A">
            <w:pPr>
              <w:spacing w:before="78" w:line="360" w:lineRule="auto"/>
              <w:ind w:left="152"/>
              <w:rPr>
                <w:rFonts w:ascii="宋体" w:hAnsi="宋体" w:cs="宋体"/>
                <w:color w:val="auto"/>
                <w:sz w:val="24"/>
              </w:rPr>
            </w:pPr>
            <w:r>
              <w:rPr>
                <w:rFonts w:hint="eastAsia" w:ascii="宋体" w:hAnsi="宋体" w:cs="宋体"/>
                <w:color w:val="auto"/>
                <w:spacing w:val="-6"/>
                <w:sz w:val="24"/>
              </w:rPr>
              <w:t>姓</w:t>
            </w:r>
            <w:r>
              <w:rPr>
                <w:rFonts w:hint="eastAsia" w:ascii="宋体" w:hAnsi="宋体" w:cs="宋体"/>
                <w:color w:val="auto"/>
                <w:spacing w:val="-4"/>
                <w:sz w:val="24"/>
              </w:rPr>
              <w:t>名</w:t>
            </w:r>
          </w:p>
        </w:tc>
        <w:tc>
          <w:tcPr>
            <w:tcW w:w="339" w:type="pct"/>
            <w:tcBorders>
              <w:left w:val="single" w:color="000000" w:sz="6" w:space="0"/>
              <w:right w:val="single" w:color="000000" w:sz="6" w:space="0"/>
            </w:tcBorders>
            <w:textDirection w:val="tbRlV"/>
          </w:tcPr>
          <w:p w14:paraId="77AF755B">
            <w:pPr>
              <w:spacing w:before="58" w:line="360" w:lineRule="auto"/>
              <w:ind w:left="191"/>
              <w:rPr>
                <w:rFonts w:ascii="宋体" w:hAnsi="宋体" w:cs="宋体"/>
                <w:color w:val="auto"/>
                <w:sz w:val="24"/>
              </w:rPr>
            </w:pPr>
            <w:r>
              <w:rPr>
                <w:rFonts w:hint="eastAsia" w:ascii="宋体" w:hAnsi="宋体" w:cs="宋体"/>
                <w:color w:val="auto"/>
                <w:spacing w:val="-1"/>
                <w:sz w:val="24"/>
              </w:rPr>
              <w:t>性</w:t>
            </w:r>
            <w:r>
              <w:rPr>
                <w:rFonts w:hint="eastAsia" w:ascii="宋体" w:hAnsi="宋体" w:cs="宋体"/>
                <w:color w:val="auto"/>
                <w:spacing w:val="2"/>
                <w:sz w:val="24"/>
              </w:rPr>
              <w:t xml:space="preserve"> </w:t>
            </w:r>
            <w:r>
              <w:rPr>
                <w:rFonts w:hint="eastAsia" w:ascii="宋体" w:hAnsi="宋体" w:cs="宋体"/>
                <w:color w:val="auto"/>
                <w:spacing w:val="-1"/>
                <w:sz w:val="24"/>
              </w:rPr>
              <w:t>别</w:t>
            </w:r>
          </w:p>
        </w:tc>
        <w:tc>
          <w:tcPr>
            <w:tcW w:w="313" w:type="pct"/>
            <w:tcBorders>
              <w:left w:val="single" w:color="000000" w:sz="6" w:space="0"/>
              <w:right w:val="single" w:color="000000" w:sz="6" w:space="0"/>
            </w:tcBorders>
          </w:tcPr>
          <w:p w14:paraId="17107D8B">
            <w:pPr>
              <w:spacing w:line="360" w:lineRule="auto"/>
              <w:rPr>
                <w:rFonts w:ascii="宋体" w:hAnsi="宋体" w:cs="宋体"/>
                <w:color w:val="auto"/>
              </w:rPr>
            </w:pPr>
          </w:p>
          <w:p w14:paraId="01A8E5DD">
            <w:pPr>
              <w:spacing w:before="78" w:line="360" w:lineRule="auto"/>
              <w:ind w:left="213"/>
              <w:rPr>
                <w:rFonts w:ascii="宋体" w:hAnsi="宋体" w:cs="宋体"/>
                <w:color w:val="auto"/>
                <w:sz w:val="24"/>
              </w:rPr>
            </w:pPr>
            <w:r>
              <w:rPr>
                <w:rFonts w:hint="eastAsia" w:ascii="宋体" w:hAnsi="宋体" w:cs="宋体"/>
                <w:color w:val="auto"/>
                <w:spacing w:val="-7"/>
                <w:sz w:val="24"/>
              </w:rPr>
              <w:t>年</w:t>
            </w:r>
            <w:r>
              <w:rPr>
                <w:rFonts w:hint="eastAsia" w:ascii="宋体" w:hAnsi="宋体" w:cs="宋体"/>
                <w:color w:val="auto"/>
                <w:spacing w:val="-6"/>
                <w:sz w:val="24"/>
              </w:rPr>
              <w:t>龄</w:t>
            </w:r>
          </w:p>
        </w:tc>
        <w:tc>
          <w:tcPr>
            <w:tcW w:w="538" w:type="pct"/>
            <w:tcBorders>
              <w:left w:val="single" w:color="000000" w:sz="6" w:space="0"/>
              <w:right w:val="single" w:color="000000" w:sz="6" w:space="0"/>
            </w:tcBorders>
          </w:tcPr>
          <w:p w14:paraId="626F5C2A">
            <w:pPr>
              <w:spacing w:line="360" w:lineRule="auto"/>
              <w:rPr>
                <w:rFonts w:ascii="宋体" w:hAnsi="宋体" w:cs="宋体"/>
                <w:color w:val="auto"/>
              </w:rPr>
            </w:pPr>
          </w:p>
          <w:p w14:paraId="6FE372C0">
            <w:pPr>
              <w:spacing w:before="78" w:line="360" w:lineRule="auto"/>
              <w:ind w:left="315"/>
              <w:rPr>
                <w:rFonts w:ascii="宋体" w:hAnsi="宋体" w:cs="宋体"/>
                <w:color w:val="auto"/>
                <w:sz w:val="24"/>
              </w:rPr>
            </w:pPr>
            <w:r>
              <w:rPr>
                <w:rFonts w:hint="eastAsia" w:ascii="宋体" w:hAnsi="宋体" w:cs="宋体"/>
                <w:color w:val="auto"/>
                <w:spacing w:val="-6"/>
                <w:sz w:val="24"/>
              </w:rPr>
              <w:t>学历</w:t>
            </w:r>
          </w:p>
        </w:tc>
        <w:tc>
          <w:tcPr>
            <w:tcW w:w="538" w:type="pct"/>
            <w:tcBorders>
              <w:left w:val="single" w:color="000000" w:sz="6" w:space="0"/>
              <w:right w:val="single" w:color="000000" w:sz="6" w:space="0"/>
            </w:tcBorders>
          </w:tcPr>
          <w:p w14:paraId="1E663EA7">
            <w:pPr>
              <w:spacing w:line="360" w:lineRule="auto"/>
              <w:rPr>
                <w:rFonts w:ascii="宋体" w:hAnsi="宋体" w:cs="宋体"/>
                <w:color w:val="auto"/>
              </w:rPr>
            </w:pPr>
          </w:p>
          <w:p w14:paraId="3303ED06">
            <w:pPr>
              <w:spacing w:before="78" w:line="360" w:lineRule="auto"/>
              <w:ind w:left="310"/>
              <w:rPr>
                <w:rFonts w:ascii="宋体" w:hAnsi="宋体" w:cs="宋体"/>
                <w:color w:val="auto"/>
                <w:sz w:val="24"/>
              </w:rPr>
            </w:pPr>
            <w:r>
              <w:rPr>
                <w:rFonts w:hint="eastAsia" w:ascii="宋体" w:hAnsi="宋体" w:cs="宋体"/>
                <w:color w:val="auto"/>
                <w:spacing w:val="-9"/>
                <w:sz w:val="24"/>
              </w:rPr>
              <w:t>专</w:t>
            </w:r>
            <w:r>
              <w:rPr>
                <w:rFonts w:hint="eastAsia" w:ascii="宋体" w:hAnsi="宋体" w:cs="宋体"/>
                <w:color w:val="auto"/>
                <w:spacing w:val="-8"/>
                <w:sz w:val="24"/>
              </w:rPr>
              <w:t>业</w:t>
            </w:r>
          </w:p>
        </w:tc>
        <w:tc>
          <w:tcPr>
            <w:tcW w:w="538" w:type="pct"/>
            <w:tcBorders>
              <w:left w:val="single" w:color="000000" w:sz="6" w:space="0"/>
              <w:right w:val="single" w:color="000000" w:sz="6" w:space="0"/>
            </w:tcBorders>
          </w:tcPr>
          <w:p w14:paraId="15877235">
            <w:pPr>
              <w:spacing w:line="360" w:lineRule="auto"/>
              <w:rPr>
                <w:rFonts w:ascii="宋体" w:hAnsi="宋体" w:cs="宋体"/>
                <w:color w:val="auto"/>
              </w:rPr>
            </w:pPr>
          </w:p>
          <w:p w14:paraId="5D5DE7B7">
            <w:pPr>
              <w:spacing w:before="78" w:line="360" w:lineRule="auto"/>
              <w:ind w:left="315"/>
              <w:rPr>
                <w:rFonts w:ascii="宋体" w:hAnsi="宋体" w:cs="宋体"/>
                <w:color w:val="auto"/>
                <w:sz w:val="24"/>
              </w:rPr>
            </w:pPr>
            <w:r>
              <w:rPr>
                <w:rFonts w:hint="eastAsia" w:ascii="宋体" w:hAnsi="宋体" w:cs="宋体"/>
                <w:color w:val="auto"/>
                <w:spacing w:val="-10"/>
                <w:sz w:val="24"/>
              </w:rPr>
              <w:t>职称</w:t>
            </w:r>
          </w:p>
        </w:tc>
        <w:tc>
          <w:tcPr>
            <w:tcW w:w="628" w:type="pct"/>
            <w:tcBorders>
              <w:left w:val="single" w:color="000000" w:sz="6" w:space="0"/>
              <w:right w:val="single" w:color="000000" w:sz="6" w:space="0"/>
            </w:tcBorders>
          </w:tcPr>
          <w:p w14:paraId="6BD84F15">
            <w:pPr>
              <w:spacing w:before="191" w:line="360" w:lineRule="auto"/>
              <w:ind w:left="296" w:right="135" w:hanging="140"/>
              <w:rPr>
                <w:rFonts w:ascii="宋体" w:hAnsi="宋体" w:cs="宋体"/>
                <w:color w:val="auto"/>
                <w:sz w:val="24"/>
              </w:rPr>
            </w:pPr>
            <w:r>
              <w:rPr>
                <w:rFonts w:hint="eastAsia" w:ascii="宋体" w:hAnsi="宋体" w:cs="宋体"/>
                <w:color w:val="auto"/>
                <w:spacing w:val="-4"/>
                <w:sz w:val="24"/>
              </w:rPr>
              <w:t>本</w:t>
            </w:r>
            <w:r>
              <w:rPr>
                <w:rFonts w:hint="eastAsia" w:ascii="宋体" w:hAnsi="宋体" w:cs="宋体"/>
                <w:color w:val="auto"/>
                <w:spacing w:val="-2"/>
                <w:sz w:val="24"/>
              </w:rPr>
              <w:t>项目中</w:t>
            </w:r>
            <w:r>
              <w:rPr>
                <w:rFonts w:hint="eastAsia" w:ascii="宋体" w:hAnsi="宋体" w:cs="宋体"/>
                <w:color w:val="auto"/>
                <w:sz w:val="24"/>
              </w:rPr>
              <w:t xml:space="preserve"> </w:t>
            </w:r>
            <w:r>
              <w:rPr>
                <w:rFonts w:hint="eastAsia" w:ascii="宋体" w:hAnsi="宋体" w:cs="宋体"/>
                <w:color w:val="auto"/>
                <w:spacing w:val="-10"/>
                <w:sz w:val="24"/>
              </w:rPr>
              <w:t>的职责</w:t>
            </w:r>
          </w:p>
        </w:tc>
        <w:tc>
          <w:tcPr>
            <w:tcW w:w="448" w:type="pct"/>
            <w:tcBorders>
              <w:left w:val="single" w:color="000000" w:sz="6" w:space="0"/>
              <w:right w:val="single" w:color="000000" w:sz="6" w:space="0"/>
            </w:tcBorders>
          </w:tcPr>
          <w:p w14:paraId="668F8CCB">
            <w:pPr>
              <w:spacing w:before="191" w:line="360" w:lineRule="auto"/>
              <w:ind w:left="225"/>
              <w:rPr>
                <w:rFonts w:ascii="宋体" w:hAnsi="宋体" w:cs="宋体"/>
                <w:color w:val="auto"/>
                <w:sz w:val="24"/>
              </w:rPr>
            </w:pPr>
            <w:r>
              <w:rPr>
                <w:rFonts w:hint="eastAsia" w:ascii="宋体" w:hAnsi="宋体" w:cs="宋体"/>
                <w:color w:val="auto"/>
                <w:spacing w:val="-9"/>
                <w:position w:val="8"/>
                <w:sz w:val="24"/>
              </w:rPr>
              <w:t>响</w:t>
            </w:r>
            <w:r>
              <w:rPr>
                <w:rFonts w:hint="eastAsia" w:ascii="宋体" w:hAnsi="宋体" w:cs="宋体"/>
                <w:color w:val="auto"/>
                <w:spacing w:val="-8"/>
                <w:position w:val="8"/>
                <w:sz w:val="24"/>
              </w:rPr>
              <w:t>应</w:t>
            </w:r>
          </w:p>
          <w:p w14:paraId="0E35EBF8">
            <w:pPr>
              <w:spacing w:before="1" w:line="360" w:lineRule="auto"/>
              <w:ind w:left="240"/>
              <w:rPr>
                <w:rFonts w:ascii="宋体" w:hAnsi="宋体" w:cs="宋体"/>
                <w:color w:val="auto"/>
                <w:sz w:val="24"/>
              </w:rPr>
            </w:pPr>
            <w:r>
              <w:rPr>
                <w:rFonts w:hint="eastAsia" w:ascii="宋体" w:hAnsi="宋体" w:cs="宋体"/>
                <w:color w:val="auto"/>
                <w:spacing w:val="-16"/>
                <w:sz w:val="24"/>
              </w:rPr>
              <w:t>时间</w:t>
            </w:r>
          </w:p>
        </w:tc>
        <w:tc>
          <w:tcPr>
            <w:tcW w:w="566" w:type="pct"/>
            <w:tcBorders>
              <w:left w:val="single" w:color="000000" w:sz="6" w:space="0"/>
              <w:right w:val="single" w:color="000000" w:sz="6" w:space="0"/>
            </w:tcBorders>
          </w:tcPr>
          <w:p w14:paraId="1A98903D">
            <w:pPr>
              <w:spacing w:before="192" w:line="360" w:lineRule="auto"/>
              <w:ind w:left="210" w:right="195" w:firstLine="11"/>
              <w:rPr>
                <w:rFonts w:ascii="宋体" w:hAnsi="宋体" w:cs="宋体"/>
                <w:color w:val="auto"/>
                <w:sz w:val="24"/>
              </w:rPr>
            </w:pPr>
            <w:r>
              <w:rPr>
                <w:rFonts w:hint="eastAsia" w:ascii="宋体" w:hAnsi="宋体" w:cs="宋体"/>
                <w:color w:val="auto"/>
                <w:spacing w:val="-8"/>
                <w:sz w:val="24"/>
              </w:rPr>
              <w:t>到</w:t>
            </w:r>
            <w:r>
              <w:rPr>
                <w:rFonts w:hint="eastAsia" w:ascii="宋体" w:hAnsi="宋体" w:cs="宋体"/>
                <w:color w:val="auto"/>
                <w:spacing w:val="-6"/>
                <w:sz w:val="24"/>
              </w:rPr>
              <w:t>达现</w:t>
            </w:r>
            <w:r>
              <w:rPr>
                <w:rFonts w:hint="eastAsia" w:ascii="宋体" w:hAnsi="宋体" w:cs="宋体"/>
                <w:color w:val="auto"/>
                <w:sz w:val="24"/>
              </w:rPr>
              <w:t xml:space="preserve"> </w:t>
            </w:r>
            <w:r>
              <w:rPr>
                <w:rFonts w:hint="eastAsia" w:ascii="宋体" w:hAnsi="宋体" w:cs="宋体"/>
                <w:color w:val="auto"/>
                <w:spacing w:val="-3"/>
                <w:sz w:val="24"/>
              </w:rPr>
              <w:t>场时间</w:t>
            </w:r>
          </w:p>
        </w:tc>
      </w:tr>
      <w:tr w14:paraId="2194CB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5" w:hRule="atLeast"/>
        </w:trPr>
        <w:tc>
          <w:tcPr>
            <w:tcW w:w="325" w:type="pct"/>
            <w:tcBorders>
              <w:left w:val="single" w:color="000000" w:sz="6" w:space="0"/>
              <w:right w:val="single" w:color="000000" w:sz="4" w:space="0"/>
            </w:tcBorders>
          </w:tcPr>
          <w:p w14:paraId="3B08DC1E">
            <w:pPr>
              <w:spacing w:line="360" w:lineRule="auto"/>
              <w:rPr>
                <w:rFonts w:ascii="宋体" w:hAnsi="宋体" w:cs="宋体"/>
                <w:color w:val="auto"/>
              </w:rPr>
            </w:pPr>
          </w:p>
        </w:tc>
        <w:tc>
          <w:tcPr>
            <w:tcW w:w="518" w:type="pct"/>
            <w:tcBorders>
              <w:left w:val="single" w:color="000000" w:sz="4" w:space="0"/>
              <w:right w:val="single" w:color="000000" w:sz="6" w:space="0"/>
            </w:tcBorders>
          </w:tcPr>
          <w:p w14:paraId="27AD775D">
            <w:pPr>
              <w:spacing w:before="4" w:line="360" w:lineRule="auto"/>
              <w:ind w:left="132" w:right="127" w:firstLine="15"/>
              <w:rPr>
                <w:rFonts w:ascii="宋体" w:hAnsi="宋体" w:cs="宋体"/>
                <w:color w:val="auto"/>
                <w:sz w:val="24"/>
              </w:rPr>
            </w:pPr>
            <w:r>
              <w:rPr>
                <w:rFonts w:hint="eastAsia" w:ascii="宋体" w:hAnsi="宋体" w:cs="宋体"/>
                <w:color w:val="auto"/>
                <w:spacing w:val="-14"/>
                <w:sz w:val="24"/>
              </w:rPr>
              <w:t>总</w:t>
            </w:r>
            <w:r>
              <w:rPr>
                <w:rFonts w:hint="eastAsia" w:ascii="宋体" w:hAnsi="宋体" w:cs="宋体"/>
                <w:color w:val="auto"/>
                <w:spacing w:val="-12"/>
                <w:sz w:val="24"/>
              </w:rPr>
              <w:t>协</w:t>
            </w:r>
            <w:r>
              <w:rPr>
                <w:rFonts w:hint="eastAsia" w:ascii="宋体" w:hAnsi="宋体" w:cs="宋体"/>
                <w:color w:val="auto"/>
                <w:sz w:val="24"/>
              </w:rPr>
              <w:t xml:space="preserve"> </w:t>
            </w:r>
            <w:r>
              <w:rPr>
                <w:rFonts w:hint="eastAsia" w:ascii="宋体" w:hAnsi="宋体" w:cs="宋体"/>
                <w:color w:val="auto"/>
                <w:spacing w:val="-6"/>
                <w:sz w:val="24"/>
              </w:rPr>
              <w:t>调</w:t>
            </w:r>
            <w:r>
              <w:rPr>
                <w:rFonts w:hint="eastAsia" w:ascii="宋体" w:hAnsi="宋体" w:cs="宋体"/>
                <w:color w:val="auto"/>
                <w:spacing w:val="-4"/>
                <w:sz w:val="24"/>
              </w:rPr>
              <w:t>人</w:t>
            </w:r>
          </w:p>
        </w:tc>
        <w:tc>
          <w:tcPr>
            <w:tcW w:w="245" w:type="pct"/>
            <w:tcBorders>
              <w:left w:val="single" w:color="000000" w:sz="6" w:space="0"/>
              <w:right w:val="single" w:color="000000" w:sz="6" w:space="0"/>
            </w:tcBorders>
          </w:tcPr>
          <w:p w14:paraId="3B783858">
            <w:pPr>
              <w:spacing w:line="360" w:lineRule="auto"/>
              <w:rPr>
                <w:rFonts w:ascii="宋体" w:hAnsi="宋体" w:cs="宋体"/>
                <w:color w:val="auto"/>
              </w:rPr>
            </w:pPr>
          </w:p>
        </w:tc>
        <w:tc>
          <w:tcPr>
            <w:tcW w:w="339" w:type="pct"/>
            <w:tcBorders>
              <w:left w:val="single" w:color="000000" w:sz="6" w:space="0"/>
              <w:right w:val="single" w:color="000000" w:sz="6" w:space="0"/>
            </w:tcBorders>
          </w:tcPr>
          <w:p w14:paraId="2F99ED03">
            <w:pPr>
              <w:spacing w:line="360" w:lineRule="auto"/>
              <w:rPr>
                <w:rFonts w:ascii="宋体" w:hAnsi="宋体" w:cs="宋体"/>
                <w:color w:val="auto"/>
              </w:rPr>
            </w:pPr>
          </w:p>
        </w:tc>
        <w:tc>
          <w:tcPr>
            <w:tcW w:w="313" w:type="pct"/>
            <w:tcBorders>
              <w:left w:val="single" w:color="000000" w:sz="6" w:space="0"/>
              <w:right w:val="single" w:color="000000" w:sz="6" w:space="0"/>
            </w:tcBorders>
          </w:tcPr>
          <w:p w14:paraId="52F7C958">
            <w:pPr>
              <w:spacing w:line="360" w:lineRule="auto"/>
              <w:rPr>
                <w:rFonts w:ascii="宋体" w:hAnsi="宋体" w:cs="宋体"/>
                <w:color w:val="auto"/>
              </w:rPr>
            </w:pPr>
          </w:p>
        </w:tc>
        <w:tc>
          <w:tcPr>
            <w:tcW w:w="538" w:type="pct"/>
            <w:tcBorders>
              <w:left w:val="single" w:color="000000" w:sz="6" w:space="0"/>
              <w:right w:val="single" w:color="000000" w:sz="6" w:space="0"/>
            </w:tcBorders>
          </w:tcPr>
          <w:p w14:paraId="72FA875D">
            <w:pPr>
              <w:spacing w:line="360" w:lineRule="auto"/>
              <w:rPr>
                <w:rFonts w:ascii="宋体" w:hAnsi="宋体" w:cs="宋体"/>
                <w:color w:val="auto"/>
              </w:rPr>
            </w:pPr>
          </w:p>
        </w:tc>
        <w:tc>
          <w:tcPr>
            <w:tcW w:w="538" w:type="pct"/>
            <w:tcBorders>
              <w:left w:val="single" w:color="000000" w:sz="6" w:space="0"/>
              <w:right w:val="single" w:color="000000" w:sz="6" w:space="0"/>
            </w:tcBorders>
          </w:tcPr>
          <w:p w14:paraId="64C42BFC">
            <w:pPr>
              <w:spacing w:line="360" w:lineRule="auto"/>
              <w:rPr>
                <w:rFonts w:ascii="宋体" w:hAnsi="宋体" w:cs="宋体"/>
                <w:color w:val="auto"/>
              </w:rPr>
            </w:pPr>
          </w:p>
        </w:tc>
        <w:tc>
          <w:tcPr>
            <w:tcW w:w="538" w:type="pct"/>
            <w:tcBorders>
              <w:left w:val="single" w:color="000000" w:sz="6" w:space="0"/>
              <w:right w:val="single" w:color="000000" w:sz="6" w:space="0"/>
            </w:tcBorders>
          </w:tcPr>
          <w:p w14:paraId="6D90A2DA">
            <w:pPr>
              <w:spacing w:line="360" w:lineRule="auto"/>
              <w:rPr>
                <w:rFonts w:ascii="宋体" w:hAnsi="宋体" w:cs="宋体"/>
                <w:color w:val="auto"/>
              </w:rPr>
            </w:pPr>
          </w:p>
        </w:tc>
        <w:tc>
          <w:tcPr>
            <w:tcW w:w="628" w:type="pct"/>
            <w:tcBorders>
              <w:left w:val="single" w:color="000000" w:sz="6" w:space="0"/>
              <w:right w:val="single" w:color="000000" w:sz="6" w:space="0"/>
            </w:tcBorders>
          </w:tcPr>
          <w:p w14:paraId="5B06D0A8">
            <w:pPr>
              <w:spacing w:line="360" w:lineRule="auto"/>
              <w:rPr>
                <w:rFonts w:ascii="宋体" w:hAnsi="宋体" w:cs="宋体"/>
                <w:color w:val="auto"/>
              </w:rPr>
            </w:pPr>
          </w:p>
        </w:tc>
        <w:tc>
          <w:tcPr>
            <w:tcW w:w="448" w:type="pct"/>
            <w:tcBorders>
              <w:left w:val="single" w:color="000000" w:sz="6" w:space="0"/>
              <w:right w:val="single" w:color="000000" w:sz="6" w:space="0"/>
            </w:tcBorders>
          </w:tcPr>
          <w:p w14:paraId="5DAD46FD">
            <w:pPr>
              <w:spacing w:line="360" w:lineRule="auto"/>
              <w:rPr>
                <w:rFonts w:ascii="宋体" w:hAnsi="宋体" w:cs="宋体"/>
                <w:color w:val="auto"/>
              </w:rPr>
            </w:pPr>
          </w:p>
        </w:tc>
        <w:tc>
          <w:tcPr>
            <w:tcW w:w="566" w:type="pct"/>
            <w:tcBorders>
              <w:left w:val="single" w:color="000000" w:sz="6" w:space="0"/>
              <w:right w:val="single" w:color="000000" w:sz="6" w:space="0"/>
            </w:tcBorders>
          </w:tcPr>
          <w:p w14:paraId="06B9D0A9">
            <w:pPr>
              <w:spacing w:line="360" w:lineRule="auto"/>
              <w:rPr>
                <w:rFonts w:ascii="宋体" w:hAnsi="宋体" w:cs="宋体"/>
                <w:color w:val="auto"/>
              </w:rPr>
            </w:pPr>
          </w:p>
        </w:tc>
      </w:tr>
      <w:tr w14:paraId="5B1418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6" w:hRule="atLeast"/>
        </w:trPr>
        <w:tc>
          <w:tcPr>
            <w:tcW w:w="325" w:type="pct"/>
            <w:tcBorders>
              <w:left w:val="single" w:color="000000" w:sz="6" w:space="0"/>
              <w:right w:val="single" w:color="000000" w:sz="4" w:space="0"/>
            </w:tcBorders>
          </w:tcPr>
          <w:p w14:paraId="55E61421">
            <w:pPr>
              <w:spacing w:line="360" w:lineRule="auto"/>
              <w:rPr>
                <w:rFonts w:ascii="宋体" w:hAnsi="宋体" w:cs="宋体"/>
                <w:color w:val="auto"/>
              </w:rPr>
            </w:pPr>
          </w:p>
        </w:tc>
        <w:tc>
          <w:tcPr>
            <w:tcW w:w="518" w:type="pct"/>
            <w:tcBorders>
              <w:left w:val="single" w:color="000000" w:sz="4" w:space="0"/>
              <w:right w:val="single" w:color="000000" w:sz="6" w:space="0"/>
            </w:tcBorders>
          </w:tcPr>
          <w:p w14:paraId="68F29CD6">
            <w:pPr>
              <w:spacing w:before="6" w:line="360" w:lineRule="auto"/>
              <w:ind w:left="134" w:right="127"/>
              <w:rPr>
                <w:rFonts w:ascii="宋体" w:hAnsi="宋体" w:cs="宋体"/>
                <w:color w:val="auto"/>
                <w:sz w:val="24"/>
              </w:rPr>
            </w:pPr>
            <w:r>
              <w:rPr>
                <w:rFonts w:hint="eastAsia" w:ascii="宋体" w:hAnsi="宋体" w:cs="宋体"/>
                <w:color w:val="auto"/>
                <w:spacing w:val="-7"/>
                <w:sz w:val="24"/>
              </w:rPr>
              <w:t>售</w:t>
            </w:r>
            <w:r>
              <w:rPr>
                <w:rFonts w:hint="eastAsia" w:ascii="宋体" w:hAnsi="宋体" w:cs="宋体"/>
                <w:color w:val="auto"/>
                <w:spacing w:val="-5"/>
                <w:sz w:val="24"/>
              </w:rPr>
              <w:t>后</w:t>
            </w:r>
            <w:r>
              <w:rPr>
                <w:rFonts w:hint="eastAsia" w:ascii="宋体" w:hAnsi="宋体" w:cs="宋体"/>
                <w:color w:val="auto"/>
                <w:sz w:val="24"/>
              </w:rPr>
              <w:t xml:space="preserve"> </w:t>
            </w:r>
            <w:r>
              <w:rPr>
                <w:rFonts w:hint="eastAsia" w:ascii="宋体" w:hAnsi="宋体" w:cs="宋体"/>
                <w:color w:val="auto"/>
                <w:spacing w:val="-7"/>
                <w:sz w:val="24"/>
              </w:rPr>
              <w:t>人</w:t>
            </w:r>
            <w:r>
              <w:rPr>
                <w:rFonts w:hint="eastAsia" w:ascii="宋体" w:hAnsi="宋体" w:cs="宋体"/>
                <w:color w:val="auto"/>
                <w:spacing w:val="-5"/>
                <w:sz w:val="24"/>
              </w:rPr>
              <w:t>员</w:t>
            </w:r>
          </w:p>
        </w:tc>
        <w:tc>
          <w:tcPr>
            <w:tcW w:w="245" w:type="pct"/>
            <w:tcBorders>
              <w:left w:val="single" w:color="000000" w:sz="6" w:space="0"/>
              <w:right w:val="single" w:color="000000" w:sz="6" w:space="0"/>
            </w:tcBorders>
          </w:tcPr>
          <w:p w14:paraId="473033EF">
            <w:pPr>
              <w:spacing w:line="360" w:lineRule="auto"/>
              <w:rPr>
                <w:rFonts w:ascii="宋体" w:hAnsi="宋体" w:cs="宋体"/>
                <w:color w:val="auto"/>
              </w:rPr>
            </w:pPr>
          </w:p>
        </w:tc>
        <w:tc>
          <w:tcPr>
            <w:tcW w:w="339" w:type="pct"/>
            <w:tcBorders>
              <w:left w:val="single" w:color="000000" w:sz="6" w:space="0"/>
              <w:right w:val="single" w:color="000000" w:sz="6" w:space="0"/>
            </w:tcBorders>
          </w:tcPr>
          <w:p w14:paraId="7104C5E8">
            <w:pPr>
              <w:spacing w:line="360" w:lineRule="auto"/>
              <w:rPr>
                <w:rFonts w:ascii="宋体" w:hAnsi="宋体" w:cs="宋体"/>
                <w:color w:val="auto"/>
              </w:rPr>
            </w:pPr>
          </w:p>
        </w:tc>
        <w:tc>
          <w:tcPr>
            <w:tcW w:w="313" w:type="pct"/>
            <w:tcBorders>
              <w:left w:val="single" w:color="000000" w:sz="6" w:space="0"/>
              <w:right w:val="single" w:color="000000" w:sz="6" w:space="0"/>
            </w:tcBorders>
          </w:tcPr>
          <w:p w14:paraId="54677C57">
            <w:pPr>
              <w:spacing w:line="360" w:lineRule="auto"/>
              <w:rPr>
                <w:rFonts w:ascii="宋体" w:hAnsi="宋体" w:cs="宋体"/>
                <w:color w:val="auto"/>
              </w:rPr>
            </w:pPr>
          </w:p>
        </w:tc>
        <w:tc>
          <w:tcPr>
            <w:tcW w:w="538" w:type="pct"/>
            <w:tcBorders>
              <w:left w:val="single" w:color="000000" w:sz="6" w:space="0"/>
              <w:right w:val="single" w:color="000000" w:sz="6" w:space="0"/>
            </w:tcBorders>
          </w:tcPr>
          <w:p w14:paraId="3049D7A3">
            <w:pPr>
              <w:spacing w:line="360" w:lineRule="auto"/>
              <w:rPr>
                <w:rFonts w:ascii="宋体" w:hAnsi="宋体" w:cs="宋体"/>
                <w:color w:val="auto"/>
              </w:rPr>
            </w:pPr>
          </w:p>
        </w:tc>
        <w:tc>
          <w:tcPr>
            <w:tcW w:w="538" w:type="pct"/>
            <w:tcBorders>
              <w:left w:val="single" w:color="000000" w:sz="6" w:space="0"/>
              <w:right w:val="single" w:color="000000" w:sz="6" w:space="0"/>
            </w:tcBorders>
          </w:tcPr>
          <w:p w14:paraId="570EFA55">
            <w:pPr>
              <w:spacing w:line="360" w:lineRule="auto"/>
              <w:rPr>
                <w:rFonts w:ascii="宋体" w:hAnsi="宋体" w:cs="宋体"/>
                <w:color w:val="auto"/>
              </w:rPr>
            </w:pPr>
          </w:p>
        </w:tc>
        <w:tc>
          <w:tcPr>
            <w:tcW w:w="538" w:type="pct"/>
            <w:tcBorders>
              <w:left w:val="single" w:color="000000" w:sz="6" w:space="0"/>
              <w:right w:val="single" w:color="000000" w:sz="6" w:space="0"/>
            </w:tcBorders>
          </w:tcPr>
          <w:p w14:paraId="2925367C">
            <w:pPr>
              <w:spacing w:line="360" w:lineRule="auto"/>
              <w:rPr>
                <w:rFonts w:ascii="宋体" w:hAnsi="宋体" w:cs="宋体"/>
                <w:color w:val="auto"/>
              </w:rPr>
            </w:pPr>
          </w:p>
        </w:tc>
        <w:tc>
          <w:tcPr>
            <w:tcW w:w="628" w:type="pct"/>
            <w:tcBorders>
              <w:left w:val="single" w:color="000000" w:sz="6" w:space="0"/>
              <w:right w:val="single" w:color="000000" w:sz="6" w:space="0"/>
            </w:tcBorders>
          </w:tcPr>
          <w:p w14:paraId="7DE5689A">
            <w:pPr>
              <w:spacing w:line="360" w:lineRule="auto"/>
              <w:rPr>
                <w:rFonts w:ascii="宋体" w:hAnsi="宋体" w:cs="宋体"/>
                <w:color w:val="auto"/>
              </w:rPr>
            </w:pPr>
          </w:p>
        </w:tc>
        <w:tc>
          <w:tcPr>
            <w:tcW w:w="448" w:type="pct"/>
            <w:tcBorders>
              <w:left w:val="single" w:color="000000" w:sz="6" w:space="0"/>
              <w:right w:val="single" w:color="000000" w:sz="6" w:space="0"/>
            </w:tcBorders>
          </w:tcPr>
          <w:p w14:paraId="097C6836">
            <w:pPr>
              <w:spacing w:line="360" w:lineRule="auto"/>
              <w:rPr>
                <w:rFonts w:ascii="宋体" w:hAnsi="宋体" w:cs="宋体"/>
                <w:color w:val="auto"/>
              </w:rPr>
            </w:pPr>
          </w:p>
        </w:tc>
        <w:tc>
          <w:tcPr>
            <w:tcW w:w="566" w:type="pct"/>
            <w:tcBorders>
              <w:left w:val="single" w:color="000000" w:sz="6" w:space="0"/>
              <w:right w:val="single" w:color="000000" w:sz="6" w:space="0"/>
            </w:tcBorders>
          </w:tcPr>
          <w:p w14:paraId="6AA9090E">
            <w:pPr>
              <w:spacing w:line="360" w:lineRule="auto"/>
              <w:rPr>
                <w:rFonts w:ascii="宋体" w:hAnsi="宋体" w:cs="宋体"/>
                <w:color w:val="auto"/>
              </w:rPr>
            </w:pPr>
          </w:p>
        </w:tc>
      </w:tr>
      <w:tr w14:paraId="70439E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8" w:hRule="atLeast"/>
        </w:trPr>
        <w:tc>
          <w:tcPr>
            <w:tcW w:w="325" w:type="pct"/>
            <w:tcBorders>
              <w:left w:val="single" w:color="000000" w:sz="6" w:space="0"/>
              <w:right w:val="single" w:color="000000" w:sz="4" w:space="0"/>
            </w:tcBorders>
          </w:tcPr>
          <w:p w14:paraId="5C9EA61C">
            <w:pPr>
              <w:spacing w:line="360" w:lineRule="auto"/>
              <w:rPr>
                <w:rFonts w:ascii="宋体" w:hAnsi="宋体" w:cs="宋体"/>
                <w:color w:val="auto"/>
              </w:rPr>
            </w:pPr>
          </w:p>
        </w:tc>
        <w:tc>
          <w:tcPr>
            <w:tcW w:w="518" w:type="pct"/>
            <w:tcBorders>
              <w:left w:val="single" w:color="000000" w:sz="4" w:space="0"/>
              <w:right w:val="single" w:color="000000" w:sz="6" w:space="0"/>
            </w:tcBorders>
          </w:tcPr>
          <w:p w14:paraId="2545C1E1">
            <w:pPr>
              <w:spacing w:line="360" w:lineRule="auto"/>
              <w:rPr>
                <w:rFonts w:ascii="宋体" w:hAnsi="宋体" w:cs="宋体"/>
                <w:color w:val="auto"/>
              </w:rPr>
            </w:pPr>
          </w:p>
        </w:tc>
        <w:tc>
          <w:tcPr>
            <w:tcW w:w="245" w:type="pct"/>
            <w:tcBorders>
              <w:left w:val="single" w:color="000000" w:sz="6" w:space="0"/>
              <w:right w:val="single" w:color="000000" w:sz="6" w:space="0"/>
            </w:tcBorders>
          </w:tcPr>
          <w:p w14:paraId="542D1C0C">
            <w:pPr>
              <w:spacing w:line="360" w:lineRule="auto"/>
              <w:rPr>
                <w:rFonts w:ascii="宋体" w:hAnsi="宋体" w:cs="宋体"/>
                <w:color w:val="auto"/>
              </w:rPr>
            </w:pPr>
          </w:p>
        </w:tc>
        <w:tc>
          <w:tcPr>
            <w:tcW w:w="339" w:type="pct"/>
            <w:tcBorders>
              <w:left w:val="single" w:color="000000" w:sz="6" w:space="0"/>
              <w:right w:val="single" w:color="000000" w:sz="6" w:space="0"/>
            </w:tcBorders>
          </w:tcPr>
          <w:p w14:paraId="154DC1F2">
            <w:pPr>
              <w:spacing w:line="360" w:lineRule="auto"/>
              <w:rPr>
                <w:rFonts w:ascii="宋体" w:hAnsi="宋体" w:cs="宋体"/>
                <w:color w:val="auto"/>
              </w:rPr>
            </w:pPr>
          </w:p>
        </w:tc>
        <w:tc>
          <w:tcPr>
            <w:tcW w:w="313" w:type="pct"/>
            <w:tcBorders>
              <w:left w:val="single" w:color="000000" w:sz="6" w:space="0"/>
              <w:right w:val="single" w:color="000000" w:sz="6" w:space="0"/>
            </w:tcBorders>
          </w:tcPr>
          <w:p w14:paraId="47017BBB">
            <w:pPr>
              <w:spacing w:line="360" w:lineRule="auto"/>
              <w:rPr>
                <w:rFonts w:ascii="宋体" w:hAnsi="宋体" w:cs="宋体"/>
                <w:color w:val="auto"/>
              </w:rPr>
            </w:pPr>
          </w:p>
        </w:tc>
        <w:tc>
          <w:tcPr>
            <w:tcW w:w="538" w:type="pct"/>
            <w:tcBorders>
              <w:left w:val="single" w:color="000000" w:sz="6" w:space="0"/>
              <w:right w:val="single" w:color="000000" w:sz="6" w:space="0"/>
            </w:tcBorders>
          </w:tcPr>
          <w:p w14:paraId="355E5AD9">
            <w:pPr>
              <w:spacing w:line="360" w:lineRule="auto"/>
              <w:rPr>
                <w:rFonts w:ascii="宋体" w:hAnsi="宋体" w:cs="宋体"/>
                <w:color w:val="auto"/>
              </w:rPr>
            </w:pPr>
          </w:p>
        </w:tc>
        <w:tc>
          <w:tcPr>
            <w:tcW w:w="538" w:type="pct"/>
            <w:tcBorders>
              <w:left w:val="single" w:color="000000" w:sz="6" w:space="0"/>
              <w:right w:val="single" w:color="000000" w:sz="6" w:space="0"/>
            </w:tcBorders>
          </w:tcPr>
          <w:p w14:paraId="1D62A2AE">
            <w:pPr>
              <w:spacing w:line="360" w:lineRule="auto"/>
              <w:rPr>
                <w:rFonts w:ascii="宋体" w:hAnsi="宋体" w:cs="宋体"/>
                <w:color w:val="auto"/>
              </w:rPr>
            </w:pPr>
          </w:p>
        </w:tc>
        <w:tc>
          <w:tcPr>
            <w:tcW w:w="538" w:type="pct"/>
            <w:tcBorders>
              <w:left w:val="single" w:color="000000" w:sz="6" w:space="0"/>
              <w:right w:val="single" w:color="000000" w:sz="6" w:space="0"/>
            </w:tcBorders>
          </w:tcPr>
          <w:p w14:paraId="2B81EF7E">
            <w:pPr>
              <w:spacing w:line="360" w:lineRule="auto"/>
              <w:rPr>
                <w:rFonts w:ascii="宋体" w:hAnsi="宋体" w:cs="宋体"/>
                <w:color w:val="auto"/>
              </w:rPr>
            </w:pPr>
          </w:p>
        </w:tc>
        <w:tc>
          <w:tcPr>
            <w:tcW w:w="628" w:type="pct"/>
            <w:tcBorders>
              <w:left w:val="single" w:color="000000" w:sz="6" w:space="0"/>
              <w:right w:val="single" w:color="000000" w:sz="6" w:space="0"/>
            </w:tcBorders>
          </w:tcPr>
          <w:p w14:paraId="1FF7C29C">
            <w:pPr>
              <w:spacing w:line="360" w:lineRule="auto"/>
              <w:rPr>
                <w:rFonts w:ascii="宋体" w:hAnsi="宋体" w:cs="宋体"/>
                <w:color w:val="auto"/>
              </w:rPr>
            </w:pPr>
          </w:p>
        </w:tc>
        <w:tc>
          <w:tcPr>
            <w:tcW w:w="448" w:type="pct"/>
            <w:tcBorders>
              <w:left w:val="single" w:color="000000" w:sz="6" w:space="0"/>
              <w:right w:val="single" w:color="000000" w:sz="6" w:space="0"/>
            </w:tcBorders>
          </w:tcPr>
          <w:p w14:paraId="3F4B7329">
            <w:pPr>
              <w:spacing w:line="360" w:lineRule="auto"/>
              <w:rPr>
                <w:rFonts w:ascii="宋体" w:hAnsi="宋体" w:cs="宋体"/>
                <w:color w:val="auto"/>
              </w:rPr>
            </w:pPr>
          </w:p>
        </w:tc>
        <w:tc>
          <w:tcPr>
            <w:tcW w:w="566" w:type="pct"/>
            <w:tcBorders>
              <w:left w:val="single" w:color="000000" w:sz="6" w:space="0"/>
              <w:right w:val="single" w:color="000000" w:sz="6" w:space="0"/>
            </w:tcBorders>
          </w:tcPr>
          <w:p w14:paraId="42E42853">
            <w:pPr>
              <w:spacing w:line="360" w:lineRule="auto"/>
              <w:rPr>
                <w:rFonts w:ascii="宋体" w:hAnsi="宋体" w:cs="宋体"/>
                <w:color w:val="auto"/>
              </w:rPr>
            </w:pPr>
          </w:p>
        </w:tc>
      </w:tr>
    </w:tbl>
    <w:p w14:paraId="6CF6906C">
      <w:pPr>
        <w:spacing w:line="360" w:lineRule="auto"/>
        <w:rPr>
          <w:rFonts w:ascii="宋体" w:hAnsi="宋体" w:cs="宋体"/>
          <w:color w:val="auto"/>
        </w:rPr>
      </w:pPr>
    </w:p>
    <w:p w14:paraId="22E71964">
      <w:pPr>
        <w:spacing w:line="360" w:lineRule="auto"/>
        <w:rPr>
          <w:rFonts w:ascii="宋体" w:hAnsi="宋体" w:cs="宋体"/>
          <w:color w:val="auto"/>
        </w:rPr>
      </w:pPr>
    </w:p>
    <w:p w14:paraId="1EF30CD2">
      <w:pPr>
        <w:spacing w:line="360" w:lineRule="auto"/>
        <w:rPr>
          <w:rFonts w:ascii="宋体" w:hAnsi="宋体" w:cs="宋体"/>
          <w:color w:val="auto"/>
        </w:rPr>
      </w:pPr>
    </w:p>
    <w:p w14:paraId="0D95D567">
      <w:pPr>
        <w:spacing w:before="78" w:line="360" w:lineRule="auto"/>
        <w:ind w:left="4754"/>
        <w:rPr>
          <w:rFonts w:ascii="宋体" w:hAnsi="宋体" w:cs="宋体"/>
          <w:color w:val="auto"/>
          <w:sz w:val="24"/>
        </w:rPr>
      </w:pPr>
      <w:r>
        <w:rPr>
          <w:rFonts w:hint="eastAsia" w:ascii="宋体" w:hAnsi="宋体" w:cs="宋体"/>
          <w:color w:val="auto"/>
          <w:spacing w:val="-8"/>
          <w:sz w:val="24"/>
        </w:rPr>
        <w:t>供</w:t>
      </w:r>
      <w:r>
        <w:rPr>
          <w:rFonts w:hint="eastAsia" w:ascii="宋体" w:hAnsi="宋体" w:cs="宋体"/>
          <w:color w:val="auto"/>
          <w:spacing w:val="-7"/>
          <w:sz w:val="24"/>
        </w:rPr>
        <w:t>应</w:t>
      </w:r>
      <w:r>
        <w:rPr>
          <w:rFonts w:hint="eastAsia" w:ascii="宋体" w:hAnsi="宋体" w:cs="宋体"/>
          <w:color w:val="auto"/>
          <w:spacing w:val="-4"/>
          <w:sz w:val="24"/>
        </w:rPr>
        <w:t>商名称( 电子签章 )：</w:t>
      </w:r>
    </w:p>
    <w:p w14:paraId="533BC892">
      <w:pPr>
        <w:spacing w:before="79" w:line="360" w:lineRule="auto"/>
        <w:jc w:val="right"/>
        <w:rPr>
          <w:rFonts w:ascii="宋体" w:hAnsi="宋体" w:cs="宋体"/>
          <w:color w:val="auto"/>
          <w:sz w:val="24"/>
        </w:rPr>
      </w:pPr>
      <w:r>
        <w:rPr>
          <w:rFonts w:hint="eastAsia" w:ascii="宋体" w:hAnsi="宋体" w:cs="宋体"/>
          <w:color w:val="auto"/>
          <w:spacing w:val="-16"/>
          <w:sz w:val="24"/>
        </w:rPr>
        <w:t>日</w:t>
      </w:r>
      <w:r>
        <w:rPr>
          <w:rFonts w:hint="eastAsia" w:ascii="宋体" w:hAnsi="宋体" w:cs="宋体"/>
          <w:color w:val="auto"/>
          <w:spacing w:val="-9"/>
          <w:sz w:val="24"/>
        </w:rPr>
        <w:t>期</w:t>
      </w:r>
      <w:r>
        <w:rPr>
          <w:rFonts w:hint="eastAsia" w:ascii="宋体" w:hAnsi="宋体" w:cs="宋体"/>
          <w:color w:val="auto"/>
          <w:spacing w:val="-8"/>
          <w:sz w:val="24"/>
        </w:rPr>
        <w:t>：   年  月   日</w:t>
      </w:r>
    </w:p>
    <w:p w14:paraId="03ECE9A0">
      <w:pPr>
        <w:spacing w:line="360" w:lineRule="auto"/>
        <w:rPr>
          <w:rFonts w:ascii="宋体" w:hAnsi="宋体" w:cs="宋体"/>
          <w:color w:val="auto"/>
        </w:rPr>
      </w:pPr>
      <w:r>
        <w:rPr>
          <w:rFonts w:ascii="宋体" w:hAnsi="宋体" w:cs="宋体"/>
          <w:color w:val="auto"/>
        </w:rPr>
        <w:br w:type="page"/>
      </w:r>
    </w:p>
    <w:p w14:paraId="6E503EBA">
      <w:pPr>
        <w:spacing w:before="98" w:line="360" w:lineRule="auto"/>
        <w:ind w:left="1284"/>
        <w:rPr>
          <w:rFonts w:ascii="宋体" w:hAnsi="宋体" w:cs="宋体"/>
          <w:color w:val="auto"/>
          <w:sz w:val="30"/>
          <w:szCs w:val="30"/>
        </w:rPr>
      </w:pPr>
      <w:r>
        <w:rPr>
          <w:rFonts w:hint="eastAsia" w:ascii="宋体" w:hAnsi="宋体" w:cs="宋体"/>
          <w:color w:val="auto"/>
          <w:spacing w:val="-4"/>
          <w:sz w:val="30"/>
          <w:szCs w:val="30"/>
        </w:rPr>
        <w:t>十、</w:t>
      </w:r>
      <w:r>
        <w:rPr>
          <w:rFonts w:hint="eastAsia" w:ascii="宋体" w:hAnsi="宋体" w:cs="宋体"/>
          <w:color w:val="auto"/>
          <w:spacing w:val="-2"/>
          <w:sz w:val="30"/>
          <w:szCs w:val="30"/>
        </w:rPr>
        <w:t>项目实施人员一览表</w:t>
      </w:r>
    </w:p>
    <w:p w14:paraId="32C16C23">
      <w:pPr>
        <w:spacing w:before="88" w:line="360" w:lineRule="auto"/>
        <w:ind w:left="2498"/>
        <w:rPr>
          <w:rFonts w:ascii="宋体" w:hAnsi="宋体" w:cs="宋体"/>
          <w:color w:val="auto"/>
          <w:sz w:val="24"/>
        </w:rPr>
      </w:pPr>
      <w:r>
        <w:rPr>
          <w:rFonts w:hint="eastAsia" w:ascii="宋体" w:hAnsi="宋体" w:cs="宋体"/>
          <w:color w:val="auto"/>
          <w:spacing w:val="-1"/>
          <w:sz w:val="24"/>
        </w:rPr>
        <w:t>(</w:t>
      </w:r>
      <w:r>
        <w:rPr>
          <w:rFonts w:hint="eastAsia" w:ascii="宋体" w:hAnsi="宋体" w:cs="宋体"/>
          <w:color w:val="auto"/>
          <w:sz w:val="24"/>
        </w:rPr>
        <w:t xml:space="preserve"> 由供应商根据采购需求及采购文件要求编制)</w:t>
      </w:r>
    </w:p>
    <w:p w14:paraId="5158E8D4">
      <w:pPr>
        <w:spacing w:before="79" w:line="360" w:lineRule="auto"/>
        <w:ind w:left="678"/>
        <w:rPr>
          <w:rFonts w:ascii="宋体" w:hAnsi="宋体" w:cs="宋体"/>
          <w:color w:val="auto"/>
          <w:spacing w:val="-19"/>
          <w:sz w:val="24"/>
        </w:rPr>
      </w:pPr>
    </w:p>
    <w:p w14:paraId="5BC1045D">
      <w:pPr>
        <w:spacing w:before="79" w:line="360" w:lineRule="auto"/>
        <w:ind w:left="678"/>
        <w:rPr>
          <w:rFonts w:ascii="宋体" w:hAnsi="宋体" w:cs="宋体"/>
          <w:color w:val="auto"/>
          <w:sz w:val="24"/>
        </w:rPr>
      </w:pPr>
      <w:r>
        <w:rPr>
          <w:rFonts w:hint="eastAsia" w:ascii="宋体" w:hAnsi="宋体" w:cs="宋体"/>
          <w:color w:val="auto"/>
          <w:spacing w:val="-19"/>
          <w:sz w:val="24"/>
        </w:rPr>
        <w:t>响</w:t>
      </w:r>
      <w:r>
        <w:rPr>
          <w:rFonts w:hint="eastAsia" w:ascii="宋体" w:hAnsi="宋体" w:cs="宋体"/>
          <w:color w:val="auto"/>
          <w:spacing w:val="-10"/>
          <w:sz w:val="24"/>
        </w:rPr>
        <w:t>应分标：</w:t>
      </w:r>
      <w:r>
        <w:rPr>
          <w:rFonts w:hint="eastAsia" w:ascii="宋体" w:hAnsi="宋体" w:cs="宋体"/>
          <w:color w:val="auto"/>
          <w:spacing w:val="-10"/>
          <w:sz w:val="24"/>
          <w:u w:val="single"/>
        </w:rPr>
        <w:t xml:space="preserve">      </w:t>
      </w:r>
      <w:r>
        <w:rPr>
          <w:rFonts w:hint="eastAsia" w:ascii="宋体" w:hAnsi="宋体" w:cs="宋体"/>
          <w:color w:val="auto"/>
          <w:spacing w:val="-10"/>
          <w:sz w:val="24"/>
        </w:rPr>
        <w:t>分标</w:t>
      </w:r>
    </w:p>
    <w:p w14:paraId="6A74B456">
      <w:pPr>
        <w:spacing w:line="360" w:lineRule="auto"/>
        <w:ind w:firstLine="708" w:firstLineChars="300"/>
        <w:rPr>
          <w:rFonts w:ascii="宋体" w:hAnsi="宋体" w:cs="宋体"/>
          <w:color w:val="auto"/>
          <w:sz w:val="24"/>
        </w:rPr>
      </w:pPr>
      <w:r>
        <w:rPr>
          <w:rFonts w:hint="eastAsia" w:ascii="宋体" w:hAnsi="宋体" w:cs="宋体"/>
          <w:color w:val="auto"/>
          <w:spacing w:val="-2"/>
          <w:sz w:val="24"/>
        </w:rPr>
        <w:t>附表</w:t>
      </w:r>
      <w:r>
        <w:rPr>
          <w:rFonts w:hint="eastAsia" w:ascii="宋体" w:hAnsi="宋体" w:cs="宋体"/>
          <w:color w:val="auto"/>
          <w:sz w:val="24"/>
        </w:rPr>
        <w:t>A</w:t>
      </w:r>
      <w:r>
        <w:rPr>
          <w:rFonts w:hint="eastAsia" w:ascii="宋体" w:hAnsi="宋体" w:cs="宋体"/>
          <w:color w:val="auto"/>
          <w:spacing w:val="-2"/>
          <w:sz w:val="24"/>
        </w:rPr>
        <w:t>:本项目的项目经理情况表</w:t>
      </w:r>
    </w:p>
    <w:p w14:paraId="76941709">
      <w:pPr>
        <w:spacing w:line="360" w:lineRule="auto"/>
        <w:rPr>
          <w:rFonts w:ascii="宋体" w:hAnsi="宋体" w:cs="宋体"/>
          <w:color w:val="auto"/>
        </w:rPr>
      </w:pPr>
    </w:p>
    <w:tbl>
      <w:tblPr>
        <w:tblStyle w:val="26"/>
        <w:tblW w:w="8678" w:type="dxa"/>
        <w:tblInd w:w="66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42"/>
        <w:gridCol w:w="1272"/>
        <w:gridCol w:w="1244"/>
        <w:gridCol w:w="4120"/>
      </w:tblGrid>
      <w:tr w14:paraId="0867F6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8" w:hRule="atLeast"/>
        </w:trPr>
        <w:tc>
          <w:tcPr>
            <w:tcW w:w="2042" w:type="dxa"/>
            <w:tcBorders>
              <w:left w:val="single" w:color="000000" w:sz="6" w:space="0"/>
              <w:right w:val="single" w:color="000000" w:sz="6" w:space="0"/>
            </w:tcBorders>
          </w:tcPr>
          <w:p w14:paraId="5562C4AE">
            <w:pPr>
              <w:spacing w:line="360" w:lineRule="auto"/>
              <w:rPr>
                <w:rFonts w:ascii="宋体" w:hAnsi="宋体" w:cs="宋体"/>
                <w:color w:val="auto"/>
              </w:rPr>
            </w:pPr>
          </w:p>
          <w:p w14:paraId="559CA9F2">
            <w:pPr>
              <w:spacing w:before="78" w:line="360" w:lineRule="auto"/>
              <w:ind w:left="794"/>
              <w:rPr>
                <w:rFonts w:ascii="宋体" w:hAnsi="宋体" w:cs="宋体"/>
                <w:color w:val="auto"/>
                <w:sz w:val="24"/>
              </w:rPr>
            </w:pPr>
            <w:r>
              <w:rPr>
                <w:rFonts w:hint="eastAsia" w:ascii="宋体" w:hAnsi="宋体" w:cs="宋体"/>
                <w:color w:val="auto"/>
                <w:spacing w:val="-6"/>
                <w:sz w:val="24"/>
              </w:rPr>
              <w:t>姓</w:t>
            </w:r>
            <w:r>
              <w:rPr>
                <w:rFonts w:hint="eastAsia" w:ascii="宋体" w:hAnsi="宋体" w:cs="宋体"/>
                <w:color w:val="auto"/>
                <w:spacing w:val="-4"/>
                <w:sz w:val="24"/>
              </w:rPr>
              <w:t>名</w:t>
            </w:r>
          </w:p>
        </w:tc>
        <w:tc>
          <w:tcPr>
            <w:tcW w:w="1272" w:type="dxa"/>
            <w:tcBorders>
              <w:left w:val="single" w:color="000000" w:sz="6" w:space="0"/>
              <w:right w:val="single" w:color="000000" w:sz="4" w:space="0"/>
            </w:tcBorders>
          </w:tcPr>
          <w:p w14:paraId="394C6CDC">
            <w:pPr>
              <w:spacing w:line="360" w:lineRule="auto"/>
              <w:rPr>
                <w:rFonts w:ascii="宋体" w:hAnsi="宋体" w:cs="宋体"/>
                <w:color w:val="auto"/>
              </w:rPr>
            </w:pPr>
          </w:p>
        </w:tc>
        <w:tc>
          <w:tcPr>
            <w:tcW w:w="1244" w:type="dxa"/>
            <w:tcBorders>
              <w:left w:val="single" w:color="000000" w:sz="4" w:space="0"/>
              <w:right w:val="single" w:color="000000" w:sz="6" w:space="0"/>
            </w:tcBorders>
          </w:tcPr>
          <w:p w14:paraId="698B4148">
            <w:pPr>
              <w:spacing w:line="360" w:lineRule="auto"/>
              <w:rPr>
                <w:rFonts w:ascii="宋体" w:hAnsi="宋体" w:cs="宋体"/>
                <w:color w:val="auto"/>
              </w:rPr>
            </w:pPr>
          </w:p>
          <w:p w14:paraId="4D1A9B03">
            <w:pPr>
              <w:spacing w:before="78" w:line="360" w:lineRule="auto"/>
              <w:ind w:left="415"/>
              <w:rPr>
                <w:rFonts w:ascii="宋体" w:hAnsi="宋体" w:cs="宋体"/>
                <w:color w:val="auto"/>
                <w:sz w:val="24"/>
              </w:rPr>
            </w:pPr>
            <w:r>
              <w:rPr>
                <w:rFonts w:hint="eastAsia" w:ascii="宋体" w:hAnsi="宋体" w:cs="宋体"/>
                <w:color w:val="auto"/>
                <w:spacing w:val="-9"/>
                <w:sz w:val="24"/>
              </w:rPr>
              <w:t>页</w:t>
            </w:r>
            <w:r>
              <w:rPr>
                <w:rFonts w:hint="eastAsia" w:ascii="宋体" w:hAnsi="宋体" w:cs="宋体"/>
                <w:color w:val="auto"/>
                <w:spacing w:val="-7"/>
                <w:sz w:val="24"/>
              </w:rPr>
              <w:t>码</w:t>
            </w:r>
          </w:p>
        </w:tc>
        <w:tc>
          <w:tcPr>
            <w:tcW w:w="4120" w:type="dxa"/>
            <w:tcBorders>
              <w:left w:val="single" w:color="000000" w:sz="6" w:space="0"/>
              <w:right w:val="single" w:color="000000" w:sz="6" w:space="0"/>
            </w:tcBorders>
          </w:tcPr>
          <w:p w14:paraId="089CDD4B">
            <w:pPr>
              <w:spacing w:before="10" w:line="360" w:lineRule="auto"/>
              <w:ind w:left="119" w:right="100" w:firstLine="1"/>
              <w:rPr>
                <w:rFonts w:ascii="宋体" w:hAnsi="宋体" w:cs="宋体"/>
                <w:color w:val="auto"/>
                <w:sz w:val="24"/>
              </w:rPr>
            </w:pPr>
            <w:r>
              <w:rPr>
                <w:rFonts w:hint="eastAsia" w:ascii="宋体" w:hAnsi="宋体" w:cs="宋体"/>
                <w:color w:val="auto"/>
                <w:spacing w:val="10"/>
                <w:sz w:val="24"/>
              </w:rPr>
              <w:t>响</w:t>
            </w:r>
            <w:r>
              <w:rPr>
                <w:rFonts w:hint="eastAsia" w:ascii="宋体" w:hAnsi="宋体" w:cs="宋体"/>
                <w:color w:val="auto"/>
                <w:spacing w:val="7"/>
                <w:sz w:val="24"/>
              </w:rPr>
              <w:t>应</w:t>
            </w:r>
            <w:r>
              <w:rPr>
                <w:rFonts w:hint="eastAsia" w:ascii="宋体" w:hAnsi="宋体" w:cs="宋体"/>
                <w:color w:val="auto"/>
                <w:spacing w:val="5"/>
                <w:sz w:val="24"/>
              </w:rPr>
              <w:t>截止时间前三年业绩及承担的主</w:t>
            </w:r>
            <w:r>
              <w:rPr>
                <w:rFonts w:hint="eastAsia" w:ascii="宋体" w:hAnsi="宋体" w:cs="宋体"/>
                <w:color w:val="auto"/>
                <w:sz w:val="24"/>
              </w:rPr>
              <w:t xml:space="preserve"> </w:t>
            </w:r>
            <w:r>
              <w:rPr>
                <w:rFonts w:hint="eastAsia" w:ascii="宋体" w:hAnsi="宋体" w:cs="宋体"/>
                <w:color w:val="auto"/>
                <w:spacing w:val="-2"/>
                <w:sz w:val="24"/>
              </w:rPr>
              <w:t>要工作情况， 曾担任项目经理的项</w:t>
            </w:r>
            <w:r>
              <w:rPr>
                <w:rFonts w:hint="eastAsia" w:ascii="宋体" w:hAnsi="宋体" w:cs="宋体"/>
                <w:color w:val="auto"/>
                <w:spacing w:val="-1"/>
                <w:sz w:val="24"/>
              </w:rPr>
              <w:t>目</w:t>
            </w:r>
            <w:r>
              <w:rPr>
                <w:rFonts w:hint="eastAsia" w:ascii="宋体" w:hAnsi="宋体" w:cs="宋体"/>
                <w:color w:val="auto"/>
                <w:sz w:val="24"/>
              </w:rPr>
              <w:t xml:space="preserve"> </w:t>
            </w:r>
            <w:r>
              <w:rPr>
                <w:rFonts w:hint="eastAsia" w:ascii="宋体" w:hAnsi="宋体" w:cs="宋体"/>
                <w:color w:val="auto"/>
                <w:spacing w:val="-6"/>
                <w:sz w:val="24"/>
              </w:rPr>
              <w:t>应</w:t>
            </w:r>
            <w:r>
              <w:rPr>
                <w:rFonts w:hint="eastAsia" w:ascii="宋体" w:hAnsi="宋体" w:cs="宋体"/>
                <w:color w:val="auto"/>
                <w:spacing w:val="-4"/>
                <w:sz w:val="24"/>
              </w:rPr>
              <w:t>列</w:t>
            </w:r>
            <w:r>
              <w:rPr>
                <w:rFonts w:hint="eastAsia" w:ascii="宋体" w:hAnsi="宋体" w:cs="宋体"/>
                <w:color w:val="auto"/>
                <w:spacing w:val="-3"/>
                <w:sz w:val="24"/>
              </w:rPr>
              <w:t>明细</w:t>
            </w:r>
          </w:p>
        </w:tc>
      </w:tr>
      <w:tr w14:paraId="259CE7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0" w:hRule="atLeast"/>
        </w:trPr>
        <w:tc>
          <w:tcPr>
            <w:tcW w:w="2042" w:type="dxa"/>
            <w:tcBorders>
              <w:left w:val="single" w:color="000000" w:sz="6" w:space="0"/>
              <w:right w:val="single" w:color="000000" w:sz="6" w:space="0"/>
            </w:tcBorders>
          </w:tcPr>
          <w:p w14:paraId="77B30DE8">
            <w:pPr>
              <w:spacing w:before="48" w:line="360" w:lineRule="auto"/>
              <w:ind w:left="799"/>
              <w:rPr>
                <w:rFonts w:ascii="宋体" w:hAnsi="宋体" w:cs="宋体"/>
                <w:color w:val="auto"/>
                <w:sz w:val="24"/>
              </w:rPr>
            </w:pPr>
            <w:r>
              <w:rPr>
                <w:rFonts w:hint="eastAsia" w:ascii="宋体" w:hAnsi="宋体" w:cs="宋体"/>
                <w:color w:val="auto"/>
                <w:spacing w:val="-5"/>
                <w:sz w:val="24"/>
              </w:rPr>
              <w:t>性</w:t>
            </w:r>
            <w:r>
              <w:rPr>
                <w:rFonts w:hint="eastAsia" w:ascii="宋体" w:hAnsi="宋体" w:cs="宋体"/>
                <w:color w:val="auto"/>
                <w:spacing w:val="-3"/>
                <w:sz w:val="24"/>
              </w:rPr>
              <w:t>别</w:t>
            </w:r>
          </w:p>
        </w:tc>
        <w:tc>
          <w:tcPr>
            <w:tcW w:w="1272" w:type="dxa"/>
            <w:tcBorders>
              <w:left w:val="single" w:color="000000" w:sz="6" w:space="0"/>
              <w:right w:val="single" w:color="000000" w:sz="4" w:space="0"/>
            </w:tcBorders>
          </w:tcPr>
          <w:p w14:paraId="77DC8ECE">
            <w:pPr>
              <w:spacing w:line="360" w:lineRule="auto"/>
              <w:rPr>
                <w:rFonts w:ascii="宋体" w:hAnsi="宋体" w:cs="宋体"/>
                <w:color w:val="auto"/>
              </w:rPr>
            </w:pPr>
          </w:p>
        </w:tc>
        <w:tc>
          <w:tcPr>
            <w:tcW w:w="1244" w:type="dxa"/>
            <w:tcBorders>
              <w:left w:val="single" w:color="000000" w:sz="4" w:space="0"/>
              <w:right w:val="single" w:color="000000" w:sz="6" w:space="0"/>
            </w:tcBorders>
          </w:tcPr>
          <w:p w14:paraId="43084296">
            <w:pPr>
              <w:spacing w:line="360" w:lineRule="auto"/>
              <w:rPr>
                <w:rFonts w:ascii="宋体" w:hAnsi="宋体" w:cs="宋体"/>
                <w:color w:val="auto"/>
              </w:rPr>
            </w:pPr>
          </w:p>
        </w:tc>
        <w:tc>
          <w:tcPr>
            <w:tcW w:w="4120" w:type="dxa"/>
            <w:vMerge w:val="restart"/>
            <w:tcBorders>
              <w:left w:val="single" w:color="000000" w:sz="6" w:space="0"/>
              <w:bottom w:val="nil"/>
              <w:right w:val="single" w:color="000000" w:sz="6" w:space="0"/>
            </w:tcBorders>
          </w:tcPr>
          <w:p w14:paraId="406561DF">
            <w:pPr>
              <w:spacing w:line="360" w:lineRule="auto"/>
              <w:rPr>
                <w:rFonts w:ascii="宋体" w:hAnsi="宋体" w:cs="宋体"/>
                <w:color w:val="auto"/>
              </w:rPr>
            </w:pPr>
          </w:p>
        </w:tc>
      </w:tr>
      <w:tr w14:paraId="71EF7D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2042" w:type="dxa"/>
            <w:tcBorders>
              <w:left w:val="single" w:color="000000" w:sz="6" w:space="0"/>
              <w:right w:val="single" w:color="000000" w:sz="6" w:space="0"/>
            </w:tcBorders>
          </w:tcPr>
          <w:p w14:paraId="7BC8AA92">
            <w:pPr>
              <w:spacing w:before="44" w:line="360" w:lineRule="auto"/>
              <w:ind w:left="797"/>
              <w:rPr>
                <w:rFonts w:ascii="宋体" w:hAnsi="宋体" w:cs="宋体"/>
                <w:color w:val="auto"/>
                <w:sz w:val="24"/>
              </w:rPr>
            </w:pPr>
            <w:r>
              <w:rPr>
                <w:rFonts w:hint="eastAsia" w:ascii="宋体" w:hAnsi="宋体" w:cs="宋体"/>
                <w:color w:val="auto"/>
                <w:spacing w:val="-7"/>
                <w:sz w:val="24"/>
              </w:rPr>
              <w:t>年</w:t>
            </w:r>
            <w:r>
              <w:rPr>
                <w:rFonts w:hint="eastAsia" w:ascii="宋体" w:hAnsi="宋体" w:cs="宋体"/>
                <w:color w:val="auto"/>
                <w:spacing w:val="-6"/>
                <w:sz w:val="24"/>
              </w:rPr>
              <w:t>龄</w:t>
            </w:r>
          </w:p>
        </w:tc>
        <w:tc>
          <w:tcPr>
            <w:tcW w:w="1272" w:type="dxa"/>
            <w:tcBorders>
              <w:left w:val="single" w:color="000000" w:sz="6" w:space="0"/>
              <w:right w:val="single" w:color="000000" w:sz="4" w:space="0"/>
            </w:tcBorders>
          </w:tcPr>
          <w:p w14:paraId="17E98F76">
            <w:pPr>
              <w:spacing w:line="360" w:lineRule="auto"/>
              <w:rPr>
                <w:rFonts w:ascii="宋体" w:hAnsi="宋体" w:cs="宋体"/>
                <w:color w:val="auto"/>
              </w:rPr>
            </w:pPr>
          </w:p>
        </w:tc>
        <w:tc>
          <w:tcPr>
            <w:tcW w:w="1244" w:type="dxa"/>
            <w:tcBorders>
              <w:left w:val="single" w:color="000000" w:sz="4" w:space="0"/>
              <w:right w:val="single" w:color="000000" w:sz="6" w:space="0"/>
            </w:tcBorders>
          </w:tcPr>
          <w:p w14:paraId="46DE7C60">
            <w:pPr>
              <w:spacing w:line="360" w:lineRule="auto"/>
              <w:rPr>
                <w:rFonts w:ascii="宋体" w:hAnsi="宋体" w:cs="宋体"/>
                <w:color w:val="auto"/>
              </w:rPr>
            </w:pPr>
          </w:p>
        </w:tc>
        <w:tc>
          <w:tcPr>
            <w:tcW w:w="4120" w:type="dxa"/>
            <w:vMerge w:val="continue"/>
            <w:tcBorders>
              <w:top w:val="nil"/>
              <w:left w:val="single" w:color="000000" w:sz="6" w:space="0"/>
              <w:bottom w:val="nil"/>
              <w:right w:val="single" w:color="000000" w:sz="6" w:space="0"/>
            </w:tcBorders>
          </w:tcPr>
          <w:p w14:paraId="5FFCAC26">
            <w:pPr>
              <w:spacing w:line="360" w:lineRule="auto"/>
              <w:rPr>
                <w:rFonts w:ascii="宋体" w:hAnsi="宋体" w:cs="宋体"/>
                <w:color w:val="auto"/>
              </w:rPr>
            </w:pPr>
          </w:p>
        </w:tc>
      </w:tr>
      <w:tr w14:paraId="45AC8E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2042" w:type="dxa"/>
            <w:tcBorders>
              <w:left w:val="single" w:color="000000" w:sz="6" w:space="0"/>
              <w:right w:val="single" w:color="000000" w:sz="6" w:space="0"/>
            </w:tcBorders>
          </w:tcPr>
          <w:p w14:paraId="01CC7421">
            <w:pPr>
              <w:spacing w:before="48" w:line="360" w:lineRule="auto"/>
              <w:ind w:left="804"/>
              <w:rPr>
                <w:rFonts w:ascii="宋体" w:hAnsi="宋体" w:cs="宋体"/>
                <w:color w:val="auto"/>
                <w:sz w:val="24"/>
              </w:rPr>
            </w:pPr>
            <w:r>
              <w:rPr>
                <w:rFonts w:hint="eastAsia" w:ascii="宋体" w:hAnsi="宋体" w:cs="宋体"/>
                <w:color w:val="auto"/>
                <w:spacing w:val="-10"/>
                <w:sz w:val="24"/>
              </w:rPr>
              <w:t>职称</w:t>
            </w:r>
          </w:p>
        </w:tc>
        <w:tc>
          <w:tcPr>
            <w:tcW w:w="1272" w:type="dxa"/>
            <w:tcBorders>
              <w:left w:val="single" w:color="000000" w:sz="6" w:space="0"/>
              <w:right w:val="single" w:color="000000" w:sz="4" w:space="0"/>
            </w:tcBorders>
          </w:tcPr>
          <w:p w14:paraId="57B75845">
            <w:pPr>
              <w:spacing w:line="360" w:lineRule="auto"/>
              <w:rPr>
                <w:rFonts w:ascii="宋体" w:hAnsi="宋体" w:cs="宋体"/>
                <w:color w:val="auto"/>
              </w:rPr>
            </w:pPr>
          </w:p>
        </w:tc>
        <w:tc>
          <w:tcPr>
            <w:tcW w:w="1244" w:type="dxa"/>
            <w:tcBorders>
              <w:left w:val="single" w:color="000000" w:sz="4" w:space="0"/>
              <w:right w:val="single" w:color="000000" w:sz="6" w:space="0"/>
            </w:tcBorders>
          </w:tcPr>
          <w:p w14:paraId="6EBA7B12">
            <w:pPr>
              <w:spacing w:line="360" w:lineRule="auto"/>
              <w:rPr>
                <w:rFonts w:ascii="宋体" w:hAnsi="宋体" w:cs="宋体"/>
                <w:color w:val="auto"/>
              </w:rPr>
            </w:pPr>
          </w:p>
        </w:tc>
        <w:tc>
          <w:tcPr>
            <w:tcW w:w="4120" w:type="dxa"/>
            <w:vMerge w:val="continue"/>
            <w:tcBorders>
              <w:top w:val="nil"/>
              <w:left w:val="single" w:color="000000" w:sz="6" w:space="0"/>
              <w:bottom w:val="nil"/>
              <w:right w:val="single" w:color="000000" w:sz="6" w:space="0"/>
            </w:tcBorders>
          </w:tcPr>
          <w:p w14:paraId="3CDACD58">
            <w:pPr>
              <w:spacing w:line="360" w:lineRule="auto"/>
              <w:rPr>
                <w:rFonts w:ascii="宋体" w:hAnsi="宋体" w:cs="宋体"/>
                <w:color w:val="auto"/>
              </w:rPr>
            </w:pPr>
          </w:p>
        </w:tc>
      </w:tr>
      <w:tr w14:paraId="7AF780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1" w:hRule="atLeast"/>
        </w:trPr>
        <w:tc>
          <w:tcPr>
            <w:tcW w:w="2042" w:type="dxa"/>
            <w:tcBorders>
              <w:left w:val="single" w:color="000000" w:sz="6" w:space="0"/>
              <w:right w:val="single" w:color="000000" w:sz="6" w:space="0"/>
            </w:tcBorders>
          </w:tcPr>
          <w:p w14:paraId="1C519ABB">
            <w:pPr>
              <w:spacing w:before="49" w:line="360" w:lineRule="auto"/>
              <w:ind w:left="561"/>
              <w:rPr>
                <w:rFonts w:ascii="宋体" w:hAnsi="宋体" w:cs="宋体"/>
                <w:color w:val="auto"/>
                <w:sz w:val="24"/>
              </w:rPr>
            </w:pPr>
            <w:r>
              <w:rPr>
                <w:rFonts w:hint="eastAsia" w:ascii="宋体" w:hAnsi="宋体" w:cs="宋体"/>
                <w:color w:val="auto"/>
                <w:spacing w:val="-5"/>
                <w:sz w:val="24"/>
              </w:rPr>
              <w:t>毕</w:t>
            </w:r>
            <w:r>
              <w:rPr>
                <w:rFonts w:hint="eastAsia" w:ascii="宋体" w:hAnsi="宋体" w:cs="宋体"/>
                <w:color w:val="auto"/>
                <w:spacing w:val="-4"/>
                <w:sz w:val="24"/>
              </w:rPr>
              <w:t>业时间</w:t>
            </w:r>
          </w:p>
        </w:tc>
        <w:tc>
          <w:tcPr>
            <w:tcW w:w="1272" w:type="dxa"/>
            <w:tcBorders>
              <w:left w:val="single" w:color="000000" w:sz="6" w:space="0"/>
              <w:right w:val="single" w:color="000000" w:sz="4" w:space="0"/>
            </w:tcBorders>
          </w:tcPr>
          <w:p w14:paraId="3CF74906">
            <w:pPr>
              <w:spacing w:line="360" w:lineRule="auto"/>
              <w:rPr>
                <w:rFonts w:ascii="宋体" w:hAnsi="宋体" w:cs="宋体"/>
                <w:color w:val="auto"/>
              </w:rPr>
            </w:pPr>
          </w:p>
        </w:tc>
        <w:tc>
          <w:tcPr>
            <w:tcW w:w="1244" w:type="dxa"/>
            <w:tcBorders>
              <w:left w:val="single" w:color="000000" w:sz="4" w:space="0"/>
              <w:right w:val="single" w:color="000000" w:sz="6" w:space="0"/>
            </w:tcBorders>
          </w:tcPr>
          <w:p w14:paraId="47CF4B89">
            <w:pPr>
              <w:spacing w:line="360" w:lineRule="auto"/>
              <w:rPr>
                <w:rFonts w:ascii="宋体" w:hAnsi="宋体" w:cs="宋体"/>
                <w:color w:val="auto"/>
              </w:rPr>
            </w:pPr>
          </w:p>
        </w:tc>
        <w:tc>
          <w:tcPr>
            <w:tcW w:w="4120" w:type="dxa"/>
            <w:vMerge w:val="continue"/>
            <w:tcBorders>
              <w:top w:val="nil"/>
              <w:left w:val="single" w:color="000000" w:sz="6" w:space="0"/>
              <w:bottom w:val="nil"/>
              <w:right w:val="single" w:color="000000" w:sz="6" w:space="0"/>
            </w:tcBorders>
          </w:tcPr>
          <w:p w14:paraId="4D7C1A86">
            <w:pPr>
              <w:spacing w:line="360" w:lineRule="auto"/>
              <w:rPr>
                <w:rFonts w:ascii="宋体" w:hAnsi="宋体" w:cs="宋体"/>
                <w:color w:val="auto"/>
              </w:rPr>
            </w:pPr>
          </w:p>
        </w:tc>
      </w:tr>
      <w:tr w14:paraId="467D41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2042" w:type="dxa"/>
            <w:tcBorders>
              <w:left w:val="single" w:color="000000" w:sz="6" w:space="0"/>
              <w:right w:val="single" w:color="000000" w:sz="6" w:space="0"/>
            </w:tcBorders>
          </w:tcPr>
          <w:p w14:paraId="7526A251">
            <w:pPr>
              <w:spacing w:before="88" w:line="360" w:lineRule="auto"/>
              <w:ind w:left="555"/>
              <w:rPr>
                <w:rFonts w:ascii="宋体" w:hAnsi="宋体" w:cs="宋体"/>
                <w:color w:val="auto"/>
                <w:sz w:val="24"/>
              </w:rPr>
            </w:pPr>
            <w:r>
              <w:rPr>
                <w:rFonts w:hint="eastAsia" w:ascii="宋体" w:hAnsi="宋体" w:cs="宋体"/>
                <w:color w:val="auto"/>
                <w:spacing w:val="-4"/>
                <w:sz w:val="24"/>
              </w:rPr>
              <w:t>所</w:t>
            </w:r>
            <w:r>
              <w:rPr>
                <w:rFonts w:hint="eastAsia" w:ascii="宋体" w:hAnsi="宋体" w:cs="宋体"/>
                <w:color w:val="auto"/>
                <w:spacing w:val="-3"/>
                <w:sz w:val="24"/>
              </w:rPr>
              <w:t>学</w:t>
            </w:r>
            <w:r>
              <w:rPr>
                <w:rFonts w:hint="eastAsia" w:ascii="宋体" w:hAnsi="宋体" w:cs="宋体"/>
                <w:color w:val="auto"/>
                <w:spacing w:val="-2"/>
                <w:sz w:val="24"/>
              </w:rPr>
              <w:t>专业</w:t>
            </w:r>
          </w:p>
        </w:tc>
        <w:tc>
          <w:tcPr>
            <w:tcW w:w="1272" w:type="dxa"/>
            <w:tcBorders>
              <w:left w:val="single" w:color="000000" w:sz="6" w:space="0"/>
              <w:right w:val="single" w:color="000000" w:sz="4" w:space="0"/>
            </w:tcBorders>
          </w:tcPr>
          <w:p w14:paraId="4B334C24">
            <w:pPr>
              <w:spacing w:line="360" w:lineRule="auto"/>
              <w:rPr>
                <w:rFonts w:ascii="宋体" w:hAnsi="宋体" w:cs="宋体"/>
                <w:color w:val="auto"/>
              </w:rPr>
            </w:pPr>
          </w:p>
        </w:tc>
        <w:tc>
          <w:tcPr>
            <w:tcW w:w="1244" w:type="dxa"/>
            <w:tcBorders>
              <w:left w:val="single" w:color="000000" w:sz="4" w:space="0"/>
              <w:right w:val="single" w:color="000000" w:sz="6" w:space="0"/>
            </w:tcBorders>
          </w:tcPr>
          <w:p w14:paraId="439E7D86">
            <w:pPr>
              <w:spacing w:line="360" w:lineRule="auto"/>
              <w:rPr>
                <w:rFonts w:ascii="宋体" w:hAnsi="宋体" w:cs="宋体"/>
                <w:color w:val="auto"/>
              </w:rPr>
            </w:pPr>
          </w:p>
        </w:tc>
        <w:tc>
          <w:tcPr>
            <w:tcW w:w="4120" w:type="dxa"/>
            <w:vMerge w:val="continue"/>
            <w:tcBorders>
              <w:top w:val="nil"/>
              <w:left w:val="single" w:color="000000" w:sz="6" w:space="0"/>
              <w:bottom w:val="nil"/>
              <w:right w:val="single" w:color="000000" w:sz="6" w:space="0"/>
            </w:tcBorders>
          </w:tcPr>
          <w:p w14:paraId="10B23227">
            <w:pPr>
              <w:spacing w:line="360" w:lineRule="auto"/>
              <w:rPr>
                <w:rFonts w:ascii="宋体" w:hAnsi="宋体" w:cs="宋体"/>
                <w:color w:val="auto"/>
              </w:rPr>
            </w:pPr>
          </w:p>
        </w:tc>
      </w:tr>
      <w:tr w14:paraId="2E46E6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2042" w:type="dxa"/>
            <w:tcBorders>
              <w:left w:val="single" w:color="000000" w:sz="6" w:space="0"/>
              <w:right w:val="single" w:color="000000" w:sz="6" w:space="0"/>
            </w:tcBorders>
          </w:tcPr>
          <w:p w14:paraId="23F687D3">
            <w:pPr>
              <w:spacing w:before="85" w:line="360" w:lineRule="auto"/>
              <w:ind w:left="808"/>
              <w:rPr>
                <w:rFonts w:ascii="宋体" w:hAnsi="宋体" w:cs="宋体"/>
                <w:color w:val="auto"/>
                <w:sz w:val="24"/>
              </w:rPr>
            </w:pPr>
            <w:r>
              <w:rPr>
                <w:rFonts w:hint="eastAsia" w:ascii="宋体" w:hAnsi="宋体" w:cs="宋体"/>
                <w:color w:val="auto"/>
                <w:spacing w:val="-6"/>
                <w:sz w:val="24"/>
              </w:rPr>
              <w:t>学历</w:t>
            </w:r>
          </w:p>
        </w:tc>
        <w:tc>
          <w:tcPr>
            <w:tcW w:w="1272" w:type="dxa"/>
            <w:tcBorders>
              <w:left w:val="single" w:color="000000" w:sz="6" w:space="0"/>
              <w:right w:val="single" w:color="000000" w:sz="4" w:space="0"/>
            </w:tcBorders>
          </w:tcPr>
          <w:p w14:paraId="20CABA86">
            <w:pPr>
              <w:spacing w:line="360" w:lineRule="auto"/>
              <w:rPr>
                <w:rFonts w:ascii="宋体" w:hAnsi="宋体" w:cs="宋体"/>
                <w:color w:val="auto"/>
              </w:rPr>
            </w:pPr>
          </w:p>
        </w:tc>
        <w:tc>
          <w:tcPr>
            <w:tcW w:w="1244" w:type="dxa"/>
            <w:tcBorders>
              <w:left w:val="single" w:color="000000" w:sz="4" w:space="0"/>
              <w:right w:val="single" w:color="000000" w:sz="6" w:space="0"/>
            </w:tcBorders>
          </w:tcPr>
          <w:p w14:paraId="34858900">
            <w:pPr>
              <w:spacing w:line="360" w:lineRule="auto"/>
              <w:rPr>
                <w:rFonts w:ascii="宋体" w:hAnsi="宋体" w:cs="宋体"/>
                <w:color w:val="auto"/>
              </w:rPr>
            </w:pPr>
          </w:p>
        </w:tc>
        <w:tc>
          <w:tcPr>
            <w:tcW w:w="4120" w:type="dxa"/>
            <w:vMerge w:val="continue"/>
            <w:tcBorders>
              <w:top w:val="nil"/>
              <w:left w:val="single" w:color="000000" w:sz="6" w:space="0"/>
              <w:bottom w:val="nil"/>
              <w:right w:val="single" w:color="000000" w:sz="6" w:space="0"/>
            </w:tcBorders>
          </w:tcPr>
          <w:p w14:paraId="00C41090">
            <w:pPr>
              <w:spacing w:line="360" w:lineRule="auto"/>
              <w:rPr>
                <w:rFonts w:ascii="宋体" w:hAnsi="宋体" w:cs="宋体"/>
                <w:color w:val="auto"/>
              </w:rPr>
            </w:pPr>
          </w:p>
        </w:tc>
      </w:tr>
      <w:tr w14:paraId="7EE49B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2" w:hRule="atLeast"/>
        </w:trPr>
        <w:tc>
          <w:tcPr>
            <w:tcW w:w="2042" w:type="dxa"/>
            <w:tcBorders>
              <w:left w:val="single" w:color="000000" w:sz="6" w:space="0"/>
              <w:right w:val="single" w:color="000000" w:sz="6" w:space="0"/>
            </w:tcBorders>
          </w:tcPr>
          <w:p w14:paraId="4C3DDE52">
            <w:pPr>
              <w:spacing w:before="56" w:line="360" w:lineRule="auto"/>
              <w:ind w:left="324"/>
              <w:rPr>
                <w:rFonts w:ascii="宋体" w:hAnsi="宋体" w:cs="宋体"/>
                <w:color w:val="auto"/>
                <w:sz w:val="24"/>
              </w:rPr>
            </w:pPr>
            <w:r>
              <w:rPr>
                <w:rFonts w:hint="eastAsia" w:ascii="宋体" w:hAnsi="宋体" w:cs="宋体"/>
                <w:color w:val="auto"/>
                <w:spacing w:val="-5"/>
                <w:sz w:val="24"/>
              </w:rPr>
              <w:t>资</w:t>
            </w:r>
            <w:r>
              <w:rPr>
                <w:rFonts w:hint="eastAsia" w:ascii="宋体" w:hAnsi="宋体" w:cs="宋体"/>
                <w:color w:val="auto"/>
                <w:spacing w:val="-3"/>
                <w:sz w:val="24"/>
              </w:rPr>
              <w:t>质证书编号</w:t>
            </w:r>
          </w:p>
        </w:tc>
        <w:tc>
          <w:tcPr>
            <w:tcW w:w="1272" w:type="dxa"/>
            <w:tcBorders>
              <w:left w:val="single" w:color="000000" w:sz="6" w:space="0"/>
              <w:right w:val="single" w:color="000000" w:sz="4" w:space="0"/>
            </w:tcBorders>
          </w:tcPr>
          <w:p w14:paraId="4873BBC3">
            <w:pPr>
              <w:spacing w:line="360" w:lineRule="auto"/>
              <w:rPr>
                <w:rFonts w:ascii="宋体" w:hAnsi="宋体" w:cs="宋体"/>
                <w:color w:val="auto"/>
              </w:rPr>
            </w:pPr>
          </w:p>
        </w:tc>
        <w:tc>
          <w:tcPr>
            <w:tcW w:w="1244" w:type="dxa"/>
            <w:tcBorders>
              <w:left w:val="single" w:color="000000" w:sz="4" w:space="0"/>
              <w:right w:val="single" w:color="000000" w:sz="6" w:space="0"/>
            </w:tcBorders>
          </w:tcPr>
          <w:p w14:paraId="37FB9967">
            <w:pPr>
              <w:spacing w:line="360" w:lineRule="auto"/>
              <w:rPr>
                <w:rFonts w:ascii="宋体" w:hAnsi="宋体" w:cs="宋体"/>
                <w:color w:val="auto"/>
              </w:rPr>
            </w:pPr>
          </w:p>
        </w:tc>
        <w:tc>
          <w:tcPr>
            <w:tcW w:w="4120" w:type="dxa"/>
            <w:vMerge w:val="continue"/>
            <w:tcBorders>
              <w:top w:val="nil"/>
              <w:left w:val="single" w:color="000000" w:sz="6" w:space="0"/>
              <w:bottom w:val="nil"/>
              <w:right w:val="single" w:color="000000" w:sz="6" w:space="0"/>
            </w:tcBorders>
          </w:tcPr>
          <w:p w14:paraId="143C2EE0">
            <w:pPr>
              <w:spacing w:line="360" w:lineRule="auto"/>
              <w:rPr>
                <w:rFonts w:ascii="宋体" w:hAnsi="宋体" w:cs="宋体"/>
                <w:color w:val="auto"/>
              </w:rPr>
            </w:pPr>
          </w:p>
        </w:tc>
      </w:tr>
      <w:tr w14:paraId="7E04B1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8" w:hRule="atLeast"/>
        </w:trPr>
        <w:tc>
          <w:tcPr>
            <w:tcW w:w="2042" w:type="dxa"/>
            <w:tcBorders>
              <w:left w:val="single" w:color="000000" w:sz="6" w:space="0"/>
              <w:right w:val="single" w:color="000000" w:sz="6" w:space="0"/>
            </w:tcBorders>
          </w:tcPr>
          <w:p w14:paraId="53A5D549">
            <w:pPr>
              <w:spacing w:before="7" w:line="360" w:lineRule="auto"/>
              <w:ind w:left="314"/>
              <w:rPr>
                <w:rFonts w:ascii="宋体" w:hAnsi="宋体" w:cs="宋体"/>
                <w:color w:val="auto"/>
                <w:sz w:val="24"/>
              </w:rPr>
            </w:pPr>
            <w:r>
              <w:rPr>
                <w:rFonts w:hint="eastAsia" w:ascii="宋体" w:hAnsi="宋体" w:cs="宋体"/>
                <w:color w:val="auto"/>
                <w:spacing w:val="-2"/>
                <w:sz w:val="24"/>
              </w:rPr>
              <w:t>其他资质</w:t>
            </w:r>
            <w:r>
              <w:rPr>
                <w:rFonts w:hint="eastAsia" w:ascii="宋体" w:hAnsi="宋体" w:cs="宋体"/>
                <w:color w:val="auto"/>
                <w:spacing w:val="-1"/>
                <w:sz w:val="24"/>
              </w:rPr>
              <w:t>情况</w:t>
            </w:r>
          </w:p>
        </w:tc>
        <w:tc>
          <w:tcPr>
            <w:tcW w:w="1272" w:type="dxa"/>
            <w:tcBorders>
              <w:left w:val="single" w:color="000000" w:sz="6" w:space="0"/>
              <w:right w:val="single" w:color="000000" w:sz="4" w:space="0"/>
            </w:tcBorders>
          </w:tcPr>
          <w:p w14:paraId="7C47C42B">
            <w:pPr>
              <w:spacing w:line="360" w:lineRule="auto"/>
              <w:rPr>
                <w:rFonts w:ascii="宋体" w:hAnsi="宋体" w:cs="宋体"/>
                <w:color w:val="auto"/>
              </w:rPr>
            </w:pPr>
          </w:p>
        </w:tc>
        <w:tc>
          <w:tcPr>
            <w:tcW w:w="1244" w:type="dxa"/>
            <w:tcBorders>
              <w:left w:val="single" w:color="000000" w:sz="4" w:space="0"/>
              <w:right w:val="single" w:color="000000" w:sz="6" w:space="0"/>
            </w:tcBorders>
          </w:tcPr>
          <w:p w14:paraId="73DED530">
            <w:pPr>
              <w:spacing w:line="360" w:lineRule="auto"/>
              <w:rPr>
                <w:rFonts w:ascii="宋体" w:hAnsi="宋体" w:cs="宋体"/>
                <w:color w:val="auto"/>
              </w:rPr>
            </w:pPr>
          </w:p>
        </w:tc>
        <w:tc>
          <w:tcPr>
            <w:tcW w:w="4120" w:type="dxa"/>
            <w:vMerge w:val="continue"/>
            <w:tcBorders>
              <w:top w:val="nil"/>
              <w:left w:val="single" w:color="000000" w:sz="6" w:space="0"/>
              <w:bottom w:val="nil"/>
              <w:right w:val="single" w:color="000000" w:sz="6" w:space="0"/>
            </w:tcBorders>
          </w:tcPr>
          <w:p w14:paraId="69728497">
            <w:pPr>
              <w:spacing w:line="360" w:lineRule="auto"/>
              <w:rPr>
                <w:rFonts w:ascii="宋体" w:hAnsi="宋体" w:cs="宋体"/>
                <w:color w:val="auto"/>
              </w:rPr>
            </w:pPr>
          </w:p>
        </w:tc>
      </w:tr>
      <w:tr w14:paraId="28BA24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3" w:hRule="atLeast"/>
        </w:trPr>
        <w:tc>
          <w:tcPr>
            <w:tcW w:w="2042" w:type="dxa"/>
            <w:tcBorders>
              <w:left w:val="single" w:color="000000" w:sz="6" w:space="0"/>
              <w:right w:val="single" w:color="000000" w:sz="6" w:space="0"/>
            </w:tcBorders>
          </w:tcPr>
          <w:p w14:paraId="697F1261">
            <w:pPr>
              <w:spacing w:before="9" w:line="360" w:lineRule="auto"/>
              <w:ind w:left="554"/>
              <w:rPr>
                <w:rFonts w:ascii="宋体" w:hAnsi="宋体" w:cs="宋体"/>
                <w:color w:val="auto"/>
                <w:sz w:val="24"/>
              </w:rPr>
            </w:pPr>
            <w:r>
              <w:rPr>
                <w:rFonts w:hint="eastAsia" w:ascii="宋体" w:hAnsi="宋体" w:cs="宋体"/>
                <w:color w:val="auto"/>
                <w:spacing w:val="-4"/>
                <w:sz w:val="24"/>
              </w:rPr>
              <w:t>联</w:t>
            </w:r>
            <w:r>
              <w:rPr>
                <w:rFonts w:hint="eastAsia" w:ascii="宋体" w:hAnsi="宋体" w:cs="宋体"/>
                <w:color w:val="auto"/>
                <w:spacing w:val="-2"/>
                <w:sz w:val="24"/>
              </w:rPr>
              <w:t>系电话</w:t>
            </w:r>
          </w:p>
        </w:tc>
        <w:tc>
          <w:tcPr>
            <w:tcW w:w="1272" w:type="dxa"/>
            <w:tcBorders>
              <w:left w:val="single" w:color="000000" w:sz="6" w:space="0"/>
              <w:right w:val="single" w:color="000000" w:sz="4" w:space="0"/>
            </w:tcBorders>
          </w:tcPr>
          <w:p w14:paraId="7B41C6E1">
            <w:pPr>
              <w:spacing w:line="360" w:lineRule="auto"/>
              <w:rPr>
                <w:rFonts w:ascii="宋体" w:hAnsi="宋体" w:cs="宋体"/>
                <w:color w:val="auto"/>
              </w:rPr>
            </w:pPr>
          </w:p>
        </w:tc>
        <w:tc>
          <w:tcPr>
            <w:tcW w:w="1244" w:type="dxa"/>
            <w:tcBorders>
              <w:left w:val="single" w:color="000000" w:sz="4" w:space="0"/>
              <w:right w:val="single" w:color="000000" w:sz="6" w:space="0"/>
            </w:tcBorders>
          </w:tcPr>
          <w:p w14:paraId="3D36DDDA">
            <w:pPr>
              <w:spacing w:line="360" w:lineRule="auto"/>
              <w:rPr>
                <w:rFonts w:ascii="宋体" w:hAnsi="宋体" w:cs="宋体"/>
                <w:color w:val="auto"/>
              </w:rPr>
            </w:pPr>
          </w:p>
        </w:tc>
        <w:tc>
          <w:tcPr>
            <w:tcW w:w="4120" w:type="dxa"/>
            <w:vMerge w:val="continue"/>
            <w:tcBorders>
              <w:top w:val="nil"/>
              <w:left w:val="single" w:color="000000" w:sz="6" w:space="0"/>
              <w:right w:val="single" w:color="000000" w:sz="6" w:space="0"/>
            </w:tcBorders>
          </w:tcPr>
          <w:p w14:paraId="7ED44934">
            <w:pPr>
              <w:spacing w:line="360" w:lineRule="auto"/>
              <w:rPr>
                <w:rFonts w:ascii="宋体" w:hAnsi="宋体" w:cs="宋体"/>
                <w:color w:val="auto"/>
              </w:rPr>
            </w:pPr>
          </w:p>
        </w:tc>
      </w:tr>
    </w:tbl>
    <w:p w14:paraId="6F33E480">
      <w:pPr>
        <w:spacing w:line="360" w:lineRule="auto"/>
        <w:ind w:left="669"/>
        <w:rPr>
          <w:rFonts w:ascii="宋体" w:hAnsi="宋体" w:cs="宋体"/>
          <w:color w:val="auto"/>
          <w:sz w:val="23"/>
          <w:szCs w:val="23"/>
        </w:rPr>
      </w:pPr>
      <w:r>
        <w:rPr>
          <w:rFonts w:hint="eastAsia" w:ascii="宋体" w:hAnsi="宋体" w:cs="宋体"/>
          <w:color w:val="auto"/>
          <w:spacing w:val="14"/>
          <w:position w:val="9"/>
          <w:sz w:val="23"/>
          <w:szCs w:val="23"/>
        </w:rPr>
        <w:t>注：</w:t>
      </w:r>
      <w:r>
        <w:rPr>
          <w:rFonts w:hint="eastAsia" w:ascii="宋体" w:hAnsi="宋体" w:cs="宋体"/>
          <w:color w:val="auto"/>
          <w:spacing w:val="11"/>
          <w:position w:val="9"/>
          <w:sz w:val="23"/>
          <w:szCs w:val="23"/>
        </w:rPr>
        <w:t>须</w:t>
      </w:r>
      <w:r>
        <w:rPr>
          <w:rFonts w:hint="eastAsia" w:ascii="宋体" w:hAnsi="宋体" w:cs="宋体"/>
          <w:color w:val="auto"/>
          <w:spacing w:val="7"/>
          <w:position w:val="9"/>
          <w:sz w:val="23"/>
          <w:szCs w:val="23"/>
        </w:rPr>
        <w:t>随表提交相应的证书复印件并注明所在响应技术文件页码。</w:t>
      </w:r>
    </w:p>
    <w:p w14:paraId="115D12C9">
      <w:pPr>
        <w:spacing w:line="360" w:lineRule="auto"/>
        <w:rPr>
          <w:rFonts w:ascii="宋体" w:hAnsi="宋体" w:cs="宋体"/>
          <w:color w:val="auto"/>
          <w:spacing w:val="23"/>
          <w:sz w:val="23"/>
          <w:szCs w:val="23"/>
        </w:rPr>
      </w:pPr>
    </w:p>
    <w:p w14:paraId="19D95C3E">
      <w:pPr>
        <w:spacing w:line="360" w:lineRule="auto"/>
        <w:ind w:left="681"/>
        <w:rPr>
          <w:rFonts w:ascii="宋体" w:hAnsi="宋体" w:cs="宋体"/>
          <w:color w:val="auto"/>
          <w:spacing w:val="23"/>
          <w:sz w:val="23"/>
          <w:szCs w:val="23"/>
        </w:rPr>
      </w:pPr>
    </w:p>
    <w:p w14:paraId="201DC53A">
      <w:pPr>
        <w:spacing w:line="360" w:lineRule="auto"/>
        <w:ind w:left="681"/>
        <w:rPr>
          <w:rFonts w:ascii="宋体" w:hAnsi="宋体" w:cs="宋体"/>
          <w:color w:val="auto"/>
          <w:sz w:val="23"/>
          <w:szCs w:val="23"/>
        </w:rPr>
      </w:pPr>
      <w:r>
        <w:rPr>
          <w:rFonts w:hint="eastAsia" w:ascii="宋体" w:hAnsi="宋体" w:cs="宋体"/>
          <w:color w:val="auto"/>
          <w:spacing w:val="23"/>
          <w:sz w:val="23"/>
          <w:szCs w:val="23"/>
        </w:rPr>
        <w:t>附</w:t>
      </w:r>
      <w:r>
        <w:rPr>
          <w:rFonts w:hint="eastAsia" w:ascii="宋体" w:hAnsi="宋体" w:cs="宋体"/>
          <w:color w:val="auto"/>
          <w:spacing w:val="13"/>
          <w:sz w:val="23"/>
          <w:szCs w:val="23"/>
        </w:rPr>
        <w:t>表</w:t>
      </w:r>
      <w:r>
        <w:rPr>
          <w:rFonts w:hint="eastAsia" w:ascii="宋体" w:hAnsi="宋体" w:cs="宋体"/>
          <w:color w:val="auto"/>
          <w:sz w:val="23"/>
          <w:szCs w:val="23"/>
        </w:rPr>
        <w:t>B</w:t>
      </w:r>
      <w:r>
        <w:rPr>
          <w:rFonts w:hint="eastAsia" w:ascii="宋体" w:hAnsi="宋体" w:cs="宋体"/>
          <w:color w:val="auto"/>
          <w:spacing w:val="13"/>
          <w:sz w:val="23"/>
          <w:szCs w:val="23"/>
        </w:rPr>
        <w:t>:本项目的项目小组人员情况表(按此格式自制)</w:t>
      </w:r>
    </w:p>
    <w:p w14:paraId="1A5AD45D">
      <w:pPr>
        <w:spacing w:line="360" w:lineRule="auto"/>
        <w:rPr>
          <w:rFonts w:ascii="宋体" w:hAnsi="宋体" w:cs="宋体"/>
          <w:color w:val="auto"/>
        </w:rPr>
      </w:pPr>
    </w:p>
    <w:tbl>
      <w:tblPr>
        <w:tblStyle w:val="26"/>
        <w:tblW w:w="8232" w:type="dxa"/>
        <w:tblInd w:w="65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388"/>
        <w:gridCol w:w="716"/>
        <w:gridCol w:w="374"/>
        <w:gridCol w:w="532"/>
        <w:gridCol w:w="939"/>
        <w:gridCol w:w="981"/>
        <w:gridCol w:w="981"/>
        <w:gridCol w:w="1145"/>
        <w:gridCol w:w="818"/>
        <w:gridCol w:w="1358"/>
      </w:tblGrid>
      <w:tr w14:paraId="7815CA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87" w:hRule="atLeast"/>
        </w:trPr>
        <w:tc>
          <w:tcPr>
            <w:tcW w:w="388" w:type="dxa"/>
            <w:tcBorders>
              <w:top w:val="single" w:color="000000" w:sz="2" w:space="0"/>
              <w:bottom w:val="single" w:color="000000" w:sz="2" w:space="0"/>
            </w:tcBorders>
            <w:textDirection w:val="tbRlV"/>
          </w:tcPr>
          <w:p w14:paraId="5109AC6E">
            <w:pPr>
              <w:spacing w:before="68" w:line="360" w:lineRule="auto"/>
              <w:ind w:left="11"/>
              <w:rPr>
                <w:rFonts w:ascii="宋体" w:hAnsi="宋体" w:cs="宋体"/>
                <w:color w:val="auto"/>
                <w:sz w:val="24"/>
              </w:rPr>
            </w:pPr>
            <w:r>
              <w:rPr>
                <w:rFonts w:hint="eastAsia" w:ascii="宋体" w:hAnsi="宋体" w:cs="宋体"/>
                <w:color w:val="auto"/>
                <w:spacing w:val="-1"/>
                <w:sz w:val="24"/>
              </w:rPr>
              <w:t>序</w:t>
            </w:r>
            <w:r>
              <w:rPr>
                <w:rFonts w:hint="eastAsia" w:ascii="宋体" w:hAnsi="宋体" w:cs="宋体"/>
                <w:color w:val="auto"/>
                <w:spacing w:val="2"/>
                <w:sz w:val="24"/>
              </w:rPr>
              <w:t xml:space="preserve"> </w:t>
            </w:r>
            <w:r>
              <w:rPr>
                <w:rFonts w:hint="eastAsia" w:ascii="宋体" w:hAnsi="宋体" w:cs="宋体"/>
                <w:color w:val="auto"/>
                <w:spacing w:val="-1"/>
                <w:sz w:val="24"/>
              </w:rPr>
              <w:t>号</w:t>
            </w:r>
          </w:p>
        </w:tc>
        <w:tc>
          <w:tcPr>
            <w:tcW w:w="716" w:type="dxa"/>
            <w:tcBorders>
              <w:top w:val="single" w:color="000000" w:sz="2" w:space="0"/>
              <w:bottom w:val="single" w:color="000000" w:sz="2" w:space="0"/>
            </w:tcBorders>
          </w:tcPr>
          <w:p w14:paraId="08929BD8">
            <w:pPr>
              <w:spacing w:before="192" w:line="360" w:lineRule="auto"/>
              <w:ind w:left="151"/>
              <w:rPr>
                <w:rFonts w:ascii="宋体" w:hAnsi="宋体" w:cs="宋体"/>
                <w:color w:val="auto"/>
                <w:sz w:val="24"/>
              </w:rPr>
            </w:pPr>
            <w:r>
              <w:rPr>
                <w:rFonts w:hint="eastAsia" w:ascii="宋体" w:hAnsi="宋体" w:cs="宋体"/>
                <w:color w:val="auto"/>
                <w:spacing w:val="-6"/>
                <w:sz w:val="24"/>
              </w:rPr>
              <w:t>姓</w:t>
            </w:r>
            <w:r>
              <w:rPr>
                <w:rFonts w:hint="eastAsia" w:ascii="宋体" w:hAnsi="宋体" w:cs="宋体"/>
                <w:color w:val="auto"/>
                <w:spacing w:val="-4"/>
                <w:sz w:val="24"/>
              </w:rPr>
              <w:t>名</w:t>
            </w:r>
          </w:p>
        </w:tc>
        <w:tc>
          <w:tcPr>
            <w:tcW w:w="374" w:type="dxa"/>
            <w:tcBorders>
              <w:top w:val="single" w:color="000000" w:sz="2" w:space="0"/>
              <w:bottom w:val="single" w:color="000000" w:sz="2" w:space="0"/>
            </w:tcBorders>
            <w:textDirection w:val="tbRlV"/>
          </w:tcPr>
          <w:p w14:paraId="692A6694">
            <w:pPr>
              <w:spacing w:before="59" w:line="360" w:lineRule="auto"/>
              <w:ind w:left="11"/>
              <w:rPr>
                <w:rFonts w:ascii="宋体" w:hAnsi="宋体" w:cs="宋体"/>
                <w:color w:val="auto"/>
                <w:sz w:val="24"/>
              </w:rPr>
            </w:pPr>
            <w:r>
              <w:rPr>
                <w:rFonts w:hint="eastAsia" w:ascii="宋体" w:hAnsi="宋体" w:cs="宋体"/>
                <w:color w:val="auto"/>
                <w:spacing w:val="-1"/>
                <w:sz w:val="24"/>
              </w:rPr>
              <w:t>性</w:t>
            </w:r>
            <w:r>
              <w:rPr>
                <w:rFonts w:hint="eastAsia" w:ascii="宋体" w:hAnsi="宋体" w:cs="宋体"/>
                <w:color w:val="auto"/>
                <w:spacing w:val="2"/>
                <w:sz w:val="24"/>
              </w:rPr>
              <w:t xml:space="preserve"> </w:t>
            </w:r>
            <w:r>
              <w:rPr>
                <w:rFonts w:hint="eastAsia" w:ascii="宋体" w:hAnsi="宋体" w:cs="宋体"/>
                <w:color w:val="auto"/>
                <w:spacing w:val="-1"/>
                <w:sz w:val="24"/>
              </w:rPr>
              <w:t>别</w:t>
            </w:r>
          </w:p>
        </w:tc>
        <w:tc>
          <w:tcPr>
            <w:tcW w:w="532" w:type="dxa"/>
            <w:tcBorders>
              <w:top w:val="single" w:color="000000" w:sz="2" w:space="0"/>
              <w:bottom w:val="single" w:color="000000" w:sz="2" w:space="0"/>
            </w:tcBorders>
            <w:textDirection w:val="tbRlV"/>
          </w:tcPr>
          <w:p w14:paraId="599EC8A7">
            <w:pPr>
              <w:spacing w:before="168" w:line="360" w:lineRule="auto"/>
              <w:ind w:left="11"/>
              <w:rPr>
                <w:rFonts w:ascii="宋体" w:hAnsi="宋体" w:cs="宋体"/>
                <w:color w:val="auto"/>
                <w:sz w:val="24"/>
              </w:rPr>
            </w:pPr>
            <w:r>
              <w:rPr>
                <w:rFonts w:hint="eastAsia" w:ascii="宋体" w:hAnsi="宋体" w:cs="宋体"/>
                <w:color w:val="auto"/>
                <w:spacing w:val="-1"/>
                <w:sz w:val="24"/>
              </w:rPr>
              <w:t>年</w:t>
            </w:r>
            <w:r>
              <w:rPr>
                <w:rFonts w:hint="eastAsia" w:ascii="宋体" w:hAnsi="宋体" w:cs="宋体"/>
                <w:color w:val="auto"/>
                <w:spacing w:val="2"/>
                <w:sz w:val="24"/>
              </w:rPr>
              <w:t xml:space="preserve"> </w:t>
            </w:r>
            <w:r>
              <w:rPr>
                <w:rFonts w:hint="eastAsia" w:ascii="宋体" w:hAnsi="宋体" w:cs="宋体"/>
                <w:color w:val="auto"/>
                <w:spacing w:val="-1"/>
                <w:sz w:val="24"/>
              </w:rPr>
              <w:t>龄</w:t>
            </w:r>
          </w:p>
        </w:tc>
        <w:tc>
          <w:tcPr>
            <w:tcW w:w="939" w:type="dxa"/>
            <w:tcBorders>
              <w:top w:val="single" w:color="000000" w:sz="2" w:space="0"/>
              <w:bottom w:val="single" w:color="000000" w:sz="2" w:space="0"/>
            </w:tcBorders>
          </w:tcPr>
          <w:p w14:paraId="53D08774">
            <w:pPr>
              <w:spacing w:before="11" w:line="360" w:lineRule="auto"/>
              <w:ind w:left="209" w:right="147" w:firstLine="83"/>
              <w:rPr>
                <w:rFonts w:ascii="宋体" w:hAnsi="宋体" w:cs="宋体"/>
                <w:color w:val="auto"/>
                <w:sz w:val="24"/>
              </w:rPr>
            </w:pPr>
            <w:r>
              <w:rPr>
                <w:rFonts w:hint="eastAsia" w:ascii="宋体" w:hAnsi="宋体" w:cs="宋体"/>
                <w:color w:val="auto"/>
                <w:spacing w:val="-13"/>
                <w:sz w:val="24"/>
              </w:rPr>
              <w:t>学</w:t>
            </w:r>
            <w:r>
              <w:rPr>
                <w:rFonts w:hint="eastAsia" w:ascii="宋体" w:hAnsi="宋体" w:cs="宋体"/>
                <w:color w:val="auto"/>
                <w:spacing w:val="-11"/>
                <w:sz w:val="24"/>
              </w:rPr>
              <w:t>历</w:t>
            </w:r>
            <w:r>
              <w:rPr>
                <w:rFonts w:hint="eastAsia" w:ascii="宋体" w:hAnsi="宋体" w:cs="宋体"/>
                <w:color w:val="auto"/>
                <w:sz w:val="24"/>
              </w:rPr>
              <w:t xml:space="preserve"> </w:t>
            </w:r>
            <w:r>
              <w:rPr>
                <w:rFonts w:hint="eastAsia" w:ascii="宋体" w:hAnsi="宋体" w:cs="宋体"/>
                <w:color w:val="auto"/>
                <w:spacing w:val="-15"/>
                <w:sz w:val="24"/>
              </w:rPr>
              <w:t>(页码)</w:t>
            </w:r>
          </w:p>
        </w:tc>
        <w:tc>
          <w:tcPr>
            <w:tcW w:w="981" w:type="dxa"/>
            <w:tcBorders>
              <w:top w:val="single" w:color="000000" w:sz="2" w:space="0"/>
              <w:bottom w:val="single" w:color="000000" w:sz="2" w:space="0"/>
            </w:tcBorders>
          </w:tcPr>
          <w:p w14:paraId="3F5EFDFD">
            <w:pPr>
              <w:spacing w:before="11" w:line="360" w:lineRule="auto"/>
              <w:ind w:left="233" w:right="169" w:firstLine="76"/>
              <w:rPr>
                <w:rFonts w:ascii="宋体" w:hAnsi="宋体" w:cs="宋体"/>
                <w:color w:val="auto"/>
                <w:sz w:val="24"/>
              </w:rPr>
            </w:pPr>
            <w:r>
              <w:rPr>
                <w:rFonts w:hint="eastAsia" w:ascii="宋体" w:hAnsi="宋体" w:cs="宋体"/>
                <w:color w:val="auto"/>
                <w:spacing w:val="-9"/>
                <w:sz w:val="24"/>
              </w:rPr>
              <w:t>专</w:t>
            </w:r>
            <w:r>
              <w:rPr>
                <w:rFonts w:hint="eastAsia" w:ascii="宋体" w:hAnsi="宋体" w:cs="宋体"/>
                <w:color w:val="auto"/>
                <w:spacing w:val="-8"/>
                <w:sz w:val="24"/>
              </w:rPr>
              <w:t>业</w:t>
            </w:r>
            <w:r>
              <w:rPr>
                <w:rFonts w:hint="eastAsia" w:ascii="宋体" w:hAnsi="宋体" w:cs="宋体"/>
                <w:color w:val="auto"/>
                <w:sz w:val="24"/>
              </w:rPr>
              <w:t xml:space="preserve"> </w:t>
            </w:r>
            <w:r>
              <w:rPr>
                <w:rFonts w:hint="eastAsia" w:ascii="宋体" w:hAnsi="宋体" w:cs="宋体"/>
                <w:color w:val="auto"/>
                <w:spacing w:val="-15"/>
                <w:sz w:val="24"/>
              </w:rPr>
              <w:t>(页码)</w:t>
            </w:r>
          </w:p>
        </w:tc>
        <w:tc>
          <w:tcPr>
            <w:tcW w:w="981" w:type="dxa"/>
            <w:tcBorders>
              <w:top w:val="single" w:color="000000" w:sz="2" w:space="0"/>
              <w:bottom w:val="single" w:color="000000" w:sz="2" w:space="0"/>
            </w:tcBorders>
          </w:tcPr>
          <w:p w14:paraId="41976FAB">
            <w:pPr>
              <w:spacing w:before="11" w:line="360" w:lineRule="auto"/>
              <w:ind w:left="235" w:right="167" w:firstLine="79"/>
              <w:rPr>
                <w:rFonts w:ascii="宋体" w:hAnsi="宋体" w:cs="宋体"/>
                <w:color w:val="auto"/>
                <w:sz w:val="24"/>
              </w:rPr>
            </w:pPr>
            <w:r>
              <w:rPr>
                <w:rFonts w:hint="eastAsia" w:ascii="宋体" w:hAnsi="宋体" w:cs="宋体"/>
                <w:color w:val="auto"/>
                <w:spacing w:val="-10"/>
                <w:sz w:val="24"/>
              </w:rPr>
              <w:t>职称</w:t>
            </w:r>
            <w:r>
              <w:rPr>
                <w:rFonts w:hint="eastAsia" w:ascii="宋体" w:hAnsi="宋体" w:cs="宋体"/>
                <w:color w:val="auto"/>
                <w:sz w:val="24"/>
              </w:rPr>
              <w:t xml:space="preserve"> </w:t>
            </w:r>
            <w:r>
              <w:rPr>
                <w:rFonts w:hint="eastAsia" w:ascii="宋体" w:hAnsi="宋体" w:cs="宋体"/>
                <w:color w:val="auto"/>
                <w:spacing w:val="-15"/>
                <w:sz w:val="24"/>
              </w:rPr>
              <w:t>(页码)</w:t>
            </w:r>
          </w:p>
        </w:tc>
        <w:tc>
          <w:tcPr>
            <w:tcW w:w="1145" w:type="dxa"/>
            <w:tcBorders>
              <w:top w:val="single" w:color="000000" w:sz="2" w:space="0"/>
              <w:bottom w:val="single" w:color="000000" w:sz="2" w:space="0"/>
            </w:tcBorders>
          </w:tcPr>
          <w:p w14:paraId="462C64F9">
            <w:pPr>
              <w:spacing w:before="11" w:line="360" w:lineRule="auto"/>
              <w:ind w:left="296" w:right="135" w:hanging="140"/>
              <w:rPr>
                <w:rFonts w:ascii="宋体" w:hAnsi="宋体" w:cs="宋体"/>
                <w:color w:val="auto"/>
                <w:sz w:val="24"/>
              </w:rPr>
            </w:pPr>
            <w:r>
              <w:rPr>
                <w:rFonts w:hint="eastAsia" w:ascii="宋体" w:hAnsi="宋体" w:cs="宋体"/>
                <w:color w:val="auto"/>
                <w:spacing w:val="-4"/>
                <w:sz w:val="24"/>
              </w:rPr>
              <w:t>本</w:t>
            </w:r>
            <w:r>
              <w:rPr>
                <w:rFonts w:hint="eastAsia" w:ascii="宋体" w:hAnsi="宋体" w:cs="宋体"/>
                <w:color w:val="auto"/>
                <w:spacing w:val="-2"/>
                <w:sz w:val="24"/>
              </w:rPr>
              <w:t>项目中</w:t>
            </w:r>
            <w:r>
              <w:rPr>
                <w:rFonts w:hint="eastAsia" w:ascii="宋体" w:hAnsi="宋体" w:cs="宋体"/>
                <w:color w:val="auto"/>
                <w:sz w:val="24"/>
              </w:rPr>
              <w:t xml:space="preserve"> </w:t>
            </w:r>
            <w:r>
              <w:rPr>
                <w:rFonts w:hint="eastAsia" w:ascii="宋体" w:hAnsi="宋体" w:cs="宋体"/>
                <w:color w:val="auto"/>
                <w:spacing w:val="-10"/>
                <w:sz w:val="24"/>
              </w:rPr>
              <w:t>的职责</w:t>
            </w:r>
          </w:p>
        </w:tc>
        <w:tc>
          <w:tcPr>
            <w:tcW w:w="818" w:type="dxa"/>
            <w:tcBorders>
              <w:top w:val="single" w:color="000000" w:sz="2" w:space="0"/>
              <w:bottom w:val="single" w:color="000000" w:sz="2" w:space="0"/>
            </w:tcBorders>
          </w:tcPr>
          <w:p w14:paraId="6A6C4FEA">
            <w:pPr>
              <w:spacing w:before="11" w:line="360" w:lineRule="auto"/>
              <w:ind w:left="221"/>
              <w:rPr>
                <w:rFonts w:ascii="宋体" w:hAnsi="宋体" w:cs="宋体"/>
                <w:color w:val="auto"/>
                <w:sz w:val="24"/>
              </w:rPr>
            </w:pPr>
            <w:r>
              <w:rPr>
                <w:rFonts w:hint="eastAsia" w:ascii="宋体" w:hAnsi="宋体" w:cs="宋体"/>
                <w:color w:val="auto"/>
                <w:spacing w:val="-4"/>
                <w:position w:val="9"/>
                <w:sz w:val="24"/>
              </w:rPr>
              <w:t>项</w:t>
            </w:r>
            <w:r>
              <w:rPr>
                <w:rFonts w:hint="eastAsia" w:ascii="宋体" w:hAnsi="宋体" w:cs="宋体"/>
                <w:color w:val="auto"/>
                <w:spacing w:val="-3"/>
                <w:position w:val="9"/>
                <w:sz w:val="24"/>
              </w:rPr>
              <w:t>目</w:t>
            </w:r>
          </w:p>
          <w:p w14:paraId="2A121961">
            <w:pPr>
              <w:spacing w:line="360" w:lineRule="auto"/>
              <w:ind w:left="224"/>
              <w:rPr>
                <w:rFonts w:ascii="宋体" w:hAnsi="宋体" w:cs="宋体"/>
                <w:color w:val="auto"/>
                <w:sz w:val="24"/>
              </w:rPr>
            </w:pPr>
            <w:r>
              <w:rPr>
                <w:rFonts w:hint="eastAsia" w:ascii="宋体" w:hAnsi="宋体" w:cs="宋体"/>
                <w:color w:val="auto"/>
                <w:spacing w:val="-9"/>
                <w:sz w:val="24"/>
              </w:rPr>
              <w:t>经</w:t>
            </w:r>
            <w:r>
              <w:rPr>
                <w:rFonts w:hint="eastAsia" w:ascii="宋体" w:hAnsi="宋体" w:cs="宋体"/>
                <w:color w:val="auto"/>
                <w:spacing w:val="-7"/>
                <w:sz w:val="24"/>
              </w:rPr>
              <w:t>历</w:t>
            </w:r>
          </w:p>
        </w:tc>
        <w:tc>
          <w:tcPr>
            <w:tcW w:w="1358" w:type="dxa"/>
            <w:tcBorders>
              <w:top w:val="single" w:color="000000" w:sz="2" w:space="0"/>
              <w:bottom w:val="single" w:color="000000" w:sz="2" w:space="0"/>
            </w:tcBorders>
          </w:tcPr>
          <w:p w14:paraId="5396157B">
            <w:pPr>
              <w:spacing w:before="11" w:line="360" w:lineRule="auto"/>
              <w:ind w:left="173" w:right="132" w:hanging="15"/>
              <w:rPr>
                <w:rFonts w:ascii="宋体" w:hAnsi="宋体" w:cs="宋体"/>
                <w:color w:val="auto"/>
                <w:sz w:val="24"/>
              </w:rPr>
            </w:pPr>
            <w:r>
              <w:rPr>
                <w:rFonts w:hint="eastAsia" w:ascii="宋体" w:hAnsi="宋体" w:cs="宋体"/>
                <w:color w:val="auto"/>
                <w:spacing w:val="-3"/>
                <w:sz w:val="24"/>
              </w:rPr>
              <w:t>参与本项目</w:t>
            </w:r>
            <w:r>
              <w:rPr>
                <w:rFonts w:hint="eastAsia" w:ascii="宋体" w:hAnsi="宋体" w:cs="宋体"/>
                <w:color w:val="auto"/>
                <w:sz w:val="24"/>
              </w:rPr>
              <w:t xml:space="preserve"> </w:t>
            </w:r>
            <w:r>
              <w:rPr>
                <w:rFonts w:hint="eastAsia" w:ascii="宋体" w:hAnsi="宋体" w:cs="宋体"/>
                <w:color w:val="auto"/>
                <w:spacing w:val="-6"/>
                <w:sz w:val="24"/>
              </w:rPr>
              <w:t>的到位情况</w:t>
            </w:r>
          </w:p>
        </w:tc>
      </w:tr>
      <w:tr w14:paraId="77A80B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832" w:hRule="atLeast"/>
        </w:trPr>
        <w:tc>
          <w:tcPr>
            <w:tcW w:w="388" w:type="dxa"/>
            <w:tcBorders>
              <w:top w:val="single" w:color="000000" w:sz="2" w:space="0"/>
              <w:bottom w:val="single" w:color="000000" w:sz="2" w:space="0"/>
            </w:tcBorders>
          </w:tcPr>
          <w:p w14:paraId="036DEED3">
            <w:pPr>
              <w:spacing w:line="360" w:lineRule="auto"/>
              <w:rPr>
                <w:rFonts w:ascii="宋体" w:hAnsi="宋体" w:cs="宋体"/>
                <w:color w:val="auto"/>
              </w:rPr>
            </w:pPr>
          </w:p>
        </w:tc>
        <w:tc>
          <w:tcPr>
            <w:tcW w:w="716" w:type="dxa"/>
            <w:tcBorders>
              <w:top w:val="single" w:color="000000" w:sz="2" w:space="0"/>
              <w:bottom w:val="single" w:color="000000" w:sz="2" w:space="0"/>
            </w:tcBorders>
          </w:tcPr>
          <w:p w14:paraId="6F6DBBC8">
            <w:pPr>
              <w:spacing w:line="360" w:lineRule="auto"/>
              <w:rPr>
                <w:rFonts w:ascii="宋体" w:hAnsi="宋体" w:cs="宋体"/>
                <w:color w:val="auto"/>
              </w:rPr>
            </w:pPr>
          </w:p>
        </w:tc>
        <w:tc>
          <w:tcPr>
            <w:tcW w:w="374" w:type="dxa"/>
            <w:tcBorders>
              <w:top w:val="single" w:color="000000" w:sz="2" w:space="0"/>
              <w:bottom w:val="single" w:color="000000" w:sz="2" w:space="0"/>
            </w:tcBorders>
          </w:tcPr>
          <w:p w14:paraId="54099DFC">
            <w:pPr>
              <w:spacing w:line="360" w:lineRule="auto"/>
              <w:rPr>
                <w:rFonts w:ascii="宋体" w:hAnsi="宋体" w:cs="宋体"/>
                <w:color w:val="auto"/>
              </w:rPr>
            </w:pPr>
          </w:p>
        </w:tc>
        <w:tc>
          <w:tcPr>
            <w:tcW w:w="532" w:type="dxa"/>
            <w:tcBorders>
              <w:top w:val="single" w:color="000000" w:sz="2" w:space="0"/>
              <w:bottom w:val="single" w:color="000000" w:sz="2" w:space="0"/>
            </w:tcBorders>
          </w:tcPr>
          <w:p w14:paraId="62A4AA3A">
            <w:pPr>
              <w:spacing w:line="360" w:lineRule="auto"/>
              <w:rPr>
                <w:rFonts w:ascii="宋体" w:hAnsi="宋体" w:cs="宋体"/>
                <w:color w:val="auto"/>
              </w:rPr>
            </w:pPr>
          </w:p>
        </w:tc>
        <w:tc>
          <w:tcPr>
            <w:tcW w:w="939" w:type="dxa"/>
            <w:tcBorders>
              <w:top w:val="single" w:color="000000" w:sz="2" w:space="0"/>
              <w:bottom w:val="single" w:color="000000" w:sz="2" w:space="0"/>
            </w:tcBorders>
          </w:tcPr>
          <w:p w14:paraId="30169619">
            <w:pPr>
              <w:spacing w:line="360" w:lineRule="auto"/>
              <w:rPr>
                <w:rFonts w:ascii="宋体" w:hAnsi="宋体" w:cs="宋体"/>
                <w:color w:val="auto"/>
              </w:rPr>
            </w:pPr>
          </w:p>
        </w:tc>
        <w:tc>
          <w:tcPr>
            <w:tcW w:w="981" w:type="dxa"/>
            <w:tcBorders>
              <w:top w:val="single" w:color="000000" w:sz="2" w:space="0"/>
              <w:bottom w:val="single" w:color="000000" w:sz="2" w:space="0"/>
            </w:tcBorders>
          </w:tcPr>
          <w:p w14:paraId="5C4D8FA7">
            <w:pPr>
              <w:spacing w:line="360" w:lineRule="auto"/>
              <w:rPr>
                <w:rFonts w:ascii="宋体" w:hAnsi="宋体" w:cs="宋体"/>
                <w:color w:val="auto"/>
              </w:rPr>
            </w:pPr>
          </w:p>
        </w:tc>
        <w:tc>
          <w:tcPr>
            <w:tcW w:w="981" w:type="dxa"/>
            <w:tcBorders>
              <w:top w:val="single" w:color="000000" w:sz="2" w:space="0"/>
              <w:bottom w:val="single" w:color="000000" w:sz="2" w:space="0"/>
            </w:tcBorders>
          </w:tcPr>
          <w:p w14:paraId="4DDC6499">
            <w:pPr>
              <w:spacing w:line="360" w:lineRule="auto"/>
              <w:rPr>
                <w:rFonts w:ascii="宋体" w:hAnsi="宋体" w:cs="宋体"/>
                <w:color w:val="auto"/>
              </w:rPr>
            </w:pPr>
          </w:p>
        </w:tc>
        <w:tc>
          <w:tcPr>
            <w:tcW w:w="1145" w:type="dxa"/>
            <w:tcBorders>
              <w:top w:val="single" w:color="000000" w:sz="2" w:space="0"/>
              <w:bottom w:val="single" w:color="000000" w:sz="2" w:space="0"/>
            </w:tcBorders>
          </w:tcPr>
          <w:p w14:paraId="22278617">
            <w:pPr>
              <w:spacing w:line="360" w:lineRule="auto"/>
              <w:rPr>
                <w:rFonts w:ascii="宋体" w:hAnsi="宋体" w:cs="宋体"/>
                <w:color w:val="auto"/>
              </w:rPr>
            </w:pPr>
          </w:p>
        </w:tc>
        <w:tc>
          <w:tcPr>
            <w:tcW w:w="818" w:type="dxa"/>
            <w:tcBorders>
              <w:top w:val="single" w:color="000000" w:sz="2" w:space="0"/>
              <w:bottom w:val="single" w:color="000000" w:sz="2" w:space="0"/>
            </w:tcBorders>
          </w:tcPr>
          <w:p w14:paraId="67AD0309">
            <w:pPr>
              <w:spacing w:line="360" w:lineRule="auto"/>
              <w:rPr>
                <w:rFonts w:ascii="宋体" w:hAnsi="宋体" w:cs="宋体"/>
                <w:color w:val="auto"/>
              </w:rPr>
            </w:pPr>
          </w:p>
        </w:tc>
        <w:tc>
          <w:tcPr>
            <w:tcW w:w="1358" w:type="dxa"/>
            <w:tcBorders>
              <w:top w:val="single" w:color="000000" w:sz="2" w:space="0"/>
              <w:bottom w:val="single" w:color="000000" w:sz="2" w:space="0"/>
            </w:tcBorders>
          </w:tcPr>
          <w:p w14:paraId="695F2423">
            <w:pPr>
              <w:spacing w:line="360" w:lineRule="auto"/>
              <w:rPr>
                <w:rFonts w:ascii="宋体" w:hAnsi="宋体" w:cs="宋体"/>
                <w:color w:val="auto"/>
              </w:rPr>
            </w:pPr>
          </w:p>
        </w:tc>
      </w:tr>
      <w:tr w14:paraId="423B27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48" w:hRule="atLeast"/>
        </w:trPr>
        <w:tc>
          <w:tcPr>
            <w:tcW w:w="388" w:type="dxa"/>
            <w:tcBorders>
              <w:top w:val="single" w:color="000000" w:sz="2" w:space="0"/>
              <w:bottom w:val="single" w:color="000000" w:sz="2" w:space="0"/>
            </w:tcBorders>
          </w:tcPr>
          <w:p w14:paraId="55CFAD89">
            <w:pPr>
              <w:spacing w:line="360" w:lineRule="auto"/>
              <w:rPr>
                <w:rFonts w:ascii="宋体" w:hAnsi="宋体" w:cs="宋体"/>
                <w:color w:val="auto"/>
              </w:rPr>
            </w:pPr>
          </w:p>
        </w:tc>
        <w:tc>
          <w:tcPr>
            <w:tcW w:w="716" w:type="dxa"/>
            <w:tcBorders>
              <w:top w:val="single" w:color="000000" w:sz="2" w:space="0"/>
              <w:bottom w:val="single" w:color="000000" w:sz="2" w:space="0"/>
            </w:tcBorders>
          </w:tcPr>
          <w:p w14:paraId="5A5FE581">
            <w:pPr>
              <w:spacing w:line="360" w:lineRule="auto"/>
              <w:rPr>
                <w:rFonts w:ascii="宋体" w:hAnsi="宋体" w:cs="宋体"/>
                <w:color w:val="auto"/>
              </w:rPr>
            </w:pPr>
          </w:p>
        </w:tc>
        <w:tc>
          <w:tcPr>
            <w:tcW w:w="374" w:type="dxa"/>
            <w:tcBorders>
              <w:top w:val="single" w:color="000000" w:sz="2" w:space="0"/>
              <w:bottom w:val="single" w:color="000000" w:sz="2" w:space="0"/>
            </w:tcBorders>
          </w:tcPr>
          <w:p w14:paraId="2AEA65A9">
            <w:pPr>
              <w:spacing w:line="360" w:lineRule="auto"/>
              <w:rPr>
                <w:rFonts w:ascii="宋体" w:hAnsi="宋体" w:cs="宋体"/>
                <w:color w:val="auto"/>
              </w:rPr>
            </w:pPr>
          </w:p>
        </w:tc>
        <w:tc>
          <w:tcPr>
            <w:tcW w:w="532" w:type="dxa"/>
            <w:tcBorders>
              <w:top w:val="single" w:color="000000" w:sz="2" w:space="0"/>
              <w:bottom w:val="single" w:color="000000" w:sz="2" w:space="0"/>
            </w:tcBorders>
          </w:tcPr>
          <w:p w14:paraId="3F078506">
            <w:pPr>
              <w:spacing w:line="360" w:lineRule="auto"/>
              <w:rPr>
                <w:rFonts w:ascii="宋体" w:hAnsi="宋体" w:cs="宋体"/>
                <w:color w:val="auto"/>
              </w:rPr>
            </w:pPr>
          </w:p>
        </w:tc>
        <w:tc>
          <w:tcPr>
            <w:tcW w:w="939" w:type="dxa"/>
            <w:tcBorders>
              <w:top w:val="single" w:color="000000" w:sz="2" w:space="0"/>
              <w:bottom w:val="single" w:color="000000" w:sz="2" w:space="0"/>
            </w:tcBorders>
          </w:tcPr>
          <w:p w14:paraId="25F8D9F2">
            <w:pPr>
              <w:spacing w:line="360" w:lineRule="auto"/>
              <w:rPr>
                <w:rFonts w:ascii="宋体" w:hAnsi="宋体" w:cs="宋体"/>
                <w:color w:val="auto"/>
              </w:rPr>
            </w:pPr>
          </w:p>
        </w:tc>
        <w:tc>
          <w:tcPr>
            <w:tcW w:w="981" w:type="dxa"/>
            <w:tcBorders>
              <w:top w:val="single" w:color="000000" w:sz="2" w:space="0"/>
              <w:bottom w:val="single" w:color="000000" w:sz="2" w:space="0"/>
            </w:tcBorders>
          </w:tcPr>
          <w:p w14:paraId="1EB92218">
            <w:pPr>
              <w:spacing w:line="360" w:lineRule="auto"/>
              <w:rPr>
                <w:rFonts w:ascii="宋体" w:hAnsi="宋体" w:cs="宋体"/>
                <w:color w:val="auto"/>
              </w:rPr>
            </w:pPr>
          </w:p>
        </w:tc>
        <w:tc>
          <w:tcPr>
            <w:tcW w:w="981" w:type="dxa"/>
            <w:tcBorders>
              <w:top w:val="single" w:color="000000" w:sz="2" w:space="0"/>
              <w:bottom w:val="single" w:color="000000" w:sz="2" w:space="0"/>
            </w:tcBorders>
          </w:tcPr>
          <w:p w14:paraId="6293E1EE">
            <w:pPr>
              <w:spacing w:line="360" w:lineRule="auto"/>
              <w:rPr>
                <w:rFonts w:ascii="宋体" w:hAnsi="宋体" w:cs="宋体"/>
                <w:color w:val="auto"/>
              </w:rPr>
            </w:pPr>
          </w:p>
        </w:tc>
        <w:tc>
          <w:tcPr>
            <w:tcW w:w="1145" w:type="dxa"/>
            <w:tcBorders>
              <w:top w:val="single" w:color="000000" w:sz="2" w:space="0"/>
              <w:bottom w:val="single" w:color="000000" w:sz="2" w:space="0"/>
            </w:tcBorders>
          </w:tcPr>
          <w:p w14:paraId="5ED5ACF8">
            <w:pPr>
              <w:spacing w:line="360" w:lineRule="auto"/>
              <w:rPr>
                <w:rFonts w:ascii="宋体" w:hAnsi="宋体" w:cs="宋体"/>
                <w:color w:val="auto"/>
              </w:rPr>
            </w:pPr>
          </w:p>
        </w:tc>
        <w:tc>
          <w:tcPr>
            <w:tcW w:w="818" w:type="dxa"/>
            <w:tcBorders>
              <w:top w:val="single" w:color="000000" w:sz="2" w:space="0"/>
              <w:bottom w:val="single" w:color="000000" w:sz="2" w:space="0"/>
            </w:tcBorders>
          </w:tcPr>
          <w:p w14:paraId="693D71A6">
            <w:pPr>
              <w:spacing w:line="360" w:lineRule="auto"/>
              <w:rPr>
                <w:rFonts w:ascii="宋体" w:hAnsi="宋体" w:cs="宋体"/>
                <w:color w:val="auto"/>
              </w:rPr>
            </w:pPr>
          </w:p>
        </w:tc>
        <w:tc>
          <w:tcPr>
            <w:tcW w:w="1358" w:type="dxa"/>
            <w:tcBorders>
              <w:top w:val="single" w:color="000000" w:sz="2" w:space="0"/>
              <w:bottom w:val="single" w:color="000000" w:sz="2" w:space="0"/>
            </w:tcBorders>
          </w:tcPr>
          <w:p w14:paraId="77A625E1">
            <w:pPr>
              <w:spacing w:line="360" w:lineRule="auto"/>
              <w:rPr>
                <w:rFonts w:ascii="宋体" w:hAnsi="宋体" w:cs="宋体"/>
                <w:color w:val="auto"/>
              </w:rPr>
            </w:pPr>
          </w:p>
        </w:tc>
      </w:tr>
    </w:tbl>
    <w:p w14:paraId="7D185512">
      <w:pPr>
        <w:spacing w:before="1" w:line="360" w:lineRule="auto"/>
        <w:ind w:left="669" w:right="668"/>
        <w:rPr>
          <w:rFonts w:ascii="宋体" w:hAnsi="宋体" w:cs="宋体"/>
          <w:color w:val="auto"/>
          <w:sz w:val="23"/>
          <w:szCs w:val="23"/>
        </w:rPr>
      </w:pPr>
      <w:r>
        <w:rPr>
          <w:rFonts w:hint="eastAsia" w:ascii="宋体" w:hAnsi="宋体" w:cs="宋体"/>
          <w:color w:val="auto"/>
          <w:spacing w:val="22"/>
          <w:sz w:val="23"/>
          <w:szCs w:val="23"/>
        </w:rPr>
        <w:t>注</w:t>
      </w:r>
      <w:r>
        <w:rPr>
          <w:rFonts w:hint="eastAsia" w:ascii="宋体" w:hAnsi="宋体" w:cs="宋体"/>
          <w:color w:val="auto"/>
          <w:spacing w:val="18"/>
          <w:sz w:val="23"/>
          <w:szCs w:val="23"/>
        </w:rPr>
        <w:t>：</w:t>
      </w:r>
      <w:r>
        <w:rPr>
          <w:rFonts w:hint="eastAsia" w:ascii="宋体" w:hAnsi="宋体" w:cs="宋体"/>
          <w:color w:val="auto"/>
          <w:spacing w:val="11"/>
          <w:sz w:val="23"/>
          <w:szCs w:val="23"/>
        </w:rPr>
        <w:t>供应商可按上述的格式自行编制，须随表提交相应的证书复印件并注明所在响</w:t>
      </w:r>
      <w:r>
        <w:rPr>
          <w:rFonts w:hint="eastAsia" w:ascii="宋体" w:hAnsi="宋体" w:cs="宋体"/>
          <w:color w:val="auto"/>
          <w:sz w:val="23"/>
          <w:szCs w:val="23"/>
        </w:rPr>
        <w:t xml:space="preserve"> </w:t>
      </w:r>
      <w:r>
        <w:rPr>
          <w:rFonts w:hint="eastAsia" w:ascii="宋体" w:hAnsi="宋体" w:cs="宋体"/>
          <w:color w:val="auto"/>
          <w:spacing w:val="2"/>
          <w:sz w:val="23"/>
          <w:szCs w:val="23"/>
        </w:rPr>
        <w:t>应技术</w:t>
      </w:r>
      <w:r>
        <w:rPr>
          <w:rFonts w:hint="eastAsia" w:ascii="宋体" w:hAnsi="宋体" w:cs="宋体"/>
          <w:color w:val="auto"/>
          <w:spacing w:val="1"/>
          <w:sz w:val="23"/>
          <w:szCs w:val="23"/>
        </w:rPr>
        <w:t>文件页码。</w:t>
      </w:r>
    </w:p>
    <w:p w14:paraId="0C877EAC">
      <w:pPr>
        <w:spacing w:before="3" w:line="360" w:lineRule="auto"/>
        <w:ind w:left="675" w:right="658" w:firstLine="5"/>
        <w:rPr>
          <w:rFonts w:ascii="宋体" w:hAnsi="宋体" w:cs="宋体"/>
          <w:color w:val="auto"/>
          <w:spacing w:val="-14"/>
          <w:sz w:val="24"/>
        </w:rPr>
      </w:pPr>
    </w:p>
    <w:p w14:paraId="4E41966C">
      <w:pPr>
        <w:spacing w:before="3" w:line="360" w:lineRule="auto"/>
        <w:ind w:left="675" w:right="658" w:firstLine="5"/>
        <w:rPr>
          <w:rFonts w:ascii="宋体" w:hAnsi="宋体" w:cs="宋体"/>
          <w:color w:val="auto"/>
          <w:spacing w:val="-14"/>
          <w:sz w:val="24"/>
        </w:rPr>
      </w:pPr>
    </w:p>
    <w:p w14:paraId="1C1A8336">
      <w:pPr>
        <w:spacing w:before="3" w:line="360" w:lineRule="auto"/>
        <w:ind w:left="675" w:right="658" w:firstLine="5"/>
        <w:rPr>
          <w:rFonts w:ascii="宋体" w:hAnsi="宋体" w:cs="宋体"/>
          <w:color w:val="auto"/>
        </w:rPr>
      </w:pPr>
      <w:r>
        <w:rPr>
          <w:rFonts w:hint="eastAsia" w:ascii="宋体" w:hAnsi="宋体" w:cs="宋体"/>
          <w:color w:val="auto"/>
          <w:spacing w:val="-14"/>
          <w:sz w:val="24"/>
        </w:rPr>
        <w:t>附表</w:t>
      </w:r>
      <w:r>
        <w:rPr>
          <w:rFonts w:hint="eastAsia" w:ascii="宋体" w:hAnsi="宋体" w:cs="宋体"/>
          <w:color w:val="auto"/>
          <w:spacing w:val="-7"/>
          <w:sz w:val="24"/>
        </w:rPr>
        <w:t xml:space="preserve"> C:本项目的项目经理和小组人员近 3 个月交纳社保记录情况表 ( 以社保局缴纳</w:t>
      </w:r>
      <w:r>
        <w:rPr>
          <w:rFonts w:hint="eastAsia" w:ascii="宋体" w:hAnsi="宋体" w:cs="宋体"/>
          <w:color w:val="auto"/>
          <w:sz w:val="24"/>
        </w:rPr>
        <w:t xml:space="preserve"> </w:t>
      </w:r>
      <w:r>
        <w:rPr>
          <w:rFonts w:hint="eastAsia" w:ascii="宋体" w:hAnsi="宋体" w:cs="宋体"/>
          <w:color w:val="auto"/>
          <w:spacing w:val="-6"/>
          <w:sz w:val="24"/>
        </w:rPr>
        <w:t>凭</w:t>
      </w:r>
      <w:r>
        <w:rPr>
          <w:rFonts w:hint="eastAsia" w:ascii="宋体" w:hAnsi="宋体" w:cs="宋体"/>
          <w:color w:val="auto"/>
          <w:spacing w:val="-4"/>
          <w:sz w:val="24"/>
        </w:rPr>
        <w:t>证</w:t>
      </w:r>
      <w:r>
        <w:rPr>
          <w:rFonts w:hint="eastAsia" w:ascii="宋体" w:hAnsi="宋体" w:cs="宋体"/>
          <w:color w:val="auto"/>
          <w:spacing w:val="-3"/>
          <w:sz w:val="24"/>
        </w:rPr>
        <w:t>作附件)</w:t>
      </w:r>
    </w:p>
    <w:p w14:paraId="1093CE04">
      <w:pPr>
        <w:spacing w:before="79" w:line="360" w:lineRule="auto"/>
        <w:ind w:left="4754"/>
        <w:rPr>
          <w:rFonts w:ascii="宋体" w:hAnsi="宋体" w:cs="宋体"/>
          <w:color w:val="auto"/>
          <w:sz w:val="24"/>
        </w:rPr>
      </w:pPr>
      <w:r>
        <w:rPr>
          <w:rFonts w:hint="eastAsia" w:ascii="宋体" w:hAnsi="宋体" w:cs="宋体"/>
          <w:color w:val="auto"/>
          <w:spacing w:val="-8"/>
          <w:sz w:val="24"/>
        </w:rPr>
        <w:t>供</w:t>
      </w:r>
      <w:r>
        <w:rPr>
          <w:rFonts w:hint="eastAsia" w:ascii="宋体" w:hAnsi="宋体" w:cs="宋体"/>
          <w:color w:val="auto"/>
          <w:spacing w:val="-7"/>
          <w:sz w:val="24"/>
        </w:rPr>
        <w:t>应</w:t>
      </w:r>
      <w:r>
        <w:rPr>
          <w:rFonts w:hint="eastAsia" w:ascii="宋体" w:hAnsi="宋体" w:cs="宋体"/>
          <w:color w:val="auto"/>
          <w:spacing w:val="-4"/>
          <w:sz w:val="24"/>
        </w:rPr>
        <w:t>商名称( 电子签章 )：</w:t>
      </w:r>
    </w:p>
    <w:p w14:paraId="607F6F09">
      <w:pPr>
        <w:spacing w:before="79" w:line="360" w:lineRule="auto"/>
        <w:jc w:val="center"/>
        <w:rPr>
          <w:rFonts w:ascii="宋体" w:hAnsi="宋体" w:cs="宋体"/>
          <w:color w:val="auto"/>
          <w:sz w:val="24"/>
        </w:rPr>
      </w:pPr>
      <w:r>
        <w:rPr>
          <w:rFonts w:hint="eastAsia" w:ascii="宋体" w:hAnsi="宋体" w:cs="宋体"/>
          <w:color w:val="auto"/>
          <w:spacing w:val="-13"/>
          <w:sz w:val="24"/>
        </w:rPr>
        <w:t xml:space="preserve">日 期 ：     年   </w:t>
      </w:r>
      <w:r>
        <w:rPr>
          <w:rFonts w:hint="eastAsia" w:ascii="宋体" w:hAnsi="宋体" w:cs="宋体"/>
          <w:color w:val="auto"/>
          <w:spacing w:val="-12"/>
          <w:sz w:val="24"/>
        </w:rPr>
        <w:t xml:space="preserve">月  </w:t>
      </w:r>
      <w:r>
        <w:rPr>
          <w:rFonts w:hint="eastAsia" w:ascii="宋体" w:hAnsi="宋体" w:cs="宋体"/>
          <w:color w:val="auto"/>
          <w:sz w:val="24"/>
        </w:rPr>
        <w:t>日</w:t>
      </w:r>
    </w:p>
    <w:p w14:paraId="2DCB13C5">
      <w:pPr>
        <w:spacing w:line="360" w:lineRule="auto"/>
        <w:rPr>
          <w:rFonts w:ascii="宋体" w:hAnsi="宋体" w:cs="宋体"/>
          <w:color w:val="auto"/>
        </w:rPr>
      </w:pPr>
    </w:p>
    <w:p w14:paraId="2E62A8CC">
      <w:pPr>
        <w:spacing w:before="98" w:line="360" w:lineRule="auto"/>
        <w:rPr>
          <w:rFonts w:ascii="宋体" w:hAnsi="宋体" w:cs="宋体"/>
          <w:color w:val="auto"/>
          <w:spacing w:val="-2"/>
          <w:sz w:val="30"/>
          <w:szCs w:val="30"/>
        </w:rPr>
      </w:pPr>
    </w:p>
    <w:p w14:paraId="7E1C355D">
      <w:pPr>
        <w:spacing w:before="98" w:line="360" w:lineRule="auto"/>
        <w:ind w:left="1284"/>
        <w:rPr>
          <w:rFonts w:ascii="宋体" w:hAnsi="宋体" w:cs="宋体"/>
          <w:color w:val="auto"/>
          <w:sz w:val="30"/>
          <w:szCs w:val="30"/>
        </w:rPr>
      </w:pPr>
      <w:r>
        <w:rPr>
          <w:rFonts w:hint="eastAsia" w:ascii="宋体" w:hAnsi="宋体" w:cs="宋体"/>
          <w:color w:val="auto"/>
          <w:spacing w:val="-2"/>
          <w:sz w:val="30"/>
          <w:szCs w:val="30"/>
        </w:rPr>
        <w:t>十一、服务需</w:t>
      </w:r>
      <w:r>
        <w:rPr>
          <w:rFonts w:hint="eastAsia" w:ascii="宋体" w:hAnsi="宋体" w:cs="宋体"/>
          <w:color w:val="auto"/>
          <w:spacing w:val="-1"/>
          <w:sz w:val="30"/>
          <w:szCs w:val="30"/>
        </w:rPr>
        <w:t>求、商务条款要求提供的其他材料</w:t>
      </w:r>
    </w:p>
    <w:p w14:paraId="69B0AD81">
      <w:pPr>
        <w:spacing w:line="360" w:lineRule="auto"/>
        <w:rPr>
          <w:rFonts w:ascii="宋体" w:hAnsi="宋体" w:cs="宋体"/>
          <w:color w:val="auto"/>
        </w:rPr>
      </w:pPr>
    </w:p>
    <w:p w14:paraId="175618BC">
      <w:pPr>
        <w:spacing w:line="360" w:lineRule="auto"/>
        <w:rPr>
          <w:rFonts w:ascii="宋体" w:hAnsi="宋体" w:cs="宋体"/>
          <w:color w:val="auto"/>
        </w:rPr>
      </w:pPr>
    </w:p>
    <w:p w14:paraId="19FC574F">
      <w:pPr>
        <w:spacing w:before="78" w:line="360" w:lineRule="auto"/>
        <w:ind w:left="4102"/>
        <w:rPr>
          <w:rFonts w:ascii="宋体" w:hAnsi="宋体" w:cs="宋体"/>
          <w:color w:val="auto"/>
          <w:sz w:val="24"/>
        </w:rPr>
      </w:pPr>
      <w:r>
        <w:rPr>
          <w:rFonts w:hint="eastAsia" w:ascii="宋体" w:hAnsi="宋体" w:cs="宋体"/>
          <w:color w:val="auto"/>
          <w:spacing w:val="-8"/>
          <w:sz w:val="24"/>
        </w:rPr>
        <w:t>供</w:t>
      </w:r>
      <w:r>
        <w:rPr>
          <w:rFonts w:hint="eastAsia" w:ascii="宋体" w:hAnsi="宋体" w:cs="宋体"/>
          <w:color w:val="auto"/>
          <w:spacing w:val="-7"/>
          <w:sz w:val="24"/>
        </w:rPr>
        <w:t>应</w:t>
      </w:r>
      <w:r>
        <w:rPr>
          <w:rFonts w:hint="eastAsia" w:ascii="宋体" w:hAnsi="宋体" w:cs="宋体"/>
          <w:color w:val="auto"/>
          <w:spacing w:val="-4"/>
          <w:sz w:val="24"/>
        </w:rPr>
        <w:t>商名称( 电子签章 )：</w:t>
      </w:r>
    </w:p>
    <w:p w14:paraId="19806698">
      <w:pPr>
        <w:spacing w:before="79" w:line="360" w:lineRule="auto"/>
        <w:jc w:val="center"/>
        <w:rPr>
          <w:rFonts w:ascii="宋体" w:hAnsi="宋体" w:cs="宋体"/>
          <w:color w:val="auto"/>
          <w:sz w:val="24"/>
        </w:rPr>
      </w:pPr>
      <w:r>
        <w:rPr>
          <w:rFonts w:hint="eastAsia" w:ascii="宋体" w:hAnsi="宋体" w:cs="宋体"/>
          <w:color w:val="auto"/>
          <w:spacing w:val="-20"/>
          <w:sz w:val="24"/>
        </w:rPr>
        <w:t>日</w:t>
      </w:r>
      <w:r>
        <w:rPr>
          <w:rFonts w:hint="eastAsia" w:ascii="宋体" w:hAnsi="宋体" w:cs="宋体"/>
          <w:color w:val="auto"/>
          <w:spacing w:val="-14"/>
          <w:sz w:val="24"/>
        </w:rPr>
        <w:t xml:space="preserve"> 期 ：     年   月   </w:t>
      </w:r>
      <w:r>
        <w:rPr>
          <w:rFonts w:hint="eastAsia" w:ascii="宋体" w:hAnsi="宋体" w:cs="宋体"/>
          <w:color w:val="auto"/>
          <w:sz w:val="24"/>
        </w:rPr>
        <w:t>日</w:t>
      </w:r>
    </w:p>
    <w:p w14:paraId="64868FD6">
      <w:pPr>
        <w:spacing w:line="360" w:lineRule="auto"/>
        <w:rPr>
          <w:rFonts w:ascii="宋体" w:hAnsi="宋体" w:cs="宋体"/>
          <w:color w:val="auto"/>
        </w:rPr>
        <w:sectPr>
          <w:pgSz w:w="11905" w:h="16838"/>
          <w:pgMar w:top="1417" w:right="1134" w:bottom="1417" w:left="1100" w:header="703" w:footer="703" w:gutter="0"/>
          <w:cols w:space="720" w:num="1"/>
        </w:sectPr>
      </w:pPr>
    </w:p>
    <w:p w14:paraId="5337BF5B">
      <w:pPr>
        <w:spacing w:line="360" w:lineRule="auto"/>
        <w:rPr>
          <w:rFonts w:ascii="宋体" w:hAnsi="宋体" w:cs="宋体"/>
          <w:color w:val="auto"/>
        </w:rPr>
      </w:pPr>
    </w:p>
    <w:p w14:paraId="50DC65AA">
      <w:pPr>
        <w:spacing w:line="360" w:lineRule="auto"/>
        <w:rPr>
          <w:rFonts w:ascii="宋体" w:hAnsi="宋体" w:cs="宋体"/>
          <w:color w:val="auto"/>
        </w:rPr>
      </w:pPr>
    </w:p>
    <w:p w14:paraId="78BCBE18">
      <w:pPr>
        <w:spacing w:line="360" w:lineRule="auto"/>
        <w:rPr>
          <w:rFonts w:ascii="宋体" w:hAnsi="宋体" w:cs="宋体"/>
          <w:color w:val="auto"/>
        </w:rPr>
      </w:pPr>
    </w:p>
    <w:p w14:paraId="740F9E27">
      <w:pPr>
        <w:spacing w:before="104" w:line="360" w:lineRule="auto"/>
        <w:ind w:left="2858"/>
        <w:outlineLvl w:val="1"/>
        <w:rPr>
          <w:rFonts w:ascii="宋体" w:hAnsi="宋体" w:cs="宋体"/>
          <w:color w:val="auto"/>
          <w:sz w:val="32"/>
          <w:szCs w:val="32"/>
        </w:rPr>
      </w:pPr>
      <w:r>
        <w:rPr>
          <w:rFonts w:hint="eastAsia" w:ascii="宋体" w:hAnsi="宋体" w:cs="宋体"/>
          <w:color w:val="auto"/>
          <w:spacing w:val="-2"/>
          <w:sz w:val="32"/>
          <w:szCs w:val="32"/>
        </w:rPr>
        <w:t>第</w:t>
      </w:r>
      <w:r>
        <w:rPr>
          <w:rFonts w:hint="eastAsia" w:ascii="宋体" w:hAnsi="宋体" w:cs="宋体"/>
          <w:color w:val="auto"/>
          <w:spacing w:val="-1"/>
          <w:sz w:val="32"/>
          <w:szCs w:val="32"/>
        </w:rPr>
        <w:t>四节 报价文件格式</w:t>
      </w:r>
    </w:p>
    <w:p w14:paraId="4C3135E2">
      <w:pPr>
        <w:spacing w:line="360" w:lineRule="auto"/>
        <w:rPr>
          <w:rFonts w:ascii="宋体" w:hAnsi="宋体" w:cs="宋体"/>
          <w:color w:val="auto"/>
        </w:rPr>
      </w:pPr>
    </w:p>
    <w:p w14:paraId="4D679DE1">
      <w:pPr>
        <w:spacing w:before="68" w:line="360" w:lineRule="auto"/>
        <w:ind w:left="6250"/>
        <w:rPr>
          <w:rFonts w:ascii="宋体" w:hAnsi="宋体" w:cs="宋体"/>
          <w:color w:val="auto"/>
          <w:szCs w:val="21"/>
        </w:rPr>
      </w:pPr>
      <w:r>
        <w:rPr>
          <w:rFonts w:hint="eastAsia" w:ascii="宋体" w:hAnsi="宋体" w:cs="宋体"/>
          <w:color w:val="auto"/>
          <w:spacing w:val="-2"/>
          <w:szCs w:val="21"/>
        </w:rPr>
        <w:t>全</w:t>
      </w:r>
      <w:r>
        <w:rPr>
          <w:rFonts w:hint="eastAsia" w:ascii="宋体" w:hAnsi="宋体" w:cs="宋体"/>
          <w:color w:val="auto"/>
          <w:spacing w:val="-1"/>
          <w:szCs w:val="21"/>
        </w:rPr>
        <w:t>流程电子文件</w:t>
      </w:r>
    </w:p>
    <w:p w14:paraId="016D5BD9">
      <w:pPr>
        <w:spacing w:line="360" w:lineRule="auto"/>
        <w:rPr>
          <w:rFonts w:ascii="宋体" w:hAnsi="宋体" w:cs="宋体"/>
          <w:color w:val="auto"/>
        </w:rPr>
      </w:pPr>
    </w:p>
    <w:p w14:paraId="748125FB">
      <w:pPr>
        <w:spacing w:line="360" w:lineRule="auto"/>
        <w:rPr>
          <w:rFonts w:ascii="宋体" w:hAnsi="宋体" w:cs="宋体"/>
          <w:color w:val="auto"/>
        </w:rPr>
      </w:pPr>
    </w:p>
    <w:p w14:paraId="34443E1A">
      <w:pPr>
        <w:spacing w:line="360" w:lineRule="auto"/>
        <w:rPr>
          <w:rFonts w:ascii="宋体" w:hAnsi="宋体" w:cs="宋体"/>
          <w:color w:val="auto"/>
        </w:rPr>
      </w:pPr>
    </w:p>
    <w:p w14:paraId="32FE6EC8">
      <w:pPr>
        <w:spacing w:line="360" w:lineRule="auto"/>
        <w:rPr>
          <w:rFonts w:ascii="宋体" w:hAnsi="宋体" w:cs="宋体"/>
          <w:color w:val="auto"/>
        </w:rPr>
      </w:pPr>
    </w:p>
    <w:p w14:paraId="352A770E">
      <w:pPr>
        <w:spacing w:before="143" w:line="360" w:lineRule="auto"/>
        <w:ind w:left="1975"/>
        <w:rPr>
          <w:rFonts w:ascii="宋体" w:hAnsi="宋体" w:cs="宋体"/>
          <w:color w:val="auto"/>
          <w:sz w:val="44"/>
          <w:szCs w:val="44"/>
        </w:rPr>
      </w:pPr>
      <w:r>
        <w:rPr>
          <w:rFonts w:hint="eastAsia" w:ascii="宋体" w:hAnsi="宋体" w:cs="宋体"/>
          <w:color w:val="auto"/>
          <w:spacing w:val="18"/>
          <w:sz w:val="44"/>
          <w:szCs w:val="44"/>
        </w:rPr>
        <w:t>报</w:t>
      </w:r>
      <w:r>
        <w:rPr>
          <w:rFonts w:hint="eastAsia" w:ascii="宋体" w:hAnsi="宋体" w:cs="宋体"/>
          <w:color w:val="auto"/>
          <w:spacing w:val="11"/>
          <w:sz w:val="44"/>
          <w:szCs w:val="44"/>
        </w:rPr>
        <w:t xml:space="preserve">  价  文  件(封面)</w:t>
      </w:r>
    </w:p>
    <w:p w14:paraId="6785D00A">
      <w:pPr>
        <w:spacing w:line="360" w:lineRule="auto"/>
        <w:rPr>
          <w:rFonts w:ascii="宋体" w:hAnsi="宋体" w:cs="宋体"/>
          <w:color w:val="auto"/>
        </w:rPr>
      </w:pPr>
    </w:p>
    <w:p w14:paraId="5A5690A9">
      <w:pPr>
        <w:spacing w:line="360" w:lineRule="auto"/>
        <w:rPr>
          <w:rFonts w:ascii="宋体" w:hAnsi="宋体" w:cs="宋体"/>
          <w:color w:val="auto"/>
        </w:rPr>
      </w:pPr>
    </w:p>
    <w:p w14:paraId="608C0230">
      <w:pPr>
        <w:spacing w:line="360" w:lineRule="auto"/>
        <w:rPr>
          <w:rFonts w:ascii="宋体" w:hAnsi="宋体" w:cs="宋体"/>
          <w:color w:val="auto"/>
        </w:rPr>
      </w:pPr>
    </w:p>
    <w:p w14:paraId="49FF3A9B">
      <w:pPr>
        <w:spacing w:line="360" w:lineRule="auto"/>
        <w:rPr>
          <w:rFonts w:ascii="宋体" w:hAnsi="宋体" w:cs="宋体"/>
          <w:color w:val="auto"/>
        </w:rPr>
      </w:pPr>
    </w:p>
    <w:p w14:paraId="19608C4C">
      <w:pPr>
        <w:spacing w:line="360" w:lineRule="auto"/>
        <w:rPr>
          <w:rFonts w:ascii="宋体" w:hAnsi="宋体" w:cs="宋体"/>
          <w:color w:val="auto"/>
        </w:rPr>
      </w:pPr>
    </w:p>
    <w:p w14:paraId="085A1273">
      <w:pPr>
        <w:spacing w:before="104" w:line="360" w:lineRule="auto"/>
        <w:ind w:left="655"/>
        <w:rPr>
          <w:rFonts w:ascii="宋体" w:hAnsi="宋体" w:cs="宋体"/>
          <w:color w:val="auto"/>
          <w:sz w:val="32"/>
          <w:szCs w:val="32"/>
        </w:rPr>
      </w:pPr>
      <w:r>
        <w:rPr>
          <w:rFonts w:hint="eastAsia" w:ascii="宋体" w:hAnsi="宋体" w:cs="宋体"/>
          <w:color w:val="auto"/>
          <w:spacing w:val="-12"/>
          <w:position w:val="43"/>
          <w:sz w:val="32"/>
          <w:szCs w:val="32"/>
        </w:rPr>
        <w:t>项</w:t>
      </w:r>
      <w:r>
        <w:rPr>
          <w:rFonts w:hint="eastAsia" w:ascii="宋体" w:hAnsi="宋体" w:cs="宋体"/>
          <w:color w:val="auto"/>
          <w:spacing w:val="-9"/>
          <w:position w:val="43"/>
          <w:sz w:val="32"/>
          <w:szCs w:val="32"/>
        </w:rPr>
        <w:t>目名称：移动流量与短信租用服务采购</w:t>
      </w:r>
    </w:p>
    <w:p w14:paraId="3CD973F3">
      <w:pPr>
        <w:spacing w:before="1" w:line="360" w:lineRule="auto"/>
        <w:ind w:left="655"/>
        <w:rPr>
          <w:rFonts w:hint="eastAsia" w:ascii="宋体" w:hAnsi="宋体" w:eastAsia="宋体" w:cs="宋体"/>
          <w:color w:val="auto"/>
          <w:sz w:val="32"/>
          <w:szCs w:val="32"/>
          <w:lang w:eastAsia="zh-CN"/>
        </w:rPr>
      </w:pPr>
      <w:r>
        <w:rPr>
          <w:rFonts w:hint="eastAsia" w:ascii="宋体" w:hAnsi="宋体" w:cs="宋体"/>
          <w:color w:val="auto"/>
          <w:spacing w:val="-12"/>
          <w:sz w:val="32"/>
          <w:szCs w:val="32"/>
        </w:rPr>
        <w:t>项</w:t>
      </w:r>
      <w:r>
        <w:rPr>
          <w:rFonts w:hint="eastAsia" w:ascii="宋体" w:hAnsi="宋体" w:cs="宋体"/>
          <w:color w:val="auto"/>
          <w:spacing w:val="-9"/>
          <w:sz w:val="32"/>
          <w:szCs w:val="32"/>
        </w:rPr>
        <w:t>目编号：</w:t>
      </w:r>
      <w:r>
        <w:rPr>
          <w:rFonts w:hint="eastAsia" w:ascii="宋体" w:hAnsi="宋体" w:cs="宋体"/>
          <w:color w:val="auto"/>
          <w:spacing w:val="-9"/>
          <w:sz w:val="32"/>
          <w:szCs w:val="32"/>
          <w:lang w:eastAsia="zh-CN"/>
        </w:rPr>
        <w:t>NNZC2024-C3-991810-GXJH</w:t>
      </w:r>
    </w:p>
    <w:p w14:paraId="7E14EF66">
      <w:pPr>
        <w:spacing w:line="360" w:lineRule="auto"/>
        <w:rPr>
          <w:rFonts w:ascii="宋体" w:hAnsi="宋体" w:cs="宋体"/>
          <w:color w:val="auto"/>
        </w:rPr>
      </w:pPr>
    </w:p>
    <w:p w14:paraId="220FDE52">
      <w:pPr>
        <w:spacing w:before="105" w:line="360" w:lineRule="auto"/>
        <w:ind w:left="654"/>
        <w:rPr>
          <w:rFonts w:ascii="宋体" w:hAnsi="宋体" w:cs="宋体"/>
          <w:color w:val="auto"/>
          <w:sz w:val="32"/>
          <w:szCs w:val="32"/>
        </w:rPr>
      </w:pPr>
      <w:r>
        <w:rPr>
          <w:rFonts w:hint="eastAsia" w:ascii="宋体" w:hAnsi="宋体" w:cs="宋体"/>
          <w:color w:val="auto"/>
          <w:spacing w:val="4"/>
          <w:sz w:val="32"/>
          <w:szCs w:val="32"/>
        </w:rPr>
        <w:t>所竞分标(如有则填</w:t>
      </w:r>
      <w:r>
        <w:rPr>
          <w:rFonts w:hint="eastAsia" w:ascii="宋体" w:hAnsi="宋体" w:cs="宋体"/>
          <w:color w:val="auto"/>
          <w:spacing w:val="3"/>
          <w:sz w:val="32"/>
          <w:szCs w:val="32"/>
        </w:rPr>
        <w:t>写</w:t>
      </w:r>
      <w:r>
        <w:rPr>
          <w:rFonts w:hint="eastAsia" w:ascii="宋体" w:hAnsi="宋体" w:cs="宋体"/>
          <w:color w:val="auto"/>
          <w:spacing w:val="2"/>
          <w:sz w:val="32"/>
          <w:szCs w:val="32"/>
        </w:rPr>
        <w:t>，无分标时填写“无”或者留空) ：</w:t>
      </w:r>
      <w:r>
        <w:rPr>
          <w:rFonts w:hint="eastAsia" w:ascii="宋体" w:hAnsi="宋体" w:cs="宋体"/>
          <w:color w:val="auto"/>
          <w:sz w:val="32"/>
          <w:szCs w:val="32"/>
        </w:rPr>
        <w:t xml:space="preserve"> </w:t>
      </w:r>
    </w:p>
    <w:p w14:paraId="57B12A4D">
      <w:pPr>
        <w:spacing w:before="105" w:line="360" w:lineRule="auto"/>
        <w:ind w:left="654"/>
        <w:rPr>
          <w:rFonts w:ascii="宋体" w:hAnsi="宋体" w:cs="宋体"/>
          <w:color w:val="auto"/>
          <w:sz w:val="32"/>
          <w:szCs w:val="32"/>
        </w:rPr>
      </w:pPr>
      <w:r>
        <w:rPr>
          <w:rFonts w:hint="eastAsia" w:ascii="宋体" w:hAnsi="宋体" w:cs="宋体"/>
          <w:color w:val="auto"/>
          <w:spacing w:val="-12"/>
          <w:sz w:val="32"/>
          <w:szCs w:val="32"/>
        </w:rPr>
        <w:t>供应商名称：</w:t>
      </w:r>
    </w:p>
    <w:p w14:paraId="4738F101">
      <w:pPr>
        <w:spacing w:line="360" w:lineRule="auto"/>
        <w:rPr>
          <w:rFonts w:ascii="宋体" w:hAnsi="宋体" w:cs="宋体"/>
          <w:color w:val="auto"/>
        </w:rPr>
      </w:pPr>
    </w:p>
    <w:p w14:paraId="33EB848E">
      <w:pPr>
        <w:spacing w:line="360" w:lineRule="auto"/>
        <w:rPr>
          <w:rFonts w:ascii="宋体" w:hAnsi="宋体" w:cs="宋体"/>
          <w:color w:val="auto"/>
        </w:rPr>
      </w:pPr>
    </w:p>
    <w:p w14:paraId="64E4E581">
      <w:pPr>
        <w:spacing w:before="105" w:line="360" w:lineRule="auto"/>
        <w:ind w:left="3259"/>
        <w:rPr>
          <w:rFonts w:ascii="宋体" w:hAnsi="宋体" w:cs="宋体"/>
          <w:color w:val="auto"/>
          <w:sz w:val="32"/>
          <w:szCs w:val="32"/>
        </w:rPr>
      </w:pPr>
      <w:r>
        <w:rPr>
          <w:rFonts w:hint="eastAsia" w:ascii="宋体" w:hAnsi="宋体" w:cs="宋体"/>
          <w:color w:val="auto"/>
          <w:spacing w:val="5"/>
          <w:sz w:val="32"/>
          <w:szCs w:val="32"/>
        </w:rPr>
        <w:t xml:space="preserve">年    月    </w:t>
      </w:r>
      <w:r>
        <w:rPr>
          <w:rFonts w:hint="eastAsia" w:ascii="宋体" w:hAnsi="宋体" w:cs="宋体"/>
          <w:color w:val="auto"/>
          <w:spacing w:val="3"/>
          <w:sz w:val="32"/>
          <w:szCs w:val="32"/>
        </w:rPr>
        <w:t>日</w:t>
      </w:r>
    </w:p>
    <w:p w14:paraId="09FD7A8C">
      <w:pPr>
        <w:spacing w:line="360" w:lineRule="auto"/>
        <w:rPr>
          <w:rFonts w:ascii="宋体" w:hAnsi="宋体" w:cs="宋体"/>
          <w:color w:val="auto"/>
        </w:rPr>
        <w:sectPr>
          <w:pgSz w:w="11905" w:h="16838"/>
          <w:pgMar w:top="1417" w:right="1134" w:bottom="1417" w:left="1100" w:header="703" w:footer="703" w:gutter="0"/>
          <w:cols w:space="720" w:num="1"/>
        </w:sectPr>
      </w:pPr>
    </w:p>
    <w:p w14:paraId="7C16F29C">
      <w:pPr>
        <w:spacing w:line="360" w:lineRule="auto"/>
        <w:rPr>
          <w:rFonts w:ascii="宋体" w:hAnsi="宋体" w:cs="宋体"/>
          <w:color w:val="auto"/>
        </w:rPr>
      </w:pPr>
    </w:p>
    <w:p w14:paraId="694132B2">
      <w:pPr>
        <w:spacing w:before="104" w:line="360" w:lineRule="auto"/>
        <w:ind w:left="3415"/>
        <w:rPr>
          <w:rFonts w:ascii="宋体" w:hAnsi="宋体" w:cs="宋体"/>
          <w:color w:val="auto"/>
          <w:sz w:val="32"/>
          <w:szCs w:val="32"/>
        </w:rPr>
      </w:pPr>
      <w:r>
        <w:rPr>
          <w:rFonts w:hint="eastAsia" w:ascii="宋体" w:hAnsi="宋体" w:cs="宋体"/>
          <w:color w:val="auto"/>
          <w:spacing w:val="-2"/>
          <w:sz w:val="32"/>
          <w:szCs w:val="32"/>
        </w:rPr>
        <w:t>报价文件</w:t>
      </w:r>
      <w:r>
        <w:rPr>
          <w:rFonts w:hint="eastAsia" w:ascii="宋体" w:hAnsi="宋体" w:cs="宋体"/>
          <w:color w:val="auto"/>
          <w:spacing w:val="-1"/>
          <w:sz w:val="32"/>
          <w:szCs w:val="32"/>
        </w:rPr>
        <w:t>目录</w:t>
      </w:r>
    </w:p>
    <w:p w14:paraId="7D389F78">
      <w:pPr>
        <w:spacing w:line="360" w:lineRule="auto"/>
        <w:rPr>
          <w:rFonts w:ascii="宋体" w:hAnsi="宋体" w:cs="宋体"/>
          <w:color w:val="auto"/>
        </w:rPr>
      </w:pPr>
    </w:p>
    <w:p w14:paraId="5C13F042">
      <w:pPr>
        <w:spacing w:before="78" w:line="360" w:lineRule="auto"/>
        <w:ind w:left="26"/>
        <w:rPr>
          <w:rFonts w:ascii="宋体" w:hAnsi="宋体" w:cs="宋体"/>
          <w:color w:val="auto"/>
          <w:sz w:val="24"/>
        </w:rPr>
      </w:pPr>
      <w:r>
        <w:rPr>
          <w:rFonts w:hint="eastAsia" w:ascii="宋体" w:hAnsi="宋体" w:cs="宋体"/>
          <w:color w:val="auto"/>
          <w:spacing w:val="-1"/>
          <w:sz w:val="24"/>
        </w:rPr>
        <w:t>一、 响应函…………………………………………………</w:t>
      </w:r>
      <w:r>
        <w:rPr>
          <w:rFonts w:hint="eastAsia" w:ascii="宋体" w:hAnsi="宋体" w:cs="宋体"/>
          <w:color w:val="auto"/>
          <w:sz w:val="24"/>
        </w:rPr>
        <w:t>……(页码)</w:t>
      </w:r>
    </w:p>
    <w:p w14:paraId="1D55D71F">
      <w:pPr>
        <w:spacing w:line="360" w:lineRule="auto"/>
        <w:ind w:left="24"/>
        <w:rPr>
          <w:rFonts w:ascii="宋体" w:hAnsi="宋体" w:cs="宋体"/>
          <w:color w:val="auto"/>
          <w:sz w:val="24"/>
        </w:rPr>
      </w:pPr>
      <w:r>
        <w:rPr>
          <w:rFonts w:hint="eastAsia" w:ascii="宋体" w:hAnsi="宋体" w:cs="宋体"/>
          <w:color w:val="auto"/>
          <w:spacing w:val="-1"/>
          <w:sz w:val="24"/>
        </w:rPr>
        <w:t>二、 响应报价表………………………………………</w:t>
      </w:r>
      <w:r>
        <w:rPr>
          <w:rFonts w:hint="eastAsia" w:ascii="宋体" w:hAnsi="宋体" w:cs="宋体"/>
          <w:color w:val="auto"/>
          <w:sz w:val="24"/>
        </w:rPr>
        <w:t>…………(页码)</w:t>
      </w:r>
    </w:p>
    <w:p w14:paraId="38CC9150">
      <w:pPr>
        <w:spacing w:line="360" w:lineRule="auto"/>
        <w:ind w:left="29"/>
        <w:rPr>
          <w:rFonts w:ascii="宋体" w:hAnsi="宋体" w:cs="宋体"/>
          <w:color w:val="auto"/>
          <w:spacing w:val="5"/>
          <w:sz w:val="24"/>
        </w:rPr>
      </w:pPr>
      <w:r>
        <w:rPr>
          <w:rFonts w:hint="eastAsia" w:ascii="宋体" w:hAnsi="宋体" w:cs="宋体"/>
          <w:color w:val="auto"/>
          <w:spacing w:val="5"/>
          <w:sz w:val="24"/>
        </w:rPr>
        <w:t>三、中小企业声明函或者残疾人福利性单位声明函（格式后附）或者供应商属于监狱企业的，提供由省级以上监狱管理局、戒毒管理局（含新疆生产建设兵团）出具的属于监狱企业的证明文件</w:t>
      </w:r>
      <w:r>
        <w:rPr>
          <w:rFonts w:hint="eastAsia" w:ascii="宋体" w:hAnsi="宋体" w:cs="宋体"/>
          <w:color w:val="auto"/>
          <w:spacing w:val="-1"/>
          <w:sz w:val="24"/>
        </w:rPr>
        <w:t>………………………………………</w:t>
      </w:r>
      <w:r>
        <w:rPr>
          <w:rFonts w:hint="eastAsia" w:ascii="宋体" w:hAnsi="宋体" w:cs="宋体"/>
          <w:color w:val="auto"/>
          <w:sz w:val="24"/>
        </w:rPr>
        <w:t>…………(页码)</w:t>
      </w:r>
    </w:p>
    <w:p w14:paraId="64524E85">
      <w:pPr>
        <w:spacing w:line="360" w:lineRule="auto"/>
        <w:ind w:left="29"/>
        <w:rPr>
          <w:rFonts w:ascii="宋体" w:hAnsi="宋体" w:cs="宋体"/>
          <w:color w:val="auto"/>
          <w:sz w:val="24"/>
        </w:rPr>
      </w:pPr>
      <w:r>
        <w:rPr>
          <w:rFonts w:hint="eastAsia" w:ascii="宋体" w:hAnsi="宋体" w:cs="宋体"/>
          <w:color w:val="auto"/>
          <w:spacing w:val="5"/>
          <w:sz w:val="24"/>
        </w:rPr>
        <w:t>四、供应商针对报价需要说明的其他文件和说明</w:t>
      </w:r>
      <w:r>
        <w:rPr>
          <w:rFonts w:hint="eastAsia" w:ascii="宋体" w:hAnsi="宋体" w:cs="宋体"/>
          <w:color w:val="auto"/>
          <w:spacing w:val="3"/>
          <w:sz w:val="24"/>
        </w:rPr>
        <w:t>……………(页码)</w:t>
      </w:r>
    </w:p>
    <w:p w14:paraId="730C4D16">
      <w:pPr>
        <w:spacing w:line="360" w:lineRule="auto"/>
        <w:rPr>
          <w:rFonts w:ascii="宋体" w:hAnsi="宋体" w:cs="宋体"/>
          <w:color w:val="auto"/>
        </w:rPr>
        <w:sectPr>
          <w:pgSz w:w="11905" w:h="16838"/>
          <w:pgMar w:top="1417" w:right="1134" w:bottom="1417" w:left="1100" w:header="703" w:footer="703" w:gutter="0"/>
          <w:cols w:space="720" w:num="1"/>
        </w:sectPr>
      </w:pPr>
    </w:p>
    <w:p w14:paraId="38FE0395">
      <w:pPr>
        <w:spacing w:line="360" w:lineRule="auto"/>
        <w:rPr>
          <w:rFonts w:ascii="宋体" w:hAnsi="宋体" w:cs="宋体"/>
          <w:color w:val="auto"/>
        </w:rPr>
      </w:pPr>
    </w:p>
    <w:p w14:paraId="11AEA7B8">
      <w:pPr>
        <w:rPr>
          <w:color w:val="auto"/>
          <w:sz w:val="32"/>
          <w:szCs w:val="40"/>
        </w:rPr>
      </w:pPr>
      <w:r>
        <w:rPr>
          <w:rFonts w:hint="eastAsia"/>
          <w:color w:val="auto"/>
          <w:spacing w:val="-32"/>
          <w:sz w:val="32"/>
          <w:szCs w:val="40"/>
        </w:rPr>
        <w:t>一</w:t>
      </w:r>
      <w:r>
        <w:rPr>
          <w:rFonts w:hint="eastAsia"/>
          <w:color w:val="auto"/>
          <w:sz w:val="32"/>
          <w:szCs w:val="40"/>
        </w:rPr>
        <w:t>、 响应函</w:t>
      </w:r>
    </w:p>
    <w:p w14:paraId="3E367488">
      <w:pPr>
        <w:rPr>
          <w:rFonts w:ascii="宋体" w:hAnsi="宋体" w:cs="宋体"/>
          <w:color w:val="auto"/>
          <w:kern w:val="0"/>
          <w:sz w:val="24"/>
        </w:rPr>
      </w:pPr>
      <w:r>
        <w:rPr>
          <w:rFonts w:hint="eastAsia" w:ascii="宋体" w:hAnsi="宋体" w:cs="宋体"/>
          <w:color w:val="auto"/>
          <w:kern w:val="0"/>
          <w:sz w:val="24"/>
        </w:rPr>
        <w:t>致：</w:t>
      </w:r>
      <w:r>
        <w:rPr>
          <w:rFonts w:hint="eastAsia" w:ascii="宋体" w:hAnsi="宋体" w:cs="宋体"/>
          <w:color w:val="auto"/>
          <w:kern w:val="0"/>
          <w:sz w:val="24"/>
          <w:u w:val="single"/>
        </w:rPr>
        <w:t xml:space="preserve">                    （招标代理机构）</w:t>
      </w:r>
    </w:p>
    <w:p w14:paraId="41CDD1ED">
      <w:pPr>
        <w:ind w:firstLine="480" w:firstLineChars="200"/>
        <w:rPr>
          <w:rFonts w:ascii="宋体" w:hAnsi="宋体" w:cs="宋体"/>
          <w:color w:val="auto"/>
          <w:kern w:val="0"/>
          <w:sz w:val="24"/>
        </w:rPr>
      </w:pPr>
      <w:r>
        <w:rPr>
          <w:rFonts w:hint="eastAsia" w:ascii="宋体" w:hAnsi="宋体" w:cs="宋体"/>
          <w:color w:val="auto"/>
          <w:kern w:val="0"/>
          <w:sz w:val="24"/>
        </w:rPr>
        <w:t>我方已仔细阅读了贵方组织的</w:t>
      </w:r>
      <w:r>
        <w:rPr>
          <w:rFonts w:hint="eastAsia" w:ascii="宋体" w:hAnsi="宋体" w:cs="宋体"/>
          <w:color w:val="auto"/>
          <w:kern w:val="0"/>
          <w:sz w:val="24"/>
          <w:u w:val="single"/>
        </w:rPr>
        <w:t xml:space="preserve"> 项目名称：    （项目编号：   ）</w:t>
      </w:r>
      <w:r>
        <w:rPr>
          <w:rFonts w:hint="eastAsia" w:ascii="宋体" w:hAnsi="宋体" w:cs="宋体"/>
          <w:color w:val="auto"/>
          <w:kern w:val="0"/>
          <w:sz w:val="24"/>
        </w:rPr>
        <w:t xml:space="preserve">的竞争性磋商采购文件的全部内容，现正式递交下述文件参加贵方组织的本次政府采购活动： </w:t>
      </w:r>
    </w:p>
    <w:p w14:paraId="0E390A23">
      <w:pPr>
        <w:ind w:firstLine="480" w:firstLineChars="200"/>
        <w:rPr>
          <w:rFonts w:ascii="宋体" w:hAnsi="宋体" w:cs="宋体"/>
          <w:color w:val="auto"/>
          <w:kern w:val="0"/>
          <w:sz w:val="24"/>
        </w:rPr>
      </w:pPr>
      <w:r>
        <w:rPr>
          <w:rFonts w:hint="eastAsia" w:ascii="宋体" w:hAnsi="宋体" w:cs="宋体"/>
          <w:color w:val="auto"/>
          <w:kern w:val="0"/>
          <w:sz w:val="24"/>
        </w:rPr>
        <w:t>一、首次报价文件电子版</w:t>
      </w:r>
      <w:r>
        <w:rPr>
          <w:rFonts w:hint="eastAsia" w:ascii="宋体" w:hAnsi="宋体" w:cs="宋体"/>
          <w:color w:val="auto"/>
          <w:kern w:val="0"/>
          <w:sz w:val="24"/>
          <w:u w:val="single"/>
        </w:rPr>
        <w:t xml:space="preserve"> </w:t>
      </w:r>
      <w:r>
        <w:rPr>
          <w:rFonts w:ascii="宋体" w:hAnsi="宋体" w:cs="宋体"/>
          <w:color w:val="auto"/>
          <w:kern w:val="0"/>
          <w:sz w:val="24"/>
          <w:u w:val="single"/>
        </w:rPr>
        <w:t xml:space="preserve">   </w:t>
      </w:r>
      <w:r>
        <w:rPr>
          <w:rFonts w:hint="eastAsia" w:ascii="宋体" w:hAnsi="宋体" w:cs="宋体"/>
          <w:color w:val="auto"/>
          <w:kern w:val="0"/>
          <w:sz w:val="24"/>
        </w:rPr>
        <w:t>份（包含按“第三章 供应商须知”提交的全部文件）；</w:t>
      </w:r>
    </w:p>
    <w:p w14:paraId="08C74362">
      <w:pPr>
        <w:ind w:firstLine="480" w:firstLineChars="200"/>
        <w:rPr>
          <w:rFonts w:ascii="宋体" w:hAnsi="宋体" w:cs="宋体"/>
          <w:color w:val="auto"/>
          <w:kern w:val="0"/>
          <w:sz w:val="24"/>
        </w:rPr>
      </w:pPr>
      <w:r>
        <w:rPr>
          <w:rFonts w:hint="eastAsia" w:ascii="宋体" w:hAnsi="宋体" w:cs="宋体"/>
          <w:color w:val="auto"/>
          <w:kern w:val="0"/>
          <w:sz w:val="24"/>
        </w:rPr>
        <w:t>二、资格证明文件电子版</w:t>
      </w:r>
      <w:r>
        <w:rPr>
          <w:rFonts w:hint="eastAsia" w:ascii="宋体" w:hAnsi="宋体" w:cs="宋体"/>
          <w:color w:val="auto"/>
          <w:kern w:val="0"/>
          <w:sz w:val="24"/>
          <w:u w:val="single"/>
        </w:rPr>
        <w:t xml:space="preserve"> </w:t>
      </w:r>
      <w:r>
        <w:rPr>
          <w:rFonts w:ascii="宋体" w:hAnsi="宋体" w:cs="宋体"/>
          <w:color w:val="auto"/>
          <w:kern w:val="0"/>
          <w:sz w:val="24"/>
          <w:u w:val="single"/>
        </w:rPr>
        <w:t xml:space="preserve">   </w:t>
      </w:r>
      <w:r>
        <w:rPr>
          <w:rFonts w:hint="eastAsia" w:ascii="宋体" w:hAnsi="宋体" w:cs="宋体"/>
          <w:color w:val="auto"/>
          <w:kern w:val="0"/>
          <w:sz w:val="24"/>
        </w:rPr>
        <w:t>份（包含按“第三章 供应商须知”提交的全部文件）；商务技术文件电子版</w:t>
      </w:r>
      <w:r>
        <w:rPr>
          <w:rFonts w:hint="eastAsia" w:ascii="宋体" w:hAnsi="宋体" w:cs="宋体"/>
          <w:color w:val="auto"/>
          <w:kern w:val="0"/>
          <w:sz w:val="24"/>
          <w:u w:val="single"/>
        </w:rPr>
        <w:t xml:space="preserve"> </w:t>
      </w:r>
      <w:r>
        <w:rPr>
          <w:rFonts w:ascii="宋体" w:hAnsi="宋体" w:cs="宋体"/>
          <w:color w:val="auto"/>
          <w:kern w:val="0"/>
          <w:sz w:val="24"/>
          <w:u w:val="single"/>
        </w:rPr>
        <w:t xml:space="preserve">   </w:t>
      </w:r>
      <w:r>
        <w:rPr>
          <w:rFonts w:hint="eastAsia" w:ascii="宋体" w:hAnsi="宋体" w:cs="宋体"/>
          <w:color w:val="auto"/>
          <w:kern w:val="0"/>
          <w:sz w:val="24"/>
        </w:rPr>
        <w:t>份（包含按“第三章 供应商须知”提交的全部文件）；（商务技术文件已合并装订成册）</w:t>
      </w:r>
    </w:p>
    <w:p w14:paraId="0C1ACF49">
      <w:pPr>
        <w:ind w:firstLine="480" w:firstLineChars="200"/>
        <w:rPr>
          <w:rFonts w:ascii="宋体" w:hAnsi="宋体" w:cs="宋体"/>
          <w:color w:val="auto"/>
          <w:kern w:val="0"/>
          <w:sz w:val="24"/>
        </w:rPr>
      </w:pPr>
      <w:r>
        <w:rPr>
          <w:rFonts w:hint="eastAsia" w:ascii="宋体" w:hAnsi="宋体" w:cs="宋体"/>
          <w:color w:val="auto"/>
          <w:kern w:val="0"/>
          <w:sz w:val="24"/>
        </w:rPr>
        <w:t>据此函，签字人兹宣布：</w:t>
      </w:r>
    </w:p>
    <w:p w14:paraId="5521B5AD">
      <w:pPr>
        <w:ind w:firstLine="480" w:firstLineChars="200"/>
        <w:rPr>
          <w:rFonts w:ascii="宋体" w:hAnsi="宋体" w:cs="宋体"/>
          <w:color w:val="auto"/>
          <w:kern w:val="0"/>
          <w:sz w:val="24"/>
        </w:rPr>
      </w:pPr>
      <w:r>
        <w:rPr>
          <w:rFonts w:hint="eastAsia" w:ascii="宋体" w:hAnsi="宋体" w:cs="宋体"/>
          <w:color w:val="auto"/>
          <w:kern w:val="0"/>
          <w:sz w:val="24"/>
        </w:rPr>
        <w:t>1、我方愿意以（大写）</w:t>
      </w:r>
      <w:r>
        <w:rPr>
          <w:rFonts w:hint="eastAsia" w:ascii="宋体" w:hAnsi="宋体" w:cs="宋体"/>
          <w:color w:val="auto"/>
          <w:kern w:val="0"/>
          <w:sz w:val="24"/>
          <w:u w:val="single"/>
        </w:rPr>
        <w:t>人民币   （¥       元)</w:t>
      </w:r>
      <w:r>
        <w:rPr>
          <w:rFonts w:hint="eastAsia" w:ascii="宋体" w:hAnsi="宋体" w:cs="宋体"/>
          <w:color w:val="auto"/>
          <w:kern w:val="0"/>
          <w:sz w:val="24"/>
        </w:rPr>
        <w:t>的竞标总报价，</w:t>
      </w:r>
      <w:bookmarkStart w:id="16" w:name="_Hlk181368434"/>
      <w:r>
        <w:rPr>
          <w:rFonts w:hint="eastAsia" w:ascii="宋体" w:hAnsi="宋体" w:cs="宋体"/>
          <w:color w:val="auto"/>
          <w:kern w:val="0"/>
          <w:sz w:val="24"/>
        </w:rPr>
        <w:t>服务期限</w:t>
      </w:r>
      <w:bookmarkEnd w:id="16"/>
      <w:r>
        <w:rPr>
          <w:rFonts w:hint="eastAsia" w:ascii="宋体" w:hAnsi="宋体" w:cs="宋体"/>
          <w:color w:val="auto"/>
          <w:kern w:val="0"/>
          <w:sz w:val="24"/>
        </w:rPr>
        <w:t>（无分标时填写）：</w:t>
      </w:r>
      <w:r>
        <w:rPr>
          <w:rFonts w:hint="eastAsia" w:ascii="宋体" w:hAnsi="宋体" w:cs="宋体"/>
          <w:color w:val="auto"/>
          <w:kern w:val="0"/>
          <w:sz w:val="24"/>
          <w:u w:val="single"/>
        </w:rPr>
        <w:t xml:space="preserve">               </w:t>
      </w:r>
      <w:r>
        <w:rPr>
          <w:rFonts w:hint="eastAsia" w:ascii="宋体" w:hAnsi="宋体" w:cs="宋体"/>
          <w:color w:val="auto"/>
          <w:kern w:val="0"/>
          <w:sz w:val="24"/>
        </w:rPr>
        <w:t>，提供本项目竞争性磋商采购文件第二章“服务需求一览表”中相应的采购内容。</w:t>
      </w:r>
    </w:p>
    <w:p w14:paraId="1A5E84EA">
      <w:pPr>
        <w:ind w:firstLine="480" w:firstLineChars="200"/>
        <w:rPr>
          <w:rFonts w:ascii="宋体" w:hAnsi="宋体" w:cs="宋体"/>
          <w:color w:val="auto"/>
          <w:kern w:val="0"/>
          <w:sz w:val="24"/>
        </w:rPr>
      </w:pPr>
      <w:r>
        <w:rPr>
          <w:rFonts w:hint="eastAsia" w:ascii="宋体" w:hAnsi="宋体" w:cs="宋体"/>
          <w:color w:val="auto"/>
          <w:kern w:val="0"/>
          <w:sz w:val="24"/>
        </w:rPr>
        <w:t>其中（有分标时填写）：</w:t>
      </w:r>
    </w:p>
    <w:p w14:paraId="16BF55FF">
      <w:pPr>
        <w:ind w:firstLine="480" w:firstLineChars="200"/>
        <w:rPr>
          <w:rFonts w:ascii="宋体" w:hAnsi="宋体" w:cs="宋体"/>
          <w:color w:val="auto"/>
          <w:kern w:val="0"/>
          <w:sz w:val="24"/>
        </w:rPr>
      </w:pPr>
      <w:r>
        <w:rPr>
          <w:rFonts w:hint="eastAsia" w:ascii="宋体" w:hAnsi="宋体" w:cs="宋体"/>
          <w:color w:val="auto"/>
          <w:kern w:val="0"/>
          <w:sz w:val="24"/>
        </w:rPr>
        <w:t>分标报价为（大写）人民币    (¥    元)，服务期限：    ；</w:t>
      </w:r>
    </w:p>
    <w:p w14:paraId="78239F36">
      <w:pPr>
        <w:ind w:firstLine="480" w:firstLineChars="200"/>
        <w:rPr>
          <w:rFonts w:ascii="宋体" w:hAnsi="宋体" w:cs="宋体"/>
          <w:color w:val="auto"/>
          <w:kern w:val="0"/>
          <w:sz w:val="24"/>
        </w:rPr>
      </w:pPr>
      <w:r>
        <w:rPr>
          <w:rFonts w:hint="eastAsia" w:ascii="宋体" w:hAnsi="宋体" w:cs="宋体"/>
          <w:color w:val="auto"/>
          <w:kern w:val="0"/>
          <w:sz w:val="24"/>
        </w:rPr>
        <w:t>分标报价为（大写）人民币    (¥    元)，服务期限：    ；</w:t>
      </w:r>
    </w:p>
    <w:p w14:paraId="1DACF4BC">
      <w:pPr>
        <w:ind w:firstLine="480" w:firstLineChars="200"/>
        <w:rPr>
          <w:rFonts w:ascii="宋体" w:hAnsi="宋体" w:cs="宋体"/>
          <w:color w:val="auto"/>
          <w:kern w:val="0"/>
          <w:sz w:val="24"/>
        </w:rPr>
      </w:pPr>
      <w:r>
        <w:rPr>
          <w:rFonts w:hint="eastAsia" w:ascii="宋体" w:hAnsi="宋体" w:cs="宋体"/>
          <w:color w:val="auto"/>
          <w:kern w:val="0"/>
          <w:sz w:val="24"/>
        </w:rPr>
        <w:t>......</w:t>
      </w:r>
    </w:p>
    <w:p w14:paraId="1F5CFC53">
      <w:pPr>
        <w:ind w:firstLine="480" w:firstLineChars="200"/>
        <w:rPr>
          <w:rFonts w:ascii="宋体" w:hAnsi="宋体" w:cs="宋体"/>
          <w:color w:val="auto"/>
          <w:kern w:val="0"/>
          <w:sz w:val="24"/>
        </w:rPr>
      </w:pPr>
      <w:r>
        <w:rPr>
          <w:rFonts w:hint="eastAsia" w:ascii="宋体" w:hAnsi="宋体" w:cs="宋体"/>
          <w:color w:val="auto"/>
          <w:kern w:val="0"/>
          <w:sz w:val="24"/>
        </w:rPr>
        <w:t>2、我方同意自本项目竞争性磋商采购文件采购公告规定的递交响应文件截止时间起遵循本响应函，并承诺在“第三章 供应商须知”规定的响应有效期内不修改、撤销响应文件。</w:t>
      </w:r>
    </w:p>
    <w:p w14:paraId="100DC5D7">
      <w:pPr>
        <w:ind w:firstLine="480" w:firstLineChars="200"/>
        <w:rPr>
          <w:rFonts w:ascii="宋体" w:hAnsi="宋体" w:cs="宋体"/>
          <w:color w:val="auto"/>
          <w:kern w:val="0"/>
          <w:sz w:val="24"/>
        </w:rPr>
      </w:pPr>
      <w:r>
        <w:rPr>
          <w:rFonts w:hint="eastAsia" w:ascii="宋体" w:hAnsi="宋体" w:cs="宋体"/>
          <w:color w:val="auto"/>
          <w:kern w:val="0"/>
          <w:sz w:val="24"/>
        </w:rPr>
        <w:t>3、我方在此声明，所递交的响应文件及有关资料内容完整、真实和准确。</w:t>
      </w:r>
    </w:p>
    <w:p w14:paraId="0F1C20C2">
      <w:pPr>
        <w:ind w:firstLine="480" w:firstLineChars="200"/>
        <w:rPr>
          <w:rFonts w:ascii="宋体" w:hAnsi="宋体" w:cs="宋体"/>
          <w:color w:val="auto"/>
          <w:kern w:val="0"/>
          <w:sz w:val="24"/>
        </w:rPr>
      </w:pPr>
      <w:r>
        <w:rPr>
          <w:rFonts w:hint="eastAsia" w:ascii="宋体" w:hAnsi="宋体" w:cs="宋体"/>
          <w:color w:val="auto"/>
          <w:kern w:val="0"/>
          <w:sz w:val="24"/>
        </w:rPr>
        <w:t>4、如本项目采购内容涉及须符合国家强制规定的，我方承诺我方本次竞标均符合国家有关强制规定。</w:t>
      </w:r>
    </w:p>
    <w:p w14:paraId="70E4951E">
      <w:pPr>
        <w:ind w:firstLine="480" w:firstLineChars="200"/>
        <w:rPr>
          <w:rFonts w:ascii="宋体" w:hAnsi="宋体" w:cs="宋体"/>
          <w:color w:val="auto"/>
          <w:kern w:val="0"/>
          <w:sz w:val="24"/>
        </w:rPr>
      </w:pPr>
      <w:r>
        <w:rPr>
          <w:rFonts w:hint="eastAsia" w:ascii="宋体" w:hAnsi="宋体" w:cs="宋体"/>
          <w:color w:val="auto"/>
          <w:kern w:val="0"/>
          <w:sz w:val="24"/>
        </w:rPr>
        <w:t>5、如我方成交，我方承诺在收到成交通知书后，在成交通知书规定的期限内，根据竞争性磋商采购文件、我方的响应文件及有关澄清承诺书的要求按第六章“合同文本”与采购人订立书面合同，并按照合同约定承担完成合同的责任和义务。</w:t>
      </w:r>
    </w:p>
    <w:p w14:paraId="3C24A143">
      <w:pPr>
        <w:ind w:firstLine="480" w:firstLineChars="200"/>
        <w:rPr>
          <w:rFonts w:ascii="宋体" w:hAnsi="宋体" w:cs="宋体"/>
          <w:color w:val="auto"/>
          <w:kern w:val="0"/>
          <w:sz w:val="24"/>
        </w:rPr>
      </w:pPr>
      <w:r>
        <w:rPr>
          <w:rFonts w:hint="eastAsia" w:ascii="宋体" w:hAnsi="宋体" w:cs="宋体"/>
          <w:color w:val="auto"/>
          <w:kern w:val="0"/>
          <w:sz w:val="24"/>
        </w:rPr>
        <w:t>6、我方已详细审核竞争性磋商采购文件，我方知道必须放弃提出含糊不清或误解问题的权利。</w:t>
      </w:r>
    </w:p>
    <w:p w14:paraId="3DEDDD2F">
      <w:pPr>
        <w:ind w:firstLine="480" w:firstLineChars="200"/>
        <w:rPr>
          <w:rFonts w:ascii="宋体" w:hAnsi="宋体" w:cs="宋体"/>
          <w:color w:val="auto"/>
          <w:kern w:val="0"/>
          <w:sz w:val="24"/>
        </w:rPr>
      </w:pPr>
      <w:r>
        <w:rPr>
          <w:rFonts w:hint="eastAsia" w:ascii="宋体" w:hAnsi="宋体" w:cs="宋体"/>
          <w:color w:val="auto"/>
          <w:kern w:val="0"/>
          <w:sz w:val="24"/>
        </w:rPr>
        <w:t>7、我方承诺满足竞争性磋商采购文件第六章“合同文本”的条款，承担完成合同的责任和义务。</w:t>
      </w:r>
    </w:p>
    <w:p w14:paraId="46F2EDE1">
      <w:pPr>
        <w:ind w:firstLine="480" w:firstLineChars="200"/>
        <w:rPr>
          <w:rFonts w:ascii="宋体" w:hAnsi="宋体" w:cs="宋体"/>
          <w:color w:val="auto"/>
          <w:kern w:val="0"/>
          <w:sz w:val="24"/>
        </w:rPr>
      </w:pPr>
      <w:r>
        <w:rPr>
          <w:rFonts w:hint="eastAsia" w:ascii="宋体" w:hAnsi="宋体" w:cs="宋体"/>
          <w:color w:val="auto"/>
          <w:kern w:val="0"/>
          <w:sz w:val="24"/>
        </w:rPr>
        <w:t>8、我方同意应贵方要求提供与本竞标有关的任何数据或资料。若贵方需要，我方愿意提供我方作出的一切承诺的证明材料。</w:t>
      </w:r>
    </w:p>
    <w:p w14:paraId="0F0CAA95">
      <w:pPr>
        <w:ind w:firstLine="480" w:firstLineChars="200"/>
        <w:rPr>
          <w:rFonts w:ascii="宋体" w:hAnsi="宋体" w:cs="宋体"/>
          <w:color w:val="auto"/>
          <w:kern w:val="0"/>
          <w:sz w:val="24"/>
        </w:rPr>
      </w:pPr>
      <w:r>
        <w:rPr>
          <w:rFonts w:hint="eastAsia" w:ascii="宋体" w:hAnsi="宋体" w:cs="宋体"/>
          <w:color w:val="auto"/>
          <w:kern w:val="0"/>
          <w:sz w:val="24"/>
        </w:rPr>
        <w:t>9、我方完全理解贵方不一定接受响应报价最低的竞标人为成交供应商的行为。</w:t>
      </w:r>
    </w:p>
    <w:p w14:paraId="2D07241E">
      <w:pPr>
        <w:ind w:firstLine="480" w:firstLineChars="200"/>
        <w:rPr>
          <w:rFonts w:ascii="宋体" w:hAnsi="宋体" w:cs="宋体"/>
          <w:color w:val="auto"/>
          <w:kern w:val="0"/>
          <w:sz w:val="24"/>
        </w:rPr>
      </w:pPr>
      <w:r>
        <w:rPr>
          <w:rFonts w:hint="eastAsia" w:ascii="宋体" w:hAnsi="宋体" w:cs="宋体"/>
          <w:color w:val="auto"/>
          <w:kern w:val="0"/>
          <w:sz w:val="24"/>
        </w:rPr>
        <w:t>10、我方将严格遵守《中华人民共和国政府采购法》第七十七条的规定，即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5A76414E">
      <w:pPr>
        <w:tabs>
          <w:tab w:val="left" w:pos="945"/>
        </w:tabs>
        <w:ind w:firstLine="480" w:firstLineChars="200"/>
        <w:rPr>
          <w:rFonts w:ascii="宋体" w:hAnsi="宋体" w:cs="宋体"/>
          <w:color w:val="auto"/>
          <w:kern w:val="0"/>
          <w:sz w:val="24"/>
        </w:rPr>
      </w:pPr>
      <w:r>
        <w:rPr>
          <w:rFonts w:hint="eastAsia" w:ascii="宋体" w:hAnsi="宋体" w:cs="宋体"/>
          <w:color w:val="auto"/>
          <w:kern w:val="0"/>
          <w:sz w:val="24"/>
        </w:rPr>
        <w:t>（1）提供虚假材料谋取中标、成交的；</w:t>
      </w:r>
    </w:p>
    <w:p w14:paraId="6622023E">
      <w:pPr>
        <w:tabs>
          <w:tab w:val="left" w:pos="945"/>
        </w:tabs>
        <w:ind w:firstLine="480" w:firstLineChars="200"/>
        <w:rPr>
          <w:rFonts w:ascii="宋体" w:hAnsi="宋体" w:cs="宋体"/>
          <w:color w:val="auto"/>
          <w:kern w:val="0"/>
          <w:sz w:val="24"/>
        </w:rPr>
      </w:pPr>
      <w:r>
        <w:rPr>
          <w:rFonts w:hint="eastAsia" w:ascii="宋体" w:hAnsi="宋体" w:cs="宋体"/>
          <w:color w:val="auto"/>
          <w:kern w:val="0"/>
          <w:sz w:val="24"/>
        </w:rPr>
        <w:t>（2）采取不正当手段诋毁、排挤其他供应商的；</w:t>
      </w:r>
    </w:p>
    <w:p w14:paraId="38837A7E">
      <w:pPr>
        <w:tabs>
          <w:tab w:val="left" w:pos="945"/>
        </w:tabs>
        <w:ind w:firstLine="480" w:firstLineChars="200"/>
        <w:rPr>
          <w:rFonts w:ascii="宋体" w:hAnsi="宋体" w:cs="宋体"/>
          <w:color w:val="auto"/>
          <w:kern w:val="0"/>
          <w:sz w:val="24"/>
        </w:rPr>
      </w:pPr>
      <w:r>
        <w:rPr>
          <w:rFonts w:hint="eastAsia" w:ascii="宋体" w:hAnsi="宋体" w:cs="宋体"/>
          <w:color w:val="auto"/>
          <w:kern w:val="0"/>
          <w:sz w:val="24"/>
        </w:rPr>
        <w:t>（3）与采购人、其他供应商或者采购代理机构恶意串通的；</w:t>
      </w:r>
    </w:p>
    <w:p w14:paraId="78F4FA5F">
      <w:pPr>
        <w:tabs>
          <w:tab w:val="left" w:pos="945"/>
        </w:tabs>
        <w:ind w:firstLine="480" w:firstLineChars="200"/>
        <w:rPr>
          <w:rFonts w:ascii="宋体" w:hAnsi="宋体" w:cs="宋体"/>
          <w:color w:val="auto"/>
          <w:kern w:val="0"/>
          <w:sz w:val="24"/>
        </w:rPr>
      </w:pPr>
      <w:r>
        <w:rPr>
          <w:rFonts w:hint="eastAsia" w:ascii="宋体" w:hAnsi="宋体" w:cs="宋体"/>
          <w:color w:val="auto"/>
          <w:kern w:val="0"/>
          <w:sz w:val="24"/>
        </w:rPr>
        <w:t>（4）向采购人、采购代理机构行贿或者提供其他不正当利益的；</w:t>
      </w:r>
    </w:p>
    <w:p w14:paraId="1A9717F5">
      <w:pPr>
        <w:tabs>
          <w:tab w:val="left" w:pos="945"/>
        </w:tabs>
        <w:ind w:firstLine="480" w:firstLineChars="200"/>
        <w:rPr>
          <w:rFonts w:ascii="宋体" w:hAnsi="宋体" w:cs="宋体"/>
          <w:color w:val="auto"/>
          <w:kern w:val="0"/>
          <w:sz w:val="24"/>
        </w:rPr>
      </w:pPr>
      <w:r>
        <w:rPr>
          <w:rFonts w:hint="eastAsia" w:ascii="宋体" w:hAnsi="宋体" w:cs="宋体"/>
          <w:color w:val="auto"/>
          <w:kern w:val="0"/>
          <w:sz w:val="24"/>
        </w:rPr>
        <w:t>（5）在采购过程中与采购人进行协商谈判的；</w:t>
      </w:r>
    </w:p>
    <w:p w14:paraId="6DB637EB">
      <w:pPr>
        <w:tabs>
          <w:tab w:val="left" w:pos="945"/>
        </w:tabs>
        <w:ind w:firstLine="480" w:firstLineChars="200"/>
        <w:rPr>
          <w:rFonts w:ascii="宋体" w:hAnsi="宋体" w:cs="宋体"/>
          <w:color w:val="auto"/>
          <w:kern w:val="0"/>
          <w:sz w:val="24"/>
        </w:rPr>
      </w:pPr>
      <w:r>
        <w:rPr>
          <w:rFonts w:hint="eastAsia" w:ascii="宋体" w:hAnsi="宋体" w:cs="宋体"/>
          <w:color w:val="auto"/>
          <w:kern w:val="0"/>
          <w:sz w:val="24"/>
        </w:rPr>
        <w:t>（6）拒绝有关部门监督检查或提供虚假情况的。</w:t>
      </w:r>
    </w:p>
    <w:p w14:paraId="4DE025DD">
      <w:pPr>
        <w:ind w:firstLine="480" w:firstLineChars="200"/>
        <w:rPr>
          <w:rFonts w:ascii="宋体" w:hAnsi="宋体" w:cs="宋体"/>
          <w:color w:val="auto"/>
          <w:kern w:val="0"/>
          <w:sz w:val="24"/>
        </w:rPr>
      </w:pPr>
      <w:r>
        <w:rPr>
          <w:rFonts w:hint="eastAsia" w:ascii="宋体" w:hAnsi="宋体" w:cs="宋体"/>
          <w:color w:val="auto"/>
          <w:kern w:val="0"/>
          <w:sz w:val="24"/>
        </w:rPr>
        <w:t>11、与本磋商有关的一切正式往来信函请寄：</w:t>
      </w:r>
    </w:p>
    <w:p w14:paraId="180D325B">
      <w:pPr>
        <w:ind w:firstLine="480" w:firstLineChars="200"/>
        <w:rPr>
          <w:rFonts w:ascii="宋体" w:hAnsi="宋体" w:cs="宋体"/>
          <w:color w:val="auto"/>
          <w:kern w:val="0"/>
          <w:sz w:val="24"/>
        </w:rPr>
      </w:pPr>
      <w:r>
        <w:rPr>
          <w:rFonts w:hint="eastAsia" w:ascii="宋体" w:hAnsi="宋体" w:cs="宋体"/>
          <w:color w:val="auto"/>
          <w:kern w:val="0"/>
          <w:sz w:val="24"/>
        </w:rPr>
        <w:t>地址：</w:t>
      </w:r>
    </w:p>
    <w:p w14:paraId="70049727">
      <w:pPr>
        <w:ind w:firstLine="480" w:firstLineChars="200"/>
        <w:rPr>
          <w:rFonts w:ascii="宋体" w:hAnsi="宋体" w:cs="宋体"/>
          <w:color w:val="auto"/>
          <w:kern w:val="0"/>
          <w:sz w:val="24"/>
          <w:u w:val="single"/>
        </w:rPr>
      </w:pPr>
      <w:r>
        <w:rPr>
          <w:rFonts w:hint="eastAsia" w:ascii="宋体" w:hAnsi="宋体" w:cs="宋体"/>
          <w:color w:val="auto"/>
          <w:kern w:val="0"/>
          <w:sz w:val="24"/>
        </w:rPr>
        <w:t>电话：</w:t>
      </w:r>
      <w:r>
        <w:rPr>
          <w:rFonts w:hint="eastAsia" w:ascii="宋体" w:hAnsi="宋体" w:cs="宋体"/>
          <w:color w:val="auto"/>
          <w:kern w:val="0"/>
          <w:sz w:val="24"/>
          <w:u w:val="single"/>
        </w:rPr>
        <w:t xml:space="preserve">                                      　　　　　　　　　</w:t>
      </w:r>
    </w:p>
    <w:p w14:paraId="31BD5E2F">
      <w:pPr>
        <w:ind w:firstLine="480" w:firstLineChars="200"/>
        <w:rPr>
          <w:rFonts w:ascii="宋体" w:hAnsi="宋体" w:cs="宋体"/>
          <w:color w:val="auto"/>
          <w:kern w:val="0"/>
          <w:sz w:val="24"/>
        </w:rPr>
      </w:pPr>
      <w:r>
        <w:rPr>
          <w:rFonts w:hint="eastAsia" w:ascii="宋体" w:hAnsi="宋体" w:cs="宋体"/>
          <w:color w:val="auto"/>
          <w:kern w:val="0"/>
          <w:sz w:val="24"/>
        </w:rPr>
        <w:t>传真：</w:t>
      </w:r>
      <w:r>
        <w:rPr>
          <w:rFonts w:hint="eastAsia" w:ascii="宋体" w:hAnsi="宋体" w:cs="宋体"/>
          <w:color w:val="auto"/>
          <w:kern w:val="0"/>
          <w:sz w:val="24"/>
          <w:u w:val="single"/>
        </w:rPr>
        <w:t>　　　　　　　　　　　　　　　　　　　　　　　　　　　　</w:t>
      </w:r>
    </w:p>
    <w:p w14:paraId="3F2CCB12">
      <w:pPr>
        <w:ind w:firstLine="480" w:firstLineChars="200"/>
        <w:rPr>
          <w:rFonts w:ascii="宋体" w:hAnsi="宋体" w:cs="宋体"/>
          <w:color w:val="auto"/>
          <w:kern w:val="0"/>
          <w:sz w:val="24"/>
          <w:u w:val="single"/>
        </w:rPr>
      </w:pPr>
      <w:r>
        <w:rPr>
          <w:rFonts w:hint="eastAsia" w:ascii="宋体" w:hAnsi="宋体" w:cs="宋体"/>
          <w:color w:val="auto"/>
          <w:kern w:val="0"/>
          <w:sz w:val="24"/>
        </w:rPr>
        <w:t>邮政编码：</w:t>
      </w:r>
    </w:p>
    <w:p w14:paraId="3E0A618B">
      <w:pPr>
        <w:ind w:firstLine="480" w:firstLineChars="200"/>
        <w:rPr>
          <w:rFonts w:ascii="宋体" w:hAnsi="宋体" w:cs="宋体"/>
          <w:color w:val="auto"/>
          <w:kern w:val="0"/>
          <w:sz w:val="24"/>
          <w:u w:val="single"/>
        </w:rPr>
      </w:pPr>
      <w:r>
        <w:rPr>
          <w:rFonts w:hint="eastAsia" w:ascii="宋体" w:hAnsi="宋体" w:cs="宋体"/>
          <w:color w:val="auto"/>
          <w:kern w:val="0"/>
          <w:sz w:val="24"/>
        </w:rPr>
        <w:t>开户名称：</w:t>
      </w:r>
    </w:p>
    <w:p w14:paraId="0F626058">
      <w:pPr>
        <w:ind w:firstLine="480" w:firstLineChars="200"/>
        <w:rPr>
          <w:rFonts w:ascii="宋体" w:hAnsi="宋体" w:cs="宋体"/>
          <w:color w:val="auto"/>
          <w:kern w:val="0"/>
          <w:sz w:val="24"/>
          <w:u w:val="single"/>
        </w:rPr>
      </w:pPr>
      <w:r>
        <w:rPr>
          <w:rFonts w:hint="eastAsia" w:ascii="宋体" w:hAnsi="宋体" w:cs="宋体"/>
          <w:color w:val="auto"/>
          <w:kern w:val="0"/>
          <w:sz w:val="24"/>
        </w:rPr>
        <w:t>开户银行：</w:t>
      </w:r>
    </w:p>
    <w:p w14:paraId="7E749215">
      <w:pPr>
        <w:ind w:firstLine="480" w:firstLineChars="200"/>
        <w:rPr>
          <w:rFonts w:ascii="宋体" w:hAnsi="宋体" w:cs="宋体"/>
          <w:color w:val="auto"/>
          <w:kern w:val="0"/>
          <w:sz w:val="24"/>
          <w:u w:val="single"/>
        </w:rPr>
      </w:pPr>
      <w:r>
        <w:rPr>
          <w:rFonts w:hint="eastAsia" w:ascii="宋体" w:hAnsi="宋体" w:cs="宋体"/>
          <w:color w:val="auto"/>
          <w:kern w:val="0"/>
          <w:sz w:val="24"/>
        </w:rPr>
        <w:t>银行账号：</w:t>
      </w:r>
    </w:p>
    <w:p w14:paraId="397F182B">
      <w:pPr>
        <w:ind w:firstLine="480" w:firstLineChars="200"/>
        <w:rPr>
          <w:rFonts w:ascii="宋体" w:hAnsi="宋体" w:cs="宋体"/>
          <w:color w:val="auto"/>
          <w:sz w:val="24"/>
        </w:rPr>
      </w:pPr>
      <w:r>
        <w:rPr>
          <w:rFonts w:hint="eastAsia" w:ascii="宋体" w:hAnsi="宋体" w:cs="宋体"/>
          <w:color w:val="auto"/>
          <w:sz w:val="24"/>
        </w:rPr>
        <w:t>特此承诺。</w:t>
      </w:r>
    </w:p>
    <w:p w14:paraId="5E0F359B">
      <w:pPr>
        <w:jc w:val="left"/>
        <w:rPr>
          <w:rFonts w:ascii="宋体" w:hAnsi="宋体" w:cs="宋体"/>
          <w:color w:val="auto"/>
          <w:sz w:val="24"/>
        </w:rPr>
      </w:pPr>
    </w:p>
    <w:p w14:paraId="04E0BCCC">
      <w:pPr>
        <w:autoSpaceDE w:val="0"/>
        <w:autoSpaceDN w:val="0"/>
        <w:ind w:firstLine="6000" w:firstLineChars="2500"/>
        <w:rPr>
          <w:rFonts w:ascii="宋体" w:hAnsi="宋体" w:cs="宋体"/>
          <w:color w:val="auto"/>
          <w:kern w:val="0"/>
          <w:sz w:val="24"/>
        </w:rPr>
      </w:pPr>
      <w:r>
        <w:rPr>
          <w:rFonts w:hint="eastAsia" w:ascii="宋体" w:hAnsi="宋体" w:cs="宋体"/>
          <w:color w:val="auto"/>
          <w:kern w:val="0"/>
          <w:sz w:val="24"/>
        </w:rPr>
        <w:t>供应商名称（电子签章）：</w:t>
      </w:r>
    </w:p>
    <w:p w14:paraId="75B3AEF5">
      <w:pPr>
        <w:autoSpaceDE w:val="0"/>
        <w:autoSpaceDN w:val="0"/>
        <w:ind w:firstLine="6480" w:firstLineChars="2700"/>
        <w:rPr>
          <w:rFonts w:ascii="宋体" w:hAnsi="宋体" w:cs="宋体"/>
          <w:color w:val="auto"/>
          <w:szCs w:val="21"/>
        </w:rPr>
        <w:sectPr>
          <w:pgSz w:w="11905" w:h="16838"/>
          <w:pgMar w:top="1417" w:right="1134" w:bottom="1417" w:left="1100" w:header="703" w:footer="703" w:gutter="0"/>
          <w:cols w:space="720" w:num="1"/>
        </w:sectPr>
      </w:pPr>
      <w:r>
        <w:rPr>
          <w:rFonts w:hint="eastAsia" w:ascii="宋体" w:hAnsi="宋体" w:cs="宋体"/>
          <w:color w:val="auto"/>
          <w:kern w:val="0"/>
          <w:sz w:val="24"/>
          <w:lang w:val="zh-CN"/>
        </w:rPr>
        <w:t>日期：  年  月   日</w:t>
      </w:r>
    </w:p>
    <w:p w14:paraId="3EA71AFE">
      <w:pPr>
        <w:spacing w:line="360" w:lineRule="auto"/>
        <w:rPr>
          <w:rFonts w:ascii="宋体" w:hAnsi="宋体" w:cs="宋体"/>
          <w:color w:val="auto"/>
        </w:rPr>
      </w:pPr>
    </w:p>
    <w:p w14:paraId="46EBD6C3">
      <w:pPr>
        <w:rPr>
          <w:color w:val="auto"/>
          <w:sz w:val="32"/>
          <w:szCs w:val="40"/>
        </w:rPr>
      </w:pPr>
      <w:r>
        <w:rPr>
          <w:rFonts w:hint="eastAsia"/>
          <w:color w:val="auto"/>
          <w:sz w:val="32"/>
          <w:szCs w:val="40"/>
        </w:rPr>
        <w:t>二、响应报价表</w:t>
      </w:r>
    </w:p>
    <w:p w14:paraId="588C7930">
      <w:pPr>
        <w:rPr>
          <w:color w:val="auto"/>
          <w:szCs w:val="21"/>
        </w:rPr>
      </w:pPr>
      <w:r>
        <w:rPr>
          <w:rFonts w:hint="eastAsia"/>
          <w:color w:val="auto"/>
          <w:szCs w:val="21"/>
        </w:rPr>
        <w:t xml:space="preserve">项目名称：  </w:t>
      </w:r>
      <w:r>
        <w:rPr>
          <w:color w:val="auto"/>
          <w:szCs w:val="21"/>
        </w:rPr>
        <w:t xml:space="preserve">    </w:t>
      </w:r>
      <w:r>
        <w:rPr>
          <w:rFonts w:hint="eastAsia"/>
          <w:color w:val="auto"/>
          <w:szCs w:val="21"/>
        </w:rPr>
        <w:t xml:space="preserve">       项目编号：</w:t>
      </w:r>
      <w:r>
        <w:rPr>
          <w:color w:val="auto"/>
          <w:szCs w:val="21"/>
        </w:rPr>
        <w:t xml:space="preserve"> </w:t>
      </w:r>
      <w:r>
        <w:rPr>
          <w:rFonts w:hint="eastAsia"/>
          <w:color w:val="auto"/>
          <w:szCs w:val="21"/>
        </w:rPr>
        <w:t xml:space="preserve"> </w:t>
      </w:r>
    </w:p>
    <w:p w14:paraId="09FAC446">
      <w:pPr>
        <w:rPr>
          <w:color w:val="auto"/>
          <w:szCs w:val="21"/>
        </w:rPr>
      </w:pPr>
      <w:r>
        <w:rPr>
          <w:rFonts w:hint="eastAsia"/>
          <w:color w:val="auto"/>
          <w:szCs w:val="21"/>
        </w:rPr>
        <w:t xml:space="preserve">分标：            </w:t>
      </w:r>
    </w:p>
    <w:p w14:paraId="5597839B">
      <w:pPr>
        <w:rPr>
          <w:color w:val="auto"/>
          <w:szCs w:val="21"/>
        </w:rPr>
      </w:pPr>
      <w:r>
        <w:rPr>
          <w:rFonts w:hint="eastAsia"/>
          <w:color w:val="auto"/>
          <w:szCs w:val="21"/>
        </w:rPr>
        <w:t xml:space="preserve">供应商名称：                                </w:t>
      </w:r>
    </w:p>
    <w:p w14:paraId="58DCEEC1">
      <w:pPr>
        <w:spacing w:line="360" w:lineRule="auto"/>
        <w:rPr>
          <w:rFonts w:ascii="宋体" w:hAnsi="宋体" w:cs="宋体"/>
          <w:color w:val="auto"/>
        </w:rPr>
      </w:pPr>
    </w:p>
    <w:tbl>
      <w:tblPr>
        <w:tblStyle w:val="26"/>
        <w:tblW w:w="9882" w:type="dxa"/>
        <w:tblInd w:w="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6"/>
        <w:gridCol w:w="1265"/>
        <w:gridCol w:w="2073"/>
        <w:gridCol w:w="1086"/>
        <w:gridCol w:w="1266"/>
        <w:gridCol w:w="1524"/>
        <w:gridCol w:w="962"/>
        <w:gridCol w:w="980"/>
      </w:tblGrid>
      <w:tr w14:paraId="384767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57" w:hRule="atLeast"/>
        </w:trPr>
        <w:tc>
          <w:tcPr>
            <w:tcW w:w="726" w:type="dxa"/>
            <w:tcBorders>
              <w:top w:val="single" w:color="000000" w:sz="2" w:space="0"/>
              <w:bottom w:val="single" w:color="000000" w:sz="2" w:space="0"/>
            </w:tcBorders>
            <w:vAlign w:val="center"/>
          </w:tcPr>
          <w:p w14:paraId="5C5DC3DB">
            <w:pPr>
              <w:spacing w:before="68" w:line="360" w:lineRule="auto"/>
              <w:rPr>
                <w:rFonts w:ascii="宋体" w:hAnsi="宋体" w:cs="宋体"/>
                <w:color w:val="auto"/>
                <w:szCs w:val="21"/>
              </w:rPr>
            </w:pPr>
            <w:r>
              <w:rPr>
                <w:rFonts w:hint="eastAsia" w:ascii="宋体" w:hAnsi="宋体" w:cs="宋体"/>
                <w:color w:val="auto"/>
                <w:spacing w:val="-5"/>
                <w:szCs w:val="21"/>
              </w:rPr>
              <w:t>序</w:t>
            </w:r>
            <w:r>
              <w:rPr>
                <w:rFonts w:hint="eastAsia" w:ascii="宋体" w:hAnsi="宋体" w:cs="宋体"/>
                <w:color w:val="auto"/>
                <w:spacing w:val="-3"/>
                <w:szCs w:val="21"/>
              </w:rPr>
              <w:t>号</w:t>
            </w:r>
          </w:p>
        </w:tc>
        <w:tc>
          <w:tcPr>
            <w:tcW w:w="1265" w:type="dxa"/>
            <w:tcBorders>
              <w:top w:val="single" w:color="000000" w:sz="2" w:space="0"/>
              <w:bottom w:val="single" w:color="000000" w:sz="2" w:space="0"/>
            </w:tcBorders>
            <w:vAlign w:val="center"/>
          </w:tcPr>
          <w:p w14:paraId="07D6FE23">
            <w:pPr>
              <w:spacing w:before="68" w:line="360" w:lineRule="auto"/>
              <w:rPr>
                <w:rFonts w:ascii="宋体" w:hAnsi="宋体" w:cs="宋体"/>
                <w:color w:val="auto"/>
                <w:szCs w:val="21"/>
              </w:rPr>
            </w:pPr>
            <w:r>
              <w:rPr>
                <w:rFonts w:hint="eastAsia" w:ascii="宋体" w:hAnsi="宋体" w:cs="宋体"/>
                <w:color w:val="auto"/>
                <w:spacing w:val="-2"/>
                <w:szCs w:val="21"/>
              </w:rPr>
              <w:t>服务名</w:t>
            </w:r>
            <w:r>
              <w:rPr>
                <w:rFonts w:hint="eastAsia" w:ascii="宋体" w:hAnsi="宋体" w:cs="宋体"/>
                <w:color w:val="auto"/>
                <w:spacing w:val="-1"/>
                <w:szCs w:val="21"/>
              </w:rPr>
              <w:t>称</w:t>
            </w:r>
          </w:p>
        </w:tc>
        <w:tc>
          <w:tcPr>
            <w:tcW w:w="2073" w:type="dxa"/>
            <w:tcBorders>
              <w:top w:val="single" w:color="000000" w:sz="2" w:space="0"/>
              <w:bottom w:val="single" w:color="000000" w:sz="2" w:space="0"/>
            </w:tcBorders>
            <w:vAlign w:val="center"/>
          </w:tcPr>
          <w:p w14:paraId="1B97CABA">
            <w:pPr>
              <w:spacing w:before="162" w:line="360" w:lineRule="auto"/>
              <w:ind w:left="114" w:right="100" w:firstLine="84"/>
              <w:rPr>
                <w:rFonts w:ascii="宋体" w:hAnsi="宋体" w:cs="宋体"/>
                <w:color w:val="auto"/>
                <w:szCs w:val="21"/>
              </w:rPr>
            </w:pPr>
            <w:r>
              <w:rPr>
                <w:rFonts w:hint="eastAsia" w:ascii="宋体" w:hAnsi="宋体" w:cs="宋体"/>
                <w:color w:val="auto"/>
                <w:spacing w:val="15"/>
                <w:szCs w:val="21"/>
              </w:rPr>
              <w:t>具</w:t>
            </w:r>
            <w:r>
              <w:rPr>
                <w:rFonts w:hint="eastAsia" w:ascii="宋体" w:hAnsi="宋体" w:cs="宋体"/>
                <w:color w:val="auto"/>
                <w:spacing w:val="11"/>
                <w:szCs w:val="21"/>
              </w:rPr>
              <w:t>体服务内容</w:t>
            </w:r>
          </w:p>
        </w:tc>
        <w:tc>
          <w:tcPr>
            <w:tcW w:w="1086" w:type="dxa"/>
            <w:tcBorders>
              <w:top w:val="single" w:color="000000" w:sz="2" w:space="0"/>
              <w:bottom w:val="single" w:color="000000" w:sz="2" w:space="0"/>
            </w:tcBorders>
            <w:vAlign w:val="center"/>
          </w:tcPr>
          <w:p w14:paraId="4A3518FA">
            <w:pPr>
              <w:spacing w:before="68" w:line="360" w:lineRule="auto"/>
              <w:rPr>
                <w:rFonts w:ascii="宋体" w:hAnsi="宋体" w:cs="宋体"/>
                <w:color w:val="auto"/>
                <w:szCs w:val="21"/>
              </w:rPr>
            </w:pPr>
            <w:r>
              <w:rPr>
                <w:rFonts w:hint="eastAsia" w:ascii="宋体" w:hAnsi="宋体" w:cs="宋体"/>
                <w:color w:val="auto"/>
                <w:spacing w:val="-4"/>
                <w:szCs w:val="21"/>
              </w:rPr>
              <w:t>数</w:t>
            </w:r>
            <w:r>
              <w:rPr>
                <w:rFonts w:hint="eastAsia" w:ascii="宋体" w:hAnsi="宋体" w:cs="宋体"/>
                <w:color w:val="auto"/>
                <w:spacing w:val="-3"/>
                <w:szCs w:val="21"/>
              </w:rPr>
              <w:t>量①</w:t>
            </w:r>
          </w:p>
        </w:tc>
        <w:tc>
          <w:tcPr>
            <w:tcW w:w="1266" w:type="dxa"/>
            <w:tcBorders>
              <w:top w:val="single" w:color="000000" w:sz="2" w:space="0"/>
              <w:bottom w:val="single" w:color="000000" w:sz="2" w:space="0"/>
            </w:tcBorders>
            <w:vAlign w:val="center"/>
          </w:tcPr>
          <w:p w14:paraId="6F4A17CF">
            <w:pPr>
              <w:spacing w:before="69" w:line="360" w:lineRule="auto"/>
              <w:rPr>
                <w:rFonts w:ascii="宋体" w:hAnsi="宋体" w:cs="宋体"/>
                <w:color w:val="auto"/>
                <w:szCs w:val="21"/>
              </w:rPr>
            </w:pPr>
            <w:r>
              <w:rPr>
                <w:rFonts w:hint="eastAsia" w:ascii="宋体" w:hAnsi="宋体" w:cs="宋体"/>
                <w:color w:val="auto"/>
                <w:spacing w:val="-1"/>
                <w:szCs w:val="21"/>
              </w:rPr>
              <w:t xml:space="preserve">单    </w:t>
            </w:r>
            <w:r>
              <w:rPr>
                <w:rFonts w:hint="eastAsia" w:ascii="宋体" w:hAnsi="宋体" w:cs="宋体"/>
                <w:color w:val="auto"/>
                <w:szCs w:val="21"/>
              </w:rPr>
              <w:t xml:space="preserve">  价</w:t>
            </w:r>
          </w:p>
          <w:p w14:paraId="364E46E0">
            <w:pPr>
              <w:spacing w:line="360" w:lineRule="auto"/>
              <w:ind w:left="150"/>
              <w:rPr>
                <w:rFonts w:ascii="宋体" w:hAnsi="宋体" w:cs="宋体"/>
                <w:color w:val="auto"/>
                <w:szCs w:val="21"/>
              </w:rPr>
            </w:pPr>
            <w:r>
              <w:rPr>
                <w:rFonts w:hint="eastAsia" w:ascii="宋体" w:hAnsi="宋体" w:cs="宋体"/>
                <w:color w:val="auto"/>
                <w:spacing w:val="-12"/>
                <w:szCs w:val="21"/>
              </w:rPr>
              <w:t>(</w:t>
            </w:r>
            <w:r>
              <w:rPr>
                <w:rFonts w:hint="eastAsia" w:ascii="宋体" w:hAnsi="宋体" w:cs="宋体"/>
                <w:color w:val="auto"/>
                <w:spacing w:val="-11"/>
                <w:szCs w:val="21"/>
              </w:rPr>
              <w:t>元)②</w:t>
            </w:r>
          </w:p>
        </w:tc>
        <w:tc>
          <w:tcPr>
            <w:tcW w:w="1524" w:type="dxa"/>
            <w:tcBorders>
              <w:top w:val="single" w:color="000000" w:sz="2" w:space="0"/>
              <w:bottom w:val="single" w:color="000000" w:sz="2" w:space="0"/>
            </w:tcBorders>
            <w:vAlign w:val="center"/>
          </w:tcPr>
          <w:p w14:paraId="4A47EE23">
            <w:pPr>
              <w:spacing w:before="162" w:line="360" w:lineRule="auto"/>
              <w:ind w:left="118" w:right="98" w:hanging="3"/>
              <w:rPr>
                <w:rFonts w:ascii="宋体" w:hAnsi="宋体" w:cs="宋体"/>
                <w:color w:val="auto"/>
                <w:szCs w:val="21"/>
              </w:rPr>
            </w:pPr>
            <w:r>
              <w:rPr>
                <w:rFonts w:hint="eastAsia" w:ascii="宋体" w:hAnsi="宋体" w:cs="宋体"/>
                <w:color w:val="auto"/>
                <w:spacing w:val="20"/>
                <w:szCs w:val="21"/>
              </w:rPr>
              <w:t>单</w:t>
            </w:r>
            <w:r>
              <w:rPr>
                <w:rFonts w:hint="eastAsia" w:ascii="宋体" w:hAnsi="宋体" w:cs="宋体"/>
                <w:color w:val="auto"/>
                <w:spacing w:val="19"/>
                <w:szCs w:val="21"/>
              </w:rPr>
              <w:t xml:space="preserve"> 项 合 价</w:t>
            </w:r>
            <w:r>
              <w:rPr>
                <w:rFonts w:hint="eastAsia" w:ascii="宋体" w:hAnsi="宋体" w:cs="宋体"/>
                <w:color w:val="auto"/>
                <w:szCs w:val="21"/>
              </w:rPr>
              <w:t xml:space="preserve"> </w:t>
            </w:r>
            <w:r>
              <w:rPr>
                <w:rFonts w:hint="eastAsia" w:ascii="宋体" w:hAnsi="宋体" w:cs="宋体"/>
                <w:color w:val="auto"/>
                <w:spacing w:val="31"/>
                <w:szCs w:val="21"/>
              </w:rPr>
              <w:t>(</w:t>
            </w:r>
            <w:r>
              <w:rPr>
                <w:rFonts w:hint="eastAsia" w:ascii="宋体" w:hAnsi="宋体" w:cs="宋体"/>
                <w:color w:val="auto"/>
                <w:spacing w:val="30"/>
                <w:szCs w:val="21"/>
              </w:rPr>
              <w:t>元)</w:t>
            </w:r>
          </w:p>
          <w:p w14:paraId="2B0302B6">
            <w:pPr>
              <w:spacing w:before="1" w:line="360" w:lineRule="auto"/>
              <w:ind w:left="125" w:right="99" w:hanging="13"/>
              <w:rPr>
                <w:rFonts w:ascii="宋体" w:hAnsi="宋体" w:cs="宋体"/>
                <w:color w:val="auto"/>
                <w:szCs w:val="21"/>
              </w:rPr>
            </w:pPr>
            <w:r>
              <w:rPr>
                <w:rFonts w:hint="eastAsia" w:ascii="宋体" w:hAnsi="宋体" w:cs="宋体"/>
                <w:color w:val="auto"/>
                <w:spacing w:val="-26"/>
                <w:szCs w:val="21"/>
              </w:rPr>
              <w:t>③</w:t>
            </w:r>
            <w:r>
              <w:rPr>
                <w:rFonts w:hint="eastAsia" w:ascii="宋体" w:hAnsi="宋体" w:cs="宋体"/>
                <w:color w:val="auto"/>
                <w:spacing w:val="-19"/>
                <w:szCs w:val="21"/>
              </w:rPr>
              <w:t xml:space="preserve"> ＝ ① ×②</w:t>
            </w:r>
            <w:r>
              <w:rPr>
                <w:rFonts w:hint="eastAsia" w:ascii="宋体" w:hAnsi="宋体" w:cs="宋体"/>
                <w:color w:val="auto"/>
                <w:szCs w:val="21"/>
              </w:rPr>
              <w:t xml:space="preserve"> </w:t>
            </w:r>
          </w:p>
        </w:tc>
        <w:tc>
          <w:tcPr>
            <w:tcW w:w="962" w:type="dxa"/>
            <w:tcBorders>
              <w:top w:val="single" w:color="000000" w:sz="2" w:space="0"/>
              <w:bottom w:val="single" w:color="000000" w:sz="2" w:space="0"/>
            </w:tcBorders>
            <w:vAlign w:val="center"/>
          </w:tcPr>
          <w:p w14:paraId="3E191A6A">
            <w:pPr>
              <w:spacing w:before="5" w:line="360" w:lineRule="auto"/>
              <w:ind w:left="173" w:right="153" w:hanging="1"/>
              <w:rPr>
                <w:rFonts w:ascii="宋体" w:hAnsi="宋体" w:cs="宋体"/>
                <w:color w:val="auto"/>
                <w:szCs w:val="21"/>
              </w:rPr>
            </w:pPr>
            <w:r>
              <w:rPr>
                <w:rFonts w:hint="eastAsia" w:ascii="宋体" w:hAnsi="宋体" w:cs="宋体"/>
                <w:color w:val="auto"/>
                <w:spacing w:val="-4"/>
                <w:szCs w:val="21"/>
              </w:rPr>
              <w:t>服</w:t>
            </w:r>
            <w:r>
              <w:rPr>
                <w:rFonts w:hint="eastAsia" w:ascii="宋体" w:hAnsi="宋体" w:cs="宋体"/>
                <w:color w:val="auto"/>
                <w:spacing w:val="-3"/>
                <w:szCs w:val="21"/>
              </w:rPr>
              <w:t>务</w:t>
            </w:r>
            <w:r>
              <w:rPr>
                <w:rFonts w:hint="eastAsia" w:ascii="宋体" w:hAnsi="宋体" w:cs="宋体"/>
                <w:color w:val="auto"/>
                <w:spacing w:val="-2"/>
                <w:szCs w:val="21"/>
              </w:rPr>
              <w:t>要</w:t>
            </w:r>
            <w:r>
              <w:rPr>
                <w:rFonts w:hint="eastAsia" w:ascii="宋体" w:hAnsi="宋体" w:cs="宋体"/>
                <w:color w:val="auto"/>
                <w:szCs w:val="21"/>
              </w:rPr>
              <w:t xml:space="preserve"> </w:t>
            </w:r>
            <w:r>
              <w:rPr>
                <w:rFonts w:hint="eastAsia" w:ascii="宋体" w:hAnsi="宋体" w:cs="宋体"/>
                <w:color w:val="auto"/>
                <w:spacing w:val="33"/>
                <w:szCs w:val="21"/>
              </w:rPr>
              <w:t>求</w:t>
            </w:r>
            <w:r>
              <w:rPr>
                <w:rFonts w:hint="eastAsia" w:ascii="宋体" w:hAnsi="宋体" w:cs="宋体"/>
                <w:color w:val="auto"/>
                <w:spacing w:val="31"/>
                <w:szCs w:val="21"/>
              </w:rPr>
              <w:t>(或</w:t>
            </w:r>
            <w:r>
              <w:rPr>
                <w:rFonts w:hint="eastAsia" w:ascii="宋体" w:hAnsi="宋体" w:cs="宋体"/>
                <w:color w:val="auto"/>
                <w:spacing w:val="-4"/>
                <w:szCs w:val="21"/>
              </w:rPr>
              <w:t>服</w:t>
            </w:r>
            <w:r>
              <w:rPr>
                <w:rFonts w:hint="eastAsia" w:ascii="宋体" w:hAnsi="宋体" w:cs="宋体"/>
                <w:color w:val="auto"/>
                <w:spacing w:val="-2"/>
                <w:szCs w:val="21"/>
              </w:rPr>
              <w:t>期</w:t>
            </w:r>
            <w:r>
              <w:rPr>
                <w:rFonts w:hint="eastAsia" w:ascii="宋体" w:hAnsi="宋体" w:cs="宋体"/>
                <w:color w:val="auto"/>
                <w:spacing w:val="-14"/>
                <w:szCs w:val="21"/>
              </w:rPr>
              <w:t>限</w:t>
            </w:r>
            <w:r>
              <w:rPr>
                <w:rFonts w:hint="eastAsia" w:ascii="宋体" w:hAnsi="宋体" w:cs="宋体"/>
                <w:color w:val="auto"/>
                <w:spacing w:val="-13"/>
                <w:szCs w:val="21"/>
              </w:rPr>
              <w:t>)</w:t>
            </w:r>
          </w:p>
        </w:tc>
        <w:tc>
          <w:tcPr>
            <w:tcW w:w="975" w:type="dxa"/>
            <w:tcBorders>
              <w:top w:val="single" w:color="000000" w:sz="2" w:space="0"/>
              <w:bottom w:val="single" w:color="000000" w:sz="2" w:space="0"/>
            </w:tcBorders>
            <w:vAlign w:val="center"/>
          </w:tcPr>
          <w:p w14:paraId="1200FF3C">
            <w:pPr>
              <w:spacing w:before="68" w:line="360" w:lineRule="auto"/>
              <w:rPr>
                <w:rFonts w:ascii="宋体" w:hAnsi="宋体" w:cs="宋体"/>
                <w:color w:val="auto"/>
                <w:szCs w:val="21"/>
              </w:rPr>
            </w:pPr>
            <w:r>
              <w:rPr>
                <w:rFonts w:hint="eastAsia" w:ascii="宋体" w:hAnsi="宋体" w:cs="宋体"/>
                <w:color w:val="auto"/>
                <w:spacing w:val="-4"/>
                <w:szCs w:val="21"/>
              </w:rPr>
              <w:t>备</w:t>
            </w:r>
            <w:r>
              <w:rPr>
                <w:rFonts w:hint="eastAsia" w:ascii="宋体" w:hAnsi="宋体" w:cs="宋体"/>
                <w:color w:val="auto"/>
                <w:spacing w:val="-2"/>
                <w:szCs w:val="21"/>
              </w:rPr>
              <w:t>注</w:t>
            </w:r>
          </w:p>
        </w:tc>
      </w:tr>
      <w:tr w14:paraId="4A6B11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726" w:type="dxa"/>
            <w:tcBorders>
              <w:top w:val="single" w:color="000000" w:sz="2" w:space="0"/>
              <w:bottom w:val="single" w:color="000000" w:sz="2" w:space="0"/>
            </w:tcBorders>
          </w:tcPr>
          <w:p w14:paraId="52F39FCA">
            <w:pPr>
              <w:spacing w:before="151" w:line="360" w:lineRule="auto"/>
              <w:ind w:left="127"/>
              <w:rPr>
                <w:rFonts w:ascii="宋体" w:hAnsi="宋体" w:cs="宋体"/>
                <w:color w:val="auto"/>
                <w:szCs w:val="21"/>
              </w:rPr>
            </w:pPr>
            <w:r>
              <w:rPr>
                <w:rFonts w:hint="eastAsia" w:ascii="宋体" w:hAnsi="宋体" w:cs="宋体"/>
                <w:color w:val="auto"/>
                <w:szCs w:val="21"/>
              </w:rPr>
              <w:t>1</w:t>
            </w:r>
          </w:p>
        </w:tc>
        <w:tc>
          <w:tcPr>
            <w:tcW w:w="1265" w:type="dxa"/>
            <w:tcBorders>
              <w:top w:val="single" w:color="000000" w:sz="2" w:space="0"/>
              <w:bottom w:val="single" w:color="000000" w:sz="2" w:space="0"/>
            </w:tcBorders>
          </w:tcPr>
          <w:p w14:paraId="02FC084A">
            <w:pPr>
              <w:spacing w:line="360" w:lineRule="auto"/>
              <w:rPr>
                <w:rFonts w:ascii="宋体" w:hAnsi="宋体" w:cs="宋体"/>
                <w:color w:val="auto"/>
                <w:szCs w:val="21"/>
              </w:rPr>
            </w:pPr>
          </w:p>
        </w:tc>
        <w:tc>
          <w:tcPr>
            <w:tcW w:w="2073" w:type="dxa"/>
            <w:tcBorders>
              <w:top w:val="single" w:color="000000" w:sz="2" w:space="0"/>
              <w:bottom w:val="single" w:color="000000" w:sz="2" w:space="0"/>
            </w:tcBorders>
          </w:tcPr>
          <w:p w14:paraId="18423EC9">
            <w:pPr>
              <w:spacing w:line="360" w:lineRule="auto"/>
              <w:rPr>
                <w:rFonts w:ascii="宋体" w:hAnsi="宋体" w:cs="宋体"/>
                <w:color w:val="auto"/>
                <w:szCs w:val="21"/>
              </w:rPr>
            </w:pPr>
          </w:p>
        </w:tc>
        <w:tc>
          <w:tcPr>
            <w:tcW w:w="1086" w:type="dxa"/>
            <w:tcBorders>
              <w:top w:val="single" w:color="000000" w:sz="2" w:space="0"/>
              <w:bottom w:val="single" w:color="000000" w:sz="2" w:space="0"/>
            </w:tcBorders>
          </w:tcPr>
          <w:p w14:paraId="08BD239A">
            <w:pPr>
              <w:spacing w:line="360" w:lineRule="auto"/>
              <w:rPr>
                <w:rFonts w:ascii="宋体" w:hAnsi="宋体" w:cs="宋体"/>
                <w:color w:val="auto"/>
                <w:szCs w:val="21"/>
              </w:rPr>
            </w:pPr>
          </w:p>
        </w:tc>
        <w:tc>
          <w:tcPr>
            <w:tcW w:w="1266" w:type="dxa"/>
            <w:tcBorders>
              <w:top w:val="single" w:color="000000" w:sz="2" w:space="0"/>
              <w:bottom w:val="single" w:color="000000" w:sz="2" w:space="0"/>
            </w:tcBorders>
          </w:tcPr>
          <w:p w14:paraId="427DD6AB">
            <w:pPr>
              <w:spacing w:line="360" w:lineRule="auto"/>
              <w:rPr>
                <w:rFonts w:ascii="宋体" w:hAnsi="宋体" w:cs="宋体"/>
                <w:color w:val="auto"/>
                <w:szCs w:val="21"/>
              </w:rPr>
            </w:pPr>
          </w:p>
        </w:tc>
        <w:tc>
          <w:tcPr>
            <w:tcW w:w="1524" w:type="dxa"/>
            <w:tcBorders>
              <w:top w:val="single" w:color="000000" w:sz="2" w:space="0"/>
              <w:bottom w:val="single" w:color="000000" w:sz="2" w:space="0"/>
            </w:tcBorders>
          </w:tcPr>
          <w:p w14:paraId="2FA9810D">
            <w:pPr>
              <w:spacing w:line="360" w:lineRule="auto"/>
              <w:rPr>
                <w:rFonts w:ascii="宋体" w:hAnsi="宋体" w:cs="宋体"/>
                <w:color w:val="auto"/>
                <w:szCs w:val="21"/>
              </w:rPr>
            </w:pPr>
          </w:p>
        </w:tc>
        <w:tc>
          <w:tcPr>
            <w:tcW w:w="962" w:type="dxa"/>
            <w:tcBorders>
              <w:top w:val="single" w:color="000000" w:sz="2" w:space="0"/>
              <w:bottom w:val="single" w:color="000000" w:sz="2" w:space="0"/>
            </w:tcBorders>
          </w:tcPr>
          <w:p w14:paraId="57D2C1E7">
            <w:pPr>
              <w:spacing w:line="360" w:lineRule="auto"/>
              <w:rPr>
                <w:rFonts w:ascii="宋体" w:hAnsi="宋体" w:cs="宋体"/>
                <w:color w:val="auto"/>
                <w:szCs w:val="21"/>
              </w:rPr>
            </w:pPr>
          </w:p>
        </w:tc>
        <w:tc>
          <w:tcPr>
            <w:tcW w:w="975" w:type="dxa"/>
            <w:tcBorders>
              <w:top w:val="single" w:color="000000" w:sz="2" w:space="0"/>
              <w:bottom w:val="single" w:color="000000" w:sz="2" w:space="0"/>
            </w:tcBorders>
          </w:tcPr>
          <w:p w14:paraId="014DC7A7">
            <w:pPr>
              <w:spacing w:line="360" w:lineRule="auto"/>
              <w:rPr>
                <w:rFonts w:ascii="宋体" w:hAnsi="宋体" w:cs="宋体"/>
                <w:color w:val="auto"/>
                <w:szCs w:val="21"/>
              </w:rPr>
            </w:pPr>
          </w:p>
        </w:tc>
      </w:tr>
      <w:tr w14:paraId="6536E6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trPr>
        <w:tc>
          <w:tcPr>
            <w:tcW w:w="726" w:type="dxa"/>
            <w:tcBorders>
              <w:top w:val="single" w:color="000000" w:sz="2" w:space="0"/>
              <w:bottom w:val="single" w:color="000000" w:sz="2" w:space="0"/>
            </w:tcBorders>
          </w:tcPr>
          <w:p w14:paraId="0C22596F">
            <w:pPr>
              <w:spacing w:before="155" w:line="360" w:lineRule="auto"/>
              <w:ind w:left="114"/>
              <w:rPr>
                <w:rFonts w:ascii="宋体" w:hAnsi="宋体" w:cs="宋体"/>
                <w:color w:val="auto"/>
                <w:szCs w:val="21"/>
              </w:rPr>
            </w:pPr>
            <w:r>
              <w:rPr>
                <w:rFonts w:hint="eastAsia" w:ascii="宋体" w:hAnsi="宋体" w:cs="宋体"/>
                <w:color w:val="auto"/>
                <w:szCs w:val="21"/>
              </w:rPr>
              <w:t>2</w:t>
            </w:r>
          </w:p>
        </w:tc>
        <w:tc>
          <w:tcPr>
            <w:tcW w:w="1265" w:type="dxa"/>
            <w:tcBorders>
              <w:top w:val="single" w:color="000000" w:sz="2" w:space="0"/>
              <w:bottom w:val="single" w:color="000000" w:sz="2" w:space="0"/>
            </w:tcBorders>
          </w:tcPr>
          <w:p w14:paraId="581D8F8B">
            <w:pPr>
              <w:spacing w:line="360" w:lineRule="auto"/>
              <w:rPr>
                <w:rFonts w:ascii="宋体" w:hAnsi="宋体" w:cs="宋体"/>
                <w:color w:val="auto"/>
                <w:szCs w:val="21"/>
              </w:rPr>
            </w:pPr>
          </w:p>
        </w:tc>
        <w:tc>
          <w:tcPr>
            <w:tcW w:w="2073" w:type="dxa"/>
            <w:tcBorders>
              <w:top w:val="single" w:color="000000" w:sz="2" w:space="0"/>
              <w:bottom w:val="single" w:color="000000" w:sz="2" w:space="0"/>
            </w:tcBorders>
          </w:tcPr>
          <w:p w14:paraId="1E918594">
            <w:pPr>
              <w:spacing w:line="360" w:lineRule="auto"/>
              <w:rPr>
                <w:rFonts w:ascii="宋体" w:hAnsi="宋体" w:cs="宋体"/>
                <w:color w:val="auto"/>
                <w:szCs w:val="21"/>
              </w:rPr>
            </w:pPr>
          </w:p>
        </w:tc>
        <w:tc>
          <w:tcPr>
            <w:tcW w:w="1086" w:type="dxa"/>
            <w:tcBorders>
              <w:top w:val="single" w:color="000000" w:sz="2" w:space="0"/>
              <w:bottom w:val="single" w:color="000000" w:sz="2" w:space="0"/>
            </w:tcBorders>
          </w:tcPr>
          <w:p w14:paraId="73D78994">
            <w:pPr>
              <w:spacing w:line="360" w:lineRule="auto"/>
              <w:rPr>
                <w:rFonts w:ascii="宋体" w:hAnsi="宋体" w:cs="宋体"/>
                <w:color w:val="auto"/>
                <w:szCs w:val="21"/>
              </w:rPr>
            </w:pPr>
          </w:p>
        </w:tc>
        <w:tc>
          <w:tcPr>
            <w:tcW w:w="1266" w:type="dxa"/>
            <w:tcBorders>
              <w:top w:val="single" w:color="000000" w:sz="2" w:space="0"/>
              <w:bottom w:val="single" w:color="000000" w:sz="2" w:space="0"/>
            </w:tcBorders>
          </w:tcPr>
          <w:p w14:paraId="6F37DADE">
            <w:pPr>
              <w:spacing w:line="360" w:lineRule="auto"/>
              <w:rPr>
                <w:rFonts w:ascii="宋体" w:hAnsi="宋体" w:cs="宋体"/>
                <w:color w:val="auto"/>
                <w:szCs w:val="21"/>
              </w:rPr>
            </w:pPr>
          </w:p>
        </w:tc>
        <w:tc>
          <w:tcPr>
            <w:tcW w:w="1524" w:type="dxa"/>
            <w:tcBorders>
              <w:top w:val="single" w:color="000000" w:sz="2" w:space="0"/>
              <w:bottom w:val="single" w:color="000000" w:sz="2" w:space="0"/>
            </w:tcBorders>
          </w:tcPr>
          <w:p w14:paraId="44E37A7C">
            <w:pPr>
              <w:spacing w:line="360" w:lineRule="auto"/>
              <w:rPr>
                <w:rFonts w:ascii="宋体" w:hAnsi="宋体" w:cs="宋体"/>
                <w:color w:val="auto"/>
                <w:szCs w:val="21"/>
              </w:rPr>
            </w:pPr>
          </w:p>
        </w:tc>
        <w:tc>
          <w:tcPr>
            <w:tcW w:w="962" w:type="dxa"/>
            <w:tcBorders>
              <w:top w:val="single" w:color="000000" w:sz="2" w:space="0"/>
              <w:bottom w:val="single" w:color="000000" w:sz="2" w:space="0"/>
            </w:tcBorders>
          </w:tcPr>
          <w:p w14:paraId="6B7ADE57">
            <w:pPr>
              <w:spacing w:line="360" w:lineRule="auto"/>
              <w:rPr>
                <w:rFonts w:ascii="宋体" w:hAnsi="宋体" w:cs="宋体"/>
                <w:color w:val="auto"/>
                <w:szCs w:val="21"/>
              </w:rPr>
            </w:pPr>
          </w:p>
        </w:tc>
        <w:tc>
          <w:tcPr>
            <w:tcW w:w="975" w:type="dxa"/>
            <w:tcBorders>
              <w:top w:val="single" w:color="000000" w:sz="2" w:space="0"/>
              <w:bottom w:val="single" w:color="000000" w:sz="2" w:space="0"/>
            </w:tcBorders>
          </w:tcPr>
          <w:p w14:paraId="58350256">
            <w:pPr>
              <w:spacing w:line="360" w:lineRule="auto"/>
              <w:rPr>
                <w:rFonts w:ascii="宋体" w:hAnsi="宋体" w:cs="宋体"/>
                <w:color w:val="auto"/>
                <w:szCs w:val="21"/>
              </w:rPr>
            </w:pPr>
          </w:p>
        </w:tc>
      </w:tr>
      <w:tr w14:paraId="688BC4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3" w:hRule="atLeast"/>
        </w:trPr>
        <w:tc>
          <w:tcPr>
            <w:tcW w:w="726" w:type="dxa"/>
            <w:tcBorders>
              <w:top w:val="single" w:color="000000" w:sz="2" w:space="0"/>
              <w:bottom w:val="single" w:color="000000" w:sz="2" w:space="0"/>
            </w:tcBorders>
          </w:tcPr>
          <w:p w14:paraId="5B25FF10">
            <w:pPr>
              <w:spacing w:before="195" w:line="360" w:lineRule="auto"/>
              <w:ind w:left="117"/>
              <w:rPr>
                <w:rFonts w:ascii="宋体" w:hAnsi="宋体" w:cs="宋体"/>
                <w:color w:val="auto"/>
                <w:szCs w:val="21"/>
              </w:rPr>
            </w:pPr>
            <w:r>
              <w:rPr>
                <w:rFonts w:hint="eastAsia" w:ascii="宋体" w:hAnsi="宋体" w:cs="宋体"/>
                <w:color w:val="auto"/>
                <w:spacing w:val="-6"/>
                <w:position w:val="1"/>
                <w:szCs w:val="21"/>
              </w:rPr>
              <w:t>.</w:t>
            </w:r>
            <w:r>
              <w:rPr>
                <w:rFonts w:hint="eastAsia" w:ascii="宋体" w:hAnsi="宋体" w:cs="宋体"/>
                <w:color w:val="auto"/>
                <w:spacing w:val="-4"/>
                <w:position w:val="1"/>
                <w:szCs w:val="21"/>
              </w:rPr>
              <w:t>..</w:t>
            </w:r>
          </w:p>
        </w:tc>
        <w:tc>
          <w:tcPr>
            <w:tcW w:w="1265" w:type="dxa"/>
            <w:tcBorders>
              <w:top w:val="single" w:color="000000" w:sz="2" w:space="0"/>
              <w:bottom w:val="single" w:color="000000" w:sz="2" w:space="0"/>
            </w:tcBorders>
          </w:tcPr>
          <w:p w14:paraId="05CB85EB">
            <w:pPr>
              <w:spacing w:line="360" w:lineRule="auto"/>
              <w:rPr>
                <w:rFonts w:ascii="宋体" w:hAnsi="宋体" w:cs="宋体"/>
                <w:color w:val="auto"/>
                <w:szCs w:val="21"/>
              </w:rPr>
            </w:pPr>
          </w:p>
        </w:tc>
        <w:tc>
          <w:tcPr>
            <w:tcW w:w="2073" w:type="dxa"/>
            <w:tcBorders>
              <w:top w:val="single" w:color="000000" w:sz="2" w:space="0"/>
              <w:bottom w:val="single" w:color="000000" w:sz="2" w:space="0"/>
            </w:tcBorders>
          </w:tcPr>
          <w:p w14:paraId="49915D8C">
            <w:pPr>
              <w:spacing w:line="360" w:lineRule="auto"/>
              <w:rPr>
                <w:rFonts w:ascii="宋体" w:hAnsi="宋体" w:cs="宋体"/>
                <w:color w:val="auto"/>
                <w:szCs w:val="21"/>
              </w:rPr>
            </w:pPr>
          </w:p>
        </w:tc>
        <w:tc>
          <w:tcPr>
            <w:tcW w:w="1086" w:type="dxa"/>
            <w:tcBorders>
              <w:top w:val="single" w:color="000000" w:sz="2" w:space="0"/>
              <w:bottom w:val="single" w:color="000000" w:sz="2" w:space="0"/>
            </w:tcBorders>
          </w:tcPr>
          <w:p w14:paraId="0A6811CB">
            <w:pPr>
              <w:spacing w:line="360" w:lineRule="auto"/>
              <w:rPr>
                <w:rFonts w:ascii="宋体" w:hAnsi="宋体" w:cs="宋体"/>
                <w:color w:val="auto"/>
                <w:szCs w:val="21"/>
              </w:rPr>
            </w:pPr>
          </w:p>
        </w:tc>
        <w:tc>
          <w:tcPr>
            <w:tcW w:w="1266" w:type="dxa"/>
            <w:tcBorders>
              <w:top w:val="single" w:color="000000" w:sz="2" w:space="0"/>
              <w:bottom w:val="single" w:color="000000" w:sz="2" w:space="0"/>
            </w:tcBorders>
          </w:tcPr>
          <w:p w14:paraId="6B193B9D">
            <w:pPr>
              <w:spacing w:line="360" w:lineRule="auto"/>
              <w:rPr>
                <w:rFonts w:ascii="宋体" w:hAnsi="宋体" w:cs="宋体"/>
                <w:color w:val="auto"/>
                <w:szCs w:val="21"/>
              </w:rPr>
            </w:pPr>
          </w:p>
        </w:tc>
        <w:tc>
          <w:tcPr>
            <w:tcW w:w="1524" w:type="dxa"/>
            <w:tcBorders>
              <w:top w:val="single" w:color="000000" w:sz="2" w:space="0"/>
              <w:bottom w:val="single" w:color="000000" w:sz="2" w:space="0"/>
            </w:tcBorders>
          </w:tcPr>
          <w:p w14:paraId="5AD4A688">
            <w:pPr>
              <w:spacing w:line="360" w:lineRule="auto"/>
              <w:rPr>
                <w:rFonts w:ascii="宋体" w:hAnsi="宋体" w:cs="宋体"/>
                <w:color w:val="auto"/>
                <w:szCs w:val="21"/>
              </w:rPr>
            </w:pPr>
          </w:p>
        </w:tc>
        <w:tc>
          <w:tcPr>
            <w:tcW w:w="962" w:type="dxa"/>
            <w:tcBorders>
              <w:top w:val="single" w:color="000000" w:sz="2" w:space="0"/>
              <w:bottom w:val="single" w:color="000000" w:sz="2" w:space="0"/>
            </w:tcBorders>
          </w:tcPr>
          <w:p w14:paraId="10C32D19">
            <w:pPr>
              <w:spacing w:line="360" w:lineRule="auto"/>
              <w:rPr>
                <w:rFonts w:ascii="宋体" w:hAnsi="宋体" w:cs="宋体"/>
                <w:color w:val="auto"/>
                <w:szCs w:val="21"/>
              </w:rPr>
            </w:pPr>
          </w:p>
        </w:tc>
        <w:tc>
          <w:tcPr>
            <w:tcW w:w="975" w:type="dxa"/>
            <w:tcBorders>
              <w:top w:val="single" w:color="000000" w:sz="2" w:space="0"/>
              <w:bottom w:val="single" w:color="000000" w:sz="2" w:space="0"/>
            </w:tcBorders>
          </w:tcPr>
          <w:p w14:paraId="68FDD9E3">
            <w:pPr>
              <w:spacing w:line="360" w:lineRule="auto"/>
              <w:rPr>
                <w:rFonts w:ascii="宋体" w:hAnsi="宋体" w:cs="宋体"/>
                <w:color w:val="auto"/>
                <w:szCs w:val="21"/>
              </w:rPr>
            </w:pPr>
          </w:p>
        </w:tc>
      </w:tr>
      <w:tr w14:paraId="4C0E18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9882" w:type="dxa"/>
            <w:gridSpan w:val="8"/>
            <w:tcBorders>
              <w:top w:val="single" w:color="000000" w:sz="2" w:space="0"/>
              <w:bottom w:val="nil"/>
            </w:tcBorders>
            <w:vAlign w:val="center"/>
          </w:tcPr>
          <w:p w14:paraId="6EB8DACD">
            <w:pPr>
              <w:tabs>
                <w:tab w:val="left" w:pos="4282"/>
              </w:tabs>
              <w:spacing w:before="2" w:line="360" w:lineRule="auto"/>
              <w:rPr>
                <w:rFonts w:ascii="宋体" w:hAnsi="宋体"/>
                <w:color w:val="auto"/>
                <w:szCs w:val="22"/>
              </w:rPr>
            </w:pPr>
            <w:r>
              <w:rPr>
                <w:rFonts w:hint="eastAsia" w:ascii="宋体" w:hAnsi="宋体"/>
                <w:color w:val="auto"/>
                <w:szCs w:val="22"/>
              </w:rPr>
              <w:t>报价合计（包含税费等所有费用）：</w:t>
            </w:r>
          </w:p>
          <w:p w14:paraId="22F9C685">
            <w:pPr>
              <w:tabs>
                <w:tab w:val="left" w:pos="4282"/>
              </w:tabs>
              <w:spacing w:before="2" w:line="360" w:lineRule="auto"/>
              <w:rPr>
                <w:rFonts w:ascii="宋体" w:hAnsi="宋体" w:cs="宋体"/>
                <w:color w:val="auto"/>
                <w:szCs w:val="21"/>
              </w:rPr>
            </w:pPr>
            <w:r>
              <w:rPr>
                <w:rFonts w:hint="eastAsia" w:ascii="宋体" w:hAnsi="宋体"/>
                <w:color w:val="auto"/>
                <w:szCs w:val="22"/>
              </w:rPr>
              <w:t>（大写）人民币                                       （</w:t>
            </w:r>
            <w:r>
              <w:rPr>
                <w:rFonts w:hint="eastAsia" w:ascii="宋体" w:hAnsi="宋体" w:cs="宋体"/>
                <w:color w:val="auto"/>
                <w:spacing w:val="3"/>
                <w:szCs w:val="21"/>
              </w:rPr>
              <w:t>¥</w:t>
            </w:r>
            <w:r>
              <w:rPr>
                <w:rFonts w:hint="eastAsia" w:ascii="宋体" w:hAnsi="宋体"/>
                <w:color w:val="auto"/>
                <w:szCs w:val="22"/>
              </w:rPr>
              <w:t xml:space="preserve">                元）</w:t>
            </w:r>
          </w:p>
        </w:tc>
      </w:tr>
      <w:tr w14:paraId="4E9D41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7" w:hRule="atLeast"/>
        </w:trPr>
        <w:tc>
          <w:tcPr>
            <w:tcW w:w="9882" w:type="dxa"/>
            <w:gridSpan w:val="8"/>
            <w:tcBorders>
              <w:top w:val="single" w:color="000000" w:sz="2" w:space="0"/>
              <w:bottom w:val="single" w:color="000000" w:sz="2" w:space="0"/>
            </w:tcBorders>
          </w:tcPr>
          <w:p w14:paraId="58D5A273">
            <w:pPr>
              <w:tabs>
                <w:tab w:val="left" w:pos="534"/>
              </w:tabs>
              <w:spacing w:before="3" w:line="360" w:lineRule="auto"/>
              <w:ind w:left="104"/>
              <w:rPr>
                <w:rFonts w:ascii="宋体" w:hAnsi="宋体" w:cs="宋体"/>
                <w:color w:val="auto"/>
                <w:szCs w:val="21"/>
              </w:rPr>
            </w:pPr>
            <w:r>
              <w:rPr>
                <w:rFonts w:hint="eastAsia" w:ascii="宋体" w:hAnsi="宋体" w:cs="宋体"/>
                <w:color w:val="auto"/>
                <w:szCs w:val="21"/>
                <w:u w:val="single"/>
              </w:rPr>
              <w:tab/>
            </w:r>
            <w:r>
              <w:rPr>
                <w:rFonts w:hint="eastAsia" w:ascii="宋体" w:hAnsi="宋体" w:cs="宋体"/>
                <w:color w:val="auto"/>
                <w:spacing w:val="3"/>
                <w:szCs w:val="21"/>
              </w:rPr>
              <w:t>分标(此处有分标时填写具体分标号，无分标时填写“无”)</w:t>
            </w:r>
          </w:p>
        </w:tc>
      </w:tr>
      <w:tr w14:paraId="251A4F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7" w:hRule="atLeast"/>
        </w:trPr>
        <w:tc>
          <w:tcPr>
            <w:tcW w:w="9882" w:type="dxa"/>
            <w:gridSpan w:val="8"/>
            <w:tcBorders>
              <w:top w:val="single" w:color="000000" w:sz="2" w:space="0"/>
              <w:bottom w:val="single" w:color="000000" w:sz="2" w:space="0"/>
            </w:tcBorders>
          </w:tcPr>
          <w:p w14:paraId="52F0FC19">
            <w:pPr>
              <w:spacing w:before="3" w:line="360" w:lineRule="auto"/>
              <w:ind w:left="111"/>
              <w:rPr>
                <w:rFonts w:hint="eastAsia" w:ascii="宋体" w:hAnsi="宋体" w:eastAsia="宋体" w:cs="宋体"/>
                <w:color w:val="auto"/>
                <w:szCs w:val="21"/>
                <w:lang w:eastAsia="zh-CN"/>
              </w:rPr>
            </w:pPr>
            <w:r>
              <w:rPr>
                <w:rFonts w:hint="eastAsia" w:ascii="宋体" w:hAnsi="宋体" w:cs="宋体"/>
                <w:color w:val="auto"/>
                <w:spacing w:val="-2"/>
                <w:szCs w:val="21"/>
              </w:rPr>
              <w:t>验收标</w:t>
            </w:r>
            <w:r>
              <w:rPr>
                <w:rFonts w:hint="eastAsia" w:ascii="宋体" w:hAnsi="宋体" w:cs="宋体"/>
                <w:color w:val="auto"/>
                <w:spacing w:val="-1"/>
                <w:szCs w:val="21"/>
              </w:rPr>
              <w:t>准：</w:t>
            </w:r>
            <w:r>
              <w:rPr>
                <w:rFonts w:hint="eastAsia" w:ascii="宋体" w:hAnsi="宋体" w:cs="宋体"/>
                <w:color w:val="auto"/>
                <w:spacing w:val="-1"/>
                <w:szCs w:val="21"/>
                <w:lang w:eastAsia="zh-CN"/>
              </w:rPr>
              <w:t>按照相关规定执行</w:t>
            </w:r>
          </w:p>
        </w:tc>
      </w:tr>
      <w:tr w14:paraId="02995A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9882" w:type="dxa"/>
            <w:gridSpan w:val="8"/>
            <w:tcBorders>
              <w:top w:val="single" w:color="000000" w:sz="2" w:space="0"/>
              <w:bottom w:val="single" w:color="000000" w:sz="2" w:space="0"/>
            </w:tcBorders>
          </w:tcPr>
          <w:p w14:paraId="74B4705E">
            <w:pPr>
              <w:spacing w:before="5" w:line="360" w:lineRule="auto"/>
              <w:ind w:left="110"/>
              <w:rPr>
                <w:rFonts w:ascii="宋体" w:hAnsi="宋体" w:cs="宋体"/>
                <w:color w:val="auto"/>
                <w:szCs w:val="21"/>
              </w:rPr>
            </w:pPr>
            <w:r>
              <w:rPr>
                <w:rFonts w:hint="eastAsia" w:ascii="宋体" w:hAnsi="宋体" w:cs="宋体"/>
                <w:color w:val="auto"/>
                <w:spacing w:val="-2"/>
                <w:szCs w:val="21"/>
              </w:rPr>
              <w:t>优</w:t>
            </w:r>
            <w:r>
              <w:rPr>
                <w:rFonts w:hint="eastAsia" w:ascii="宋体" w:hAnsi="宋体" w:cs="宋体"/>
                <w:color w:val="auto"/>
                <w:spacing w:val="-1"/>
                <w:szCs w:val="21"/>
              </w:rPr>
              <w:t>惠及其它：</w:t>
            </w:r>
          </w:p>
        </w:tc>
      </w:tr>
    </w:tbl>
    <w:p w14:paraId="0853FF05">
      <w:pPr>
        <w:spacing w:before="48" w:line="360" w:lineRule="auto"/>
        <w:ind w:left="501"/>
        <w:rPr>
          <w:rFonts w:ascii="宋体" w:hAnsi="宋体" w:cs="宋体"/>
          <w:color w:val="auto"/>
          <w:sz w:val="24"/>
        </w:rPr>
      </w:pPr>
      <w:r>
        <w:rPr>
          <w:rFonts w:hint="eastAsia" w:ascii="宋体" w:hAnsi="宋体" w:cs="宋体"/>
          <w:color w:val="auto"/>
          <w:spacing w:val="-21"/>
          <w:sz w:val="24"/>
        </w:rPr>
        <w:t>注</w:t>
      </w:r>
      <w:r>
        <w:rPr>
          <w:rFonts w:hint="eastAsia" w:ascii="宋体" w:hAnsi="宋体" w:cs="宋体"/>
          <w:color w:val="auto"/>
          <w:spacing w:val="-19"/>
          <w:sz w:val="24"/>
        </w:rPr>
        <w:t>：</w:t>
      </w:r>
    </w:p>
    <w:p w14:paraId="354DE625">
      <w:pPr>
        <w:rPr>
          <w:rFonts w:ascii="宋体" w:hAnsi="宋体"/>
          <w:color w:val="auto"/>
        </w:rPr>
      </w:pPr>
      <w:r>
        <w:rPr>
          <w:rFonts w:hint="eastAsia" w:ascii="宋体" w:hAnsi="宋体"/>
          <w:color w:val="auto"/>
        </w:rPr>
        <w:t>1、供应商需按本表格式填写，不得自行更改，也不得留空, 如有多分标，按分标分别提供响应报价表。</w:t>
      </w:r>
    </w:p>
    <w:p w14:paraId="03152814">
      <w:pPr>
        <w:rPr>
          <w:rFonts w:ascii="宋体" w:hAnsi="宋体"/>
          <w:color w:val="auto"/>
        </w:rPr>
      </w:pPr>
      <w:r>
        <w:rPr>
          <w:rFonts w:hint="eastAsia" w:ascii="宋体" w:hAnsi="宋体"/>
          <w:color w:val="auto"/>
        </w:rPr>
        <w:t>2、如为联合体响应的，“供应商名称”处必须列明联合体各方名称， 并标注联合体牵头人名称， 且盖章处须加盖联合体各方公章，否则其响应作无效响应处理。</w:t>
      </w:r>
    </w:p>
    <w:p w14:paraId="4BFBC63C">
      <w:pPr>
        <w:rPr>
          <w:rFonts w:ascii="宋体" w:hAnsi="宋体"/>
          <w:color w:val="auto"/>
        </w:rPr>
      </w:pPr>
      <w:r>
        <w:rPr>
          <w:rFonts w:hint="eastAsia" w:ascii="宋体" w:hAnsi="宋体"/>
          <w:color w:val="auto"/>
        </w:rPr>
        <w:t>3、以上表格要求细分项目及报价，在“具体服务内容”一栏中， 填写具体服务范围、服务时间、服务标准， 否则其响应作无效响应处理。</w:t>
      </w:r>
    </w:p>
    <w:p w14:paraId="7C270FA2">
      <w:pPr>
        <w:rPr>
          <w:rFonts w:ascii="宋体" w:hAnsi="宋体"/>
          <w:color w:val="auto"/>
        </w:rPr>
      </w:pPr>
      <w:r>
        <w:rPr>
          <w:rFonts w:hint="eastAsia" w:ascii="宋体" w:hAnsi="宋体"/>
          <w:color w:val="auto"/>
        </w:rPr>
        <w:t>4、特别提示：采购机构将对项目名称和项目编号，成交供应商名称、地址和成交金额， 主要成交标的的名称、服务范围、服务要求、服务时间、服务标准等予以公示</w:t>
      </w:r>
    </w:p>
    <w:p w14:paraId="440E4367">
      <w:pPr>
        <w:rPr>
          <w:rFonts w:ascii="宋体" w:hAnsi="宋体"/>
          <w:color w:val="auto"/>
        </w:rPr>
      </w:pPr>
      <w:r>
        <w:rPr>
          <w:rFonts w:hint="eastAsia" w:ascii="宋体" w:hAnsi="宋体"/>
          <w:color w:val="auto"/>
        </w:rPr>
        <w:t>5、符合采购文件中列明的可享受中小企业扶持政策的供应商， 请填写中小企业声明函。注：供应商提供的中小企业声明函内容不实的，属于提供虚假材料谋取中标、 成交，依照《中华人民共和国政府采购法》等国家有关规定追究相应责任。</w:t>
      </w:r>
    </w:p>
    <w:p w14:paraId="01F42BBA">
      <w:pPr>
        <w:spacing w:before="1" w:line="360" w:lineRule="auto"/>
        <w:ind w:left="4106"/>
        <w:rPr>
          <w:rFonts w:ascii="宋体" w:hAnsi="宋体" w:cs="宋体"/>
          <w:color w:val="auto"/>
          <w:szCs w:val="21"/>
        </w:rPr>
      </w:pPr>
      <w:r>
        <w:rPr>
          <w:rFonts w:hint="eastAsia" w:ascii="宋体" w:hAnsi="宋体" w:cs="宋体"/>
          <w:color w:val="auto"/>
          <w:spacing w:val="-8"/>
          <w:szCs w:val="21"/>
        </w:rPr>
        <w:t>供</w:t>
      </w:r>
      <w:r>
        <w:rPr>
          <w:rFonts w:hint="eastAsia" w:ascii="宋体" w:hAnsi="宋体" w:cs="宋体"/>
          <w:color w:val="auto"/>
          <w:spacing w:val="-7"/>
          <w:szCs w:val="21"/>
        </w:rPr>
        <w:t>应</w:t>
      </w:r>
      <w:r>
        <w:rPr>
          <w:rFonts w:hint="eastAsia" w:ascii="宋体" w:hAnsi="宋体" w:cs="宋体"/>
          <w:color w:val="auto"/>
          <w:spacing w:val="-4"/>
          <w:szCs w:val="21"/>
        </w:rPr>
        <w:t>商名称( 电子签章 )：</w:t>
      </w:r>
    </w:p>
    <w:p w14:paraId="55C2A624">
      <w:pPr>
        <w:spacing w:before="274" w:line="360" w:lineRule="auto"/>
        <w:ind w:left="6420"/>
        <w:rPr>
          <w:rFonts w:ascii="宋体" w:hAnsi="宋体" w:cs="宋体"/>
          <w:color w:val="auto"/>
          <w:sz w:val="18"/>
          <w:szCs w:val="21"/>
        </w:rPr>
      </w:pPr>
      <w:r>
        <w:rPr>
          <w:rFonts w:hint="eastAsia" w:ascii="宋体" w:hAnsi="宋体" w:cs="宋体"/>
          <w:color w:val="auto"/>
          <w:spacing w:val="-16"/>
          <w:szCs w:val="21"/>
        </w:rPr>
        <w:t>日</w:t>
      </w:r>
      <w:r>
        <w:rPr>
          <w:rFonts w:hint="eastAsia" w:ascii="宋体" w:hAnsi="宋体" w:cs="宋体"/>
          <w:color w:val="auto"/>
          <w:spacing w:val="-9"/>
          <w:szCs w:val="21"/>
        </w:rPr>
        <w:t>期</w:t>
      </w:r>
      <w:r>
        <w:rPr>
          <w:rFonts w:hint="eastAsia" w:ascii="宋体" w:hAnsi="宋体" w:cs="宋体"/>
          <w:color w:val="auto"/>
          <w:spacing w:val="-8"/>
          <w:szCs w:val="21"/>
        </w:rPr>
        <w:t>：   年  月   日</w:t>
      </w:r>
    </w:p>
    <w:p w14:paraId="70FA8CE0">
      <w:pPr>
        <w:spacing w:before="97" w:line="360" w:lineRule="auto"/>
        <w:ind w:right="20"/>
        <w:rPr>
          <w:rFonts w:ascii="宋体" w:hAnsi="宋体" w:cs="宋体"/>
          <w:color w:val="auto"/>
          <w:spacing w:val="16"/>
          <w:sz w:val="30"/>
          <w:szCs w:val="30"/>
        </w:rPr>
      </w:pPr>
      <w:r>
        <w:rPr>
          <w:rFonts w:hint="eastAsia" w:ascii="宋体" w:hAnsi="宋体" w:cs="宋体"/>
          <w:color w:val="auto"/>
          <w:spacing w:val="16"/>
          <w:sz w:val="30"/>
          <w:szCs w:val="30"/>
        </w:rPr>
        <w:t>三、中小企业声明函</w:t>
      </w:r>
    </w:p>
    <w:p w14:paraId="31E091EB">
      <w:pPr>
        <w:spacing w:line="500" w:lineRule="exact"/>
        <w:jc w:val="center"/>
        <w:rPr>
          <w:rFonts w:ascii="宋体" w:hAnsi="宋体" w:cs="宋体"/>
          <w:b/>
          <w:bCs/>
          <w:color w:val="auto"/>
          <w:kern w:val="0"/>
          <w:sz w:val="30"/>
          <w:szCs w:val="30"/>
        </w:rPr>
      </w:pPr>
      <w:r>
        <w:rPr>
          <w:rFonts w:hint="eastAsia" w:ascii="宋体" w:hAnsi="宋体" w:cs="宋体"/>
          <w:b/>
          <w:bCs/>
          <w:color w:val="auto"/>
          <w:kern w:val="0"/>
          <w:sz w:val="30"/>
          <w:szCs w:val="30"/>
        </w:rPr>
        <w:t>中小企业声明函（服务）</w:t>
      </w:r>
    </w:p>
    <w:p w14:paraId="57906A9A">
      <w:pPr>
        <w:rPr>
          <w:rFonts w:ascii="宋体" w:hAnsi="宋体"/>
          <w:color w:val="auto"/>
        </w:rPr>
      </w:pPr>
    </w:p>
    <w:p w14:paraId="4AE4AEAC">
      <w:pPr>
        <w:tabs>
          <w:tab w:val="left" w:pos="1065"/>
          <w:tab w:val="left" w:pos="6477"/>
        </w:tabs>
        <w:spacing w:line="360" w:lineRule="auto"/>
        <w:ind w:firstLine="480" w:firstLineChars="200"/>
        <w:rPr>
          <w:rFonts w:ascii="宋体" w:hAnsi="宋体" w:cs="宋体"/>
          <w:color w:val="auto"/>
          <w:sz w:val="24"/>
        </w:rPr>
      </w:pPr>
      <w:r>
        <w:rPr>
          <w:rFonts w:hint="eastAsia" w:ascii="宋体" w:hAnsi="宋体" w:cs="宋体"/>
          <w:color w:val="auto"/>
          <w:sz w:val="24"/>
        </w:rPr>
        <w:t>本公司（联合体）郑重声明，根据《政府采购促进中小企业发展管理办法》（财库﹝2020﹞46号）的规定，本公司（联合体）参加</w:t>
      </w:r>
      <w:r>
        <w:rPr>
          <w:rFonts w:hint="eastAsia" w:ascii="宋体" w:hAnsi="宋体" w:cs="宋体"/>
          <w:color w:val="auto"/>
          <w:sz w:val="24"/>
          <w:u w:val="single"/>
        </w:rPr>
        <w:t>    （单位名称）</w:t>
      </w:r>
      <w:r>
        <w:rPr>
          <w:rFonts w:hint="eastAsia" w:ascii="宋体" w:hAnsi="宋体" w:cs="宋体"/>
          <w:color w:val="auto"/>
          <w:sz w:val="24"/>
        </w:rPr>
        <w:t>的</w:t>
      </w:r>
      <w:r>
        <w:rPr>
          <w:rFonts w:hint="eastAsia" w:ascii="宋体" w:hAnsi="宋体" w:cs="宋体"/>
          <w:color w:val="auto"/>
          <w:sz w:val="24"/>
          <w:u w:val="single"/>
        </w:rPr>
        <w:t xml:space="preserve">    （项目名称） </w:t>
      </w:r>
      <w:r>
        <w:rPr>
          <w:rFonts w:hint="eastAsia" w:ascii="宋体" w:hAnsi="宋体" w:cs="宋体"/>
          <w:color w:val="auto"/>
          <w:sz w:val="24"/>
        </w:rPr>
        <w:t>采购活动，工程的施工单位全部为符合政策要求的中小企业（或者：服务全部由符合政策要求的中小企业承接）。相关企业（含联合体中的中小企业、签订分包意向协议的中小企业）的具体情况如下：</w:t>
      </w:r>
    </w:p>
    <w:p w14:paraId="7D006923">
      <w:pPr>
        <w:tabs>
          <w:tab w:val="left" w:pos="1065"/>
          <w:tab w:val="left" w:pos="6477"/>
        </w:tabs>
        <w:spacing w:line="360" w:lineRule="auto"/>
        <w:ind w:firstLine="480" w:firstLineChars="200"/>
        <w:rPr>
          <w:rFonts w:ascii="宋体" w:hAnsi="宋体" w:cs="宋体"/>
          <w:color w:val="auto"/>
          <w:sz w:val="24"/>
        </w:rPr>
      </w:pPr>
      <w:r>
        <w:rPr>
          <w:rFonts w:hint="eastAsia" w:ascii="宋体" w:hAnsi="宋体" w:cs="宋体"/>
          <w:color w:val="auto"/>
          <w:sz w:val="24"/>
        </w:rPr>
        <w:t>1.</w:t>
      </w:r>
      <w:r>
        <w:rPr>
          <w:rFonts w:hint="eastAsia" w:ascii="宋体" w:hAnsi="宋体" w:cs="宋体"/>
          <w:color w:val="auto"/>
          <w:sz w:val="24"/>
          <w:u w:val="single"/>
        </w:rPr>
        <w:t>   （标的名称）</w:t>
      </w:r>
      <w:r>
        <w:rPr>
          <w:rFonts w:hint="eastAsia" w:ascii="宋体" w:hAnsi="宋体" w:cs="宋体"/>
          <w:color w:val="auto"/>
          <w:sz w:val="24"/>
        </w:rPr>
        <w:t>，属于</w:t>
      </w:r>
      <w:r>
        <w:rPr>
          <w:rFonts w:hint="eastAsia" w:ascii="宋体" w:hAnsi="宋体" w:cs="宋体"/>
          <w:color w:val="auto"/>
          <w:sz w:val="24"/>
          <w:u w:val="single"/>
        </w:rPr>
        <w:t>    （采购文件中明确的所属行业）</w:t>
      </w:r>
      <w:r>
        <w:rPr>
          <w:rFonts w:hint="eastAsia" w:ascii="宋体" w:hAnsi="宋体" w:cs="宋体"/>
          <w:color w:val="auto"/>
          <w:sz w:val="24"/>
        </w:rPr>
        <w:t>；承建（承接）企业为</w:t>
      </w:r>
      <w:r>
        <w:rPr>
          <w:rFonts w:hint="eastAsia" w:ascii="宋体" w:hAnsi="宋体" w:cs="宋体"/>
          <w:color w:val="auto"/>
          <w:sz w:val="24"/>
          <w:u w:val="single"/>
        </w:rPr>
        <w:t>    （企业名称）</w:t>
      </w:r>
      <w:r>
        <w:rPr>
          <w:rFonts w:hint="eastAsia" w:ascii="宋体" w:hAnsi="宋体" w:cs="宋体"/>
          <w:color w:val="auto"/>
          <w:sz w:val="24"/>
        </w:rPr>
        <w:t>，从业人员</w:t>
      </w:r>
      <w:r>
        <w:rPr>
          <w:rFonts w:hint="eastAsia" w:ascii="宋体" w:hAnsi="宋体" w:cs="宋体"/>
          <w:color w:val="auto"/>
          <w:sz w:val="24"/>
          <w:u w:val="single"/>
        </w:rPr>
        <w:t>    </w:t>
      </w:r>
      <w:r>
        <w:rPr>
          <w:rFonts w:hint="eastAsia" w:ascii="宋体" w:hAnsi="宋体" w:cs="宋体"/>
          <w:color w:val="auto"/>
          <w:sz w:val="24"/>
        </w:rPr>
        <w:t>人，营业收入为</w:t>
      </w:r>
      <w:r>
        <w:rPr>
          <w:rFonts w:hint="eastAsia" w:ascii="宋体" w:hAnsi="宋体" w:cs="宋体"/>
          <w:color w:val="auto"/>
          <w:sz w:val="24"/>
          <w:u w:val="single"/>
        </w:rPr>
        <w:t>    </w:t>
      </w:r>
      <w:r>
        <w:rPr>
          <w:rFonts w:hint="eastAsia" w:ascii="宋体" w:hAnsi="宋体" w:cs="宋体"/>
          <w:color w:val="auto"/>
          <w:sz w:val="24"/>
        </w:rPr>
        <w:t>万元，资产总额为</w:t>
      </w:r>
      <w:r>
        <w:rPr>
          <w:rFonts w:hint="eastAsia" w:ascii="宋体" w:hAnsi="宋体" w:cs="宋体"/>
          <w:color w:val="auto"/>
          <w:sz w:val="24"/>
          <w:u w:val="single"/>
        </w:rPr>
        <w:t>    </w:t>
      </w:r>
      <w:r>
        <w:rPr>
          <w:rFonts w:hint="eastAsia" w:ascii="宋体" w:hAnsi="宋体" w:cs="宋体"/>
          <w:color w:val="auto"/>
          <w:sz w:val="24"/>
        </w:rPr>
        <w:t>万元，属于</w:t>
      </w:r>
      <w:r>
        <w:rPr>
          <w:rFonts w:hint="eastAsia" w:ascii="宋体" w:hAnsi="宋体" w:cs="宋体"/>
          <w:color w:val="auto"/>
          <w:sz w:val="24"/>
          <w:u w:val="single"/>
        </w:rPr>
        <w:t>     （中型企业、小型企业、微型企业）</w:t>
      </w:r>
      <w:r>
        <w:rPr>
          <w:rFonts w:hint="eastAsia" w:ascii="宋体" w:hAnsi="宋体" w:cs="宋体"/>
          <w:color w:val="auto"/>
          <w:sz w:val="24"/>
        </w:rPr>
        <w:t>；</w:t>
      </w:r>
    </w:p>
    <w:p w14:paraId="35ECC502">
      <w:pPr>
        <w:tabs>
          <w:tab w:val="left" w:pos="1065"/>
          <w:tab w:val="left" w:pos="6477"/>
        </w:tabs>
        <w:spacing w:line="360" w:lineRule="auto"/>
        <w:ind w:firstLine="480" w:firstLineChars="200"/>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u w:val="single"/>
        </w:rPr>
        <w:t>     （标的名称）</w:t>
      </w:r>
      <w:r>
        <w:rPr>
          <w:rFonts w:hint="eastAsia" w:ascii="宋体" w:hAnsi="宋体" w:cs="宋体"/>
          <w:color w:val="auto"/>
          <w:sz w:val="24"/>
        </w:rPr>
        <w:t>，属于</w:t>
      </w:r>
      <w:r>
        <w:rPr>
          <w:rFonts w:hint="eastAsia" w:ascii="宋体" w:hAnsi="宋体" w:cs="宋体"/>
          <w:color w:val="auto"/>
          <w:sz w:val="24"/>
          <w:u w:val="single"/>
        </w:rPr>
        <w:t>     （采购文件中明确的所属行业）</w:t>
      </w:r>
      <w:r>
        <w:rPr>
          <w:rFonts w:hint="eastAsia" w:ascii="宋体" w:hAnsi="宋体" w:cs="宋体"/>
          <w:color w:val="auto"/>
          <w:sz w:val="24"/>
        </w:rPr>
        <w:t>行业；制造商为</w:t>
      </w:r>
      <w:r>
        <w:rPr>
          <w:rFonts w:hint="eastAsia" w:ascii="宋体" w:hAnsi="宋体" w:cs="宋体"/>
          <w:color w:val="auto"/>
          <w:sz w:val="24"/>
          <w:u w:val="single"/>
        </w:rPr>
        <w:t>       （企业名称）</w:t>
      </w:r>
      <w:r>
        <w:rPr>
          <w:rFonts w:hint="eastAsia" w:ascii="宋体" w:hAnsi="宋体" w:cs="宋体"/>
          <w:color w:val="auto"/>
          <w:sz w:val="24"/>
        </w:rPr>
        <w:t>，从业人员</w:t>
      </w:r>
      <w:r>
        <w:rPr>
          <w:rFonts w:hint="eastAsia" w:ascii="宋体" w:hAnsi="宋体" w:cs="宋体"/>
          <w:color w:val="auto"/>
          <w:sz w:val="24"/>
          <w:u w:val="single"/>
        </w:rPr>
        <w:t>    </w:t>
      </w:r>
      <w:r>
        <w:rPr>
          <w:rFonts w:hint="eastAsia" w:ascii="宋体" w:hAnsi="宋体" w:cs="宋体"/>
          <w:color w:val="auto"/>
          <w:sz w:val="24"/>
        </w:rPr>
        <w:t>人，营业收入为</w:t>
      </w:r>
      <w:r>
        <w:rPr>
          <w:rFonts w:hint="eastAsia" w:ascii="宋体" w:hAnsi="宋体" w:cs="宋体"/>
          <w:color w:val="auto"/>
          <w:sz w:val="24"/>
          <w:u w:val="single"/>
        </w:rPr>
        <w:t>    </w:t>
      </w:r>
      <w:r>
        <w:rPr>
          <w:rFonts w:hint="eastAsia" w:ascii="宋体" w:hAnsi="宋体" w:cs="宋体"/>
          <w:color w:val="auto"/>
          <w:sz w:val="24"/>
        </w:rPr>
        <w:t>万元，资产总额为</w:t>
      </w:r>
      <w:r>
        <w:rPr>
          <w:rFonts w:hint="eastAsia" w:ascii="宋体" w:hAnsi="宋体" w:cs="宋体"/>
          <w:color w:val="auto"/>
          <w:sz w:val="24"/>
          <w:u w:val="single"/>
        </w:rPr>
        <w:t>   </w:t>
      </w:r>
      <w:r>
        <w:rPr>
          <w:rFonts w:hint="eastAsia" w:ascii="宋体" w:hAnsi="宋体" w:cs="宋体"/>
          <w:color w:val="auto"/>
          <w:sz w:val="24"/>
        </w:rPr>
        <w:t>万元，属于</w:t>
      </w:r>
      <w:r>
        <w:rPr>
          <w:rFonts w:hint="eastAsia" w:ascii="宋体" w:hAnsi="宋体" w:cs="宋体"/>
          <w:color w:val="auto"/>
          <w:sz w:val="24"/>
          <w:u w:val="single"/>
        </w:rPr>
        <w:t>     （中型企业、小型企业、微型企业）</w:t>
      </w:r>
      <w:r>
        <w:rPr>
          <w:rFonts w:hint="eastAsia" w:ascii="宋体" w:hAnsi="宋体" w:cs="宋体"/>
          <w:color w:val="auto"/>
          <w:sz w:val="24"/>
        </w:rPr>
        <w:t>；</w:t>
      </w:r>
    </w:p>
    <w:p w14:paraId="285AC7B3">
      <w:pPr>
        <w:spacing w:line="360" w:lineRule="auto"/>
        <w:ind w:left="142" w:right="142"/>
        <w:rPr>
          <w:rFonts w:ascii="宋体" w:hAnsi="宋体" w:cs="宋体"/>
          <w:color w:val="auto"/>
          <w:sz w:val="24"/>
        </w:rPr>
      </w:pPr>
      <w:r>
        <w:rPr>
          <w:rFonts w:hint="eastAsia" w:ascii="宋体" w:hAnsi="宋体" w:cs="宋体"/>
          <w:color w:val="auto"/>
          <w:sz w:val="24"/>
        </w:rPr>
        <w:t xml:space="preserve">…… </w:t>
      </w:r>
    </w:p>
    <w:p w14:paraId="3A1A244E">
      <w:pPr>
        <w:spacing w:line="360" w:lineRule="auto"/>
        <w:ind w:left="-405" w:leftChars="-193" w:right="142" w:firstLine="453" w:firstLineChars="189"/>
        <w:rPr>
          <w:rFonts w:ascii="宋体" w:hAnsi="宋体" w:cs="宋体"/>
          <w:color w:val="auto"/>
          <w:sz w:val="24"/>
        </w:rPr>
      </w:pPr>
      <w:r>
        <w:rPr>
          <w:rFonts w:hint="eastAsia" w:ascii="宋体" w:hAnsi="宋体" w:cs="宋体"/>
          <w:color w:val="auto"/>
          <w:sz w:val="24"/>
        </w:rPr>
        <w:t>以上企业，不属于大企业的分支机构，不存在控股股东为大企业的情形，也不存在与大企业的负责人为同一人的情形。</w:t>
      </w:r>
    </w:p>
    <w:p w14:paraId="71CB4016">
      <w:pPr>
        <w:spacing w:line="360" w:lineRule="auto"/>
        <w:ind w:left="-426" w:right="142" w:firstLine="567"/>
        <w:rPr>
          <w:rFonts w:ascii="宋体" w:hAnsi="宋体" w:cs="宋体"/>
          <w:color w:val="auto"/>
          <w:sz w:val="24"/>
        </w:rPr>
      </w:pPr>
      <w:r>
        <w:rPr>
          <w:rFonts w:hint="eastAsia" w:ascii="宋体" w:hAnsi="宋体" w:cs="宋体"/>
          <w:color w:val="auto"/>
          <w:sz w:val="24"/>
        </w:rPr>
        <w:t>本企业对上述声明内容的真实性负责。如有虚假，将依法承担相应责任。</w:t>
      </w:r>
    </w:p>
    <w:p w14:paraId="319FC98D">
      <w:pPr>
        <w:autoSpaceDE w:val="0"/>
        <w:autoSpaceDN w:val="0"/>
        <w:spacing w:line="360" w:lineRule="auto"/>
        <w:ind w:left="4335" w:leftChars="1950" w:hanging="240" w:hangingChars="100"/>
        <w:rPr>
          <w:rFonts w:ascii="宋体" w:hAnsi="宋体" w:cs="宋体"/>
          <w:color w:val="auto"/>
          <w:kern w:val="0"/>
          <w:sz w:val="24"/>
        </w:rPr>
      </w:pPr>
    </w:p>
    <w:p w14:paraId="46D835D5">
      <w:pPr>
        <w:autoSpaceDE w:val="0"/>
        <w:autoSpaceDN w:val="0"/>
        <w:spacing w:line="360" w:lineRule="auto"/>
        <w:ind w:left="4335" w:leftChars="1950" w:hanging="240" w:hangingChars="100"/>
        <w:rPr>
          <w:rFonts w:ascii="宋体" w:hAnsi="宋体" w:cs="宋体"/>
          <w:color w:val="auto"/>
          <w:kern w:val="0"/>
          <w:sz w:val="24"/>
        </w:rPr>
      </w:pPr>
      <w:r>
        <w:rPr>
          <w:rFonts w:hint="eastAsia" w:ascii="宋体" w:hAnsi="宋体" w:cs="宋体"/>
          <w:color w:val="auto"/>
          <w:kern w:val="0"/>
          <w:sz w:val="24"/>
        </w:rPr>
        <w:t>供应商名称（电子签章）：</w:t>
      </w:r>
    </w:p>
    <w:p w14:paraId="673F4673">
      <w:pPr>
        <w:autoSpaceDE w:val="0"/>
        <w:autoSpaceDN w:val="0"/>
        <w:spacing w:line="360" w:lineRule="auto"/>
        <w:ind w:firstLine="6480" w:firstLineChars="2700"/>
        <w:rPr>
          <w:rFonts w:ascii="宋体" w:hAnsi="宋体" w:cs="宋体"/>
          <w:color w:val="auto"/>
          <w:kern w:val="0"/>
          <w:sz w:val="24"/>
          <w:lang w:val="zh-CN"/>
        </w:rPr>
      </w:pPr>
      <w:r>
        <w:rPr>
          <w:rFonts w:hint="eastAsia" w:ascii="宋体" w:hAnsi="宋体" w:cs="宋体"/>
          <w:color w:val="auto"/>
          <w:kern w:val="0"/>
          <w:sz w:val="24"/>
          <w:lang w:val="zh-CN"/>
        </w:rPr>
        <w:t>日期：  年  月   日</w:t>
      </w:r>
    </w:p>
    <w:p w14:paraId="0F89613E">
      <w:pPr>
        <w:spacing w:line="360" w:lineRule="auto"/>
        <w:ind w:left="3960" w:right="1808"/>
        <w:rPr>
          <w:rFonts w:ascii="宋体" w:hAnsi="宋体" w:cs="宋体"/>
          <w:color w:val="auto"/>
        </w:rPr>
      </w:pPr>
    </w:p>
    <w:p w14:paraId="10228FDD">
      <w:pPr>
        <w:spacing w:line="360" w:lineRule="auto"/>
        <w:jc w:val="left"/>
        <w:rPr>
          <w:rFonts w:ascii="宋体" w:hAnsi="宋体" w:cs="宋体"/>
          <w:color w:val="auto"/>
          <w:kern w:val="0"/>
          <w:sz w:val="24"/>
        </w:rPr>
      </w:pPr>
      <w:r>
        <w:rPr>
          <w:rFonts w:hint="eastAsia" w:ascii="宋体" w:hAnsi="宋体" w:cs="宋体"/>
          <w:color w:val="auto"/>
          <w:sz w:val="24"/>
        </w:rPr>
        <w:t>注：享受《政府采购促进中小企业发展管理办法》（财库〔2020〕46号）规定的中小企业扶持政策的，采购人、采购代理机构应当随成交结果公开成交供应商的《中小企业声明函》。从业人员、营业收入、资产总额填报上一年度数据，无上一年度数据的新成立企业可不填报。</w:t>
      </w:r>
    </w:p>
    <w:p w14:paraId="625C3366">
      <w:pPr>
        <w:spacing w:before="143" w:line="360" w:lineRule="auto"/>
        <w:ind w:left="2432"/>
        <w:rPr>
          <w:rFonts w:ascii="宋体" w:hAnsi="宋体" w:cs="宋体"/>
          <w:color w:val="auto"/>
          <w:sz w:val="44"/>
          <w:szCs w:val="44"/>
        </w:rPr>
      </w:pPr>
      <w:r>
        <w:rPr>
          <w:rFonts w:ascii="宋体" w:hAnsi="宋体" w:cs="仿宋_GB2312"/>
          <w:color w:val="auto"/>
          <w:sz w:val="24"/>
        </w:rPr>
        <w:br w:type="page"/>
      </w:r>
      <w:r>
        <w:rPr>
          <w:rFonts w:hint="eastAsia" w:ascii="宋体" w:hAnsi="宋体" w:cs="宋体"/>
          <w:color w:val="auto"/>
          <w:spacing w:val="-4"/>
          <w:sz w:val="44"/>
          <w:szCs w:val="44"/>
        </w:rPr>
        <w:t>残疾人</w:t>
      </w:r>
      <w:r>
        <w:rPr>
          <w:rFonts w:hint="eastAsia" w:ascii="宋体" w:hAnsi="宋体" w:cs="宋体"/>
          <w:color w:val="auto"/>
          <w:spacing w:val="-3"/>
          <w:sz w:val="44"/>
          <w:szCs w:val="44"/>
        </w:rPr>
        <w:t>福</w:t>
      </w:r>
      <w:r>
        <w:rPr>
          <w:rFonts w:hint="eastAsia" w:ascii="宋体" w:hAnsi="宋体" w:cs="宋体"/>
          <w:color w:val="auto"/>
          <w:spacing w:val="-2"/>
          <w:sz w:val="44"/>
          <w:szCs w:val="44"/>
        </w:rPr>
        <w:t>利性单位声明函</w:t>
      </w:r>
    </w:p>
    <w:p w14:paraId="3DFC2A01">
      <w:pPr>
        <w:spacing w:line="360" w:lineRule="auto"/>
        <w:rPr>
          <w:rFonts w:ascii="宋体" w:hAnsi="宋体" w:cs="宋体"/>
          <w:color w:val="auto"/>
        </w:rPr>
      </w:pPr>
    </w:p>
    <w:p w14:paraId="096FD493">
      <w:pPr>
        <w:spacing w:before="78" w:line="360" w:lineRule="auto"/>
        <w:ind w:left="11" w:firstLine="480"/>
        <w:rPr>
          <w:rFonts w:ascii="宋体" w:hAnsi="宋体" w:cs="宋体"/>
          <w:color w:val="auto"/>
          <w:sz w:val="24"/>
        </w:rPr>
      </w:pPr>
      <w:r>
        <w:rPr>
          <w:rFonts w:hint="eastAsia" w:ascii="宋体" w:hAnsi="宋体" w:cs="宋体"/>
          <w:color w:val="auto"/>
          <w:spacing w:val="1"/>
          <w:sz w:val="24"/>
        </w:rPr>
        <w:t>本单位郑重声明，根据《财政部 民政部 中国残疾人联合会关</w:t>
      </w:r>
      <w:r>
        <w:rPr>
          <w:rFonts w:hint="eastAsia" w:ascii="宋体" w:hAnsi="宋体" w:cs="宋体"/>
          <w:color w:val="auto"/>
          <w:sz w:val="24"/>
        </w:rPr>
        <w:t xml:space="preserve">于促进残疾人就业政府采 </w:t>
      </w:r>
      <w:r>
        <w:rPr>
          <w:rFonts w:hint="eastAsia" w:ascii="宋体" w:hAnsi="宋体" w:cs="宋体"/>
          <w:color w:val="auto"/>
          <w:spacing w:val="-2"/>
          <w:sz w:val="24"/>
        </w:rPr>
        <w:t>购政策的通知》(财库〔2017〕141 号)的规定，本单位为符合条件的残疾人福利性单位，</w:t>
      </w:r>
      <w:r>
        <w:rPr>
          <w:rFonts w:hint="eastAsia" w:ascii="宋体" w:hAnsi="宋体" w:cs="宋体"/>
          <w:color w:val="auto"/>
          <w:sz w:val="24"/>
        </w:rPr>
        <w:t>且</w:t>
      </w:r>
      <w:r>
        <w:rPr>
          <w:rFonts w:hint="eastAsia" w:ascii="宋体" w:hAnsi="宋体" w:cs="宋体"/>
          <w:color w:val="auto"/>
          <w:spacing w:val="1"/>
          <w:sz w:val="24"/>
        </w:rPr>
        <w:t>本单位参加</w:t>
      </w:r>
      <w:r>
        <w:rPr>
          <w:rFonts w:hint="eastAsia" w:ascii="宋体" w:hAnsi="宋体" w:cs="宋体"/>
          <w:color w:val="auto"/>
          <w:spacing w:val="1"/>
          <w:sz w:val="24"/>
          <w:u w:val="single"/>
        </w:rPr>
        <w:t xml:space="preserve"> [项</w:t>
      </w:r>
      <w:r>
        <w:rPr>
          <w:rFonts w:hint="eastAsia" w:ascii="宋体" w:hAnsi="宋体" w:cs="宋体"/>
          <w:color w:val="auto"/>
          <w:sz w:val="24"/>
          <w:u w:val="single"/>
        </w:rPr>
        <w:t xml:space="preserve">目采购-采购人] </w:t>
      </w:r>
      <w:r>
        <w:rPr>
          <w:rFonts w:hint="eastAsia" w:ascii="宋体" w:hAnsi="宋体" w:cs="宋体"/>
          <w:color w:val="auto"/>
          <w:sz w:val="24"/>
        </w:rPr>
        <w:t>单位的</w:t>
      </w:r>
      <w:r>
        <w:rPr>
          <w:rFonts w:hint="eastAsia" w:ascii="宋体" w:hAnsi="宋体" w:cs="宋体"/>
          <w:color w:val="auto"/>
          <w:sz w:val="24"/>
          <w:u w:val="single"/>
        </w:rPr>
        <w:t xml:space="preserve"> [项目采购-项目名称]</w:t>
      </w:r>
      <w:r>
        <w:rPr>
          <w:rFonts w:hint="eastAsia" w:ascii="宋体" w:hAnsi="宋体" w:cs="宋体"/>
          <w:color w:val="auto"/>
          <w:sz w:val="24"/>
        </w:rPr>
        <w:t>项目采购活动由本单位</w:t>
      </w:r>
      <w:r>
        <w:rPr>
          <w:rFonts w:hint="eastAsia" w:ascii="宋体" w:hAnsi="宋体" w:cs="宋体"/>
          <w:color w:val="auto"/>
          <w:spacing w:val="-9"/>
          <w:sz w:val="24"/>
        </w:rPr>
        <w:t>提供服务。</w:t>
      </w:r>
    </w:p>
    <w:p w14:paraId="0DF0F824">
      <w:pPr>
        <w:spacing w:before="169" w:line="360" w:lineRule="auto"/>
        <w:ind w:left="491"/>
        <w:rPr>
          <w:rFonts w:ascii="宋体" w:hAnsi="宋体" w:cs="宋体"/>
          <w:color w:val="auto"/>
          <w:sz w:val="24"/>
        </w:rPr>
      </w:pPr>
      <w:r>
        <w:rPr>
          <w:rFonts w:hint="eastAsia" w:ascii="宋体" w:hAnsi="宋体" w:cs="宋体"/>
          <w:color w:val="auto"/>
          <w:spacing w:val="-1"/>
          <w:sz w:val="24"/>
        </w:rPr>
        <w:t>本单位对上述声明的真</w:t>
      </w:r>
      <w:r>
        <w:rPr>
          <w:rFonts w:hint="eastAsia" w:ascii="宋体" w:hAnsi="宋体" w:cs="宋体"/>
          <w:color w:val="auto"/>
          <w:sz w:val="24"/>
        </w:rPr>
        <w:t>实性负责。如有虚假，将依法承担相应责任。</w:t>
      </w:r>
    </w:p>
    <w:p w14:paraId="6F5E4F03">
      <w:pPr>
        <w:spacing w:line="360" w:lineRule="auto"/>
        <w:rPr>
          <w:rFonts w:ascii="宋体" w:hAnsi="宋体" w:cs="宋体"/>
          <w:color w:val="auto"/>
        </w:rPr>
      </w:pPr>
    </w:p>
    <w:p w14:paraId="3997B712">
      <w:pPr>
        <w:spacing w:line="360" w:lineRule="auto"/>
        <w:rPr>
          <w:rFonts w:ascii="宋体" w:hAnsi="宋体" w:cs="宋体"/>
          <w:color w:val="auto"/>
        </w:rPr>
      </w:pPr>
    </w:p>
    <w:p w14:paraId="7835EE88">
      <w:pPr>
        <w:spacing w:line="360" w:lineRule="auto"/>
        <w:rPr>
          <w:rFonts w:ascii="宋体" w:hAnsi="宋体" w:cs="宋体"/>
          <w:color w:val="auto"/>
        </w:rPr>
      </w:pPr>
    </w:p>
    <w:p w14:paraId="5C04261D">
      <w:pPr>
        <w:spacing w:line="360" w:lineRule="auto"/>
        <w:rPr>
          <w:rFonts w:ascii="宋体" w:hAnsi="宋体" w:cs="宋体"/>
          <w:color w:val="auto"/>
        </w:rPr>
      </w:pPr>
    </w:p>
    <w:p w14:paraId="6C60CD8D">
      <w:pPr>
        <w:spacing w:line="360" w:lineRule="auto"/>
        <w:rPr>
          <w:rFonts w:ascii="宋体" w:hAnsi="宋体" w:cs="宋体"/>
          <w:color w:val="auto"/>
        </w:rPr>
      </w:pPr>
    </w:p>
    <w:p w14:paraId="74A4D673">
      <w:pPr>
        <w:spacing w:before="78" w:line="360" w:lineRule="auto"/>
        <w:ind w:left="2411"/>
        <w:rPr>
          <w:rFonts w:ascii="宋体" w:hAnsi="宋体" w:cs="宋体"/>
          <w:color w:val="auto"/>
          <w:sz w:val="24"/>
        </w:rPr>
      </w:pPr>
      <w:r>
        <w:rPr>
          <w:rFonts w:hint="eastAsia" w:ascii="宋体" w:hAnsi="宋体" w:cs="宋体"/>
          <w:color w:val="auto"/>
          <w:spacing w:val="21"/>
          <w:sz w:val="24"/>
        </w:rPr>
        <w:t>供</w:t>
      </w:r>
      <w:r>
        <w:rPr>
          <w:rFonts w:hint="eastAsia" w:ascii="宋体" w:hAnsi="宋体" w:cs="宋体"/>
          <w:color w:val="auto"/>
          <w:spacing w:val="14"/>
          <w:sz w:val="24"/>
        </w:rPr>
        <w:t>应商名称(电子签章)：</w:t>
      </w:r>
    </w:p>
    <w:p w14:paraId="7F31A743">
      <w:pPr>
        <w:spacing w:before="166" w:line="360" w:lineRule="auto"/>
        <w:ind w:left="4372"/>
        <w:rPr>
          <w:rFonts w:ascii="宋体" w:hAnsi="宋体" w:cs="宋体"/>
          <w:color w:val="auto"/>
          <w:sz w:val="24"/>
        </w:rPr>
      </w:pPr>
      <w:r>
        <w:rPr>
          <w:rFonts w:hint="eastAsia" w:ascii="宋体" w:hAnsi="宋体" w:cs="宋体"/>
          <w:color w:val="auto"/>
          <w:spacing w:val="-6"/>
          <w:sz w:val="24"/>
        </w:rPr>
        <w:t>日  期：      年   月   日</w:t>
      </w:r>
    </w:p>
    <w:p w14:paraId="722D5C48">
      <w:pPr>
        <w:spacing w:line="360" w:lineRule="auto"/>
        <w:rPr>
          <w:rFonts w:ascii="宋体" w:hAnsi="宋体" w:cs="宋体"/>
          <w:color w:val="auto"/>
        </w:rPr>
      </w:pPr>
    </w:p>
    <w:p w14:paraId="2AF1DCB2">
      <w:pPr>
        <w:spacing w:line="360" w:lineRule="auto"/>
        <w:rPr>
          <w:rFonts w:ascii="宋体" w:hAnsi="宋体" w:cs="宋体"/>
          <w:color w:val="auto"/>
        </w:rPr>
      </w:pPr>
    </w:p>
    <w:p w14:paraId="73324316">
      <w:pPr>
        <w:spacing w:line="360" w:lineRule="auto"/>
        <w:rPr>
          <w:rFonts w:ascii="宋体" w:hAnsi="宋体" w:cs="宋体"/>
          <w:color w:val="auto"/>
        </w:rPr>
      </w:pPr>
    </w:p>
    <w:p w14:paraId="00FB2094">
      <w:pPr>
        <w:spacing w:line="360" w:lineRule="auto"/>
        <w:rPr>
          <w:rFonts w:ascii="宋体" w:hAnsi="宋体" w:cs="宋体"/>
          <w:color w:val="auto"/>
        </w:rPr>
      </w:pPr>
    </w:p>
    <w:p w14:paraId="4E12F994">
      <w:pPr>
        <w:spacing w:line="360" w:lineRule="auto"/>
        <w:rPr>
          <w:rFonts w:ascii="宋体" w:hAnsi="宋体" w:cs="宋体"/>
          <w:color w:val="auto"/>
        </w:rPr>
      </w:pPr>
    </w:p>
    <w:p w14:paraId="3913F3BD">
      <w:pPr>
        <w:spacing w:before="78" w:line="360" w:lineRule="auto"/>
        <w:ind w:left="10"/>
        <w:rPr>
          <w:rFonts w:ascii="宋体" w:hAnsi="宋体" w:cs="仿宋_GB2312"/>
          <w:color w:val="auto"/>
          <w:kern w:val="0"/>
          <w:sz w:val="24"/>
        </w:rPr>
      </w:pPr>
      <w:r>
        <w:rPr>
          <w:rFonts w:hint="eastAsia" w:ascii="宋体" w:hAnsi="宋体" w:cs="宋体"/>
          <w:color w:val="auto"/>
          <w:spacing w:val="-9"/>
          <w:sz w:val="24"/>
        </w:rPr>
        <w:t>注</w:t>
      </w:r>
      <w:r>
        <w:rPr>
          <w:rFonts w:hint="eastAsia" w:ascii="宋体" w:hAnsi="宋体" w:cs="宋体"/>
          <w:color w:val="auto"/>
          <w:spacing w:val="-5"/>
          <w:sz w:val="24"/>
        </w:rPr>
        <w:t>：请根据自己的真实情况出具《残疾人福利性单位声明函》。依法享受中小企业优惠政策的</w:t>
      </w:r>
      <w:r>
        <w:rPr>
          <w:rFonts w:hint="eastAsia" w:ascii="宋体" w:hAnsi="宋体" w:cs="宋体"/>
          <w:color w:val="auto"/>
          <w:sz w:val="24"/>
        </w:rPr>
        <w:t xml:space="preserve"> </w:t>
      </w:r>
      <w:r>
        <w:rPr>
          <w:rFonts w:hint="eastAsia" w:ascii="宋体" w:hAnsi="宋体" w:cs="宋体"/>
          <w:color w:val="auto"/>
          <w:spacing w:val="-4"/>
          <w:sz w:val="24"/>
        </w:rPr>
        <w:t>采购人或</w:t>
      </w:r>
      <w:r>
        <w:rPr>
          <w:rFonts w:hint="eastAsia" w:ascii="宋体" w:hAnsi="宋体" w:cs="宋体"/>
          <w:color w:val="auto"/>
          <w:spacing w:val="-2"/>
          <w:sz w:val="24"/>
        </w:rPr>
        <w:t>者采购代理机构在公告中标结果时，同时公告其《残疾人福利性单位声明函》， 接</w:t>
      </w:r>
      <w:r>
        <w:rPr>
          <w:rFonts w:hint="eastAsia" w:ascii="宋体" w:hAnsi="宋体" w:cs="宋体"/>
          <w:color w:val="auto"/>
          <w:sz w:val="24"/>
        </w:rPr>
        <w:t xml:space="preserve"> </w:t>
      </w:r>
      <w:r>
        <w:rPr>
          <w:rFonts w:hint="eastAsia" w:ascii="宋体" w:hAnsi="宋体" w:cs="宋体"/>
          <w:color w:val="auto"/>
          <w:spacing w:val="1"/>
          <w:sz w:val="24"/>
        </w:rPr>
        <w:t>受社会监督；根据《关于政府采购</w:t>
      </w:r>
      <w:r>
        <w:rPr>
          <w:rFonts w:hint="eastAsia" w:ascii="宋体" w:hAnsi="宋体" w:cs="宋体"/>
          <w:color w:val="auto"/>
          <w:sz w:val="24"/>
        </w:rPr>
        <w:t xml:space="preserve">支持监狱企业发展有关问题的通知》(财库[2014]68 号) </w:t>
      </w:r>
      <w:r>
        <w:rPr>
          <w:rFonts w:hint="eastAsia" w:ascii="宋体" w:hAnsi="宋体" w:cs="宋体"/>
          <w:color w:val="auto"/>
          <w:spacing w:val="1"/>
          <w:sz w:val="24"/>
        </w:rPr>
        <w:t>的规定，竞标人提供由省级以上监狱管理局、戒毒管理局 (含新疆生</w:t>
      </w:r>
      <w:r>
        <w:rPr>
          <w:rFonts w:hint="eastAsia" w:ascii="宋体" w:hAnsi="宋体" w:cs="宋体"/>
          <w:color w:val="auto"/>
          <w:sz w:val="24"/>
        </w:rPr>
        <w:t xml:space="preserve">产建设兵团) 出具的属 </w:t>
      </w:r>
      <w:r>
        <w:rPr>
          <w:rFonts w:hint="eastAsia" w:ascii="宋体" w:hAnsi="宋体" w:cs="宋体"/>
          <w:color w:val="auto"/>
          <w:spacing w:val="-10"/>
          <w:sz w:val="24"/>
        </w:rPr>
        <w:t>于监</w:t>
      </w:r>
      <w:r>
        <w:rPr>
          <w:rFonts w:hint="eastAsia" w:ascii="宋体" w:hAnsi="宋体" w:cs="宋体"/>
          <w:color w:val="auto"/>
          <w:spacing w:val="-9"/>
          <w:sz w:val="24"/>
        </w:rPr>
        <w:t>狱</w:t>
      </w:r>
      <w:r>
        <w:rPr>
          <w:rFonts w:hint="eastAsia" w:ascii="宋体" w:hAnsi="宋体" w:cs="宋体"/>
          <w:color w:val="auto"/>
          <w:spacing w:val="-5"/>
          <w:sz w:val="24"/>
        </w:rPr>
        <w:t>企业证明文件的， 视同为小型和微型企业。</w:t>
      </w:r>
    </w:p>
    <w:p w14:paraId="1E3845D9">
      <w:pPr>
        <w:pStyle w:val="13"/>
        <w:rPr>
          <w:rFonts w:ascii="宋体" w:hAnsi="宋体"/>
          <w:color w:val="auto"/>
        </w:rPr>
      </w:pPr>
    </w:p>
    <w:p w14:paraId="23C1848A">
      <w:pPr>
        <w:spacing w:before="143" w:line="360" w:lineRule="auto"/>
        <w:ind w:left="2432"/>
        <w:rPr>
          <w:rFonts w:ascii="宋体" w:hAnsi="宋体"/>
          <w:bCs/>
          <w:color w:val="auto"/>
          <w:sz w:val="32"/>
          <w:szCs w:val="32"/>
        </w:rPr>
      </w:pPr>
      <w:r>
        <w:rPr>
          <w:rFonts w:ascii="宋体" w:hAnsi="宋体" w:cs="宋体"/>
          <w:color w:val="auto"/>
          <w:spacing w:val="-4"/>
          <w:sz w:val="44"/>
          <w:szCs w:val="44"/>
        </w:rPr>
        <w:br w:type="page"/>
      </w:r>
      <w:bookmarkStart w:id="17" w:name="_Toc160712134"/>
      <w:r>
        <w:rPr>
          <w:rFonts w:hint="eastAsia" w:ascii="宋体" w:hAnsi="宋体"/>
          <w:b/>
          <w:bCs/>
          <w:color w:val="auto"/>
          <w:sz w:val="32"/>
          <w:szCs w:val="32"/>
        </w:rPr>
        <w:t>第五节 其他文书、文件格式</w:t>
      </w:r>
      <w:bookmarkEnd w:id="17"/>
    </w:p>
    <w:p w14:paraId="61A1A908">
      <w:pPr>
        <w:spacing w:line="520" w:lineRule="exact"/>
        <w:rPr>
          <w:rFonts w:ascii="宋体" w:hAnsi="宋体" w:cs="仿宋_GB2312"/>
          <w:color w:val="auto"/>
          <w:sz w:val="24"/>
        </w:rPr>
      </w:pPr>
    </w:p>
    <w:p w14:paraId="21224E35">
      <w:pPr>
        <w:jc w:val="center"/>
        <w:rPr>
          <w:rFonts w:ascii="宋体" w:hAnsi="宋体" w:cs="宋体"/>
          <w:b/>
          <w:bCs/>
          <w:color w:val="auto"/>
          <w:sz w:val="32"/>
          <w:szCs w:val="32"/>
        </w:rPr>
      </w:pPr>
      <w:r>
        <w:rPr>
          <w:rFonts w:hint="eastAsia" w:ascii="宋体" w:hAnsi="宋体" w:cs="宋体"/>
          <w:b/>
          <w:bCs/>
          <w:color w:val="auto"/>
          <w:sz w:val="32"/>
          <w:szCs w:val="32"/>
        </w:rPr>
        <w:t>知识产权合规性声明</w:t>
      </w:r>
    </w:p>
    <w:p w14:paraId="4261F770">
      <w:pPr>
        <w:rPr>
          <w:rFonts w:ascii="宋体" w:hAnsi="宋体" w:cs="仿宋_GB2312"/>
          <w:color w:val="auto"/>
          <w:sz w:val="30"/>
          <w:szCs w:val="30"/>
        </w:rPr>
      </w:pPr>
      <w:r>
        <w:rPr>
          <w:rFonts w:hint="eastAsia" w:ascii="宋体" w:hAnsi="宋体" w:cs="仿宋_GB2312"/>
          <w:color w:val="auto"/>
          <w:sz w:val="30"/>
          <w:szCs w:val="30"/>
        </w:rPr>
        <w:t xml:space="preserve">    </w:t>
      </w:r>
    </w:p>
    <w:p w14:paraId="772C3782">
      <w:pPr>
        <w:rPr>
          <w:rFonts w:ascii="宋体" w:hAnsi="宋体" w:cs="仿宋_GB2312"/>
          <w:color w:val="auto"/>
          <w:sz w:val="30"/>
          <w:szCs w:val="30"/>
        </w:rPr>
      </w:pPr>
      <w:r>
        <w:rPr>
          <w:rFonts w:hint="eastAsia" w:ascii="宋体" w:hAnsi="宋体" w:cs="仿宋_GB2312"/>
          <w:color w:val="auto"/>
          <w:sz w:val="30"/>
          <w:szCs w:val="30"/>
        </w:rPr>
        <w:t xml:space="preserve">    本</w:t>
      </w:r>
      <w:r>
        <w:rPr>
          <w:rFonts w:hint="eastAsia" w:ascii="宋体" w:hAnsi="宋体" w:cs="仿宋_GB2312"/>
          <w:color w:val="auto"/>
          <w:sz w:val="30"/>
          <w:szCs w:val="30"/>
          <w:u w:val="single"/>
        </w:rPr>
        <w:t>企业（单位）自</w:t>
      </w:r>
      <w:r>
        <w:rPr>
          <w:rFonts w:hint="eastAsia" w:ascii="宋体" w:hAnsi="宋体" w:cs="仿宋_GB2312"/>
          <w:color w:val="auto"/>
          <w:sz w:val="30"/>
          <w:szCs w:val="30"/>
        </w:rPr>
        <w:t>愿参与政府投资政府采购的</w:t>
      </w:r>
      <w:bookmarkStart w:id="18" w:name="PO_3000001868_PM002_14"/>
      <w:r>
        <w:rPr>
          <w:rFonts w:ascii="宋体" w:hAnsi="宋体" w:cs="仿宋_GB2312"/>
          <w:color w:val="auto"/>
          <w:sz w:val="30"/>
          <w:szCs w:val="30"/>
          <w:u w:val="single"/>
        </w:rPr>
        <w:t>[</w:t>
      </w:r>
      <w:r>
        <w:rPr>
          <w:rFonts w:hint="eastAsia" w:ascii="宋体" w:hAnsi="宋体" w:cs="仿宋_GB2312"/>
          <w:color w:val="auto"/>
          <w:sz w:val="30"/>
          <w:szCs w:val="30"/>
          <w:u w:val="single"/>
        </w:rPr>
        <w:t xml:space="preserve"> </w:t>
      </w:r>
      <w:r>
        <w:rPr>
          <w:rFonts w:ascii="宋体" w:hAnsi="宋体" w:cs="仿宋_GB2312"/>
          <w:color w:val="auto"/>
          <w:sz w:val="30"/>
          <w:szCs w:val="30"/>
          <w:u w:val="single"/>
        </w:rPr>
        <w:t xml:space="preserve">       </w:t>
      </w:r>
      <w:r>
        <w:rPr>
          <w:rFonts w:ascii="宋体" w:hAnsi="宋体" w:cs="仿宋_GB2312"/>
          <w:color w:val="auto"/>
          <w:sz w:val="30"/>
          <w:szCs w:val="30"/>
        </w:rPr>
        <w:t>]</w:t>
      </w:r>
      <w:bookmarkEnd w:id="18"/>
      <w:r>
        <w:rPr>
          <w:rFonts w:hint="eastAsia" w:ascii="宋体" w:hAnsi="宋体" w:cs="仿宋_GB2312"/>
          <w:color w:val="auto"/>
          <w:sz w:val="30"/>
          <w:szCs w:val="30"/>
        </w:rPr>
        <w:t>项目，</w:t>
      </w:r>
      <w:r>
        <w:rPr>
          <w:rFonts w:hint="eastAsia" w:ascii="宋体" w:hAnsi="宋体" w:cs="仿宋_GB2312"/>
          <w:b/>
          <w:bCs/>
          <w:color w:val="auto"/>
          <w:sz w:val="30"/>
          <w:szCs w:val="30"/>
        </w:rPr>
        <w:t>在此郑重承诺：</w:t>
      </w:r>
      <w:r>
        <w:rPr>
          <w:rFonts w:hint="eastAsia" w:ascii="宋体" w:hAnsi="宋体" w:cs="仿宋_GB2312"/>
          <w:color w:val="auto"/>
          <w:sz w:val="30"/>
          <w:szCs w:val="30"/>
        </w:rPr>
        <w:t>遵守中国知识产权法律、法规、规章、规范性文件及在中国适用的与知识产权有关的国际公约，所参与项目的知识产权明晰无争议，归属或技术来源正当合法。近三年在知识产权领域不存在违反法律、法规、规章及其他规范性文件的失信行为。所参与的项目不对其他单位及个人的知识产权构成侵权。如经核查确有违反上述承诺应遵守的行为，本企业</w:t>
      </w:r>
      <w:r>
        <w:rPr>
          <w:rFonts w:hint="eastAsia" w:ascii="宋体" w:hAnsi="宋体" w:cs="仿宋_GB2312"/>
          <w:color w:val="auto"/>
          <w:sz w:val="30"/>
          <w:szCs w:val="30"/>
          <w:u w:val="single"/>
        </w:rPr>
        <w:t>（单位名称）</w:t>
      </w:r>
      <w:r>
        <w:rPr>
          <w:rFonts w:hint="eastAsia" w:ascii="宋体" w:hAnsi="宋体" w:cs="仿宋_GB2312"/>
          <w:color w:val="auto"/>
          <w:sz w:val="30"/>
          <w:szCs w:val="30"/>
        </w:rPr>
        <w:t>将承担由此产生的全部责任。</w:t>
      </w:r>
    </w:p>
    <w:p w14:paraId="2ACECA61">
      <w:pPr>
        <w:snapToGrid w:val="0"/>
        <w:spacing w:line="360" w:lineRule="auto"/>
        <w:ind w:left="5137" w:leftChars="1736" w:hanging="1491" w:hangingChars="825"/>
        <w:rPr>
          <w:rFonts w:ascii="宋体" w:hAnsi="宋体"/>
          <w:b/>
          <w:color w:val="auto"/>
          <w:sz w:val="18"/>
          <w:szCs w:val="18"/>
        </w:rPr>
      </w:pPr>
      <w:r>
        <w:rPr>
          <w:rFonts w:hint="eastAsia" w:ascii="宋体" w:hAnsi="宋体"/>
          <w:b/>
          <w:color w:val="auto"/>
          <w:sz w:val="18"/>
          <w:szCs w:val="18"/>
        </w:rPr>
        <w:t xml:space="preserve">           </w:t>
      </w:r>
    </w:p>
    <w:p w14:paraId="4041ED32">
      <w:pPr>
        <w:snapToGrid w:val="0"/>
        <w:spacing w:line="360" w:lineRule="auto"/>
        <w:ind w:left="5137" w:leftChars="1736" w:hanging="1491" w:hangingChars="825"/>
        <w:rPr>
          <w:rFonts w:ascii="宋体" w:hAnsi="宋体"/>
          <w:b/>
          <w:color w:val="auto"/>
          <w:sz w:val="18"/>
          <w:szCs w:val="18"/>
        </w:rPr>
      </w:pPr>
    </w:p>
    <w:p w14:paraId="71AA5235">
      <w:pPr>
        <w:snapToGrid w:val="0"/>
        <w:spacing w:line="360" w:lineRule="auto"/>
        <w:ind w:left="5137" w:leftChars="1736" w:hanging="1491" w:hangingChars="825"/>
        <w:rPr>
          <w:rFonts w:ascii="宋体" w:hAnsi="宋体"/>
          <w:b/>
          <w:color w:val="auto"/>
          <w:sz w:val="18"/>
          <w:szCs w:val="18"/>
        </w:rPr>
      </w:pPr>
    </w:p>
    <w:p w14:paraId="3E026A00">
      <w:pPr>
        <w:snapToGrid w:val="0"/>
        <w:spacing w:line="360" w:lineRule="auto"/>
        <w:ind w:left="5137" w:leftChars="1736" w:hanging="1491" w:hangingChars="825"/>
        <w:rPr>
          <w:rFonts w:ascii="宋体" w:hAnsi="宋体"/>
          <w:b/>
          <w:color w:val="auto"/>
          <w:sz w:val="18"/>
          <w:szCs w:val="18"/>
        </w:rPr>
      </w:pPr>
    </w:p>
    <w:p w14:paraId="34E50064">
      <w:pPr>
        <w:snapToGrid w:val="0"/>
        <w:spacing w:line="360" w:lineRule="auto"/>
        <w:ind w:left="5137" w:leftChars="1736" w:hanging="1491" w:hangingChars="825"/>
        <w:rPr>
          <w:rFonts w:ascii="宋体" w:hAnsi="宋体" w:cs="仿宋_GB2312"/>
          <w:color w:val="auto"/>
          <w:kern w:val="0"/>
          <w:sz w:val="24"/>
        </w:rPr>
      </w:pPr>
      <w:r>
        <w:rPr>
          <w:rFonts w:hint="eastAsia" w:ascii="宋体" w:hAnsi="宋体"/>
          <w:b/>
          <w:color w:val="auto"/>
          <w:sz w:val="18"/>
          <w:szCs w:val="18"/>
        </w:rPr>
        <w:t xml:space="preserve">      </w:t>
      </w:r>
      <w:r>
        <w:rPr>
          <w:rFonts w:hint="eastAsia" w:ascii="宋体" w:hAnsi="宋体" w:cs="仿宋_GB2312"/>
          <w:color w:val="auto"/>
          <w:kern w:val="0"/>
          <w:sz w:val="24"/>
          <w:lang w:val="zh-CN"/>
        </w:rPr>
        <w:t>供应商名称(电子签章)：</w:t>
      </w:r>
    </w:p>
    <w:p w14:paraId="5A79D29D">
      <w:pPr>
        <w:snapToGrid w:val="0"/>
        <w:spacing w:line="360" w:lineRule="auto"/>
        <w:ind w:firstLine="5160" w:firstLineChars="2150"/>
        <w:rPr>
          <w:rFonts w:ascii="宋体" w:hAnsi="宋体" w:cs="仿宋_GB2312"/>
          <w:color w:val="auto"/>
          <w:kern w:val="0"/>
          <w:sz w:val="24"/>
          <w:lang w:val="zh-CN"/>
        </w:rPr>
      </w:pPr>
      <w:r>
        <w:rPr>
          <w:rFonts w:hint="eastAsia" w:ascii="宋体" w:hAnsi="宋体" w:cs="仿宋_GB2312"/>
          <w:color w:val="auto"/>
          <w:kern w:val="0"/>
          <w:sz w:val="24"/>
          <w:lang w:val="zh-CN"/>
        </w:rPr>
        <w:t>日期</w:t>
      </w:r>
      <w:r>
        <w:rPr>
          <w:rFonts w:hint="eastAsia" w:ascii="宋体" w:hAnsi="宋体" w:cs="仿宋_GB2312"/>
          <w:color w:val="auto"/>
          <w:kern w:val="0"/>
          <w:sz w:val="24"/>
        </w:rPr>
        <w:t xml:space="preserve">：  年  </w:t>
      </w:r>
      <w:r>
        <w:rPr>
          <w:rFonts w:hint="eastAsia" w:ascii="宋体" w:hAnsi="宋体" w:cs="仿宋_GB2312"/>
          <w:color w:val="auto"/>
          <w:kern w:val="0"/>
          <w:sz w:val="24"/>
          <w:lang w:val="zh-CN"/>
        </w:rPr>
        <w:t>月</w:t>
      </w:r>
      <w:r>
        <w:rPr>
          <w:rFonts w:hint="eastAsia" w:ascii="宋体" w:hAnsi="宋体" w:cs="仿宋_GB2312"/>
          <w:color w:val="auto"/>
          <w:kern w:val="0"/>
          <w:sz w:val="24"/>
        </w:rPr>
        <w:t xml:space="preserve">   </w:t>
      </w:r>
      <w:r>
        <w:rPr>
          <w:rFonts w:hint="eastAsia" w:ascii="宋体" w:hAnsi="宋体" w:cs="仿宋_GB2312"/>
          <w:color w:val="auto"/>
          <w:kern w:val="0"/>
          <w:sz w:val="24"/>
          <w:lang w:val="zh-CN"/>
        </w:rPr>
        <w:t>日</w:t>
      </w:r>
    </w:p>
    <w:p w14:paraId="0229D0EA">
      <w:pPr>
        <w:spacing w:line="360" w:lineRule="auto"/>
        <w:rPr>
          <w:rFonts w:ascii="宋体" w:hAnsi="宋体" w:cs="宋体"/>
          <w:color w:val="auto"/>
        </w:rPr>
        <w:sectPr>
          <w:pgSz w:w="11905" w:h="16838"/>
          <w:pgMar w:top="1417" w:right="1134" w:bottom="1417" w:left="1100" w:header="703" w:footer="703" w:gutter="0"/>
          <w:cols w:space="720" w:num="1"/>
        </w:sectPr>
      </w:pPr>
    </w:p>
    <w:p w14:paraId="09E2BCA8">
      <w:pPr>
        <w:spacing w:line="360" w:lineRule="auto"/>
        <w:rPr>
          <w:rFonts w:ascii="宋体" w:hAnsi="宋体" w:cs="宋体"/>
          <w:color w:val="auto"/>
        </w:rPr>
      </w:pPr>
    </w:p>
    <w:p w14:paraId="7BD66738">
      <w:pPr>
        <w:spacing w:before="143" w:line="360" w:lineRule="auto"/>
        <w:ind w:left="3079"/>
        <w:outlineLvl w:val="0"/>
        <w:rPr>
          <w:rFonts w:ascii="宋体" w:hAnsi="宋体" w:cs="宋体"/>
          <w:color w:val="auto"/>
          <w:sz w:val="44"/>
          <w:szCs w:val="44"/>
        </w:rPr>
      </w:pPr>
      <w:bookmarkStart w:id="19" w:name="_Toc139"/>
      <w:r>
        <w:rPr>
          <w:rFonts w:hint="eastAsia" w:ascii="宋体" w:hAnsi="宋体" w:cs="宋体"/>
          <w:color w:val="auto"/>
          <w:spacing w:val="-2"/>
          <w:sz w:val="44"/>
          <w:szCs w:val="44"/>
        </w:rPr>
        <w:t xml:space="preserve">第六章 </w:t>
      </w:r>
      <w:r>
        <w:rPr>
          <w:rFonts w:hint="eastAsia" w:ascii="宋体" w:hAnsi="宋体" w:cs="宋体"/>
          <w:color w:val="auto"/>
          <w:spacing w:val="-1"/>
          <w:sz w:val="44"/>
          <w:szCs w:val="44"/>
        </w:rPr>
        <w:t xml:space="preserve"> 合同文本</w:t>
      </w:r>
      <w:bookmarkEnd w:id="19"/>
    </w:p>
    <w:p w14:paraId="25BB5217">
      <w:pPr>
        <w:spacing w:line="360" w:lineRule="auto"/>
        <w:rPr>
          <w:rFonts w:ascii="宋体" w:hAnsi="宋体" w:cs="宋体"/>
          <w:color w:val="auto"/>
        </w:rPr>
      </w:pPr>
    </w:p>
    <w:p w14:paraId="7B734604">
      <w:pPr>
        <w:spacing w:line="360" w:lineRule="auto"/>
        <w:rPr>
          <w:rFonts w:ascii="宋体" w:hAnsi="宋体" w:cs="宋体"/>
          <w:color w:val="auto"/>
        </w:rPr>
      </w:pPr>
    </w:p>
    <w:p w14:paraId="385EA68F">
      <w:pPr>
        <w:spacing w:line="360" w:lineRule="auto"/>
        <w:rPr>
          <w:rFonts w:ascii="宋体" w:hAnsi="宋体" w:cs="宋体"/>
          <w:color w:val="auto"/>
        </w:rPr>
      </w:pPr>
    </w:p>
    <w:p w14:paraId="74DCED57">
      <w:pPr>
        <w:spacing w:before="78" w:line="360" w:lineRule="auto"/>
        <w:ind w:left="27"/>
        <w:rPr>
          <w:rFonts w:ascii="宋体" w:hAnsi="宋体" w:cs="宋体"/>
          <w:color w:val="auto"/>
          <w:sz w:val="24"/>
        </w:rPr>
      </w:pPr>
      <w:r>
        <w:rPr>
          <w:rFonts w:hint="eastAsia" w:ascii="宋体" w:hAnsi="宋体" w:cs="宋体"/>
          <w:color w:val="auto"/>
          <w:spacing w:val="-12"/>
          <w:sz w:val="24"/>
        </w:rPr>
        <w:br w:type="page"/>
      </w:r>
      <w:r>
        <w:rPr>
          <w:rFonts w:hint="eastAsia" w:ascii="宋体" w:hAnsi="宋体" w:cs="宋体"/>
          <w:color w:val="auto"/>
          <w:spacing w:val="-12"/>
          <w:sz w:val="24"/>
        </w:rPr>
        <w:t>“</w:t>
      </w:r>
      <w:r>
        <w:rPr>
          <w:rFonts w:hint="eastAsia" w:ascii="宋体" w:hAnsi="宋体" w:cs="宋体"/>
          <w:color w:val="auto"/>
          <w:spacing w:val="-8"/>
          <w:sz w:val="24"/>
        </w:rPr>
        <w:t>政</w:t>
      </w:r>
      <w:r>
        <w:rPr>
          <w:rFonts w:hint="eastAsia" w:ascii="宋体" w:hAnsi="宋体" w:cs="宋体"/>
          <w:color w:val="auto"/>
          <w:spacing w:val="-6"/>
          <w:sz w:val="24"/>
        </w:rPr>
        <w:t>采云”平台合同编号：</w:t>
      </w:r>
    </w:p>
    <w:p w14:paraId="36035792">
      <w:pPr>
        <w:spacing w:before="77" w:line="360" w:lineRule="auto"/>
        <w:ind w:left="2248"/>
        <w:rPr>
          <w:rFonts w:ascii="宋体" w:hAnsi="宋体" w:cs="宋体"/>
          <w:color w:val="auto"/>
          <w:spacing w:val="-1"/>
          <w:sz w:val="52"/>
          <w:szCs w:val="52"/>
        </w:rPr>
      </w:pPr>
    </w:p>
    <w:p w14:paraId="33206695">
      <w:pPr>
        <w:spacing w:before="77" w:line="360" w:lineRule="auto"/>
        <w:ind w:left="2248"/>
        <w:rPr>
          <w:rFonts w:ascii="宋体" w:hAnsi="宋体" w:cs="宋体"/>
          <w:color w:val="auto"/>
          <w:spacing w:val="-1"/>
          <w:sz w:val="52"/>
          <w:szCs w:val="52"/>
        </w:rPr>
      </w:pPr>
    </w:p>
    <w:p w14:paraId="54C0EF4D">
      <w:pPr>
        <w:spacing w:before="77" w:line="360" w:lineRule="auto"/>
        <w:ind w:left="2248"/>
        <w:rPr>
          <w:rFonts w:ascii="宋体" w:hAnsi="宋体" w:cs="宋体"/>
          <w:color w:val="auto"/>
          <w:sz w:val="52"/>
          <w:szCs w:val="52"/>
        </w:rPr>
      </w:pPr>
      <w:r>
        <w:rPr>
          <w:rFonts w:hint="eastAsia" w:ascii="宋体" w:hAnsi="宋体" w:cs="宋体"/>
          <w:color w:val="auto"/>
          <w:spacing w:val="-1"/>
          <w:sz w:val="52"/>
          <w:szCs w:val="52"/>
        </w:rPr>
        <w:t>南 宁 市 政 府 采</w:t>
      </w:r>
      <w:r>
        <w:rPr>
          <w:rFonts w:hint="eastAsia" w:ascii="宋体" w:hAnsi="宋体" w:cs="宋体"/>
          <w:color w:val="auto"/>
          <w:sz w:val="52"/>
          <w:szCs w:val="52"/>
        </w:rPr>
        <w:t xml:space="preserve"> 购</w:t>
      </w:r>
    </w:p>
    <w:p w14:paraId="52FBB1CD">
      <w:pPr>
        <w:spacing w:line="360" w:lineRule="auto"/>
        <w:rPr>
          <w:rFonts w:ascii="宋体" w:hAnsi="宋体" w:cs="宋体"/>
          <w:color w:val="auto"/>
        </w:rPr>
      </w:pPr>
    </w:p>
    <w:p w14:paraId="521524C7">
      <w:pPr>
        <w:spacing w:line="360" w:lineRule="auto"/>
        <w:rPr>
          <w:rFonts w:ascii="宋体" w:hAnsi="宋体" w:cs="宋体"/>
          <w:color w:val="auto"/>
        </w:rPr>
      </w:pPr>
    </w:p>
    <w:p w14:paraId="48433A54">
      <w:pPr>
        <w:spacing w:line="360" w:lineRule="auto"/>
        <w:rPr>
          <w:rFonts w:ascii="宋体" w:hAnsi="宋体" w:cs="宋体"/>
          <w:color w:val="auto"/>
        </w:rPr>
      </w:pPr>
    </w:p>
    <w:p w14:paraId="4E95FFED">
      <w:pPr>
        <w:spacing w:line="360" w:lineRule="auto"/>
        <w:rPr>
          <w:rFonts w:ascii="宋体" w:hAnsi="宋体" w:cs="宋体"/>
          <w:color w:val="auto"/>
        </w:rPr>
      </w:pPr>
    </w:p>
    <w:p w14:paraId="31AB3677">
      <w:pPr>
        <w:tabs>
          <w:tab w:val="left" w:pos="1850"/>
        </w:tabs>
        <w:spacing w:before="143" w:line="360" w:lineRule="auto"/>
        <w:ind w:left="-4" w:leftChars="-2" w:firstLine="4"/>
        <w:jc w:val="center"/>
        <w:rPr>
          <w:rFonts w:ascii="宋体" w:hAnsi="宋体" w:cs="宋体"/>
          <w:color w:val="auto"/>
          <w:sz w:val="44"/>
          <w:szCs w:val="44"/>
        </w:rPr>
      </w:pPr>
      <w:r>
        <w:rPr>
          <w:rFonts w:hint="eastAsia" w:ascii="宋体" w:hAnsi="宋体" w:cs="宋体"/>
          <w:color w:val="auto"/>
          <w:spacing w:val="-12"/>
          <w:sz w:val="44"/>
          <w:szCs w:val="44"/>
          <w:u w:val="single"/>
        </w:rPr>
        <w:t>移动流量与短信租用服务采购</w:t>
      </w:r>
      <w:r>
        <w:rPr>
          <w:rFonts w:hint="eastAsia" w:ascii="宋体" w:hAnsi="宋体" w:cs="宋体"/>
          <w:color w:val="auto"/>
          <w:spacing w:val="-12"/>
          <w:sz w:val="44"/>
          <w:szCs w:val="44"/>
        </w:rPr>
        <w:t>合同</w:t>
      </w:r>
    </w:p>
    <w:p w14:paraId="6C6F51EC">
      <w:pPr>
        <w:spacing w:line="360" w:lineRule="auto"/>
        <w:rPr>
          <w:rFonts w:ascii="宋体" w:hAnsi="宋体" w:cs="宋体"/>
          <w:color w:val="auto"/>
        </w:rPr>
      </w:pPr>
    </w:p>
    <w:p w14:paraId="185C3414">
      <w:pPr>
        <w:spacing w:line="360" w:lineRule="auto"/>
        <w:rPr>
          <w:rFonts w:ascii="宋体" w:hAnsi="宋体" w:cs="宋体"/>
          <w:color w:val="auto"/>
        </w:rPr>
      </w:pPr>
    </w:p>
    <w:p w14:paraId="2E092466">
      <w:pPr>
        <w:spacing w:line="360" w:lineRule="auto"/>
        <w:rPr>
          <w:rFonts w:ascii="宋体" w:hAnsi="宋体" w:cs="宋体"/>
          <w:color w:val="auto"/>
        </w:rPr>
      </w:pPr>
    </w:p>
    <w:p w14:paraId="3855FD3E">
      <w:pPr>
        <w:spacing w:line="360" w:lineRule="auto"/>
        <w:rPr>
          <w:rFonts w:ascii="宋体" w:hAnsi="宋体" w:cs="宋体"/>
          <w:color w:val="auto"/>
        </w:rPr>
      </w:pPr>
    </w:p>
    <w:p w14:paraId="5E8F11A9">
      <w:pPr>
        <w:spacing w:before="117" w:line="360" w:lineRule="auto"/>
        <w:ind w:left="2010"/>
        <w:rPr>
          <w:rFonts w:ascii="宋体" w:hAnsi="宋体" w:cs="宋体"/>
          <w:color w:val="auto"/>
          <w:sz w:val="36"/>
          <w:szCs w:val="36"/>
        </w:rPr>
      </w:pPr>
      <w:r>
        <w:rPr>
          <w:rFonts w:hint="eastAsia" w:ascii="宋体" w:hAnsi="宋体" w:cs="宋体"/>
          <w:color w:val="auto"/>
          <w:spacing w:val="-21"/>
          <w:sz w:val="36"/>
          <w:szCs w:val="36"/>
        </w:rPr>
        <w:t>采</w:t>
      </w:r>
      <w:r>
        <w:rPr>
          <w:rFonts w:hint="eastAsia" w:ascii="宋体" w:hAnsi="宋体" w:cs="宋体"/>
          <w:color w:val="auto"/>
          <w:spacing w:val="-16"/>
          <w:sz w:val="36"/>
          <w:szCs w:val="36"/>
        </w:rPr>
        <w:t xml:space="preserve">购项目编号： </w:t>
      </w:r>
      <w:r>
        <w:rPr>
          <w:rFonts w:hint="eastAsia" w:ascii="宋体" w:hAnsi="宋体" w:cs="宋体"/>
          <w:color w:val="auto"/>
          <w:spacing w:val="-16"/>
          <w:sz w:val="36"/>
          <w:szCs w:val="36"/>
          <w:u w:val="single"/>
        </w:rPr>
        <w:t xml:space="preserve"> </w:t>
      </w:r>
      <w:r>
        <w:rPr>
          <w:rFonts w:hint="eastAsia" w:ascii="宋体" w:hAnsi="宋体" w:cs="宋体"/>
          <w:color w:val="auto"/>
          <w:spacing w:val="-16"/>
          <w:sz w:val="36"/>
          <w:szCs w:val="36"/>
          <w:u w:val="single"/>
          <w:lang w:eastAsia="zh-CN"/>
        </w:rPr>
        <w:t>NNZC2024-C3-991810-GXJH</w:t>
      </w:r>
      <w:r>
        <w:rPr>
          <w:rFonts w:hint="eastAsia" w:ascii="宋体" w:hAnsi="宋体" w:cs="宋体"/>
          <w:color w:val="auto"/>
          <w:sz w:val="36"/>
          <w:szCs w:val="36"/>
          <w:u w:val="single"/>
        </w:rPr>
        <w:t xml:space="preserve"> </w:t>
      </w:r>
    </w:p>
    <w:p w14:paraId="739A5766">
      <w:pPr>
        <w:spacing w:before="237" w:line="360" w:lineRule="auto"/>
        <w:ind w:left="2010"/>
        <w:rPr>
          <w:rFonts w:ascii="宋体" w:hAnsi="宋体" w:cs="宋体"/>
          <w:color w:val="auto"/>
          <w:sz w:val="36"/>
          <w:szCs w:val="36"/>
        </w:rPr>
      </w:pPr>
      <w:r>
        <w:rPr>
          <w:rFonts w:hint="eastAsia" w:ascii="宋体" w:hAnsi="宋体" w:cs="宋体"/>
          <w:color w:val="auto"/>
          <w:spacing w:val="-16"/>
          <w:sz w:val="36"/>
          <w:szCs w:val="36"/>
        </w:rPr>
        <w:t>采购</w:t>
      </w:r>
      <w:r>
        <w:rPr>
          <w:rFonts w:hint="eastAsia" w:ascii="宋体" w:hAnsi="宋体" w:cs="宋体"/>
          <w:color w:val="auto"/>
          <w:spacing w:val="-9"/>
          <w:sz w:val="36"/>
          <w:szCs w:val="36"/>
        </w:rPr>
        <w:t>计</w:t>
      </w:r>
      <w:r>
        <w:rPr>
          <w:rFonts w:hint="eastAsia" w:ascii="宋体" w:hAnsi="宋体" w:cs="宋体"/>
          <w:color w:val="auto"/>
          <w:spacing w:val="-8"/>
          <w:sz w:val="36"/>
          <w:szCs w:val="36"/>
        </w:rPr>
        <w:t>划编号：</w:t>
      </w:r>
      <w:r>
        <w:rPr>
          <w:rFonts w:hint="eastAsia" w:ascii="宋体" w:hAnsi="宋体" w:cs="宋体"/>
          <w:color w:val="auto"/>
          <w:spacing w:val="-8"/>
          <w:sz w:val="36"/>
          <w:szCs w:val="36"/>
          <w:u w:val="single"/>
        </w:rPr>
        <w:t xml:space="preserve"> </w:t>
      </w:r>
      <w:r>
        <w:rPr>
          <w:rFonts w:ascii="宋体" w:hAnsi="宋体" w:cs="宋体"/>
          <w:color w:val="auto"/>
          <w:spacing w:val="-8"/>
          <w:sz w:val="36"/>
          <w:szCs w:val="36"/>
          <w:u w:val="single"/>
        </w:rPr>
        <w:t xml:space="preserve">                     </w:t>
      </w:r>
    </w:p>
    <w:p w14:paraId="28C9F5AC">
      <w:pPr>
        <w:spacing w:line="360" w:lineRule="auto"/>
        <w:rPr>
          <w:rFonts w:ascii="宋体" w:hAnsi="宋体" w:cs="宋体"/>
          <w:color w:val="auto"/>
        </w:rPr>
      </w:pPr>
    </w:p>
    <w:p w14:paraId="07FC3D04">
      <w:pPr>
        <w:spacing w:line="360" w:lineRule="auto"/>
        <w:rPr>
          <w:rFonts w:ascii="宋体" w:hAnsi="宋体" w:cs="宋体"/>
          <w:color w:val="auto"/>
        </w:rPr>
      </w:pPr>
    </w:p>
    <w:p w14:paraId="76EF4D00">
      <w:pPr>
        <w:ind w:firstLine="1983" w:firstLineChars="551"/>
        <w:rPr>
          <w:rFonts w:ascii="宋体" w:hAnsi="宋体"/>
          <w:color w:val="auto"/>
          <w:sz w:val="36"/>
          <w:szCs w:val="44"/>
        </w:rPr>
      </w:pPr>
      <w:r>
        <w:rPr>
          <w:rFonts w:hint="eastAsia" w:ascii="宋体" w:hAnsi="宋体"/>
          <w:color w:val="auto"/>
          <w:sz w:val="36"/>
          <w:szCs w:val="44"/>
        </w:rPr>
        <w:t xml:space="preserve">采购人： </w:t>
      </w:r>
      <w:r>
        <w:rPr>
          <w:rFonts w:hint="eastAsia" w:ascii="宋体" w:hAnsi="宋体"/>
          <w:color w:val="auto"/>
          <w:sz w:val="36"/>
          <w:szCs w:val="44"/>
          <w:u w:val="single"/>
        </w:rPr>
        <w:t>南宁市数据局</w:t>
      </w:r>
    </w:p>
    <w:p w14:paraId="10DA1254">
      <w:pPr>
        <w:ind w:firstLine="1983" w:firstLineChars="551"/>
        <w:rPr>
          <w:rFonts w:ascii="宋体" w:hAnsi="宋体"/>
          <w:color w:val="auto"/>
          <w:sz w:val="36"/>
          <w:szCs w:val="44"/>
        </w:rPr>
      </w:pPr>
      <w:r>
        <w:rPr>
          <w:rFonts w:hint="eastAsia" w:ascii="宋体" w:hAnsi="宋体"/>
          <w:color w:val="auto"/>
          <w:sz w:val="36"/>
          <w:szCs w:val="44"/>
        </w:rPr>
        <w:t>成交供应商：</w:t>
      </w:r>
      <w:r>
        <w:rPr>
          <w:rFonts w:hint="eastAsia" w:ascii="宋体" w:hAnsi="宋体"/>
          <w:color w:val="auto"/>
          <w:sz w:val="36"/>
          <w:szCs w:val="44"/>
          <w:u w:val="single"/>
        </w:rPr>
        <w:t xml:space="preserve">                </w:t>
      </w:r>
      <w:r>
        <w:rPr>
          <w:rFonts w:hint="eastAsia" w:ascii="宋体" w:hAnsi="宋体"/>
          <w:color w:val="auto"/>
          <w:sz w:val="36"/>
          <w:szCs w:val="44"/>
        </w:rPr>
        <w:t xml:space="preserve"> </w:t>
      </w:r>
    </w:p>
    <w:p w14:paraId="42B55E5D">
      <w:pPr>
        <w:rPr>
          <w:rFonts w:ascii="宋体" w:hAnsi="宋体"/>
          <w:color w:val="auto"/>
          <w:sz w:val="36"/>
          <w:szCs w:val="44"/>
        </w:rPr>
      </w:pPr>
    </w:p>
    <w:p w14:paraId="1467AA92">
      <w:pPr>
        <w:jc w:val="center"/>
        <w:rPr>
          <w:rFonts w:ascii="宋体" w:hAnsi="宋体" w:cs="宋体"/>
          <w:color w:val="auto"/>
        </w:rPr>
        <w:sectPr>
          <w:pgSz w:w="11905" w:h="16838"/>
          <w:pgMar w:top="1417" w:right="1134" w:bottom="1417" w:left="1100" w:header="703" w:footer="703" w:gutter="0"/>
          <w:cols w:space="720" w:num="1"/>
        </w:sectPr>
      </w:pPr>
      <w:r>
        <w:rPr>
          <w:rFonts w:hint="eastAsia" w:ascii="宋体" w:hAnsi="宋体"/>
          <w:color w:val="auto"/>
          <w:sz w:val="36"/>
          <w:szCs w:val="44"/>
        </w:rPr>
        <w:t>签订时间：      年    月    日</w:t>
      </w:r>
    </w:p>
    <w:p w14:paraId="2ECB8B44">
      <w:pPr>
        <w:snapToGrid w:val="0"/>
        <w:spacing w:line="360" w:lineRule="auto"/>
        <w:jc w:val="center"/>
        <w:rPr>
          <w:rFonts w:ascii="宋体" w:hAnsi="宋体"/>
          <w:b/>
          <w:color w:val="auto"/>
          <w:sz w:val="24"/>
        </w:rPr>
      </w:pPr>
      <w:r>
        <w:rPr>
          <w:rFonts w:hint="eastAsia" w:ascii="宋体" w:hAnsi="宋体"/>
          <w:b/>
          <w:color w:val="auto"/>
          <w:sz w:val="24"/>
        </w:rPr>
        <w:t>合同目录</w:t>
      </w:r>
    </w:p>
    <w:p w14:paraId="5AAC9CEB">
      <w:pPr>
        <w:snapToGrid w:val="0"/>
        <w:spacing w:line="360" w:lineRule="auto"/>
        <w:jc w:val="center"/>
        <w:rPr>
          <w:rFonts w:ascii="宋体" w:hAnsi="宋体"/>
          <w:b/>
          <w:bCs/>
          <w:color w:val="auto"/>
          <w:sz w:val="44"/>
        </w:rPr>
      </w:pPr>
    </w:p>
    <w:p w14:paraId="5005C5BC">
      <w:pPr>
        <w:snapToGrid w:val="0"/>
        <w:spacing w:line="360" w:lineRule="auto"/>
        <w:rPr>
          <w:rFonts w:ascii="宋体" w:hAnsi="宋体" w:cs="仿宋_GB2312"/>
          <w:color w:val="auto"/>
          <w:kern w:val="0"/>
          <w:sz w:val="24"/>
        </w:rPr>
      </w:pPr>
      <w:r>
        <w:rPr>
          <w:rFonts w:hint="eastAsia" w:ascii="宋体" w:hAnsi="宋体" w:cs="仿宋_GB2312"/>
          <w:color w:val="auto"/>
          <w:kern w:val="0"/>
          <w:sz w:val="24"/>
        </w:rPr>
        <w:t>一、</w:t>
      </w:r>
      <w:r>
        <w:rPr>
          <w:rFonts w:hint="eastAsia" w:ascii="宋体" w:hAnsi="宋体"/>
          <w:color w:val="auto"/>
          <w:sz w:val="24"/>
        </w:rPr>
        <w:t>第一部分 合同书</w:t>
      </w:r>
      <w:r>
        <w:rPr>
          <w:rFonts w:hint="eastAsia" w:ascii="宋体" w:hAnsi="宋体" w:cs="仿宋_GB2312"/>
          <w:color w:val="auto"/>
          <w:kern w:val="0"/>
          <w:sz w:val="24"/>
        </w:rPr>
        <w:t>……………………………………………………………（页码）</w:t>
      </w:r>
    </w:p>
    <w:p w14:paraId="6CCC9835">
      <w:pPr>
        <w:snapToGrid w:val="0"/>
        <w:spacing w:line="360" w:lineRule="auto"/>
        <w:rPr>
          <w:rFonts w:ascii="宋体" w:hAnsi="宋体" w:cs="仿宋_GB2312"/>
          <w:color w:val="auto"/>
          <w:kern w:val="0"/>
          <w:sz w:val="24"/>
        </w:rPr>
      </w:pPr>
      <w:r>
        <w:rPr>
          <w:rFonts w:hint="eastAsia" w:ascii="宋体" w:hAnsi="宋体" w:cs="仿宋_GB2312"/>
          <w:color w:val="auto"/>
          <w:kern w:val="0"/>
          <w:sz w:val="24"/>
        </w:rPr>
        <w:t>二、第二部分 合同一般条款……………………………………………………（页码）</w:t>
      </w:r>
    </w:p>
    <w:p w14:paraId="51BB6FCC">
      <w:pPr>
        <w:snapToGrid w:val="0"/>
        <w:spacing w:line="360" w:lineRule="auto"/>
        <w:rPr>
          <w:rFonts w:ascii="宋体" w:hAnsi="宋体" w:cs="仿宋_GB2312"/>
          <w:color w:val="auto"/>
          <w:kern w:val="0"/>
          <w:sz w:val="24"/>
        </w:rPr>
      </w:pPr>
      <w:r>
        <w:rPr>
          <w:rFonts w:hint="eastAsia" w:ascii="宋体" w:hAnsi="宋体" w:cs="仿宋_GB2312"/>
          <w:color w:val="auto"/>
          <w:kern w:val="0"/>
          <w:sz w:val="24"/>
        </w:rPr>
        <w:t>三、第三部分 合同专用条款……………………………………………………（页码）</w:t>
      </w:r>
    </w:p>
    <w:p w14:paraId="6E087A8B">
      <w:pPr>
        <w:snapToGrid w:val="0"/>
        <w:spacing w:line="360" w:lineRule="auto"/>
        <w:rPr>
          <w:rFonts w:ascii="宋体" w:hAnsi="宋体" w:cs="仿宋_GB2312"/>
          <w:color w:val="auto"/>
          <w:kern w:val="0"/>
          <w:sz w:val="24"/>
        </w:rPr>
      </w:pPr>
      <w:r>
        <w:rPr>
          <w:rFonts w:hint="eastAsia" w:ascii="宋体" w:hAnsi="宋体" w:cs="仿宋_GB2312"/>
          <w:color w:val="auto"/>
          <w:kern w:val="0"/>
          <w:sz w:val="24"/>
        </w:rPr>
        <w:t>四、</w:t>
      </w:r>
      <w:r>
        <w:rPr>
          <w:rFonts w:hint="eastAsia" w:ascii="宋体" w:hAnsi="宋体"/>
          <w:color w:val="auto"/>
          <w:sz w:val="24"/>
        </w:rPr>
        <w:t>第四部分 合同附件</w:t>
      </w:r>
      <w:r>
        <w:rPr>
          <w:rFonts w:hint="eastAsia" w:ascii="宋体" w:hAnsi="宋体" w:cs="仿宋_GB2312"/>
          <w:color w:val="auto"/>
          <w:kern w:val="0"/>
          <w:sz w:val="24"/>
        </w:rPr>
        <w:t>…………………………………………………………（页码）</w:t>
      </w:r>
    </w:p>
    <w:p w14:paraId="248C3001">
      <w:pPr>
        <w:snapToGrid w:val="0"/>
        <w:spacing w:line="360" w:lineRule="auto"/>
        <w:rPr>
          <w:rFonts w:ascii="宋体" w:hAnsi="宋体" w:cs="仿宋_GB2312"/>
          <w:color w:val="auto"/>
          <w:kern w:val="0"/>
          <w:sz w:val="24"/>
        </w:rPr>
      </w:pPr>
      <w:r>
        <w:rPr>
          <w:rFonts w:hint="eastAsia" w:ascii="宋体" w:hAnsi="宋体" w:cs="仿宋_GB2312"/>
          <w:color w:val="auto"/>
          <w:kern w:val="0"/>
          <w:sz w:val="24"/>
        </w:rPr>
        <w:t>4.1成交通知书 …………………………………………………………………（页码）</w:t>
      </w:r>
    </w:p>
    <w:p w14:paraId="533A77AD">
      <w:pPr>
        <w:snapToGrid w:val="0"/>
        <w:spacing w:line="360" w:lineRule="auto"/>
        <w:rPr>
          <w:rFonts w:ascii="宋体" w:hAnsi="宋体" w:cs="仿宋_GB2312"/>
          <w:color w:val="auto"/>
          <w:kern w:val="0"/>
          <w:sz w:val="24"/>
        </w:rPr>
      </w:pPr>
      <w:r>
        <w:rPr>
          <w:rFonts w:hint="eastAsia" w:ascii="宋体" w:hAnsi="宋体" w:cs="仿宋_GB2312"/>
          <w:color w:val="auto"/>
          <w:kern w:val="0"/>
          <w:sz w:val="24"/>
        </w:rPr>
        <w:t>4.2采购文件服务需求一览表 …………………………………………………（页码）</w:t>
      </w:r>
    </w:p>
    <w:p w14:paraId="017203EB">
      <w:pPr>
        <w:snapToGrid w:val="0"/>
        <w:spacing w:line="360" w:lineRule="auto"/>
        <w:rPr>
          <w:rFonts w:ascii="宋体" w:hAnsi="宋体" w:cs="仿宋_GB2312"/>
          <w:color w:val="auto"/>
          <w:kern w:val="0"/>
          <w:sz w:val="24"/>
        </w:rPr>
      </w:pPr>
      <w:r>
        <w:rPr>
          <w:rFonts w:hint="eastAsia" w:ascii="宋体" w:hAnsi="宋体" w:cs="仿宋_GB2312"/>
          <w:color w:val="auto"/>
          <w:kern w:val="0"/>
          <w:sz w:val="24"/>
        </w:rPr>
        <w:t>4.3采购文件的更改通知（如有） ……………………………………………（页码）</w:t>
      </w:r>
    </w:p>
    <w:p w14:paraId="0C7887E2">
      <w:pPr>
        <w:snapToGrid w:val="0"/>
        <w:spacing w:line="360" w:lineRule="auto"/>
        <w:rPr>
          <w:rFonts w:ascii="宋体" w:hAnsi="宋体" w:cs="仿宋_GB2312"/>
          <w:color w:val="auto"/>
          <w:kern w:val="0"/>
          <w:sz w:val="24"/>
        </w:rPr>
      </w:pPr>
      <w:r>
        <w:rPr>
          <w:rFonts w:hint="eastAsia" w:ascii="宋体" w:hAnsi="宋体" w:cs="仿宋_GB2312"/>
          <w:color w:val="auto"/>
          <w:kern w:val="0"/>
          <w:sz w:val="24"/>
        </w:rPr>
        <w:t>4.4响应函 ………………………………………………………………………（页码）</w:t>
      </w:r>
    </w:p>
    <w:p w14:paraId="4D2511FF">
      <w:pPr>
        <w:snapToGrid w:val="0"/>
        <w:spacing w:line="360" w:lineRule="auto"/>
        <w:rPr>
          <w:rFonts w:ascii="宋体" w:hAnsi="宋体" w:cs="仿宋_GB2312"/>
          <w:color w:val="auto"/>
          <w:kern w:val="0"/>
          <w:sz w:val="24"/>
        </w:rPr>
      </w:pPr>
      <w:r>
        <w:rPr>
          <w:rFonts w:hint="eastAsia" w:ascii="宋体" w:hAnsi="宋体" w:cs="仿宋_GB2312"/>
          <w:color w:val="auto"/>
          <w:kern w:val="0"/>
          <w:sz w:val="24"/>
        </w:rPr>
        <w:t>4.5响应报价表 …………………………………………………………………（页码）</w:t>
      </w:r>
    </w:p>
    <w:p w14:paraId="4D437CAF">
      <w:pPr>
        <w:snapToGrid w:val="0"/>
        <w:spacing w:line="360" w:lineRule="auto"/>
        <w:rPr>
          <w:rFonts w:ascii="宋体" w:hAnsi="宋体" w:cs="仿宋_GB2312"/>
          <w:color w:val="auto"/>
          <w:kern w:val="0"/>
          <w:sz w:val="24"/>
        </w:rPr>
      </w:pPr>
      <w:r>
        <w:rPr>
          <w:rFonts w:hint="eastAsia" w:ascii="宋体" w:hAnsi="宋体" w:cs="仿宋_GB2312"/>
          <w:color w:val="auto"/>
          <w:kern w:val="0"/>
          <w:sz w:val="24"/>
        </w:rPr>
        <w:t>4.6响应服务技术资料表 ………………………………………………………（页码）</w:t>
      </w:r>
    </w:p>
    <w:p w14:paraId="704711C1">
      <w:pPr>
        <w:snapToGrid w:val="0"/>
        <w:spacing w:line="360" w:lineRule="auto"/>
        <w:rPr>
          <w:rFonts w:ascii="宋体" w:hAnsi="宋体" w:cs="仿宋_GB2312"/>
          <w:color w:val="auto"/>
          <w:kern w:val="0"/>
          <w:sz w:val="24"/>
        </w:rPr>
      </w:pPr>
      <w:r>
        <w:rPr>
          <w:rFonts w:hint="eastAsia" w:ascii="宋体" w:hAnsi="宋体" w:cs="仿宋_GB2312"/>
          <w:color w:val="auto"/>
          <w:kern w:val="0"/>
          <w:sz w:val="24"/>
        </w:rPr>
        <w:t>4.7商务条款偏离表 ……………………………………………………………（页码）</w:t>
      </w:r>
    </w:p>
    <w:p w14:paraId="238190D8">
      <w:pPr>
        <w:snapToGrid w:val="0"/>
        <w:spacing w:line="360" w:lineRule="auto"/>
        <w:rPr>
          <w:rFonts w:ascii="宋体" w:hAnsi="宋体" w:cs="仿宋_GB2312"/>
          <w:color w:val="auto"/>
          <w:kern w:val="0"/>
          <w:sz w:val="24"/>
        </w:rPr>
      </w:pPr>
      <w:r>
        <w:rPr>
          <w:rFonts w:hint="eastAsia" w:ascii="宋体" w:hAnsi="宋体" w:cs="仿宋_GB2312"/>
          <w:color w:val="auto"/>
          <w:kern w:val="0"/>
          <w:sz w:val="24"/>
        </w:rPr>
        <w:t>4.8成交供应商澄清函（如有请提供） ………………………………………（页码）</w:t>
      </w:r>
    </w:p>
    <w:p w14:paraId="092D04F7">
      <w:pPr>
        <w:snapToGrid w:val="0"/>
        <w:spacing w:line="360" w:lineRule="auto"/>
        <w:rPr>
          <w:rFonts w:ascii="宋体" w:hAnsi="宋体" w:cs="仿宋_GB2312"/>
          <w:color w:val="auto"/>
          <w:kern w:val="0"/>
          <w:sz w:val="24"/>
        </w:rPr>
      </w:pPr>
      <w:r>
        <w:rPr>
          <w:rFonts w:hint="eastAsia" w:ascii="宋体" w:hAnsi="宋体" w:cs="仿宋_GB2312"/>
          <w:color w:val="auto"/>
          <w:kern w:val="0"/>
          <w:sz w:val="24"/>
        </w:rPr>
        <w:t>4.9其他与本合同相关的资料（如有请提供） ………………………………（页码）</w:t>
      </w:r>
    </w:p>
    <w:p w14:paraId="76B342FB">
      <w:pPr>
        <w:snapToGrid w:val="0"/>
        <w:spacing w:line="360" w:lineRule="auto"/>
        <w:rPr>
          <w:rFonts w:ascii="宋体" w:hAnsi="宋体" w:cs="仿宋_GB2312"/>
          <w:color w:val="auto"/>
          <w:kern w:val="0"/>
          <w:sz w:val="24"/>
        </w:rPr>
      </w:pPr>
    </w:p>
    <w:p w14:paraId="01B979FA">
      <w:pPr>
        <w:widowControl/>
        <w:jc w:val="left"/>
        <w:rPr>
          <w:rFonts w:ascii="宋体" w:hAnsi="宋体"/>
          <w:color w:val="auto"/>
          <w:kern w:val="0"/>
          <w:sz w:val="32"/>
          <w:szCs w:val="20"/>
        </w:rPr>
        <w:sectPr>
          <w:pgSz w:w="11906" w:h="16838"/>
          <w:pgMar w:top="1134" w:right="1134" w:bottom="1134" w:left="1134" w:header="720" w:footer="720" w:gutter="0"/>
          <w:cols w:space="720" w:num="1"/>
          <w:docGrid w:linePitch="331" w:charSpace="0"/>
        </w:sectPr>
      </w:pPr>
    </w:p>
    <w:p w14:paraId="705131D1">
      <w:pPr>
        <w:pStyle w:val="85"/>
        <w:ind w:left="0" w:leftChars="0" w:firstLine="0" w:firstLineChars="0"/>
        <w:jc w:val="center"/>
        <w:outlineLvl w:val="1"/>
        <w:rPr>
          <w:rFonts w:ascii="宋体" w:hAnsi="宋体"/>
          <w:b/>
          <w:color w:val="auto"/>
          <w:sz w:val="28"/>
          <w:szCs w:val="28"/>
        </w:rPr>
      </w:pPr>
      <w:bookmarkStart w:id="20" w:name="_Toc5004"/>
      <w:bookmarkStart w:id="21" w:name="_Toc17976"/>
      <w:r>
        <w:rPr>
          <w:rFonts w:hint="eastAsia" w:ascii="宋体" w:hAnsi="宋体"/>
          <w:b/>
          <w:color w:val="auto"/>
          <w:sz w:val="28"/>
          <w:szCs w:val="28"/>
        </w:rPr>
        <w:t>第一部分 合同书</w:t>
      </w:r>
      <w:bookmarkEnd w:id="20"/>
      <w:bookmarkEnd w:id="21"/>
    </w:p>
    <w:p w14:paraId="02F85C60">
      <w:pPr>
        <w:spacing w:line="360" w:lineRule="auto"/>
        <w:ind w:firstLine="480" w:firstLineChars="200"/>
        <w:rPr>
          <w:rFonts w:ascii="宋体" w:hAnsi="宋体"/>
          <w:color w:val="auto"/>
          <w:sz w:val="24"/>
        </w:rPr>
      </w:pPr>
      <w:r>
        <w:rPr>
          <w:rFonts w:hint="eastAsia" w:ascii="宋体" w:hAnsi="宋体"/>
          <w:color w:val="auto"/>
          <w:sz w:val="24"/>
          <w:u w:val="single"/>
          <w:lang w:val="zh-CN"/>
        </w:rPr>
        <w:t xml:space="preserve">     </w:t>
      </w:r>
      <w:r>
        <w:rPr>
          <w:rFonts w:hint="eastAsia" w:ascii="宋体" w:hAnsi="宋体"/>
          <w:color w:val="auto"/>
          <w:sz w:val="24"/>
          <w:lang w:val="zh-CN"/>
        </w:rPr>
        <w:t>年</w:t>
      </w:r>
      <w:r>
        <w:rPr>
          <w:rFonts w:hint="eastAsia" w:ascii="宋体" w:hAnsi="宋体"/>
          <w:color w:val="auto"/>
          <w:sz w:val="24"/>
          <w:u w:val="single"/>
          <w:lang w:val="zh-CN"/>
        </w:rPr>
        <w:t xml:space="preserve">    </w:t>
      </w:r>
      <w:r>
        <w:rPr>
          <w:rFonts w:hint="eastAsia" w:ascii="宋体" w:hAnsi="宋体"/>
          <w:color w:val="auto"/>
          <w:sz w:val="24"/>
          <w:lang w:val="zh-CN"/>
        </w:rPr>
        <w:t>月</w:t>
      </w:r>
      <w:r>
        <w:rPr>
          <w:rFonts w:hint="eastAsia" w:ascii="宋体" w:hAnsi="宋体"/>
          <w:color w:val="auto"/>
          <w:sz w:val="24"/>
          <w:u w:val="single"/>
          <w:lang w:val="zh-CN"/>
        </w:rPr>
        <w:t xml:space="preserve">    </w:t>
      </w:r>
      <w:r>
        <w:rPr>
          <w:rFonts w:hint="eastAsia" w:ascii="宋体" w:hAnsi="宋体"/>
          <w:color w:val="auto"/>
          <w:sz w:val="24"/>
          <w:lang w:val="zh-CN"/>
        </w:rPr>
        <w:t>日</w:t>
      </w:r>
      <w:r>
        <w:rPr>
          <w:rFonts w:hint="eastAsia" w:ascii="宋体" w:hAnsi="宋体"/>
          <w:color w:val="auto"/>
          <w:sz w:val="24"/>
        </w:rPr>
        <w:t>，</w:t>
      </w:r>
      <w:r>
        <w:rPr>
          <w:rFonts w:hint="eastAsia" w:ascii="宋体" w:hAnsi="宋体"/>
          <w:color w:val="auto"/>
          <w:sz w:val="24"/>
          <w:u w:val="single"/>
        </w:rPr>
        <w:t xml:space="preserve">  南宁市数据局   </w:t>
      </w:r>
      <w:r>
        <w:rPr>
          <w:rFonts w:hint="eastAsia" w:ascii="宋体" w:hAnsi="宋体"/>
          <w:color w:val="auto"/>
          <w:sz w:val="24"/>
        </w:rPr>
        <w:t>以</w:t>
      </w:r>
      <w:r>
        <w:rPr>
          <w:rFonts w:hint="eastAsia" w:ascii="宋体" w:hAnsi="宋体"/>
          <w:color w:val="auto"/>
          <w:sz w:val="24"/>
          <w:u w:val="single"/>
        </w:rPr>
        <w:t xml:space="preserve">   竞争性磋商方式  </w:t>
      </w:r>
      <w:r>
        <w:rPr>
          <w:rFonts w:hint="eastAsia" w:ascii="宋体" w:hAnsi="宋体"/>
          <w:color w:val="auto"/>
          <w:sz w:val="24"/>
        </w:rPr>
        <w:t>对</w:t>
      </w:r>
      <w:r>
        <w:rPr>
          <w:rFonts w:ascii="宋体" w:hAnsi="宋体"/>
          <w:color w:val="auto"/>
          <w:sz w:val="24"/>
          <w:u w:val="single"/>
        </w:rPr>
        <w:t xml:space="preserve">         </w:t>
      </w:r>
      <w:r>
        <w:rPr>
          <w:rFonts w:hint="eastAsia" w:ascii="宋体" w:hAnsi="宋体"/>
          <w:color w:val="auto"/>
          <w:sz w:val="24"/>
        </w:rPr>
        <w:t>项目进行了采购。经</w:t>
      </w:r>
      <w:r>
        <w:rPr>
          <w:rFonts w:hint="eastAsia" w:ascii="宋体" w:hAnsi="宋体"/>
          <w:color w:val="auto"/>
          <w:sz w:val="24"/>
          <w:u w:val="single"/>
        </w:rPr>
        <w:t xml:space="preserve">  （项目名称）项目磋商小组（相关评定主体名称）  </w:t>
      </w:r>
      <w:r>
        <w:rPr>
          <w:rFonts w:hint="eastAsia" w:ascii="宋体" w:hAnsi="宋体"/>
          <w:color w:val="auto"/>
          <w:sz w:val="24"/>
        </w:rPr>
        <w:t>评定，</w:t>
      </w:r>
      <w:r>
        <w:rPr>
          <w:rFonts w:hint="eastAsia" w:ascii="宋体" w:hAnsi="宋体"/>
          <w:color w:val="auto"/>
          <w:sz w:val="24"/>
          <w:u w:val="single"/>
        </w:rPr>
        <w:t xml:space="preserve">   （供应商名称）</w:t>
      </w:r>
      <w:r>
        <w:rPr>
          <w:rFonts w:hint="eastAsia" w:ascii="宋体" w:hAnsi="宋体"/>
          <w:color w:val="auto"/>
          <w:sz w:val="24"/>
        </w:rPr>
        <w:t>为该项目成交供应商。现于成交通知书发出之日起</w:t>
      </w:r>
      <w:r>
        <w:rPr>
          <w:rFonts w:hint="eastAsia" w:ascii="宋体" w:hAnsi="宋体"/>
          <w:color w:val="auto"/>
          <w:sz w:val="24"/>
          <w:u w:val="single"/>
        </w:rPr>
        <w:t>25</w:t>
      </w:r>
      <w:r>
        <w:rPr>
          <w:rFonts w:hint="eastAsia" w:ascii="宋体" w:hAnsi="宋体"/>
          <w:color w:val="auto"/>
          <w:sz w:val="24"/>
        </w:rPr>
        <w:t>日内，按照采购文件确定的事项签订本合同。</w:t>
      </w:r>
    </w:p>
    <w:p w14:paraId="169F7F97">
      <w:pPr>
        <w:spacing w:line="360" w:lineRule="auto"/>
        <w:ind w:firstLine="480" w:firstLineChars="200"/>
        <w:rPr>
          <w:rFonts w:ascii="宋体" w:hAnsi="宋体"/>
          <w:color w:val="auto"/>
          <w:sz w:val="24"/>
        </w:rPr>
      </w:pPr>
      <w:r>
        <w:rPr>
          <w:rFonts w:hint="eastAsia" w:ascii="宋体" w:hAnsi="宋体"/>
          <w:color w:val="auto"/>
          <w:sz w:val="24"/>
          <w:lang w:val="zh-CN"/>
        </w:rPr>
        <w:t>根据《中华人民共和国民法典》、《中华人民共和国政府采购法》等相关法律法规之规定，按照平等、自愿、公平和诚实信用的原则，经</w:t>
      </w:r>
      <w:r>
        <w:rPr>
          <w:rFonts w:hint="eastAsia" w:ascii="宋体" w:hAnsi="宋体"/>
          <w:color w:val="auto"/>
          <w:sz w:val="24"/>
          <w:u w:val="single"/>
          <w:lang w:val="zh-CN"/>
        </w:rPr>
        <w:t>南宁市数据局</w:t>
      </w:r>
      <w:r>
        <w:rPr>
          <w:rFonts w:hint="eastAsia" w:ascii="宋体" w:hAnsi="宋体"/>
          <w:color w:val="auto"/>
          <w:sz w:val="24"/>
          <w:lang w:val="zh-CN"/>
        </w:rPr>
        <w:t>(以下简称：甲方)和</w:t>
      </w:r>
      <w:r>
        <w:rPr>
          <w:rFonts w:hint="eastAsia" w:ascii="宋体" w:hAnsi="宋体"/>
          <w:color w:val="auto"/>
          <w:sz w:val="24"/>
          <w:u w:val="single"/>
        </w:rPr>
        <w:t xml:space="preserve">   （供应商名称）   </w:t>
      </w:r>
      <w:r>
        <w:rPr>
          <w:rFonts w:hint="eastAsia" w:ascii="宋体" w:hAnsi="宋体"/>
          <w:color w:val="auto"/>
          <w:sz w:val="24"/>
          <w:lang w:val="zh-CN"/>
        </w:rPr>
        <w:t>(以下简称：乙方)协商一致，约定以下合同</w:t>
      </w:r>
      <w:r>
        <w:rPr>
          <w:rFonts w:hint="eastAsia" w:ascii="宋体" w:hAnsi="宋体"/>
          <w:color w:val="auto"/>
          <w:sz w:val="24"/>
        </w:rPr>
        <w:t>条款，以兹共同遵守、全面履行。</w:t>
      </w:r>
    </w:p>
    <w:p w14:paraId="0938FC1F">
      <w:pPr>
        <w:spacing w:line="360" w:lineRule="auto"/>
        <w:ind w:firstLine="482" w:firstLineChars="200"/>
        <w:rPr>
          <w:rFonts w:ascii="宋体" w:hAnsi="宋体"/>
          <w:b/>
          <w:color w:val="auto"/>
          <w:sz w:val="24"/>
        </w:rPr>
      </w:pPr>
      <w:r>
        <w:rPr>
          <w:rFonts w:hint="eastAsia" w:ascii="宋体" w:hAnsi="宋体"/>
          <w:b/>
          <w:color w:val="auto"/>
          <w:sz w:val="24"/>
        </w:rPr>
        <w:t>1.1 合同组成部分</w:t>
      </w:r>
    </w:p>
    <w:p w14:paraId="286ADB4A">
      <w:pPr>
        <w:spacing w:line="360" w:lineRule="auto"/>
        <w:ind w:firstLine="480" w:firstLineChars="200"/>
        <w:rPr>
          <w:rFonts w:ascii="宋体" w:hAnsi="宋体"/>
          <w:color w:val="auto"/>
          <w:sz w:val="24"/>
        </w:rPr>
      </w:pPr>
      <w:r>
        <w:rPr>
          <w:rFonts w:hint="eastAsia" w:ascii="宋体" w:hAnsi="宋体"/>
          <w:color w:val="auto"/>
          <w:sz w:val="24"/>
        </w:rPr>
        <w:t>下列文件为本合同的组成部分，并构成一个整体，需综合解释、相互补充。如果下列文件内容出现不一致的情形，在保证按照采购文件确定的事项的前提下，组成本合同的多个文件的优先适用顺序如下：</w:t>
      </w:r>
    </w:p>
    <w:p w14:paraId="589CCDDB">
      <w:pPr>
        <w:spacing w:line="360" w:lineRule="auto"/>
        <w:ind w:firstLine="480" w:firstLineChars="200"/>
        <w:rPr>
          <w:rFonts w:ascii="宋体" w:hAnsi="宋体"/>
          <w:color w:val="auto"/>
          <w:sz w:val="24"/>
        </w:rPr>
      </w:pPr>
      <w:r>
        <w:rPr>
          <w:rFonts w:hint="eastAsia" w:ascii="宋体" w:hAnsi="宋体"/>
          <w:color w:val="auto"/>
          <w:sz w:val="24"/>
        </w:rPr>
        <w:t>1.1.1 本合同及其补充合同、变更协议；</w:t>
      </w:r>
    </w:p>
    <w:p w14:paraId="60C2B185">
      <w:pPr>
        <w:spacing w:line="360" w:lineRule="auto"/>
        <w:ind w:firstLine="480" w:firstLineChars="200"/>
        <w:rPr>
          <w:rFonts w:ascii="宋体" w:hAnsi="宋体"/>
          <w:color w:val="auto"/>
          <w:sz w:val="24"/>
        </w:rPr>
      </w:pPr>
      <w:r>
        <w:rPr>
          <w:rFonts w:hint="eastAsia" w:ascii="宋体" w:hAnsi="宋体"/>
          <w:color w:val="auto"/>
          <w:sz w:val="24"/>
        </w:rPr>
        <w:t>1.1.2 成交通知书；</w:t>
      </w:r>
    </w:p>
    <w:p w14:paraId="0BC9FB87">
      <w:pPr>
        <w:spacing w:line="360" w:lineRule="auto"/>
        <w:ind w:firstLine="480" w:firstLineChars="200"/>
        <w:rPr>
          <w:rFonts w:ascii="宋体" w:hAnsi="宋体"/>
          <w:color w:val="auto"/>
          <w:sz w:val="24"/>
        </w:rPr>
      </w:pPr>
      <w:r>
        <w:rPr>
          <w:rFonts w:hint="eastAsia" w:ascii="宋体" w:hAnsi="宋体"/>
          <w:color w:val="auto"/>
          <w:sz w:val="24"/>
        </w:rPr>
        <w:t>1.1.3 响应文件及“响应报价”（含澄清或者说明文件）；</w:t>
      </w:r>
    </w:p>
    <w:p w14:paraId="4A706210">
      <w:pPr>
        <w:spacing w:line="360" w:lineRule="auto"/>
        <w:ind w:firstLine="480" w:firstLineChars="200"/>
        <w:rPr>
          <w:rFonts w:ascii="宋体" w:hAnsi="宋体"/>
          <w:color w:val="auto"/>
          <w:sz w:val="24"/>
        </w:rPr>
      </w:pPr>
      <w:r>
        <w:rPr>
          <w:rFonts w:hint="eastAsia" w:ascii="宋体" w:hAnsi="宋体"/>
          <w:color w:val="auto"/>
          <w:sz w:val="24"/>
        </w:rPr>
        <w:t>1.1.4 采购文件（含澄清或者修改文件）；</w:t>
      </w:r>
    </w:p>
    <w:p w14:paraId="653690A9">
      <w:pPr>
        <w:spacing w:line="360" w:lineRule="auto"/>
        <w:ind w:firstLine="480" w:firstLineChars="200"/>
        <w:rPr>
          <w:rFonts w:ascii="宋体" w:hAnsi="宋体"/>
          <w:color w:val="auto"/>
          <w:sz w:val="24"/>
        </w:rPr>
      </w:pPr>
      <w:r>
        <w:rPr>
          <w:rFonts w:hint="eastAsia" w:ascii="宋体" w:hAnsi="宋体"/>
          <w:color w:val="auto"/>
          <w:sz w:val="24"/>
        </w:rPr>
        <w:t>1.1.5 其他相关采购文件。</w:t>
      </w:r>
    </w:p>
    <w:p w14:paraId="648D7186">
      <w:pPr>
        <w:spacing w:line="360" w:lineRule="auto"/>
        <w:ind w:firstLine="482" w:firstLineChars="200"/>
        <w:rPr>
          <w:rFonts w:ascii="宋体" w:hAnsi="宋体"/>
          <w:b/>
          <w:color w:val="auto"/>
          <w:sz w:val="24"/>
        </w:rPr>
      </w:pPr>
      <w:r>
        <w:rPr>
          <w:rFonts w:hint="eastAsia" w:ascii="宋体" w:hAnsi="宋体"/>
          <w:b/>
          <w:color w:val="auto"/>
          <w:sz w:val="24"/>
        </w:rPr>
        <w:t>1.2 标的物</w:t>
      </w:r>
    </w:p>
    <w:p w14:paraId="328B22D5">
      <w:pPr>
        <w:spacing w:line="360" w:lineRule="auto"/>
        <w:ind w:firstLine="480" w:firstLineChars="200"/>
        <w:rPr>
          <w:rFonts w:ascii="宋体" w:hAnsi="宋体"/>
          <w:color w:val="auto"/>
          <w:sz w:val="24"/>
        </w:rPr>
      </w:pPr>
      <w:r>
        <w:rPr>
          <w:rFonts w:hint="eastAsia" w:ascii="宋体" w:hAnsi="宋体"/>
          <w:color w:val="auto"/>
          <w:sz w:val="24"/>
        </w:rPr>
        <w:t>1.2.1 标的物1信息</w:t>
      </w:r>
    </w:p>
    <w:p w14:paraId="0E4D6ED1">
      <w:pPr>
        <w:spacing w:line="360" w:lineRule="auto"/>
        <w:ind w:firstLine="480" w:firstLineChars="200"/>
        <w:rPr>
          <w:rFonts w:ascii="宋体" w:hAnsi="宋体"/>
          <w:color w:val="auto"/>
          <w:sz w:val="24"/>
          <w:u w:val="single"/>
        </w:rPr>
      </w:pPr>
      <w:r>
        <w:rPr>
          <w:rFonts w:hint="eastAsia" w:ascii="宋体" w:hAnsi="宋体"/>
          <w:color w:val="auto"/>
          <w:sz w:val="24"/>
        </w:rPr>
        <w:t>1.2.1.1名称：</w:t>
      </w:r>
      <w:r>
        <w:rPr>
          <w:rFonts w:hint="eastAsia" w:ascii="宋体" w:hAnsi="宋体"/>
          <w:color w:val="auto"/>
          <w:sz w:val="24"/>
          <w:u w:val="single"/>
        </w:rPr>
        <w:t xml:space="preserve">                                        </w:t>
      </w:r>
      <w:r>
        <w:rPr>
          <w:rFonts w:hint="eastAsia" w:ascii="宋体" w:hAnsi="宋体"/>
          <w:color w:val="auto"/>
          <w:sz w:val="24"/>
        </w:rPr>
        <w:t>；</w:t>
      </w:r>
    </w:p>
    <w:p w14:paraId="6C6B76C7">
      <w:pPr>
        <w:spacing w:line="360" w:lineRule="auto"/>
        <w:ind w:firstLine="480" w:firstLineChars="200"/>
        <w:rPr>
          <w:rFonts w:ascii="宋体" w:hAnsi="宋体"/>
          <w:color w:val="auto"/>
          <w:sz w:val="24"/>
          <w:u w:val="single"/>
        </w:rPr>
      </w:pPr>
      <w:r>
        <w:rPr>
          <w:rFonts w:hint="eastAsia" w:ascii="宋体" w:hAnsi="宋体"/>
          <w:color w:val="auto"/>
          <w:sz w:val="24"/>
        </w:rPr>
        <w:t>1.2.1.2数量：</w:t>
      </w:r>
      <w:r>
        <w:rPr>
          <w:rFonts w:hint="eastAsia" w:ascii="宋体" w:hAnsi="宋体"/>
          <w:color w:val="auto"/>
          <w:sz w:val="24"/>
          <w:u w:val="single"/>
        </w:rPr>
        <w:t xml:space="preserve">                                        </w:t>
      </w:r>
      <w:r>
        <w:rPr>
          <w:rFonts w:hint="eastAsia" w:ascii="宋体" w:hAnsi="宋体"/>
          <w:color w:val="auto"/>
          <w:sz w:val="24"/>
        </w:rPr>
        <w:t>；</w:t>
      </w:r>
    </w:p>
    <w:p w14:paraId="7332A4C0">
      <w:pPr>
        <w:spacing w:line="360" w:lineRule="auto"/>
        <w:ind w:firstLine="480" w:firstLineChars="200"/>
        <w:rPr>
          <w:rFonts w:ascii="宋体" w:hAnsi="宋体"/>
          <w:color w:val="auto"/>
          <w:sz w:val="24"/>
        </w:rPr>
      </w:pPr>
      <w:r>
        <w:rPr>
          <w:rFonts w:hint="eastAsia" w:ascii="宋体" w:hAnsi="宋体"/>
          <w:color w:val="auto"/>
          <w:sz w:val="24"/>
        </w:rPr>
        <w:t>1.2.1.3质量：</w:t>
      </w:r>
      <w:r>
        <w:rPr>
          <w:rFonts w:hint="eastAsia" w:ascii="宋体" w:hAnsi="宋体"/>
          <w:color w:val="auto"/>
          <w:sz w:val="24"/>
          <w:u w:val="single"/>
        </w:rPr>
        <w:t xml:space="preserve">　                                      </w:t>
      </w:r>
      <w:r>
        <w:rPr>
          <w:rFonts w:hint="eastAsia" w:ascii="宋体" w:hAnsi="宋体"/>
          <w:color w:val="auto"/>
          <w:sz w:val="24"/>
        </w:rPr>
        <w:t>。</w:t>
      </w:r>
    </w:p>
    <w:p w14:paraId="117CC4A4">
      <w:pPr>
        <w:spacing w:line="360" w:lineRule="auto"/>
        <w:ind w:firstLine="480" w:firstLineChars="200"/>
        <w:rPr>
          <w:rFonts w:ascii="宋体" w:hAnsi="宋体"/>
          <w:color w:val="auto"/>
          <w:sz w:val="24"/>
        </w:rPr>
      </w:pPr>
      <w:r>
        <w:rPr>
          <w:rFonts w:hint="eastAsia" w:ascii="宋体" w:hAnsi="宋体"/>
          <w:color w:val="auto"/>
          <w:sz w:val="24"/>
        </w:rPr>
        <w:t>……</w:t>
      </w:r>
    </w:p>
    <w:p w14:paraId="4721F73B">
      <w:pPr>
        <w:spacing w:line="360" w:lineRule="auto"/>
        <w:ind w:firstLine="482" w:firstLineChars="200"/>
        <w:rPr>
          <w:rFonts w:ascii="宋体" w:hAnsi="宋体"/>
          <w:b/>
          <w:color w:val="auto"/>
          <w:sz w:val="24"/>
        </w:rPr>
      </w:pPr>
      <w:r>
        <w:rPr>
          <w:rFonts w:hint="eastAsia" w:ascii="宋体" w:hAnsi="宋体"/>
          <w:b/>
          <w:color w:val="auto"/>
          <w:sz w:val="24"/>
        </w:rPr>
        <w:t>1.3 价款</w:t>
      </w:r>
    </w:p>
    <w:p w14:paraId="59F8036E">
      <w:pPr>
        <w:spacing w:line="360" w:lineRule="auto"/>
        <w:ind w:firstLine="480" w:firstLineChars="200"/>
        <w:rPr>
          <w:rFonts w:ascii="宋体" w:hAnsi="宋体"/>
          <w:color w:val="auto"/>
          <w:sz w:val="24"/>
        </w:rPr>
      </w:pPr>
      <w:r>
        <w:rPr>
          <w:rFonts w:hint="eastAsia" w:ascii="宋体" w:hAnsi="宋体"/>
          <w:color w:val="auto"/>
          <w:sz w:val="24"/>
        </w:rPr>
        <w:t>本合同总价为：人民币</w:t>
      </w:r>
      <w:r>
        <w:rPr>
          <w:rFonts w:hint="eastAsia" w:ascii="宋体" w:hAnsi="宋体"/>
          <w:color w:val="auto"/>
          <w:sz w:val="24"/>
          <w:u w:val="single"/>
        </w:rPr>
        <w:t xml:space="preserve">           </w:t>
      </w:r>
      <w:r>
        <w:rPr>
          <w:rFonts w:hint="eastAsia" w:ascii="宋体" w:hAnsi="宋体"/>
          <w:color w:val="auto"/>
          <w:sz w:val="24"/>
        </w:rPr>
        <w:t>元（大写：</w:t>
      </w:r>
      <w:r>
        <w:rPr>
          <w:rFonts w:hint="eastAsia" w:ascii="宋体" w:hAnsi="宋体"/>
          <w:color w:val="auto"/>
          <w:sz w:val="24"/>
          <w:u w:val="single"/>
        </w:rPr>
        <w:t xml:space="preserve">                 </w:t>
      </w:r>
      <w:r>
        <w:rPr>
          <w:rFonts w:hint="eastAsia" w:ascii="宋体" w:hAnsi="宋体"/>
          <w:color w:val="auto"/>
          <w:sz w:val="24"/>
        </w:rPr>
        <w:t>元人民币，含税）。</w:t>
      </w:r>
    </w:p>
    <w:p w14:paraId="6816EC4E">
      <w:pPr>
        <w:spacing w:line="360" w:lineRule="auto"/>
        <w:ind w:firstLine="480" w:firstLineChars="200"/>
        <w:rPr>
          <w:rFonts w:ascii="宋体" w:hAnsi="宋体"/>
          <w:color w:val="auto"/>
          <w:sz w:val="24"/>
          <w:u w:val="single"/>
        </w:rPr>
      </w:pPr>
      <w:r>
        <w:rPr>
          <w:rFonts w:hint="eastAsia" w:ascii="宋体" w:hAnsi="宋体"/>
          <w:color w:val="auto"/>
          <w:sz w:val="24"/>
        </w:rPr>
        <w:t>分项价格：</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36484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4113F634">
            <w:pPr>
              <w:spacing w:line="360" w:lineRule="auto"/>
              <w:ind w:firstLine="480" w:firstLineChars="200"/>
              <w:rPr>
                <w:rFonts w:ascii="宋体" w:hAnsi="宋体"/>
                <w:color w:val="auto"/>
                <w:sz w:val="24"/>
              </w:rPr>
            </w:pPr>
            <w:r>
              <w:rPr>
                <w:rFonts w:hint="eastAsia" w:ascii="宋体" w:hAnsi="宋体"/>
                <w:color w:val="auto"/>
                <w:sz w:val="24"/>
              </w:rPr>
              <w:t>序号</w:t>
            </w:r>
          </w:p>
        </w:tc>
        <w:tc>
          <w:tcPr>
            <w:tcW w:w="3402" w:type="dxa"/>
            <w:tcBorders>
              <w:top w:val="single" w:color="auto" w:sz="4" w:space="0"/>
              <w:left w:val="single" w:color="auto" w:sz="4" w:space="0"/>
              <w:bottom w:val="single" w:color="auto" w:sz="4" w:space="0"/>
              <w:right w:val="single" w:color="auto" w:sz="4" w:space="0"/>
            </w:tcBorders>
            <w:vAlign w:val="center"/>
          </w:tcPr>
          <w:p w14:paraId="1848CB8A">
            <w:pPr>
              <w:spacing w:line="360" w:lineRule="auto"/>
              <w:ind w:firstLine="480" w:firstLineChars="200"/>
              <w:rPr>
                <w:rFonts w:ascii="宋体" w:hAnsi="宋体"/>
                <w:color w:val="auto"/>
                <w:sz w:val="24"/>
              </w:rPr>
            </w:pPr>
            <w:r>
              <w:rPr>
                <w:rFonts w:hint="eastAsia" w:ascii="宋体" w:hAnsi="宋体"/>
                <w:color w:val="auto"/>
                <w:sz w:val="24"/>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14:paraId="28A06130">
            <w:pPr>
              <w:spacing w:line="360" w:lineRule="auto"/>
              <w:ind w:firstLine="480" w:firstLineChars="200"/>
              <w:rPr>
                <w:rFonts w:ascii="宋体" w:hAnsi="宋体"/>
                <w:color w:val="auto"/>
                <w:sz w:val="24"/>
              </w:rPr>
            </w:pPr>
            <w:r>
              <w:rPr>
                <w:rFonts w:hint="eastAsia" w:ascii="宋体" w:hAnsi="宋体"/>
                <w:color w:val="auto"/>
                <w:sz w:val="24"/>
              </w:rPr>
              <w:t>分项价格</w:t>
            </w:r>
          </w:p>
        </w:tc>
      </w:tr>
      <w:tr w14:paraId="43375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416D98C8">
            <w:pPr>
              <w:spacing w:line="360" w:lineRule="auto"/>
              <w:ind w:firstLine="480" w:firstLineChars="200"/>
              <w:rPr>
                <w:rFonts w:ascii="宋体" w:hAnsi="宋体"/>
                <w:color w:val="auto"/>
                <w:sz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043AED4D">
            <w:pPr>
              <w:spacing w:line="360" w:lineRule="auto"/>
              <w:ind w:firstLine="480" w:firstLineChars="200"/>
              <w:rPr>
                <w:rFonts w:ascii="宋体" w:hAnsi="宋体"/>
                <w:color w:val="auto"/>
                <w:sz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1E9EB5C1">
            <w:pPr>
              <w:spacing w:line="360" w:lineRule="auto"/>
              <w:ind w:firstLine="480" w:firstLineChars="200"/>
              <w:rPr>
                <w:rFonts w:ascii="宋体" w:hAnsi="宋体"/>
                <w:color w:val="auto"/>
                <w:sz w:val="24"/>
              </w:rPr>
            </w:pPr>
          </w:p>
        </w:tc>
      </w:tr>
      <w:tr w14:paraId="1CDEE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6C74EF29">
            <w:pPr>
              <w:spacing w:line="360" w:lineRule="auto"/>
              <w:ind w:firstLine="480" w:firstLineChars="200"/>
              <w:rPr>
                <w:rFonts w:ascii="宋体" w:hAnsi="宋体"/>
                <w:color w:val="auto"/>
                <w:sz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43881E90">
            <w:pPr>
              <w:spacing w:line="360" w:lineRule="auto"/>
              <w:ind w:firstLine="480" w:firstLineChars="200"/>
              <w:rPr>
                <w:rFonts w:ascii="宋体" w:hAnsi="宋体"/>
                <w:color w:val="auto"/>
                <w:sz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680826CA">
            <w:pPr>
              <w:spacing w:line="360" w:lineRule="auto"/>
              <w:ind w:firstLine="480" w:firstLineChars="200"/>
              <w:rPr>
                <w:rFonts w:ascii="宋体" w:hAnsi="宋体"/>
                <w:color w:val="auto"/>
                <w:sz w:val="24"/>
              </w:rPr>
            </w:pPr>
          </w:p>
        </w:tc>
      </w:tr>
      <w:tr w14:paraId="3F767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13B387F6">
            <w:pPr>
              <w:spacing w:line="360" w:lineRule="auto"/>
              <w:ind w:firstLine="480" w:firstLineChars="200"/>
              <w:rPr>
                <w:rFonts w:ascii="宋体" w:hAnsi="宋体"/>
                <w:color w:val="auto"/>
                <w:sz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7BBB004D">
            <w:pPr>
              <w:spacing w:line="360" w:lineRule="auto"/>
              <w:ind w:firstLine="480" w:firstLineChars="200"/>
              <w:rPr>
                <w:rFonts w:ascii="宋体" w:hAnsi="宋体"/>
                <w:color w:val="auto"/>
                <w:sz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689E12BF">
            <w:pPr>
              <w:spacing w:line="360" w:lineRule="auto"/>
              <w:ind w:firstLine="480" w:firstLineChars="200"/>
              <w:rPr>
                <w:rFonts w:ascii="宋体" w:hAnsi="宋体"/>
                <w:color w:val="auto"/>
                <w:sz w:val="24"/>
              </w:rPr>
            </w:pPr>
          </w:p>
        </w:tc>
      </w:tr>
      <w:tr w14:paraId="1F6C3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14:paraId="143FB874">
            <w:pPr>
              <w:spacing w:line="360" w:lineRule="auto"/>
              <w:ind w:firstLine="480" w:firstLineChars="200"/>
              <w:rPr>
                <w:rFonts w:ascii="宋体" w:hAnsi="宋体"/>
                <w:color w:val="auto"/>
                <w:sz w:val="24"/>
              </w:rPr>
            </w:pPr>
            <w:r>
              <w:rPr>
                <w:rFonts w:hint="eastAsia" w:ascii="宋体" w:hAnsi="宋体"/>
                <w:color w:val="auto"/>
                <w:sz w:val="24"/>
              </w:rPr>
              <w:t>总价</w:t>
            </w:r>
          </w:p>
        </w:tc>
        <w:tc>
          <w:tcPr>
            <w:tcW w:w="2552" w:type="dxa"/>
            <w:tcBorders>
              <w:top w:val="single" w:color="auto" w:sz="4" w:space="0"/>
              <w:left w:val="single" w:color="auto" w:sz="4" w:space="0"/>
              <w:bottom w:val="single" w:color="auto" w:sz="4" w:space="0"/>
              <w:right w:val="single" w:color="auto" w:sz="4" w:space="0"/>
            </w:tcBorders>
            <w:vAlign w:val="center"/>
          </w:tcPr>
          <w:p w14:paraId="1C570A60">
            <w:pPr>
              <w:spacing w:line="360" w:lineRule="auto"/>
              <w:ind w:firstLine="480" w:firstLineChars="200"/>
              <w:rPr>
                <w:rFonts w:ascii="宋体" w:hAnsi="宋体"/>
                <w:color w:val="auto"/>
                <w:sz w:val="24"/>
              </w:rPr>
            </w:pPr>
          </w:p>
        </w:tc>
      </w:tr>
    </w:tbl>
    <w:p w14:paraId="321407BB">
      <w:pPr>
        <w:spacing w:line="360" w:lineRule="auto"/>
        <w:ind w:firstLine="482" w:firstLineChars="200"/>
        <w:rPr>
          <w:rFonts w:ascii="宋体" w:hAnsi="宋体"/>
          <w:b/>
          <w:color w:val="auto"/>
          <w:sz w:val="24"/>
        </w:rPr>
      </w:pPr>
      <w:r>
        <w:rPr>
          <w:rFonts w:hint="eastAsia" w:ascii="宋体" w:hAnsi="宋体"/>
          <w:b/>
          <w:color w:val="auto"/>
          <w:sz w:val="24"/>
        </w:rPr>
        <w:t>1.4 付款方式和发票开具方式</w:t>
      </w:r>
    </w:p>
    <w:p w14:paraId="0018A7B4">
      <w:pPr>
        <w:spacing w:line="360" w:lineRule="auto"/>
        <w:ind w:firstLine="480" w:firstLineChars="200"/>
        <w:rPr>
          <w:rFonts w:ascii="宋体" w:hAnsi="宋体"/>
          <w:color w:val="auto"/>
          <w:sz w:val="24"/>
        </w:rPr>
      </w:pPr>
      <w:r>
        <w:rPr>
          <w:rFonts w:hint="eastAsia" w:ascii="宋体" w:hAnsi="宋体"/>
          <w:color w:val="auto"/>
          <w:sz w:val="24"/>
        </w:rPr>
        <w:t>1.4.1 付款方式：</w:t>
      </w:r>
      <w:r>
        <w:rPr>
          <w:rFonts w:hint="eastAsia" w:ascii="宋体" w:hAnsi="宋体"/>
          <w:color w:val="auto"/>
          <w:sz w:val="24"/>
          <w:u w:val="single"/>
        </w:rPr>
        <w:t xml:space="preserve">                                                </w:t>
      </w:r>
      <w:r>
        <w:rPr>
          <w:rFonts w:hint="eastAsia" w:ascii="宋体" w:hAnsi="宋体"/>
          <w:color w:val="auto"/>
          <w:sz w:val="24"/>
        </w:rPr>
        <w:t>；如因财政资金未到位导致甲方无法支付费用的，甲方不承担违约责任。</w:t>
      </w:r>
    </w:p>
    <w:p w14:paraId="2E48DDB1">
      <w:pPr>
        <w:spacing w:line="360" w:lineRule="auto"/>
        <w:ind w:firstLine="480" w:firstLineChars="200"/>
        <w:rPr>
          <w:rFonts w:ascii="宋体" w:hAnsi="宋体"/>
          <w:color w:val="auto"/>
          <w:sz w:val="24"/>
        </w:rPr>
      </w:pPr>
      <w:r>
        <w:rPr>
          <w:rFonts w:hint="eastAsia" w:ascii="宋体" w:hAnsi="宋体"/>
          <w:color w:val="auto"/>
          <w:sz w:val="24"/>
        </w:rPr>
        <w:t>1.4.2 发票开具方式：</w:t>
      </w:r>
      <w:r>
        <w:rPr>
          <w:rFonts w:hint="eastAsia" w:ascii="宋体" w:hAnsi="宋体"/>
          <w:color w:val="auto"/>
          <w:sz w:val="24"/>
          <w:u w:val="single"/>
        </w:rPr>
        <w:t xml:space="preserve">                                            </w:t>
      </w:r>
      <w:r>
        <w:rPr>
          <w:rFonts w:hint="eastAsia" w:ascii="宋体" w:hAnsi="宋体"/>
          <w:color w:val="auto"/>
          <w:sz w:val="24"/>
        </w:rPr>
        <w:t>。</w:t>
      </w:r>
    </w:p>
    <w:p w14:paraId="4C4604E4">
      <w:pPr>
        <w:spacing w:line="360" w:lineRule="auto"/>
        <w:ind w:firstLine="482" w:firstLineChars="200"/>
        <w:rPr>
          <w:rFonts w:ascii="宋体" w:hAnsi="宋体"/>
          <w:b/>
          <w:color w:val="auto"/>
          <w:sz w:val="24"/>
        </w:rPr>
      </w:pPr>
      <w:r>
        <w:rPr>
          <w:rFonts w:hint="eastAsia" w:ascii="宋体" w:hAnsi="宋体"/>
          <w:b/>
          <w:color w:val="auto"/>
          <w:sz w:val="24"/>
        </w:rPr>
        <w:t>1.5 标的物交付期限、地点、方式和服务期限</w:t>
      </w:r>
    </w:p>
    <w:p w14:paraId="2D038BFA">
      <w:pPr>
        <w:spacing w:line="360" w:lineRule="auto"/>
        <w:ind w:firstLine="480" w:firstLineChars="200"/>
        <w:rPr>
          <w:rFonts w:ascii="宋体" w:hAnsi="宋体"/>
          <w:color w:val="auto"/>
          <w:sz w:val="24"/>
          <w:u w:val="single"/>
        </w:rPr>
      </w:pPr>
      <w:r>
        <w:rPr>
          <w:rFonts w:hint="eastAsia" w:ascii="宋体" w:hAnsi="宋体"/>
          <w:color w:val="auto"/>
          <w:sz w:val="24"/>
        </w:rPr>
        <w:t>1.5.1 交付期限：</w:t>
      </w:r>
      <w:r>
        <w:rPr>
          <w:rFonts w:hint="eastAsia" w:ascii="宋体" w:hAnsi="宋体"/>
          <w:color w:val="auto"/>
          <w:sz w:val="24"/>
          <w:u w:val="single"/>
        </w:rPr>
        <w:t xml:space="preserve">                                                 ；</w:t>
      </w:r>
    </w:p>
    <w:p w14:paraId="139A8CDF">
      <w:pPr>
        <w:spacing w:line="360" w:lineRule="auto"/>
        <w:ind w:firstLine="480" w:firstLineChars="200"/>
        <w:rPr>
          <w:rFonts w:ascii="宋体" w:hAnsi="宋体"/>
          <w:color w:val="auto"/>
          <w:sz w:val="24"/>
        </w:rPr>
      </w:pPr>
      <w:r>
        <w:rPr>
          <w:rFonts w:hint="eastAsia" w:ascii="宋体" w:hAnsi="宋体"/>
          <w:color w:val="auto"/>
          <w:sz w:val="24"/>
        </w:rPr>
        <w:t>1.5.2 交付地点：</w:t>
      </w:r>
      <w:r>
        <w:rPr>
          <w:rFonts w:hint="eastAsia" w:ascii="宋体" w:hAnsi="宋体"/>
          <w:color w:val="auto"/>
          <w:sz w:val="24"/>
          <w:u w:val="single"/>
        </w:rPr>
        <w:t xml:space="preserve">                                                </w:t>
      </w:r>
      <w:r>
        <w:rPr>
          <w:rFonts w:hint="eastAsia" w:ascii="宋体" w:hAnsi="宋体"/>
          <w:color w:val="auto"/>
          <w:sz w:val="24"/>
        </w:rPr>
        <w:t>；</w:t>
      </w:r>
    </w:p>
    <w:p w14:paraId="300BBBE2">
      <w:pPr>
        <w:spacing w:line="360" w:lineRule="auto"/>
        <w:ind w:firstLine="480" w:firstLineChars="200"/>
        <w:rPr>
          <w:rFonts w:ascii="宋体" w:hAnsi="宋体"/>
          <w:color w:val="auto"/>
          <w:sz w:val="24"/>
        </w:rPr>
      </w:pPr>
      <w:r>
        <w:rPr>
          <w:rFonts w:hint="eastAsia" w:ascii="宋体" w:hAnsi="宋体"/>
          <w:color w:val="auto"/>
          <w:sz w:val="24"/>
        </w:rPr>
        <w:t>1.5.3 交付方式：</w:t>
      </w:r>
      <w:r>
        <w:rPr>
          <w:rFonts w:hint="eastAsia" w:ascii="宋体" w:hAnsi="宋体"/>
          <w:color w:val="auto"/>
          <w:sz w:val="24"/>
          <w:u w:val="single"/>
        </w:rPr>
        <w:t xml:space="preserve">                                        　      </w:t>
      </w:r>
      <w:r>
        <w:rPr>
          <w:rFonts w:hint="eastAsia" w:ascii="宋体" w:hAnsi="宋体"/>
          <w:color w:val="auto"/>
          <w:sz w:val="24"/>
        </w:rPr>
        <w:t>；</w:t>
      </w:r>
    </w:p>
    <w:p w14:paraId="3E629A2C">
      <w:pPr>
        <w:spacing w:line="360" w:lineRule="auto"/>
        <w:ind w:firstLine="480" w:firstLineChars="200"/>
        <w:rPr>
          <w:rFonts w:ascii="宋体" w:hAnsi="宋体"/>
          <w:color w:val="auto"/>
          <w:sz w:val="24"/>
        </w:rPr>
      </w:pPr>
      <w:r>
        <w:rPr>
          <w:rFonts w:hint="eastAsia" w:ascii="宋体" w:hAnsi="宋体"/>
          <w:color w:val="auto"/>
          <w:sz w:val="24"/>
        </w:rPr>
        <w:t>1.5.4 服务及质保期限：</w:t>
      </w:r>
      <w:r>
        <w:rPr>
          <w:rFonts w:hint="eastAsia" w:ascii="宋体" w:hAnsi="宋体"/>
          <w:color w:val="auto"/>
          <w:sz w:val="24"/>
          <w:u w:val="single"/>
        </w:rPr>
        <w:t xml:space="preserve">                                           </w:t>
      </w:r>
      <w:r>
        <w:rPr>
          <w:rFonts w:hint="eastAsia" w:ascii="宋体" w:hAnsi="宋体"/>
          <w:color w:val="auto"/>
          <w:sz w:val="24"/>
        </w:rPr>
        <w:t>。</w:t>
      </w:r>
    </w:p>
    <w:p w14:paraId="198F3948">
      <w:pPr>
        <w:spacing w:line="360" w:lineRule="auto"/>
        <w:ind w:firstLine="482" w:firstLineChars="200"/>
        <w:rPr>
          <w:rFonts w:ascii="宋体" w:hAnsi="宋体"/>
          <w:b/>
          <w:color w:val="auto"/>
          <w:sz w:val="24"/>
        </w:rPr>
      </w:pPr>
      <w:r>
        <w:rPr>
          <w:rFonts w:hint="eastAsia" w:ascii="宋体" w:hAnsi="宋体"/>
          <w:b/>
          <w:color w:val="auto"/>
          <w:sz w:val="24"/>
        </w:rPr>
        <w:t>1.6 违约责任</w:t>
      </w:r>
    </w:p>
    <w:p w14:paraId="484D8A75">
      <w:pPr>
        <w:spacing w:line="360" w:lineRule="auto"/>
        <w:ind w:firstLine="480" w:firstLineChars="200"/>
        <w:rPr>
          <w:rFonts w:ascii="宋体" w:hAnsi="宋体"/>
          <w:color w:val="auto"/>
          <w:sz w:val="24"/>
        </w:rPr>
      </w:pPr>
      <w:r>
        <w:rPr>
          <w:rFonts w:hint="eastAsia" w:ascii="宋体" w:hAnsi="宋体"/>
          <w:color w:val="auto"/>
          <w:sz w:val="24"/>
        </w:rPr>
        <w:t xml:space="preserve">1.6.1 </w:t>
      </w:r>
      <w:bookmarkStart w:id="22" w:name="OLE_LINK12"/>
      <w:r>
        <w:rPr>
          <w:rFonts w:hint="eastAsia" w:ascii="宋体" w:hAnsi="宋体"/>
          <w:color w:val="auto"/>
          <w:sz w:val="24"/>
        </w:rPr>
        <w:t>除不可抗力外，如果乙方</w:t>
      </w:r>
      <w:bookmarkStart w:id="23" w:name="OLE_LINK15"/>
      <w:r>
        <w:rPr>
          <w:rFonts w:hint="eastAsia" w:ascii="宋体" w:hAnsi="宋体"/>
          <w:color w:val="auto"/>
          <w:sz w:val="24"/>
        </w:rPr>
        <w:t>在项目各阶段</w:t>
      </w:r>
      <w:bookmarkEnd w:id="23"/>
      <w:r>
        <w:rPr>
          <w:rFonts w:hint="eastAsia" w:ascii="宋体" w:hAnsi="宋体"/>
          <w:color w:val="auto"/>
          <w:sz w:val="24"/>
        </w:rPr>
        <w:t>没有按照本合同约定的期限、地点和方式、质量交付标的物，甲方可要求乙方支付违约金，违约金按每迟延交付标的物一日按合同总价款的千分之一计算；迟延超过【10】日的，甲方有权在要求乙方支付违约金的同时，书面通知乙方解除本合同</w:t>
      </w:r>
      <w:bookmarkStart w:id="24" w:name="OLE_LINK5"/>
      <w:r>
        <w:rPr>
          <w:rFonts w:hint="eastAsia" w:ascii="宋体" w:hAnsi="宋体"/>
          <w:color w:val="auto"/>
          <w:sz w:val="24"/>
        </w:rPr>
        <w:t>，乙方应退回全部已收取的合同价款并按合同总金额的 20% 向甲方支付违约金</w:t>
      </w:r>
      <w:bookmarkEnd w:id="24"/>
      <w:r>
        <w:rPr>
          <w:rFonts w:hint="eastAsia" w:ascii="宋体" w:hAnsi="宋体"/>
          <w:color w:val="auto"/>
          <w:sz w:val="24"/>
        </w:rPr>
        <w:t>；</w:t>
      </w:r>
    </w:p>
    <w:bookmarkEnd w:id="22"/>
    <w:p w14:paraId="08D31E11">
      <w:pPr>
        <w:spacing w:line="360" w:lineRule="auto"/>
        <w:ind w:firstLine="480" w:firstLineChars="200"/>
        <w:rPr>
          <w:rFonts w:ascii="宋体" w:hAnsi="宋体"/>
          <w:color w:val="auto"/>
          <w:sz w:val="24"/>
        </w:rPr>
      </w:pPr>
      <w:r>
        <w:rPr>
          <w:rFonts w:hint="eastAsia" w:ascii="宋体" w:hAnsi="宋体"/>
          <w:color w:val="auto"/>
          <w:sz w:val="24"/>
        </w:rPr>
        <w:t>1.6.2 除不可抗力外，财政资金未到位或者国库支付管理系统关闭等原因外，如果甲方没有按照本合同约定的付款方式付款，乙方可要求甲方支付违约金，违约金按每迟延付款一日的应付而未付款的</w:t>
      </w:r>
      <w:r>
        <w:rPr>
          <w:rFonts w:hint="eastAsia" w:ascii="宋体" w:hAnsi="宋体"/>
          <w:color w:val="auto"/>
          <w:sz w:val="24"/>
          <w:u w:val="single"/>
        </w:rPr>
        <w:t>万分之二</w:t>
      </w:r>
      <w:r>
        <w:rPr>
          <w:rFonts w:hint="eastAsia" w:ascii="宋体" w:hAnsi="宋体"/>
          <w:color w:val="auto"/>
          <w:sz w:val="24"/>
        </w:rPr>
        <w:t>计算，最高限额为欠付金额的</w:t>
      </w:r>
      <w:r>
        <w:rPr>
          <w:rFonts w:hint="eastAsia" w:ascii="宋体" w:hAnsi="宋体"/>
          <w:color w:val="auto"/>
          <w:sz w:val="24"/>
          <w:u w:val="single"/>
        </w:rPr>
        <w:t xml:space="preserve"> 5%</w:t>
      </w:r>
      <w:r>
        <w:rPr>
          <w:rFonts w:hint="eastAsia" w:ascii="宋体" w:hAnsi="宋体"/>
          <w:color w:val="auto"/>
          <w:sz w:val="24"/>
        </w:rPr>
        <w:t>；迟延付款的违约金计算数额达到前述最高限额之日起，乙方有权在要求甲方支付违约金的同时，书面通知甲方解除本合同；</w:t>
      </w:r>
    </w:p>
    <w:p w14:paraId="6D99A303">
      <w:pPr>
        <w:spacing w:line="360" w:lineRule="auto"/>
        <w:ind w:firstLine="480" w:firstLineChars="200"/>
        <w:rPr>
          <w:rFonts w:ascii="宋体" w:hAnsi="宋体"/>
          <w:color w:val="auto"/>
          <w:sz w:val="24"/>
        </w:rPr>
      </w:pPr>
      <w:r>
        <w:rPr>
          <w:rFonts w:hint="eastAsia" w:ascii="宋体" w:hAnsi="宋体"/>
          <w:color w:val="auto"/>
          <w:sz w:val="24"/>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725FEE05">
      <w:pPr>
        <w:spacing w:line="360" w:lineRule="auto"/>
        <w:ind w:firstLine="480" w:firstLineChars="200"/>
        <w:rPr>
          <w:rFonts w:ascii="宋体" w:hAnsi="宋体"/>
          <w:color w:val="auto"/>
          <w:sz w:val="24"/>
        </w:rPr>
      </w:pPr>
      <w:r>
        <w:rPr>
          <w:rFonts w:hint="eastAsia" w:ascii="宋体" w:hAnsi="宋体"/>
          <w:color w:val="auto"/>
          <w:sz w:val="24"/>
        </w:rPr>
        <w:t>1.6.4乙方交付的标的物不符合合同约定标准或者相关国家规定的，甲方有权要求乙方返工，由此产生的费用由乙方承担，造成逾期交付的，乙方仍需按照本合同1.6.1项支付逾期违约金。乙方返工以后仍不能达到要求的，甲方有权解除合同，并要求乙方承担合同总价款</w:t>
      </w:r>
      <w:r>
        <w:rPr>
          <w:rFonts w:hint="eastAsia" w:ascii="宋体" w:hAnsi="宋体"/>
          <w:color w:val="auto"/>
          <w:sz w:val="24"/>
          <w:u w:val="single"/>
        </w:rPr>
        <w:t xml:space="preserve"> 20 %</w:t>
      </w:r>
      <w:r>
        <w:rPr>
          <w:rFonts w:hint="eastAsia" w:ascii="宋体" w:hAnsi="宋体"/>
          <w:color w:val="auto"/>
          <w:sz w:val="24"/>
        </w:rPr>
        <w:t>的违约责任。</w:t>
      </w:r>
    </w:p>
    <w:p w14:paraId="3A808989">
      <w:pPr>
        <w:spacing w:line="360" w:lineRule="auto"/>
        <w:ind w:firstLine="480" w:firstLineChars="200"/>
        <w:rPr>
          <w:rFonts w:ascii="宋体" w:hAnsi="宋体" w:cs="仿宋"/>
          <w:color w:val="auto"/>
          <w:sz w:val="24"/>
        </w:rPr>
      </w:pPr>
      <w:r>
        <w:rPr>
          <w:rFonts w:hint="eastAsia" w:ascii="宋体" w:hAnsi="宋体"/>
          <w:color w:val="auto"/>
          <w:sz w:val="24"/>
        </w:rPr>
        <w:t>1.6.5乙方在质保期内未按承诺提供售后等服务的，每发生一次向甲方支付</w:t>
      </w:r>
      <w:r>
        <w:rPr>
          <w:rFonts w:hint="eastAsia" w:ascii="宋体" w:hAnsi="宋体" w:cs="仿宋"/>
          <w:color w:val="auto"/>
          <w:sz w:val="24"/>
          <w:u w:val="single"/>
        </w:rPr>
        <w:t xml:space="preserve">  </w:t>
      </w:r>
      <w:r>
        <w:rPr>
          <w:rFonts w:hint="eastAsia" w:ascii="宋体" w:hAnsi="宋体"/>
          <w:color w:val="auto"/>
          <w:sz w:val="24"/>
          <w:u w:val="single"/>
        </w:rPr>
        <w:t>2000</w:t>
      </w:r>
      <w:r>
        <w:rPr>
          <w:rFonts w:hint="eastAsia" w:ascii="宋体" w:hAnsi="宋体"/>
          <w:color w:val="auto"/>
          <w:sz w:val="24"/>
        </w:rPr>
        <w:t>元的违约金。</w:t>
      </w:r>
    </w:p>
    <w:p w14:paraId="6F85D8EE">
      <w:pPr>
        <w:spacing w:line="360" w:lineRule="auto"/>
        <w:ind w:firstLine="480" w:firstLineChars="200"/>
        <w:rPr>
          <w:rFonts w:ascii="宋体" w:hAnsi="宋体"/>
          <w:color w:val="auto"/>
          <w:sz w:val="24"/>
        </w:rPr>
      </w:pPr>
      <w:r>
        <w:rPr>
          <w:rFonts w:hint="eastAsia" w:ascii="宋体" w:hAnsi="宋体"/>
          <w:color w:val="auto"/>
          <w:sz w:val="24"/>
        </w:rPr>
        <w:t>1.6.6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207FAE74">
      <w:pPr>
        <w:spacing w:line="360" w:lineRule="auto"/>
        <w:ind w:firstLine="480" w:firstLineChars="200"/>
        <w:rPr>
          <w:rFonts w:ascii="宋体" w:hAnsi="宋体"/>
          <w:color w:val="auto"/>
          <w:sz w:val="24"/>
        </w:rPr>
      </w:pPr>
      <w:r>
        <w:rPr>
          <w:rFonts w:hint="eastAsia" w:ascii="宋体" w:hAnsi="宋体"/>
          <w:color w:val="auto"/>
          <w:sz w:val="24"/>
        </w:rPr>
        <w:t>1.6.7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7D21C38D">
      <w:pPr>
        <w:spacing w:line="360" w:lineRule="auto"/>
        <w:ind w:firstLine="480" w:firstLineChars="200"/>
        <w:rPr>
          <w:rFonts w:ascii="宋体" w:hAnsi="宋体"/>
          <w:color w:val="auto"/>
          <w:sz w:val="24"/>
        </w:rPr>
      </w:pPr>
      <w:r>
        <w:rPr>
          <w:rFonts w:hint="eastAsia" w:ascii="宋体" w:hAnsi="宋体"/>
          <w:color w:val="auto"/>
          <w:sz w:val="24"/>
        </w:rPr>
        <w:t>1.6.8 如果出现政府采购监督管理部门在处理投诉事项期间，书面通知甲方暂停采购活动的情形，或者询问或质疑事项可能影响中标结果的，导致甲方中止履行合同的情形，均不视为甲方违约。</w:t>
      </w:r>
    </w:p>
    <w:p w14:paraId="2DA0FE01">
      <w:pPr>
        <w:spacing w:line="360" w:lineRule="auto"/>
        <w:ind w:firstLine="482" w:firstLineChars="200"/>
        <w:rPr>
          <w:rFonts w:ascii="宋体" w:hAnsi="宋体"/>
          <w:b/>
          <w:color w:val="auto"/>
          <w:sz w:val="24"/>
        </w:rPr>
      </w:pPr>
      <w:r>
        <w:rPr>
          <w:rFonts w:hint="eastAsia" w:ascii="宋体" w:hAnsi="宋体"/>
          <w:b/>
          <w:color w:val="auto"/>
          <w:sz w:val="24"/>
        </w:rPr>
        <w:t>1.7 合同争议的解决</w:t>
      </w:r>
    </w:p>
    <w:p w14:paraId="2E33605D">
      <w:pPr>
        <w:spacing w:line="360" w:lineRule="auto"/>
        <w:ind w:firstLine="480" w:firstLineChars="200"/>
        <w:rPr>
          <w:rFonts w:ascii="宋体" w:hAnsi="宋体"/>
          <w:color w:val="auto"/>
          <w:sz w:val="24"/>
        </w:rPr>
      </w:pPr>
      <w:r>
        <w:rPr>
          <w:rFonts w:hint="eastAsia" w:ascii="宋体" w:hAnsi="宋体"/>
          <w:color w:val="auto"/>
          <w:sz w:val="24"/>
        </w:rPr>
        <w:t>本合同履行过程中发生的任何争议，双方当事人均可通过和解或者调解解决；不愿和解、调解或者和解、调解不成的，可以选择下列第</w:t>
      </w:r>
      <w:r>
        <w:rPr>
          <w:rFonts w:hint="eastAsia" w:ascii="宋体" w:hAnsi="宋体"/>
          <w:color w:val="auto"/>
          <w:sz w:val="24"/>
          <w:u w:val="single"/>
        </w:rPr>
        <w:t xml:space="preserve"> 1.7.2 </w:t>
      </w:r>
      <w:r>
        <w:rPr>
          <w:rFonts w:hint="eastAsia" w:ascii="宋体" w:hAnsi="宋体"/>
          <w:color w:val="auto"/>
          <w:sz w:val="24"/>
        </w:rPr>
        <w:t>种方式解决：</w:t>
      </w:r>
    </w:p>
    <w:p w14:paraId="6E241576">
      <w:pPr>
        <w:spacing w:line="360" w:lineRule="auto"/>
        <w:ind w:firstLine="480" w:firstLineChars="200"/>
        <w:rPr>
          <w:rFonts w:ascii="宋体" w:hAnsi="宋体"/>
          <w:color w:val="auto"/>
          <w:sz w:val="24"/>
        </w:rPr>
      </w:pPr>
      <w:r>
        <w:rPr>
          <w:rFonts w:hint="eastAsia" w:ascii="宋体" w:hAnsi="宋体"/>
          <w:color w:val="auto"/>
          <w:sz w:val="24"/>
        </w:rPr>
        <w:t>1.7.1 将争议提交</w:t>
      </w:r>
      <w:r>
        <w:rPr>
          <w:rFonts w:hint="eastAsia" w:ascii="宋体" w:hAnsi="宋体"/>
          <w:color w:val="auto"/>
          <w:sz w:val="24"/>
          <w:u w:val="single"/>
        </w:rPr>
        <w:t>南宁</w:t>
      </w:r>
      <w:r>
        <w:rPr>
          <w:rFonts w:hint="eastAsia" w:ascii="宋体" w:hAnsi="宋体"/>
          <w:color w:val="auto"/>
          <w:sz w:val="24"/>
        </w:rPr>
        <w:t>仲裁委员会依申请仲裁时其现行有效的仲裁规则裁决；</w:t>
      </w:r>
    </w:p>
    <w:p w14:paraId="1872DEEA">
      <w:pPr>
        <w:spacing w:line="360" w:lineRule="auto"/>
        <w:ind w:firstLine="480" w:firstLineChars="200"/>
        <w:rPr>
          <w:rFonts w:ascii="宋体" w:hAnsi="宋体"/>
          <w:color w:val="auto"/>
          <w:sz w:val="24"/>
        </w:rPr>
      </w:pPr>
      <w:r>
        <w:rPr>
          <w:rFonts w:hint="eastAsia" w:ascii="宋体" w:hAnsi="宋体"/>
          <w:color w:val="auto"/>
          <w:sz w:val="24"/>
        </w:rPr>
        <w:t>1.7.2 向</w:t>
      </w:r>
      <w:r>
        <w:rPr>
          <w:rFonts w:hint="eastAsia" w:ascii="宋体" w:hAnsi="宋体"/>
          <w:color w:val="auto"/>
          <w:sz w:val="24"/>
          <w:u w:val="single"/>
        </w:rPr>
        <w:t xml:space="preserve">   甲方所在地 有管辖权的 </w:t>
      </w:r>
      <w:r>
        <w:rPr>
          <w:rFonts w:hint="eastAsia" w:ascii="宋体" w:hAnsi="宋体"/>
          <w:color w:val="auto"/>
          <w:sz w:val="24"/>
        </w:rPr>
        <w:t>人民法院起诉。</w:t>
      </w:r>
    </w:p>
    <w:p w14:paraId="3D2CE09D">
      <w:pPr>
        <w:spacing w:line="360" w:lineRule="auto"/>
        <w:ind w:firstLine="482" w:firstLineChars="200"/>
        <w:rPr>
          <w:rFonts w:ascii="宋体" w:hAnsi="宋体"/>
          <w:b/>
          <w:color w:val="auto"/>
          <w:sz w:val="24"/>
        </w:rPr>
      </w:pPr>
      <w:r>
        <w:rPr>
          <w:rFonts w:hint="eastAsia" w:ascii="宋体" w:hAnsi="宋体"/>
          <w:b/>
          <w:color w:val="auto"/>
          <w:sz w:val="24"/>
        </w:rPr>
        <w:t>1.8 合同生效</w:t>
      </w:r>
    </w:p>
    <w:p w14:paraId="6B999BF7">
      <w:pPr>
        <w:spacing w:line="360" w:lineRule="auto"/>
        <w:ind w:firstLine="480" w:firstLineChars="200"/>
        <w:rPr>
          <w:rFonts w:ascii="宋体" w:hAnsi="宋体"/>
          <w:b/>
          <w:color w:val="auto"/>
          <w:sz w:val="24"/>
        </w:rPr>
      </w:pPr>
      <w:bookmarkStart w:id="25" w:name="OLE_LINK16"/>
      <w:r>
        <w:rPr>
          <w:rFonts w:hint="eastAsia" w:ascii="宋体" w:hAnsi="宋体"/>
          <w:color w:val="auto"/>
          <w:sz w:val="24"/>
        </w:rPr>
        <w:t>本合同自双方法定代表人或授权代表签字并加盖有效公章时生效。</w:t>
      </w:r>
    </w:p>
    <w:bookmarkEnd w:id="25"/>
    <w:p w14:paraId="79F41411">
      <w:pPr>
        <w:spacing w:line="420" w:lineRule="exact"/>
        <w:ind w:hanging="142"/>
        <w:rPr>
          <w:rFonts w:ascii="宋体" w:hAnsi="宋体"/>
          <w:color w:val="auto"/>
          <w:sz w:val="24"/>
          <w:lang w:val="zh-CN"/>
        </w:rPr>
      </w:pPr>
    </w:p>
    <w:p w14:paraId="6334CFEC">
      <w:pPr>
        <w:spacing w:line="420" w:lineRule="exact"/>
        <w:ind w:hanging="142"/>
        <w:rPr>
          <w:rFonts w:ascii="宋体" w:hAnsi="宋体"/>
          <w:color w:val="auto"/>
          <w:sz w:val="24"/>
          <w:lang w:val="zh-CN"/>
        </w:rPr>
      </w:pPr>
      <w:r>
        <w:rPr>
          <w:rFonts w:hint="eastAsia" w:ascii="宋体" w:hAnsi="宋体"/>
          <w:color w:val="auto"/>
          <w:sz w:val="24"/>
          <w:lang w:val="zh-CN"/>
        </w:rPr>
        <w:t xml:space="preserve">甲方： </w:t>
      </w:r>
      <w:r>
        <w:rPr>
          <w:rFonts w:ascii="宋体" w:hAnsi="宋体"/>
          <w:color w:val="auto"/>
          <w:sz w:val="24"/>
          <w:lang w:val="zh-CN"/>
        </w:rPr>
        <w:t xml:space="preserve">                        </w:t>
      </w:r>
      <w:r>
        <w:rPr>
          <w:rFonts w:hint="eastAsia" w:ascii="宋体" w:hAnsi="宋体"/>
          <w:color w:val="auto"/>
          <w:sz w:val="24"/>
          <w:lang w:val="zh-CN"/>
        </w:rPr>
        <w:t xml:space="preserve">  乙方：</w:t>
      </w:r>
    </w:p>
    <w:p w14:paraId="653B2FE6">
      <w:pPr>
        <w:spacing w:line="420" w:lineRule="exact"/>
        <w:ind w:hanging="142"/>
        <w:rPr>
          <w:rFonts w:ascii="宋体" w:hAnsi="宋体"/>
          <w:color w:val="auto"/>
          <w:sz w:val="24"/>
          <w:lang w:val="zh-CN"/>
        </w:rPr>
      </w:pPr>
      <w:r>
        <w:rPr>
          <w:rFonts w:hint="eastAsia" w:ascii="宋体" w:hAnsi="宋体"/>
          <w:color w:val="auto"/>
          <w:sz w:val="24"/>
          <w:lang w:val="zh-CN"/>
        </w:rPr>
        <w:t xml:space="preserve">统一社会信用代码：           </w:t>
      </w:r>
      <w:r>
        <w:rPr>
          <w:rFonts w:ascii="宋体" w:hAnsi="宋体"/>
          <w:color w:val="auto"/>
          <w:sz w:val="24"/>
          <w:lang w:val="zh-CN"/>
        </w:rPr>
        <w:t xml:space="preserve"> </w:t>
      </w:r>
      <w:r>
        <w:rPr>
          <w:rFonts w:hint="eastAsia" w:ascii="宋体" w:hAnsi="宋体"/>
          <w:color w:val="auto"/>
          <w:sz w:val="24"/>
          <w:lang w:val="zh-CN"/>
        </w:rPr>
        <w:t xml:space="preserve"> </w:t>
      </w:r>
      <w:r>
        <w:rPr>
          <w:rFonts w:ascii="宋体" w:hAnsi="宋体"/>
          <w:color w:val="auto"/>
          <w:sz w:val="24"/>
          <w:lang w:val="zh-CN"/>
        </w:rPr>
        <w:t xml:space="preserve"> </w:t>
      </w:r>
      <w:r>
        <w:rPr>
          <w:rFonts w:hint="eastAsia" w:ascii="宋体" w:hAnsi="宋体"/>
          <w:color w:val="auto"/>
          <w:sz w:val="24"/>
          <w:lang w:val="zh-CN"/>
        </w:rPr>
        <w:t>统一社会信用代码：</w:t>
      </w:r>
    </w:p>
    <w:p w14:paraId="3E6BBB01">
      <w:pPr>
        <w:spacing w:line="420" w:lineRule="exact"/>
        <w:ind w:hanging="142"/>
        <w:rPr>
          <w:rFonts w:ascii="宋体" w:hAnsi="宋体"/>
          <w:color w:val="auto"/>
          <w:sz w:val="24"/>
          <w:lang w:val="zh-CN"/>
        </w:rPr>
      </w:pPr>
      <w:r>
        <w:rPr>
          <w:rFonts w:ascii="宋体" w:hAnsi="宋体"/>
          <w:color w:val="auto"/>
          <w:sz w:val="24"/>
          <w:lang w:val="zh-CN"/>
        </w:rPr>
        <w:t xml:space="preserve">           </w:t>
      </w:r>
    </w:p>
    <w:p w14:paraId="21978532">
      <w:pPr>
        <w:spacing w:line="420" w:lineRule="exact"/>
        <w:ind w:hanging="142"/>
        <w:rPr>
          <w:rFonts w:ascii="宋体" w:hAnsi="宋体"/>
          <w:color w:val="auto"/>
          <w:sz w:val="24"/>
          <w:lang w:val="zh-CN"/>
        </w:rPr>
      </w:pPr>
      <w:r>
        <w:rPr>
          <w:rFonts w:hint="eastAsia" w:ascii="宋体" w:hAnsi="宋体"/>
          <w:color w:val="auto"/>
          <w:sz w:val="24"/>
          <w:lang w:val="zh-CN"/>
        </w:rPr>
        <w:t xml:space="preserve">住所： </w:t>
      </w:r>
      <w:r>
        <w:rPr>
          <w:rFonts w:ascii="宋体" w:hAnsi="宋体"/>
          <w:color w:val="auto"/>
          <w:sz w:val="24"/>
          <w:lang w:val="zh-CN"/>
        </w:rPr>
        <w:t xml:space="preserve">                   </w:t>
      </w:r>
      <w:r>
        <w:rPr>
          <w:rFonts w:hint="eastAsia" w:ascii="宋体" w:hAnsi="宋体"/>
          <w:color w:val="auto"/>
          <w:sz w:val="24"/>
          <w:lang w:val="zh-CN"/>
        </w:rPr>
        <w:t xml:space="preserve">   </w:t>
      </w:r>
      <w:r>
        <w:rPr>
          <w:rFonts w:ascii="宋体" w:hAnsi="宋体"/>
          <w:color w:val="auto"/>
          <w:sz w:val="24"/>
          <w:lang w:val="zh-CN"/>
        </w:rPr>
        <w:t xml:space="preserve">   </w:t>
      </w:r>
      <w:r>
        <w:rPr>
          <w:rFonts w:hint="eastAsia" w:ascii="宋体" w:hAnsi="宋体"/>
          <w:color w:val="auto"/>
          <w:sz w:val="24"/>
          <w:lang w:val="zh-CN"/>
        </w:rPr>
        <w:t>住所：</w:t>
      </w:r>
    </w:p>
    <w:p w14:paraId="74EAC87A">
      <w:pPr>
        <w:spacing w:line="420" w:lineRule="exact"/>
        <w:ind w:hanging="142"/>
        <w:rPr>
          <w:rFonts w:ascii="宋体" w:hAnsi="宋体"/>
          <w:color w:val="auto"/>
          <w:sz w:val="24"/>
          <w:lang w:val="zh-CN"/>
        </w:rPr>
      </w:pPr>
      <w:r>
        <w:rPr>
          <w:rFonts w:hint="eastAsia" w:ascii="宋体" w:hAnsi="宋体"/>
          <w:color w:val="auto"/>
          <w:sz w:val="24"/>
          <w:lang w:val="zh-CN"/>
        </w:rPr>
        <w:t xml:space="preserve">法定代表人或         </w:t>
      </w:r>
      <w:r>
        <w:rPr>
          <w:rFonts w:ascii="宋体" w:hAnsi="宋体"/>
          <w:color w:val="auto"/>
          <w:sz w:val="24"/>
          <w:lang w:val="zh-CN"/>
        </w:rPr>
        <w:t xml:space="preserve"> </w:t>
      </w:r>
      <w:r>
        <w:rPr>
          <w:rFonts w:hint="eastAsia" w:ascii="宋体" w:hAnsi="宋体"/>
          <w:color w:val="auto"/>
          <w:sz w:val="24"/>
          <w:lang w:val="zh-CN"/>
        </w:rPr>
        <w:t xml:space="preserve">          法定代表人或</w:t>
      </w:r>
    </w:p>
    <w:p w14:paraId="7226C1B8">
      <w:pPr>
        <w:spacing w:line="420" w:lineRule="exact"/>
        <w:ind w:hanging="142"/>
        <w:rPr>
          <w:rFonts w:ascii="宋体" w:hAnsi="宋体"/>
          <w:color w:val="auto"/>
          <w:sz w:val="24"/>
          <w:lang w:val="zh-CN"/>
        </w:rPr>
      </w:pPr>
      <w:r>
        <w:rPr>
          <w:rFonts w:hint="eastAsia" w:ascii="宋体" w:hAnsi="宋体"/>
          <w:color w:val="auto"/>
          <w:sz w:val="24"/>
          <w:lang w:val="zh-CN"/>
        </w:rPr>
        <w:t>授权代表（</w:t>
      </w:r>
      <w:r>
        <w:rPr>
          <w:rFonts w:hint="eastAsia" w:ascii="宋体" w:hAnsi="宋体"/>
          <w:color w:val="auto"/>
          <w:sz w:val="24"/>
        </w:rPr>
        <w:t>签名</w:t>
      </w:r>
      <w:r>
        <w:rPr>
          <w:rFonts w:hint="eastAsia" w:ascii="宋体" w:hAnsi="宋体"/>
          <w:color w:val="auto"/>
          <w:sz w:val="24"/>
          <w:lang w:val="zh-CN"/>
        </w:rPr>
        <w:t>或盖章）：        授权代表（</w:t>
      </w:r>
      <w:r>
        <w:rPr>
          <w:rFonts w:hint="eastAsia" w:ascii="宋体" w:hAnsi="宋体"/>
          <w:color w:val="auto"/>
          <w:sz w:val="24"/>
        </w:rPr>
        <w:t>签名</w:t>
      </w:r>
      <w:r>
        <w:rPr>
          <w:rFonts w:hint="eastAsia" w:ascii="宋体" w:hAnsi="宋体"/>
          <w:color w:val="auto"/>
          <w:sz w:val="24"/>
          <w:lang w:val="zh-CN"/>
        </w:rPr>
        <w:t xml:space="preserve">或盖章）: </w:t>
      </w:r>
    </w:p>
    <w:p w14:paraId="291BE720">
      <w:pPr>
        <w:spacing w:line="420" w:lineRule="exact"/>
        <w:ind w:hanging="142"/>
        <w:rPr>
          <w:rFonts w:ascii="宋体" w:hAnsi="宋体"/>
          <w:color w:val="auto"/>
          <w:sz w:val="24"/>
          <w:lang w:val="zh-CN"/>
        </w:rPr>
      </w:pPr>
      <w:r>
        <w:rPr>
          <w:rFonts w:hint="eastAsia" w:ascii="宋体" w:hAnsi="宋体"/>
          <w:color w:val="auto"/>
          <w:sz w:val="24"/>
          <w:lang w:val="zh-CN"/>
        </w:rPr>
        <w:t>联系人：                        联系人：</w:t>
      </w:r>
    </w:p>
    <w:p w14:paraId="42964118">
      <w:pPr>
        <w:spacing w:line="420" w:lineRule="exact"/>
        <w:ind w:hanging="142"/>
        <w:rPr>
          <w:rFonts w:ascii="宋体" w:hAnsi="宋体"/>
          <w:color w:val="auto"/>
          <w:sz w:val="24"/>
          <w:lang w:val="zh-CN"/>
        </w:rPr>
      </w:pPr>
      <w:r>
        <w:rPr>
          <w:rFonts w:hint="eastAsia" w:ascii="宋体" w:hAnsi="宋体"/>
          <w:color w:val="auto"/>
          <w:sz w:val="24"/>
          <w:lang w:val="zh-CN"/>
        </w:rPr>
        <w:t xml:space="preserve">约定送达地址：  </w:t>
      </w:r>
      <w:r>
        <w:rPr>
          <w:rFonts w:ascii="宋体" w:hAnsi="宋体"/>
          <w:color w:val="auto"/>
          <w:sz w:val="24"/>
          <w:lang w:val="zh-CN"/>
        </w:rPr>
        <w:t xml:space="preserve">                </w:t>
      </w:r>
      <w:r>
        <w:rPr>
          <w:rFonts w:hint="eastAsia" w:ascii="宋体" w:hAnsi="宋体"/>
          <w:color w:val="auto"/>
          <w:sz w:val="24"/>
          <w:lang w:val="zh-CN"/>
        </w:rPr>
        <w:t>约定送达地址：</w:t>
      </w:r>
    </w:p>
    <w:p w14:paraId="156A6BF4">
      <w:pPr>
        <w:spacing w:line="420" w:lineRule="exact"/>
        <w:ind w:hanging="142"/>
        <w:rPr>
          <w:rFonts w:ascii="宋体" w:hAnsi="宋体"/>
          <w:color w:val="auto"/>
          <w:sz w:val="24"/>
          <w:lang w:val="zh-CN"/>
        </w:rPr>
      </w:pPr>
      <w:r>
        <w:rPr>
          <w:rFonts w:hint="eastAsia" w:ascii="宋体" w:hAnsi="宋体"/>
          <w:color w:val="auto"/>
          <w:sz w:val="24"/>
          <w:lang w:val="zh-CN"/>
        </w:rPr>
        <w:t xml:space="preserve">邮政编码：                    </w:t>
      </w:r>
      <w:r>
        <w:rPr>
          <w:rFonts w:ascii="宋体" w:hAnsi="宋体"/>
          <w:color w:val="auto"/>
          <w:sz w:val="24"/>
          <w:lang w:val="zh-CN"/>
        </w:rPr>
        <w:t xml:space="preserve">  </w:t>
      </w:r>
      <w:r>
        <w:rPr>
          <w:rFonts w:hint="eastAsia" w:ascii="宋体" w:hAnsi="宋体"/>
          <w:color w:val="auto"/>
          <w:sz w:val="24"/>
          <w:lang w:val="zh-CN"/>
        </w:rPr>
        <w:t xml:space="preserve"> 邮政编码：</w:t>
      </w:r>
    </w:p>
    <w:p w14:paraId="5A17CEE3">
      <w:pPr>
        <w:spacing w:line="420" w:lineRule="exact"/>
        <w:ind w:hanging="142"/>
        <w:rPr>
          <w:rFonts w:ascii="宋体" w:hAnsi="宋体"/>
          <w:color w:val="auto"/>
          <w:sz w:val="24"/>
          <w:lang w:val="zh-CN"/>
        </w:rPr>
      </w:pPr>
      <w:r>
        <w:rPr>
          <w:rFonts w:hint="eastAsia" w:ascii="宋体" w:hAnsi="宋体"/>
          <w:color w:val="auto"/>
          <w:sz w:val="24"/>
          <w:lang w:val="zh-CN"/>
        </w:rPr>
        <w:t xml:space="preserve">电话:                          电话: </w:t>
      </w:r>
    </w:p>
    <w:p w14:paraId="32228367">
      <w:pPr>
        <w:spacing w:line="420" w:lineRule="exact"/>
        <w:ind w:hanging="142"/>
        <w:rPr>
          <w:rFonts w:ascii="宋体" w:hAnsi="宋体"/>
          <w:color w:val="auto"/>
          <w:sz w:val="24"/>
          <w:lang w:val="zh-CN"/>
        </w:rPr>
      </w:pPr>
      <w:r>
        <w:rPr>
          <w:rFonts w:hint="eastAsia" w:ascii="宋体" w:hAnsi="宋体"/>
          <w:color w:val="auto"/>
          <w:sz w:val="24"/>
          <w:lang w:val="zh-CN"/>
        </w:rPr>
        <w:t>传真:                          传真</w:t>
      </w:r>
      <w:r>
        <w:rPr>
          <w:rFonts w:ascii="宋体" w:hAnsi="宋体"/>
          <w:color w:val="auto"/>
          <w:sz w:val="24"/>
          <w:lang w:val="zh-CN"/>
        </w:rPr>
        <w:t>:</w:t>
      </w:r>
      <w:r>
        <w:rPr>
          <w:rFonts w:ascii="宋体" w:hAnsi="宋体"/>
          <w:color w:val="auto"/>
        </w:rPr>
        <w:t xml:space="preserve"> </w:t>
      </w:r>
    </w:p>
    <w:p w14:paraId="4057B543">
      <w:pPr>
        <w:spacing w:line="420" w:lineRule="exact"/>
        <w:ind w:hanging="142"/>
        <w:rPr>
          <w:rFonts w:ascii="宋体" w:hAnsi="宋体"/>
          <w:color w:val="auto"/>
          <w:sz w:val="24"/>
          <w:lang w:val="zh-CN"/>
        </w:rPr>
      </w:pPr>
      <w:r>
        <w:rPr>
          <w:rFonts w:hint="eastAsia" w:ascii="宋体" w:hAnsi="宋体"/>
          <w:color w:val="auto"/>
          <w:sz w:val="24"/>
          <w:lang w:val="zh-CN"/>
        </w:rPr>
        <w:t>电子邮箱：                     电子邮箱：</w:t>
      </w:r>
    </w:p>
    <w:p w14:paraId="794AEE50">
      <w:pPr>
        <w:spacing w:line="420" w:lineRule="exact"/>
        <w:ind w:hanging="142"/>
        <w:rPr>
          <w:rFonts w:ascii="宋体" w:hAnsi="宋体"/>
          <w:color w:val="auto"/>
          <w:sz w:val="24"/>
          <w:lang w:val="zh-CN"/>
        </w:rPr>
      </w:pPr>
      <w:r>
        <w:rPr>
          <w:rFonts w:hint="eastAsia" w:ascii="宋体" w:hAnsi="宋体"/>
          <w:color w:val="auto"/>
          <w:sz w:val="24"/>
        </w:rPr>
        <w:t>开户银行：                     开户银行：</w:t>
      </w:r>
    </w:p>
    <w:p w14:paraId="6CEE0906">
      <w:pPr>
        <w:spacing w:line="420" w:lineRule="exact"/>
        <w:ind w:hanging="142"/>
        <w:rPr>
          <w:rFonts w:ascii="宋体" w:hAnsi="宋体"/>
          <w:color w:val="auto"/>
          <w:sz w:val="24"/>
          <w:lang w:val="zh-CN"/>
        </w:rPr>
      </w:pPr>
      <w:r>
        <w:rPr>
          <w:rFonts w:hint="eastAsia" w:ascii="宋体" w:hAnsi="宋体"/>
          <w:color w:val="auto"/>
          <w:sz w:val="24"/>
        </w:rPr>
        <w:t xml:space="preserve">开户名称：              </w:t>
      </w:r>
      <w:r>
        <w:rPr>
          <w:rFonts w:ascii="宋体" w:hAnsi="宋体"/>
          <w:color w:val="auto"/>
          <w:sz w:val="24"/>
        </w:rPr>
        <w:t xml:space="preserve"> </w:t>
      </w:r>
      <w:r>
        <w:rPr>
          <w:rFonts w:hint="eastAsia" w:ascii="宋体" w:hAnsi="宋体"/>
          <w:color w:val="auto"/>
          <w:sz w:val="24"/>
        </w:rPr>
        <w:t xml:space="preserve">      开户名称：</w:t>
      </w:r>
    </w:p>
    <w:p w14:paraId="6095B7FA">
      <w:pPr>
        <w:spacing w:line="420" w:lineRule="exact"/>
        <w:ind w:hanging="142"/>
        <w:rPr>
          <w:rFonts w:ascii="宋体" w:hAnsi="宋体"/>
          <w:color w:val="auto"/>
          <w:sz w:val="24"/>
          <w:lang w:val="zh-CN"/>
        </w:rPr>
      </w:pPr>
      <w:r>
        <w:rPr>
          <w:rFonts w:hint="eastAsia" w:ascii="宋体" w:hAnsi="宋体"/>
          <w:color w:val="auto"/>
          <w:sz w:val="24"/>
        </w:rPr>
        <w:t>开户账号：</w:t>
      </w:r>
      <w:r>
        <w:rPr>
          <w:rFonts w:hint="eastAsia" w:ascii="宋体" w:hAnsi="宋体"/>
          <w:color w:val="auto"/>
          <w:sz w:val="24"/>
          <w:lang w:val="zh-CN"/>
        </w:rPr>
        <w:t xml:space="preserve">                     </w:t>
      </w:r>
      <w:r>
        <w:rPr>
          <w:rFonts w:hint="eastAsia" w:ascii="宋体" w:hAnsi="宋体"/>
          <w:color w:val="auto"/>
          <w:sz w:val="24"/>
        </w:rPr>
        <w:t>开户账号：</w:t>
      </w:r>
    </w:p>
    <w:p w14:paraId="4A6BE859">
      <w:pPr>
        <w:spacing w:line="420" w:lineRule="exact"/>
        <w:ind w:hanging="142"/>
        <w:rPr>
          <w:rFonts w:ascii="宋体" w:hAnsi="宋体"/>
          <w:color w:val="auto"/>
          <w:sz w:val="24"/>
        </w:rPr>
      </w:pPr>
    </w:p>
    <w:p w14:paraId="38542018">
      <w:pPr>
        <w:autoSpaceDE w:val="0"/>
        <w:autoSpaceDN w:val="0"/>
        <w:adjustRightInd w:val="0"/>
        <w:snapToGrid w:val="0"/>
        <w:spacing w:after="120" w:line="360" w:lineRule="auto"/>
        <w:ind w:left="420" w:leftChars="200" w:firstLine="482" w:firstLineChars="200"/>
        <w:jc w:val="center"/>
        <w:outlineLvl w:val="1"/>
        <w:rPr>
          <w:rFonts w:ascii="宋体" w:hAnsi="宋体"/>
          <w:b/>
          <w:color w:val="auto"/>
          <w:sz w:val="28"/>
          <w:szCs w:val="28"/>
        </w:rPr>
      </w:pPr>
      <w:r>
        <w:rPr>
          <w:rFonts w:hint="eastAsia" w:ascii="宋体" w:hAnsi="宋体"/>
          <w:b/>
          <w:color w:val="auto"/>
          <w:sz w:val="24"/>
          <w:szCs w:val="21"/>
        </w:rPr>
        <w:br w:type="page"/>
      </w:r>
      <w:r>
        <w:rPr>
          <w:rFonts w:hint="eastAsia" w:ascii="宋体" w:hAnsi="宋体"/>
          <w:b/>
          <w:color w:val="auto"/>
          <w:sz w:val="28"/>
          <w:szCs w:val="28"/>
        </w:rPr>
        <w:t>第二部分 合同一般条款</w:t>
      </w:r>
    </w:p>
    <w:p w14:paraId="78C213D2">
      <w:pPr>
        <w:spacing w:line="360" w:lineRule="auto"/>
        <w:ind w:firstLine="482" w:firstLineChars="200"/>
        <w:rPr>
          <w:rFonts w:ascii="宋体" w:hAnsi="宋体"/>
          <w:b/>
          <w:color w:val="auto"/>
          <w:sz w:val="24"/>
        </w:rPr>
      </w:pPr>
      <w:r>
        <w:rPr>
          <w:rFonts w:hint="eastAsia" w:ascii="宋体" w:hAnsi="宋体"/>
          <w:b/>
          <w:color w:val="auto"/>
          <w:sz w:val="24"/>
        </w:rPr>
        <w:t>2.1 定义</w:t>
      </w:r>
    </w:p>
    <w:p w14:paraId="3E64EB63">
      <w:pPr>
        <w:spacing w:line="360" w:lineRule="auto"/>
        <w:ind w:firstLine="480" w:firstLineChars="200"/>
        <w:rPr>
          <w:rFonts w:ascii="宋体" w:hAnsi="宋体"/>
          <w:color w:val="auto"/>
          <w:sz w:val="24"/>
        </w:rPr>
      </w:pPr>
      <w:r>
        <w:rPr>
          <w:rFonts w:hint="eastAsia" w:ascii="宋体" w:hAnsi="宋体"/>
          <w:color w:val="auto"/>
          <w:sz w:val="24"/>
        </w:rPr>
        <w:t>本合同中的下列词语应按以下内容进行解释：</w:t>
      </w:r>
    </w:p>
    <w:p w14:paraId="328CD4A2">
      <w:pPr>
        <w:spacing w:line="360" w:lineRule="auto"/>
        <w:ind w:firstLine="480" w:firstLineChars="200"/>
        <w:rPr>
          <w:rFonts w:ascii="宋体" w:hAnsi="宋体"/>
          <w:color w:val="auto"/>
          <w:sz w:val="24"/>
        </w:rPr>
      </w:pPr>
      <w:r>
        <w:rPr>
          <w:rFonts w:hint="eastAsia" w:ascii="宋体" w:hAnsi="宋体"/>
          <w:color w:val="auto"/>
          <w:sz w:val="24"/>
        </w:rPr>
        <w:t>2.1.1 “合同”系指采购人和成交供应商签订的载明双方当事人所达成的协议，并包括所有的附件、附录和构成合同的其他文件。</w:t>
      </w:r>
    </w:p>
    <w:p w14:paraId="313CF460">
      <w:pPr>
        <w:spacing w:line="360" w:lineRule="auto"/>
        <w:ind w:firstLine="480" w:firstLineChars="200"/>
        <w:rPr>
          <w:rFonts w:ascii="宋体" w:hAnsi="宋体"/>
          <w:color w:val="auto"/>
          <w:sz w:val="24"/>
        </w:rPr>
      </w:pPr>
      <w:r>
        <w:rPr>
          <w:rFonts w:hint="eastAsia" w:ascii="宋体" w:hAnsi="宋体"/>
          <w:color w:val="auto"/>
          <w:sz w:val="24"/>
        </w:rPr>
        <w:t>2.1.2 “合同价”系指根据合同约定，成交供应商在完全履行合同义务后，采购人应支付给成交供应商的价格。</w:t>
      </w:r>
    </w:p>
    <w:p w14:paraId="2543D60F">
      <w:pPr>
        <w:spacing w:line="360" w:lineRule="auto"/>
        <w:ind w:firstLine="480" w:firstLineChars="200"/>
        <w:rPr>
          <w:rFonts w:ascii="宋体" w:hAnsi="宋体"/>
          <w:color w:val="auto"/>
          <w:sz w:val="24"/>
        </w:rPr>
      </w:pPr>
      <w:r>
        <w:rPr>
          <w:rFonts w:hint="eastAsia" w:ascii="宋体" w:hAnsi="宋体"/>
          <w:color w:val="auto"/>
          <w:sz w:val="24"/>
        </w:rPr>
        <w:t>2.1.3 “标的物”系指成交供应商根据合同约定应向采购人交付的一切各种形态和种类的货物、服务和工程，包括但不限于原材料、燃料、设备、机械、仪表、备件、计算机软件、信息化系统、信息化维保、物业服务、产品等，并包括工具、手册等其他相关资料。</w:t>
      </w:r>
    </w:p>
    <w:p w14:paraId="2D95D144">
      <w:pPr>
        <w:spacing w:line="360" w:lineRule="auto"/>
        <w:ind w:firstLine="480" w:firstLineChars="200"/>
        <w:rPr>
          <w:rFonts w:ascii="宋体" w:hAnsi="宋体"/>
          <w:color w:val="auto"/>
          <w:sz w:val="24"/>
        </w:rPr>
      </w:pPr>
      <w:r>
        <w:rPr>
          <w:rFonts w:hint="eastAsia" w:ascii="宋体" w:hAnsi="宋体"/>
          <w:color w:val="auto"/>
          <w:sz w:val="24"/>
        </w:rPr>
        <w:t>2.1.4 “甲方”系指与成交供应商签署合同的采购人；采购人委托采购机构代表其与乙方签订合同的，采购人的授权委托书作为合同附件。</w:t>
      </w:r>
    </w:p>
    <w:p w14:paraId="4879C448">
      <w:pPr>
        <w:spacing w:line="360" w:lineRule="auto"/>
        <w:ind w:firstLine="480" w:firstLineChars="200"/>
        <w:rPr>
          <w:rFonts w:ascii="宋体" w:hAnsi="宋体"/>
          <w:color w:val="auto"/>
          <w:sz w:val="24"/>
        </w:rPr>
      </w:pPr>
      <w:r>
        <w:rPr>
          <w:rFonts w:hint="eastAsia" w:ascii="宋体" w:hAnsi="宋体"/>
          <w:color w:val="auto"/>
          <w:sz w:val="24"/>
        </w:rPr>
        <w:t>2.1.5 “乙方”系指根据合同约定交付标的物的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5E196990">
      <w:pPr>
        <w:spacing w:line="360" w:lineRule="auto"/>
        <w:ind w:firstLine="480" w:firstLineChars="200"/>
        <w:rPr>
          <w:rFonts w:ascii="宋体" w:hAnsi="宋体"/>
          <w:color w:val="auto"/>
          <w:sz w:val="24"/>
        </w:rPr>
      </w:pPr>
      <w:r>
        <w:rPr>
          <w:rFonts w:hint="eastAsia" w:ascii="宋体" w:hAnsi="宋体"/>
          <w:color w:val="auto"/>
          <w:sz w:val="24"/>
        </w:rPr>
        <w:t>2.1.6 “现场”系指合同约定标的物将要运至或者实施或者安装的地点。</w:t>
      </w:r>
    </w:p>
    <w:p w14:paraId="12B4A1FE">
      <w:pPr>
        <w:spacing w:line="360" w:lineRule="auto"/>
        <w:ind w:firstLine="482" w:firstLineChars="200"/>
        <w:rPr>
          <w:rFonts w:ascii="宋体" w:hAnsi="宋体"/>
          <w:b/>
          <w:color w:val="auto"/>
          <w:sz w:val="24"/>
        </w:rPr>
      </w:pPr>
      <w:r>
        <w:rPr>
          <w:rFonts w:hint="eastAsia" w:ascii="宋体" w:hAnsi="宋体"/>
          <w:b/>
          <w:color w:val="auto"/>
          <w:sz w:val="24"/>
        </w:rPr>
        <w:t>2.2 技术规范</w:t>
      </w:r>
    </w:p>
    <w:p w14:paraId="1D4BBF53">
      <w:pPr>
        <w:spacing w:line="360" w:lineRule="auto"/>
        <w:ind w:firstLine="480" w:firstLineChars="200"/>
        <w:rPr>
          <w:rFonts w:ascii="宋体" w:hAnsi="宋体"/>
          <w:color w:val="auto"/>
          <w:sz w:val="24"/>
        </w:rPr>
      </w:pPr>
      <w:r>
        <w:rPr>
          <w:rFonts w:hint="eastAsia" w:ascii="宋体" w:hAnsi="宋体"/>
          <w:color w:val="auto"/>
          <w:sz w:val="24"/>
        </w:rPr>
        <w:t>标的物所应遵守的技术规范应与采购文件规定的技术规范和技术规范附件(如果有的话)及其技术规范偏差表(如果被甲方接受的话)相一致；如果采购文件中没有技术规范的相应说明，应以国家有关部门最新颁布的相应标准和规范为准。</w:t>
      </w:r>
    </w:p>
    <w:p w14:paraId="583CBE68">
      <w:pPr>
        <w:spacing w:line="360" w:lineRule="auto"/>
        <w:ind w:firstLine="482" w:firstLineChars="200"/>
        <w:rPr>
          <w:rFonts w:ascii="宋体" w:hAnsi="宋体"/>
          <w:b/>
          <w:color w:val="auto"/>
          <w:sz w:val="24"/>
        </w:rPr>
      </w:pPr>
      <w:r>
        <w:rPr>
          <w:rFonts w:hint="eastAsia" w:ascii="宋体" w:hAnsi="宋体"/>
          <w:b/>
          <w:color w:val="auto"/>
          <w:sz w:val="24"/>
        </w:rPr>
        <w:t>2.3 知识产权</w:t>
      </w:r>
    </w:p>
    <w:p w14:paraId="4C21EAB1">
      <w:pPr>
        <w:spacing w:line="360" w:lineRule="auto"/>
        <w:ind w:firstLine="480" w:firstLineChars="200"/>
        <w:rPr>
          <w:rFonts w:ascii="宋体" w:hAnsi="宋体"/>
          <w:color w:val="auto"/>
          <w:sz w:val="24"/>
        </w:rPr>
      </w:pPr>
      <w:r>
        <w:rPr>
          <w:rFonts w:hint="eastAsia" w:ascii="宋体" w:hAnsi="宋体"/>
          <w:color w:val="auto"/>
          <w:sz w:val="24"/>
        </w:rPr>
        <w:t>2.3.1 乙方应保证甲方在使用该标的物或其任何一部分时不受任何第三方提出的侵犯其著作权、商标权、专利权等知识产权方面的起诉；如果任何第三方提出侵权指控，乙方须与该第三方交涉并承担由此发生的一切责任、费用和赔偿；</w:t>
      </w:r>
    </w:p>
    <w:p w14:paraId="2125D894">
      <w:pPr>
        <w:spacing w:line="360" w:lineRule="auto"/>
        <w:ind w:firstLine="480" w:firstLineChars="200"/>
        <w:rPr>
          <w:rFonts w:ascii="宋体" w:hAnsi="宋体"/>
          <w:color w:val="auto"/>
          <w:sz w:val="24"/>
        </w:rPr>
      </w:pPr>
      <w:r>
        <w:rPr>
          <w:rFonts w:hint="eastAsia" w:ascii="宋体" w:hAnsi="宋体"/>
          <w:color w:val="auto"/>
          <w:sz w:val="24"/>
        </w:rPr>
        <w:t>2.3.2具有知识产权的计算机软件等标的物的知识产权归属，详见</w:t>
      </w:r>
      <w:r>
        <w:rPr>
          <w:rFonts w:hint="eastAsia" w:ascii="宋体" w:hAnsi="宋体"/>
          <w:b/>
          <w:i/>
          <w:color w:val="auto"/>
          <w:sz w:val="24"/>
          <w:u w:val="single"/>
        </w:rPr>
        <w:t>合同专用条款</w:t>
      </w:r>
      <w:r>
        <w:rPr>
          <w:rFonts w:hint="eastAsia" w:ascii="宋体" w:hAnsi="宋体"/>
          <w:color w:val="auto"/>
          <w:sz w:val="24"/>
        </w:rPr>
        <w:t>。</w:t>
      </w:r>
    </w:p>
    <w:p w14:paraId="63C9A3F6">
      <w:pPr>
        <w:spacing w:line="360" w:lineRule="auto"/>
        <w:ind w:firstLine="482" w:firstLineChars="200"/>
        <w:rPr>
          <w:rFonts w:ascii="宋体" w:hAnsi="宋体"/>
          <w:b/>
          <w:color w:val="auto"/>
          <w:sz w:val="24"/>
        </w:rPr>
      </w:pPr>
      <w:r>
        <w:rPr>
          <w:rFonts w:hint="eastAsia" w:ascii="宋体" w:hAnsi="宋体"/>
          <w:b/>
          <w:color w:val="auto"/>
          <w:sz w:val="24"/>
        </w:rPr>
        <w:t>2.4 包装和装运</w:t>
      </w:r>
    </w:p>
    <w:p w14:paraId="6804830A">
      <w:pPr>
        <w:spacing w:line="360" w:lineRule="auto"/>
        <w:ind w:firstLine="480" w:firstLineChars="200"/>
        <w:rPr>
          <w:rFonts w:ascii="宋体" w:hAnsi="宋体"/>
          <w:color w:val="auto"/>
          <w:sz w:val="24"/>
        </w:rPr>
      </w:pPr>
      <w:r>
        <w:rPr>
          <w:rFonts w:hint="eastAsia" w:ascii="宋体" w:hAnsi="宋体"/>
          <w:color w:val="auto"/>
          <w:sz w:val="24"/>
        </w:rPr>
        <w:t>2.4.1除</w:t>
      </w:r>
      <w:r>
        <w:rPr>
          <w:rFonts w:hint="eastAsia" w:ascii="宋体" w:hAnsi="宋体"/>
          <w:b/>
          <w:i/>
          <w:color w:val="auto"/>
          <w:sz w:val="24"/>
          <w:u w:val="single"/>
        </w:rPr>
        <w:t>合同专用条款</w:t>
      </w:r>
      <w:r>
        <w:rPr>
          <w:rFonts w:hint="eastAsia" w:ascii="宋体" w:hAnsi="宋体"/>
          <w:color w:val="auto"/>
          <w:sz w:val="24"/>
        </w:rPr>
        <w:t>另有约定外,乙方交付的全部标的物,均应采用本行业通用的方式进行包装，没有通用方式的，应当采取足以保护标的物的包装方式，且该包装应符合国家有关包装的法律、法规的规定。如有必要，包装应适用于远距离运输、防潮、防震、防锈和防粗暴装卸，确保标的物安全无损地运抵现场。由于包装不善所引起的标的物锈蚀、损坏和损失等一切风险均由乙方承担。</w:t>
      </w:r>
    </w:p>
    <w:p w14:paraId="6EC5BBD3">
      <w:pPr>
        <w:spacing w:line="360" w:lineRule="auto"/>
        <w:ind w:firstLine="480" w:firstLineChars="200"/>
        <w:rPr>
          <w:rFonts w:ascii="宋体" w:hAnsi="宋体"/>
          <w:color w:val="auto"/>
          <w:sz w:val="24"/>
        </w:rPr>
      </w:pPr>
      <w:r>
        <w:rPr>
          <w:rFonts w:hint="eastAsia" w:ascii="宋体" w:hAnsi="宋体"/>
          <w:color w:val="auto"/>
          <w:sz w:val="24"/>
        </w:rPr>
        <w:t>2.4.2 装运标的物的要求和通知，详见</w:t>
      </w:r>
      <w:r>
        <w:rPr>
          <w:rFonts w:hint="eastAsia" w:ascii="宋体" w:hAnsi="宋体"/>
          <w:b/>
          <w:i/>
          <w:color w:val="auto"/>
          <w:sz w:val="24"/>
          <w:u w:val="single"/>
        </w:rPr>
        <w:t>合同专用条款</w:t>
      </w:r>
      <w:r>
        <w:rPr>
          <w:rFonts w:hint="eastAsia" w:ascii="宋体" w:hAnsi="宋体"/>
          <w:color w:val="auto"/>
          <w:sz w:val="24"/>
        </w:rPr>
        <w:t>。</w:t>
      </w:r>
    </w:p>
    <w:p w14:paraId="0F113064">
      <w:pPr>
        <w:spacing w:line="360" w:lineRule="auto"/>
        <w:ind w:firstLine="482" w:firstLineChars="200"/>
        <w:rPr>
          <w:rFonts w:ascii="宋体" w:hAnsi="宋体"/>
          <w:b/>
          <w:color w:val="auto"/>
          <w:sz w:val="24"/>
        </w:rPr>
      </w:pPr>
      <w:r>
        <w:rPr>
          <w:rFonts w:hint="eastAsia" w:ascii="宋体" w:hAnsi="宋体"/>
          <w:b/>
          <w:color w:val="auto"/>
          <w:sz w:val="24"/>
        </w:rPr>
        <w:t>2.5 履约检查和问题反馈</w:t>
      </w:r>
    </w:p>
    <w:p w14:paraId="3E330BC1">
      <w:pPr>
        <w:spacing w:line="360" w:lineRule="auto"/>
        <w:ind w:firstLine="480" w:firstLineChars="200"/>
        <w:rPr>
          <w:rFonts w:ascii="宋体" w:hAnsi="宋体"/>
          <w:color w:val="auto"/>
          <w:sz w:val="24"/>
        </w:rPr>
      </w:pPr>
      <w:r>
        <w:rPr>
          <w:rFonts w:hint="eastAsia" w:ascii="宋体" w:hAnsi="宋体"/>
          <w:color w:val="auto"/>
          <w:sz w:val="24"/>
        </w:rPr>
        <w:t>2.5.1甲方有权在其认为必要时，对乙方是否能够按照合同约定交付标的物进行履约检查，以确保乙方所交付的标的物能够依约满足甲方之项目需求，但不得因履约检查妨碍乙方的正常工作，乙方应予积极配合；</w:t>
      </w:r>
    </w:p>
    <w:p w14:paraId="0064DD57">
      <w:pPr>
        <w:spacing w:line="360" w:lineRule="auto"/>
        <w:ind w:firstLine="480" w:firstLineChars="200"/>
        <w:rPr>
          <w:rFonts w:ascii="宋体" w:hAnsi="宋体"/>
          <w:color w:val="auto"/>
          <w:sz w:val="24"/>
        </w:rPr>
      </w:pPr>
      <w:r>
        <w:rPr>
          <w:rFonts w:hint="eastAsia" w:ascii="宋体" w:hAnsi="宋体"/>
          <w:color w:val="auto"/>
          <w:sz w:val="24"/>
        </w:rPr>
        <w:t>2.5.2 合同履行期间，甲方有权将履行过程中出现的问题反馈给乙方，双方当事人应以书面形式约定需要完善和改进的内容。</w:t>
      </w:r>
    </w:p>
    <w:p w14:paraId="0F8A7593">
      <w:pPr>
        <w:spacing w:line="360" w:lineRule="auto"/>
        <w:ind w:firstLine="482" w:firstLineChars="200"/>
        <w:rPr>
          <w:rFonts w:ascii="宋体" w:hAnsi="宋体"/>
          <w:b/>
          <w:color w:val="auto"/>
          <w:sz w:val="24"/>
        </w:rPr>
      </w:pPr>
      <w:r>
        <w:rPr>
          <w:rFonts w:hint="eastAsia" w:ascii="宋体" w:hAnsi="宋体"/>
          <w:b/>
          <w:color w:val="auto"/>
          <w:sz w:val="24"/>
        </w:rPr>
        <w:t>2.6 结算方式和付款条件</w:t>
      </w:r>
    </w:p>
    <w:p w14:paraId="60EF25E8">
      <w:pPr>
        <w:spacing w:line="360" w:lineRule="auto"/>
        <w:ind w:firstLine="480" w:firstLineChars="200"/>
        <w:rPr>
          <w:rFonts w:ascii="宋体" w:hAnsi="宋体"/>
          <w:color w:val="auto"/>
          <w:sz w:val="24"/>
        </w:rPr>
      </w:pPr>
      <w:r>
        <w:rPr>
          <w:rFonts w:hint="eastAsia" w:ascii="宋体" w:hAnsi="宋体"/>
          <w:color w:val="auto"/>
          <w:sz w:val="24"/>
        </w:rPr>
        <w:t>详见</w:t>
      </w:r>
      <w:r>
        <w:rPr>
          <w:rFonts w:hint="eastAsia" w:ascii="宋体" w:hAnsi="宋体"/>
          <w:b/>
          <w:i/>
          <w:color w:val="auto"/>
          <w:sz w:val="24"/>
          <w:u w:val="single"/>
        </w:rPr>
        <w:t>合同专用条款</w:t>
      </w:r>
      <w:r>
        <w:rPr>
          <w:rFonts w:hint="eastAsia" w:ascii="宋体" w:hAnsi="宋体"/>
          <w:color w:val="auto"/>
          <w:sz w:val="24"/>
        </w:rPr>
        <w:t>。</w:t>
      </w:r>
    </w:p>
    <w:p w14:paraId="73315894">
      <w:pPr>
        <w:spacing w:line="360" w:lineRule="auto"/>
        <w:ind w:firstLine="482" w:firstLineChars="200"/>
        <w:rPr>
          <w:rFonts w:ascii="宋体" w:hAnsi="宋体"/>
          <w:b/>
          <w:color w:val="auto"/>
          <w:sz w:val="24"/>
        </w:rPr>
      </w:pPr>
      <w:r>
        <w:rPr>
          <w:rFonts w:hint="eastAsia" w:ascii="宋体" w:hAnsi="宋体"/>
          <w:b/>
          <w:color w:val="auto"/>
          <w:sz w:val="24"/>
        </w:rPr>
        <w:t>2.7 技术资料和保密义务</w:t>
      </w:r>
    </w:p>
    <w:p w14:paraId="26A329E5">
      <w:pPr>
        <w:spacing w:line="360" w:lineRule="auto"/>
        <w:ind w:firstLine="480" w:firstLineChars="200"/>
        <w:rPr>
          <w:rFonts w:ascii="宋体" w:hAnsi="宋体"/>
          <w:color w:val="auto"/>
          <w:sz w:val="24"/>
        </w:rPr>
      </w:pPr>
      <w:r>
        <w:rPr>
          <w:rFonts w:hint="eastAsia" w:ascii="宋体" w:hAnsi="宋体"/>
          <w:color w:val="auto"/>
          <w:sz w:val="24"/>
        </w:rPr>
        <w:t>2.7.1 乙方有权依据合同约定和项目需要，向甲方了解有关情况，调阅有关资料等，甲方应予积极配合；</w:t>
      </w:r>
    </w:p>
    <w:p w14:paraId="1FF604BC">
      <w:pPr>
        <w:spacing w:line="360" w:lineRule="auto"/>
        <w:ind w:firstLine="480" w:firstLineChars="200"/>
        <w:rPr>
          <w:rFonts w:ascii="宋体" w:hAnsi="宋体"/>
          <w:color w:val="auto"/>
          <w:sz w:val="24"/>
        </w:rPr>
      </w:pPr>
      <w:r>
        <w:rPr>
          <w:rFonts w:hint="eastAsia" w:ascii="宋体" w:hAnsi="宋体"/>
          <w:color w:val="auto"/>
          <w:sz w:val="24"/>
        </w:rPr>
        <w:t>2.7.2 乙方有义务妥善保管和保护由甲方提供的前款信息和资料等；</w:t>
      </w:r>
    </w:p>
    <w:p w14:paraId="62FF1599">
      <w:pPr>
        <w:spacing w:line="360" w:lineRule="auto"/>
        <w:ind w:firstLine="480" w:firstLineChars="200"/>
        <w:rPr>
          <w:rFonts w:ascii="宋体" w:hAnsi="宋体"/>
          <w:color w:val="auto"/>
          <w:sz w:val="24"/>
        </w:rPr>
      </w:pPr>
      <w:r>
        <w:rPr>
          <w:rFonts w:hint="eastAsia" w:ascii="宋体" w:hAnsi="宋体"/>
          <w:color w:val="auto"/>
          <w:sz w:val="24"/>
        </w:rPr>
        <w:t>2.7.3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及方式防止任何第三方接触到对方当事人的上述保密信息和资料。</w:t>
      </w:r>
    </w:p>
    <w:p w14:paraId="13E4BC9E">
      <w:pPr>
        <w:spacing w:line="360" w:lineRule="auto"/>
        <w:ind w:firstLine="482" w:firstLineChars="200"/>
        <w:rPr>
          <w:rFonts w:ascii="宋体" w:hAnsi="宋体"/>
          <w:b/>
          <w:color w:val="auto"/>
          <w:sz w:val="24"/>
        </w:rPr>
      </w:pPr>
      <w:r>
        <w:rPr>
          <w:rFonts w:hint="eastAsia" w:ascii="宋体" w:hAnsi="宋体"/>
          <w:b/>
          <w:color w:val="auto"/>
          <w:sz w:val="24"/>
        </w:rPr>
        <w:t>2.8 质量保证</w:t>
      </w:r>
    </w:p>
    <w:p w14:paraId="47A62BE9">
      <w:pPr>
        <w:spacing w:line="360" w:lineRule="auto"/>
        <w:ind w:firstLine="480" w:firstLineChars="200"/>
        <w:rPr>
          <w:rFonts w:ascii="宋体" w:hAnsi="宋体"/>
          <w:color w:val="auto"/>
          <w:sz w:val="24"/>
        </w:rPr>
      </w:pPr>
      <w:r>
        <w:rPr>
          <w:rFonts w:hint="eastAsia" w:ascii="宋体" w:hAnsi="宋体"/>
          <w:color w:val="auto"/>
          <w:sz w:val="24"/>
        </w:rPr>
        <w:t>2.8.1 乙方应建立和完善履行合同的内部质量保证体系，并提供相关内部规章制度给甲方，以便甲方进行监督检查；</w:t>
      </w:r>
    </w:p>
    <w:p w14:paraId="5A62220A">
      <w:pPr>
        <w:spacing w:line="360" w:lineRule="auto"/>
        <w:ind w:firstLine="480" w:firstLineChars="200"/>
        <w:rPr>
          <w:rFonts w:ascii="宋体" w:hAnsi="宋体"/>
          <w:color w:val="auto"/>
          <w:sz w:val="24"/>
        </w:rPr>
      </w:pPr>
      <w:r>
        <w:rPr>
          <w:rFonts w:hint="eastAsia" w:ascii="宋体" w:hAnsi="宋体"/>
          <w:color w:val="auto"/>
          <w:sz w:val="24"/>
        </w:rPr>
        <w:t>2.8.2 乙方应保证履行合同的人员数量和素质、软件和硬件设备的配置、场地、环境和设施等满足全面履行合同的要求，并应接受甲方的监督检查。</w:t>
      </w:r>
    </w:p>
    <w:p w14:paraId="35F16915">
      <w:pPr>
        <w:spacing w:line="360" w:lineRule="auto"/>
        <w:ind w:firstLine="480" w:firstLineChars="200"/>
        <w:rPr>
          <w:rFonts w:ascii="宋体" w:hAnsi="宋体" w:cs="仿宋_GB2312"/>
          <w:color w:val="auto"/>
          <w:kern w:val="0"/>
          <w:sz w:val="24"/>
        </w:rPr>
      </w:pPr>
      <w:r>
        <w:rPr>
          <w:rFonts w:hint="eastAsia" w:ascii="宋体" w:hAnsi="宋体"/>
          <w:color w:val="auto"/>
          <w:sz w:val="24"/>
        </w:rPr>
        <w:t>2.8.3乙方应确保项目技术人员的数量和水平与投标文件一致。未经甲方书面同意，乙方不得擅自更换投标文件中注明的项目经理和技术负责人。否则</w:t>
      </w:r>
      <w:r>
        <w:rPr>
          <w:rFonts w:hint="eastAsia" w:ascii="宋体" w:hAnsi="宋体" w:cs="仿宋_GB2312"/>
          <w:color w:val="auto"/>
          <w:kern w:val="0"/>
          <w:sz w:val="24"/>
        </w:rPr>
        <w:t>甲方有权放弃或终止合同。</w:t>
      </w:r>
    </w:p>
    <w:p w14:paraId="24AB7010">
      <w:pPr>
        <w:spacing w:line="360" w:lineRule="auto"/>
        <w:ind w:firstLine="480" w:firstLineChars="200"/>
        <w:rPr>
          <w:rFonts w:ascii="宋体" w:hAnsi="宋体"/>
          <w:color w:val="auto"/>
          <w:sz w:val="24"/>
        </w:rPr>
      </w:pPr>
      <w:r>
        <w:rPr>
          <w:rFonts w:hint="eastAsia" w:ascii="宋体" w:hAnsi="宋体"/>
          <w:color w:val="auto"/>
          <w:sz w:val="24"/>
        </w:rPr>
        <w:t>2.8.4</w:t>
      </w:r>
      <w:bookmarkStart w:id="26" w:name="OLE_LINK13"/>
      <w:r>
        <w:rPr>
          <w:rFonts w:hint="eastAsia" w:ascii="宋体" w:hAnsi="宋体"/>
          <w:color w:val="auto"/>
          <w:sz w:val="24"/>
        </w:rPr>
        <w:t>因乙方原因造成甲方其他系统不能正常运行，酿成重大事故（工作日系统中断一天以上）的，乙方应承担全部法律责任，向甲方支付合同总金额30％的违约金，违约金不足以赔偿甲方损失的，乙方应继续赔偿。</w:t>
      </w:r>
      <w:bookmarkEnd w:id="26"/>
    </w:p>
    <w:p w14:paraId="77A50BA5">
      <w:pPr>
        <w:spacing w:line="360" w:lineRule="auto"/>
        <w:ind w:firstLine="482" w:firstLineChars="200"/>
        <w:rPr>
          <w:rFonts w:ascii="宋体" w:hAnsi="宋体"/>
          <w:b/>
          <w:color w:val="auto"/>
          <w:sz w:val="24"/>
        </w:rPr>
      </w:pPr>
      <w:r>
        <w:rPr>
          <w:rFonts w:hint="eastAsia" w:ascii="宋体" w:hAnsi="宋体"/>
          <w:b/>
          <w:color w:val="auto"/>
          <w:sz w:val="24"/>
        </w:rPr>
        <w:t>2.9 标的物的风险负担</w:t>
      </w:r>
    </w:p>
    <w:p w14:paraId="2C286BD7">
      <w:pPr>
        <w:spacing w:line="360" w:lineRule="auto"/>
        <w:ind w:firstLine="480" w:firstLineChars="200"/>
        <w:rPr>
          <w:rFonts w:ascii="宋体" w:hAnsi="宋体"/>
          <w:b/>
          <w:color w:val="auto"/>
          <w:sz w:val="24"/>
        </w:rPr>
      </w:pPr>
      <w:r>
        <w:rPr>
          <w:rFonts w:hint="eastAsia" w:ascii="宋体" w:hAnsi="宋体"/>
          <w:color w:val="auto"/>
          <w:sz w:val="24"/>
        </w:rPr>
        <w:t>标的物或者在途标的物或者交付给第一承运人后的标的物毁损、灭失的风险负担详见</w:t>
      </w:r>
      <w:r>
        <w:rPr>
          <w:rFonts w:hint="eastAsia" w:ascii="宋体" w:hAnsi="宋体"/>
          <w:b/>
          <w:i/>
          <w:color w:val="auto"/>
          <w:sz w:val="24"/>
          <w:u w:val="single"/>
        </w:rPr>
        <w:t>合同专用条款</w:t>
      </w:r>
      <w:r>
        <w:rPr>
          <w:rFonts w:hint="eastAsia" w:ascii="宋体" w:hAnsi="宋体"/>
          <w:color w:val="auto"/>
          <w:sz w:val="24"/>
        </w:rPr>
        <w:t>。</w:t>
      </w:r>
    </w:p>
    <w:p w14:paraId="5767D5F6">
      <w:pPr>
        <w:spacing w:line="360" w:lineRule="auto"/>
        <w:ind w:firstLine="482" w:firstLineChars="200"/>
        <w:rPr>
          <w:rFonts w:ascii="宋体" w:hAnsi="宋体"/>
          <w:b/>
          <w:color w:val="auto"/>
          <w:sz w:val="24"/>
        </w:rPr>
      </w:pPr>
      <w:r>
        <w:rPr>
          <w:rFonts w:hint="eastAsia" w:ascii="宋体" w:hAnsi="宋体"/>
          <w:b/>
          <w:color w:val="auto"/>
          <w:sz w:val="24"/>
        </w:rPr>
        <w:t>2.10 延迟交货/交付</w:t>
      </w:r>
    </w:p>
    <w:p w14:paraId="35E8FB5B">
      <w:pPr>
        <w:spacing w:line="360" w:lineRule="auto"/>
        <w:ind w:firstLine="480" w:firstLineChars="200"/>
        <w:rPr>
          <w:rFonts w:ascii="宋体" w:hAnsi="宋体"/>
          <w:color w:val="auto"/>
          <w:sz w:val="24"/>
        </w:rPr>
      </w:pPr>
      <w:r>
        <w:rPr>
          <w:rFonts w:hint="eastAsia" w:ascii="宋体" w:hAnsi="宋体"/>
          <w:color w:val="auto"/>
          <w:sz w:val="24"/>
        </w:rPr>
        <w:t>在合同履行过程中，如果乙方遇到不能按时交付标的物的情况，应及时以书面形式将不能按时交付标的物的理由、预期延误时间通知甲方；甲方收到乙方通知后，认为其理由正当的，可以书面形式酌情同意乙方可以延长交货的具体时间。</w:t>
      </w:r>
    </w:p>
    <w:p w14:paraId="2BBBA2DD">
      <w:pPr>
        <w:spacing w:line="360" w:lineRule="auto"/>
        <w:ind w:firstLine="482" w:firstLineChars="200"/>
        <w:rPr>
          <w:rFonts w:ascii="宋体" w:hAnsi="宋体"/>
          <w:b/>
          <w:color w:val="auto"/>
          <w:sz w:val="24"/>
        </w:rPr>
      </w:pPr>
      <w:r>
        <w:rPr>
          <w:rFonts w:hint="eastAsia" w:ascii="宋体" w:hAnsi="宋体"/>
          <w:b/>
          <w:color w:val="auto"/>
          <w:sz w:val="24"/>
        </w:rPr>
        <w:t>2.11 合同变更</w:t>
      </w:r>
    </w:p>
    <w:p w14:paraId="2A5FC3DB">
      <w:pPr>
        <w:spacing w:line="360" w:lineRule="auto"/>
        <w:ind w:firstLine="480" w:firstLineChars="200"/>
        <w:rPr>
          <w:rFonts w:ascii="宋体" w:hAnsi="宋体"/>
          <w:color w:val="auto"/>
          <w:sz w:val="24"/>
        </w:rPr>
      </w:pPr>
      <w:r>
        <w:rPr>
          <w:rFonts w:hint="eastAsia" w:ascii="宋体" w:hAnsi="宋体"/>
          <w:color w:val="auto"/>
          <w:sz w:val="24"/>
        </w:rPr>
        <w:t>2.11.1双方当事人协商一致，可以签订书面补充合同的形式变更合同，但不得违背采购文件确定的事项。如果系追加与合同标的相同的标的物的，那么需经采购监督管理部门同意，且所有补充合同的采购金额不得超过原合同价的10%；</w:t>
      </w:r>
    </w:p>
    <w:p w14:paraId="57B9DFF0">
      <w:pPr>
        <w:spacing w:line="360" w:lineRule="auto"/>
        <w:ind w:firstLine="480" w:firstLineChars="200"/>
        <w:rPr>
          <w:rFonts w:ascii="宋体" w:hAnsi="宋体"/>
          <w:color w:val="auto"/>
          <w:sz w:val="24"/>
        </w:rPr>
      </w:pPr>
      <w:r>
        <w:rPr>
          <w:rFonts w:hint="eastAsia" w:ascii="宋体" w:hAnsi="宋体"/>
          <w:color w:val="auto"/>
          <w:sz w:val="24"/>
        </w:rPr>
        <w:t>2.11.2 合同继续履行将损害国家利益和社会公共利益的，双方当事人应当以书面形式变更合同。有过错的一方应当承担赔偿责任，双方当事人都有过错的，各自承担相应的责任。</w:t>
      </w:r>
    </w:p>
    <w:p w14:paraId="0FBD06FC">
      <w:pPr>
        <w:spacing w:line="360" w:lineRule="auto"/>
        <w:ind w:firstLine="482" w:firstLineChars="200"/>
        <w:rPr>
          <w:rFonts w:ascii="宋体" w:hAnsi="宋体"/>
          <w:b/>
          <w:color w:val="auto"/>
          <w:sz w:val="24"/>
        </w:rPr>
      </w:pPr>
      <w:r>
        <w:rPr>
          <w:rFonts w:hint="eastAsia" w:ascii="宋体" w:hAnsi="宋体"/>
          <w:b/>
          <w:color w:val="auto"/>
          <w:sz w:val="24"/>
        </w:rPr>
        <w:t>2.12 合同转让和分包</w:t>
      </w:r>
    </w:p>
    <w:p w14:paraId="3BFC345D">
      <w:pPr>
        <w:spacing w:line="360" w:lineRule="auto"/>
        <w:ind w:firstLine="480" w:firstLineChars="200"/>
        <w:rPr>
          <w:rFonts w:ascii="宋体" w:hAnsi="宋体"/>
          <w:color w:val="auto"/>
          <w:sz w:val="24"/>
        </w:rPr>
      </w:pPr>
      <w:r>
        <w:rPr>
          <w:rFonts w:hint="eastAsia" w:ascii="宋体" w:hAnsi="宋体"/>
          <w:color w:val="auto"/>
          <w:sz w:val="24"/>
        </w:rPr>
        <w:t>合同的权利义务依法不得转让，但经甲方书面同意，乙方可以依法采取分包方式履行合同，即：依法可以将合同项下的部分非主体、非关键性工作分包给他人完成，接受分包的供应商应当具备相应的资格条件，并不得再次分包，且乙方应就分包项目向甲方负责，并与分包供应商就分包项目向甲方承担连带责任。</w:t>
      </w:r>
    </w:p>
    <w:p w14:paraId="47D96ECE">
      <w:pPr>
        <w:spacing w:line="360" w:lineRule="auto"/>
        <w:ind w:firstLine="482" w:firstLineChars="200"/>
        <w:rPr>
          <w:rFonts w:ascii="宋体" w:hAnsi="宋体"/>
          <w:b/>
          <w:color w:val="auto"/>
          <w:sz w:val="24"/>
        </w:rPr>
      </w:pPr>
      <w:r>
        <w:rPr>
          <w:rFonts w:hint="eastAsia" w:ascii="宋体" w:hAnsi="宋体"/>
          <w:b/>
          <w:color w:val="auto"/>
          <w:sz w:val="24"/>
        </w:rPr>
        <w:t>2.13 不可抗力</w:t>
      </w:r>
    </w:p>
    <w:p w14:paraId="6B01F1BB">
      <w:pPr>
        <w:spacing w:line="360" w:lineRule="auto"/>
        <w:ind w:firstLine="480" w:firstLineChars="200"/>
        <w:rPr>
          <w:rFonts w:ascii="宋体" w:hAnsi="宋体"/>
          <w:color w:val="auto"/>
          <w:sz w:val="24"/>
        </w:rPr>
      </w:pPr>
      <w:r>
        <w:rPr>
          <w:rFonts w:hint="eastAsia" w:ascii="宋体" w:hAnsi="宋体"/>
          <w:color w:val="auto"/>
          <w:sz w:val="24"/>
        </w:rPr>
        <w:t>2.13.1如果任何一方遭遇法律规定的不可抗力，致使合同履行受阻时，履行合同的期限应予延长，延长的期限应相当于不可抗力所影响的时间；</w:t>
      </w:r>
    </w:p>
    <w:p w14:paraId="178FC842">
      <w:pPr>
        <w:spacing w:line="360" w:lineRule="auto"/>
        <w:ind w:firstLine="480" w:firstLineChars="200"/>
        <w:rPr>
          <w:rFonts w:ascii="宋体" w:hAnsi="宋体"/>
          <w:color w:val="auto"/>
          <w:sz w:val="24"/>
        </w:rPr>
      </w:pPr>
      <w:r>
        <w:rPr>
          <w:rFonts w:hint="eastAsia" w:ascii="宋体" w:hAnsi="宋体"/>
          <w:color w:val="auto"/>
          <w:sz w:val="24"/>
        </w:rPr>
        <w:t>2.13.2受不可抗力影响的一方在不可抗力发生后，应在</w:t>
      </w:r>
      <w:r>
        <w:rPr>
          <w:rFonts w:hint="eastAsia" w:ascii="宋体" w:hAnsi="宋体"/>
          <w:b/>
          <w:i/>
          <w:color w:val="auto"/>
          <w:sz w:val="24"/>
          <w:u w:val="single"/>
        </w:rPr>
        <w:t>合同专用条款</w:t>
      </w:r>
      <w:r>
        <w:rPr>
          <w:rFonts w:hint="eastAsia" w:ascii="宋体" w:hAnsi="宋体"/>
          <w:color w:val="auto"/>
          <w:sz w:val="24"/>
        </w:rPr>
        <w:t>约定时间内以书面形式通知对方当事人，并在</w:t>
      </w:r>
      <w:r>
        <w:rPr>
          <w:rFonts w:hint="eastAsia" w:ascii="宋体" w:hAnsi="宋体"/>
          <w:b/>
          <w:i/>
          <w:color w:val="auto"/>
          <w:sz w:val="24"/>
          <w:u w:val="single"/>
        </w:rPr>
        <w:t>合同专用条款</w:t>
      </w:r>
      <w:r>
        <w:rPr>
          <w:rFonts w:hint="eastAsia" w:ascii="宋体" w:hAnsi="宋体"/>
          <w:color w:val="auto"/>
          <w:sz w:val="24"/>
        </w:rPr>
        <w:t>约定时间内，将有关部门出具的证明文件送达对方当事人。</w:t>
      </w:r>
    </w:p>
    <w:p w14:paraId="1E6C5CFC">
      <w:pPr>
        <w:spacing w:line="360" w:lineRule="auto"/>
        <w:ind w:firstLine="480" w:firstLineChars="200"/>
        <w:rPr>
          <w:rFonts w:ascii="宋体" w:hAnsi="宋体"/>
          <w:color w:val="auto"/>
          <w:sz w:val="24"/>
        </w:rPr>
      </w:pPr>
      <w:r>
        <w:rPr>
          <w:rFonts w:hint="eastAsia" w:ascii="宋体" w:hAnsi="宋体"/>
          <w:color w:val="auto"/>
          <w:sz w:val="24"/>
        </w:rPr>
        <w:t>2.13.3 因不可抗力致使不能实现合同目的的，当事人可以解除合同；</w:t>
      </w:r>
    </w:p>
    <w:p w14:paraId="41107AAF">
      <w:pPr>
        <w:spacing w:line="360" w:lineRule="auto"/>
        <w:ind w:firstLine="480" w:firstLineChars="200"/>
        <w:rPr>
          <w:rFonts w:ascii="宋体" w:hAnsi="宋体"/>
          <w:color w:val="auto"/>
          <w:sz w:val="24"/>
        </w:rPr>
      </w:pPr>
      <w:r>
        <w:rPr>
          <w:rFonts w:hint="eastAsia" w:ascii="宋体" w:hAnsi="宋体"/>
          <w:color w:val="auto"/>
          <w:sz w:val="24"/>
        </w:rPr>
        <w:t>2.13.4 因不可抗力致使合同有变更必要的，双方当事人应在</w:t>
      </w:r>
      <w:r>
        <w:rPr>
          <w:rFonts w:hint="eastAsia" w:ascii="宋体" w:hAnsi="宋体"/>
          <w:b/>
          <w:i/>
          <w:color w:val="auto"/>
          <w:sz w:val="24"/>
          <w:u w:val="single"/>
        </w:rPr>
        <w:t>合同专用条款</w:t>
      </w:r>
      <w:r>
        <w:rPr>
          <w:rFonts w:hint="eastAsia" w:ascii="宋体" w:hAnsi="宋体"/>
          <w:color w:val="auto"/>
          <w:sz w:val="24"/>
        </w:rPr>
        <w:t>约定时间内以书面形式变更合同；</w:t>
      </w:r>
    </w:p>
    <w:p w14:paraId="20F18F07">
      <w:pPr>
        <w:spacing w:line="360" w:lineRule="auto"/>
        <w:ind w:firstLine="482" w:firstLineChars="200"/>
        <w:rPr>
          <w:rFonts w:ascii="宋体" w:hAnsi="宋体"/>
          <w:b/>
          <w:color w:val="auto"/>
          <w:sz w:val="24"/>
        </w:rPr>
      </w:pPr>
      <w:r>
        <w:rPr>
          <w:rFonts w:hint="eastAsia" w:ascii="宋体" w:hAnsi="宋体"/>
          <w:b/>
          <w:color w:val="auto"/>
          <w:sz w:val="24"/>
        </w:rPr>
        <w:t>2.14 税费</w:t>
      </w:r>
    </w:p>
    <w:p w14:paraId="42B66B66">
      <w:pPr>
        <w:spacing w:line="360" w:lineRule="auto"/>
        <w:ind w:firstLine="480" w:firstLineChars="200"/>
        <w:rPr>
          <w:rFonts w:ascii="宋体" w:hAnsi="宋体"/>
          <w:color w:val="auto"/>
          <w:sz w:val="24"/>
        </w:rPr>
      </w:pPr>
      <w:r>
        <w:rPr>
          <w:rFonts w:hint="eastAsia" w:ascii="宋体" w:hAnsi="宋体"/>
          <w:color w:val="auto"/>
          <w:sz w:val="24"/>
        </w:rPr>
        <w:t>与合同有关的一切税费，均按照中华人民共和国法律的相关规定执行。</w:t>
      </w:r>
    </w:p>
    <w:p w14:paraId="6D22CFE5">
      <w:pPr>
        <w:spacing w:line="360" w:lineRule="auto"/>
        <w:ind w:firstLine="482" w:firstLineChars="200"/>
        <w:rPr>
          <w:rFonts w:ascii="宋体" w:hAnsi="宋体"/>
          <w:b/>
          <w:color w:val="auto"/>
          <w:sz w:val="24"/>
        </w:rPr>
      </w:pPr>
      <w:r>
        <w:rPr>
          <w:rFonts w:hint="eastAsia" w:ascii="宋体" w:hAnsi="宋体"/>
          <w:b/>
          <w:color w:val="auto"/>
          <w:sz w:val="24"/>
        </w:rPr>
        <w:t>2.15 乙方破产</w:t>
      </w:r>
    </w:p>
    <w:p w14:paraId="14B5E20E">
      <w:pPr>
        <w:spacing w:line="360" w:lineRule="auto"/>
        <w:ind w:firstLine="480" w:firstLineChars="200"/>
        <w:rPr>
          <w:rFonts w:ascii="宋体" w:hAnsi="宋体"/>
          <w:color w:val="auto"/>
          <w:sz w:val="24"/>
        </w:rPr>
      </w:pPr>
      <w:r>
        <w:rPr>
          <w:rFonts w:hint="eastAsia" w:ascii="宋体" w:hAnsi="宋体"/>
          <w:color w:val="auto"/>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2B564F8F">
      <w:pPr>
        <w:spacing w:line="360" w:lineRule="auto"/>
        <w:ind w:firstLine="482" w:firstLineChars="200"/>
        <w:rPr>
          <w:rFonts w:ascii="宋体" w:hAnsi="宋体"/>
          <w:b/>
          <w:color w:val="auto"/>
          <w:sz w:val="24"/>
        </w:rPr>
      </w:pPr>
      <w:r>
        <w:rPr>
          <w:rFonts w:hint="eastAsia" w:ascii="宋体" w:hAnsi="宋体"/>
          <w:b/>
          <w:color w:val="auto"/>
          <w:sz w:val="24"/>
        </w:rPr>
        <w:t>2.16 合同中止、终止</w:t>
      </w:r>
    </w:p>
    <w:p w14:paraId="6C100EEF">
      <w:pPr>
        <w:spacing w:line="360" w:lineRule="auto"/>
        <w:ind w:firstLine="480" w:firstLineChars="200"/>
        <w:rPr>
          <w:rFonts w:ascii="宋体" w:hAnsi="宋体"/>
          <w:color w:val="auto"/>
          <w:sz w:val="24"/>
        </w:rPr>
      </w:pPr>
      <w:r>
        <w:rPr>
          <w:rFonts w:hint="eastAsia" w:ascii="宋体" w:hAnsi="宋体"/>
          <w:color w:val="auto"/>
          <w:sz w:val="24"/>
        </w:rPr>
        <w:t>2.16.1 双方当事人不得擅自中止或者终止合同；</w:t>
      </w:r>
    </w:p>
    <w:p w14:paraId="481554B3">
      <w:pPr>
        <w:spacing w:line="360" w:lineRule="auto"/>
        <w:ind w:firstLine="480" w:firstLineChars="200"/>
        <w:rPr>
          <w:rFonts w:ascii="宋体" w:hAnsi="宋体"/>
          <w:color w:val="auto"/>
          <w:sz w:val="24"/>
        </w:rPr>
      </w:pPr>
      <w:r>
        <w:rPr>
          <w:rFonts w:hint="eastAsia" w:ascii="宋体" w:hAnsi="宋体"/>
          <w:color w:val="auto"/>
          <w:sz w:val="24"/>
        </w:rPr>
        <w:t>2.16.2合同继续履行将损害国家利益和社会公共利益的，双方当事人应当中止或者终止合同。有过错的一方应当承担赔偿责任，双方当事人都有过错的，各自承担相应的责任。</w:t>
      </w:r>
    </w:p>
    <w:p w14:paraId="131429C9">
      <w:pPr>
        <w:spacing w:line="360" w:lineRule="auto"/>
        <w:ind w:firstLine="482" w:firstLineChars="200"/>
        <w:rPr>
          <w:rFonts w:ascii="宋体" w:hAnsi="宋体"/>
          <w:b/>
          <w:color w:val="auto"/>
          <w:sz w:val="24"/>
        </w:rPr>
      </w:pPr>
      <w:r>
        <w:rPr>
          <w:rFonts w:hint="eastAsia" w:ascii="宋体" w:hAnsi="宋体"/>
          <w:b/>
          <w:color w:val="auto"/>
          <w:sz w:val="24"/>
        </w:rPr>
        <w:t>2.17 检验和验收</w:t>
      </w:r>
    </w:p>
    <w:p w14:paraId="13AE8928">
      <w:pPr>
        <w:spacing w:line="360" w:lineRule="auto"/>
        <w:ind w:firstLine="480" w:firstLineChars="200"/>
        <w:rPr>
          <w:rFonts w:ascii="宋体" w:hAnsi="宋体"/>
          <w:color w:val="auto"/>
          <w:sz w:val="24"/>
        </w:rPr>
      </w:pPr>
      <w:r>
        <w:rPr>
          <w:rFonts w:hint="eastAsia" w:ascii="宋体" w:hAnsi="宋体"/>
          <w:color w:val="auto"/>
          <w:sz w:val="24"/>
        </w:rPr>
        <w:t>2.17.1标的物交付前，乙方应对标的物的质量、数量等方面进行详细、全面的检验，并向甲方出具证明标的物符合合同约定的文件；标的物交付时，乙方在</w:t>
      </w:r>
      <w:r>
        <w:rPr>
          <w:rFonts w:hint="eastAsia" w:ascii="宋体" w:hAnsi="宋体"/>
          <w:b/>
          <w:i/>
          <w:color w:val="auto"/>
          <w:sz w:val="24"/>
          <w:u w:val="single"/>
        </w:rPr>
        <w:t>合同专用条款</w:t>
      </w:r>
      <w:r>
        <w:rPr>
          <w:rFonts w:hint="eastAsia" w:ascii="宋体" w:hAnsi="宋体"/>
          <w:color w:val="auto"/>
          <w:sz w:val="24"/>
        </w:rPr>
        <w:t>约定时间内组织验收，并可依法邀请相关方参加，验收应出具验收书。</w:t>
      </w:r>
    </w:p>
    <w:p w14:paraId="5A932F07">
      <w:pPr>
        <w:spacing w:line="360" w:lineRule="auto"/>
        <w:ind w:firstLine="480" w:firstLineChars="200"/>
        <w:rPr>
          <w:rFonts w:ascii="宋体" w:hAnsi="宋体"/>
          <w:color w:val="auto"/>
          <w:sz w:val="24"/>
        </w:rPr>
      </w:pPr>
      <w:r>
        <w:rPr>
          <w:rFonts w:hint="eastAsia" w:ascii="宋体" w:hAnsi="宋体"/>
          <w:color w:val="auto"/>
          <w:sz w:val="24"/>
        </w:rPr>
        <w:t>2.17.2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0D41C3A9">
      <w:pPr>
        <w:spacing w:line="360" w:lineRule="auto"/>
        <w:ind w:firstLine="480" w:firstLineChars="200"/>
        <w:rPr>
          <w:rFonts w:ascii="宋体" w:hAnsi="宋体"/>
          <w:color w:val="auto"/>
          <w:sz w:val="24"/>
        </w:rPr>
      </w:pPr>
      <w:r>
        <w:rPr>
          <w:rFonts w:hint="eastAsia" w:ascii="宋体" w:hAnsi="宋体"/>
          <w:color w:val="auto"/>
          <w:sz w:val="24"/>
        </w:rPr>
        <w:t>2.17.3 检验和验收标准、程序等具体内容以及前述验收书的效力详见</w:t>
      </w:r>
      <w:r>
        <w:rPr>
          <w:rFonts w:hint="eastAsia" w:ascii="宋体" w:hAnsi="宋体"/>
          <w:b/>
          <w:i/>
          <w:color w:val="auto"/>
          <w:sz w:val="24"/>
          <w:u w:val="single"/>
        </w:rPr>
        <w:t>合同专用条款</w:t>
      </w:r>
      <w:r>
        <w:rPr>
          <w:rFonts w:hint="eastAsia" w:ascii="宋体" w:hAnsi="宋体"/>
          <w:i/>
          <w:color w:val="auto"/>
          <w:sz w:val="24"/>
        </w:rPr>
        <w:t>。</w:t>
      </w:r>
    </w:p>
    <w:p w14:paraId="02E2EC46">
      <w:pPr>
        <w:spacing w:line="360" w:lineRule="auto"/>
        <w:ind w:firstLine="482" w:firstLineChars="200"/>
        <w:rPr>
          <w:rFonts w:ascii="宋体" w:hAnsi="宋体"/>
          <w:b/>
          <w:color w:val="auto"/>
          <w:sz w:val="24"/>
        </w:rPr>
      </w:pPr>
      <w:r>
        <w:rPr>
          <w:rFonts w:hint="eastAsia" w:ascii="宋体" w:hAnsi="宋体"/>
          <w:b/>
          <w:color w:val="auto"/>
          <w:sz w:val="24"/>
        </w:rPr>
        <w:t>2.18 通知和送达</w:t>
      </w:r>
    </w:p>
    <w:p w14:paraId="151FADC6">
      <w:pPr>
        <w:spacing w:line="360" w:lineRule="auto"/>
        <w:ind w:firstLine="480" w:firstLineChars="200"/>
        <w:rPr>
          <w:rFonts w:ascii="宋体" w:hAnsi="宋体"/>
          <w:color w:val="auto"/>
          <w:sz w:val="24"/>
        </w:rPr>
      </w:pPr>
      <w:r>
        <w:rPr>
          <w:rFonts w:hint="eastAsia" w:ascii="宋体" w:hAnsi="宋体"/>
          <w:color w:val="auto"/>
          <w:sz w:val="24"/>
        </w:rPr>
        <w:t>2.18.1 任何一方因履行合同而以合同第一部分尾部所列明的</w:t>
      </w:r>
      <w:r>
        <w:rPr>
          <w:rFonts w:hint="eastAsia" w:ascii="宋体" w:hAnsi="宋体"/>
          <w:color w:val="auto"/>
          <w:sz w:val="24"/>
          <w:u w:val="single"/>
        </w:rPr>
        <w:t>“约定送达地址”</w:t>
      </w:r>
      <w:r>
        <w:rPr>
          <w:rFonts w:hint="eastAsia" w:ascii="宋体" w:hAnsi="宋体"/>
          <w:color w:val="auto"/>
          <w:sz w:val="24"/>
        </w:rPr>
        <w:t>为收件地址的所有通知、文件、材料，均视为已向对方当事人送达；任何一方变更上述送达方式或者地址的，应于</w:t>
      </w:r>
      <w:r>
        <w:rPr>
          <w:rFonts w:hint="eastAsia" w:ascii="宋体" w:hAnsi="宋体"/>
          <w:color w:val="auto"/>
          <w:sz w:val="24"/>
          <w:u w:val="single"/>
        </w:rPr>
        <w:t xml:space="preserve">    </w:t>
      </w:r>
      <w:r>
        <w:rPr>
          <w:rFonts w:hint="eastAsia" w:ascii="宋体" w:hAnsi="宋体"/>
          <w:color w:val="auto"/>
          <w:sz w:val="24"/>
        </w:rPr>
        <w:t>个工作日内书面通知对方当事人，在对方当事人收到有关变更通知之前，变更前的约定送达方式或者地址仍视为有效。</w:t>
      </w:r>
    </w:p>
    <w:p w14:paraId="4B42D01A">
      <w:pPr>
        <w:spacing w:line="360" w:lineRule="auto"/>
        <w:ind w:firstLine="480" w:firstLineChars="200"/>
        <w:rPr>
          <w:rFonts w:ascii="宋体" w:hAnsi="宋体"/>
          <w:color w:val="auto"/>
          <w:sz w:val="24"/>
        </w:rPr>
      </w:pPr>
      <w:r>
        <w:rPr>
          <w:rFonts w:hint="eastAsia" w:ascii="宋体" w:hAnsi="宋体"/>
          <w:color w:val="auto"/>
          <w:sz w:val="24"/>
        </w:rPr>
        <w:t>2.18.2以当面交付方式送达的，交付之时视为送达；以电子邮件方式送达的，发出电子邮件之时视为送达；以传真方式送达的，发出传真之时视为送达；以邮寄方式送达的，邮件挂号寄出或者交邮之日之次日视为送达。</w:t>
      </w:r>
    </w:p>
    <w:p w14:paraId="43E1FEAA">
      <w:pPr>
        <w:spacing w:line="360" w:lineRule="auto"/>
        <w:ind w:firstLine="482" w:firstLineChars="200"/>
        <w:rPr>
          <w:rFonts w:ascii="宋体" w:hAnsi="宋体"/>
          <w:b/>
          <w:color w:val="auto"/>
          <w:sz w:val="24"/>
        </w:rPr>
      </w:pPr>
      <w:r>
        <w:rPr>
          <w:rFonts w:hint="eastAsia" w:ascii="宋体" w:hAnsi="宋体"/>
          <w:b/>
          <w:color w:val="auto"/>
          <w:sz w:val="24"/>
        </w:rPr>
        <w:t>2.19 计量单位</w:t>
      </w:r>
    </w:p>
    <w:p w14:paraId="164992A0">
      <w:pPr>
        <w:spacing w:line="360" w:lineRule="auto"/>
        <w:ind w:firstLine="480" w:firstLineChars="200"/>
        <w:rPr>
          <w:rFonts w:ascii="宋体" w:hAnsi="宋体"/>
          <w:color w:val="auto"/>
          <w:sz w:val="24"/>
        </w:rPr>
      </w:pPr>
      <w:r>
        <w:rPr>
          <w:rFonts w:hint="eastAsia" w:ascii="宋体" w:hAnsi="宋体"/>
          <w:color w:val="auto"/>
          <w:sz w:val="24"/>
        </w:rPr>
        <w:t>除技术规范中另有规定外,合同的计量单位均使用国家法定计量单位。</w:t>
      </w:r>
    </w:p>
    <w:p w14:paraId="4A88D746">
      <w:pPr>
        <w:spacing w:line="360" w:lineRule="auto"/>
        <w:ind w:firstLine="482" w:firstLineChars="200"/>
        <w:rPr>
          <w:rFonts w:ascii="宋体" w:hAnsi="宋体"/>
          <w:b/>
          <w:color w:val="auto"/>
          <w:sz w:val="24"/>
        </w:rPr>
      </w:pPr>
      <w:r>
        <w:rPr>
          <w:rFonts w:hint="eastAsia" w:ascii="宋体" w:hAnsi="宋体"/>
          <w:b/>
          <w:color w:val="auto"/>
          <w:sz w:val="24"/>
        </w:rPr>
        <w:t>2.20 合同使用的文字和适用的法律</w:t>
      </w:r>
    </w:p>
    <w:p w14:paraId="392EE512">
      <w:pPr>
        <w:spacing w:line="360" w:lineRule="auto"/>
        <w:ind w:firstLine="480" w:firstLineChars="200"/>
        <w:rPr>
          <w:rFonts w:ascii="宋体" w:hAnsi="宋体"/>
          <w:color w:val="auto"/>
          <w:sz w:val="24"/>
        </w:rPr>
      </w:pPr>
      <w:r>
        <w:rPr>
          <w:rFonts w:hint="eastAsia" w:ascii="宋体" w:hAnsi="宋体"/>
          <w:color w:val="auto"/>
          <w:sz w:val="24"/>
        </w:rPr>
        <w:t>2.20.1 合同使用汉语书就、变更和解释；</w:t>
      </w:r>
    </w:p>
    <w:p w14:paraId="6EB05A9B">
      <w:pPr>
        <w:spacing w:line="360" w:lineRule="auto"/>
        <w:ind w:firstLine="480" w:firstLineChars="200"/>
        <w:rPr>
          <w:rFonts w:ascii="宋体" w:hAnsi="宋体"/>
          <w:color w:val="auto"/>
          <w:sz w:val="24"/>
        </w:rPr>
      </w:pPr>
      <w:r>
        <w:rPr>
          <w:rFonts w:hint="eastAsia" w:ascii="宋体" w:hAnsi="宋体"/>
          <w:color w:val="auto"/>
          <w:sz w:val="24"/>
        </w:rPr>
        <w:t>2.20.2 合同适用中华人民共和国法律。</w:t>
      </w:r>
    </w:p>
    <w:p w14:paraId="08437B73">
      <w:pPr>
        <w:spacing w:line="360" w:lineRule="auto"/>
        <w:ind w:firstLine="482" w:firstLineChars="200"/>
        <w:rPr>
          <w:rFonts w:ascii="宋体" w:hAnsi="宋体"/>
          <w:b/>
          <w:color w:val="auto"/>
          <w:sz w:val="24"/>
        </w:rPr>
      </w:pPr>
      <w:r>
        <w:rPr>
          <w:rFonts w:hint="eastAsia" w:ascii="宋体" w:hAnsi="宋体"/>
          <w:b/>
          <w:color w:val="auto"/>
          <w:sz w:val="24"/>
        </w:rPr>
        <w:t>2.21 履约保证金</w:t>
      </w:r>
    </w:p>
    <w:p w14:paraId="0EC0DA3B">
      <w:pPr>
        <w:spacing w:line="360" w:lineRule="auto"/>
        <w:ind w:firstLine="480" w:firstLineChars="200"/>
        <w:rPr>
          <w:rFonts w:ascii="宋体" w:hAnsi="宋体" w:cs="Arial"/>
          <w:snapToGrid w:val="0"/>
          <w:color w:val="auto"/>
          <w:kern w:val="0"/>
          <w:sz w:val="24"/>
        </w:rPr>
      </w:pPr>
      <w:r>
        <w:rPr>
          <w:rFonts w:hint="eastAsia" w:ascii="宋体" w:hAnsi="宋体"/>
          <w:color w:val="auto"/>
          <w:sz w:val="24"/>
        </w:rPr>
        <w:t>本项目不收取履约保证金</w:t>
      </w:r>
    </w:p>
    <w:p w14:paraId="2785CA80">
      <w:pPr>
        <w:spacing w:line="360" w:lineRule="auto"/>
        <w:ind w:firstLine="482" w:firstLineChars="200"/>
        <w:rPr>
          <w:rFonts w:ascii="宋体" w:hAnsi="宋体"/>
          <w:color w:val="auto"/>
          <w:kern w:val="0"/>
          <w:sz w:val="24"/>
          <w:lang w:val="zh-CN"/>
        </w:rPr>
      </w:pPr>
      <w:r>
        <w:rPr>
          <w:rFonts w:hint="eastAsia" w:ascii="宋体" w:hAnsi="宋体"/>
          <w:b/>
          <w:color w:val="auto"/>
          <w:sz w:val="24"/>
        </w:rPr>
        <w:t>2.22 中小企业政策</w:t>
      </w:r>
    </w:p>
    <w:p w14:paraId="21E5C322">
      <w:pPr>
        <w:spacing w:line="360" w:lineRule="auto"/>
        <w:ind w:firstLine="480" w:firstLineChars="200"/>
        <w:rPr>
          <w:rFonts w:ascii="宋体" w:hAnsi="宋体"/>
          <w:color w:val="auto"/>
          <w:kern w:val="0"/>
          <w:sz w:val="24"/>
          <w:lang w:val="zh-CN"/>
        </w:rPr>
      </w:pPr>
      <w:r>
        <w:rPr>
          <w:rFonts w:hint="eastAsia" w:ascii="宋体" w:hAnsi="宋体"/>
          <w:color w:val="auto"/>
          <w:kern w:val="0"/>
          <w:sz w:val="24"/>
          <w:lang w:val="zh-CN"/>
        </w:rPr>
        <w:t>2.22.1本合同（□是  □否）为中小企业“政采贷”可融资合同，关于中小企业信用融资事项见采购文件“供应商须知正文”。</w:t>
      </w:r>
    </w:p>
    <w:p w14:paraId="171AA3B2">
      <w:pPr>
        <w:spacing w:line="360" w:lineRule="auto"/>
        <w:ind w:firstLine="480" w:firstLineChars="200"/>
        <w:rPr>
          <w:rFonts w:ascii="宋体" w:hAnsi="宋体"/>
          <w:color w:val="auto"/>
          <w:kern w:val="0"/>
          <w:sz w:val="24"/>
          <w:lang w:val="zh-CN"/>
        </w:rPr>
      </w:pPr>
      <w:r>
        <w:rPr>
          <w:rFonts w:hint="eastAsia" w:ascii="宋体" w:hAnsi="宋体"/>
          <w:color w:val="auto"/>
          <w:kern w:val="0"/>
          <w:sz w:val="24"/>
          <w:lang w:val="zh-CN"/>
        </w:rPr>
        <w:t>2.22.2本合同（□是  □否）为中小企业预留合同。</w:t>
      </w:r>
    </w:p>
    <w:p w14:paraId="797C1697">
      <w:pPr>
        <w:spacing w:line="360" w:lineRule="auto"/>
        <w:ind w:firstLine="482" w:firstLineChars="200"/>
        <w:rPr>
          <w:rFonts w:ascii="宋体" w:hAnsi="宋体"/>
          <w:b/>
          <w:color w:val="auto"/>
          <w:sz w:val="24"/>
        </w:rPr>
      </w:pPr>
      <w:r>
        <w:rPr>
          <w:rFonts w:hint="eastAsia" w:ascii="宋体" w:hAnsi="宋体"/>
          <w:b/>
          <w:color w:val="auto"/>
          <w:sz w:val="24"/>
        </w:rPr>
        <w:t>2.23 合同份数</w:t>
      </w:r>
    </w:p>
    <w:p w14:paraId="71628F74">
      <w:pPr>
        <w:spacing w:line="360" w:lineRule="auto"/>
        <w:ind w:firstLine="480" w:firstLineChars="200"/>
        <w:rPr>
          <w:rFonts w:ascii="宋体" w:hAnsi="宋体"/>
          <w:color w:val="auto"/>
          <w:sz w:val="24"/>
        </w:rPr>
      </w:pPr>
      <w:r>
        <w:rPr>
          <w:rFonts w:hint="eastAsia" w:ascii="宋体" w:hAnsi="宋体"/>
          <w:color w:val="auto"/>
          <w:sz w:val="24"/>
        </w:rPr>
        <w:t>本合同壹式伍份，甲方执贰份，乙方执贰份，采购代理机构执壹份。每份均具有同等法律效力。</w:t>
      </w:r>
    </w:p>
    <w:p w14:paraId="587F1937">
      <w:pPr>
        <w:spacing w:line="360" w:lineRule="auto"/>
        <w:ind w:firstLine="480" w:firstLineChars="200"/>
        <w:rPr>
          <w:rFonts w:ascii="宋体" w:hAnsi="宋体"/>
          <w:color w:val="auto"/>
          <w:sz w:val="24"/>
        </w:rPr>
      </w:pPr>
    </w:p>
    <w:p w14:paraId="686C6737">
      <w:pPr>
        <w:autoSpaceDE w:val="0"/>
        <w:autoSpaceDN w:val="0"/>
        <w:adjustRightInd w:val="0"/>
        <w:snapToGrid w:val="0"/>
        <w:spacing w:after="120" w:line="360" w:lineRule="auto"/>
        <w:ind w:left="420" w:leftChars="200" w:firstLine="480" w:firstLineChars="200"/>
        <w:jc w:val="center"/>
        <w:outlineLvl w:val="1"/>
        <w:rPr>
          <w:rFonts w:ascii="宋体" w:hAnsi="宋体"/>
          <w:b/>
          <w:color w:val="auto"/>
          <w:sz w:val="28"/>
          <w:szCs w:val="28"/>
        </w:rPr>
      </w:pPr>
      <w:r>
        <w:rPr>
          <w:rFonts w:hint="eastAsia" w:ascii="宋体" w:hAnsi="宋体"/>
          <w:color w:val="auto"/>
          <w:sz w:val="24"/>
          <w:szCs w:val="21"/>
        </w:rPr>
        <w:br w:type="page"/>
      </w:r>
      <w:r>
        <w:rPr>
          <w:rFonts w:hint="eastAsia" w:ascii="宋体" w:hAnsi="宋体"/>
          <w:b/>
          <w:color w:val="auto"/>
          <w:sz w:val="28"/>
          <w:szCs w:val="28"/>
        </w:rPr>
        <w:t>第三部分  合同专用条款</w:t>
      </w:r>
    </w:p>
    <w:p w14:paraId="27513273">
      <w:pPr>
        <w:spacing w:line="360" w:lineRule="auto"/>
        <w:ind w:firstLine="480" w:firstLineChars="200"/>
        <w:rPr>
          <w:rFonts w:ascii="宋体" w:hAnsi="宋体"/>
          <w:color w:val="auto"/>
          <w:sz w:val="24"/>
        </w:rPr>
      </w:pPr>
      <w:r>
        <w:rPr>
          <w:rFonts w:hint="eastAsia" w:ascii="宋体" w:hAnsi="宋体"/>
          <w:color w:val="auto"/>
          <w:sz w:val="24"/>
        </w:rPr>
        <w:t>本部分是对前两部分的补充和修改，如果前两部分和本部分的约定不一致，应以本部分的约定为准。本部分的条款号应与前两部分的条款号保持对应；与前两部分无对应关系的内容可另行编制条款号。</w:t>
      </w:r>
    </w:p>
    <w:p w14:paraId="78579788">
      <w:pPr>
        <w:spacing w:line="360" w:lineRule="auto"/>
        <w:ind w:firstLine="480" w:firstLineChars="200"/>
        <w:rPr>
          <w:rFonts w:ascii="宋体" w:hAnsi="宋体"/>
          <w:color w:val="auto"/>
          <w:sz w:val="24"/>
        </w:rPr>
      </w:pPr>
      <w:r>
        <w:rPr>
          <w:rFonts w:hint="eastAsia" w:ascii="宋体" w:hAnsi="宋体"/>
          <w:color w:val="auto"/>
          <w:sz w:val="24"/>
        </w:rPr>
        <w:t>2.3.2具有知识产权的标的物知识产权归属：</w:t>
      </w:r>
    </w:p>
    <w:p w14:paraId="4364D0F4">
      <w:pPr>
        <w:spacing w:line="360" w:lineRule="auto"/>
        <w:ind w:firstLine="480" w:firstLineChars="200"/>
        <w:rPr>
          <w:rFonts w:ascii="宋体" w:hAnsi="宋体"/>
          <w:color w:val="auto"/>
          <w:sz w:val="24"/>
        </w:rPr>
      </w:pPr>
      <w:r>
        <w:rPr>
          <w:rFonts w:hint="eastAsia" w:ascii="宋体" w:hAnsi="宋体"/>
          <w:color w:val="auto"/>
          <w:sz w:val="24"/>
          <w:u w:val="single"/>
        </w:rPr>
        <w:t xml:space="preserve">        归甲方所有                                        </w:t>
      </w:r>
      <w:r>
        <w:rPr>
          <w:rFonts w:hint="eastAsia" w:ascii="宋体" w:hAnsi="宋体"/>
          <w:color w:val="auto"/>
          <w:sz w:val="24"/>
        </w:rPr>
        <w:t xml:space="preserve">           </w:t>
      </w:r>
    </w:p>
    <w:p w14:paraId="74599272">
      <w:pPr>
        <w:spacing w:line="360" w:lineRule="auto"/>
        <w:ind w:firstLine="480" w:firstLineChars="200"/>
        <w:rPr>
          <w:rFonts w:ascii="宋体" w:hAnsi="宋体"/>
          <w:color w:val="auto"/>
          <w:sz w:val="24"/>
        </w:rPr>
      </w:pPr>
      <w:r>
        <w:rPr>
          <w:rFonts w:hint="eastAsia" w:ascii="宋体" w:hAnsi="宋体"/>
          <w:color w:val="auto"/>
          <w:sz w:val="24"/>
        </w:rPr>
        <w:t>2.4.1包装和装运专用条款（如果有）：</w:t>
      </w:r>
    </w:p>
    <w:p w14:paraId="6FA4C96F">
      <w:pPr>
        <w:spacing w:line="360" w:lineRule="auto"/>
        <w:ind w:firstLine="480" w:firstLineChars="200"/>
        <w:rPr>
          <w:rFonts w:ascii="宋体" w:hAnsi="宋体"/>
          <w:color w:val="auto"/>
          <w:sz w:val="24"/>
          <w:u w:val="single"/>
        </w:rPr>
      </w:pPr>
      <w:r>
        <w:rPr>
          <w:rFonts w:hint="eastAsia" w:ascii="宋体" w:hAnsi="宋体"/>
          <w:color w:val="auto"/>
          <w:sz w:val="24"/>
          <w:u w:val="single"/>
        </w:rPr>
        <w:t xml:space="preserve">              /                                                     </w:t>
      </w:r>
    </w:p>
    <w:p w14:paraId="30AE1C89">
      <w:pPr>
        <w:spacing w:line="360" w:lineRule="auto"/>
        <w:ind w:firstLine="480" w:firstLineChars="200"/>
        <w:rPr>
          <w:rFonts w:ascii="宋体" w:hAnsi="宋体"/>
          <w:color w:val="auto"/>
          <w:sz w:val="24"/>
        </w:rPr>
      </w:pPr>
      <w:r>
        <w:rPr>
          <w:rFonts w:hint="eastAsia" w:ascii="宋体" w:hAnsi="宋体"/>
          <w:color w:val="auto"/>
          <w:sz w:val="24"/>
        </w:rPr>
        <w:t>2.4.2装运标的物的要求和通知：</w:t>
      </w:r>
    </w:p>
    <w:p w14:paraId="48395A92">
      <w:pPr>
        <w:spacing w:line="360" w:lineRule="auto"/>
        <w:ind w:firstLine="480" w:firstLineChars="200"/>
        <w:rPr>
          <w:rFonts w:ascii="宋体" w:hAnsi="宋体"/>
          <w:color w:val="auto"/>
          <w:sz w:val="24"/>
          <w:u w:val="single"/>
        </w:rPr>
      </w:pPr>
      <w:r>
        <w:rPr>
          <w:rFonts w:hint="eastAsia" w:ascii="宋体" w:hAnsi="宋体"/>
          <w:color w:val="auto"/>
          <w:sz w:val="24"/>
          <w:u w:val="single"/>
        </w:rPr>
        <w:t xml:space="preserve">              /                                                     </w:t>
      </w:r>
    </w:p>
    <w:p w14:paraId="14E51008">
      <w:pPr>
        <w:spacing w:line="360" w:lineRule="auto"/>
        <w:ind w:firstLine="480" w:firstLineChars="200"/>
        <w:rPr>
          <w:rFonts w:ascii="宋体" w:hAnsi="宋体"/>
          <w:b/>
          <w:color w:val="auto"/>
          <w:sz w:val="24"/>
        </w:rPr>
      </w:pPr>
      <w:r>
        <w:rPr>
          <w:rFonts w:hint="eastAsia" w:ascii="宋体" w:hAnsi="宋体"/>
          <w:color w:val="auto"/>
          <w:sz w:val="24"/>
        </w:rPr>
        <w:t>2.6</w:t>
      </w:r>
      <w:r>
        <w:rPr>
          <w:rFonts w:hint="eastAsia" w:ascii="宋体" w:hAnsi="宋体"/>
          <w:b/>
          <w:color w:val="auto"/>
          <w:sz w:val="24"/>
        </w:rPr>
        <w:t>结算方式和付款条件</w:t>
      </w:r>
    </w:p>
    <w:p w14:paraId="4247CB87">
      <w:pPr>
        <w:spacing w:line="360" w:lineRule="auto"/>
        <w:ind w:firstLine="480" w:firstLineChars="200"/>
        <w:rPr>
          <w:rFonts w:ascii="宋体" w:hAnsi="宋体" w:cs="仿宋_GB2312"/>
          <w:color w:val="auto"/>
          <w:kern w:val="0"/>
          <w:sz w:val="24"/>
          <w:lang w:val="zh-CN"/>
        </w:rPr>
      </w:pPr>
      <w:r>
        <w:rPr>
          <w:rFonts w:hint="eastAsia" w:ascii="宋体" w:hAnsi="宋体" w:cs="仿宋_GB2312"/>
          <w:color w:val="auto"/>
          <w:kern w:val="0"/>
          <w:sz w:val="24"/>
          <w:lang w:val="zh-CN"/>
        </w:rPr>
        <w:t>本次项目合同总价为大写人民币</w:t>
      </w:r>
      <w:r>
        <w:rPr>
          <w:rFonts w:hint="eastAsia" w:ascii="宋体" w:hAnsi="宋体" w:cs="仿宋_GB2312"/>
          <w:color w:val="auto"/>
          <w:kern w:val="0"/>
          <w:sz w:val="24"/>
          <w:u w:val="single"/>
          <w:lang w:val="zh-CN"/>
        </w:rPr>
        <w:t xml:space="preserve">            （</w:t>
      </w:r>
      <w:r>
        <w:rPr>
          <w:rFonts w:hint="eastAsia" w:ascii="宋体" w:hAnsi="宋体" w:cs="仿宋_GB2312"/>
          <w:color w:val="auto"/>
          <w:kern w:val="0"/>
          <w:sz w:val="24"/>
          <w:lang w:val="zh-CN"/>
        </w:rPr>
        <w:t>￥    元）。本项目采用以下勾选结算方式进行支付：</w:t>
      </w:r>
    </w:p>
    <w:p w14:paraId="712FD9A0">
      <w:pPr>
        <w:spacing w:line="360" w:lineRule="auto"/>
        <w:ind w:firstLine="480" w:firstLineChars="200"/>
        <w:rPr>
          <w:rFonts w:ascii="宋体" w:hAnsi="宋体" w:cs="仿宋_GB2312"/>
          <w:color w:val="auto"/>
          <w:kern w:val="0"/>
          <w:sz w:val="24"/>
          <w:lang w:val="zh-CN"/>
        </w:rPr>
      </w:pPr>
      <w:r>
        <w:rPr>
          <w:rFonts w:hint="eastAsia" w:ascii="宋体" w:hAnsi="宋体" w:cs="仿宋_GB2312"/>
          <w:color w:val="auto"/>
          <w:kern w:val="0"/>
          <w:sz w:val="24"/>
          <w:lang w:val="zh-CN"/>
        </w:rPr>
        <w:t>□采用一次性支付方式，付款条件为：</w:t>
      </w:r>
      <w:r>
        <w:rPr>
          <w:rFonts w:hint="eastAsia" w:ascii="宋体" w:hAnsi="宋体" w:cs="仿宋_GB2312"/>
          <w:color w:val="auto"/>
          <w:kern w:val="0"/>
          <w:sz w:val="24"/>
          <w:u w:val="single"/>
        </w:rPr>
        <w:t xml:space="preserve">           </w:t>
      </w:r>
    </w:p>
    <w:p w14:paraId="59092B4D">
      <w:pPr>
        <w:spacing w:line="360" w:lineRule="auto"/>
        <w:ind w:firstLine="480" w:firstLineChars="200"/>
        <w:rPr>
          <w:rFonts w:ascii="宋体" w:hAnsi="宋体" w:cs="仿宋_GB2312"/>
          <w:color w:val="auto"/>
          <w:kern w:val="0"/>
          <w:sz w:val="24"/>
        </w:rPr>
      </w:pPr>
      <w:r>
        <w:rPr>
          <w:rFonts w:hint="eastAsia" w:ascii="宋体" w:hAnsi="宋体" w:cs="仿宋_GB2312"/>
          <w:color w:val="auto"/>
          <w:kern w:val="0"/>
          <w:sz w:val="24"/>
          <w:lang w:val="zh-CN"/>
        </w:rPr>
        <w:t>□采用分期付款方式，付款条件为</w:t>
      </w:r>
      <w:r>
        <w:rPr>
          <w:rFonts w:hint="eastAsia" w:ascii="宋体" w:hAnsi="宋体" w:cs="仿宋_GB2312"/>
          <w:color w:val="auto"/>
          <w:kern w:val="0"/>
          <w:sz w:val="24"/>
        </w:rPr>
        <w:t>：</w:t>
      </w:r>
    </w:p>
    <w:p w14:paraId="2306A93F">
      <w:pPr>
        <w:spacing w:line="360" w:lineRule="auto"/>
        <w:ind w:firstLine="480" w:firstLineChars="200"/>
        <w:rPr>
          <w:rFonts w:ascii="宋体" w:hAnsi="宋体" w:cs="仿宋_GB2312"/>
          <w:color w:val="auto"/>
          <w:kern w:val="0"/>
          <w:sz w:val="24"/>
        </w:rPr>
      </w:pPr>
      <w:r>
        <w:rPr>
          <w:rFonts w:hint="eastAsia" w:ascii="宋体" w:hAnsi="宋体" w:cs="仿宋_GB2312"/>
          <w:color w:val="auto"/>
          <w:kern w:val="0"/>
          <w:sz w:val="24"/>
          <w:lang w:val="zh-CN"/>
        </w:rPr>
        <w:t>第一期付款</w:t>
      </w:r>
      <w:r>
        <w:rPr>
          <w:rFonts w:hint="eastAsia" w:ascii="宋体" w:hAnsi="宋体" w:cs="仿宋_GB2312"/>
          <w:color w:val="auto"/>
          <w:kern w:val="0"/>
          <w:sz w:val="24"/>
        </w:rPr>
        <w:t>：</w:t>
      </w:r>
      <w:r>
        <w:rPr>
          <w:rFonts w:hint="eastAsia" w:ascii="宋体" w:hAnsi="宋体" w:cs="仿宋_GB2312"/>
          <w:color w:val="auto"/>
          <w:kern w:val="0"/>
          <w:sz w:val="24"/>
          <w:u w:val="single"/>
        </w:rPr>
        <w:t xml:space="preserve">                                        </w:t>
      </w:r>
    </w:p>
    <w:p w14:paraId="2E9F84E5">
      <w:pPr>
        <w:spacing w:line="360" w:lineRule="auto"/>
        <w:ind w:firstLine="480" w:firstLineChars="200"/>
        <w:rPr>
          <w:rFonts w:ascii="宋体" w:hAnsi="宋体" w:cs="仿宋_GB2312"/>
          <w:color w:val="auto"/>
          <w:kern w:val="0"/>
          <w:sz w:val="24"/>
          <w:u w:val="single"/>
        </w:rPr>
      </w:pPr>
      <w:r>
        <w:rPr>
          <w:rFonts w:hint="eastAsia" w:ascii="宋体" w:hAnsi="宋体" w:cs="仿宋_GB2312"/>
          <w:color w:val="auto"/>
          <w:kern w:val="0"/>
          <w:sz w:val="24"/>
          <w:lang w:val="zh-CN"/>
        </w:rPr>
        <w:t>第</w:t>
      </w:r>
      <w:r>
        <w:rPr>
          <w:rFonts w:hint="eastAsia" w:ascii="宋体" w:hAnsi="宋体" w:cs="仿宋_GB2312"/>
          <w:color w:val="auto"/>
          <w:kern w:val="0"/>
          <w:sz w:val="24"/>
        </w:rPr>
        <w:t>二</w:t>
      </w:r>
      <w:r>
        <w:rPr>
          <w:rFonts w:hint="eastAsia" w:ascii="宋体" w:hAnsi="宋体" w:cs="仿宋_GB2312"/>
          <w:color w:val="auto"/>
          <w:kern w:val="0"/>
          <w:sz w:val="24"/>
          <w:lang w:val="zh-CN"/>
        </w:rPr>
        <w:t>期付款</w:t>
      </w:r>
      <w:r>
        <w:rPr>
          <w:rFonts w:hint="eastAsia" w:ascii="宋体" w:hAnsi="宋体" w:cs="仿宋_GB2312"/>
          <w:color w:val="auto"/>
          <w:kern w:val="0"/>
          <w:sz w:val="24"/>
        </w:rPr>
        <w:t>：</w:t>
      </w:r>
      <w:r>
        <w:rPr>
          <w:rFonts w:hint="eastAsia" w:ascii="宋体" w:hAnsi="宋体" w:cs="仿宋_GB2312"/>
          <w:color w:val="auto"/>
          <w:kern w:val="0"/>
          <w:sz w:val="24"/>
          <w:u w:val="single"/>
        </w:rPr>
        <w:t xml:space="preserve">                                        </w:t>
      </w:r>
    </w:p>
    <w:p w14:paraId="4B01DF40">
      <w:pPr>
        <w:spacing w:line="360" w:lineRule="auto"/>
        <w:ind w:firstLine="480" w:firstLineChars="200"/>
        <w:rPr>
          <w:rFonts w:ascii="宋体" w:hAnsi="宋体" w:cs="仿宋_GB2312"/>
          <w:color w:val="auto"/>
          <w:kern w:val="0"/>
          <w:sz w:val="24"/>
        </w:rPr>
      </w:pPr>
      <w:r>
        <w:rPr>
          <w:rFonts w:hint="eastAsia" w:ascii="宋体" w:hAnsi="宋体" w:cs="仿宋_GB2312"/>
          <w:color w:val="auto"/>
          <w:kern w:val="0"/>
          <w:sz w:val="24"/>
        </w:rPr>
        <w:t>……</w:t>
      </w:r>
    </w:p>
    <w:p w14:paraId="3F1F8A1F">
      <w:pPr>
        <w:spacing w:line="360" w:lineRule="auto"/>
        <w:ind w:firstLine="480" w:firstLineChars="200"/>
        <w:rPr>
          <w:rFonts w:ascii="宋体" w:hAnsi="宋体"/>
          <w:color w:val="auto"/>
          <w:sz w:val="24"/>
        </w:rPr>
      </w:pPr>
      <w:r>
        <w:rPr>
          <w:rFonts w:hint="eastAsia" w:ascii="宋体" w:hAnsi="宋体"/>
          <w:color w:val="auto"/>
          <w:sz w:val="24"/>
        </w:rPr>
        <w:t>甲方无故逾期支付服务费用的，按照每逾期一日支付欠付服务费额度的</w:t>
      </w:r>
      <w:r>
        <w:rPr>
          <w:rFonts w:hint="eastAsia" w:ascii="宋体" w:hAnsi="宋体"/>
          <w:color w:val="auto"/>
          <w:sz w:val="24"/>
          <w:u w:val="single"/>
        </w:rPr>
        <w:t>万分之二</w:t>
      </w:r>
      <w:r>
        <w:rPr>
          <w:rFonts w:hint="eastAsia" w:ascii="宋体" w:hAnsi="宋体"/>
          <w:color w:val="auto"/>
          <w:sz w:val="24"/>
        </w:rPr>
        <w:t>承担违约责任，违约金上限按照《合同书》约定执行。</w:t>
      </w:r>
    </w:p>
    <w:p w14:paraId="52BBCCBE">
      <w:pPr>
        <w:spacing w:line="360" w:lineRule="auto"/>
        <w:ind w:firstLine="480" w:firstLineChars="200"/>
        <w:rPr>
          <w:rFonts w:ascii="宋体" w:hAnsi="宋体"/>
          <w:b/>
          <w:color w:val="auto"/>
          <w:sz w:val="24"/>
        </w:rPr>
      </w:pPr>
      <w:r>
        <w:rPr>
          <w:rFonts w:hint="eastAsia" w:ascii="宋体" w:hAnsi="宋体"/>
          <w:color w:val="auto"/>
          <w:sz w:val="24"/>
        </w:rPr>
        <w:t>2.9</w:t>
      </w:r>
      <w:r>
        <w:rPr>
          <w:rFonts w:hint="eastAsia" w:ascii="宋体" w:hAnsi="宋体"/>
          <w:b/>
          <w:color w:val="auto"/>
          <w:sz w:val="24"/>
        </w:rPr>
        <w:t>标的物的风险负担</w:t>
      </w:r>
    </w:p>
    <w:p w14:paraId="4B94D25C">
      <w:pPr>
        <w:spacing w:line="360" w:lineRule="auto"/>
        <w:ind w:firstLine="480" w:firstLineChars="200"/>
        <w:rPr>
          <w:rFonts w:ascii="宋体" w:hAnsi="宋体"/>
          <w:color w:val="auto"/>
          <w:sz w:val="24"/>
        </w:rPr>
      </w:pPr>
      <w:r>
        <w:rPr>
          <w:rFonts w:hint="eastAsia" w:ascii="宋体" w:hAnsi="宋体"/>
          <w:color w:val="auto"/>
          <w:sz w:val="24"/>
        </w:rPr>
        <w:t>标的物或者在途标的物或者交付给第一承运人后的标的物毁损、灭失的风险负担：</w:t>
      </w:r>
    </w:p>
    <w:p w14:paraId="512B681B">
      <w:pPr>
        <w:spacing w:line="360" w:lineRule="auto"/>
        <w:ind w:firstLine="480" w:firstLineChars="200"/>
        <w:rPr>
          <w:rFonts w:ascii="宋体" w:hAnsi="宋体"/>
          <w:color w:val="auto"/>
          <w:sz w:val="24"/>
          <w:u w:val="single"/>
        </w:rPr>
      </w:pPr>
      <w:r>
        <w:rPr>
          <w:rFonts w:hint="eastAsia" w:ascii="宋体" w:hAnsi="宋体"/>
          <w:color w:val="auto"/>
          <w:sz w:val="24"/>
          <w:u w:val="single"/>
        </w:rPr>
        <w:t xml:space="preserve">乙方                                                                       </w:t>
      </w:r>
    </w:p>
    <w:p w14:paraId="0E3AF401">
      <w:pPr>
        <w:spacing w:line="360" w:lineRule="auto"/>
        <w:ind w:firstLine="480" w:firstLineChars="200"/>
        <w:rPr>
          <w:rFonts w:ascii="宋体" w:hAnsi="宋体"/>
          <w:color w:val="auto"/>
          <w:sz w:val="24"/>
        </w:rPr>
      </w:pPr>
      <w:r>
        <w:rPr>
          <w:rFonts w:hint="eastAsia" w:ascii="宋体" w:hAnsi="宋体"/>
          <w:color w:val="auto"/>
          <w:sz w:val="24"/>
        </w:rPr>
        <w:t>2.13.2受不可抗力影响的一方在不可抗力发生后，应在</w:t>
      </w:r>
      <w:r>
        <w:rPr>
          <w:rFonts w:hint="eastAsia" w:ascii="宋体" w:hAnsi="宋体"/>
          <w:color w:val="auto"/>
          <w:sz w:val="24"/>
          <w:u w:val="single"/>
        </w:rPr>
        <w:t xml:space="preserve"> 20 </w:t>
      </w:r>
      <w:r>
        <w:rPr>
          <w:rFonts w:hint="eastAsia" w:ascii="宋体" w:hAnsi="宋体"/>
          <w:color w:val="auto"/>
          <w:sz w:val="24"/>
        </w:rPr>
        <w:t>日内（根据项目实际填写）以书面形式通知对方当事人，并在</w:t>
      </w:r>
      <w:r>
        <w:rPr>
          <w:rFonts w:hint="eastAsia" w:ascii="宋体" w:hAnsi="宋体"/>
          <w:color w:val="auto"/>
          <w:sz w:val="24"/>
          <w:u w:val="single"/>
        </w:rPr>
        <w:t xml:space="preserve"> 20 </w:t>
      </w:r>
      <w:r>
        <w:rPr>
          <w:rFonts w:hint="eastAsia" w:ascii="宋体" w:hAnsi="宋体"/>
          <w:color w:val="auto"/>
          <w:sz w:val="24"/>
        </w:rPr>
        <w:t>日内（根据项目实际填写），将有关部门出具的证明文件送达对方当事人。</w:t>
      </w:r>
    </w:p>
    <w:p w14:paraId="52B663ED">
      <w:pPr>
        <w:spacing w:line="360" w:lineRule="auto"/>
        <w:ind w:firstLine="480" w:firstLineChars="200"/>
        <w:rPr>
          <w:rFonts w:ascii="宋体" w:hAnsi="宋体"/>
          <w:color w:val="auto"/>
          <w:sz w:val="24"/>
        </w:rPr>
      </w:pPr>
      <w:r>
        <w:rPr>
          <w:rFonts w:hint="eastAsia" w:ascii="宋体" w:hAnsi="宋体"/>
          <w:color w:val="auto"/>
          <w:sz w:val="24"/>
        </w:rPr>
        <w:t>2.13.4因不可抗力致使合同有变更必要的，双方当事人应在</w:t>
      </w:r>
      <w:r>
        <w:rPr>
          <w:rFonts w:hint="eastAsia" w:ascii="宋体" w:hAnsi="宋体"/>
          <w:color w:val="auto"/>
          <w:sz w:val="24"/>
          <w:u w:val="single"/>
        </w:rPr>
        <w:t xml:space="preserve"> 20  </w:t>
      </w:r>
      <w:r>
        <w:rPr>
          <w:rFonts w:hint="eastAsia" w:ascii="宋体" w:hAnsi="宋体"/>
          <w:color w:val="auto"/>
          <w:sz w:val="24"/>
        </w:rPr>
        <w:t>日内（根据项目实际填写）以书面形式变更合同；</w:t>
      </w:r>
    </w:p>
    <w:p w14:paraId="38690115">
      <w:pPr>
        <w:spacing w:line="360" w:lineRule="auto"/>
        <w:ind w:firstLine="480" w:firstLineChars="200"/>
        <w:rPr>
          <w:rFonts w:ascii="宋体" w:hAnsi="宋体"/>
          <w:color w:val="auto"/>
          <w:sz w:val="24"/>
        </w:rPr>
      </w:pPr>
      <w:r>
        <w:rPr>
          <w:rFonts w:hint="eastAsia" w:ascii="宋体" w:hAnsi="宋体"/>
          <w:color w:val="auto"/>
          <w:sz w:val="24"/>
        </w:rPr>
        <w:t>2.17.1标的物交付前，乙方应对标的物的质量、数量等方面进行详细、全面的检验，并向甲方出具证明标的物符合合同约定的文件；标的物交付时，乙方在</w:t>
      </w:r>
      <w:r>
        <w:rPr>
          <w:rFonts w:hint="eastAsia" w:ascii="宋体" w:hAnsi="宋体"/>
          <w:color w:val="auto"/>
          <w:sz w:val="24"/>
          <w:u w:val="single"/>
        </w:rPr>
        <w:t xml:space="preserve">     20</w:t>
      </w:r>
      <w:r>
        <w:rPr>
          <w:rFonts w:hint="eastAsia" w:ascii="宋体" w:hAnsi="宋体"/>
          <w:color w:val="auto"/>
          <w:sz w:val="24"/>
        </w:rPr>
        <w:t>日内（根据项目实际填写）发起验收，并可依法邀请相关方参加，验收应出具验收书。</w:t>
      </w:r>
    </w:p>
    <w:p w14:paraId="5D63A470">
      <w:pPr>
        <w:spacing w:line="360" w:lineRule="auto"/>
        <w:ind w:firstLine="480" w:firstLineChars="200"/>
        <w:rPr>
          <w:rFonts w:ascii="宋体" w:hAnsi="宋体"/>
          <w:color w:val="auto"/>
          <w:sz w:val="24"/>
        </w:rPr>
      </w:pPr>
      <w:r>
        <w:rPr>
          <w:rFonts w:hint="eastAsia" w:ascii="宋体" w:hAnsi="宋体"/>
          <w:color w:val="auto"/>
          <w:sz w:val="24"/>
        </w:rPr>
        <w:t>2.17.3 检验和验收标准、程序等具体内容以及前述验收书的效力：</w:t>
      </w:r>
    </w:p>
    <w:p w14:paraId="6BF3529F">
      <w:pPr>
        <w:spacing w:line="360" w:lineRule="auto"/>
        <w:ind w:firstLine="480" w:firstLineChars="200"/>
        <w:rPr>
          <w:rFonts w:ascii="宋体" w:hAnsi="宋体"/>
          <w:color w:val="auto"/>
          <w:sz w:val="24"/>
          <w:u w:val="single"/>
        </w:rPr>
      </w:pPr>
      <w:r>
        <w:rPr>
          <w:rFonts w:hint="eastAsia" w:ascii="宋体" w:hAnsi="宋体"/>
          <w:color w:val="auto"/>
          <w:sz w:val="24"/>
          <w:u w:val="single"/>
        </w:rPr>
        <w:t xml:space="preserve">检验和验收标准、程序等具体内容详见《合同专用条款》3.2；前述验收书的效力：甲方与乙方当事人加盖有效公章时生效。  </w:t>
      </w:r>
    </w:p>
    <w:p w14:paraId="7C037509">
      <w:pPr>
        <w:spacing w:line="360" w:lineRule="auto"/>
        <w:ind w:firstLine="482" w:firstLineChars="200"/>
        <w:rPr>
          <w:rFonts w:ascii="宋体" w:hAnsi="宋体" w:cs="仿宋"/>
          <w:b/>
          <w:color w:val="auto"/>
          <w:sz w:val="24"/>
        </w:rPr>
      </w:pPr>
      <w:r>
        <w:rPr>
          <w:rFonts w:hint="eastAsia" w:ascii="宋体" w:hAnsi="宋体" w:cs="仿宋"/>
          <w:b/>
          <w:color w:val="auto"/>
          <w:sz w:val="24"/>
        </w:rPr>
        <w:t>3.2项目验收：</w:t>
      </w:r>
    </w:p>
    <w:p w14:paraId="104E5282">
      <w:pPr>
        <w:spacing w:line="360" w:lineRule="auto"/>
        <w:ind w:firstLine="480" w:firstLineChars="200"/>
        <w:rPr>
          <w:rFonts w:ascii="宋体" w:hAnsi="宋体"/>
          <w:color w:val="auto"/>
          <w:sz w:val="24"/>
        </w:rPr>
      </w:pPr>
      <w:r>
        <w:rPr>
          <w:rFonts w:hint="eastAsia" w:ascii="宋体" w:hAnsi="宋体"/>
          <w:color w:val="auto"/>
          <w:sz w:val="24"/>
        </w:rPr>
        <w:t>3.2.1甲方参照《南宁市政府采购供应商履约验收评价管理办法》（南财采[2019]217号）规定组织对乙方履约的验收。验收方成员应当在验收书上签字，并承担相应的法律责任。如果发现与合同中要求不符，乙方须承担由此发生的一切损失和费用，并接受相应的处理。</w:t>
      </w:r>
    </w:p>
    <w:p w14:paraId="05F43BF3">
      <w:pPr>
        <w:spacing w:line="360" w:lineRule="auto"/>
        <w:ind w:firstLine="480" w:firstLineChars="200"/>
        <w:rPr>
          <w:rFonts w:ascii="宋体" w:hAnsi="宋体"/>
          <w:color w:val="auto"/>
          <w:sz w:val="24"/>
        </w:rPr>
      </w:pPr>
      <w:r>
        <w:rPr>
          <w:rFonts w:hint="eastAsia" w:ascii="宋体" w:hAnsi="宋体"/>
          <w:color w:val="auto"/>
          <w:sz w:val="24"/>
        </w:rPr>
        <w:t>3.2.2严格按照采购合同开展履约验收。甲方成立验收小组，按照采购合同的约定对供应商履约情况进行验收，验收时，按照采购合同的约定对每一项技术、服务、安全标准的履约情况进行确认，出具验收报告并经验收小组全体成员签字。甲方根据验收报告形成验收意见并经甲方与乙方签字盖章生效。验收结果与采购合同约定的资金支付条件挂钩。履约验收的各项资料应当存档备查。</w:t>
      </w:r>
    </w:p>
    <w:p w14:paraId="1C223BE7">
      <w:pPr>
        <w:spacing w:line="360" w:lineRule="auto"/>
        <w:ind w:firstLine="480" w:firstLineChars="200"/>
        <w:rPr>
          <w:rFonts w:ascii="宋体" w:hAnsi="宋体"/>
          <w:color w:val="auto"/>
          <w:sz w:val="24"/>
        </w:rPr>
      </w:pPr>
      <w:r>
        <w:rPr>
          <w:rFonts w:hint="eastAsia" w:ascii="宋体" w:hAnsi="宋体"/>
          <w:color w:val="auto"/>
          <w:sz w:val="24"/>
        </w:rPr>
        <w:t>3.2.3验收合格的项目，甲方将根据采购合同的约定及时向供应商支付采购资金。验收不合格的项目，甲方将依法及时处理。采购合同的履行、违约责任和解决争议的方式等适用《中华人民共和国民法典》，并按照《合同书》约定执行。</w:t>
      </w:r>
    </w:p>
    <w:p w14:paraId="253B501C">
      <w:pPr>
        <w:spacing w:line="360" w:lineRule="auto"/>
        <w:ind w:firstLine="480" w:firstLineChars="200"/>
        <w:rPr>
          <w:rFonts w:ascii="宋体" w:hAnsi="宋体"/>
          <w:color w:val="auto"/>
          <w:sz w:val="24"/>
        </w:rPr>
      </w:pPr>
      <w:r>
        <w:rPr>
          <w:rFonts w:hint="eastAsia" w:ascii="宋体" w:hAnsi="宋体"/>
          <w:color w:val="auto"/>
          <w:sz w:val="24"/>
        </w:rPr>
        <w:t>3.2.4验收产生的费用</w:t>
      </w:r>
    </w:p>
    <w:p w14:paraId="131253D8">
      <w:pPr>
        <w:spacing w:line="360" w:lineRule="auto"/>
        <w:ind w:firstLine="480" w:firstLineChars="200"/>
        <w:rPr>
          <w:rFonts w:ascii="宋体" w:hAnsi="宋体"/>
          <w:color w:val="auto"/>
          <w:sz w:val="24"/>
        </w:rPr>
      </w:pPr>
      <w:r>
        <w:rPr>
          <w:rFonts w:hint="eastAsia" w:ascii="宋体" w:hAnsi="宋体"/>
          <w:color w:val="auto"/>
          <w:sz w:val="24"/>
          <w:u w:val="single"/>
        </w:rPr>
        <w:t>首次验收费用由乙方承担，如首次验收不合格，后续验收费用由乙方支付</w:t>
      </w:r>
      <w:r>
        <w:rPr>
          <w:rFonts w:hint="eastAsia" w:ascii="宋体" w:hAnsi="宋体"/>
          <w:color w:val="auto"/>
          <w:sz w:val="24"/>
        </w:rPr>
        <w:t>。</w:t>
      </w:r>
    </w:p>
    <w:p w14:paraId="50280ECC">
      <w:pPr>
        <w:spacing w:line="360" w:lineRule="auto"/>
        <w:ind w:firstLine="480" w:firstLineChars="200"/>
        <w:rPr>
          <w:rFonts w:ascii="宋体" w:hAnsi="宋体"/>
          <w:color w:val="auto"/>
          <w:sz w:val="24"/>
        </w:rPr>
      </w:pPr>
      <w:r>
        <w:rPr>
          <w:rFonts w:hint="eastAsia" w:ascii="宋体" w:hAnsi="宋体"/>
          <w:color w:val="auto"/>
          <w:sz w:val="24"/>
        </w:rPr>
        <w:t>3.2.5验收内容及资料要求：</w:t>
      </w:r>
    </w:p>
    <w:p w14:paraId="1C949B7C">
      <w:pPr>
        <w:spacing w:line="360" w:lineRule="auto"/>
        <w:ind w:firstLine="480" w:firstLineChars="200"/>
        <w:rPr>
          <w:rFonts w:ascii="宋体" w:hAnsi="宋体"/>
          <w:color w:val="auto"/>
          <w:sz w:val="24"/>
        </w:rPr>
      </w:pPr>
      <w:r>
        <w:rPr>
          <w:rFonts w:hint="eastAsia" w:ascii="宋体" w:hAnsi="宋体"/>
          <w:color w:val="auto"/>
          <w:sz w:val="24"/>
        </w:rPr>
        <w:t>根据采购文件确定的技术指标或者服务要求确定验收指标和标准。未进行相应约定的，应当符合国家强制性规定、政策要求、安全标准、行业或企业有关标准等。</w:t>
      </w:r>
    </w:p>
    <w:p w14:paraId="1E11DF87">
      <w:pPr>
        <w:tabs>
          <w:tab w:val="left" w:pos="904"/>
        </w:tabs>
        <w:snapToGrid w:val="0"/>
        <w:spacing w:line="360" w:lineRule="auto"/>
        <w:ind w:firstLine="480" w:firstLineChars="200"/>
        <w:jc w:val="left"/>
        <w:rPr>
          <w:rFonts w:ascii="宋体" w:hAnsi="宋体"/>
          <w:color w:val="auto"/>
          <w:sz w:val="24"/>
        </w:rPr>
      </w:pPr>
      <w:r>
        <w:rPr>
          <w:rFonts w:hint="eastAsia" w:ascii="宋体" w:hAnsi="宋体"/>
          <w:color w:val="auto"/>
          <w:sz w:val="24"/>
        </w:rPr>
        <w:t>3.2.6验收内容</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3"/>
        <w:gridCol w:w="1914"/>
        <w:gridCol w:w="5930"/>
      </w:tblGrid>
      <w:tr w14:paraId="2AFA3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tcBorders>
              <w:top w:val="single" w:color="auto" w:sz="4" w:space="0"/>
              <w:left w:val="single" w:color="auto" w:sz="4" w:space="0"/>
              <w:bottom w:val="single" w:color="auto" w:sz="4" w:space="0"/>
              <w:right w:val="single" w:color="auto" w:sz="4" w:space="0"/>
            </w:tcBorders>
            <w:vAlign w:val="center"/>
          </w:tcPr>
          <w:p w14:paraId="51567066">
            <w:pPr>
              <w:widowControl/>
              <w:jc w:val="center"/>
              <w:rPr>
                <w:rFonts w:ascii="宋体" w:hAnsi="宋体" w:cs="仿宋"/>
                <w:bCs/>
                <w:color w:val="auto"/>
                <w:kern w:val="0"/>
                <w:sz w:val="24"/>
              </w:rPr>
            </w:pPr>
            <w:r>
              <w:rPr>
                <w:rFonts w:hint="eastAsia" w:ascii="宋体" w:hAnsi="宋体" w:cs="仿宋"/>
                <w:bCs/>
                <w:color w:val="auto"/>
                <w:kern w:val="0"/>
                <w:sz w:val="24"/>
              </w:rPr>
              <w:t>序号</w:t>
            </w:r>
          </w:p>
        </w:tc>
        <w:tc>
          <w:tcPr>
            <w:tcW w:w="1914" w:type="dxa"/>
            <w:tcBorders>
              <w:top w:val="single" w:color="auto" w:sz="4" w:space="0"/>
              <w:left w:val="single" w:color="auto" w:sz="4" w:space="0"/>
              <w:bottom w:val="single" w:color="auto" w:sz="4" w:space="0"/>
              <w:right w:val="single" w:color="auto" w:sz="4" w:space="0"/>
            </w:tcBorders>
            <w:vAlign w:val="center"/>
          </w:tcPr>
          <w:p w14:paraId="2C72077C">
            <w:pPr>
              <w:widowControl/>
              <w:jc w:val="center"/>
              <w:rPr>
                <w:rFonts w:ascii="宋体" w:hAnsi="宋体" w:cs="仿宋"/>
                <w:bCs/>
                <w:color w:val="auto"/>
                <w:kern w:val="0"/>
                <w:sz w:val="24"/>
              </w:rPr>
            </w:pPr>
            <w:r>
              <w:rPr>
                <w:rFonts w:hint="eastAsia" w:ascii="宋体" w:hAnsi="宋体" w:cs="仿宋"/>
                <w:bCs/>
                <w:color w:val="auto"/>
                <w:kern w:val="0"/>
                <w:sz w:val="24"/>
              </w:rPr>
              <w:t>验收内容</w:t>
            </w:r>
          </w:p>
        </w:tc>
        <w:tc>
          <w:tcPr>
            <w:tcW w:w="5930" w:type="dxa"/>
            <w:tcBorders>
              <w:top w:val="single" w:color="auto" w:sz="4" w:space="0"/>
              <w:left w:val="single" w:color="auto" w:sz="4" w:space="0"/>
              <w:bottom w:val="single" w:color="auto" w:sz="4" w:space="0"/>
              <w:right w:val="single" w:color="auto" w:sz="4" w:space="0"/>
            </w:tcBorders>
            <w:vAlign w:val="center"/>
          </w:tcPr>
          <w:p w14:paraId="7F8A9960">
            <w:pPr>
              <w:widowControl/>
              <w:jc w:val="center"/>
              <w:rPr>
                <w:rFonts w:ascii="宋体" w:hAnsi="宋体" w:cs="仿宋"/>
                <w:bCs/>
                <w:color w:val="auto"/>
                <w:kern w:val="0"/>
                <w:sz w:val="24"/>
              </w:rPr>
            </w:pPr>
            <w:r>
              <w:rPr>
                <w:rFonts w:hint="eastAsia" w:ascii="宋体" w:hAnsi="宋体" w:cs="仿宋"/>
                <w:bCs/>
                <w:color w:val="auto"/>
                <w:kern w:val="0"/>
                <w:sz w:val="24"/>
              </w:rPr>
              <w:t xml:space="preserve"> 验收标准</w:t>
            </w:r>
          </w:p>
        </w:tc>
      </w:tr>
      <w:tr w14:paraId="180BA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673" w:type="dxa"/>
            <w:tcBorders>
              <w:top w:val="single" w:color="auto" w:sz="4" w:space="0"/>
              <w:left w:val="single" w:color="auto" w:sz="4" w:space="0"/>
              <w:bottom w:val="single" w:color="auto" w:sz="4" w:space="0"/>
              <w:right w:val="single" w:color="auto" w:sz="4" w:space="0"/>
            </w:tcBorders>
            <w:vAlign w:val="center"/>
          </w:tcPr>
          <w:p w14:paraId="2C8F2E3C">
            <w:pPr>
              <w:widowControl/>
              <w:jc w:val="center"/>
              <w:rPr>
                <w:rFonts w:ascii="宋体" w:hAnsi="宋体" w:cs="仿宋"/>
                <w:bCs/>
                <w:color w:val="auto"/>
                <w:kern w:val="0"/>
                <w:sz w:val="24"/>
              </w:rPr>
            </w:pPr>
            <w:r>
              <w:rPr>
                <w:rFonts w:hint="eastAsia" w:ascii="宋体" w:hAnsi="宋体" w:cs="仿宋"/>
                <w:bCs/>
                <w:color w:val="auto"/>
                <w:kern w:val="0"/>
                <w:sz w:val="24"/>
              </w:rPr>
              <w:t>1</w:t>
            </w:r>
          </w:p>
        </w:tc>
        <w:tc>
          <w:tcPr>
            <w:tcW w:w="1914" w:type="dxa"/>
            <w:tcBorders>
              <w:top w:val="single" w:color="auto" w:sz="4" w:space="0"/>
              <w:left w:val="single" w:color="auto" w:sz="4" w:space="0"/>
              <w:bottom w:val="single" w:color="auto" w:sz="4" w:space="0"/>
              <w:right w:val="single" w:color="auto" w:sz="4" w:space="0"/>
            </w:tcBorders>
            <w:vAlign w:val="center"/>
          </w:tcPr>
          <w:p w14:paraId="467C52CB">
            <w:pPr>
              <w:widowControl/>
              <w:rPr>
                <w:rFonts w:ascii="宋体" w:hAnsi="宋体" w:cs="仿宋"/>
                <w:bCs/>
                <w:color w:val="auto"/>
                <w:kern w:val="0"/>
                <w:sz w:val="24"/>
              </w:rPr>
            </w:pPr>
          </w:p>
        </w:tc>
        <w:tc>
          <w:tcPr>
            <w:tcW w:w="5930" w:type="dxa"/>
            <w:tcBorders>
              <w:top w:val="single" w:color="auto" w:sz="4" w:space="0"/>
              <w:left w:val="single" w:color="auto" w:sz="4" w:space="0"/>
              <w:bottom w:val="single" w:color="auto" w:sz="4" w:space="0"/>
              <w:right w:val="single" w:color="auto" w:sz="4" w:space="0"/>
            </w:tcBorders>
            <w:vAlign w:val="center"/>
          </w:tcPr>
          <w:p w14:paraId="54B52ED1">
            <w:pPr>
              <w:widowControl/>
              <w:jc w:val="center"/>
              <w:rPr>
                <w:rFonts w:ascii="宋体" w:hAnsi="宋体" w:cs="仿宋"/>
                <w:color w:val="auto"/>
                <w:kern w:val="0"/>
                <w:sz w:val="24"/>
              </w:rPr>
            </w:pPr>
          </w:p>
        </w:tc>
      </w:tr>
      <w:tr w14:paraId="2C211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673" w:type="dxa"/>
            <w:tcBorders>
              <w:top w:val="single" w:color="auto" w:sz="4" w:space="0"/>
              <w:left w:val="single" w:color="auto" w:sz="4" w:space="0"/>
              <w:bottom w:val="single" w:color="auto" w:sz="4" w:space="0"/>
              <w:right w:val="single" w:color="auto" w:sz="4" w:space="0"/>
            </w:tcBorders>
            <w:vAlign w:val="center"/>
          </w:tcPr>
          <w:p w14:paraId="280A3FBD">
            <w:pPr>
              <w:widowControl/>
              <w:jc w:val="center"/>
              <w:rPr>
                <w:rFonts w:ascii="宋体" w:hAnsi="宋体" w:cs="仿宋"/>
                <w:bCs/>
                <w:color w:val="auto"/>
                <w:kern w:val="0"/>
                <w:sz w:val="24"/>
              </w:rPr>
            </w:pPr>
            <w:r>
              <w:rPr>
                <w:rFonts w:hint="eastAsia" w:ascii="宋体" w:hAnsi="宋体" w:cs="仿宋"/>
                <w:bCs/>
                <w:color w:val="auto"/>
                <w:kern w:val="0"/>
                <w:sz w:val="24"/>
              </w:rPr>
              <w:t>2</w:t>
            </w:r>
          </w:p>
        </w:tc>
        <w:tc>
          <w:tcPr>
            <w:tcW w:w="1914" w:type="dxa"/>
            <w:tcBorders>
              <w:top w:val="single" w:color="auto" w:sz="4" w:space="0"/>
              <w:left w:val="single" w:color="auto" w:sz="4" w:space="0"/>
              <w:bottom w:val="single" w:color="auto" w:sz="4" w:space="0"/>
              <w:right w:val="single" w:color="auto" w:sz="4" w:space="0"/>
            </w:tcBorders>
            <w:vAlign w:val="center"/>
          </w:tcPr>
          <w:p w14:paraId="482FD0C2">
            <w:pPr>
              <w:widowControl/>
              <w:rPr>
                <w:rFonts w:ascii="宋体" w:hAnsi="宋体" w:cs="仿宋"/>
                <w:bCs/>
                <w:color w:val="auto"/>
                <w:kern w:val="0"/>
                <w:sz w:val="24"/>
              </w:rPr>
            </w:pPr>
          </w:p>
        </w:tc>
        <w:tc>
          <w:tcPr>
            <w:tcW w:w="5930" w:type="dxa"/>
            <w:tcBorders>
              <w:top w:val="single" w:color="auto" w:sz="4" w:space="0"/>
              <w:left w:val="single" w:color="auto" w:sz="4" w:space="0"/>
              <w:bottom w:val="single" w:color="auto" w:sz="4" w:space="0"/>
              <w:right w:val="single" w:color="auto" w:sz="4" w:space="0"/>
            </w:tcBorders>
            <w:vAlign w:val="center"/>
          </w:tcPr>
          <w:p w14:paraId="69FF9967">
            <w:pPr>
              <w:widowControl/>
              <w:jc w:val="center"/>
              <w:rPr>
                <w:rFonts w:ascii="宋体" w:hAnsi="宋体" w:cs="仿宋"/>
                <w:color w:val="auto"/>
                <w:kern w:val="0"/>
                <w:sz w:val="24"/>
              </w:rPr>
            </w:pPr>
          </w:p>
        </w:tc>
      </w:tr>
      <w:tr w14:paraId="270D9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673" w:type="dxa"/>
            <w:tcBorders>
              <w:top w:val="single" w:color="auto" w:sz="4" w:space="0"/>
              <w:left w:val="single" w:color="auto" w:sz="4" w:space="0"/>
              <w:bottom w:val="single" w:color="auto" w:sz="4" w:space="0"/>
              <w:right w:val="single" w:color="auto" w:sz="4" w:space="0"/>
            </w:tcBorders>
            <w:vAlign w:val="center"/>
          </w:tcPr>
          <w:p w14:paraId="5ABF878A">
            <w:pPr>
              <w:widowControl/>
              <w:jc w:val="center"/>
              <w:rPr>
                <w:rFonts w:ascii="宋体" w:hAnsi="宋体" w:cs="仿宋"/>
                <w:bCs/>
                <w:color w:val="auto"/>
                <w:kern w:val="0"/>
                <w:sz w:val="24"/>
              </w:rPr>
            </w:pPr>
            <w:r>
              <w:rPr>
                <w:rFonts w:hint="eastAsia" w:ascii="宋体" w:hAnsi="宋体" w:cs="仿宋"/>
                <w:bCs/>
                <w:color w:val="auto"/>
                <w:kern w:val="0"/>
                <w:sz w:val="24"/>
              </w:rPr>
              <w:t>3</w:t>
            </w:r>
          </w:p>
        </w:tc>
        <w:tc>
          <w:tcPr>
            <w:tcW w:w="1914" w:type="dxa"/>
            <w:tcBorders>
              <w:top w:val="single" w:color="auto" w:sz="4" w:space="0"/>
              <w:left w:val="single" w:color="auto" w:sz="4" w:space="0"/>
              <w:bottom w:val="single" w:color="auto" w:sz="4" w:space="0"/>
              <w:right w:val="single" w:color="auto" w:sz="4" w:space="0"/>
            </w:tcBorders>
            <w:vAlign w:val="center"/>
          </w:tcPr>
          <w:p w14:paraId="1AFE7691">
            <w:pPr>
              <w:widowControl/>
              <w:rPr>
                <w:rFonts w:ascii="宋体" w:hAnsi="宋体" w:cs="仿宋"/>
                <w:bCs/>
                <w:color w:val="auto"/>
                <w:kern w:val="0"/>
                <w:sz w:val="24"/>
              </w:rPr>
            </w:pPr>
          </w:p>
        </w:tc>
        <w:tc>
          <w:tcPr>
            <w:tcW w:w="5930" w:type="dxa"/>
            <w:tcBorders>
              <w:top w:val="single" w:color="auto" w:sz="4" w:space="0"/>
              <w:left w:val="single" w:color="auto" w:sz="4" w:space="0"/>
              <w:bottom w:val="single" w:color="auto" w:sz="4" w:space="0"/>
              <w:right w:val="single" w:color="auto" w:sz="4" w:space="0"/>
            </w:tcBorders>
            <w:vAlign w:val="center"/>
          </w:tcPr>
          <w:p w14:paraId="07835EF0">
            <w:pPr>
              <w:widowControl/>
              <w:jc w:val="center"/>
              <w:rPr>
                <w:rFonts w:ascii="宋体" w:hAnsi="宋体" w:cs="仿宋"/>
                <w:color w:val="auto"/>
              </w:rPr>
            </w:pPr>
          </w:p>
        </w:tc>
      </w:tr>
      <w:tr w14:paraId="346D2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673" w:type="dxa"/>
            <w:tcBorders>
              <w:top w:val="single" w:color="auto" w:sz="4" w:space="0"/>
              <w:left w:val="single" w:color="auto" w:sz="4" w:space="0"/>
              <w:bottom w:val="single" w:color="auto" w:sz="4" w:space="0"/>
              <w:right w:val="single" w:color="auto" w:sz="4" w:space="0"/>
            </w:tcBorders>
            <w:vAlign w:val="center"/>
          </w:tcPr>
          <w:p w14:paraId="4E26A755">
            <w:pPr>
              <w:widowControl/>
              <w:jc w:val="center"/>
              <w:rPr>
                <w:rFonts w:ascii="宋体" w:hAnsi="宋体" w:cs="仿宋"/>
                <w:color w:val="auto"/>
                <w:kern w:val="0"/>
                <w:sz w:val="24"/>
              </w:rPr>
            </w:pPr>
            <w:r>
              <w:rPr>
                <w:rFonts w:hint="eastAsia" w:ascii="宋体" w:hAnsi="宋体" w:cs="仿宋"/>
                <w:color w:val="auto"/>
                <w:kern w:val="0"/>
                <w:sz w:val="24"/>
              </w:rPr>
              <w:t>4</w:t>
            </w:r>
          </w:p>
        </w:tc>
        <w:tc>
          <w:tcPr>
            <w:tcW w:w="1914" w:type="dxa"/>
            <w:tcBorders>
              <w:top w:val="single" w:color="auto" w:sz="4" w:space="0"/>
              <w:left w:val="single" w:color="auto" w:sz="4" w:space="0"/>
              <w:bottom w:val="single" w:color="auto" w:sz="4" w:space="0"/>
              <w:right w:val="single" w:color="auto" w:sz="4" w:space="0"/>
            </w:tcBorders>
            <w:vAlign w:val="center"/>
          </w:tcPr>
          <w:p w14:paraId="6745FFFC">
            <w:pPr>
              <w:widowControl/>
              <w:jc w:val="center"/>
              <w:rPr>
                <w:rFonts w:ascii="宋体" w:hAnsi="宋体" w:cs="仿宋"/>
                <w:bCs/>
                <w:color w:val="auto"/>
                <w:kern w:val="0"/>
                <w:sz w:val="24"/>
              </w:rPr>
            </w:pPr>
          </w:p>
        </w:tc>
        <w:tc>
          <w:tcPr>
            <w:tcW w:w="5930" w:type="dxa"/>
            <w:tcBorders>
              <w:top w:val="single" w:color="auto" w:sz="4" w:space="0"/>
              <w:left w:val="single" w:color="auto" w:sz="4" w:space="0"/>
              <w:bottom w:val="single" w:color="auto" w:sz="4" w:space="0"/>
              <w:right w:val="single" w:color="auto" w:sz="4" w:space="0"/>
            </w:tcBorders>
            <w:vAlign w:val="center"/>
          </w:tcPr>
          <w:p w14:paraId="183F9C32">
            <w:pPr>
              <w:widowControl/>
              <w:jc w:val="center"/>
              <w:rPr>
                <w:rFonts w:ascii="宋体" w:hAnsi="宋体" w:cs="仿宋"/>
                <w:color w:val="auto"/>
                <w:kern w:val="0"/>
                <w:sz w:val="24"/>
              </w:rPr>
            </w:pPr>
          </w:p>
        </w:tc>
      </w:tr>
      <w:tr w14:paraId="6DE99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673" w:type="dxa"/>
            <w:tcBorders>
              <w:top w:val="single" w:color="auto" w:sz="4" w:space="0"/>
              <w:left w:val="single" w:color="auto" w:sz="4" w:space="0"/>
              <w:bottom w:val="single" w:color="auto" w:sz="4" w:space="0"/>
              <w:right w:val="single" w:color="auto" w:sz="4" w:space="0"/>
            </w:tcBorders>
            <w:vAlign w:val="center"/>
          </w:tcPr>
          <w:p w14:paraId="2DF48AD9">
            <w:pPr>
              <w:widowControl/>
              <w:jc w:val="center"/>
              <w:rPr>
                <w:rFonts w:ascii="宋体" w:hAnsi="宋体" w:cs="仿宋"/>
                <w:bCs/>
                <w:color w:val="auto"/>
                <w:kern w:val="0"/>
                <w:sz w:val="24"/>
              </w:rPr>
            </w:pPr>
            <w:r>
              <w:rPr>
                <w:rFonts w:hint="eastAsia" w:ascii="宋体" w:hAnsi="宋体" w:cs="仿宋"/>
                <w:bCs/>
                <w:color w:val="auto"/>
                <w:kern w:val="0"/>
                <w:sz w:val="24"/>
              </w:rPr>
              <w:t>5</w:t>
            </w:r>
          </w:p>
        </w:tc>
        <w:tc>
          <w:tcPr>
            <w:tcW w:w="1914" w:type="dxa"/>
            <w:tcBorders>
              <w:top w:val="single" w:color="auto" w:sz="4" w:space="0"/>
              <w:left w:val="single" w:color="auto" w:sz="4" w:space="0"/>
              <w:bottom w:val="single" w:color="auto" w:sz="4" w:space="0"/>
              <w:right w:val="single" w:color="auto" w:sz="4" w:space="0"/>
            </w:tcBorders>
            <w:vAlign w:val="center"/>
          </w:tcPr>
          <w:p w14:paraId="496CD118">
            <w:pPr>
              <w:widowControl/>
              <w:jc w:val="center"/>
              <w:rPr>
                <w:rFonts w:ascii="宋体" w:hAnsi="宋体" w:cs="仿宋"/>
                <w:bCs/>
                <w:color w:val="auto"/>
                <w:kern w:val="0"/>
                <w:sz w:val="24"/>
              </w:rPr>
            </w:pPr>
          </w:p>
        </w:tc>
        <w:tc>
          <w:tcPr>
            <w:tcW w:w="5930" w:type="dxa"/>
            <w:tcBorders>
              <w:top w:val="single" w:color="auto" w:sz="4" w:space="0"/>
              <w:left w:val="single" w:color="auto" w:sz="4" w:space="0"/>
              <w:bottom w:val="single" w:color="auto" w:sz="4" w:space="0"/>
              <w:right w:val="single" w:color="auto" w:sz="4" w:space="0"/>
            </w:tcBorders>
            <w:vAlign w:val="center"/>
          </w:tcPr>
          <w:p w14:paraId="5F6A70EF">
            <w:pPr>
              <w:widowControl/>
              <w:jc w:val="center"/>
              <w:rPr>
                <w:rFonts w:ascii="宋体" w:hAnsi="宋体" w:cs="仿宋"/>
                <w:color w:val="auto"/>
                <w:kern w:val="0"/>
                <w:sz w:val="24"/>
              </w:rPr>
            </w:pPr>
          </w:p>
        </w:tc>
      </w:tr>
    </w:tbl>
    <w:p w14:paraId="5A09354E">
      <w:pPr>
        <w:spacing w:line="360" w:lineRule="auto"/>
        <w:ind w:firstLine="480" w:firstLineChars="200"/>
        <w:rPr>
          <w:rFonts w:ascii="宋体" w:hAnsi="宋体"/>
          <w:color w:val="auto"/>
          <w:sz w:val="24"/>
        </w:rPr>
      </w:pPr>
      <w:r>
        <w:rPr>
          <w:rFonts w:hint="eastAsia" w:ascii="宋体" w:hAnsi="宋体"/>
          <w:color w:val="auto"/>
          <w:sz w:val="24"/>
        </w:rPr>
        <w:t>5.2验收资料要求</w:t>
      </w:r>
    </w:p>
    <w:p w14:paraId="05BCA8EA">
      <w:pPr>
        <w:spacing w:line="360" w:lineRule="auto"/>
        <w:ind w:firstLine="480" w:firstLineChars="200"/>
        <w:rPr>
          <w:rFonts w:ascii="宋体" w:hAnsi="宋体"/>
          <w:color w:val="auto"/>
          <w:sz w:val="24"/>
        </w:rPr>
      </w:pPr>
      <w:r>
        <w:rPr>
          <w:rFonts w:hint="eastAsia" w:ascii="宋体" w:hAnsi="宋体"/>
          <w:color w:val="auto"/>
          <w:sz w:val="24"/>
        </w:rPr>
        <w:t>验收资料要求包括（不限于）以下内容：</w:t>
      </w:r>
    </w:p>
    <w:p w14:paraId="1784A352">
      <w:pPr>
        <w:spacing w:line="360" w:lineRule="auto"/>
        <w:ind w:firstLine="480" w:firstLineChars="200"/>
        <w:rPr>
          <w:rFonts w:ascii="宋体" w:hAnsi="宋体"/>
          <w:color w:val="auto"/>
          <w:sz w:val="24"/>
        </w:rPr>
      </w:pPr>
      <w:r>
        <w:rPr>
          <w:rFonts w:hint="eastAsia" w:ascii="宋体" w:hAnsi="宋体"/>
          <w:color w:val="auto"/>
          <w:sz w:val="24"/>
        </w:rPr>
        <w:t>（1）采购文件；</w:t>
      </w:r>
    </w:p>
    <w:p w14:paraId="3B4CED3B">
      <w:pPr>
        <w:spacing w:line="360" w:lineRule="auto"/>
        <w:ind w:firstLine="480" w:firstLineChars="200"/>
        <w:rPr>
          <w:rFonts w:ascii="宋体" w:hAnsi="宋体"/>
          <w:color w:val="auto"/>
          <w:sz w:val="24"/>
        </w:rPr>
      </w:pPr>
      <w:r>
        <w:rPr>
          <w:rFonts w:hint="eastAsia" w:ascii="宋体" w:hAnsi="宋体"/>
          <w:color w:val="auto"/>
          <w:sz w:val="24"/>
        </w:rPr>
        <w:t>（2）响应文件；</w:t>
      </w:r>
    </w:p>
    <w:p w14:paraId="2583FA85">
      <w:pPr>
        <w:spacing w:line="360" w:lineRule="auto"/>
        <w:ind w:firstLine="480" w:firstLineChars="200"/>
        <w:rPr>
          <w:rFonts w:ascii="宋体" w:hAnsi="宋体"/>
          <w:color w:val="auto"/>
          <w:sz w:val="24"/>
        </w:rPr>
      </w:pPr>
      <w:r>
        <w:rPr>
          <w:rFonts w:hint="eastAsia" w:ascii="宋体" w:hAnsi="宋体"/>
          <w:color w:val="auto"/>
          <w:sz w:val="24"/>
        </w:rPr>
        <w:t>（3）采购合同；</w:t>
      </w:r>
    </w:p>
    <w:p w14:paraId="65E23F08">
      <w:pPr>
        <w:spacing w:line="360" w:lineRule="auto"/>
        <w:ind w:firstLine="480" w:firstLineChars="200"/>
        <w:rPr>
          <w:rFonts w:ascii="宋体" w:hAnsi="宋体"/>
          <w:bCs/>
          <w:color w:val="auto"/>
          <w:sz w:val="24"/>
        </w:rPr>
      </w:pPr>
      <w:r>
        <w:rPr>
          <w:rFonts w:hint="eastAsia" w:ascii="宋体" w:hAnsi="宋体"/>
          <w:color w:val="auto"/>
          <w:sz w:val="24"/>
        </w:rPr>
        <w:t>（4）其他需提供的相关材料</w:t>
      </w:r>
      <w:r>
        <w:rPr>
          <w:rFonts w:hint="eastAsia" w:ascii="宋体" w:hAnsi="宋体" w:cs="仿宋"/>
          <w:color w:val="auto"/>
          <w:sz w:val="24"/>
        </w:rPr>
        <w:t>（业主根据项目实际情况填写）</w:t>
      </w:r>
      <w:r>
        <w:rPr>
          <w:rFonts w:hint="eastAsia" w:ascii="宋体" w:hAnsi="宋体"/>
          <w:color w:val="auto"/>
          <w:sz w:val="24"/>
        </w:rPr>
        <w:t>。</w:t>
      </w:r>
    </w:p>
    <w:p w14:paraId="41DB4E93">
      <w:pPr>
        <w:pStyle w:val="86"/>
        <w:rPr>
          <w:rFonts w:ascii="宋体" w:hAnsi="宋体"/>
          <w:color w:val="auto"/>
        </w:rPr>
      </w:pPr>
    </w:p>
    <w:p w14:paraId="63F87AE9">
      <w:pPr>
        <w:pStyle w:val="86"/>
        <w:rPr>
          <w:rFonts w:ascii="宋体" w:hAnsi="宋体"/>
          <w:color w:val="auto"/>
        </w:rPr>
      </w:pPr>
    </w:p>
    <w:p w14:paraId="75143801">
      <w:pPr>
        <w:spacing w:line="360" w:lineRule="auto"/>
        <w:ind w:firstLine="883" w:firstLineChars="200"/>
        <w:rPr>
          <w:rFonts w:ascii="宋体" w:hAnsi="宋体" w:cs="仿宋_GB2312"/>
          <w:b/>
          <w:color w:val="auto"/>
          <w:sz w:val="44"/>
          <w:szCs w:val="44"/>
        </w:rPr>
      </w:pPr>
    </w:p>
    <w:p w14:paraId="30D279AB">
      <w:pPr>
        <w:spacing w:line="360" w:lineRule="auto"/>
        <w:rPr>
          <w:rFonts w:ascii="宋体" w:hAnsi="宋体" w:cs="宋体"/>
          <w:color w:val="auto"/>
        </w:rPr>
        <w:sectPr>
          <w:pgSz w:w="11905" w:h="16838"/>
          <w:pgMar w:top="1417" w:right="1134" w:bottom="1417" w:left="1100" w:header="703" w:footer="703" w:gutter="0"/>
          <w:cols w:space="720" w:num="1"/>
        </w:sectPr>
      </w:pPr>
    </w:p>
    <w:p w14:paraId="1D2A66D4">
      <w:pPr>
        <w:spacing w:line="360" w:lineRule="auto"/>
        <w:rPr>
          <w:rFonts w:ascii="宋体" w:hAnsi="宋体" w:cs="宋体"/>
          <w:color w:val="auto"/>
        </w:rPr>
      </w:pPr>
    </w:p>
    <w:p w14:paraId="65543079">
      <w:pPr>
        <w:spacing w:line="360" w:lineRule="auto"/>
        <w:rPr>
          <w:rFonts w:ascii="宋体" w:hAnsi="宋体" w:cs="宋体"/>
          <w:color w:val="auto"/>
        </w:rPr>
      </w:pPr>
    </w:p>
    <w:p w14:paraId="6AAE0CF7">
      <w:pPr>
        <w:spacing w:line="360" w:lineRule="auto"/>
        <w:rPr>
          <w:rFonts w:ascii="宋体" w:hAnsi="宋体" w:cs="宋体"/>
          <w:color w:val="auto"/>
        </w:rPr>
      </w:pPr>
    </w:p>
    <w:p w14:paraId="1D3E370C">
      <w:pPr>
        <w:spacing w:line="360" w:lineRule="auto"/>
        <w:rPr>
          <w:rFonts w:ascii="宋体" w:hAnsi="宋体" w:cs="宋体"/>
          <w:color w:val="auto"/>
        </w:rPr>
      </w:pPr>
    </w:p>
    <w:p w14:paraId="342BF6BA">
      <w:pPr>
        <w:spacing w:line="360" w:lineRule="auto"/>
        <w:rPr>
          <w:rFonts w:ascii="宋体" w:hAnsi="宋体" w:cs="宋体"/>
          <w:color w:val="auto"/>
        </w:rPr>
      </w:pPr>
    </w:p>
    <w:p w14:paraId="0C237A23">
      <w:pPr>
        <w:spacing w:line="360" w:lineRule="auto"/>
        <w:rPr>
          <w:rFonts w:ascii="宋体" w:hAnsi="宋体" w:cs="宋体"/>
          <w:color w:val="auto"/>
        </w:rPr>
      </w:pPr>
    </w:p>
    <w:p w14:paraId="1E98BA3C">
      <w:pPr>
        <w:spacing w:line="360" w:lineRule="auto"/>
        <w:rPr>
          <w:rFonts w:ascii="宋体" w:hAnsi="宋体" w:cs="宋体"/>
          <w:color w:val="auto"/>
        </w:rPr>
      </w:pPr>
    </w:p>
    <w:p w14:paraId="75688C44">
      <w:pPr>
        <w:spacing w:line="360" w:lineRule="auto"/>
        <w:rPr>
          <w:rFonts w:ascii="宋体" w:hAnsi="宋体" w:cs="宋体"/>
          <w:color w:val="auto"/>
        </w:rPr>
      </w:pPr>
    </w:p>
    <w:p w14:paraId="688C9A44">
      <w:pPr>
        <w:spacing w:line="360" w:lineRule="auto"/>
        <w:rPr>
          <w:rFonts w:ascii="宋体" w:hAnsi="宋体" w:cs="宋体"/>
          <w:color w:val="auto"/>
        </w:rPr>
      </w:pPr>
    </w:p>
    <w:p w14:paraId="5932CB33">
      <w:pPr>
        <w:spacing w:line="360" w:lineRule="auto"/>
        <w:rPr>
          <w:rFonts w:ascii="宋体" w:hAnsi="宋体" w:cs="宋体"/>
          <w:color w:val="auto"/>
        </w:rPr>
      </w:pPr>
    </w:p>
    <w:p w14:paraId="5688F3EE">
      <w:pPr>
        <w:spacing w:line="360" w:lineRule="auto"/>
        <w:rPr>
          <w:rFonts w:ascii="宋体" w:hAnsi="宋体" w:cs="宋体"/>
          <w:color w:val="auto"/>
        </w:rPr>
      </w:pPr>
    </w:p>
    <w:p w14:paraId="06F24A4D">
      <w:pPr>
        <w:spacing w:line="360" w:lineRule="auto"/>
        <w:rPr>
          <w:rFonts w:ascii="宋体" w:hAnsi="宋体" w:cs="宋体"/>
          <w:color w:val="auto"/>
        </w:rPr>
      </w:pPr>
    </w:p>
    <w:p w14:paraId="779B3B24">
      <w:pPr>
        <w:spacing w:line="360" w:lineRule="auto"/>
        <w:rPr>
          <w:rFonts w:ascii="宋体" w:hAnsi="宋体" w:cs="宋体"/>
          <w:color w:val="auto"/>
        </w:rPr>
      </w:pPr>
    </w:p>
    <w:p w14:paraId="276F0D4D">
      <w:pPr>
        <w:spacing w:line="360" w:lineRule="auto"/>
        <w:rPr>
          <w:rFonts w:ascii="宋体" w:hAnsi="宋体" w:cs="宋体"/>
          <w:color w:val="auto"/>
        </w:rPr>
      </w:pPr>
    </w:p>
    <w:p w14:paraId="4D0BCC20">
      <w:pPr>
        <w:spacing w:line="360" w:lineRule="auto"/>
        <w:rPr>
          <w:rFonts w:ascii="宋体" w:hAnsi="宋体" w:cs="宋体"/>
          <w:color w:val="auto"/>
        </w:rPr>
      </w:pPr>
    </w:p>
    <w:p w14:paraId="2F4747B1">
      <w:pPr>
        <w:spacing w:line="360" w:lineRule="auto"/>
        <w:rPr>
          <w:rFonts w:ascii="宋体" w:hAnsi="宋体" w:cs="宋体"/>
          <w:color w:val="auto"/>
        </w:rPr>
      </w:pPr>
    </w:p>
    <w:p w14:paraId="5220DC91">
      <w:pPr>
        <w:spacing w:before="143" w:line="360" w:lineRule="auto"/>
        <w:ind w:left="1633"/>
        <w:outlineLvl w:val="0"/>
        <w:rPr>
          <w:rFonts w:ascii="宋体" w:hAnsi="宋体" w:cs="宋体"/>
          <w:color w:val="auto"/>
          <w:sz w:val="44"/>
          <w:szCs w:val="44"/>
        </w:rPr>
      </w:pPr>
      <w:bookmarkStart w:id="27" w:name="_Toc18386"/>
      <w:r>
        <w:rPr>
          <w:rFonts w:hint="eastAsia" w:ascii="宋体" w:hAnsi="宋体" w:cs="宋体"/>
          <w:color w:val="auto"/>
          <w:spacing w:val="-2"/>
          <w:sz w:val="44"/>
          <w:szCs w:val="44"/>
        </w:rPr>
        <w:t>第七章 质</w:t>
      </w:r>
      <w:r>
        <w:rPr>
          <w:rFonts w:hint="eastAsia" w:ascii="宋体" w:hAnsi="宋体" w:cs="宋体"/>
          <w:color w:val="auto"/>
          <w:spacing w:val="-1"/>
          <w:sz w:val="44"/>
          <w:szCs w:val="44"/>
        </w:rPr>
        <w:t>疑、投诉材料格式</w:t>
      </w:r>
      <w:bookmarkEnd w:id="27"/>
    </w:p>
    <w:p w14:paraId="2F39D044">
      <w:pPr>
        <w:spacing w:line="360" w:lineRule="auto"/>
        <w:rPr>
          <w:rFonts w:ascii="宋体" w:hAnsi="宋体" w:cs="宋体"/>
          <w:color w:val="auto"/>
        </w:rPr>
        <w:sectPr>
          <w:pgSz w:w="11905" w:h="16838"/>
          <w:pgMar w:top="1417" w:right="1134" w:bottom="1417" w:left="1100" w:header="703" w:footer="703" w:gutter="0"/>
          <w:cols w:space="720" w:num="1"/>
        </w:sectPr>
      </w:pPr>
    </w:p>
    <w:p w14:paraId="166300D6">
      <w:pPr>
        <w:keepNext/>
        <w:keepLines/>
        <w:spacing w:line="360" w:lineRule="auto"/>
        <w:jc w:val="center"/>
        <w:outlineLvl w:val="1"/>
        <w:rPr>
          <w:rFonts w:ascii="宋体" w:hAnsi="宋体" w:cs="宋体"/>
          <w:bCs/>
          <w:color w:val="auto"/>
          <w:sz w:val="28"/>
          <w:szCs w:val="28"/>
        </w:rPr>
      </w:pPr>
      <w:r>
        <w:rPr>
          <w:rFonts w:hint="eastAsia" w:ascii="宋体" w:hAnsi="宋体" w:cs="宋体"/>
          <w:bCs/>
          <w:color w:val="auto"/>
          <w:sz w:val="28"/>
          <w:szCs w:val="28"/>
        </w:rPr>
        <w:t>质疑函（格式）</w:t>
      </w:r>
    </w:p>
    <w:p w14:paraId="04A0F6D2">
      <w:pPr>
        <w:spacing w:line="360" w:lineRule="auto"/>
        <w:jc w:val="center"/>
        <w:rPr>
          <w:rFonts w:ascii="宋体" w:hAnsi="宋体" w:cs="宋体"/>
          <w:b/>
          <w:bCs/>
          <w:color w:val="auto"/>
          <w:sz w:val="28"/>
          <w:szCs w:val="28"/>
        </w:rPr>
      </w:pPr>
      <w:r>
        <w:rPr>
          <w:rFonts w:hint="eastAsia" w:ascii="宋体" w:hAnsi="宋体" w:cs="宋体"/>
          <w:b/>
          <w:bCs/>
          <w:color w:val="auto"/>
          <w:sz w:val="28"/>
          <w:szCs w:val="28"/>
        </w:rPr>
        <w:t>质疑函范本</w:t>
      </w:r>
    </w:p>
    <w:p w14:paraId="18AE2C78">
      <w:pPr>
        <w:adjustRightInd w:val="0"/>
        <w:snapToGrid w:val="0"/>
        <w:spacing w:line="360" w:lineRule="auto"/>
        <w:rPr>
          <w:rFonts w:ascii="宋体" w:hAnsi="宋体" w:cs="宋体"/>
          <w:bCs/>
          <w:color w:val="auto"/>
          <w:sz w:val="28"/>
          <w:szCs w:val="28"/>
        </w:rPr>
      </w:pPr>
      <w:r>
        <w:rPr>
          <w:rFonts w:hint="eastAsia" w:ascii="宋体" w:hAnsi="宋体" w:cs="宋体"/>
          <w:bCs/>
          <w:color w:val="auto"/>
          <w:sz w:val="28"/>
          <w:szCs w:val="28"/>
        </w:rPr>
        <w:t>一、质疑供应商基本信息</w:t>
      </w:r>
    </w:p>
    <w:p w14:paraId="0216B505">
      <w:pPr>
        <w:adjustRightInd w:val="0"/>
        <w:snapToGrid w:val="0"/>
        <w:spacing w:line="360" w:lineRule="auto"/>
        <w:rPr>
          <w:rFonts w:ascii="宋体" w:hAnsi="宋体" w:cs="宋体"/>
          <w:color w:val="auto"/>
          <w:sz w:val="28"/>
          <w:szCs w:val="28"/>
          <w:u w:val="dotted"/>
        </w:rPr>
      </w:pPr>
      <w:r>
        <w:rPr>
          <w:rFonts w:hint="eastAsia" w:ascii="宋体" w:hAnsi="宋体" w:cs="宋体"/>
          <w:color w:val="auto"/>
          <w:sz w:val="28"/>
          <w:szCs w:val="28"/>
        </w:rPr>
        <w:t>质疑供应商：</w:t>
      </w:r>
      <w:r>
        <w:rPr>
          <w:rFonts w:hint="eastAsia" w:ascii="宋体" w:hAnsi="宋体" w:cs="宋体"/>
          <w:color w:val="auto"/>
          <w:sz w:val="28"/>
          <w:szCs w:val="28"/>
          <w:u w:val="dotted"/>
        </w:rPr>
        <w:t xml:space="preserve">                                        </w:t>
      </w:r>
    </w:p>
    <w:p w14:paraId="3222FEBA">
      <w:pPr>
        <w:adjustRightInd w:val="0"/>
        <w:snapToGrid w:val="0"/>
        <w:spacing w:line="360" w:lineRule="auto"/>
        <w:rPr>
          <w:rFonts w:ascii="宋体" w:hAnsi="宋体" w:cs="宋体"/>
          <w:color w:val="auto"/>
          <w:sz w:val="28"/>
          <w:szCs w:val="28"/>
        </w:rPr>
      </w:pPr>
      <w:r>
        <w:rPr>
          <w:rFonts w:hint="eastAsia" w:ascii="宋体" w:hAnsi="宋体" w:cs="宋体"/>
          <w:color w:val="auto"/>
          <w:sz w:val="28"/>
          <w:szCs w:val="28"/>
        </w:rPr>
        <w:t>地址：</w:t>
      </w:r>
      <w:r>
        <w:rPr>
          <w:rFonts w:hint="eastAsia" w:ascii="宋体" w:hAnsi="宋体" w:cs="宋体"/>
          <w:color w:val="auto"/>
          <w:sz w:val="28"/>
          <w:szCs w:val="28"/>
          <w:u w:val="dotted"/>
        </w:rPr>
        <w:t xml:space="preserve">                          </w:t>
      </w:r>
      <w:r>
        <w:rPr>
          <w:rFonts w:hint="eastAsia" w:ascii="宋体" w:hAnsi="宋体" w:cs="宋体"/>
          <w:color w:val="auto"/>
          <w:sz w:val="28"/>
          <w:szCs w:val="28"/>
        </w:rPr>
        <w:t>邮编：</w:t>
      </w:r>
      <w:r>
        <w:rPr>
          <w:rFonts w:hint="eastAsia" w:ascii="宋体" w:hAnsi="宋体" w:cs="宋体"/>
          <w:color w:val="auto"/>
          <w:sz w:val="28"/>
          <w:szCs w:val="28"/>
          <w:u w:val="dotted"/>
        </w:rPr>
        <w:t xml:space="preserve">                                                   </w:t>
      </w:r>
    </w:p>
    <w:p w14:paraId="3210B8D7">
      <w:pPr>
        <w:adjustRightInd w:val="0"/>
        <w:snapToGrid w:val="0"/>
        <w:spacing w:line="360" w:lineRule="auto"/>
        <w:rPr>
          <w:rFonts w:ascii="宋体" w:hAnsi="宋体" w:cs="宋体"/>
          <w:color w:val="auto"/>
          <w:sz w:val="28"/>
          <w:szCs w:val="28"/>
        </w:rPr>
      </w:pPr>
      <w:r>
        <w:rPr>
          <w:rFonts w:hint="eastAsia" w:ascii="宋体" w:hAnsi="宋体" w:cs="宋体"/>
          <w:color w:val="auto"/>
          <w:sz w:val="28"/>
          <w:szCs w:val="28"/>
        </w:rPr>
        <w:t>联系人：</w:t>
      </w:r>
      <w:r>
        <w:rPr>
          <w:rFonts w:hint="eastAsia" w:ascii="宋体" w:hAnsi="宋体" w:cs="宋体"/>
          <w:color w:val="auto"/>
          <w:sz w:val="28"/>
          <w:szCs w:val="28"/>
          <w:u w:val="dotted"/>
        </w:rPr>
        <w:t xml:space="preserve">                      </w:t>
      </w:r>
      <w:r>
        <w:rPr>
          <w:rFonts w:hint="eastAsia" w:ascii="宋体" w:hAnsi="宋体" w:cs="宋体"/>
          <w:color w:val="auto"/>
          <w:sz w:val="28"/>
          <w:szCs w:val="28"/>
        </w:rPr>
        <w:t>联系电话：</w:t>
      </w:r>
      <w:r>
        <w:rPr>
          <w:rFonts w:hint="eastAsia" w:ascii="宋体" w:hAnsi="宋体" w:cs="宋体"/>
          <w:color w:val="auto"/>
          <w:sz w:val="28"/>
          <w:szCs w:val="28"/>
          <w:u w:val="dotted"/>
        </w:rPr>
        <w:t xml:space="preserve">                              </w:t>
      </w:r>
    </w:p>
    <w:p w14:paraId="696DFC71">
      <w:pPr>
        <w:adjustRightInd w:val="0"/>
        <w:snapToGrid w:val="0"/>
        <w:spacing w:line="360" w:lineRule="auto"/>
        <w:rPr>
          <w:rFonts w:ascii="宋体" w:hAnsi="宋体" w:cs="宋体"/>
          <w:color w:val="auto"/>
          <w:sz w:val="28"/>
          <w:szCs w:val="28"/>
          <w:u w:val="dotted"/>
        </w:rPr>
      </w:pPr>
      <w:r>
        <w:rPr>
          <w:rFonts w:hint="eastAsia" w:ascii="宋体" w:hAnsi="宋体" w:cs="宋体"/>
          <w:color w:val="auto"/>
          <w:sz w:val="28"/>
          <w:szCs w:val="28"/>
        </w:rPr>
        <w:t>授权代表：</w:t>
      </w:r>
      <w:r>
        <w:rPr>
          <w:rFonts w:hint="eastAsia" w:ascii="宋体" w:hAnsi="宋体" w:cs="宋体"/>
          <w:color w:val="auto"/>
          <w:sz w:val="28"/>
          <w:szCs w:val="28"/>
          <w:u w:val="dotted"/>
        </w:rPr>
        <w:t xml:space="preserve">                                          </w:t>
      </w:r>
    </w:p>
    <w:p w14:paraId="0AD6CD52">
      <w:pPr>
        <w:adjustRightInd w:val="0"/>
        <w:snapToGrid w:val="0"/>
        <w:spacing w:line="360" w:lineRule="auto"/>
        <w:rPr>
          <w:rFonts w:ascii="宋体" w:hAnsi="宋体" w:cs="宋体"/>
          <w:color w:val="auto"/>
          <w:sz w:val="28"/>
          <w:szCs w:val="28"/>
        </w:rPr>
      </w:pPr>
      <w:r>
        <w:rPr>
          <w:rFonts w:hint="eastAsia" w:ascii="宋体" w:hAnsi="宋体" w:cs="宋体"/>
          <w:color w:val="auto"/>
          <w:sz w:val="28"/>
          <w:szCs w:val="28"/>
        </w:rPr>
        <w:t>联系电话：</w:t>
      </w:r>
      <w:r>
        <w:rPr>
          <w:rFonts w:hint="eastAsia" w:ascii="宋体" w:hAnsi="宋体" w:cs="宋体"/>
          <w:color w:val="auto"/>
          <w:sz w:val="28"/>
          <w:szCs w:val="28"/>
          <w:u w:val="dotted"/>
        </w:rPr>
        <w:t xml:space="preserve">                                           </w:t>
      </w:r>
      <w:r>
        <w:rPr>
          <w:rFonts w:hint="eastAsia" w:ascii="宋体" w:hAnsi="宋体" w:cs="宋体"/>
          <w:color w:val="auto"/>
          <w:sz w:val="28"/>
          <w:szCs w:val="28"/>
        </w:rPr>
        <w:t xml:space="preserve"> </w:t>
      </w:r>
    </w:p>
    <w:p w14:paraId="43AD7FAC">
      <w:pPr>
        <w:adjustRightInd w:val="0"/>
        <w:snapToGrid w:val="0"/>
        <w:spacing w:line="360" w:lineRule="auto"/>
        <w:rPr>
          <w:rFonts w:ascii="宋体" w:hAnsi="宋体" w:cs="宋体"/>
          <w:color w:val="auto"/>
          <w:sz w:val="28"/>
          <w:szCs w:val="28"/>
        </w:rPr>
      </w:pPr>
      <w:r>
        <w:rPr>
          <w:rFonts w:hint="eastAsia" w:ascii="宋体" w:hAnsi="宋体" w:cs="宋体"/>
          <w:color w:val="auto"/>
          <w:sz w:val="28"/>
          <w:szCs w:val="28"/>
        </w:rPr>
        <w:t xml:space="preserve">地址： </w:t>
      </w:r>
      <w:r>
        <w:rPr>
          <w:rFonts w:hint="eastAsia" w:ascii="宋体" w:hAnsi="宋体" w:cs="宋体"/>
          <w:color w:val="auto"/>
          <w:sz w:val="28"/>
          <w:szCs w:val="28"/>
          <w:u w:val="dotted"/>
        </w:rPr>
        <w:t xml:space="preserve">                        </w:t>
      </w:r>
      <w:r>
        <w:rPr>
          <w:rFonts w:hint="eastAsia" w:ascii="宋体" w:hAnsi="宋体" w:cs="宋体"/>
          <w:color w:val="auto"/>
          <w:sz w:val="28"/>
          <w:szCs w:val="28"/>
        </w:rPr>
        <w:t>邮编：</w:t>
      </w:r>
      <w:r>
        <w:rPr>
          <w:rFonts w:hint="eastAsia" w:ascii="宋体" w:hAnsi="宋体" w:cs="宋体"/>
          <w:color w:val="auto"/>
          <w:sz w:val="28"/>
          <w:szCs w:val="28"/>
          <w:u w:val="dotted"/>
        </w:rPr>
        <w:t xml:space="preserve">                                                </w:t>
      </w:r>
    </w:p>
    <w:p w14:paraId="1B33C776">
      <w:pPr>
        <w:adjustRightInd w:val="0"/>
        <w:snapToGrid w:val="0"/>
        <w:spacing w:line="360" w:lineRule="auto"/>
        <w:rPr>
          <w:rFonts w:ascii="宋体" w:hAnsi="宋体" w:cs="宋体"/>
          <w:bCs/>
          <w:color w:val="auto"/>
          <w:sz w:val="28"/>
          <w:szCs w:val="28"/>
        </w:rPr>
      </w:pPr>
      <w:r>
        <w:rPr>
          <w:rFonts w:hint="eastAsia" w:ascii="宋体" w:hAnsi="宋体" w:cs="宋体"/>
          <w:bCs/>
          <w:color w:val="auto"/>
          <w:sz w:val="28"/>
          <w:szCs w:val="28"/>
        </w:rPr>
        <w:t>二、质疑项目基本情况</w:t>
      </w:r>
    </w:p>
    <w:p w14:paraId="502C05E2">
      <w:pPr>
        <w:adjustRightInd w:val="0"/>
        <w:snapToGrid w:val="0"/>
        <w:spacing w:line="360" w:lineRule="auto"/>
        <w:rPr>
          <w:rFonts w:ascii="宋体" w:hAnsi="宋体" w:cs="宋体"/>
          <w:color w:val="auto"/>
          <w:sz w:val="28"/>
          <w:szCs w:val="28"/>
        </w:rPr>
      </w:pPr>
      <w:r>
        <w:rPr>
          <w:rFonts w:hint="eastAsia" w:ascii="宋体" w:hAnsi="宋体" w:cs="宋体"/>
          <w:color w:val="auto"/>
          <w:sz w:val="28"/>
          <w:szCs w:val="28"/>
        </w:rPr>
        <w:t>质疑项目的名称：</w:t>
      </w:r>
      <w:r>
        <w:rPr>
          <w:rFonts w:hint="eastAsia" w:ascii="宋体" w:hAnsi="宋体" w:cs="宋体"/>
          <w:color w:val="auto"/>
          <w:sz w:val="28"/>
          <w:szCs w:val="28"/>
          <w:u w:val="dotted"/>
        </w:rPr>
        <w:t xml:space="preserve">                    </w:t>
      </w:r>
    </w:p>
    <w:p w14:paraId="4C02D267">
      <w:pPr>
        <w:adjustRightInd w:val="0"/>
        <w:snapToGrid w:val="0"/>
        <w:spacing w:line="360" w:lineRule="auto"/>
        <w:rPr>
          <w:rFonts w:ascii="宋体" w:hAnsi="宋体" w:cs="宋体"/>
          <w:color w:val="auto"/>
          <w:sz w:val="28"/>
          <w:szCs w:val="28"/>
        </w:rPr>
      </w:pPr>
      <w:r>
        <w:rPr>
          <w:rFonts w:hint="eastAsia" w:ascii="宋体" w:hAnsi="宋体" w:cs="宋体"/>
          <w:color w:val="auto"/>
          <w:sz w:val="28"/>
          <w:szCs w:val="28"/>
        </w:rPr>
        <w:t>质疑项目的编号：</w:t>
      </w:r>
      <w:r>
        <w:rPr>
          <w:rFonts w:hint="eastAsia" w:ascii="宋体" w:hAnsi="宋体" w:cs="宋体"/>
          <w:color w:val="auto"/>
          <w:sz w:val="28"/>
          <w:szCs w:val="28"/>
          <w:u w:val="dotted"/>
        </w:rPr>
        <w:t xml:space="preserve">             </w:t>
      </w:r>
      <w:r>
        <w:rPr>
          <w:rFonts w:hint="eastAsia" w:ascii="宋体" w:hAnsi="宋体" w:cs="宋体"/>
          <w:color w:val="auto"/>
          <w:sz w:val="28"/>
          <w:szCs w:val="28"/>
        </w:rPr>
        <w:t>包号：</w:t>
      </w:r>
      <w:r>
        <w:rPr>
          <w:rFonts w:hint="eastAsia" w:ascii="宋体" w:hAnsi="宋体" w:cs="宋体"/>
          <w:color w:val="auto"/>
          <w:sz w:val="28"/>
          <w:szCs w:val="28"/>
          <w:u w:val="dotted"/>
        </w:rPr>
        <w:t xml:space="preserve">                 </w:t>
      </w:r>
    </w:p>
    <w:p w14:paraId="3330237A">
      <w:pPr>
        <w:adjustRightInd w:val="0"/>
        <w:snapToGrid w:val="0"/>
        <w:spacing w:line="360" w:lineRule="auto"/>
        <w:rPr>
          <w:rFonts w:ascii="宋体" w:hAnsi="宋体" w:cs="宋体"/>
          <w:color w:val="auto"/>
          <w:sz w:val="28"/>
          <w:szCs w:val="28"/>
          <w:u w:val="dotted"/>
        </w:rPr>
      </w:pPr>
      <w:r>
        <w:rPr>
          <w:rFonts w:hint="eastAsia" w:ascii="宋体" w:hAnsi="宋体" w:cs="宋体"/>
          <w:color w:val="auto"/>
          <w:sz w:val="28"/>
          <w:szCs w:val="28"/>
        </w:rPr>
        <w:t>采购人名称：</w:t>
      </w:r>
      <w:r>
        <w:rPr>
          <w:rFonts w:hint="eastAsia" w:ascii="宋体" w:hAnsi="宋体" w:cs="宋体"/>
          <w:color w:val="auto"/>
          <w:sz w:val="28"/>
          <w:szCs w:val="28"/>
          <w:u w:val="dotted"/>
        </w:rPr>
        <w:t xml:space="preserve">                            </w:t>
      </w:r>
    </w:p>
    <w:p w14:paraId="484653AD">
      <w:pPr>
        <w:adjustRightInd w:val="0"/>
        <w:snapToGrid w:val="0"/>
        <w:spacing w:line="360" w:lineRule="auto"/>
        <w:rPr>
          <w:rFonts w:ascii="宋体" w:hAnsi="宋体" w:cs="宋体"/>
          <w:color w:val="auto"/>
          <w:sz w:val="28"/>
          <w:szCs w:val="28"/>
        </w:rPr>
      </w:pPr>
      <w:r>
        <w:rPr>
          <w:rFonts w:hint="eastAsia" w:ascii="宋体" w:hAnsi="宋体" w:cs="宋体"/>
          <w:color w:val="auto"/>
          <w:sz w:val="28"/>
          <w:szCs w:val="28"/>
        </w:rPr>
        <w:t>采购文件获取日期：</w:t>
      </w:r>
      <w:r>
        <w:rPr>
          <w:rFonts w:hint="eastAsia" w:ascii="宋体" w:hAnsi="宋体" w:cs="宋体"/>
          <w:color w:val="auto"/>
          <w:sz w:val="28"/>
          <w:szCs w:val="28"/>
          <w:u w:val="dotted"/>
        </w:rPr>
        <w:t xml:space="preserve">                                           </w:t>
      </w:r>
    </w:p>
    <w:p w14:paraId="1AC1709B">
      <w:pPr>
        <w:adjustRightInd w:val="0"/>
        <w:snapToGrid w:val="0"/>
        <w:spacing w:line="360" w:lineRule="auto"/>
        <w:rPr>
          <w:rFonts w:ascii="宋体" w:hAnsi="宋体" w:cs="宋体"/>
          <w:bCs/>
          <w:color w:val="auto"/>
          <w:sz w:val="28"/>
          <w:szCs w:val="28"/>
        </w:rPr>
      </w:pPr>
      <w:r>
        <w:rPr>
          <w:rFonts w:hint="eastAsia" w:ascii="宋体" w:hAnsi="宋体" w:cs="宋体"/>
          <w:bCs/>
          <w:color w:val="auto"/>
          <w:sz w:val="28"/>
          <w:szCs w:val="28"/>
        </w:rPr>
        <w:t>三、质疑事项具体内容</w:t>
      </w:r>
    </w:p>
    <w:p w14:paraId="6E1FC3D7">
      <w:pPr>
        <w:adjustRightInd w:val="0"/>
        <w:snapToGrid w:val="0"/>
        <w:spacing w:line="360" w:lineRule="auto"/>
        <w:rPr>
          <w:rFonts w:ascii="宋体" w:hAnsi="宋体" w:cs="宋体"/>
          <w:color w:val="auto"/>
          <w:sz w:val="28"/>
          <w:szCs w:val="28"/>
          <w:u w:val="dotted"/>
        </w:rPr>
      </w:pPr>
      <w:r>
        <w:rPr>
          <w:rFonts w:hint="eastAsia" w:ascii="宋体" w:hAnsi="宋体" w:cs="宋体"/>
          <w:color w:val="auto"/>
          <w:sz w:val="28"/>
          <w:szCs w:val="28"/>
        </w:rPr>
        <w:t>质疑事项1：</w:t>
      </w:r>
      <w:r>
        <w:rPr>
          <w:rFonts w:hint="eastAsia" w:ascii="宋体" w:hAnsi="宋体" w:cs="宋体"/>
          <w:color w:val="auto"/>
          <w:sz w:val="28"/>
          <w:szCs w:val="28"/>
          <w:u w:val="dotted"/>
        </w:rPr>
        <w:t xml:space="preserve">                                         </w:t>
      </w:r>
    </w:p>
    <w:p w14:paraId="2A15EC32">
      <w:pPr>
        <w:adjustRightInd w:val="0"/>
        <w:snapToGrid w:val="0"/>
        <w:spacing w:line="360" w:lineRule="auto"/>
        <w:rPr>
          <w:rFonts w:ascii="宋体" w:hAnsi="宋体" w:cs="宋体"/>
          <w:color w:val="auto"/>
          <w:sz w:val="28"/>
          <w:szCs w:val="28"/>
          <w:u w:val="dotted"/>
        </w:rPr>
      </w:pPr>
      <w:r>
        <w:rPr>
          <w:rFonts w:hint="eastAsia" w:ascii="宋体" w:hAnsi="宋体" w:cs="宋体"/>
          <w:color w:val="auto"/>
          <w:sz w:val="28"/>
          <w:szCs w:val="28"/>
        </w:rPr>
        <w:t>事实依据：</w:t>
      </w:r>
      <w:r>
        <w:rPr>
          <w:rFonts w:hint="eastAsia" w:ascii="宋体" w:hAnsi="宋体" w:cs="宋体"/>
          <w:color w:val="auto"/>
          <w:sz w:val="28"/>
          <w:szCs w:val="28"/>
          <w:u w:val="dotted"/>
        </w:rPr>
        <w:t xml:space="preserve">                                          </w:t>
      </w:r>
    </w:p>
    <w:p w14:paraId="2A01A4C8">
      <w:pPr>
        <w:adjustRightInd w:val="0"/>
        <w:snapToGrid w:val="0"/>
        <w:spacing w:line="360" w:lineRule="auto"/>
        <w:rPr>
          <w:rFonts w:ascii="宋体" w:hAnsi="宋体" w:cs="宋体"/>
          <w:color w:val="auto"/>
          <w:sz w:val="28"/>
          <w:szCs w:val="28"/>
        </w:rPr>
      </w:pPr>
      <w:r>
        <w:rPr>
          <w:rFonts w:hint="eastAsia" w:ascii="宋体" w:hAnsi="宋体" w:cs="宋体"/>
          <w:color w:val="auto"/>
          <w:sz w:val="28"/>
          <w:szCs w:val="28"/>
          <w:u w:val="dotted"/>
        </w:rPr>
        <w:t xml:space="preserve">                                                       </w:t>
      </w:r>
    </w:p>
    <w:p w14:paraId="0AA228CE">
      <w:pPr>
        <w:adjustRightInd w:val="0"/>
        <w:snapToGrid w:val="0"/>
        <w:spacing w:line="360" w:lineRule="auto"/>
        <w:rPr>
          <w:rFonts w:ascii="宋体" w:hAnsi="宋体" w:cs="宋体"/>
          <w:color w:val="auto"/>
          <w:sz w:val="28"/>
          <w:szCs w:val="28"/>
          <w:u w:val="dotted"/>
        </w:rPr>
      </w:pPr>
      <w:r>
        <w:rPr>
          <w:rFonts w:hint="eastAsia" w:ascii="宋体" w:hAnsi="宋体" w:cs="宋体"/>
          <w:color w:val="auto"/>
          <w:sz w:val="28"/>
          <w:szCs w:val="28"/>
        </w:rPr>
        <w:t>法律依据：</w:t>
      </w:r>
      <w:r>
        <w:rPr>
          <w:rFonts w:hint="eastAsia" w:ascii="宋体" w:hAnsi="宋体" w:cs="宋体"/>
          <w:color w:val="auto"/>
          <w:sz w:val="28"/>
          <w:szCs w:val="28"/>
          <w:u w:val="dotted"/>
        </w:rPr>
        <w:t xml:space="preserve">                                          </w:t>
      </w:r>
    </w:p>
    <w:p w14:paraId="14DF7113">
      <w:pPr>
        <w:adjustRightInd w:val="0"/>
        <w:snapToGrid w:val="0"/>
        <w:spacing w:line="360" w:lineRule="auto"/>
        <w:rPr>
          <w:rFonts w:ascii="宋体" w:hAnsi="宋体" w:cs="宋体"/>
          <w:color w:val="auto"/>
          <w:sz w:val="28"/>
          <w:szCs w:val="28"/>
          <w:u w:val="dotted"/>
        </w:rPr>
      </w:pPr>
      <w:r>
        <w:rPr>
          <w:rFonts w:hint="eastAsia" w:ascii="宋体" w:hAnsi="宋体" w:cs="宋体"/>
          <w:color w:val="auto"/>
          <w:sz w:val="28"/>
          <w:szCs w:val="28"/>
          <w:u w:val="dotted"/>
        </w:rPr>
        <w:t xml:space="preserve">                                                     </w:t>
      </w:r>
    </w:p>
    <w:p w14:paraId="79EFEB52">
      <w:pPr>
        <w:adjustRightInd w:val="0"/>
        <w:snapToGrid w:val="0"/>
        <w:spacing w:line="360" w:lineRule="auto"/>
        <w:rPr>
          <w:rFonts w:ascii="宋体" w:hAnsi="宋体" w:cs="宋体"/>
          <w:color w:val="auto"/>
          <w:sz w:val="28"/>
          <w:szCs w:val="28"/>
          <w:u w:val="dotted"/>
        </w:rPr>
      </w:pPr>
      <w:r>
        <w:rPr>
          <w:rFonts w:hint="eastAsia" w:ascii="宋体" w:hAnsi="宋体" w:cs="宋体"/>
          <w:color w:val="auto"/>
          <w:sz w:val="28"/>
          <w:szCs w:val="28"/>
        </w:rPr>
        <w:t>质疑事项2</w:t>
      </w:r>
    </w:p>
    <w:p w14:paraId="72A9B3B2">
      <w:pPr>
        <w:adjustRightInd w:val="0"/>
        <w:snapToGrid w:val="0"/>
        <w:spacing w:line="360" w:lineRule="auto"/>
        <w:rPr>
          <w:rFonts w:ascii="宋体" w:hAnsi="宋体" w:cs="宋体"/>
          <w:color w:val="auto"/>
          <w:sz w:val="28"/>
          <w:szCs w:val="28"/>
        </w:rPr>
      </w:pPr>
      <w:r>
        <w:rPr>
          <w:rFonts w:hint="eastAsia" w:ascii="宋体" w:hAnsi="宋体" w:cs="宋体"/>
          <w:color w:val="auto"/>
          <w:sz w:val="28"/>
          <w:szCs w:val="28"/>
        </w:rPr>
        <w:t>……</w:t>
      </w:r>
    </w:p>
    <w:p w14:paraId="383265BA">
      <w:pPr>
        <w:adjustRightInd w:val="0"/>
        <w:snapToGrid w:val="0"/>
        <w:spacing w:line="360" w:lineRule="auto"/>
        <w:rPr>
          <w:rFonts w:ascii="宋体" w:hAnsi="宋体" w:cs="宋体"/>
          <w:bCs/>
          <w:color w:val="auto"/>
          <w:sz w:val="28"/>
          <w:szCs w:val="28"/>
        </w:rPr>
      </w:pPr>
      <w:r>
        <w:rPr>
          <w:rFonts w:hint="eastAsia" w:ascii="宋体" w:hAnsi="宋体" w:cs="宋体"/>
          <w:bCs/>
          <w:color w:val="auto"/>
          <w:sz w:val="28"/>
          <w:szCs w:val="28"/>
        </w:rPr>
        <w:t>四、与质疑事项相关的质疑请求</w:t>
      </w:r>
    </w:p>
    <w:p w14:paraId="5614A2A3">
      <w:pPr>
        <w:adjustRightInd w:val="0"/>
        <w:snapToGrid w:val="0"/>
        <w:spacing w:line="360" w:lineRule="auto"/>
        <w:rPr>
          <w:rFonts w:ascii="宋体" w:hAnsi="宋体" w:cs="宋体"/>
          <w:color w:val="auto"/>
          <w:sz w:val="28"/>
          <w:szCs w:val="28"/>
          <w:u w:val="dotted"/>
        </w:rPr>
      </w:pPr>
      <w:r>
        <w:rPr>
          <w:rFonts w:hint="eastAsia" w:ascii="宋体" w:hAnsi="宋体" w:cs="宋体"/>
          <w:color w:val="auto"/>
          <w:sz w:val="28"/>
          <w:szCs w:val="28"/>
        </w:rPr>
        <w:t>请求：</w:t>
      </w:r>
      <w:r>
        <w:rPr>
          <w:rFonts w:hint="eastAsia" w:ascii="宋体" w:hAnsi="宋体" w:cs="宋体"/>
          <w:color w:val="auto"/>
          <w:sz w:val="28"/>
          <w:szCs w:val="28"/>
          <w:u w:val="dotted"/>
        </w:rPr>
        <w:t xml:space="preserve">                                               </w:t>
      </w:r>
    </w:p>
    <w:p w14:paraId="49A37C19">
      <w:pPr>
        <w:spacing w:line="360" w:lineRule="auto"/>
        <w:rPr>
          <w:rFonts w:ascii="宋体" w:hAnsi="宋体" w:cs="宋体"/>
          <w:color w:val="auto"/>
          <w:sz w:val="28"/>
          <w:szCs w:val="28"/>
        </w:rPr>
      </w:pPr>
      <w:r>
        <w:rPr>
          <w:rFonts w:hint="eastAsia" w:ascii="宋体" w:hAnsi="宋体" w:cs="宋体"/>
          <w:color w:val="auto"/>
          <w:sz w:val="28"/>
          <w:szCs w:val="28"/>
        </w:rPr>
        <w:t xml:space="preserve">签字(签章)：                   公章：                      </w:t>
      </w:r>
    </w:p>
    <w:p w14:paraId="7E641DC6">
      <w:pPr>
        <w:spacing w:line="360" w:lineRule="auto"/>
        <w:rPr>
          <w:rFonts w:ascii="宋体" w:hAnsi="宋体" w:cs="宋体"/>
          <w:b/>
          <w:color w:val="auto"/>
          <w:sz w:val="28"/>
          <w:szCs w:val="28"/>
        </w:rPr>
      </w:pPr>
      <w:r>
        <w:rPr>
          <w:rFonts w:hint="eastAsia" w:ascii="宋体" w:hAnsi="宋体" w:cs="宋体"/>
          <w:color w:val="auto"/>
          <w:sz w:val="28"/>
          <w:szCs w:val="28"/>
        </w:rPr>
        <w:t xml:space="preserve">日期：    </w:t>
      </w:r>
    </w:p>
    <w:p w14:paraId="186C889D">
      <w:pPr>
        <w:spacing w:line="360" w:lineRule="auto"/>
        <w:rPr>
          <w:rFonts w:ascii="宋体" w:hAnsi="宋体" w:cs="宋体"/>
          <w:b/>
          <w:color w:val="auto"/>
          <w:sz w:val="28"/>
          <w:szCs w:val="28"/>
        </w:rPr>
      </w:pPr>
      <w:r>
        <w:rPr>
          <w:rFonts w:hint="eastAsia" w:ascii="宋体" w:hAnsi="宋体" w:cs="宋体"/>
          <w:b/>
          <w:color w:val="auto"/>
          <w:sz w:val="28"/>
          <w:szCs w:val="28"/>
        </w:rPr>
        <w:t>质疑函制作说明：</w:t>
      </w:r>
    </w:p>
    <w:p w14:paraId="1CC478B3">
      <w:pPr>
        <w:widowControl/>
        <w:spacing w:line="360" w:lineRule="auto"/>
        <w:ind w:firstLine="560" w:firstLineChars="200"/>
        <w:jc w:val="left"/>
        <w:rPr>
          <w:rFonts w:ascii="宋体" w:hAnsi="宋体" w:cs="宋体"/>
          <w:color w:val="auto"/>
          <w:sz w:val="28"/>
          <w:szCs w:val="28"/>
        </w:rPr>
      </w:pPr>
      <w:r>
        <w:rPr>
          <w:rFonts w:hint="eastAsia" w:ascii="宋体" w:hAnsi="宋体" w:cs="宋体"/>
          <w:color w:val="auto"/>
          <w:sz w:val="28"/>
          <w:szCs w:val="28"/>
        </w:rPr>
        <w:t>1.供应商提出质疑时，应提交质疑函和必要的证明材料。</w:t>
      </w:r>
    </w:p>
    <w:p w14:paraId="7CADA95B">
      <w:pPr>
        <w:widowControl/>
        <w:spacing w:line="360" w:lineRule="auto"/>
        <w:ind w:firstLine="560" w:firstLineChars="200"/>
        <w:jc w:val="left"/>
        <w:rPr>
          <w:rFonts w:ascii="宋体" w:hAnsi="宋体" w:cs="宋体"/>
          <w:color w:val="auto"/>
          <w:sz w:val="28"/>
          <w:szCs w:val="28"/>
        </w:rPr>
      </w:pPr>
      <w:r>
        <w:rPr>
          <w:rFonts w:hint="eastAsia" w:ascii="宋体" w:hAnsi="宋体" w:cs="宋体"/>
          <w:color w:val="auto"/>
          <w:sz w:val="28"/>
          <w:szCs w:val="28"/>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6BE394F1">
      <w:pPr>
        <w:widowControl/>
        <w:spacing w:line="360" w:lineRule="auto"/>
        <w:ind w:firstLine="560" w:firstLineChars="200"/>
        <w:jc w:val="left"/>
        <w:rPr>
          <w:rFonts w:ascii="宋体" w:hAnsi="宋体" w:cs="宋体"/>
          <w:color w:val="auto"/>
          <w:sz w:val="28"/>
          <w:szCs w:val="28"/>
        </w:rPr>
      </w:pPr>
      <w:r>
        <w:rPr>
          <w:rFonts w:hint="eastAsia" w:ascii="宋体" w:hAnsi="宋体" w:cs="宋体"/>
          <w:color w:val="auto"/>
          <w:sz w:val="28"/>
          <w:szCs w:val="28"/>
        </w:rPr>
        <w:t>3.质疑供应商若对项目的某一分包进行质疑，质疑函中应列明具体分包号。</w:t>
      </w:r>
    </w:p>
    <w:p w14:paraId="4781C02A">
      <w:pPr>
        <w:widowControl/>
        <w:spacing w:line="360" w:lineRule="auto"/>
        <w:ind w:firstLine="560" w:firstLineChars="200"/>
        <w:jc w:val="left"/>
        <w:rPr>
          <w:rFonts w:ascii="宋体" w:hAnsi="宋体" w:cs="宋体"/>
          <w:color w:val="auto"/>
          <w:sz w:val="28"/>
          <w:szCs w:val="28"/>
        </w:rPr>
      </w:pPr>
      <w:r>
        <w:rPr>
          <w:rFonts w:hint="eastAsia" w:ascii="宋体" w:hAnsi="宋体" w:cs="宋体"/>
          <w:color w:val="auto"/>
          <w:sz w:val="28"/>
          <w:szCs w:val="28"/>
        </w:rPr>
        <w:t>4.质疑函的质疑事项应具体、明确，并有必要的事实依据和法律依据。</w:t>
      </w:r>
    </w:p>
    <w:p w14:paraId="495F2E37">
      <w:pPr>
        <w:widowControl/>
        <w:spacing w:line="360" w:lineRule="auto"/>
        <w:ind w:firstLine="560" w:firstLineChars="200"/>
        <w:jc w:val="left"/>
        <w:rPr>
          <w:rFonts w:ascii="宋体" w:hAnsi="宋体" w:cs="宋体"/>
          <w:color w:val="auto"/>
          <w:sz w:val="28"/>
          <w:szCs w:val="28"/>
        </w:rPr>
      </w:pPr>
      <w:r>
        <w:rPr>
          <w:rFonts w:hint="eastAsia" w:ascii="宋体" w:hAnsi="宋体" w:cs="宋体"/>
          <w:color w:val="auto"/>
          <w:sz w:val="28"/>
          <w:szCs w:val="28"/>
        </w:rPr>
        <w:t>5.质疑函的质疑请求应与质疑事项相关。</w:t>
      </w:r>
    </w:p>
    <w:p w14:paraId="141AB3E3">
      <w:pPr>
        <w:spacing w:line="360" w:lineRule="auto"/>
        <w:ind w:firstLine="560" w:firstLineChars="200"/>
        <w:rPr>
          <w:rFonts w:ascii="宋体" w:hAnsi="宋体" w:cs="宋体"/>
          <w:color w:val="auto"/>
          <w:sz w:val="28"/>
          <w:szCs w:val="28"/>
        </w:rPr>
      </w:pPr>
      <w:r>
        <w:rPr>
          <w:rFonts w:hint="eastAsia" w:ascii="宋体" w:hAnsi="宋体" w:cs="宋体"/>
          <w:color w:val="auto"/>
          <w:sz w:val="28"/>
          <w:szCs w:val="28"/>
        </w:rPr>
        <w:t>6.质疑供应商为自然人的，质疑函应由本人签字；质疑供应商为法人或者其他组织的，质疑函应由法定代表人、主要负责人，或者其授权代表签字或者盖章，并加盖公章。</w:t>
      </w:r>
    </w:p>
    <w:p w14:paraId="7BC65648">
      <w:pPr>
        <w:pStyle w:val="2"/>
        <w:spacing w:line="360" w:lineRule="auto"/>
        <w:ind w:firstLine="560"/>
        <w:rPr>
          <w:rFonts w:eastAsia="宋体" w:cs="宋体"/>
          <w:color w:val="auto"/>
          <w:szCs w:val="28"/>
        </w:rPr>
      </w:pPr>
    </w:p>
    <w:p w14:paraId="50AC0D02">
      <w:pPr>
        <w:spacing w:line="360" w:lineRule="auto"/>
        <w:jc w:val="center"/>
        <w:rPr>
          <w:rFonts w:ascii="宋体" w:hAnsi="宋体" w:cs="宋体"/>
          <w:b/>
          <w:color w:val="auto"/>
          <w:sz w:val="28"/>
          <w:szCs w:val="28"/>
        </w:rPr>
      </w:pPr>
      <w:r>
        <w:rPr>
          <w:rFonts w:hint="eastAsia" w:ascii="宋体" w:hAnsi="宋体" w:cs="宋体"/>
          <w:color w:val="auto"/>
          <w:sz w:val="28"/>
          <w:szCs w:val="28"/>
        </w:rPr>
        <w:br w:type="page"/>
      </w:r>
      <w:r>
        <w:rPr>
          <w:rFonts w:hint="eastAsia" w:ascii="宋体" w:hAnsi="宋体" w:cs="宋体"/>
          <w:b/>
          <w:color w:val="auto"/>
          <w:sz w:val="28"/>
          <w:szCs w:val="28"/>
        </w:rPr>
        <w:t>投诉书范本</w:t>
      </w:r>
    </w:p>
    <w:p w14:paraId="4B997EAC">
      <w:pPr>
        <w:spacing w:line="360" w:lineRule="auto"/>
        <w:rPr>
          <w:rFonts w:ascii="宋体" w:hAnsi="宋体" w:cs="宋体"/>
          <w:color w:val="auto"/>
          <w:sz w:val="28"/>
          <w:szCs w:val="28"/>
        </w:rPr>
      </w:pPr>
      <w:r>
        <w:rPr>
          <w:rFonts w:hint="eastAsia" w:ascii="宋体" w:hAnsi="宋体" w:cs="宋体"/>
          <w:color w:val="auto"/>
          <w:sz w:val="28"/>
          <w:szCs w:val="28"/>
        </w:rPr>
        <w:t>一、投诉相关主体基本情况</w:t>
      </w:r>
    </w:p>
    <w:p w14:paraId="1D4D36D2">
      <w:pPr>
        <w:spacing w:line="360" w:lineRule="auto"/>
        <w:rPr>
          <w:rFonts w:ascii="宋体" w:hAnsi="宋体" w:cs="宋体"/>
          <w:color w:val="auto"/>
          <w:sz w:val="28"/>
          <w:szCs w:val="28"/>
          <w:u w:val="dotted"/>
        </w:rPr>
      </w:pPr>
      <w:r>
        <w:rPr>
          <w:rFonts w:hint="eastAsia" w:ascii="宋体" w:hAnsi="宋体" w:cs="宋体"/>
          <w:color w:val="auto"/>
          <w:sz w:val="28"/>
          <w:szCs w:val="28"/>
        </w:rPr>
        <w:t>投诉人：</w:t>
      </w:r>
      <w:r>
        <w:rPr>
          <w:rFonts w:hint="eastAsia" w:ascii="宋体" w:hAnsi="宋体" w:cs="宋体"/>
          <w:color w:val="auto"/>
          <w:sz w:val="28"/>
          <w:szCs w:val="28"/>
          <w:u w:val="dotted"/>
        </w:rPr>
        <w:t xml:space="preserve">                                               </w:t>
      </w:r>
    </w:p>
    <w:p w14:paraId="1A6323C6">
      <w:pPr>
        <w:spacing w:line="360" w:lineRule="auto"/>
        <w:rPr>
          <w:rFonts w:ascii="宋体" w:hAnsi="宋体" w:cs="宋体"/>
          <w:color w:val="auto"/>
          <w:sz w:val="28"/>
          <w:szCs w:val="28"/>
          <w:u w:val="single"/>
        </w:rPr>
      </w:pPr>
      <w:r>
        <w:rPr>
          <w:rFonts w:hint="eastAsia" w:ascii="宋体" w:hAnsi="宋体" w:cs="宋体"/>
          <w:color w:val="auto"/>
          <w:sz w:val="28"/>
          <w:szCs w:val="28"/>
        </w:rPr>
        <w:t>地     址：</w:t>
      </w:r>
      <w:r>
        <w:rPr>
          <w:rFonts w:hint="eastAsia" w:ascii="宋体" w:hAnsi="宋体" w:cs="宋体"/>
          <w:color w:val="auto"/>
          <w:sz w:val="28"/>
          <w:szCs w:val="28"/>
          <w:u w:val="dotted"/>
        </w:rPr>
        <w:t xml:space="preserve">                             </w:t>
      </w:r>
      <w:r>
        <w:rPr>
          <w:rFonts w:hint="eastAsia" w:ascii="宋体" w:hAnsi="宋体" w:cs="宋体"/>
          <w:color w:val="auto"/>
          <w:sz w:val="28"/>
          <w:szCs w:val="28"/>
        </w:rPr>
        <w:t>邮编：</w:t>
      </w:r>
      <w:r>
        <w:rPr>
          <w:rFonts w:hint="eastAsia" w:ascii="宋体" w:hAnsi="宋体" w:cs="宋体"/>
          <w:color w:val="auto"/>
          <w:sz w:val="28"/>
          <w:szCs w:val="28"/>
          <w:u w:val="dotted"/>
        </w:rPr>
        <w:t xml:space="preserve">         </w:t>
      </w:r>
      <w:r>
        <w:rPr>
          <w:rFonts w:hint="eastAsia" w:ascii="宋体" w:hAnsi="宋体" w:cs="宋体"/>
          <w:color w:val="auto"/>
          <w:sz w:val="28"/>
          <w:szCs w:val="28"/>
          <w:u w:val="single"/>
        </w:rPr>
        <w:t xml:space="preserve">   </w:t>
      </w:r>
    </w:p>
    <w:p w14:paraId="3143A799">
      <w:pPr>
        <w:tabs>
          <w:tab w:val="left" w:pos="6510"/>
        </w:tabs>
        <w:spacing w:line="360" w:lineRule="auto"/>
        <w:jc w:val="left"/>
        <w:rPr>
          <w:rFonts w:ascii="宋体" w:hAnsi="宋体" w:cs="宋体"/>
          <w:color w:val="auto"/>
          <w:sz w:val="28"/>
          <w:szCs w:val="28"/>
        </w:rPr>
      </w:pPr>
      <w:r>
        <w:rPr>
          <w:rFonts w:hint="eastAsia" w:ascii="宋体" w:hAnsi="宋体" w:cs="宋体"/>
          <w:color w:val="auto"/>
          <w:sz w:val="28"/>
          <w:szCs w:val="28"/>
        </w:rPr>
        <w:t>法定代表人/主要负责人：</w:t>
      </w:r>
      <w:r>
        <w:rPr>
          <w:rFonts w:hint="eastAsia" w:ascii="宋体" w:hAnsi="宋体" w:cs="宋体"/>
          <w:color w:val="auto"/>
          <w:sz w:val="28"/>
          <w:szCs w:val="28"/>
          <w:u w:val="dotted"/>
        </w:rPr>
        <w:t xml:space="preserve">                                   </w:t>
      </w:r>
      <w:r>
        <w:rPr>
          <w:rFonts w:hint="eastAsia" w:ascii="宋体" w:hAnsi="宋体" w:cs="宋体"/>
          <w:color w:val="auto"/>
          <w:sz w:val="28"/>
          <w:szCs w:val="28"/>
        </w:rPr>
        <w:t xml:space="preserve">  </w:t>
      </w:r>
    </w:p>
    <w:p w14:paraId="499984F1">
      <w:pPr>
        <w:tabs>
          <w:tab w:val="left" w:pos="6510"/>
        </w:tabs>
        <w:spacing w:line="360" w:lineRule="auto"/>
        <w:rPr>
          <w:rFonts w:ascii="宋体" w:hAnsi="宋体" w:cs="宋体"/>
          <w:color w:val="auto"/>
          <w:sz w:val="28"/>
          <w:szCs w:val="28"/>
          <w:u w:val="dotted"/>
        </w:rPr>
      </w:pPr>
      <w:r>
        <w:rPr>
          <w:rFonts w:hint="eastAsia" w:ascii="宋体" w:hAnsi="宋体" w:cs="宋体"/>
          <w:color w:val="auto"/>
          <w:sz w:val="28"/>
          <w:szCs w:val="28"/>
        </w:rPr>
        <w:t>联系电话：</w:t>
      </w:r>
      <w:r>
        <w:rPr>
          <w:rFonts w:hint="eastAsia" w:ascii="宋体" w:hAnsi="宋体" w:cs="宋体"/>
          <w:color w:val="auto"/>
          <w:sz w:val="28"/>
          <w:szCs w:val="28"/>
          <w:u w:val="dotted"/>
        </w:rPr>
        <w:t xml:space="preserve">                                             </w:t>
      </w:r>
    </w:p>
    <w:p w14:paraId="568FDBA3">
      <w:pPr>
        <w:spacing w:line="360" w:lineRule="auto"/>
        <w:rPr>
          <w:rFonts w:ascii="宋体" w:hAnsi="宋体" w:cs="宋体"/>
          <w:color w:val="auto"/>
          <w:sz w:val="28"/>
          <w:szCs w:val="28"/>
          <w:u w:val="dotted"/>
        </w:rPr>
      </w:pPr>
      <w:r>
        <w:rPr>
          <w:rFonts w:hint="eastAsia" w:ascii="宋体" w:hAnsi="宋体" w:cs="宋体"/>
          <w:color w:val="auto"/>
          <w:sz w:val="28"/>
          <w:szCs w:val="28"/>
        </w:rPr>
        <w:t>授权代表：</w:t>
      </w:r>
      <w:r>
        <w:rPr>
          <w:rFonts w:hint="eastAsia" w:ascii="宋体" w:hAnsi="宋体" w:cs="宋体"/>
          <w:color w:val="auto"/>
          <w:sz w:val="28"/>
          <w:szCs w:val="28"/>
          <w:u w:val="dotted"/>
        </w:rPr>
        <w:t xml:space="preserve">             </w:t>
      </w:r>
      <w:r>
        <w:rPr>
          <w:rFonts w:hint="eastAsia" w:ascii="宋体" w:hAnsi="宋体" w:cs="宋体"/>
          <w:color w:val="auto"/>
          <w:sz w:val="28"/>
          <w:szCs w:val="28"/>
        </w:rPr>
        <w:t>联系电话</w:t>
      </w:r>
      <w:r>
        <w:rPr>
          <w:rFonts w:hint="eastAsia" w:ascii="宋体" w:hAnsi="宋体" w:cs="宋体"/>
          <w:color w:val="auto"/>
          <w:sz w:val="28"/>
          <w:szCs w:val="28"/>
          <w:u w:val="dotted"/>
        </w:rPr>
        <w:t xml:space="preserve">：                  </w:t>
      </w:r>
    </w:p>
    <w:p w14:paraId="273AA389">
      <w:pPr>
        <w:spacing w:line="360" w:lineRule="auto"/>
        <w:rPr>
          <w:rFonts w:ascii="宋体" w:hAnsi="宋体" w:cs="宋体"/>
          <w:color w:val="auto"/>
          <w:sz w:val="28"/>
          <w:szCs w:val="28"/>
          <w:u w:val="dotted"/>
        </w:rPr>
      </w:pPr>
      <w:r>
        <w:rPr>
          <w:rFonts w:hint="eastAsia" w:ascii="宋体" w:hAnsi="宋体" w:cs="宋体"/>
          <w:color w:val="auto"/>
          <w:sz w:val="28"/>
          <w:szCs w:val="28"/>
        </w:rPr>
        <w:t>地     址：</w:t>
      </w:r>
      <w:r>
        <w:rPr>
          <w:rFonts w:hint="eastAsia" w:ascii="宋体" w:hAnsi="宋体" w:cs="宋体"/>
          <w:color w:val="auto"/>
          <w:sz w:val="28"/>
          <w:szCs w:val="28"/>
          <w:u w:val="dotted"/>
        </w:rPr>
        <w:t xml:space="preserve">                             </w:t>
      </w:r>
      <w:r>
        <w:rPr>
          <w:rFonts w:hint="eastAsia" w:ascii="宋体" w:hAnsi="宋体" w:cs="宋体"/>
          <w:color w:val="auto"/>
          <w:sz w:val="28"/>
          <w:szCs w:val="28"/>
        </w:rPr>
        <w:t>邮编：</w:t>
      </w:r>
      <w:r>
        <w:rPr>
          <w:rFonts w:hint="eastAsia" w:ascii="宋体" w:hAnsi="宋体" w:cs="宋体"/>
          <w:color w:val="auto"/>
          <w:sz w:val="28"/>
          <w:szCs w:val="28"/>
          <w:u w:val="dotted"/>
        </w:rPr>
        <w:t xml:space="preserve">         </w:t>
      </w:r>
      <w:r>
        <w:rPr>
          <w:rFonts w:hint="eastAsia" w:ascii="宋体" w:hAnsi="宋体" w:cs="宋体"/>
          <w:color w:val="auto"/>
          <w:sz w:val="28"/>
          <w:szCs w:val="28"/>
          <w:u w:val="single"/>
        </w:rPr>
        <w:t xml:space="preserve"> </w:t>
      </w:r>
      <w:r>
        <w:rPr>
          <w:rFonts w:hint="eastAsia" w:ascii="宋体" w:hAnsi="宋体" w:cs="宋体"/>
          <w:color w:val="auto"/>
          <w:sz w:val="28"/>
          <w:szCs w:val="28"/>
          <w:u w:val="dotted"/>
        </w:rPr>
        <w:t xml:space="preserve">                   </w:t>
      </w:r>
    </w:p>
    <w:p w14:paraId="6F57683B">
      <w:pPr>
        <w:spacing w:line="360" w:lineRule="auto"/>
        <w:rPr>
          <w:rFonts w:ascii="宋体" w:hAnsi="宋体" w:cs="宋体"/>
          <w:color w:val="auto"/>
          <w:sz w:val="28"/>
          <w:szCs w:val="28"/>
          <w:u w:val="single"/>
        </w:rPr>
      </w:pPr>
      <w:r>
        <w:rPr>
          <w:rFonts w:hint="eastAsia" w:ascii="宋体" w:hAnsi="宋体" w:cs="宋体"/>
          <w:color w:val="auto"/>
          <w:sz w:val="28"/>
          <w:szCs w:val="28"/>
        </w:rPr>
        <w:t>被投诉人1：</w:t>
      </w:r>
      <w:r>
        <w:rPr>
          <w:rFonts w:hint="eastAsia" w:ascii="宋体" w:hAnsi="宋体" w:cs="宋体"/>
          <w:color w:val="auto"/>
          <w:sz w:val="28"/>
          <w:szCs w:val="28"/>
          <w:u w:val="dotted"/>
        </w:rPr>
        <w:t xml:space="preserve">                                           </w:t>
      </w:r>
      <w:r>
        <w:rPr>
          <w:rFonts w:hint="eastAsia" w:ascii="宋体" w:hAnsi="宋体" w:cs="宋体"/>
          <w:color w:val="auto"/>
          <w:sz w:val="28"/>
          <w:szCs w:val="28"/>
          <w:u w:val="single"/>
        </w:rPr>
        <w:t xml:space="preserve">  </w:t>
      </w:r>
    </w:p>
    <w:p w14:paraId="3F97E763">
      <w:pPr>
        <w:spacing w:line="360" w:lineRule="auto"/>
        <w:rPr>
          <w:rFonts w:ascii="宋体" w:hAnsi="宋体" w:cs="宋体"/>
          <w:color w:val="auto"/>
          <w:sz w:val="28"/>
          <w:szCs w:val="28"/>
          <w:u w:val="single"/>
        </w:rPr>
      </w:pPr>
      <w:r>
        <w:rPr>
          <w:rFonts w:hint="eastAsia" w:ascii="宋体" w:hAnsi="宋体" w:cs="宋体"/>
          <w:color w:val="auto"/>
          <w:sz w:val="28"/>
          <w:szCs w:val="28"/>
        </w:rPr>
        <w:t>地     址：</w:t>
      </w:r>
      <w:r>
        <w:rPr>
          <w:rFonts w:hint="eastAsia" w:ascii="宋体" w:hAnsi="宋体" w:cs="宋体"/>
          <w:color w:val="auto"/>
          <w:sz w:val="28"/>
          <w:szCs w:val="28"/>
          <w:u w:val="dotted"/>
        </w:rPr>
        <w:t xml:space="preserve">                             </w:t>
      </w:r>
      <w:r>
        <w:rPr>
          <w:rFonts w:hint="eastAsia" w:ascii="宋体" w:hAnsi="宋体" w:cs="宋体"/>
          <w:color w:val="auto"/>
          <w:sz w:val="28"/>
          <w:szCs w:val="28"/>
        </w:rPr>
        <w:t>邮编：</w:t>
      </w:r>
      <w:r>
        <w:rPr>
          <w:rFonts w:hint="eastAsia" w:ascii="宋体" w:hAnsi="宋体" w:cs="宋体"/>
          <w:color w:val="auto"/>
          <w:sz w:val="28"/>
          <w:szCs w:val="28"/>
          <w:u w:val="dotted"/>
        </w:rPr>
        <w:t xml:space="preserve">          </w:t>
      </w:r>
      <w:r>
        <w:rPr>
          <w:rFonts w:hint="eastAsia" w:ascii="宋体" w:hAnsi="宋体" w:cs="宋体"/>
          <w:color w:val="auto"/>
          <w:sz w:val="28"/>
          <w:szCs w:val="28"/>
          <w:u w:val="single"/>
        </w:rPr>
        <w:t xml:space="preserve"> </w:t>
      </w:r>
    </w:p>
    <w:p w14:paraId="3C601D07">
      <w:pPr>
        <w:spacing w:line="360" w:lineRule="auto"/>
        <w:rPr>
          <w:rFonts w:ascii="宋体" w:hAnsi="宋体" w:cs="宋体"/>
          <w:color w:val="auto"/>
          <w:sz w:val="28"/>
          <w:szCs w:val="28"/>
          <w:u w:val="single"/>
        </w:rPr>
      </w:pPr>
      <w:r>
        <w:rPr>
          <w:rFonts w:hint="eastAsia" w:ascii="宋体" w:hAnsi="宋体" w:cs="宋体"/>
          <w:color w:val="auto"/>
          <w:sz w:val="28"/>
          <w:szCs w:val="28"/>
        </w:rPr>
        <w:t>联系人：</w:t>
      </w:r>
      <w:r>
        <w:rPr>
          <w:rFonts w:hint="eastAsia" w:ascii="宋体" w:hAnsi="宋体" w:cs="宋体"/>
          <w:color w:val="auto"/>
          <w:sz w:val="28"/>
          <w:szCs w:val="28"/>
          <w:u w:val="dotted"/>
        </w:rPr>
        <w:t xml:space="preserve">               </w:t>
      </w:r>
      <w:r>
        <w:rPr>
          <w:rFonts w:hint="eastAsia" w:ascii="宋体" w:hAnsi="宋体" w:cs="宋体"/>
          <w:color w:val="auto"/>
          <w:sz w:val="28"/>
          <w:szCs w:val="28"/>
        </w:rPr>
        <w:t>联系电话：</w:t>
      </w:r>
      <w:r>
        <w:rPr>
          <w:rFonts w:hint="eastAsia" w:ascii="宋体" w:hAnsi="宋体" w:cs="宋体"/>
          <w:color w:val="auto"/>
          <w:sz w:val="28"/>
          <w:szCs w:val="28"/>
          <w:u w:val="dotted"/>
        </w:rPr>
        <w:t xml:space="preserve">                      </w:t>
      </w:r>
      <w:r>
        <w:rPr>
          <w:rFonts w:hint="eastAsia" w:ascii="宋体" w:hAnsi="宋体" w:cs="宋体"/>
          <w:color w:val="auto"/>
          <w:sz w:val="28"/>
          <w:szCs w:val="28"/>
          <w:u w:val="single"/>
        </w:rPr>
        <w:t xml:space="preserve"> </w:t>
      </w:r>
    </w:p>
    <w:p w14:paraId="7D87E5C4">
      <w:pPr>
        <w:spacing w:line="360" w:lineRule="auto"/>
        <w:rPr>
          <w:rFonts w:ascii="宋体" w:hAnsi="宋体" w:cs="宋体"/>
          <w:color w:val="auto"/>
          <w:sz w:val="28"/>
          <w:szCs w:val="28"/>
        </w:rPr>
      </w:pPr>
      <w:r>
        <w:rPr>
          <w:rFonts w:hint="eastAsia" w:ascii="宋体" w:hAnsi="宋体" w:cs="宋体"/>
          <w:color w:val="auto"/>
          <w:sz w:val="28"/>
          <w:szCs w:val="28"/>
        </w:rPr>
        <w:t>被投诉人2</w:t>
      </w:r>
    </w:p>
    <w:p w14:paraId="4368511B">
      <w:pPr>
        <w:spacing w:line="360" w:lineRule="auto"/>
        <w:rPr>
          <w:rFonts w:ascii="宋体" w:hAnsi="宋体" w:cs="宋体"/>
          <w:color w:val="auto"/>
          <w:sz w:val="28"/>
          <w:szCs w:val="28"/>
          <w:u w:val="dotted"/>
        </w:rPr>
      </w:pPr>
      <w:r>
        <w:rPr>
          <w:rFonts w:hint="eastAsia" w:ascii="宋体" w:hAnsi="宋体" w:cs="宋体"/>
          <w:color w:val="auto"/>
          <w:sz w:val="28"/>
          <w:szCs w:val="28"/>
        </w:rPr>
        <w:t>……</w:t>
      </w:r>
    </w:p>
    <w:p w14:paraId="1D13B2E1">
      <w:pPr>
        <w:spacing w:line="360" w:lineRule="auto"/>
        <w:rPr>
          <w:rFonts w:ascii="宋体" w:hAnsi="宋体" w:cs="宋体"/>
          <w:color w:val="auto"/>
          <w:sz w:val="28"/>
          <w:szCs w:val="28"/>
          <w:u w:val="single"/>
        </w:rPr>
      </w:pPr>
      <w:r>
        <w:rPr>
          <w:rFonts w:hint="eastAsia" w:ascii="宋体" w:hAnsi="宋体" w:cs="宋体"/>
          <w:color w:val="auto"/>
          <w:sz w:val="28"/>
          <w:szCs w:val="28"/>
        </w:rPr>
        <w:t>相关供应商：</w:t>
      </w:r>
      <w:r>
        <w:rPr>
          <w:rFonts w:hint="eastAsia" w:ascii="宋体" w:hAnsi="宋体" w:cs="宋体"/>
          <w:color w:val="auto"/>
          <w:sz w:val="28"/>
          <w:szCs w:val="28"/>
          <w:u w:val="dotted"/>
        </w:rPr>
        <w:t xml:space="preserve">                                           </w:t>
      </w:r>
      <w:r>
        <w:rPr>
          <w:rFonts w:hint="eastAsia" w:ascii="宋体" w:hAnsi="宋体" w:cs="宋体"/>
          <w:color w:val="auto"/>
          <w:sz w:val="28"/>
          <w:szCs w:val="28"/>
          <w:u w:val="single"/>
        </w:rPr>
        <w:t xml:space="preserve">    </w:t>
      </w:r>
    </w:p>
    <w:p w14:paraId="3359908F">
      <w:pPr>
        <w:spacing w:line="360" w:lineRule="auto"/>
        <w:rPr>
          <w:rFonts w:ascii="宋体" w:hAnsi="宋体" w:cs="宋体"/>
          <w:color w:val="auto"/>
          <w:sz w:val="28"/>
          <w:szCs w:val="28"/>
          <w:u w:val="single"/>
        </w:rPr>
      </w:pPr>
      <w:r>
        <w:rPr>
          <w:rFonts w:hint="eastAsia" w:ascii="宋体" w:hAnsi="宋体" w:cs="宋体"/>
          <w:color w:val="auto"/>
          <w:sz w:val="28"/>
          <w:szCs w:val="28"/>
        </w:rPr>
        <w:t>地     址：</w:t>
      </w:r>
      <w:r>
        <w:rPr>
          <w:rFonts w:hint="eastAsia" w:ascii="宋体" w:hAnsi="宋体" w:cs="宋体"/>
          <w:color w:val="auto"/>
          <w:sz w:val="28"/>
          <w:szCs w:val="28"/>
          <w:u w:val="dotted"/>
        </w:rPr>
        <w:t xml:space="preserve">                             </w:t>
      </w:r>
      <w:r>
        <w:rPr>
          <w:rFonts w:hint="eastAsia" w:ascii="宋体" w:hAnsi="宋体" w:cs="宋体"/>
          <w:color w:val="auto"/>
          <w:sz w:val="28"/>
          <w:szCs w:val="28"/>
        </w:rPr>
        <w:t>邮编：</w:t>
      </w:r>
      <w:r>
        <w:rPr>
          <w:rFonts w:hint="eastAsia" w:ascii="宋体" w:hAnsi="宋体" w:cs="宋体"/>
          <w:color w:val="auto"/>
          <w:sz w:val="28"/>
          <w:szCs w:val="28"/>
          <w:u w:val="dotted"/>
        </w:rPr>
        <w:t xml:space="preserve">          </w:t>
      </w:r>
      <w:r>
        <w:rPr>
          <w:rFonts w:hint="eastAsia" w:ascii="宋体" w:hAnsi="宋体" w:cs="宋体"/>
          <w:color w:val="auto"/>
          <w:sz w:val="28"/>
          <w:szCs w:val="28"/>
          <w:u w:val="single"/>
        </w:rPr>
        <w:t xml:space="preserve"> </w:t>
      </w:r>
    </w:p>
    <w:p w14:paraId="35C6A15A">
      <w:pPr>
        <w:spacing w:line="360" w:lineRule="auto"/>
        <w:rPr>
          <w:rFonts w:ascii="宋体" w:hAnsi="宋体" w:cs="宋体"/>
          <w:color w:val="auto"/>
          <w:sz w:val="28"/>
          <w:szCs w:val="28"/>
          <w:u w:val="single"/>
        </w:rPr>
      </w:pPr>
      <w:r>
        <w:rPr>
          <w:rFonts w:hint="eastAsia" w:ascii="宋体" w:hAnsi="宋体" w:cs="宋体"/>
          <w:color w:val="auto"/>
          <w:sz w:val="28"/>
          <w:szCs w:val="28"/>
        </w:rPr>
        <w:t>联系人：</w:t>
      </w:r>
      <w:r>
        <w:rPr>
          <w:rFonts w:hint="eastAsia" w:ascii="宋体" w:hAnsi="宋体" w:cs="宋体"/>
          <w:color w:val="auto"/>
          <w:sz w:val="28"/>
          <w:szCs w:val="28"/>
          <w:u w:val="dotted"/>
        </w:rPr>
        <w:t xml:space="preserve">               </w:t>
      </w:r>
      <w:r>
        <w:rPr>
          <w:rFonts w:hint="eastAsia" w:ascii="宋体" w:hAnsi="宋体" w:cs="宋体"/>
          <w:color w:val="auto"/>
          <w:sz w:val="28"/>
          <w:szCs w:val="28"/>
        </w:rPr>
        <w:t>联系电话：</w:t>
      </w:r>
      <w:r>
        <w:rPr>
          <w:rFonts w:hint="eastAsia" w:ascii="宋体" w:hAnsi="宋体" w:cs="宋体"/>
          <w:color w:val="auto"/>
          <w:sz w:val="28"/>
          <w:szCs w:val="28"/>
          <w:u w:val="dotted"/>
        </w:rPr>
        <w:t xml:space="preserve">                      </w:t>
      </w:r>
      <w:r>
        <w:rPr>
          <w:rFonts w:hint="eastAsia" w:ascii="宋体" w:hAnsi="宋体" w:cs="宋体"/>
          <w:color w:val="auto"/>
          <w:sz w:val="28"/>
          <w:szCs w:val="28"/>
          <w:u w:val="single"/>
        </w:rPr>
        <w:t xml:space="preserve">      </w:t>
      </w:r>
    </w:p>
    <w:p w14:paraId="051F327E">
      <w:pPr>
        <w:spacing w:line="360" w:lineRule="auto"/>
        <w:rPr>
          <w:rFonts w:ascii="宋体" w:hAnsi="宋体" w:cs="宋体"/>
          <w:color w:val="auto"/>
          <w:sz w:val="28"/>
          <w:szCs w:val="28"/>
        </w:rPr>
      </w:pPr>
      <w:r>
        <w:rPr>
          <w:rFonts w:hint="eastAsia" w:ascii="宋体" w:hAnsi="宋体" w:cs="宋体"/>
          <w:color w:val="auto"/>
          <w:sz w:val="28"/>
          <w:szCs w:val="28"/>
        </w:rPr>
        <w:t>二、投诉项目基本情况</w:t>
      </w:r>
    </w:p>
    <w:p w14:paraId="6DD68BE2">
      <w:pPr>
        <w:spacing w:line="360" w:lineRule="auto"/>
        <w:rPr>
          <w:rFonts w:ascii="宋体" w:hAnsi="宋体" w:cs="宋体"/>
          <w:color w:val="auto"/>
          <w:sz w:val="28"/>
          <w:szCs w:val="28"/>
          <w:u w:val="dotted"/>
        </w:rPr>
      </w:pPr>
      <w:r>
        <w:rPr>
          <w:rFonts w:hint="eastAsia" w:ascii="宋体" w:hAnsi="宋体" w:cs="宋体"/>
          <w:color w:val="auto"/>
          <w:sz w:val="28"/>
          <w:szCs w:val="28"/>
        </w:rPr>
        <w:t>采购项目名称：</w:t>
      </w:r>
      <w:r>
        <w:rPr>
          <w:rFonts w:hint="eastAsia" w:ascii="宋体" w:hAnsi="宋体" w:cs="宋体"/>
          <w:color w:val="auto"/>
          <w:sz w:val="28"/>
          <w:szCs w:val="28"/>
          <w:u w:val="dotted"/>
        </w:rPr>
        <w:t xml:space="preserve">                            </w:t>
      </w:r>
    </w:p>
    <w:p w14:paraId="082A6E4C">
      <w:pPr>
        <w:spacing w:line="360" w:lineRule="auto"/>
        <w:rPr>
          <w:rFonts w:ascii="宋体" w:hAnsi="宋体" w:cs="宋体"/>
          <w:color w:val="auto"/>
          <w:sz w:val="28"/>
          <w:szCs w:val="28"/>
          <w:u w:val="single"/>
        </w:rPr>
      </w:pPr>
      <w:r>
        <w:rPr>
          <w:rFonts w:hint="eastAsia" w:ascii="宋体" w:hAnsi="宋体" w:cs="宋体"/>
          <w:color w:val="auto"/>
          <w:sz w:val="28"/>
          <w:szCs w:val="28"/>
        </w:rPr>
        <w:t>采购项目编号：</w:t>
      </w:r>
      <w:r>
        <w:rPr>
          <w:rFonts w:hint="eastAsia" w:ascii="宋体" w:hAnsi="宋体" w:cs="宋体"/>
          <w:color w:val="auto"/>
          <w:sz w:val="28"/>
          <w:szCs w:val="28"/>
          <w:u w:val="dotted"/>
        </w:rPr>
        <w:t xml:space="preserve">                    </w:t>
      </w:r>
      <w:r>
        <w:rPr>
          <w:rFonts w:hint="eastAsia" w:ascii="宋体" w:hAnsi="宋体" w:cs="宋体"/>
          <w:color w:val="auto"/>
          <w:sz w:val="28"/>
          <w:szCs w:val="28"/>
        </w:rPr>
        <w:t>包号：</w:t>
      </w:r>
      <w:r>
        <w:rPr>
          <w:rFonts w:hint="eastAsia" w:ascii="宋体" w:hAnsi="宋体" w:cs="宋体"/>
          <w:color w:val="auto"/>
          <w:sz w:val="28"/>
          <w:szCs w:val="28"/>
          <w:u w:val="dotted"/>
        </w:rPr>
        <w:t xml:space="preserve">              </w:t>
      </w:r>
    </w:p>
    <w:p w14:paraId="40AEE754">
      <w:pPr>
        <w:spacing w:line="360" w:lineRule="auto"/>
        <w:rPr>
          <w:rFonts w:ascii="宋体" w:hAnsi="宋体" w:cs="宋体"/>
          <w:color w:val="auto"/>
          <w:sz w:val="28"/>
          <w:szCs w:val="28"/>
        </w:rPr>
      </w:pPr>
      <w:r>
        <w:rPr>
          <w:rFonts w:hint="eastAsia" w:ascii="宋体" w:hAnsi="宋体" w:cs="宋体"/>
          <w:color w:val="auto"/>
          <w:sz w:val="28"/>
          <w:szCs w:val="28"/>
        </w:rPr>
        <w:t>采购人名称：</w:t>
      </w:r>
      <w:r>
        <w:rPr>
          <w:rFonts w:hint="eastAsia" w:ascii="宋体" w:hAnsi="宋体" w:cs="宋体"/>
          <w:color w:val="auto"/>
          <w:sz w:val="28"/>
          <w:szCs w:val="28"/>
          <w:u w:val="dotted"/>
        </w:rPr>
        <w:t xml:space="preserve">                                 </w:t>
      </w:r>
      <w:r>
        <w:rPr>
          <w:rFonts w:hint="eastAsia" w:ascii="宋体" w:hAnsi="宋体" w:cs="宋体"/>
          <w:color w:val="auto"/>
          <w:sz w:val="28"/>
          <w:szCs w:val="28"/>
          <w:u w:val="single"/>
        </w:rPr>
        <w:t xml:space="preserve">  </w:t>
      </w:r>
    </w:p>
    <w:p w14:paraId="70D3904A">
      <w:pPr>
        <w:spacing w:line="360" w:lineRule="auto"/>
        <w:rPr>
          <w:rFonts w:ascii="宋体" w:hAnsi="宋体" w:cs="宋体"/>
          <w:color w:val="auto"/>
          <w:sz w:val="28"/>
          <w:szCs w:val="28"/>
          <w:u w:val="single"/>
        </w:rPr>
      </w:pPr>
      <w:r>
        <w:rPr>
          <w:rFonts w:hint="eastAsia" w:ascii="宋体" w:hAnsi="宋体" w:cs="宋体"/>
          <w:color w:val="auto"/>
          <w:sz w:val="28"/>
          <w:szCs w:val="28"/>
        </w:rPr>
        <w:t>代理机构名称：</w:t>
      </w:r>
      <w:r>
        <w:rPr>
          <w:rFonts w:hint="eastAsia" w:ascii="宋体" w:hAnsi="宋体" w:cs="宋体"/>
          <w:color w:val="auto"/>
          <w:sz w:val="28"/>
          <w:szCs w:val="28"/>
          <w:u w:val="dotted"/>
        </w:rPr>
        <w:t xml:space="preserve">                                         </w:t>
      </w:r>
    </w:p>
    <w:p w14:paraId="6DEB781B">
      <w:pPr>
        <w:spacing w:line="360" w:lineRule="auto"/>
        <w:rPr>
          <w:rFonts w:ascii="宋体" w:hAnsi="宋体" w:cs="宋体"/>
          <w:color w:val="auto"/>
          <w:sz w:val="28"/>
          <w:szCs w:val="28"/>
          <w:u w:val="dotted"/>
        </w:rPr>
      </w:pPr>
      <w:r>
        <w:rPr>
          <w:rFonts w:hint="eastAsia" w:ascii="宋体" w:hAnsi="宋体" w:cs="宋体"/>
          <w:color w:val="auto"/>
          <w:sz w:val="28"/>
          <w:szCs w:val="28"/>
        </w:rPr>
        <w:t>采购文件公告:</w:t>
      </w:r>
      <w:r>
        <w:rPr>
          <w:rFonts w:hint="eastAsia" w:ascii="宋体" w:hAnsi="宋体" w:cs="宋体"/>
          <w:color w:val="auto"/>
          <w:sz w:val="28"/>
          <w:szCs w:val="28"/>
          <w:u w:val="dotted"/>
        </w:rPr>
        <w:t xml:space="preserve">是/否 </w:t>
      </w:r>
      <w:r>
        <w:rPr>
          <w:rFonts w:hint="eastAsia" w:ascii="宋体" w:hAnsi="宋体" w:cs="宋体"/>
          <w:color w:val="auto"/>
          <w:sz w:val="28"/>
          <w:szCs w:val="28"/>
        </w:rPr>
        <w:t>公告期限：</w:t>
      </w:r>
      <w:r>
        <w:rPr>
          <w:rFonts w:hint="eastAsia" w:ascii="宋体" w:hAnsi="宋体" w:cs="宋体"/>
          <w:color w:val="auto"/>
          <w:sz w:val="28"/>
          <w:szCs w:val="28"/>
          <w:u w:val="dotted"/>
        </w:rPr>
        <w:t xml:space="preserve">                                 </w:t>
      </w:r>
    </w:p>
    <w:p w14:paraId="5F4B7F41">
      <w:pPr>
        <w:spacing w:line="360" w:lineRule="auto"/>
        <w:rPr>
          <w:rFonts w:ascii="宋体" w:hAnsi="宋体" w:cs="宋体"/>
          <w:color w:val="auto"/>
          <w:sz w:val="28"/>
          <w:szCs w:val="28"/>
          <w:u w:val="single"/>
        </w:rPr>
      </w:pPr>
      <w:r>
        <w:rPr>
          <w:rFonts w:hint="eastAsia" w:ascii="宋体" w:hAnsi="宋体" w:cs="宋体"/>
          <w:color w:val="auto"/>
          <w:sz w:val="28"/>
          <w:szCs w:val="28"/>
        </w:rPr>
        <w:t>采购结果公告:</w:t>
      </w:r>
      <w:r>
        <w:rPr>
          <w:rFonts w:hint="eastAsia" w:ascii="宋体" w:hAnsi="宋体" w:cs="宋体"/>
          <w:color w:val="auto"/>
          <w:sz w:val="28"/>
          <w:szCs w:val="28"/>
          <w:u w:val="dotted"/>
        </w:rPr>
        <w:t xml:space="preserve">是/否 </w:t>
      </w:r>
      <w:r>
        <w:rPr>
          <w:rFonts w:hint="eastAsia" w:ascii="宋体" w:hAnsi="宋体" w:cs="宋体"/>
          <w:color w:val="auto"/>
          <w:sz w:val="28"/>
          <w:szCs w:val="28"/>
        </w:rPr>
        <w:t>公告期限：</w:t>
      </w:r>
      <w:r>
        <w:rPr>
          <w:rFonts w:hint="eastAsia" w:ascii="宋体" w:hAnsi="宋体" w:cs="宋体"/>
          <w:color w:val="auto"/>
          <w:sz w:val="28"/>
          <w:szCs w:val="28"/>
          <w:u w:val="dotted"/>
        </w:rPr>
        <w:t xml:space="preserve">                        </w:t>
      </w:r>
    </w:p>
    <w:p w14:paraId="63E037C3">
      <w:pPr>
        <w:spacing w:line="360" w:lineRule="auto"/>
        <w:rPr>
          <w:rFonts w:ascii="宋体" w:hAnsi="宋体" w:cs="宋体"/>
          <w:color w:val="auto"/>
          <w:sz w:val="28"/>
          <w:szCs w:val="28"/>
        </w:rPr>
      </w:pPr>
      <w:r>
        <w:rPr>
          <w:rFonts w:hint="eastAsia" w:ascii="宋体" w:hAnsi="宋体" w:cs="宋体"/>
          <w:color w:val="auto"/>
          <w:sz w:val="28"/>
          <w:szCs w:val="28"/>
        </w:rPr>
        <w:t>三、质疑基本情况</w:t>
      </w:r>
    </w:p>
    <w:p w14:paraId="5F4D087C">
      <w:pPr>
        <w:spacing w:line="360" w:lineRule="auto"/>
        <w:ind w:firstLine="560" w:firstLineChars="200"/>
        <w:rPr>
          <w:rFonts w:ascii="宋体" w:hAnsi="宋体" w:cs="宋体"/>
          <w:color w:val="auto"/>
          <w:sz w:val="28"/>
          <w:szCs w:val="28"/>
          <w:u w:val="dotted"/>
        </w:rPr>
      </w:pPr>
      <w:r>
        <w:rPr>
          <w:rFonts w:hint="eastAsia" w:ascii="宋体" w:hAnsi="宋体" w:cs="宋体"/>
          <w:color w:val="auto"/>
          <w:sz w:val="28"/>
          <w:szCs w:val="28"/>
        </w:rPr>
        <w:t>投诉人于</w:t>
      </w:r>
      <w:r>
        <w:rPr>
          <w:rFonts w:hint="eastAsia" w:ascii="宋体" w:hAnsi="宋体" w:cs="宋体"/>
          <w:color w:val="auto"/>
          <w:sz w:val="28"/>
          <w:szCs w:val="28"/>
          <w:u w:val="dotted"/>
        </w:rPr>
        <w:t xml:space="preserve">   </w:t>
      </w:r>
      <w:r>
        <w:rPr>
          <w:rFonts w:hint="eastAsia" w:ascii="宋体" w:hAnsi="宋体" w:cs="宋体"/>
          <w:color w:val="auto"/>
          <w:sz w:val="28"/>
          <w:szCs w:val="28"/>
        </w:rPr>
        <w:t>年</w:t>
      </w:r>
      <w:r>
        <w:rPr>
          <w:rFonts w:hint="eastAsia" w:ascii="宋体" w:hAnsi="宋体" w:cs="宋体"/>
          <w:color w:val="auto"/>
          <w:sz w:val="28"/>
          <w:szCs w:val="28"/>
          <w:u w:val="dotted"/>
        </w:rPr>
        <w:t xml:space="preserve">   </w:t>
      </w:r>
      <w:r>
        <w:rPr>
          <w:rFonts w:hint="eastAsia" w:ascii="宋体" w:hAnsi="宋体" w:cs="宋体"/>
          <w:color w:val="auto"/>
          <w:sz w:val="28"/>
          <w:szCs w:val="28"/>
        </w:rPr>
        <w:t>月</w:t>
      </w:r>
      <w:r>
        <w:rPr>
          <w:rFonts w:hint="eastAsia" w:ascii="宋体" w:hAnsi="宋体" w:cs="宋体"/>
          <w:color w:val="auto"/>
          <w:sz w:val="28"/>
          <w:szCs w:val="28"/>
          <w:u w:val="dotted"/>
        </w:rPr>
        <w:t xml:space="preserve">  </w:t>
      </w:r>
      <w:r>
        <w:rPr>
          <w:rFonts w:hint="eastAsia" w:ascii="宋体" w:hAnsi="宋体" w:cs="宋体"/>
          <w:color w:val="auto"/>
          <w:sz w:val="28"/>
          <w:szCs w:val="28"/>
        </w:rPr>
        <w:t>日,向</w:t>
      </w:r>
      <w:r>
        <w:rPr>
          <w:rFonts w:hint="eastAsia" w:ascii="宋体" w:hAnsi="宋体" w:cs="宋体"/>
          <w:color w:val="auto"/>
          <w:sz w:val="28"/>
          <w:szCs w:val="28"/>
          <w:u w:val="dotted"/>
        </w:rPr>
        <w:t xml:space="preserve">                   </w:t>
      </w:r>
      <w:r>
        <w:rPr>
          <w:rFonts w:hint="eastAsia" w:ascii="宋体" w:hAnsi="宋体" w:cs="宋体"/>
          <w:color w:val="auto"/>
          <w:sz w:val="28"/>
          <w:szCs w:val="28"/>
        </w:rPr>
        <w:t>提出质疑，质疑事项为：</w:t>
      </w:r>
      <w:r>
        <w:rPr>
          <w:rFonts w:hint="eastAsia" w:ascii="宋体" w:hAnsi="宋体" w:cs="宋体"/>
          <w:color w:val="auto"/>
          <w:sz w:val="28"/>
          <w:szCs w:val="28"/>
          <w:u w:val="dotted"/>
        </w:rPr>
        <w:t xml:space="preserve">                                </w:t>
      </w:r>
    </w:p>
    <w:p w14:paraId="199491CD">
      <w:pPr>
        <w:spacing w:line="360" w:lineRule="auto"/>
        <w:rPr>
          <w:rFonts w:ascii="宋体" w:hAnsi="宋体" w:cs="宋体"/>
          <w:color w:val="auto"/>
          <w:sz w:val="28"/>
          <w:szCs w:val="28"/>
          <w:u w:val="dotted"/>
        </w:rPr>
      </w:pPr>
      <w:r>
        <w:rPr>
          <w:rFonts w:hint="eastAsia" w:ascii="宋体" w:hAnsi="宋体" w:cs="宋体"/>
          <w:color w:val="auto"/>
          <w:sz w:val="28"/>
          <w:szCs w:val="28"/>
          <w:u w:val="dotted"/>
        </w:rPr>
        <w:t xml:space="preserve">                                                     </w:t>
      </w:r>
      <w:r>
        <w:rPr>
          <w:rFonts w:hint="eastAsia" w:ascii="宋体" w:hAnsi="宋体" w:cs="宋体"/>
          <w:color w:val="auto"/>
          <w:sz w:val="28"/>
          <w:szCs w:val="28"/>
        </w:rPr>
        <w:t xml:space="preserve">  </w:t>
      </w:r>
    </w:p>
    <w:p w14:paraId="6794B46D">
      <w:pPr>
        <w:spacing w:line="360" w:lineRule="auto"/>
        <w:ind w:firstLine="420" w:firstLineChars="150"/>
        <w:rPr>
          <w:rFonts w:ascii="宋体" w:hAnsi="宋体" w:cs="宋体"/>
          <w:color w:val="auto"/>
          <w:sz w:val="28"/>
          <w:szCs w:val="28"/>
        </w:rPr>
      </w:pPr>
      <w:r>
        <w:rPr>
          <w:rFonts w:hint="eastAsia" w:ascii="宋体" w:hAnsi="宋体" w:cs="宋体"/>
          <w:color w:val="auto"/>
          <w:sz w:val="28"/>
          <w:szCs w:val="28"/>
          <w:u w:val="dotted"/>
        </w:rPr>
        <w:t>采购人/代理机构</w:t>
      </w:r>
      <w:r>
        <w:rPr>
          <w:rFonts w:hint="eastAsia" w:ascii="宋体" w:hAnsi="宋体" w:cs="宋体"/>
          <w:color w:val="auto"/>
          <w:sz w:val="28"/>
          <w:szCs w:val="28"/>
        </w:rPr>
        <w:t>于</w:t>
      </w:r>
      <w:r>
        <w:rPr>
          <w:rFonts w:hint="eastAsia" w:ascii="宋体" w:hAnsi="宋体" w:cs="宋体"/>
          <w:color w:val="auto"/>
          <w:sz w:val="28"/>
          <w:szCs w:val="28"/>
          <w:u w:val="dotted"/>
        </w:rPr>
        <w:t xml:space="preserve">   </w:t>
      </w:r>
      <w:r>
        <w:rPr>
          <w:rFonts w:hint="eastAsia" w:ascii="宋体" w:hAnsi="宋体" w:cs="宋体"/>
          <w:color w:val="auto"/>
          <w:sz w:val="28"/>
          <w:szCs w:val="28"/>
        </w:rPr>
        <w:t>年</w:t>
      </w:r>
      <w:r>
        <w:rPr>
          <w:rFonts w:hint="eastAsia" w:ascii="宋体" w:hAnsi="宋体" w:cs="宋体"/>
          <w:color w:val="auto"/>
          <w:sz w:val="28"/>
          <w:szCs w:val="28"/>
          <w:u w:val="dotted"/>
        </w:rPr>
        <w:t xml:space="preserve">   </w:t>
      </w:r>
      <w:r>
        <w:rPr>
          <w:rFonts w:hint="eastAsia" w:ascii="宋体" w:hAnsi="宋体" w:cs="宋体"/>
          <w:color w:val="auto"/>
          <w:sz w:val="28"/>
          <w:szCs w:val="28"/>
        </w:rPr>
        <w:t>月</w:t>
      </w:r>
      <w:r>
        <w:rPr>
          <w:rFonts w:hint="eastAsia" w:ascii="宋体" w:hAnsi="宋体" w:cs="宋体"/>
          <w:color w:val="auto"/>
          <w:sz w:val="28"/>
          <w:szCs w:val="28"/>
          <w:u w:val="dotted"/>
        </w:rPr>
        <w:t xml:space="preserve">   </w:t>
      </w:r>
      <w:r>
        <w:rPr>
          <w:rFonts w:hint="eastAsia" w:ascii="宋体" w:hAnsi="宋体" w:cs="宋体"/>
          <w:color w:val="auto"/>
          <w:sz w:val="28"/>
          <w:szCs w:val="28"/>
        </w:rPr>
        <w:t>日,就质疑事项作出了答复/没有在法定期限内作出答复。</w:t>
      </w:r>
    </w:p>
    <w:p w14:paraId="750C0460">
      <w:pPr>
        <w:spacing w:line="360" w:lineRule="auto"/>
        <w:rPr>
          <w:rFonts w:ascii="宋体" w:hAnsi="宋体" w:cs="宋体"/>
          <w:color w:val="auto"/>
          <w:sz w:val="28"/>
          <w:szCs w:val="28"/>
        </w:rPr>
      </w:pPr>
      <w:r>
        <w:rPr>
          <w:rFonts w:hint="eastAsia" w:ascii="宋体" w:hAnsi="宋体" w:cs="宋体"/>
          <w:color w:val="auto"/>
          <w:sz w:val="28"/>
          <w:szCs w:val="28"/>
        </w:rPr>
        <w:t>四、投诉事项具体内容</w:t>
      </w:r>
    </w:p>
    <w:p w14:paraId="7D21C976">
      <w:pPr>
        <w:spacing w:line="360" w:lineRule="auto"/>
        <w:rPr>
          <w:rFonts w:ascii="宋体" w:hAnsi="宋体" w:cs="宋体"/>
          <w:color w:val="auto"/>
          <w:sz w:val="28"/>
          <w:szCs w:val="28"/>
          <w:u w:val="single"/>
        </w:rPr>
      </w:pPr>
      <w:r>
        <w:rPr>
          <w:rFonts w:hint="eastAsia" w:ascii="宋体" w:hAnsi="宋体" w:cs="宋体"/>
          <w:color w:val="auto"/>
          <w:sz w:val="28"/>
          <w:szCs w:val="28"/>
        </w:rPr>
        <w:t>投诉事项 1：</w:t>
      </w:r>
      <w:r>
        <w:rPr>
          <w:rFonts w:hint="eastAsia" w:ascii="宋体" w:hAnsi="宋体" w:cs="宋体"/>
          <w:color w:val="auto"/>
          <w:sz w:val="28"/>
          <w:szCs w:val="28"/>
          <w:u w:val="dotted"/>
        </w:rPr>
        <w:t xml:space="preserve">                                       </w:t>
      </w:r>
    </w:p>
    <w:p w14:paraId="5F739D46">
      <w:pPr>
        <w:spacing w:line="360" w:lineRule="auto"/>
        <w:rPr>
          <w:rFonts w:ascii="宋体" w:hAnsi="宋体" w:cs="宋体"/>
          <w:color w:val="auto"/>
          <w:sz w:val="28"/>
          <w:szCs w:val="28"/>
        </w:rPr>
      </w:pPr>
      <w:r>
        <w:rPr>
          <w:rFonts w:hint="eastAsia" w:ascii="宋体" w:hAnsi="宋体" w:cs="宋体"/>
          <w:color w:val="auto"/>
          <w:sz w:val="28"/>
          <w:szCs w:val="28"/>
        </w:rPr>
        <w:t>事实依据：</w:t>
      </w:r>
      <w:r>
        <w:rPr>
          <w:rFonts w:hint="eastAsia" w:ascii="宋体" w:hAnsi="宋体" w:cs="宋体"/>
          <w:color w:val="auto"/>
          <w:sz w:val="28"/>
          <w:szCs w:val="28"/>
          <w:u w:val="dotted"/>
        </w:rPr>
        <w:t xml:space="preserve">                                         </w:t>
      </w:r>
    </w:p>
    <w:p w14:paraId="0C080227">
      <w:pPr>
        <w:spacing w:line="360" w:lineRule="auto"/>
        <w:rPr>
          <w:rFonts w:ascii="宋体" w:hAnsi="宋体" w:cs="宋体"/>
          <w:color w:val="auto"/>
          <w:sz w:val="28"/>
          <w:szCs w:val="28"/>
          <w:u w:val="dotted"/>
        </w:rPr>
      </w:pPr>
      <w:r>
        <w:rPr>
          <w:rFonts w:hint="eastAsia" w:ascii="宋体" w:hAnsi="宋体" w:cs="宋体"/>
          <w:color w:val="auto"/>
          <w:sz w:val="28"/>
          <w:szCs w:val="28"/>
          <w:u w:val="dotted"/>
        </w:rPr>
        <w:t xml:space="preserve">                                                      </w:t>
      </w:r>
    </w:p>
    <w:p w14:paraId="675C3DA5">
      <w:pPr>
        <w:spacing w:line="360" w:lineRule="auto"/>
        <w:rPr>
          <w:rFonts w:ascii="宋体" w:hAnsi="宋体" w:cs="宋体"/>
          <w:color w:val="auto"/>
          <w:sz w:val="28"/>
          <w:szCs w:val="28"/>
          <w:u w:val="single"/>
        </w:rPr>
      </w:pPr>
      <w:r>
        <w:rPr>
          <w:rFonts w:hint="eastAsia" w:ascii="宋体" w:hAnsi="宋体" w:cs="宋体"/>
          <w:color w:val="auto"/>
          <w:sz w:val="28"/>
          <w:szCs w:val="28"/>
        </w:rPr>
        <w:t>法律依据：</w:t>
      </w:r>
      <w:r>
        <w:rPr>
          <w:rFonts w:hint="eastAsia" w:ascii="宋体" w:hAnsi="宋体" w:cs="宋体"/>
          <w:color w:val="auto"/>
          <w:sz w:val="28"/>
          <w:szCs w:val="28"/>
          <w:u w:val="dotted"/>
        </w:rPr>
        <w:t xml:space="preserve">                                          </w:t>
      </w:r>
    </w:p>
    <w:p w14:paraId="64BB5C9D">
      <w:pPr>
        <w:spacing w:line="360" w:lineRule="auto"/>
        <w:rPr>
          <w:rFonts w:ascii="宋体" w:hAnsi="宋体" w:cs="宋体"/>
          <w:color w:val="auto"/>
          <w:sz w:val="28"/>
          <w:szCs w:val="28"/>
          <w:u w:val="dotted"/>
        </w:rPr>
      </w:pPr>
      <w:r>
        <w:rPr>
          <w:rFonts w:hint="eastAsia" w:ascii="宋体" w:hAnsi="宋体" w:cs="宋体"/>
          <w:color w:val="auto"/>
          <w:sz w:val="28"/>
          <w:szCs w:val="28"/>
          <w:u w:val="dotted"/>
        </w:rPr>
        <w:t xml:space="preserve">                                                      </w:t>
      </w:r>
    </w:p>
    <w:p w14:paraId="5CAAFE0B">
      <w:pPr>
        <w:spacing w:line="360" w:lineRule="auto"/>
        <w:rPr>
          <w:rFonts w:ascii="宋体" w:hAnsi="宋体" w:cs="宋体"/>
          <w:color w:val="auto"/>
          <w:sz w:val="28"/>
          <w:szCs w:val="28"/>
        </w:rPr>
      </w:pPr>
      <w:r>
        <w:rPr>
          <w:rFonts w:hint="eastAsia" w:ascii="宋体" w:hAnsi="宋体" w:cs="宋体"/>
          <w:color w:val="auto"/>
          <w:sz w:val="28"/>
          <w:szCs w:val="28"/>
        </w:rPr>
        <w:t>投诉事项2</w:t>
      </w:r>
    </w:p>
    <w:p w14:paraId="75C07B99">
      <w:pPr>
        <w:spacing w:line="360" w:lineRule="auto"/>
        <w:rPr>
          <w:rFonts w:ascii="宋体" w:hAnsi="宋体" w:cs="宋体"/>
          <w:color w:val="auto"/>
          <w:sz w:val="28"/>
          <w:szCs w:val="28"/>
          <w:u w:val="dotted"/>
        </w:rPr>
      </w:pPr>
      <w:r>
        <w:rPr>
          <w:rFonts w:hint="eastAsia" w:ascii="宋体" w:hAnsi="宋体" w:cs="宋体"/>
          <w:color w:val="auto"/>
          <w:sz w:val="28"/>
          <w:szCs w:val="28"/>
        </w:rPr>
        <w:t>……</w:t>
      </w:r>
    </w:p>
    <w:p w14:paraId="0F0F7C9A">
      <w:pPr>
        <w:spacing w:line="360" w:lineRule="auto"/>
        <w:rPr>
          <w:rFonts w:ascii="宋体" w:hAnsi="宋体" w:cs="宋体"/>
          <w:color w:val="auto"/>
          <w:sz w:val="28"/>
          <w:szCs w:val="28"/>
        </w:rPr>
      </w:pPr>
      <w:r>
        <w:rPr>
          <w:rFonts w:hint="eastAsia" w:ascii="宋体" w:hAnsi="宋体" w:cs="宋体"/>
          <w:color w:val="auto"/>
          <w:sz w:val="28"/>
          <w:szCs w:val="28"/>
        </w:rPr>
        <w:t>五、与投诉事项相关的投诉请求</w:t>
      </w:r>
    </w:p>
    <w:p w14:paraId="0AF3CC3D">
      <w:pPr>
        <w:spacing w:line="360" w:lineRule="auto"/>
        <w:rPr>
          <w:rFonts w:ascii="宋体" w:hAnsi="宋体" w:cs="宋体"/>
          <w:color w:val="auto"/>
          <w:sz w:val="28"/>
          <w:szCs w:val="28"/>
        </w:rPr>
      </w:pPr>
      <w:r>
        <w:rPr>
          <w:rFonts w:hint="eastAsia" w:ascii="宋体" w:hAnsi="宋体" w:cs="宋体"/>
          <w:color w:val="auto"/>
          <w:sz w:val="28"/>
          <w:szCs w:val="28"/>
        </w:rPr>
        <w:t>请求：</w:t>
      </w:r>
      <w:r>
        <w:rPr>
          <w:rFonts w:hint="eastAsia" w:ascii="宋体" w:hAnsi="宋体" w:cs="宋体"/>
          <w:color w:val="auto"/>
          <w:sz w:val="28"/>
          <w:szCs w:val="28"/>
          <w:u w:val="dotted"/>
        </w:rPr>
        <w:t xml:space="preserve">                                              </w:t>
      </w:r>
      <w:r>
        <w:rPr>
          <w:rFonts w:hint="eastAsia" w:ascii="宋体" w:hAnsi="宋体" w:cs="宋体"/>
          <w:color w:val="auto"/>
          <w:sz w:val="28"/>
          <w:szCs w:val="28"/>
        </w:rPr>
        <w:t xml:space="preserve"> </w:t>
      </w:r>
    </w:p>
    <w:p w14:paraId="4DA35837">
      <w:pPr>
        <w:spacing w:line="360" w:lineRule="auto"/>
        <w:rPr>
          <w:rFonts w:ascii="宋体" w:hAnsi="宋体" w:cs="宋体"/>
          <w:color w:val="auto"/>
          <w:sz w:val="28"/>
          <w:szCs w:val="28"/>
          <w:u w:val="single"/>
        </w:rPr>
      </w:pPr>
      <w:r>
        <w:rPr>
          <w:rFonts w:hint="eastAsia" w:ascii="宋体" w:hAnsi="宋体" w:cs="宋体"/>
          <w:color w:val="auto"/>
          <w:sz w:val="28"/>
          <w:szCs w:val="28"/>
        </w:rPr>
        <w:t xml:space="preserve">                                                                                                    </w:t>
      </w:r>
    </w:p>
    <w:p w14:paraId="17F70684">
      <w:pPr>
        <w:spacing w:line="360" w:lineRule="auto"/>
        <w:rPr>
          <w:rFonts w:ascii="宋体" w:hAnsi="宋体" w:cs="宋体"/>
          <w:color w:val="auto"/>
          <w:sz w:val="28"/>
          <w:szCs w:val="28"/>
        </w:rPr>
      </w:pPr>
      <w:r>
        <w:rPr>
          <w:rFonts w:hint="eastAsia" w:ascii="宋体" w:hAnsi="宋体" w:cs="宋体"/>
          <w:color w:val="auto"/>
          <w:sz w:val="28"/>
          <w:szCs w:val="28"/>
        </w:rPr>
        <w:t xml:space="preserve">签字(签章)：                   公章：                      </w:t>
      </w:r>
    </w:p>
    <w:p w14:paraId="5D8F6750">
      <w:pPr>
        <w:spacing w:line="360" w:lineRule="auto"/>
        <w:rPr>
          <w:rFonts w:ascii="宋体" w:hAnsi="宋体" w:cs="宋体"/>
          <w:color w:val="auto"/>
          <w:sz w:val="28"/>
          <w:szCs w:val="28"/>
        </w:rPr>
      </w:pPr>
      <w:r>
        <w:rPr>
          <w:rFonts w:hint="eastAsia" w:ascii="宋体" w:hAnsi="宋体" w:cs="宋体"/>
          <w:color w:val="auto"/>
          <w:sz w:val="28"/>
          <w:szCs w:val="28"/>
        </w:rPr>
        <w:t xml:space="preserve">日期：    </w:t>
      </w:r>
    </w:p>
    <w:p w14:paraId="2B55D622">
      <w:pPr>
        <w:spacing w:line="360" w:lineRule="auto"/>
        <w:rPr>
          <w:rFonts w:ascii="宋体" w:hAnsi="宋体" w:cs="宋体"/>
          <w:b/>
          <w:color w:val="auto"/>
          <w:sz w:val="28"/>
          <w:szCs w:val="28"/>
        </w:rPr>
      </w:pPr>
    </w:p>
    <w:p w14:paraId="47228380">
      <w:pPr>
        <w:spacing w:line="360" w:lineRule="auto"/>
        <w:rPr>
          <w:rFonts w:ascii="宋体" w:hAnsi="宋体" w:cs="宋体"/>
          <w:b/>
          <w:color w:val="auto"/>
          <w:sz w:val="28"/>
          <w:szCs w:val="28"/>
        </w:rPr>
      </w:pPr>
      <w:r>
        <w:rPr>
          <w:rFonts w:hint="eastAsia" w:ascii="宋体" w:hAnsi="宋体" w:cs="宋体"/>
          <w:b/>
          <w:color w:val="auto"/>
          <w:sz w:val="28"/>
          <w:szCs w:val="28"/>
        </w:rPr>
        <w:t>投诉书制作说明：</w:t>
      </w:r>
    </w:p>
    <w:p w14:paraId="54D864E2">
      <w:pPr>
        <w:widowControl/>
        <w:spacing w:line="360" w:lineRule="auto"/>
        <w:ind w:firstLine="560" w:firstLineChars="200"/>
        <w:rPr>
          <w:rFonts w:ascii="宋体" w:hAnsi="宋体" w:cs="宋体"/>
          <w:color w:val="auto"/>
          <w:sz w:val="28"/>
          <w:szCs w:val="28"/>
        </w:rPr>
      </w:pPr>
      <w:r>
        <w:rPr>
          <w:rFonts w:hint="eastAsia" w:ascii="宋体" w:hAnsi="宋体" w:cs="宋体"/>
          <w:color w:val="auto"/>
          <w:sz w:val="28"/>
          <w:szCs w:val="28"/>
        </w:rPr>
        <w:t>1.投诉人提起投诉时，应当提交投诉书和必要的证明材料，并按照被投诉人和与投诉事项有关的供应商数量提供投诉书副本。</w:t>
      </w:r>
    </w:p>
    <w:p w14:paraId="53FEAE2A">
      <w:pPr>
        <w:widowControl/>
        <w:spacing w:line="360" w:lineRule="auto"/>
        <w:ind w:firstLine="560" w:firstLineChars="200"/>
        <w:jc w:val="left"/>
        <w:rPr>
          <w:rFonts w:ascii="宋体" w:hAnsi="宋体" w:cs="宋体"/>
          <w:color w:val="auto"/>
          <w:sz w:val="28"/>
          <w:szCs w:val="28"/>
        </w:rPr>
      </w:pPr>
      <w:r>
        <w:rPr>
          <w:rFonts w:hint="eastAsia" w:ascii="宋体" w:hAnsi="宋体" w:cs="宋体"/>
          <w:color w:val="auto"/>
          <w:sz w:val="28"/>
          <w:szCs w:val="28"/>
        </w:rPr>
        <w:t>2.投诉人若委托代理人进行投诉的，投诉书应按照要求列明“授权代表”的有关内容，并在附件中提交由投诉人签署的授权委托书。授权委托书应当载明代理人的姓名或者名称、代理事项、具体权限、期限和相关事项。</w:t>
      </w:r>
    </w:p>
    <w:p w14:paraId="02E4E41C">
      <w:pPr>
        <w:widowControl/>
        <w:spacing w:line="360" w:lineRule="auto"/>
        <w:ind w:firstLine="560" w:firstLineChars="200"/>
        <w:jc w:val="left"/>
        <w:rPr>
          <w:rFonts w:ascii="宋体" w:hAnsi="宋体" w:cs="宋体"/>
          <w:color w:val="auto"/>
          <w:sz w:val="28"/>
          <w:szCs w:val="28"/>
        </w:rPr>
      </w:pPr>
      <w:r>
        <w:rPr>
          <w:rFonts w:hint="eastAsia" w:ascii="宋体" w:hAnsi="宋体" w:cs="宋体"/>
          <w:color w:val="auto"/>
          <w:sz w:val="28"/>
          <w:szCs w:val="28"/>
        </w:rPr>
        <w:t>3.投诉人若对项目的某一分包进行投诉，投诉书应列明具体分包号。</w:t>
      </w:r>
    </w:p>
    <w:p w14:paraId="4857017B">
      <w:pPr>
        <w:widowControl/>
        <w:spacing w:line="360" w:lineRule="auto"/>
        <w:ind w:firstLine="560" w:firstLineChars="200"/>
        <w:jc w:val="left"/>
        <w:rPr>
          <w:rFonts w:ascii="宋体" w:hAnsi="宋体" w:cs="宋体"/>
          <w:color w:val="auto"/>
          <w:sz w:val="28"/>
          <w:szCs w:val="28"/>
        </w:rPr>
      </w:pPr>
      <w:r>
        <w:rPr>
          <w:rFonts w:hint="eastAsia" w:ascii="宋体" w:hAnsi="宋体" w:cs="宋体"/>
          <w:color w:val="auto"/>
          <w:sz w:val="28"/>
          <w:szCs w:val="28"/>
        </w:rPr>
        <w:t>4.投诉书应简要列明质疑事项，质疑函、质疑答复等作为附件材料提供。</w:t>
      </w:r>
    </w:p>
    <w:p w14:paraId="57712419">
      <w:pPr>
        <w:widowControl/>
        <w:spacing w:line="360" w:lineRule="auto"/>
        <w:ind w:firstLine="560" w:firstLineChars="200"/>
        <w:jc w:val="left"/>
        <w:rPr>
          <w:rFonts w:ascii="宋体" w:hAnsi="宋体" w:cs="宋体"/>
          <w:color w:val="auto"/>
          <w:sz w:val="28"/>
          <w:szCs w:val="28"/>
        </w:rPr>
      </w:pPr>
      <w:r>
        <w:rPr>
          <w:rFonts w:hint="eastAsia" w:ascii="宋体" w:hAnsi="宋体" w:cs="宋体"/>
          <w:color w:val="auto"/>
          <w:sz w:val="28"/>
          <w:szCs w:val="28"/>
        </w:rPr>
        <w:t>5.投诉书的投诉事项应具体、明确，并有必要的事实依据和法律依据。</w:t>
      </w:r>
    </w:p>
    <w:p w14:paraId="0388C435">
      <w:pPr>
        <w:widowControl/>
        <w:spacing w:line="360" w:lineRule="auto"/>
        <w:ind w:firstLine="560" w:firstLineChars="200"/>
        <w:jc w:val="left"/>
        <w:rPr>
          <w:rFonts w:ascii="宋体" w:hAnsi="宋体" w:cs="宋体"/>
          <w:color w:val="auto"/>
          <w:sz w:val="28"/>
          <w:szCs w:val="28"/>
        </w:rPr>
      </w:pPr>
      <w:r>
        <w:rPr>
          <w:rFonts w:hint="eastAsia" w:ascii="宋体" w:hAnsi="宋体" w:cs="宋体"/>
          <w:color w:val="auto"/>
          <w:sz w:val="28"/>
          <w:szCs w:val="28"/>
        </w:rPr>
        <w:t>6.投诉书的投诉请求应与投诉事项相关。</w:t>
      </w:r>
    </w:p>
    <w:p w14:paraId="73495AC0">
      <w:pPr>
        <w:pStyle w:val="2"/>
        <w:spacing w:after="0" w:line="360" w:lineRule="auto"/>
        <w:ind w:left="0" w:leftChars="0" w:firstLine="560"/>
        <w:rPr>
          <w:rFonts w:eastAsia="宋体" w:cs="宋体"/>
          <w:color w:val="auto"/>
          <w:szCs w:val="28"/>
        </w:rPr>
      </w:pPr>
      <w:r>
        <w:rPr>
          <w:rFonts w:hint="eastAsia" w:eastAsia="宋体" w:cs="宋体"/>
          <w:color w:val="auto"/>
          <w:szCs w:val="28"/>
        </w:rPr>
        <w:t>7.投诉人为自然人的，投诉书应当由本人签字；投诉人为法人或者其他组织的，投诉书应当由法定代表人、主要负责人，或者其授权代表签名或者盖章，并加盖公章。</w:t>
      </w:r>
    </w:p>
    <w:bookmarkEnd w:id="1"/>
    <w:p w14:paraId="3119EA0A">
      <w:pPr>
        <w:spacing w:line="360" w:lineRule="auto"/>
        <w:rPr>
          <w:rFonts w:ascii="宋体" w:hAnsi="宋体"/>
          <w:color w:val="auto"/>
        </w:rPr>
      </w:pPr>
    </w:p>
    <w:sectPr>
      <w:footerReference r:id="rId9" w:type="first"/>
      <w:footerReference r:id="rId8" w:type="default"/>
      <w:pgSz w:w="11910" w:h="16840"/>
      <w:pgMar w:top="1440" w:right="1080" w:bottom="1440" w:left="1080" w:header="720" w:footer="720" w:gutter="0"/>
      <w:cols w:space="720" w:num="1"/>
      <w:docGrid w:linePitch="28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微软雅黑">
    <w:panose1 w:val="020B0503020204020204"/>
    <w:charset w:val="86"/>
    <w:family w:val="swiss"/>
    <w:pitch w:val="default"/>
    <w:sig w:usb0="80000287" w:usb1="280F3C52" w:usb2="00000016" w:usb3="00000000" w:csb0="0004001F"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05CBFE">
    <w:pPr>
      <w:pStyle w:val="19"/>
      <w:ind w:left="420" w:hanging="420"/>
      <w:jc w:val="center"/>
    </w:pPr>
    <w:r>
      <w:fldChar w:fldCharType="begin"/>
    </w:r>
    <w:r>
      <w:instrText xml:space="preserve">PAGE   \* MERGEFORMAT</w:instrText>
    </w:r>
    <w:r>
      <w:fldChar w:fldCharType="separate"/>
    </w:r>
    <w:r>
      <w:rPr>
        <w:lang w:val="zh-CN"/>
      </w:rPr>
      <w:t>43</w:t>
    </w:r>
    <w:r>
      <w:rPr>
        <w:lang w:val="zh-C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8620D3">
    <w:pPr>
      <w:pStyle w:val="19"/>
      <w:jc w:val="center"/>
    </w:pPr>
    <w:r>
      <w:pict>
        <v:shape id="文本框 5121" o:spid="_x0000_s1027" o:spt="202" type="#_x0000_t202" style="position:absolute;left:0pt;margin-top:0pt;height:20pt;width:33.05pt;mso-position-horizontal:center;mso-position-horizontal-relative:margin;z-index:251659264;mso-width-relative:page;mso-height-relative:page;" filled="f" stroked="f" coordsize="21600,21600" o:gfxdata="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fkN+Q9EAAAADAQAADwAAAAAAAAABACAA&#10;AAAiAAAAZHJzL2Rvd25yZXYueG1sUEsBAhQAFAAAAAgAh07iQAjbt74UAgAAFQQAAA4AAAAAAAAA&#10;AQAgAAAAIAEAAGRycy9lMm9Eb2MueG1sUEsFBgAAAAAGAAYAWQEAAKYFAAAAAA==&#10;">
          <v:path/>
          <v:fill on="f" focussize="0,0"/>
          <v:stroke on="f" joinstyle="miter"/>
          <v:imagedata o:title=""/>
          <o:lock v:ext="edit"/>
          <v:textbox inset="0mm,0mm,0mm,0mm" style="mso-fit-shape-to-text:t;">
            <w:txbxContent>
              <w:p w14:paraId="7B8F10A4">
                <w:pPr>
                  <w:pStyle w:val="19"/>
                  <w:jc w:val="center"/>
                </w:pPr>
                <w:r>
                  <w:fldChar w:fldCharType="begin"/>
                </w:r>
                <w:r>
                  <w:instrText xml:space="preserve"> PAGE  \* MERGEFORMAT </w:instrText>
                </w:r>
                <w:r>
                  <w:fldChar w:fldCharType="separate"/>
                </w:r>
                <w:r>
                  <w:t>100</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2971E0">
    <w:pPr>
      <w:pStyle w:val="19"/>
    </w:pPr>
    <w:r>
      <w:pict>
        <v:shape id="文本框 512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zql5uc8AAAAFAQAADwAAAAAAAAABACAAAAAiAAAAZHJzL2Rv&#10;d25yZXYueG1sUEsBAhQAFAAAAAgAh07iQPH6EkwKAgAAFQQAAA4AAAAAAAAAAQAgAAAAHgEAAGRy&#10;cy9lMm9Eb2MueG1sUEsFBgAAAAAGAAYAWQEAAJoFAAAAAA==&#10;">
          <v:path/>
          <v:fill on="f" focussize="0,0"/>
          <v:stroke on="f" joinstyle="miter"/>
          <v:imagedata o:title=""/>
          <o:lock v:ext="edit"/>
          <v:textbox inset="0mm,0mm,0mm,0mm" style="mso-fit-shape-to-text:t;">
            <w:txbxContent>
              <w:p w14:paraId="2212EBB7">
                <w:pPr>
                  <w:pStyle w:val="19"/>
                </w:pPr>
                <w:r>
                  <w:fldChar w:fldCharType="begin"/>
                </w:r>
                <w:r>
                  <w:instrText xml:space="preserve"> PAGE  \* MERGEFORMAT </w:instrText>
                </w:r>
                <w:r>
                  <w:fldChar w:fldCharType="separate"/>
                </w:r>
                <w:r>
                  <w:t>63</w:t>
                </w:r>
                <w: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7055E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35F3F0">
    <w:pPr>
      <w:pStyle w:val="20"/>
    </w:pPr>
    <w:r>
      <w:rPr>
        <w:rFonts w:hint="eastAsia"/>
      </w:rPr>
      <w:t>南宁市政府采购竞争性磋商采购文件(项目编号：NNZC2024-C3-991810-GXJH )</w:t>
    </w:r>
  </w:p>
  <w:p w14:paraId="4CA87AA1">
    <w:pPr>
      <w:spacing w:line="247" w:lineRule="exact"/>
      <w:ind w:left="1863"/>
      <w:rPr>
        <w:rFonts w:ascii="宋体" w:hAnsi="宋体" w:cs="宋体"/>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CB184DA"/>
    <w:multiLevelType w:val="singleLevel"/>
    <w:tmpl w:val="ECB184DA"/>
    <w:lvl w:ilvl="0" w:tentative="0">
      <w:start w:val="1"/>
      <w:numFmt w:val="decimal"/>
      <w:suff w:val="nothing"/>
      <w:lvlText w:val="（%1）"/>
      <w:lvlJc w:val="left"/>
    </w:lvl>
  </w:abstractNum>
  <w:abstractNum w:abstractNumId="1">
    <w:nsid w:val="FEE3191A"/>
    <w:multiLevelType w:val="singleLevel"/>
    <w:tmpl w:val="FEE3191A"/>
    <w:lvl w:ilvl="0" w:tentative="0">
      <w:start w:val="4"/>
      <w:numFmt w:val="decimal"/>
      <w:suff w:val="nothing"/>
      <w:lvlText w:val="%1、"/>
      <w:lvlJc w:val="left"/>
    </w:lvl>
  </w:abstractNum>
  <w:abstractNum w:abstractNumId="2">
    <w:nsid w:val="5A897C62"/>
    <w:multiLevelType w:val="singleLevel"/>
    <w:tmpl w:val="5A897C62"/>
    <w:lvl w:ilvl="0" w:tentative="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DZhMDIyNmU4ZTg3YTRlNjI0YTAzNjQwYjBlMDVmMzkifQ=="/>
  </w:docVars>
  <w:rsids>
    <w:rsidRoot w:val="00F34B14"/>
    <w:rsid w:val="00000672"/>
    <w:rsid w:val="00001013"/>
    <w:rsid w:val="00001799"/>
    <w:rsid w:val="00001AF2"/>
    <w:rsid w:val="00001ECA"/>
    <w:rsid w:val="00002D29"/>
    <w:rsid w:val="00003B93"/>
    <w:rsid w:val="0000474D"/>
    <w:rsid w:val="00005FDF"/>
    <w:rsid w:val="000070B3"/>
    <w:rsid w:val="000076B8"/>
    <w:rsid w:val="0001047A"/>
    <w:rsid w:val="000109DC"/>
    <w:rsid w:val="00010D39"/>
    <w:rsid w:val="0001172C"/>
    <w:rsid w:val="00011A4D"/>
    <w:rsid w:val="00011BC9"/>
    <w:rsid w:val="00012854"/>
    <w:rsid w:val="00012EA6"/>
    <w:rsid w:val="00013359"/>
    <w:rsid w:val="000139CF"/>
    <w:rsid w:val="00013AA4"/>
    <w:rsid w:val="00013DFE"/>
    <w:rsid w:val="000141EA"/>
    <w:rsid w:val="00015094"/>
    <w:rsid w:val="00016ABC"/>
    <w:rsid w:val="000177DB"/>
    <w:rsid w:val="000179C9"/>
    <w:rsid w:val="00017CCC"/>
    <w:rsid w:val="00020227"/>
    <w:rsid w:val="00020263"/>
    <w:rsid w:val="00020455"/>
    <w:rsid w:val="00020527"/>
    <w:rsid w:val="00020813"/>
    <w:rsid w:val="000220B2"/>
    <w:rsid w:val="0002264C"/>
    <w:rsid w:val="00022731"/>
    <w:rsid w:val="00022792"/>
    <w:rsid w:val="00024463"/>
    <w:rsid w:val="00025461"/>
    <w:rsid w:val="00025636"/>
    <w:rsid w:val="00025E36"/>
    <w:rsid w:val="00026855"/>
    <w:rsid w:val="00026886"/>
    <w:rsid w:val="0002785D"/>
    <w:rsid w:val="000329E0"/>
    <w:rsid w:val="000352E9"/>
    <w:rsid w:val="00035494"/>
    <w:rsid w:val="00036125"/>
    <w:rsid w:val="00036A07"/>
    <w:rsid w:val="0003780B"/>
    <w:rsid w:val="00040571"/>
    <w:rsid w:val="00040973"/>
    <w:rsid w:val="0004156E"/>
    <w:rsid w:val="00041713"/>
    <w:rsid w:val="0004440C"/>
    <w:rsid w:val="00046B5E"/>
    <w:rsid w:val="000470CB"/>
    <w:rsid w:val="000509D9"/>
    <w:rsid w:val="00051ACB"/>
    <w:rsid w:val="000533E7"/>
    <w:rsid w:val="00055D41"/>
    <w:rsid w:val="00057CD6"/>
    <w:rsid w:val="00060DCE"/>
    <w:rsid w:val="000610E3"/>
    <w:rsid w:val="000614F3"/>
    <w:rsid w:val="000623B4"/>
    <w:rsid w:val="00062405"/>
    <w:rsid w:val="000634A7"/>
    <w:rsid w:val="00063B0B"/>
    <w:rsid w:val="00063F81"/>
    <w:rsid w:val="00064847"/>
    <w:rsid w:val="00065E08"/>
    <w:rsid w:val="000673E2"/>
    <w:rsid w:val="0007063F"/>
    <w:rsid w:val="000707FD"/>
    <w:rsid w:val="00070949"/>
    <w:rsid w:val="000711E4"/>
    <w:rsid w:val="000724D9"/>
    <w:rsid w:val="00072AED"/>
    <w:rsid w:val="00073F47"/>
    <w:rsid w:val="0007492F"/>
    <w:rsid w:val="00074ED8"/>
    <w:rsid w:val="00075B7E"/>
    <w:rsid w:val="00077ACA"/>
    <w:rsid w:val="00077C70"/>
    <w:rsid w:val="000813B5"/>
    <w:rsid w:val="00081BA3"/>
    <w:rsid w:val="00081D2E"/>
    <w:rsid w:val="00081F89"/>
    <w:rsid w:val="00082619"/>
    <w:rsid w:val="00082D02"/>
    <w:rsid w:val="00083871"/>
    <w:rsid w:val="00083B91"/>
    <w:rsid w:val="0008473C"/>
    <w:rsid w:val="0008520B"/>
    <w:rsid w:val="000860BD"/>
    <w:rsid w:val="000871B8"/>
    <w:rsid w:val="000916DA"/>
    <w:rsid w:val="00092442"/>
    <w:rsid w:val="000929EF"/>
    <w:rsid w:val="000933BE"/>
    <w:rsid w:val="00093CD4"/>
    <w:rsid w:val="0009560F"/>
    <w:rsid w:val="0009588E"/>
    <w:rsid w:val="000959EE"/>
    <w:rsid w:val="00097183"/>
    <w:rsid w:val="000972CB"/>
    <w:rsid w:val="00097608"/>
    <w:rsid w:val="000A13F3"/>
    <w:rsid w:val="000A23B1"/>
    <w:rsid w:val="000A2B0E"/>
    <w:rsid w:val="000A398F"/>
    <w:rsid w:val="000A3BB7"/>
    <w:rsid w:val="000A448C"/>
    <w:rsid w:val="000A509C"/>
    <w:rsid w:val="000A54A7"/>
    <w:rsid w:val="000A6007"/>
    <w:rsid w:val="000A65A6"/>
    <w:rsid w:val="000A70E3"/>
    <w:rsid w:val="000A7275"/>
    <w:rsid w:val="000A7A12"/>
    <w:rsid w:val="000A7A72"/>
    <w:rsid w:val="000B1202"/>
    <w:rsid w:val="000B1801"/>
    <w:rsid w:val="000B1D0C"/>
    <w:rsid w:val="000B2273"/>
    <w:rsid w:val="000B2585"/>
    <w:rsid w:val="000B2BC6"/>
    <w:rsid w:val="000B2D03"/>
    <w:rsid w:val="000B3815"/>
    <w:rsid w:val="000B3C7B"/>
    <w:rsid w:val="000B3ED8"/>
    <w:rsid w:val="000B4321"/>
    <w:rsid w:val="000B6A6B"/>
    <w:rsid w:val="000B6C95"/>
    <w:rsid w:val="000B79FC"/>
    <w:rsid w:val="000B7BD1"/>
    <w:rsid w:val="000C02B1"/>
    <w:rsid w:val="000C1679"/>
    <w:rsid w:val="000C1EE3"/>
    <w:rsid w:val="000C3AE7"/>
    <w:rsid w:val="000C3CC9"/>
    <w:rsid w:val="000C6DE4"/>
    <w:rsid w:val="000C7202"/>
    <w:rsid w:val="000D0A89"/>
    <w:rsid w:val="000D1389"/>
    <w:rsid w:val="000D1798"/>
    <w:rsid w:val="000D1B59"/>
    <w:rsid w:val="000D2626"/>
    <w:rsid w:val="000D291C"/>
    <w:rsid w:val="000D3FB6"/>
    <w:rsid w:val="000D411D"/>
    <w:rsid w:val="000D4589"/>
    <w:rsid w:val="000D4809"/>
    <w:rsid w:val="000D73DD"/>
    <w:rsid w:val="000E1C51"/>
    <w:rsid w:val="000E28AB"/>
    <w:rsid w:val="000E2E3E"/>
    <w:rsid w:val="000E3583"/>
    <w:rsid w:val="000E3AF0"/>
    <w:rsid w:val="000E4E04"/>
    <w:rsid w:val="000E693B"/>
    <w:rsid w:val="000E6EC9"/>
    <w:rsid w:val="000E70B4"/>
    <w:rsid w:val="000E7B62"/>
    <w:rsid w:val="000F0E1E"/>
    <w:rsid w:val="000F1A1B"/>
    <w:rsid w:val="000F2A95"/>
    <w:rsid w:val="000F3281"/>
    <w:rsid w:val="000F32FD"/>
    <w:rsid w:val="000F3733"/>
    <w:rsid w:val="000F5F8B"/>
    <w:rsid w:val="000F6153"/>
    <w:rsid w:val="000F63C8"/>
    <w:rsid w:val="000F64AA"/>
    <w:rsid w:val="000F7AF4"/>
    <w:rsid w:val="000F7C33"/>
    <w:rsid w:val="000F7F0C"/>
    <w:rsid w:val="001004D6"/>
    <w:rsid w:val="00102676"/>
    <w:rsid w:val="00103646"/>
    <w:rsid w:val="00103918"/>
    <w:rsid w:val="00104897"/>
    <w:rsid w:val="00104DE0"/>
    <w:rsid w:val="00104EDE"/>
    <w:rsid w:val="00105CDA"/>
    <w:rsid w:val="00106BEE"/>
    <w:rsid w:val="00107C74"/>
    <w:rsid w:val="0011091C"/>
    <w:rsid w:val="00111266"/>
    <w:rsid w:val="001112EB"/>
    <w:rsid w:val="00112768"/>
    <w:rsid w:val="00113678"/>
    <w:rsid w:val="00113C3E"/>
    <w:rsid w:val="00115E11"/>
    <w:rsid w:val="00115EEE"/>
    <w:rsid w:val="00115F56"/>
    <w:rsid w:val="00116CA9"/>
    <w:rsid w:val="00116F38"/>
    <w:rsid w:val="001170A4"/>
    <w:rsid w:val="00117AE7"/>
    <w:rsid w:val="00117CBD"/>
    <w:rsid w:val="0012006A"/>
    <w:rsid w:val="00121979"/>
    <w:rsid w:val="00121C4E"/>
    <w:rsid w:val="00122064"/>
    <w:rsid w:val="00124341"/>
    <w:rsid w:val="00124492"/>
    <w:rsid w:val="00124B12"/>
    <w:rsid w:val="001250A0"/>
    <w:rsid w:val="001263B8"/>
    <w:rsid w:val="0012763E"/>
    <w:rsid w:val="00130217"/>
    <w:rsid w:val="00130783"/>
    <w:rsid w:val="00130A47"/>
    <w:rsid w:val="00130D7C"/>
    <w:rsid w:val="00132B47"/>
    <w:rsid w:val="001337F8"/>
    <w:rsid w:val="00133BDC"/>
    <w:rsid w:val="001348B4"/>
    <w:rsid w:val="00135181"/>
    <w:rsid w:val="001351CB"/>
    <w:rsid w:val="00135530"/>
    <w:rsid w:val="00135947"/>
    <w:rsid w:val="001359A2"/>
    <w:rsid w:val="00135F92"/>
    <w:rsid w:val="00136020"/>
    <w:rsid w:val="00136445"/>
    <w:rsid w:val="00140132"/>
    <w:rsid w:val="00141C9C"/>
    <w:rsid w:val="0014277F"/>
    <w:rsid w:val="001434BE"/>
    <w:rsid w:val="00144050"/>
    <w:rsid w:val="0014479F"/>
    <w:rsid w:val="001452B4"/>
    <w:rsid w:val="00145320"/>
    <w:rsid w:val="001476D3"/>
    <w:rsid w:val="001509CF"/>
    <w:rsid w:val="00150D1D"/>
    <w:rsid w:val="001525AA"/>
    <w:rsid w:val="00152A87"/>
    <w:rsid w:val="00153BB5"/>
    <w:rsid w:val="00154518"/>
    <w:rsid w:val="00156359"/>
    <w:rsid w:val="001568F3"/>
    <w:rsid w:val="00156DD6"/>
    <w:rsid w:val="0016086E"/>
    <w:rsid w:val="00160D0C"/>
    <w:rsid w:val="00161172"/>
    <w:rsid w:val="00161998"/>
    <w:rsid w:val="00161E65"/>
    <w:rsid w:val="00162597"/>
    <w:rsid w:val="001629AF"/>
    <w:rsid w:val="001629FD"/>
    <w:rsid w:val="0016428A"/>
    <w:rsid w:val="001647C9"/>
    <w:rsid w:val="00165627"/>
    <w:rsid w:val="00165929"/>
    <w:rsid w:val="001661A3"/>
    <w:rsid w:val="00167226"/>
    <w:rsid w:val="0016782B"/>
    <w:rsid w:val="0016784D"/>
    <w:rsid w:val="00172CA8"/>
    <w:rsid w:val="00173256"/>
    <w:rsid w:val="00173B0E"/>
    <w:rsid w:val="00173E03"/>
    <w:rsid w:val="00174182"/>
    <w:rsid w:val="0017512C"/>
    <w:rsid w:val="0017586A"/>
    <w:rsid w:val="00175BA6"/>
    <w:rsid w:val="00176CA7"/>
    <w:rsid w:val="00176F8E"/>
    <w:rsid w:val="001778C5"/>
    <w:rsid w:val="00177E56"/>
    <w:rsid w:val="00177F0A"/>
    <w:rsid w:val="00180DA0"/>
    <w:rsid w:val="00181EAD"/>
    <w:rsid w:val="00181F43"/>
    <w:rsid w:val="00182862"/>
    <w:rsid w:val="00184F57"/>
    <w:rsid w:val="00185544"/>
    <w:rsid w:val="00185617"/>
    <w:rsid w:val="00186823"/>
    <w:rsid w:val="00186FE1"/>
    <w:rsid w:val="00187A14"/>
    <w:rsid w:val="0019171E"/>
    <w:rsid w:val="00192368"/>
    <w:rsid w:val="001923A0"/>
    <w:rsid w:val="001928B1"/>
    <w:rsid w:val="00193537"/>
    <w:rsid w:val="00193846"/>
    <w:rsid w:val="00195424"/>
    <w:rsid w:val="001955FF"/>
    <w:rsid w:val="00196D6E"/>
    <w:rsid w:val="00197EDD"/>
    <w:rsid w:val="001A02B3"/>
    <w:rsid w:val="001A04BB"/>
    <w:rsid w:val="001A08D0"/>
    <w:rsid w:val="001A1B39"/>
    <w:rsid w:val="001A2120"/>
    <w:rsid w:val="001A28C6"/>
    <w:rsid w:val="001A2E69"/>
    <w:rsid w:val="001A3C34"/>
    <w:rsid w:val="001A3EDE"/>
    <w:rsid w:val="001A4222"/>
    <w:rsid w:val="001A50EA"/>
    <w:rsid w:val="001A5BA2"/>
    <w:rsid w:val="001A5E24"/>
    <w:rsid w:val="001A6B27"/>
    <w:rsid w:val="001A6D8B"/>
    <w:rsid w:val="001A6DAA"/>
    <w:rsid w:val="001A7717"/>
    <w:rsid w:val="001A793A"/>
    <w:rsid w:val="001B0520"/>
    <w:rsid w:val="001B125A"/>
    <w:rsid w:val="001B1EBA"/>
    <w:rsid w:val="001B2142"/>
    <w:rsid w:val="001B2F2B"/>
    <w:rsid w:val="001B327A"/>
    <w:rsid w:val="001B35DE"/>
    <w:rsid w:val="001B3A13"/>
    <w:rsid w:val="001B3F5C"/>
    <w:rsid w:val="001B59FF"/>
    <w:rsid w:val="001B6512"/>
    <w:rsid w:val="001B65D7"/>
    <w:rsid w:val="001B6752"/>
    <w:rsid w:val="001B6768"/>
    <w:rsid w:val="001B6F1F"/>
    <w:rsid w:val="001B7CD7"/>
    <w:rsid w:val="001B7ECC"/>
    <w:rsid w:val="001C025B"/>
    <w:rsid w:val="001C115F"/>
    <w:rsid w:val="001C1EAB"/>
    <w:rsid w:val="001C25A7"/>
    <w:rsid w:val="001C318C"/>
    <w:rsid w:val="001C35C4"/>
    <w:rsid w:val="001C3D45"/>
    <w:rsid w:val="001C4287"/>
    <w:rsid w:val="001C4479"/>
    <w:rsid w:val="001C5190"/>
    <w:rsid w:val="001C6081"/>
    <w:rsid w:val="001C7B48"/>
    <w:rsid w:val="001D0CFB"/>
    <w:rsid w:val="001D1A0D"/>
    <w:rsid w:val="001D2CCD"/>
    <w:rsid w:val="001D343C"/>
    <w:rsid w:val="001D34F5"/>
    <w:rsid w:val="001D56FC"/>
    <w:rsid w:val="001D58A1"/>
    <w:rsid w:val="001D58C2"/>
    <w:rsid w:val="001D5A8A"/>
    <w:rsid w:val="001D61CA"/>
    <w:rsid w:val="001D6E87"/>
    <w:rsid w:val="001D735E"/>
    <w:rsid w:val="001D73C8"/>
    <w:rsid w:val="001D7BC6"/>
    <w:rsid w:val="001E129E"/>
    <w:rsid w:val="001E175C"/>
    <w:rsid w:val="001E1B0E"/>
    <w:rsid w:val="001E3B63"/>
    <w:rsid w:val="001E522E"/>
    <w:rsid w:val="001E5A94"/>
    <w:rsid w:val="001E5F6F"/>
    <w:rsid w:val="001F0373"/>
    <w:rsid w:val="001F2A2E"/>
    <w:rsid w:val="001F3356"/>
    <w:rsid w:val="001F3C63"/>
    <w:rsid w:val="001F4460"/>
    <w:rsid w:val="001F4C10"/>
    <w:rsid w:val="001F711A"/>
    <w:rsid w:val="001F75B0"/>
    <w:rsid w:val="00200CE5"/>
    <w:rsid w:val="00200F7C"/>
    <w:rsid w:val="002014DB"/>
    <w:rsid w:val="0020150B"/>
    <w:rsid w:val="00201E12"/>
    <w:rsid w:val="002033B5"/>
    <w:rsid w:val="0020382C"/>
    <w:rsid w:val="0020437A"/>
    <w:rsid w:val="0020454C"/>
    <w:rsid w:val="00204740"/>
    <w:rsid w:val="00205129"/>
    <w:rsid w:val="0020521F"/>
    <w:rsid w:val="0020532C"/>
    <w:rsid w:val="002114C7"/>
    <w:rsid w:val="00212ABE"/>
    <w:rsid w:val="0021302C"/>
    <w:rsid w:val="00213B1C"/>
    <w:rsid w:val="00214202"/>
    <w:rsid w:val="002148E3"/>
    <w:rsid w:val="0021552D"/>
    <w:rsid w:val="002156AE"/>
    <w:rsid w:val="00215E99"/>
    <w:rsid w:val="00217C72"/>
    <w:rsid w:val="0022054D"/>
    <w:rsid w:val="00223DDB"/>
    <w:rsid w:val="00223FA4"/>
    <w:rsid w:val="00223FB0"/>
    <w:rsid w:val="00224067"/>
    <w:rsid w:val="0022421C"/>
    <w:rsid w:val="00224E83"/>
    <w:rsid w:val="00225664"/>
    <w:rsid w:val="00225EB5"/>
    <w:rsid w:val="0022663D"/>
    <w:rsid w:val="00227F2D"/>
    <w:rsid w:val="00230179"/>
    <w:rsid w:val="00231851"/>
    <w:rsid w:val="002319FB"/>
    <w:rsid w:val="00231B89"/>
    <w:rsid w:val="00231F11"/>
    <w:rsid w:val="00231F5E"/>
    <w:rsid w:val="002346B4"/>
    <w:rsid w:val="00234F6E"/>
    <w:rsid w:val="002355BE"/>
    <w:rsid w:val="002358EA"/>
    <w:rsid w:val="00236578"/>
    <w:rsid w:val="00236DE9"/>
    <w:rsid w:val="00237342"/>
    <w:rsid w:val="00237D5A"/>
    <w:rsid w:val="002415AE"/>
    <w:rsid w:val="00241D3C"/>
    <w:rsid w:val="00242109"/>
    <w:rsid w:val="00243189"/>
    <w:rsid w:val="002439AB"/>
    <w:rsid w:val="00243C19"/>
    <w:rsid w:val="00244AE8"/>
    <w:rsid w:val="00244DC9"/>
    <w:rsid w:val="00245587"/>
    <w:rsid w:val="00245F2B"/>
    <w:rsid w:val="00247F3A"/>
    <w:rsid w:val="00250122"/>
    <w:rsid w:val="00250755"/>
    <w:rsid w:val="00251043"/>
    <w:rsid w:val="00251C4A"/>
    <w:rsid w:val="0025271C"/>
    <w:rsid w:val="002529E4"/>
    <w:rsid w:val="002533CD"/>
    <w:rsid w:val="002535EA"/>
    <w:rsid w:val="00254436"/>
    <w:rsid w:val="00254EAB"/>
    <w:rsid w:val="002557AF"/>
    <w:rsid w:val="0025589C"/>
    <w:rsid w:val="00255B62"/>
    <w:rsid w:val="002566B1"/>
    <w:rsid w:val="002575E3"/>
    <w:rsid w:val="00257A74"/>
    <w:rsid w:val="002603C1"/>
    <w:rsid w:val="002609A1"/>
    <w:rsid w:val="002612B1"/>
    <w:rsid w:val="002626D4"/>
    <w:rsid w:val="00266165"/>
    <w:rsid w:val="002662FE"/>
    <w:rsid w:val="00266F2C"/>
    <w:rsid w:val="0027125E"/>
    <w:rsid w:val="00271767"/>
    <w:rsid w:val="00272293"/>
    <w:rsid w:val="002723C8"/>
    <w:rsid w:val="00273C2A"/>
    <w:rsid w:val="00273CBE"/>
    <w:rsid w:val="002746B1"/>
    <w:rsid w:val="00274BAD"/>
    <w:rsid w:val="00282D56"/>
    <w:rsid w:val="002835B0"/>
    <w:rsid w:val="00283C74"/>
    <w:rsid w:val="0028407E"/>
    <w:rsid w:val="0028410F"/>
    <w:rsid w:val="00284572"/>
    <w:rsid w:val="00285221"/>
    <w:rsid w:val="0028613B"/>
    <w:rsid w:val="00286FB5"/>
    <w:rsid w:val="00287763"/>
    <w:rsid w:val="00287FCB"/>
    <w:rsid w:val="00290606"/>
    <w:rsid w:val="002909B2"/>
    <w:rsid w:val="00291D6D"/>
    <w:rsid w:val="00291FF1"/>
    <w:rsid w:val="00292AA2"/>
    <w:rsid w:val="00293361"/>
    <w:rsid w:val="002952B1"/>
    <w:rsid w:val="00295D11"/>
    <w:rsid w:val="00296FB6"/>
    <w:rsid w:val="002A0001"/>
    <w:rsid w:val="002A0BD9"/>
    <w:rsid w:val="002A0C3A"/>
    <w:rsid w:val="002A1130"/>
    <w:rsid w:val="002A1880"/>
    <w:rsid w:val="002A23B7"/>
    <w:rsid w:val="002A3A57"/>
    <w:rsid w:val="002A4B4F"/>
    <w:rsid w:val="002A57A8"/>
    <w:rsid w:val="002A6DEF"/>
    <w:rsid w:val="002A6E42"/>
    <w:rsid w:val="002A770B"/>
    <w:rsid w:val="002B013E"/>
    <w:rsid w:val="002B058D"/>
    <w:rsid w:val="002B0C16"/>
    <w:rsid w:val="002B2AC5"/>
    <w:rsid w:val="002B3528"/>
    <w:rsid w:val="002B3539"/>
    <w:rsid w:val="002B4532"/>
    <w:rsid w:val="002B5042"/>
    <w:rsid w:val="002B69CC"/>
    <w:rsid w:val="002B6D71"/>
    <w:rsid w:val="002C0C1C"/>
    <w:rsid w:val="002C54C2"/>
    <w:rsid w:val="002C5D34"/>
    <w:rsid w:val="002C5D7F"/>
    <w:rsid w:val="002C60BB"/>
    <w:rsid w:val="002C661A"/>
    <w:rsid w:val="002D0D6F"/>
    <w:rsid w:val="002D25FC"/>
    <w:rsid w:val="002D4AC6"/>
    <w:rsid w:val="002D5BF5"/>
    <w:rsid w:val="002D5E95"/>
    <w:rsid w:val="002D5EE8"/>
    <w:rsid w:val="002D7360"/>
    <w:rsid w:val="002D7648"/>
    <w:rsid w:val="002D780A"/>
    <w:rsid w:val="002E109C"/>
    <w:rsid w:val="002E193E"/>
    <w:rsid w:val="002E1A94"/>
    <w:rsid w:val="002E1D55"/>
    <w:rsid w:val="002E26C4"/>
    <w:rsid w:val="002E30A5"/>
    <w:rsid w:val="002E47E4"/>
    <w:rsid w:val="002E4BF9"/>
    <w:rsid w:val="002E4D61"/>
    <w:rsid w:val="002E5FED"/>
    <w:rsid w:val="002E68A7"/>
    <w:rsid w:val="002E6E6C"/>
    <w:rsid w:val="002F0522"/>
    <w:rsid w:val="002F0B85"/>
    <w:rsid w:val="002F16DD"/>
    <w:rsid w:val="002F199D"/>
    <w:rsid w:val="002F213C"/>
    <w:rsid w:val="002F2453"/>
    <w:rsid w:val="002F352D"/>
    <w:rsid w:val="002F381E"/>
    <w:rsid w:val="002F4084"/>
    <w:rsid w:val="002F4A08"/>
    <w:rsid w:val="002F4ADB"/>
    <w:rsid w:val="002F531E"/>
    <w:rsid w:val="002F548D"/>
    <w:rsid w:val="002F5ACC"/>
    <w:rsid w:val="002F704B"/>
    <w:rsid w:val="002F72C3"/>
    <w:rsid w:val="002F768C"/>
    <w:rsid w:val="002F7D1E"/>
    <w:rsid w:val="00300201"/>
    <w:rsid w:val="0030025A"/>
    <w:rsid w:val="00301ADC"/>
    <w:rsid w:val="00302EFC"/>
    <w:rsid w:val="00303243"/>
    <w:rsid w:val="00303BCC"/>
    <w:rsid w:val="00303F2B"/>
    <w:rsid w:val="00303F8D"/>
    <w:rsid w:val="0030572D"/>
    <w:rsid w:val="0030586A"/>
    <w:rsid w:val="0030622D"/>
    <w:rsid w:val="00306811"/>
    <w:rsid w:val="00306F32"/>
    <w:rsid w:val="003074C5"/>
    <w:rsid w:val="00307A3C"/>
    <w:rsid w:val="00307FA4"/>
    <w:rsid w:val="00310290"/>
    <w:rsid w:val="0031083D"/>
    <w:rsid w:val="00310CC1"/>
    <w:rsid w:val="00311B60"/>
    <w:rsid w:val="00312504"/>
    <w:rsid w:val="00313026"/>
    <w:rsid w:val="00313913"/>
    <w:rsid w:val="0031421F"/>
    <w:rsid w:val="00314B31"/>
    <w:rsid w:val="00315A65"/>
    <w:rsid w:val="003165D7"/>
    <w:rsid w:val="00317BA7"/>
    <w:rsid w:val="00320BE2"/>
    <w:rsid w:val="00321886"/>
    <w:rsid w:val="00323694"/>
    <w:rsid w:val="00323BE7"/>
    <w:rsid w:val="00324C3A"/>
    <w:rsid w:val="00324D63"/>
    <w:rsid w:val="003255AF"/>
    <w:rsid w:val="003256EB"/>
    <w:rsid w:val="003259DB"/>
    <w:rsid w:val="003314D9"/>
    <w:rsid w:val="00331653"/>
    <w:rsid w:val="00331A48"/>
    <w:rsid w:val="00331BCC"/>
    <w:rsid w:val="003330C9"/>
    <w:rsid w:val="0033364C"/>
    <w:rsid w:val="00334415"/>
    <w:rsid w:val="00335EA1"/>
    <w:rsid w:val="0033691E"/>
    <w:rsid w:val="00336A6A"/>
    <w:rsid w:val="00336CCB"/>
    <w:rsid w:val="00340DC5"/>
    <w:rsid w:val="003411D1"/>
    <w:rsid w:val="003416BA"/>
    <w:rsid w:val="00342148"/>
    <w:rsid w:val="00342F99"/>
    <w:rsid w:val="0034575A"/>
    <w:rsid w:val="00345F57"/>
    <w:rsid w:val="00350458"/>
    <w:rsid w:val="00350E6C"/>
    <w:rsid w:val="003518A6"/>
    <w:rsid w:val="00351E7F"/>
    <w:rsid w:val="00352953"/>
    <w:rsid w:val="00354062"/>
    <w:rsid w:val="0035459E"/>
    <w:rsid w:val="00355C0D"/>
    <w:rsid w:val="003566A9"/>
    <w:rsid w:val="00356988"/>
    <w:rsid w:val="003569D3"/>
    <w:rsid w:val="00356CE9"/>
    <w:rsid w:val="003570BB"/>
    <w:rsid w:val="00357128"/>
    <w:rsid w:val="0035755E"/>
    <w:rsid w:val="00357A80"/>
    <w:rsid w:val="00361441"/>
    <w:rsid w:val="00361B8B"/>
    <w:rsid w:val="00363F39"/>
    <w:rsid w:val="0036445C"/>
    <w:rsid w:val="00364627"/>
    <w:rsid w:val="00364AB0"/>
    <w:rsid w:val="00364D71"/>
    <w:rsid w:val="003667B0"/>
    <w:rsid w:val="003667DD"/>
    <w:rsid w:val="00366B48"/>
    <w:rsid w:val="00367764"/>
    <w:rsid w:val="00370316"/>
    <w:rsid w:val="00370DC7"/>
    <w:rsid w:val="00371CBD"/>
    <w:rsid w:val="00371F20"/>
    <w:rsid w:val="003721E3"/>
    <w:rsid w:val="00372956"/>
    <w:rsid w:val="00372B98"/>
    <w:rsid w:val="003737B7"/>
    <w:rsid w:val="003740CC"/>
    <w:rsid w:val="003745F4"/>
    <w:rsid w:val="00374E79"/>
    <w:rsid w:val="0037529A"/>
    <w:rsid w:val="00375388"/>
    <w:rsid w:val="00375FB9"/>
    <w:rsid w:val="00376170"/>
    <w:rsid w:val="00376851"/>
    <w:rsid w:val="00376FA2"/>
    <w:rsid w:val="0037706C"/>
    <w:rsid w:val="00377A3B"/>
    <w:rsid w:val="00377E3C"/>
    <w:rsid w:val="00380B00"/>
    <w:rsid w:val="00380BBE"/>
    <w:rsid w:val="00381D70"/>
    <w:rsid w:val="0038235E"/>
    <w:rsid w:val="003829D0"/>
    <w:rsid w:val="0038326A"/>
    <w:rsid w:val="0038444F"/>
    <w:rsid w:val="003861F0"/>
    <w:rsid w:val="00387051"/>
    <w:rsid w:val="00387ECF"/>
    <w:rsid w:val="0039021B"/>
    <w:rsid w:val="00390242"/>
    <w:rsid w:val="00390429"/>
    <w:rsid w:val="003906A0"/>
    <w:rsid w:val="0039366C"/>
    <w:rsid w:val="00393EC8"/>
    <w:rsid w:val="003950F5"/>
    <w:rsid w:val="0039538F"/>
    <w:rsid w:val="00395E42"/>
    <w:rsid w:val="00396409"/>
    <w:rsid w:val="00396A2D"/>
    <w:rsid w:val="00396FC3"/>
    <w:rsid w:val="003A1A94"/>
    <w:rsid w:val="003A204E"/>
    <w:rsid w:val="003A2D25"/>
    <w:rsid w:val="003A5728"/>
    <w:rsid w:val="003A60E7"/>
    <w:rsid w:val="003A7092"/>
    <w:rsid w:val="003A72A1"/>
    <w:rsid w:val="003A7611"/>
    <w:rsid w:val="003A7D1F"/>
    <w:rsid w:val="003B0B6A"/>
    <w:rsid w:val="003B11AC"/>
    <w:rsid w:val="003B22F7"/>
    <w:rsid w:val="003B29CF"/>
    <w:rsid w:val="003B3A90"/>
    <w:rsid w:val="003B534F"/>
    <w:rsid w:val="003B5E4F"/>
    <w:rsid w:val="003B7A79"/>
    <w:rsid w:val="003C0FE1"/>
    <w:rsid w:val="003C151A"/>
    <w:rsid w:val="003C350C"/>
    <w:rsid w:val="003C3903"/>
    <w:rsid w:val="003C3BA0"/>
    <w:rsid w:val="003C4580"/>
    <w:rsid w:val="003C5C5E"/>
    <w:rsid w:val="003C6746"/>
    <w:rsid w:val="003C7555"/>
    <w:rsid w:val="003C7898"/>
    <w:rsid w:val="003D0FF5"/>
    <w:rsid w:val="003D11A3"/>
    <w:rsid w:val="003D1537"/>
    <w:rsid w:val="003D183C"/>
    <w:rsid w:val="003D2D1B"/>
    <w:rsid w:val="003D48C7"/>
    <w:rsid w:val="003D4C27"/>
    <w:rsid w:val="003D7109"/>
    <w:rsid w:val="003D7CE8"/>
    <w:rsid w:val="003E0514"/>
    <w:rsid w:val="003E1032"/>
    <w:rsid w:val="003E1904"/>
    <w:rsid w:val="003E285E"/>
    <w:rsid w:val="003E3124"/>
    <w:rsid w:val="003E3300"/>
    <w:rsid w:val="003E43D3"/>
    <w:rsid w:val="003E48E1"/>
    <w:rsid w:val="003E4A93"/>
    <w:rsid w:val="003E59BB"/>
    <w:rsid w:val="003E6225"/>
    <w:rsid w:val="003E65AC"/>
    <w:rsid w:val="003E66AE"/>
    <w:rsid w:val="003E72B9"/>
    <w:rsid w:val="003E7ED4"/>
    <w:rsid w:val="003F0E52"/>
    <w:rsid w:val="003F0F6B"/>
    <w:rsid w:val="003F1FC6"/>
    <w:rsid w:val="003F1FE3"/>
    <w:rsid w:val="003F2359"/>
    <w:rsid w:val="003F3865"/>
    <w:rsid w:val="003F3D55"/>
    <w:rsid w:val="003F44E2"/>
    <w:rsid w:val="003F4632"/>
    <w:rsid w:val="003F47BA"/>
    <w:rsid w:val="003F4FE6"/>
    <w:rsid w:val="003F5638"/>
    <w:rsid w:val="003F6617"/>
    <w:rsid w:val="004021D2"/>
    <w:rsid w:val="00402332"/>
    <w:rsid w:val="004025C2"/>
    <w:rsid w:val="00403195"/>
    <w:rsid w:val="004033A9"/>
    <w:rsid w:val="00403E55"/>
    <w:rsid w:val="0040407C"/>
    <w:rsid w:val="0040416C"/>
    <w:rsid w:val="00404681"/>
    <w:rsid w:val="00405AC1"/>
    <w:rsid w:val="00406923"/>
    <w:rsid w:val="0040763D"/>
    <w:rsid w:val="00410D17"/>
    <w:rsid w:val="0041326C"/>
    <w:rsid w:val="00413442"/>
    <w:rsid w:val="00413821"/>
    <w:rsid w:val="00413BA5"/>
    <w:rsid w:val="004141A3"/>
    <w:rsid w:val="00414909"/>
    <w:rsid w:val="0041582F"/>
    <w:rsid w:val="00416112"/>
    <w:rsid w:val="00416AC8"/>
    <w:rsid w:val="00417AE0"/>
    <w:rsid w:val="00417BAA"/>
    <w:rsid w:val="0042042B"/>
    <w:rsid w:val="00420B45"/>
    <w:rsid w:val="00420D7A"/>
    <w:rsid w:val="00421257"/>
    <w:rsid w:val="00421D10"/>
    <w:rsid w:val="00422193"/>
    <w:rsid w:val="004223DE"/>
    <w:rsid w:val="00422A10"/>
    <w:rsid w:val="00424D17"/>
    <w:rsid w:val="00425DFD"/>
    <w:rsid w:val="004263A3"/>
    <w:rsid w:val="00427713"/>
    <w:rsid w:val="00427CCC"/>
    <w:rsid w:val="0043013A"/>
    <w:rsid w:val="00430421"/>
    <w:rsid w:val="00430A36"/>
    <w:rsid w:val="00430B4F"/>
    <w:rsid w:val="00431084"/>
    <w:rsid w:val="004310D7"/>
    <w:rsid w:val="004322D6"/>
    <w:rsid w:val="00432589"/>
    <w:rsid w:val="00432A94"/>
    <w:rsid w:val="00432C95"/>
    <w:rsid w:val="00433827"/>
    <w:rsid w:val="00433A40"/>
    <w:rsid w:val="00434B70"/>
    <w:rsid w:val="004360C8"/>
    <w:rsid w:val="004371D5"/>
    <w:rsid w:val="0044006B"/>
    <w:rsid w:val="0044033F"/>
    <w:rsid w:val="00440630"/>
    <w:rsid w:val="0044069D"/>
    <w:rsid w:val="00441F0F"/>
    <w:rsid w:val="00442965"/>
    <w:rsid w:val="00444157"/>
    <w:rsid w:val="0044417C"/>
    <w:rsid w:val="00444609"/>
    <w:rsid w:val="00444DB3"/>
    <w:rsid w:val="00445617"/>
    <w:rsid w:val="00445A2F"/>
    <w:rsid w:val="0044684E"/>
    <w:rsid w:val="00446F22"/>
    <w:rsid w:val="0045019F"/>
    <w:rsid w:val="004503A4"/>
    <w:rsid w:val="00450555"/>
    <w:rsid w:val="004506FA"/>
    <w:rsid w:val="00450DC6"/>
    <w:rsid w:val="004516A5"/>
    <w:rsid w:val="00451E9C"/>
    <w:rsid w:val="0045280F"/>
    <w:rsid w:val="004535AE"/>
    <w:rsid w:val="0045444D"/>
    <w:rsid w:val="0045463A"/>
    <w:rsid w:val="00454AC9"/>
    <w:rsid w:val="00455050"/>
    <w:rsid w:val="004554A3"/>
    <w:rsid w:val="00455A6E"/>
    <w:rsid w:val="00455EAD"/>
    <w:rsid w:val="00457814"/>
    <w:rsid w:val="004578EB"/>
    <w:rsid w:val="004604D5"/>
    <w:rsid w:val="00460697"/>
    <w:rsid w:val="00460B66"/>
    <w:rsid w:val="0046117B"/>
    <w:rsid w:val="00464AB7"/>
    <w:rsid w:val="00465DE5"/>
    <w:rsid w:val="00467EF8"/>
    <w:rsid w:val="00472429"/>
    <w:rsid w:val="004725E5"/>
    <w:rsid w:val="00472751"/>
    <w:rsid w:val="00473128"/>
    <w:rsid w:val="00473263"/>
    <w:rsid w:val="00475078"/>
    <w:rsid w:val="00475767"/>
    <w:rsid w:val="004779A0"/>
    <w:rsid w:val="004808E3"/>
    <w:rsid w:val="00481016"/>
    <w:rsid w:val="0048204C"/>
    <w:rsid w:val="004821BB"/>
    <w:rsid w:val="004826FE"/>
    <w:rsid w:val="004827D5"/>
    <w:rsid w:val="00482AF2"/>
    <w:rsid w:val="004830C9"/>
    <w:rsid w:val="00483347"/>
    <w:rsid w:val="00483E2E"/>
    <w:rsid w:val="00484B69"/>
    <w:rsid w:val="00485406"/>
    <w:rsid w:val="0048590F"/>
    <w:rsid w:val="00485B6B"/>
    <w:rsid w:val="004865D9"/>
    <w:rsid w:val="00486D60"/>
    <w:rsid w:val="00491FA1"/>
    <w:rsid w:val="00492A25"/>
    <w:rsid w:val="004938A3"/>
    <w:rsid w:val="0049558B"/>
    <w:rsid w:val="00496350"/>
    <w:rsid w:val="0049797C"/>
    <w:rsid w:val="004A00E1"/>
    <w:rsid w:val="004A039C"/>
    <w:rsid w:val="004A0943"/>
    <w:rsid w:val="004A1405"/>
    <w:rsid w:val="004A1FC6"/>
    <w:rsid w:val="004A2E5F"/>
    <w:rsid w:val="004A38C2"/>
    <w:rsid w:val="004A3C03"/>
    <w:rsid w:val="004A3DB7"/>
    <w:rsid w:val="004A5088"/>
    <w:rsid w:val="004A5255"/>
    <w:rsid w:val="004A6CB0"/>
    <w:rsid w:val="004A70FF"/>
    <w:rsid w:val="004A7EDE"/>
    <w:rsid w:val="004B0D93"/>
    <w:rsid w:val="004B1FA4"/>
    <w:rsid w:val="004B29AC"/>
    <w:rsid w:val="004B35DF"/>
    <w:rsid w:val="004B3627"/>
    <w:rsid w:val="004B4922"/>
    <w:rsid w:val="004B57DF"/>
    <w:rsid w:val="004B5976"/>
    <w:rsid w:val="004B7137"/>
    <w:rsid w:val="004B722E"/>
    <w:rsid w:val="004B72E8"/>
    <w:rsid w:val="004C01A5"/>
    <w:rsid w:val="004C0412"/>
    <w:rsid w:val="004C0DBA"/>
    <w:rsid w:val="004C1142"/>
    <w:rsid w:val="004C2138"/>
    <w:rsid w:val="004C3495"/>
    <w:rsid w:val="004C3940"/>
    <w:rsid w:val="004C51FD"/>
    <w:rsid w:val="004C65A8"/>
    <w:rsid w:val="004C6689"/>
    <w:rsid w:val="004D139A"/>
    <w:rsid w:val="004D14DC"/>
    <w:rsid w:val="004D17C6"/>
    <w:rsid w:val="004D2858"/>
    <w:rsid w:val="004D28C5"/>
    <w:rsid w:val="004D2E49"/>
    <w:rsid w:val="004D35BA"/>
    <w:rsid w:val="004D38E5"/>
    <w:rsid w:val="004D3C5A"/>
    <w:rsid w:val="004D449A"/>
    <w:rsid w:val="004D4701"/>
    <w:rsid w:val="004D47C7"/>
    <w:rsid w:val="004D4F35"/>
    <w:rsid w:val="004D5D45"/>
    <w:rsid w:val="004D5DE4"/>
    <w:rsid w:val="004D618D"/>
    <w:rsid w:val="004D62A9"/>
    <w:rsid w:val="004D6FC3"/>
    <w:rsid w:val="004D7476"/>
    <w:rsid w:val="004D7716"/>
    <w:rsid w:val="004E0306"/>
    <w:rsid w:val="004E0572"/>
    <w:rsid w:val="004E06D5"/>
    <w:rsid w:val="004E1641"/>
    <w:rsid w:val="004E1818"/>
    <w:rsid w:val="004E1990"/>
    <w:rsid w:val="004E25A8"/>
    <w:rsid w:val="004E3930"/>
    <w:rsid w:val="004E3ED9"/>
    <w:rsid w:val="004E5866"/>
    <w:rsid w:val="004E6097"/>
    <w:rsid w:val="004E61EF"/>
    <w:rsid w:val="004E63C6"/>
    <w:rsid w:val="004E76A7"/>
    <w:rsid w:val="004E7B03"/>
    <w:rsid w:val="004F0064"/>
    <w:rsid w:val="004F06AC"/>
    <w:rsid w:val="004F1D2A"/>
    <w:rsid w:val="004F243F"/>
    <w:rsid w:val="004F252C"/>
    <w:rsid w:val="004F36A3"/>
    <w:rsid w:val="004F3E0C"/>
    <w:rsid w:val="004F4308"/>
    <w:rsid w:val="004F5EA7"/>
    <w:rsid w:val="004F7160"/>
    <w:rsid w:val="00500258"/>
    <w:rsid w:val="00500B2D"/>
    <w:rsid w:val="00501A99"/>
    <w:rsid w:val="00503180"/>
    <w:rsid w:val="005038A4"/>
    <w:rsid w:val="0050456D"/>
    <w:rsid w:val="00505450"/>
    <w:rsid w:val="005100B7"/>
    <w:rsid w:val="005113C9"/>
    <w:rsid w:val="00512050"/>
    <w:rsid w:val="00512055"/>
    <w:rsid w:val="0051280C"/>
    <w:rsid w:val="00512842"/>
    <w:rsid w:val="005128BE"/>
    <w:rsid w:val="0051356F"/>
    <w:rsid w:val="00513E7C"/>
    <w:rsid w:val="005140BB"/>
    <w:rsid w:val="00514FBE"/>
    <w:rsid w:val="00514FD9"/>
    <w:rsid w:val="0051550A"/>
    <w:rsid w:val="0051608F"/>
    <w:rsid w:val="00520EF8"/>
    <w:rsid w:val="005210F7"/>
    <w:rsid w:val="00521753"/>
    <w:rsid w:val="0052239D"/>
    <w:rsid w:val="005224EE"/>
    <w:rsid w:val="00522879"/>
    <w:rsid w:val="00523994"/>
    <w:rsid w:val="00523BB1"/>
    <w:rsid w:val="0052570E"/>
    <w:rsid w:val="005260CD"/>
    <w:rsid w:val="00526265"/>
    <w:rsid w:val="0052655D"/>
    <w:rsid w:val="005265E0"/>
    <w:rsid w:val="00526BC3"/>
    <w:rsid w:val="00531761"/>
    <w:rsid w:val="0053248F"/>
    <w:rsid w:val="0053332A"/>
    <w:rsid w:val="0053358A"/>
    <w:rsid w:val="00534668"/>
    <w:rsid w:val="00534DDD"/>
    <w:rsid w:val="00535291"/>
    <w:rsid w:val="00535A94"/>
    <w:rsid w:val="00537874"/>
    <w:rsid w:val="0053795F"/>
    <w:rsid w:val="00537D3D"/>
    <w:rsid w:val="00537DE2"/>
    <w:rsid w:val="00540511"/>
    <w:rsid w:val="00540578"/>
    <w:rsid w:val="00540808"/>
    <w:rsid w:val="0054080E"/>
    <w:rsid w:val="00540EA1"/>
    <w:rsid w:val="0054358E"/>
    <w:rsid w:val="00543AF4"/>
    <w:rsid w:val="00544191"/>
    <w:rsid w:val="0054440C"/>
    <w:rsid w:val="005448EC"/>
    <w:rsid w:val="00544B9C"/>
    <w:rsid w:val="00544C0A"/>
    <w:rsid w:val="00544F39"/>
    <w:rsid w:val="00546F90"/>
    <w:rsid w:val="00547EFB"/>
    <w:rsid w:val="005522F2"/>
    <w:rsid w:val="005531DF"/>
    <w:rsid w:val="00553874"/>
    <w:rsid w:val="00554577"/>
    <w:rsid w:val="00554AD8"/>
    <w:rsid w:val="00554F78"/>
    <w:rsid w:val="00555DA1"/>
    <w:rsid w:val="00556BF7"/>
    <w:rsid w:val="00557F60"/>
    <w:rsid w:val="00561730"/>
    <w:rsid w:val="00561B97"/>
    <w:rsid w:val="00562149"/>
    <w:rsid w:val="00567B5D"/>
    <w:rsid w:val="005706D5"/>
    <w:rsid w:val="00570757"/>
    <w:rsid w:val="00573733"/>
    <w:rsid w:val="00573F8B"/>
    <w:rsid w:val="00574554"/>
    <w:rsid w:val="00574E06"/>
    <w:rsid w:val="005751BB"/>
    <w:rsid w:val="00576089"/>
    <w:rsid w:val="005764B1"/>
    <w:rsid w:val="00576852"/>
    <w:rsid w:val="00576D06"/>
    <w:rsid w:val="00577287"/>
    <w:rsid w:val="005778CE"/>
    <w:rsid w:val="005779E4"/>
    <w:rsid w:val="00577F9F"/>
    <w:rsid w:val="00580EC7"/>
    <w:rsid w:val="00581132"/>
    <w:rsid w:val="0058289C"/>
    <w:rsid w:val="005836C7"/>
    <w:rsid w:val="0058408E"/>
    <w:rsid w:val="00585374"/>
    <w:rsid w:val="005854CA"/>
    <w:rsid w:val="00585FAB"/>
    <w:rsid w:val="00590B77"/>
    <w:rsid w:val="00590D9A"/>
    <w:rsid w:val="005913A3"/>
    <w:rsid w:val="005940D4"/>
    <w:rsid w:val="00594A7B"/>
    <w:rsid w:val="0059580E"/>
    <w:rsid w:val="00595D90"/>
    <w:rsid w:val="00596A48"/>
    <w:rsid w:val="00596A6F"/>
    <w:rsid w:val="00596FCE"/>
    <w:rsid w:val="005A11BC"/>
    <w:rsid w:val="005A1525"/>
    <w:rsid w:val="005A1E17"/>
    <w:rsid w:val="005A252B"/>
    <w:rsid w:val="005A2A8F"/>
    <w:rsid w:val="005A3204"/>
    <w:rsid w:val="005A3341"/>
    <w:rsid w:val="005A3C3D"/>
    <w:rsid w:val="005A46EC"/>
    <w:rsid w:val="005A5EAE"/>
    <w:rsid w:val="005A6407"/>
    <w:rsid w:val="005A726C"/>
    <w:rsid w:val="005B04E0"/>
    <w:rsid w:val="005B07EC"/>
    <w:rsid w:val="005B2B11"/>
    <w:rsid w:val="005B32A4"/>
    <w:rsid w:val="005B3371"/>
    <w:rsid w:val="005B338D"/>
    <w:rsid w:val="005B36D7"/>
    <w:rsid w:val="005B3BAF"/>
    <w:rsid w:val="005B4DA3"/>
    <w:rsid w:val="005B5BEE"/>
    <w:rsid w:val="005B77D2"/>
    <w:rsid w:val="005C019B"/>
    <w:rsid w:val="005C08D0"/>
    <w:rsid w:val="005C1AED"/>
    <w:rsid w:val="005C30F5"/>
    <w:rsid w:val="005C49CA"/>
    <w:rsid w:val="005C51A5"/>
    <w:rsid w:val="005C557A"/>
    <w:rsid w:val="005C566F"/>
    <w:rsid w:val="005C5C47"/>
    <w:rsid w:val="005C61DD"/>
    <w:rsid w:val="005C6438"/>
    <w:rsid w:val="005C6B8B"/>
    <w:rsid w:val="005C727F"/>
    <w:rsid w:val="005D02E3"/>
    <w:rsid w:val="005D0B39"/>
    <w:rsid w:val="005D1F34"/>
    <w:rsid w:val="005D2C1F"/>
    <w:rsid w:val="005D2DE8"/>
    <w:rsid w:val="005D34B2"/>
    <w:rsid w:val="005D3B54"/>
    <w:rsid w:val="005D40CD"/>
    <w:rsid w:val="005D41B0"/>
    <w:rsid w:val="005D4334"/>
    <w:rsid w:val="005D6B59"/>
    <w:rsid w:val="005D784B"/>
    <w:rsid w:val="005E03E4"/>
    <w:rsid w:val="005E0454"/>
    <w:rsid w:val="005E05F6"/>
    <w:rsid w:val="005E2442"/>
    <w:rsid w:val="005E3111"/>
    <w:rsid w:val="005E3F85"/>
    <w:rsid w:val="005E4A5F"/>
    <w:rsid w:val="005E57B0"/>
    <w:rsid w:val="005E5B01"/>
    <w:rsid w:val="005E6D3B"/>
    <w:rsid w:val="005F009E"/>
    <w:rsid w:val="005F0DF1"/>
    <w:rsid w:val="005F1516"/>
    <w:rsid w:val="005F229E"/>
    <w:rsid w:val="005F2564"/>
    <w:rsid w:val="005F3822"/>
    <w:rsid w:val="005F4635"/>
    <w:rsid w:val="005F4900"/>
    <w:rsid w:val="005F4E52"/>
    <w:rsid w:val="005F6D58"/>
    <w:rsid w:val="005F7383"/>
    <w:rsid w:val="0060058E"/>
    <w:rsid w:val="00601F77"/>
    <w:rsid w:val="00602A3C"/>
    <w:rsid w:val="00603EFD"/>
    <w:rsid w:val="0060475B"/>
    <w:rsid w:val="00604BED"/>
    <w:rsid w:val="00604FB6"/>
    <w:rsid w:val="00605387"/>
    <w:rsid w:val="00606302"/>
    <w:rsid w:val="006076FD"/>
    <w:rsid w:val="0061143F"/>
    <w:rsid w:val="006114D8"/>
    <w:rsid w:val="00613553"/>
    <w:rsid w:val="00613601"/>
    <w:rsid w:val="00613791"/>
    <w:rsid w:val="006150D6"/>
    <w:rsid w:val="00615245"/>
    <w:rsid w:val="0061590D"/>
    <w:rsid w:val="0061641E"/>
    <w:rsid w:val="00617EEE"/>
    <w:rsid w:val="00620A1F"/>
    <w:rsid w:val="006214DE"/>
    <w:rsid w:val="0062169D"/>
    <w:rsid w:val="0062181E"/>
    <w:rsid w:val="0062211B"/>
    <w:rsid w:val="00622BB7"/>
    <w:rsid w:val="00622C1E"/>
    <w:rsid w:val="00623389"/>
    <w:rsid w:val="00623DAA"/>
    <w:rsid w:val="00623FAF"/>
    <w:rsid w:val="006265C4"/>
    <w:rsid w:val="0062678A"/>
    <w:rsid w:val="006270AF"/>
    <w:rsid w:val="0063420F"/>
    <w:rsid w:val="00634367"/>
    <w:rsid w:val="00640082"/>
    <w:rsid w:val="00640291"/>
    <w:rsid w:val="00640C46"/>
    <w:rsid w:val="00640EFE"/>
    <w:rsid w:val="00641D6D"/>
    <w:rsid w:val="00641FAC"/>
    <w:rsid w:val="00643664"/>
    <w:rsid w:val="00643CAA"/>
    <w:rsid w:val="00644F16"/>
    <w:rsid w:val="006455EB"/>
    <w:rsid w:val="006456C2"/>
    <w:rsid w:val="00645A65"/>
    <w:rsid w:val="006477F0"/>
    <w:rsid w:val="006478E4"/>
    <w:rsid w:val="0065171A"/>
    <w:rsid w:val="00652680"/>
    <w:rsid w:val="00653CDE"/>
    <w:rsid w:val="00654585"/>
    <w:rsid w:val="00655AB6"/>
    <w:rsid w:val="00656281"/>
    <w:rsid w:val="0065636A"/>
    <w:rsid w:val="00657003"/>
    <w:rsid w:val="00660238"/>
    <w:rsid w:val="006602EF"/>
    <w:rsid w:val="00661277"/>
    <w:rsid w:val="006619E0"/>
    <w:rsid w:val="00663FEA"/>
    <w:rsid w:val="00664803"/>
    <w:rsid w:val="006657C5"/>
    <w:rsid w:val="006661A4"/>
    <w:rsid w:val="00666AC0"/>
    <w:rsid w:val="006670E0"/>
    <w:rsid w:val="006671B8"/>
    <w:rsid w:val="00667275"/>
    <w:rsid w:val="00667532"/>
    <w:rsid w:val="0066783E"/>
    <w:rsid w:val="00667E53"/>
    <w:rsid w:val="006711C4"/>
    <w:rsid w:val="006713AB"/>
    <w:rsid w:val="006716AD"/>
    <w:rsid w:val="00672CA5"/>
    <w:rsid w:val="00673711"/>
    <w:rsid w:val="00673F82"/>
    <w:rsid w:val="00674E97"/>
    <w:rsid w:val="00674F74"/>
    <w:rsid w:val="0067508F"/>
    <w:rsid w:val="00677576"/>
    <w:rsid w:val="0068051E"/>
    <w:rsid w:val="00680B9D"/>
    <w:rsid w:val="00681F13"/>
    <w:rsid w:val="0068231C"/>
    <w:rsid w:val="00682344"/>
    <w:rsid w:val="00682F28"/>
    <w:rsid w:val="00683515"/>
    <w:rsid w:val="00684842"/>
    <w:rsid w:val="006859AA"/>
    <w:rsid w:val="00685BD6"/>
    <w:rsid w:val="00687116"/>
    <w:rsid w:val="006878A6"/>
    <w:rsid w:val="00687D5F"/>
    <w:rsid w:val="00690437"/>
    <w:rsid w:val="00690DC3"/>
    <w:rsid w:val="00690E65"/>
    <w:rsid w:val="006911B7"/>
    <w:rsid w:val="00691387"/>
    <w:rsid w:val="0069188E"/>
    <w:rsid w:val="00691974"/>
    <w:rsid w:val="00692BF6"/>
    <w:rsid w:val="00692CE6"/>
    <w:rsid w:val="00693186"/>
    <w:rsid w:val="00693381"/>
    <w:rsid w:val="00693B6C"/>
    <w:rsid w:val="006942AE"/>
    <w:rsid w:val="00695421"/>
    <w:rsid w:val="00697BD3"/>
    <w:rsid w:val="00697DFA"/>
    <w:rsid w:val="006A16D5"/>
    <w:rsid w:val="006A1772"/>
    <w:rsid w:val="006A1780"/>
    <w:rsid w:val="006A21DD"/>
    <w:rsid w:val="006A26C6"/>
    <w:rsid w:val="006A2E57"/>
    <w:rsid w:val="006A3302"/>
    <w:rsid w:val="006A3B28"/>
    <w:rsid w:val="006A4FEE"/>
    <w:rsid w:val="006A703E"/>
    <w:rsid w:val="006A7BE3"/>
    <w:rsid w:val="006A7D32"/>
    <w:rsid w:val="006B01D1"/>
    <w:rsid w:val="006B0DF4"/>
    <w:rsid w:val="006B0E2B"/>
    <w:rsid w:val="006B0F1C"/>
    <w:rsid w:val="006B16EA"/>
    <w:rsid w:val="006B1780"/>
    <w:rsid w:val="006B224E"/>
    <w:rsid w:val="006B376E"/>
    <w:rsid w:val="006B4589"/>
    <w:rsid w:val="006B610E"/>
    <w:rsid w:val="006B643B"/>
    <w:rsid w:val="006B6805"/>
    <w:rsid w:val="006B6DE0"/>
    <w:rsid w:val="006C16C3"/>
    <w:rsid w:val="006C2187"/>
    <w:rsid w:val="006C2877"/>
    <w:rsid w:val="006C32F4"/>
    <w:rsid w:val="006C3C54"/>
    <w:rsid w:val="006C4B6B"/>
    <w:rsid w:val="006C4F9F"/>
    <w:rsid w:val="006C71A2"/>
    <w:rsid w:val="006C73EC"/>
    <w:rsid w:val="006D0C1D"/>
    <w:rsid w:val="006D225F"/>
    <w:rsid w:val="006D2E9D"/>
    <w:rsid w:val="006D4A4E"/>
    <w:rsid w:val="006D4C42"/>
    <w:rsid w:val="006D5389"/>
    <w:rsid w:val="006D5809"/>
    <w:rsid w:val="006D607E"/>
    <w:rsid w:val="006D6781"/>
    <w:rsid w:val="006D6E12"/>
    <w:rsid w:val="006D70CB"/>
    <w:rsid w:val="006D715C"/>
    <w:rsid w:val="006D7363"/>
    <w:rsid w:val="006D774E"/>
    <w:rsid w:val="006D7EA2"/>
    <w:rsid w:val="006E0754"/>
    <w:rsid w:val="006E2668"/>
    <w:rsid w:val="006E2D39"/>
    <w:rsid w:val="006E32B0"/>
    <w:rsid w:val="006E348E"/>
    <w:rsid w:val="006E396A"/>
    <w:rsid w:val="006E3D63"/>
    <w:rsid w:val="006E58BF"/>
    <w:rsid w:val="006E5DD8"/>
    <w:rsid w:val="006E5EA1"/>
    <w:rsid w:val="006E6DEE"/>
    <w:rsid w:val="006E7D4B"/>
    <w:rsid w:val="006F0760"/>
    <w:rsid w:val="006F11E2"/>
    <w:rsid w:val="006F2574"/>
    <w:rsid w:val="006F3221"/>
    <w:rsid w:val="006F3231"/>
    <w:rsid w:val="006F3DE3"/>
    <w:rsid w:val="006F4787"/>
    <w:rsid w:val="006F5C43"/>
    <w:rsid w:val="006F61D8"/>
    <w:rsid w:val="006F62B7"/>
    <w:rsid w:val="006F70BC"/>
    <w:rsid w:val="006F734B"/>
    <w:rsid w:val="006F7E7C"/>
    <w:rsid w:val="0070174E"/>
    <w:rsid w:val="007018DB"/>
    <w:rsid w:val="00701DE6"/>
    <w:rsid w:val="00702740"/>
    <w:rsid w:val="0070381B"/>
    <w:rsid w:val="007076DD"/>
    <w:rsid w:val="0070796C"/>
    <w:rsid w:val="007109BB"/>
    <w:rsid w:val="00710EBF"/>
    <w:rsid w:val="007110B8"/>
    <w:rsid w:val="0071209F"/>
    <w:rsid w:val="007125A2"/>
    <w:rsid w:val="00713DD9"/>
    <w:rsid w:val="00713F79"/>
    <w:rsid w:val="007148A8"/>
    <w:rsid w:val="00716AC8"/>
    <w:rsid w:val="00716E54"/>
    <w:rsid w:val="00717421"/>
    <w:rsid w:val="0072033C"/>
    <w:rsid w:val="00720B1B"/>
    <w:rsid w:val="00721062"/>
    <w:rsid w:val="00721E5D"/>
    <w:rsid w:val="007229D4"/>
    <w:rsid w:val="007230F8"/>
    <w:rsid w:val="007233F4"/>
    <w:rsid w:val="00724044"/>
    <w:rsid w:val="007248D3"/>
    <w:rsid w:val="00724D37"/>
    <w:rsid w:val="00724DF8"/>
    <w:rsid w:val="00725137"/>
    <w:rsid w:val="00725378"/>
    <w:rsid w:val="0072740C"/>
    <w:rsid w:val="00727A43"/>
    <w:rsid w:val="00727FF2"/>
    <w:rsid w:val="00730550"/>
    <w:rsid w:val="00730C2A"/>
    <w:rsid w:val="00731434"/>
    <w:rsid w:val="00731E59"/>
    <w:rsid w:val="007323E0"/>
    <w:rsid w:val="00732911"/>
    <w:rsid w:val="00733721"/>
    <w:rsid w:val="00733DE2"/>
    <w:rsid w:val="007352EA"/>
    <w:rsid w:val="0073625F"/>
    <w:rsid w:val="0073792F"/>
    <w:rsid w:val="00740C81"/>
    <w:rsid w:val="00740DA6"/>
    <w:rsid w:val="00741B4B"/>
    <w:rsid w:val="00741D1E"/>
    <w:rsid w:val="00741DD6"/>
    <w:rsid w:val="00741EE2"/>
    <w:rsid w:val="0074207F"/>
    <w:rsid w:val="00742367"/>
    <w:rsid w:val="00742EAA"/>
    <w:rsid w:val="00743360"/>
    <w:rsid w:val="00743818"/>
    <w:rsid w:val="00743857"/>
    <w:rsid w:val="007441FB"/>
    <w:rsid w:val="00744517"/>
    <w:rsid w:val="0074522A"/>
    <w:rsid w:val="00747295"/>
    <w:rsid w:val="00747829"/>
    <w:rsid w:val="00747DE2"/>
    <w:rsid w:val="007504BF"/>
    <w:rsid w:val="007506CD"/>
    <w:rsid w:val="0075267F"/>
    <w:rsid w:val="007526EC"/>
    <w:rsid w:val="007527F7"/>
    <w:rsid w:val="00753C48"/>
    <w:rsid w:val="00754250"/>
    <w:rsid w:val="00754FE4"/>
    <w:rsid w:val="00755216"/>
    <w:rsid w:val="00756236"/>
    <w:rsid w:val="00756271"/>
    <w:rsid w:val="00756348"/>
    <w:rsid w:val="00756521"/>
    <w:rsid w:val="00756AB7"/>
    <w:rsid w:val="0076106D"/>
    <w:rsid w:val="007623FB"/>
    <w:rsid w:val="00762517"/>
    <w:rsid w:val="00763240"/>
    <w:rsid w:val="0076376A"/>
    <w:rsid w:val="007648AD"/>
    <w:rsid w:val="0076504E"/>
    <w:rsid w:val="00767BFD"/>
    <w:rsid w:val="00767EA0"/>
    <w:rsid w:val="0077068F"/>
    <w:rsid w:val="00771EDF"/>
    <w:rsid w:val="00772986"/>
    <w:rsid w:val="00772A90"/>
    <w:rsid w:val="00772F8D"/>
    <w:rsid w:val="0077408D"/>
    <w:rsid w:val="00774270"/>
    <w:rsid w:val="007743F6"/>
    <w:rsid w:val="00775679"/>
    <w:rsid w:val="0077574F"/>
    <w:rsid w:val="00775823"/>
    <w:rsid w:val="007777CC"/>
    <w:rsid w:val="00777B32"/>
    <w:rsid w:val="0078051E"/>
    <w:rsid w:val="00781089"/>
    <w:rsid w:val="007838F3"/>
    <w:rsid w:val="007856FE"/>
    <w:rsid w:val="00785F46"/>
    <w:rsid w:val="007865F4"/>
    <w:rsid w:val="00786D5C"/>
    <w:rsid w:val="00786E96"/>
    <w:rsid w:val="00787DFF"/>
    <w:rsid w:val="00787F93"/>
    <w:rsid w:val="00791E6D"/>
    <w:rsid w:val="00791EB5"/>
    <w:rsid w:val="00791FF2"/>
    <w:rsid w:val="00792758"/>
    <w:rsid w:val="00793696"/>
    <w:rsid w:val="007955DA"/>
    <w:rsid w:val="00796F65"/>
    <w:rsid w:val="007A11C2"/>
    <w:rsid w:val="007A18BB"/>
    <w:rsid w:val="007A27DD"/>
    <w:rsid w:val="007A29CA"/>
    <w:rsid w:val="007A41BF"/>
    <w:rsid w:val="007A490A"/>
    <w:rsid w:val="007A7B95"/>
    <w:rsid w:val="007B0297"/>
    <w:rsid w:val="007B02FA"/>
    <w:rsid w:val="007B0F53"/>
    <w:rsid w:val="007B21AE"/>
    <w:rsid w:val="007B2570"/>
    <w:rsid w:val="007B3113"/>
    <w:rsid w:val="007B3304"/>
    <w:rsid w:val="007B7490"/>
    <w:rsid w:val="007C0525"/>
    <w:rsid w:val="007C13F7"/>
    <w:rsid w:val="007C218D"/>
    <w:rsid w:val="007C2D28"/>
    <w:rsid w:val="007C3E22"/>
    <w:rsid w:val="007C5B90"/>
    <w:rsid w:val="007C6218"/>
    <w:rsid w:val="007C6484"/>
    <w:rsid w:val="007C67C6"/>
    <w:rsid w:val="007C78BE"/>
    <w:rsid w:val="007C7E59"/>
    <w:rsid w:val="007D0476"/>
    <w:rsid w:val="007D0B91"/>
    <w:rsid w:val="007D1386"/>
    <w:rsid w:val="007D1452"/>
    <w:rsid w:val="007D3DCB"/>
    <w:rsid w:val="007D460C"/>
    <w:rsid w:val="007D4996"/>
    <w:rsid w:val="007D4AD3"/>
    <w:rsid w:val="007D5D19"/>
    <w:rsid w:val="007D5FDC"/>
    <w:rsid w:val="007D6176"/>
    <w:rsid w:val="007D6D68"/>
    <w:rsid w:val="007E32DA"/>
    <w:rsid w:val="007E4998"/>
    <w:rsid w:val="007E4A9C"/>
    <w:rsid w:val="007E6914"/>
    <w:rsid w:val="007E7F78"/>
    <w:rsid w:val="007F0179"/>
    <w:rsid w:val="007F2C13"/>
    <w:rsid w:val="007F2CBC"/>
    <w:rsid w:val="007F2CEC"/>
    <w:rsid w:val="007F3435"/>
    <w:rsid w:val="007F55DE"/>
    <w:rsid w:val="007F762D"/>
    <w:rsid w:val="007F78F0"/>
    <w:rsid w:val="007F78FF"/>
    <w:rsid w:val="008001C5"/>
    <w:rsid w:val="00800F6C"/>
    <w:rsid w:val="00801065"/>
    <w:rsid w:val="00802C0B"/>
    <w:rsid w:val="008051FC"/>
    <w:rsid w:val="008055A9"/>
    <w:rsid w:val="008056C4"/>
    <w:rsid w:val="008057FD"/>
    <w:rsid w:val="00805C93"/>
    <w:rsid w:val="00805D8B"/>
    <w:rsid w:val="00810BB6"/>
    <w:rsid w:val="00810E8E"/>
    <w:rsid w:val="00812C44"/>
    <w:rsid w:val="0081341F"/>
    <w:rsid w:val="008135E1"/>
    <w:rsid w:val="00813779"/>
    <w:rsid w:val="00813E26"/>
    <w:rsid w:val="0081481D"/>
    <w:rsid w:val="00814BE8"/>
    <w:rsid w:val="00814F6E"/>
    <w:rsid w:val="00815363"/>
    <w:rsid w:val="00815B84"/>
    <w:rsid w:val="008168E3"/>
    <w:rsid w:val="00816BE9"/>
    <w:rsid w:val="0082027C"/>
    <w:rsid w:val="00822518"/>
    <w:rsid w:val="008226F5"/>
    <w:rsid w:val="00823FC6"/>
    <w:rsid w:val="00824306"/>
    <w:rsid w:val="00825C74"/>
    <w:rsid w:val="00825CFA"/>
    <w:rsid w:val="00826AB9"/>
    <w:rsid w:val="00826E0E"/>
    <w:rsid w:val="00827D11"/>
    <w:rsid w:val="00827E0F"/>
    <w:rsid w:val="00827F6E"/>
    <w:rsid w:val="00831758"/>
    <w:rsid w:val="008317D9"/>
    <w:rsid w:val="008323F4"/>
    <w:rsid w:val="0083279F"/>
    <w:rsid w:val="008334DB"/>
    <w:rsid w:val="00833B7F"/>
    <w:rsid w:val="00833E8E"/>
    <w:rsid w:val="00834906"/>
    <w:rsid w:val="00836075"/>
    <w:rsid w:val="00836417"/>
    <w:rsid w:val="00836A3E"/>
    <w:rsid w:val="00837526"/>
    <w:rsid w:val="00837AFA"/>
    <w:rsid w:val="00837F20"/>
    <w:rsid w:val="008407A7"/>
    <w:rsid w:val="0084322B"/>
    <w:rsid w:val="00843F81"/>
    <w:rsid w:val="00844087"/>
    <w:rsid w:val="00844526"/>
    <w:rsid w:val="008448F1"/>
    <w:rsid w:val="0084519E"/>
    <w:rsid w:val="00845CAE"/>
    <w:rsid w:val="00846370"/>
    <w:rsid w:val="008477E7"/>
    <w:rsid w:val="00847C2B"/>
    <w:rsid w:val="00850272"/>
    <w:rsid w:val="008506B9"/>
    <w:rsid w:val="00851822"/>
    <w:rsid w:val="00852590"/>
    <w:rsid w:val="008532BF"/>
    <w:rsid w:val="008539B2"/>
    <w:rsid w:val="00853BF4"/>
    <w:rsid w:val="00854294"/>
    <w:rsid w:val="0085572E"/>
    <w:rsid w:val="0085788B"/>
    <w:rsid w:val="00857A9E"/>
    <w:rsid w:val="00857DE2"/>
    <w:rsid w:val="00863A8E"/>
    <w:rsid w:val="0086407F"/>
    <w:rsid w:val="008645E3"/>
    <w:rsid w:val="00864E79"/>
    <w:rsid w:val="0086661F"/>
    <w:rsid w:val="00866A0D"/>
    <w:rsid w:val="00866DB5"/>
    <w:rsid w:val="0086701D"/>
    <w:rsid w:val="0086702B"/>
    <w:rsid w:val="008672E2"/>
    <w:rsid w:val="0086784E"/>
    <w:rsid w:val="00871212"/>
    <w:rsid w:val="0087121C"/>
    <w:rsid w:val="00871FD2"/>
    <w:rsid w:val="00872084"/>
    <w:rsid w:val="00872827"/>
    <w:rsid w:val="00872A32"/>
    <w:rsid w:val="00874911"/>
    <w:rsid w:val="008754E4"/>
    <w:rsid w:val="00876EAE"/>
    <w:rsid w:val="00880106"/>
    <w:rsid w:val="00880F95"/>
    <w:rsid w:val="00882B44"/>
    <w:rsid w:val="008838AD"/>
    <w:rsid w:val="008864B3"/>
    <w:rsid w:val="008865E5"/>
    <w:rsid w:val="008871B0"/>
    <w:rsid w:val="00890B57"/>
    <w:rsid w:val="008916BA"/>
    <w:rsid w:val="0089217C"/>
    <w:rsid w:val="00892617"/>
    <w:rsid w:val="00892790"/>
    <w:rsid w:val="008931DA"/>
    <w:rsid w:val="00893671"/>
    <w:rsid w:val="008946DC"/>
    <w:rsid w:val="00895838"/>
    <w:rsid w:val="00895A1E"/>
    <w:rsid w:val="00895A72"/>
    <w:rsid w:val="00895CDF"/>
    <w:rsid w:val="00896679"/>
    <w:rsid w:val="00896D8C"/>
    <w:rsid w:val="008A0FC9"/>
    <w:rsid w:val="008A1956"/>
    <w:rsid w:val="008A1A7C"/>
    <w:rsid w:val="008A2CE2"/>
    <w:rsid w:val="008A40D3"/>
    <w:rsid w:val="008A469C"/>
    <w:rsid w:val="008A51D1"/>
    <w:rsid w:val="008A5DCE"/>
    <w:rsid w:val="008A70F0"/>
    <w:rsid w:val="008A75D3"/>
    <w:rsid w:val="008B05DD"/>
    <w:rsid w:val="008B07B8"/>
    <w:rsid w:val="008B17E8"/>
    <w:rsid w:val="008B2E7C"/>
    <w:rsid w:val="008B321A"/>
    <w:rsid w:val="008B399A"/>
    <w:rsid w:val="008B428D"/>
    <w:rsid w:val="008B45F0"/>
    <w:rsid w:val="008B4A70"/>
    <w:rsid w:val="008B502F"/>
    <w:rsid w:val="008B6DFC"/>
    <w:rsid w:val="008B7227"/>
    <w:rsid w:val="008C02FB"/>
    <w:rsid w:val="008C04E0"/>
    <w:rsid w:val="008C191C"/>
    <w:rsid w:val="008C1DA4"/>
    <w:rsid w:val="008C29B0"/>
    <w:rsid w:val="008C2CD5"/>
    <w:rsid w:val="008C3618"/>
    <w:rsid w:val="008C39E7"/>
    <w:rsid w:val="008C43AD"/>
    <w:rsid w:val="008C6118"/>
    <w:rsid w:val="008C6341"/>
    <w:rsid w:val="008C731F"/>
    <w:rsid w:val="008C74D9"/>
    <w:rsid w:val="008C7CCF"/>
    <w:rsid w:val="008D03C2"/>
    <w:rsid w:val="008D12FB"/>
    <w:rsid w:val="008D27D4"/>
    <w:rsid w:val="008D3B2D"/>
    <w:rsid w:val="008D58D9"/>
    <w:rsid w:val="008D5AD4"/>
    <w:rsid w:val="008D695E"/>
    <w:rsid w:val="008D6DD5"/>
    <w:rsid w:val="008D6E59"/>
    <w:rsid w:val="008D7155"/>
    <w:rsid w:val="008D76E0"/>
    <w:rsid w:val="008E0B29"/>
    <w:rsid w:val="008E141A"/>
    <w:rsid w:val="008E1A44"/>
    <w:rsid w:val="008E1E55"/>
    <w:rsid w:val="008E28E6"/>
    <w:rsid w:val="008E3232"/>
    <w:rsid w:val="008E3674"/>
    <w:rsid w:val="008E3B6C"/>
    <w:rsid w:val="008E3DE7"/>
    <w:rsid w:val="008E562C"/>
    <w:rsid w:val="008E6540"/>
    <w:rsid w:val="008E77D4"/>
    <w:rsid w:val="008E7ADD"/>
    <w:rsid w:val="008F091F"/>
    <w:rsid w:val="008F17B2"/>
    <w:rsid w:val="008F22B3"/>
    <w:rsid w:val="008F357B"/>
    <w:rsid w:val="008F44CA"/>
    <w:rsid w:val="008F49D3"/>
    <w:rsid w:val="008F62C1"/>
    <w:rsid w:val="008F6519"/>
    <w:rsid w:val="008F7012"/>
    <w:rsid w:val="008F7ADA"/>
    <w:rsid w:val="008F7B17"/>
    <w:rsid w:val="00900042"/>
    <w:rsid w:val="0090034B"/>
    <w:rsid w:val="00901121"/>
    <w:rsid w:val="00902623"/>
    <w:rsid w:val="00902A67"/>
    <w:rsid w:val="00902C5E"/>
    <w:rsid w:val="00904BE4"/>
    <w:rsid w:val="0090504A"/>
    <w:rsid w:val="009051F5"/>
    <w:rsid w:val="00905221"/>
    <w:rsid w:val="00905A7C"/>
    <w:rsid w:val="00905D7E"/>
    <w:rsid w:val="00907037"/>
    <w:rsid w:val="0091112C"/>
    <w:rsid w:val="0091160A"/>
    <w:rsid w:val="00912E04"/>
    <w:rsid w:val="00913258"/>
    <w:rsid w:val="00913851"/>
    <w:rsid w:val="00913BB0"/>
    <w:rsid w:val="0091456C"/>
    <w:rsid w:val="009145A9"/>
    <w:rsid w:val="00914C58"/>
    <w:rsid w:val="0091564D"/>
    <w:rsid w:val="009156DA"/>
    <w:rsid w:val="00915774"/>
    <w:rsid w:val="00916BC5"/>
    <w:rsid w:val="0091726A"/>
    <w:rsid w:val="00917C01"/>
    <w:rsid w:val="00920184"/>
    <w:rsid w:val="00920EA4"/>
    <w:rsid w:val="00921792"/>
    <w:rsid w:val="00921BEA"/>
    <w:rsid w:val="009227BE"/>
    <w:rsid w:val="009238FD"/>
    <w:rsid w:val="00923998"/>
    <w:rsid w:val="00923DB4"/>
    <w:rsid w:val="0092420B"/>
    <w:rsid w:val="0092430E"/>
    <w:rsid w:val="00924570"/>
    <w:rsid w:val="00924A46"/>
    <w:rsid w:val="00926112"/>
    <w:rsid w:val="0092625F"/>
    <w:rsid w:val="00926B28"/>
    <w:rsid w:val="00926D9C"/>
    <w:rsid w:val="00927028"/>
    <w:rsid w:val="00927763"/>
    <w:rsid w:val="00927A2D"/>
    <w:rsid w:val="00927B37"/>
    <w:rsid w:val="00931917"/>
    <w:rsid w:val="00931FB0"/>
    <w:rsid w:val="009321B1"/>
    <w:rsid w:val="00932ED7"/>
    <w:rsid w:val="009333CF"/>
    <w:rsid w:val="0093422D"/>
    <w:rsid w:val="0093483B"/>
    <w:rsid w:val="00934CF9"/>
    <w:rsid w:val="00934DD7"/>
    <w:rsid w:val="009369A9"/>
    <w:rsid w:val="00936CF7"/>
    <w:rsid w:val="00937783"/>
    <w:rsid w:val="00937EAD"/>
    <w:rsid w:val="00937F28"/>
    <w:rsid w:val="00940FE1"/>
    <w:rsid w:val="009412D2"/>
    <w:rsid w:val="00942306"/>
    <w:rsid w:val="00942384"/>
    <w:rsid w:val="009424B8"/>
    <w:rsid w:val="00944668"/>
    <w:rsid w:val="00944DC6"/>
    <w:rsid w:val="009458B0"/>
    <w:rsid w:val="00945B52"/>
    <w:rsid w:val="00945B7A"/>
    <w:rsid w:val="00945F05"/>
    <w:rsid w:val="00946348"/>
    <w:rsid w:val="00947797"/>
    <w:rsid w:val="009478A2"/>
    <w:rsid w:val="00953808"/>
    <w:rsid w:val="009539A6"/>
    <w:rsid w:val="00954032"/>
    <w:rsid w:val="00954537"/>
    <w:rsid w:val="0095472D"/>
    <w:rsid w:val="00955FBB"/>
    <w:rsid w:val="0095694B"/>
    <w:rsid w:val="00956BD5"/>
    <w:rsid w:val="00956D84"/>
    <w:rsid w:val="009577B5"/>
    <w:rsid w:val="009608E6"/>
    <w:rsid w:val="00960F57"/>
    <w:rsid w:val="00961C90"/>
    <w:rsid w:val="00961FA5"/>
    <w:rsid w:val="00965443"/>
    <w:rsid w:val="00965954"/>
    <w:rsid w:val="00965A21"/>
    <w:rsid w:val="00965E55"/>
    <w:rsid w:val="0096608E"/>
    <w:rsid w:val="00966522"/>
    <w:rsid w:val="00966C33"/>
    <w:rsid w:val="00966FCB"/>
    <w:rsid w:val="00970F18"/>
    <w:rsid w:val="00971CF1"/>
    <w:rsid w:val="00971F5D"/>
    <w:rsid w:val="009721E9"/>
    <w:rsid w:val="00973772"/>
    <w:rsid w:val="0097471B"/>
    <w:rsid w:val="0097560A"/>
    <w:rsid w:val="00975E1E"/>
    <w:rsid w:val="00975E70"/>
    <w:rsid w:val="009761DE"/>
    <w:rsid w:val="009766FA"/>
    <w:rsid w:val="00977CD6"/>
    <w:rsid w:val="0098048B"/>
    <w:rsid w:val="00980DF9"/>
    <w:rsid w:val="00981150"/>
    <w:rsid w:val="0098230D"/>
    <w:rsid w:val="0098243D"/>
    <w:rsid w:val="00982D26"/>
    <w:rsid w:val="00983B6E"/>
    <w:rsid w:val="00983FE5"/>
    <w:rsid w:val="009849E9"/>
    <w:rsid w:val="009859E4"/>
    <w:rsid w:val="00987812"/>
    <w:rsid w:val="00990225"/>
    <w:rsid w:val="00992A13"/>
    <w:rsid w:val="00994AAD"/>
    <w:rsid w:val="00994DE1"/>
    <w:rsid w:val="00995150"/>
    <w:rsid w:val="00995D67"/>
    <w:rsid w:val="009A013B"/>
    <w:rsid w:val="009A01A8"/>
    <w:rsid w:val="009A02DF"/>
    <w:rsid w:val="009A02F4"/>
    <w:rsid w:val="009A06BF"/>
    <w:rsid w:val="009A0D17"/>
    <w:rsid w:val="009A2494"/>
    <w:rsid w:val="009A295D"/>
    <w:rsid w:val="009A32B1"/>
    <w:rsid w:val="009A33A3"/>
    <w:rsid w:val="009A36F2"/>
    <w:rsid w:val="009A3E3E"/>
    <w:rsid w:val="009A40C3"/>
    <w:rsid w:val="009A40D5"/>
    <w:rsid w:val="009A57D0"/>
    <w:rsid w:val="009A6559"/>
    <w:rsid w:val="009A68FC"/>
    <w:rsid w:val="009A6CE4"/>
    <w:rsid w:val="009A7514"/>
    <w:rsid w:val="009A7E7A"/>
    <w:rsid w:val="009B1584"/>
    <w:rsid w:val="009B18F0"/>
    <w:rsid w:val="009B1F4C"/>
    <w:rsid w:val="009B2471"/>
    <w:rsid w:val="009B2994"/>
    <w:rsid w:val="009B314F"/>
    <w:rsid w:val="009B439C"/>
    <w:rsid w:val="009B46BC"/>
    <w:rsid w:val="009B49A1"/>
    <w:rsid w:val="009B4A6C"/>
    <w:rsid w:val="009B4DA8"/>
    <w:rsid w:val="009B519A"/>
    <w:rsid w:val="009B620C"/>
    <w:rsid w:val="009B6753"/>
    <w:rsid w:val="009B676C"/>
    <w:rsid w:val="009B6A26"/>
    <w:rsid w:val="009C079D"/>
    <w:rsid w:val="009C0D70"/>
    <w:rsid w:val="009C13D1"/>
    <w:rsid w:val="009C1AF6"/>
    <w:rsid w:val="009C2913"/>
    <w:rsid w:val="009C2BD4"/>
    <w:rsid w:val="009C5AFE"/>
    <w:rsid w:val="009C6606"/>
    <w:rsid w:val="009C6CE5"/>
    <w:rsid w:val="009C6D50"/>
    <w:rsid w:val="009C7547"/>
    <w:rsid w:val="009D05EC"/>
    <w:rsid w:val="009D18D4"/>
    <w:rsid w:val="009D2F60"/>
    <w:rsid w:val="009D3A2E"/>
    <w:rsid w:val="009D54A2"/>
    <w:rsid w:val="009D5ADE"/>
    <w:rsid w:val="009D5BAC"/>
    <w:rsid w:val="009D5C56"/>
    <w:rsid w:val="009D6265"/>
    <w:rsid w:val="009D64BD"/>
    <w:rsid w:val="009D6CB1"/>
    <w:rsid w:val="009E0286"/>
    <w:rsid w:val="009E153F"/>
    <w:rsid w:val="009E322A"/>
    <w:rsid w:val="009E393E"/>
    <w:rsid w:val="009E444E"/>
    <w:rsid w:val="009E4968"/>
    <w:rsid w:val="009E663C"/>
    <w:rsid w:val="009E684A"/>
    <w:rsid w:val="009E6BB1"/>
    <w:rsid w:val="009E6E14"/>
    <w:rsid w:val="009E794A"/>
    <w:rsid w:val="009E7C14"/>
    <w:rsid w:val="009F0494"/>
    <w:rsid w:val="009F0CD9"/>
    <w:rsid w:val="009F1A79"/>
    <w:rsid w:val="009F1F57"/>
    <w:rsid w:val="009F2555"/>
    <w:rsid w:val="009F2DDD"/>
    <w:rsid w:val="009F3447"/>
    <w:rsid w:val="009F65F4"/>
    <w:rsid w:val="009F676B"/>
    <w:rsid w:val="009F6D2D"/>
    <w:rsid w:val="009F6D54"/>
    <w:rsid w:val="00A0010C"/>
    <w:rsid w:val="00A004DF"/>
    <w:rsid w:val="00A00FD5"/>
    <w:rsid w:val="00A012C0"/>
    <w:rsid w:val="00A019A8"/>
    <w:rsid w:val="00A01B03"/>
    <w:rsid w:val="00A01B89"/>
    <w:rsid w:val="00A02C66"/>
    <w:rsid w:val="00A02C84"/>
    <w:rsid w:val="00A0464C"/>
    <w:rsid w:val="00A050BB"/>
    <w:rsid w:val="00A054E0"/>
    <w:rsid w:val="00A05D91"/>
    <w:rsid w:val="00A0740B"/>
    <w:rsid w:val="00A07ED3"/>
    <w:rsid w:val="00A10CA8"/>
    <w:rsid w:val="00A11042"/>
    <w:rsid w:val="00A12579"/>
    <w:rsid w:val="00A133D8"/>
    <w:rsid w:val="00A13812"/>
    <w:rsid w:val="00A15655"/>
    <w:rsid w:val="00A160B0"/>
    <w:rsid w:val="00A1740C"/>
    <w:rsid w:val="00A20069"/>
    <w:rsid w:val="00A2244D"/>
    <w:rsid w:val="00A2253D"/>
    <w:rsid w:val="00A2267F"/>
    <w:rsid w:val="00A22CDB"/>
    <w:rsid w:val="00A247B8"/>
    <w:rsid w:val="00A2495A"/>
    <w:rsid w:val="00A24C7A"/>
    <w:rsid w:val="00A24D8F"/>
    <w:rsid w:val="00A25B8B"/>
    <w:rsid w:val="00A25C5D"/>
    <w:rsid w:val="00A2689F"/>
    <w:rsid w:val="00A26ECA"/>
    <w:rsid w:val="00A27461"/>
    <w:rsid w:val="00A27D67"/>
    <w:rsid w:val="00A30ABC"/>
    <w:rsid w:val="00A33B74"/>
    <w:rsid w:val="00A3467F"/>
    <w:rsid w:val="00A34B4C"/>
    <w:rsid w:val="00A35030"/>
    <w:rsid w:val="00A3551A"/>
    <w:rsid w:val="00A366A0"/>
    <w:rsid w:val="00A37209"/>
    <w:rsid w:val="00A37584"/>
    <w:rsid w:val="00A376E8"/>
    <w:rsid w:val="00A37F8E"/>
    <w:rsid w:val="00A41537"/>
    <w:rsid w:val="00A41737"/>
    <w:rsid w:val="00A42B8F"/>
    <w:rsid w:val="00A42D8E"/>
    <w:rsid w:val="00A43254"/>
    <w:rsid w:val="00A43896"/>
    <w:rsid w:val="00A43A26"/>
    <w:rsid w:val="00A447A0"/>
    <w:rsid w:val="00A459F5"/>
    <w:rsid w:val="00A45FC0"/>
    <w:rsid w:val="00A46B74"/>
    <w:rsid w:val="00A47ECC"/>
    <w:rsid w:val="00A50171"/>
    <w:rsid w:val="00A504FA"/>
    <w:rsid w:val="00A5102E"/>
    <w:rsid w:val="00A5132E"/>
    <w:rsid w:val="00A51375"/>
    <w:rsid w:val="00A51533"/>
    <w:rsid w:val="00A531D4"/>
    <w:rsid w:val="00A54572"/>
    <w:rsid w:val="00A575B8"/>
    <w:rsid w:val="00A57940"/>
    <w:rsid w:val="00A60FB9"/>
    <w:rsid w:val="00A61C60"/>
    <w:rsid w:val="00A61DA0"/>
    <w:rsid w:val="00A61ECB"/>
    <w:rsid w:val="00A6410C"/>
    <w:rsid w:val="00A647B1"/>
    <w:rsid w:val="00A64DEF"/>
    <w:rsid w:val="00A654D2"/>
    <w:rsid w:val="00A665DF"/>
    <w:rsid w:val="00A67928"/>
    <w:rsid w:val="00A67FCC"/>
    <w:rsid w:val="00A70AA5"/>
    <w:rsid w:val="00A70C03"/>
    <w:rsid w:val="00A71256"/>
    <w:rsid w:val="00A7217B"/>
    <w:rsid w:val="00A73861"/>
    <w:rsid w:val="00A739A6"/>
    <w:rsid w:val="00A740ED"/>
    <w:rsid w:val="00A74C29"/>
    <w:rsid w:val="00A74C62"/>
    <w:rsid w:val="00A75DF5"/>
    <w:rsid w:val="00A75EF9"/>
    <w:rsid w:val="00A8311C"/>
    <w:rsid w:val="00A835D0"/>
    <w:rsid w:val="00A84C5F"/>
    <w:rsid w:val="00A85930"/>
    <w:rsid w:val="00A863F7"/>
    <w:rsid w:val="00A86604"/>
    <w:rsid w:val="00A87519"/>
    <w:rsid w:val="00A9246D"/>
    <w:rsid w:val="00A92CCA"/>
    <w:rsid w:val="00A93BD0"/>
    <w:rsid w:val="00A93CC2"/>
    <w:rsid w:val="00A974CC"/>
    <w:rsid w:val="00AA1067"/>
    <w:rsid w:val="00AA2001"/>
    <w:rsid w:val="00AA2B5C"/>
    <w:rsid w:val="00AA32D2"/>
    <w:rsid w:val="00AA4016"/>
    <w:rsid w:val="00AA4C1F"/>
    <w:rsid w:val="00AA5328"/>
    <w:rsid w:val="00AA5393"/>
    <w:rsid w:val="00AA63D4"/>
    <w:rsid w:val="00AA6865"/>
    <w:rsid w:val="00AA718C"/>
    <w:rsid w:val="00AB03FD"/>
    <w:rsid w:val="00AB2000"/>
    <w:rsid w:val="00AB2E94"/>
    <w:rsid w:val="00AB38CB"/>
    <w:rsid w:val="00AB3BEC"/>
    <w:rsid w:val="00AB44E4"/>
    <w:rsid w:val="00AB4AEB"/>
    <w:rsid w:val="00AB4E5F"/>
    <w:rsid w:val="00AB5352"/>
    <w:rsid w:val="00AB56AE"/>
    <w:rsid w:val="00AB62D5"/>
    <w:rsid w:val="00AB65B5"/>
    <w:rsid w:val="00AB6DCD"/>
    <w:rsid w:val="00AB6EE0"/>
    <w:rsid w:val="00AC17A2"/>
    <w:rsid w:val="00AC40B7"/>
    <w:rsid w:val="00AC531F"/>
    <w:rsid w:val="00AC5B36"/>
    <w:rsid w:val="00AC6377"/>
    <w:rsid w:val="00AC66A4"/>
    <w:rsid w:val="00AC6CB1"/>
    <w:rsid w:val="00AC7D6D"/>
    <w:rsid w:val="00AD0091"/>
    <w:rsid w:val="00AD23EF"/>
    <w:rsid w:val="00AD2662"/>
    <w:rsid w:val="00AD307B"/>
    <w:rsid w:val="00AD4014"/>
    <w:rsid w:val="00AD41B3"/>
    <w:rsid w:val="00AD5721"/>
    <w:rsid w:val="00AD5C4D"/>
    <w:rsid w:val="00AD69F0"/>
    <w:rsid w:val="00AD7127"/>
    <w:rsid w:val="00AD730C"/>
    <w:rsid w:val="00AE123A"/>
    <w:rsid w:val="00AE1539"/>
    <w:rsid w:val="00AE28A7"/>
    <w:rsid w:val="00AE2A98"/>
    <w:rsid w:val="00AE2CF2"/>
    <w:rsid w:val="00AE3012"/>
    <w:rsid w:val="00AE33A6"/>
    <w:rsid w:val="00AE3729"/>
    <w:rsid w:val="00AE4138"/>
    <w:rsid w:val="00AE4CCE"/>
    <w:rsid w:val="00AE5C6A"/>
    <w:rsid w:val="00AE6317"/>
    <w:rsid w:val="00AE6B62"/>
    <w:rsid w:val="00AE7280"/>
    <w:rsid w:val="00AF033A"/>
    <w:rsid w:val="00AF1699"/>
    <w:rsid w:val="00AF1FD3"/>
    <w:rsid w:val="00AF2910"/>
    <w:rsid w:val="00AF34B8"/>
    <w:rsid w:val="00AF3896"/>
    <w:rsid w:val="00AF3FC2"/>
    <w:rsid w:val="00B0098A"/>
    <w:rsid w:val="00B00A5F"/>
    <w:rsid w:val="00B00F89"/>
    <w:rsid w:val="00B01094"/>
    <w:rsid w:val="00B029B8"/>
    <w:rsid w:val="00B02F60"/>
    <w:rsid w:val="00B032B8"/>
    <w:rsid w:val="00B04721"/>
    <w:rsid w:val="00B04B15"/>
    <w:rsid w:val="00B04B46"/>
    <w:rsid w:val="00B0534D"/>
    <w:rsid w:val="00B05685"/>
    <w:rsid w:val="00B05F9F"/>
    <w:rsid w:val="00B06368"/>
    <w:rsid w:val="00B068DA"/>
    <w:rsid w:val="00B06A00"/>
    <w:rsid w:val="00B06FC6"/>
    <w:rsid w:val="00B074C9"/>
    <w:rsid w:val="00B07D9D"/>
    <w:rsid w:val="00B11AE5"/>
    <w:rsid w:val="00B12FE6"/>
    <w:rsid w:val="00B1303F"/>
    <w:rsid w:val="00B1364A"/>
    <w:rsid w:val="00B13859"/>
    <w:rsid w:val="00B13EC9"/>
    <w:rsid w:val="00B14319"/>
    <w:rsid w:val="00B14A06"/>
    <w:rsid w:val="00B158E1"/>
    <w:rsid w:val="00B16715"/>
    <w:rsid w:val="00B1768E"/>
    <w:rsid w:val="00B17910"/>
    <w:rsid w:val="00B20F18"/>
    <w:rsid w:val="00B21516"/>
    <w:rsid w:val="00B21A37"/>
    <w:rsid w:val="00B21D23"/>
    <w:rsid w:val="00B21F62"/>
    <w:rsid w:val="00B22CE0"/>
    <w:rsid w:val="00B23738"/>
    <w:rsid w:val="00B23BEF"/>
    <w:rsid w:val="00B247BB"/>
    <w:rsid w:val="00B2504A"/>
    <w:rsid w:val="00B25EE6"/>
    <w:rsid w:val="00B3115A"/>
    <w:rsid w:val="00B31825"/>
    <w:rsid w:val="00B31A5C"/>
    <w:rsid w:val="00B32D4C"/>
    <w:rsid w:val="00B33B06"/>
    <w:rsid w:val="00B33C19"/>
    <w:rsid w:val="00B35A15"/>
    <w:rsid w:val="00B35B45"/>
    <w:rsid w:val="00B35D91"/>
    <w:rsid w:val="00B36A99"/>
    <w:rsid w:val="00B42264"/>
    <w:rsid w:val="00B434B2"/>
    <w:rsid w:val="00B43D45"/>
    <w:rsid w:val="00B468F2"/>
    <w:rsid w:val="00B469DE"/>
    <w:rsid w:val="00B47286"/>
    <w:rsid w:val="00B50208"/>
    <w:rsid w:val="00B50234"/>
    <w:rsid w:val="00B51BF4"/>
    <w:rsid w:val="00B52C68"/>
    <w:rsid w:val="00B5372B"/>
    <w:rsid w:val="00B542FE"/>
    <w:rsid w:val="00B55A1B"/>
    <w:rsid w:val="00B561DB"/>
    <w:rsid w:val="00B56622"/>
    <w:rsid w:val="00B56DF9"/>
    <w:rsid w:val="00B600BD"/>
    <w:rsid w:val="00B61274"/>
    <w:rsid w:val="00B61DCE"/>
    <w:rsid w:val="00B62188"/>
    <w:rsid w:val="00B62F79"/>
    <w:rsid w:val="00B62F82"/>
    <w:rsid w:val="00B6306A"/>
    <w:rsid w:val="00B635E3"/>
    <w:rsid w:val="00B653D7"/>
    <w:rsid w:val="00B662FF"/>
    <w:rsid w:val="00B66679"/>
    <w:rsid w:val="00B70145"/>
    <w:rsid w:val="00B71A92"/>
    <w:rsid w:val="00B721D8"/>
    <w:rsid w:val="00B730CA"/>
    <w:rsid w:val="00B747C5"/>
    <w:rsid w:val="00B747D1"/>
    <w:rsid w:val="00B74F2F"/>
    <w:rsid w:val="00B753ED"/>
    <w:rsid w:val="00B769BC"/>
    <w:rsid w:val="00B77349"/>
    <w:rsid w:val="00B7761E"/>
    <w:rsid w:val="00B80A3D"/>
    <w:rsid w:val="00B80B04"/>
    <w:rsid w:val="00B8127B"/>
    <w:rsid w:val="00B819E5"/>
    <w:rsid w:val="00B821E4"/>
    <w:rsid w:val="00B823E0"/>
    <w:rsid w:val="00B8260D"/>
    <w:rsid w:val="00B82B78"/>
    <w:rsid w:val="00B845B4"/>
    <w:rsid w:val="00B84662"/>
    <w:rsid w:val="00B84C74"/>
    <w:rsid w:val="00B85191"/>
    <w:rsid w:val="00B858A1"/>
    <w:rsid w:val="00B85ED3"/>
    <w:rsid w:val="00B85FEC"/>
    <w:rsid w:val="00B864A3"/>
    <w:rsid w:val="00B86C2A"/>
    <w:rsid w:val="00B878BE"/>
    <w:rsid w:val="00B902A5"/>
    <w:rsid w:val="00B90420"/>
    <w:rsid w:val="00B90848"/>
    <w:rsid w:val="00B91146"/>
    <w:rsid w:val="00B913E4"/>
    <w:rsid w:val="00B91DB9"/>
    <w:rsid w:val="00B91FF3"/>
    <w:rsid w:val="00B93EFE"/>
    <w:rsid w:val="00B944B9"/>
    <w:rsid w:val="00B94956"/>
    <w:rsid w:val="00B94C7F"/>
    <w:rsid w:val="00B94E93"/>
    <w:rsid w:val="00B956B5"/>
    <w:rsid w:val="00B96DF2"/>
    <w:rsid w:val="00B96E18"/>
    <w:rsid w:val="00B96F5A"/>
    <w:rsid w:val="00BA0B39"/>
    <w:rsid w:val="00BA0CB2"/>
    <w:rsid w:val="00BA0E26"/>
    <w:rsid w:val="00BA138B"/>
    <w:rsid w:val="00BA305B"/>
    <w:rsid w:val="00BA31BF"/>
    <w:rsid w:val="00BA3FC7"/>
    <w:rsid w:val="00BA478B"/>
    <w:rsid w:val="00BA5224"/>
    <w:rsid w:val="00BA575E"/>
    <w:rsid w:val="00BA76B7"/>
    <w:rsid w:val="00BA7E3B"/>
    <w:rsid w:val="00BB078D"/>
    <w:rsid w:val="00BB079C"/>
    <w:rsid w:val="00BB0D7A"/>
    <w:rsid w:val="00BB10E1"/>
    <w:rsid w:val="00BB2471"/>
    <w:rsid w:val="00BB25B8"/>
    <w:rsid w:val="00BB302E"/>
    <w:rsid w:val="00BB3035"/>
    <w:rsid w:val="00BB39C1"/>
    <w:rsid w:val="00BB3DF5"/>
    <w:rsid w:val="00BB5D16"/>
    <w:rsid w:val="00BB6180"/>
    <w:rsid w:val="00BB69E6"/>
    <w:rsid w:val="00BB7BE5"/>
    <w:rsid w:val="00BC08BD"/>
    <w:rsid w:val="00BC11E8"/>
    <w:rsid w:val="00BC1B7A"/>
    <w:rsid w:val="00BC2C17"/>
    <w:rsid w:val="00BC3ACD"/>
    <w:rsid w:val="00BC3B20"/>
    <w:rsid w:val="00BC3EE4"/>
    <w:rsid w:val="00BC50EE"/>
    <w:rsid w:val="00BC588C"/>
    <w:rsid w:val="00BC62F4"/>
    <w:rsid w:val="00BC6E73"/>
    <w:rsid w:val="00BC74D3"/>
    <w:rsid w:val="00BD0014"/>
    <w:rsid w:val="00BD01D8"/>
    <w:rsid w:val="00BD255F"/>
    <w:rsid w:val="00BD2895"/>
    <w:rsid w:val="00BD4236"/>
    <w:rsid w:val="00BD483B"/>
    <w:rsid w:val="00BD5CD4"/>
    <w:rsid w:val="00BD65D9"/>
    <w:rsid w:val="00BD6DF3"/>
    <w:rsid w:val="00BD6E09"/>
    <w:rsid w:val="00BD6EF9"/>
    <w:rsid w:val="00BE0ACB"/>
    <w:rsid w:val="00BE2260"/>
    <w:rsid w:val="00BE3917"/>
    <w:rsid w:val="00BE50FD"/>
    <w:rsid w:val="00BE51CA"/>
    <w:rsid w:val="00BE537F"/>
    <w:rsid w:val="00BE5D77"/>
    <w:rsid w:val="00BE6D47"/>
    <w:rsid w:val="00BE7032"/>
    <w:rsid w:val="00BE7330"/>
    <w:rsid w:val="00BF01C5"/>
    <w:rsid w:val="00BF061A"/>
    <w:rsid w:val="00BF066A"/>
    <w:rsid w:val="00BF14CC"/>
    <w:rsid w:val="00BF1821"/>
    <w:rsid w:val="00BF4342"/>
    <w:rsid w:val="00BF4704"/>
    <w:rsid w:val="00BF4FFC"/>
    <w:rsid w:val="00BF5050"/>
    <w:rsid w:val="00BF50D1"/>
    <w:rsid w:val="00BF5422"/>
    <w:rsid w:val="00BF59B1"/>
    <w:rsid w:val="00BF6A78"/>
    <w:rsid w:val="00BF7695"/>
    <w:rsid w:val="00BF79B4"/>
    <w:rsid w:val="00BF7C61"/>
    <w:rsid w:val="00C00037"/>
    <w:rsid w:val="00C00BA7"/>
    <w:rsid w:val="00C00D18"/>
    <w:rsid w:val="00C01427"/>
    <w:rsid w:val="00C014C7"/>
    <w:rsid w:val="00C047AB"/>
    <w:rsid w:val="00C058AF"/>
    <w:rsid w:val="00C075B6"/>
    <w:rsid w:val="00C124C1"/>
    <w:rsid w:val="00C128AE"/>
    <w:rsid w:val="00C12BA8"/>
    <w:rsid w:val="00C136D6"/>
    <w:rsid w:val="00C13902"/>
    <w:rsid w:val="00C13D5B"/>
    <w:rsid w:val="00C141D7"/>
    <w:rsid w:val="00C1711B"/>
    <w:rsid w:val="00C17AE2"/>
    <w:rsid w:val="00C17E00"/>
    <w:rsid w:val="00C20140"/>
    <w:rsid w:val="00C20F27"/>
    <w:rsid w:val="00C215CF"/>
    <w:rsid w:val="00C2244B"/>
    <w:rsid w:val="00C22711"/>
    <w:rsid w:val="00C2280A"/>
    <w:rsid w:val="00C22B0D"/>
    <w:rsid w:val="00C22BFF"/>
    <w:rsid w:val="00C23522"/>
    <w:rsid w:val="00C240C1"/>
    <w:rsid w:val="00C24AED"/>
    <w:rsid w:val="00C250D0"/>
    <w:rsid w:val="00C252AC"/>
    <w:rsid w:val="00C25C0F"/>
    <w:rsid w:val="00C26567"/>
    <w:rsid w:val="00C26923"/>
    <w:rsid w:val="00C27214"/>
    <w:rsid w:val="00C27597"/>
    <w:rsid w:val="00C27E5E"/>
    <w:rsid w:val="00C30382"/>
    <w:rsid w:val="00C30772"/>
    <w:rsid w:val="00C30D6F"/>
    <w:rsid w:val="00C31063"/>
    <w:rsid w:val="00C31B7E"/>
    <w:rsid w:val="00C322D1"/>
    <w:rsid w:val="00C3242A"/>
    <w:rsid w:val="00C33201"/>
    <w:rsid w:val="00C33A39"/>
    <w:rsid w:val="00C33B57"/>
    <w:rsid w:val="00C34619"/>
    <w:rsid w:val="00C35D01"/>
    <w:rsid w:val="00C360B3"/>
    <w:rsid w:val="00C37027"/>
    <w:rsid w:val="00C37B19"/>
    <w:rsid w:val="00C413CB"/>
    <w:rsid w:val="00C42752"/>
    <w:rsid w:val="00C42973"/>
    <w:rsid w:val="00C44C69"/>
    <w:rsid w:val="00C4712A"/>
    <w:rsid w:val="00C5034F"/>
    <w:rsid w:val="00C50830"/>
    <w:rsid w:val="00C52479"/>
    <w:rsid w:val="00C5266E"/>
    <w:rsid w:val="00C52C59"/>
    <w:rsid w:val="00C5349E"/>
    <w:rsid w:val="00C539FF"/>
    <w:rsid w:val="00C53EC5"/>
    <w:rsid w:val="00C544BD"/>
    <w:rsid w:val="00C54D3D"/>
    <w:rsid w:val="00C55A30"/>
    <w:rsid w:val="00C56384"/>
    <w:rsid w:val="00C60F8C"/>
    <w:rsid w:val="00C61794"/>
    <w:rsid w:val="00C62A48"/>
    <w:rsid w:val="00C62AC4"/>
    <w:rsid w:val="00C62B59"/>
    <w:rsid w:val="00C62F96"/>
    <w:rsid w:val="00C631E1"/>
    <w:rsid w:val="00C638D8"/>
    <w:rsid w:val="00C63AE7"/>
    <w:rsid w:val="00C63D26"/>
    <w:rsid w:val="00C6540A"/>
    <w:rsid w:val="00C668A1"/>
    <w:rsid w:val="00C67223"/>
    <w:rsid w:val="00C707B8"/>
    <w:rsid w:val="00C712AC"/>
    <w:rsid w:val="00C71C15"/>
    <w:rsid w:val="00C71F3D"/>
    <w:rsid w:val="00C72F53"/>
    <w:rsid w:val="00C74035"/>
    <w:rsid w:val="00C748EA"/>
    <w:rsid w:val="00C77818"/>
    <w:rsid w:val="00C8063F"/>
    <w:rsid w:val="00C81282"/>
    <w:rsid w:val="00C827B4"/>
    <w:rsid w:val="00C83214"/>
    <w:rsid w:val="00C8329F"/>
    <w:rsid w:val="00C84F8A"/>
    <w:rsid w:val="00C85BA4"/>
    <w:rsid w:val="00C8618F"/>
    <w:rsid w:val="00C8625D"/>
    <w:rsid w:val="00C90372"/>
    <w:rsid w:val="00C9041F"/>
    <w:rsid w:val="00C9166B"/>
    <w:rsid w:val="00C91A45"/>
    <w:rsid w:val="00C91FB4"/>
    <w:rsid w:val="00C92150"/>
    <w:rsid w:val="00C92328"/>
    <w:rsid w:val="00C92D42"/>
    <w:rsid w:val="00C938C2"/>
    <w:rsid w:val="00C93F8A"/>
    <w:rsid w:val="00C94EA1"/>
    <w:rsid w:val="00C9511B"/>
    <w:rsid w:val="00C95745"/>
    <w:rsid w:val="00C95902"/>
    <w:rsid w:val="00C962E3"/>
    <w:rsid w:val="00C978E2"/>
    <w:rsid w:val="00C97997"/>
    <w:rsid w:val="00CA10A2"/>
    <w:rsid w:val="00CA1D83"/>
    <w:rsid w:val="00CA25C0"/>
    <w:rsid w:val="00CA3451"/>
    <w:rsid w:val="00CA35C6"/>
    <w:rsid w:val="00CA4948"/>
    <w:rsid w:val="00CA52F9"/>
    <w:rsid w:val="00CA5368"/>
    <w:rsid w:val="00CA568B"/>
    <w:rsid w:val="00CA573A"/>
    <w:rsid w:val="00CA5C58"/>
    <w:rsid w:val="00CA78A4"/>
    <w:rsid w:val="00CB19D7"/>
    <w:rsid w:val="00CB19FE"/>
    <w:rsid w:val="00CB1C3F"/>
    <w:rsid w:val="00CB2364"/>
    <w:rsid w:val="00CB304C"/>
    <w:rsid w:val="00CB3933"/>
    <w:rsid w:val="00CB53E8"/>
    <w:rsid w:val="00CB594A"/>
    <w:rsid w:val="00CB5CB2"/>
    <w:rsid w:val="00CB6979"/>
    <w:rsid w:val="00CB7DDE"/>
    <w:rsid w:val="00CC0A3D"/>
    <w:rsid w:val="00CC1585"/>
    <w:rsid w:val="00CC3C53"/>
    <w:rsid w:val="00CC3D24"/>
    <w:rsid w:val="00CC3F91"/>
    <w:rsid w:val="00CC4ACD"/>
    <w:rsid w:val="00CC4B0A"/>
    <w:rsid w:val="00CC544A"/>
    <w:rsid w:val="00CC57EA"/>
    <w:rsid w:val="00CC5954"/>
    <w:rsid w:val="00CC629B"/>
    <w:rsid w:val="00CC6C4E"/>
    <w:rsid w:val="00CD009D"/>
    <w:rsid w:val="00CD05A2"/>
    <w:rsid w:val="00CD29D4"/>
    <w:rsid w:val="00CD2B5C"/>
    <w:rsid w:val="00CD2FF3"/>
    <w:rsid w:val="00CD3323"/>
    <w:rsid w:val="00CD38F5"/>
    <w:rsid w:val="00CD437E"/>
    <w:rsid w:val="00CD5DAD"/>
    <w:rsid w:val="00CD632C"/>
    <w:rsid w:val="00CD72C5"/>
    <w:rsid w:val="00CD79A7"/>
    <w:rsid w:val="00CE0789"/>
    <w:rsid w:val="00CE0E8D"/>
    <w:rsid w:val="00CE1A03"/>
    <w:rsid w:val="00CE2346"/>
    <w:rsid w:val="00CE25B2"/>
    <w:rsid w:val="00CE2687"/>
    <w:rsid w:val="00CE3529"/>
    <w:rsid w:val="00CE35C8"/>
    <w:rsid w:val="00CE3962"/>
    <w:rsid w:val="00CE4D1A"/>
    <w:rsid w:val="00CE4E8A"/>
    <w:rsid w:val="00CE5105"/>
    <w:rsid w:val="00CE56BD"/>
    <w:rsid w:val="00CE5EC0"/>
    <w:rsid w:val="00CE6A0B"/>
    <w:rsid w:val="00CE6F9F"/>
    <w:rsid w:val="00CE781A"/>
    <w:rsid w:val="00CE7B08"/>
    <w:rsid w:val="00CE7D52"/>
    <w:rsid w:val="00CF1D74"/>
    <w:rsid w:val="00CF2BE2"/>
    <w:rsid w:val="00CF38F5"/>
    <w:rsid w:val="00CF3DEB"/>
    <w:rsid w:val="00CF55F9"/>
    <w:rsid w:val="00CF7074"/>
    <w:rsid w:val="00CF7390"/>
    <w:rsid w:val="00CF7495"/>
    <w:rsid w:val="00D01CF9"/>
    <w:rsid w:val="00D0334D"/>
    <w:rsid w:val="00D0374D"/>
    <w:rsid w:val="00D06D7B"/>
    <w:rsid w:val="00D06DA5"/>
    <w:rsid w:val="00D07191"/>
    <w:rsid w:val="00D07F1D"/>
    <w:rsid w:val="00D10558"/>
    <w:rsid w:val="00D11D4D"/>
    <w:rsid w:val="00D126DC"/>
    <w:rsid w:val="00D12B03"/>
    <w:rsid w:val="00D13E70"/>
    <w:rsid w:val="00D15FCD"/>
    <w:rsid w:val="00D16C58"/>
    <w:rsid w:val="00D17019"/>
    <w:rsid w:val="00D17FC8"/>
    <w:rsid w:val="00D20B44"/>
    <w:rsid w:val="00D21168"/>
    <w:rsid w:val="00D21AC7"/>
    <w:rsid w:val="00D2438C"/>
    <w:rsid w:val="00D2585A"/>
    <w:rsid w:val="00D259B0"/>
    <w:rsid w:val="00D26C3F"/>
    <w:rsid w:val="00D27026"/>
    <w:rsid w:val="00D27185"/>
    <w:rsid w:val="00D30EF8"/>
    <w:rsid w:val="00D32518"/>
    <w:rsid w:val="00D33488"/>
    <w:rsid w:val="00D33AB3"/>
    <w:rsid w:val="00D33F24"/>
    <w:rsid w:val="00D34160"/>
    <w:rsid w:val="00D346B8"/>
    <w:rsid w:val="00D34DCA"/>
    <w:rsid w:val="00D35AC8"/>
    <w:rsid w:val="00D36F87"/>
    <w:rsid w:val="00D37E4E"/>
    <w:rsid w:val="00D400A4"/>
    <w:rsid w:val="00D40DEF"/>
    <w:rsid w:val="00D417D8"/>
    <w:rsid w:val="00D41F78"/>
    <w:rsid w:val="00D42E6C"/>
    <w:rsid w:val="00D4351C"/>
    <w:rsid w:val="00D43B80"/>
    <w:rsid w:val="00D44988"/>
    <w:rsid w:val="00D45B4C"/>
    <w:rsid w:val="00D45BA4"/>
    <w:rsid w:val="00D471AF"/>
    <w:rsid w:val="00D4724F"/>
    <w:rsid w:val="00D50519"/>
    <w:rsid w:val="00D512C8"/>
    <w:rsid w:val="00D51601"/>
    <w:rsid w:val="00D51ECB"/>
    <w:rsid w:val="00D5264C"/>
    <w:rsid w:val="00D52BBC"/>
    <w:rsid w:val="00D537FE"/>
    <w:rsid w:val="00D53CC9"/>
    <w:rsid w:val="00D54A6A"/>
    <w:rsid w:val="00D54B8F"/>
    <w:rsid w:val="00D55951"/>
    <w:rsid w:val="00D559F0"/>
    <w:rsid w:val="00D57EB6"/>
    <w:rsid w:val="00D608C0"/>
    <w:rsid w:val="00D60D6D"/>
    <w:rsid w:val="00D6128C"/>
    <w:rsid w:val="00D62AFC"/>
    <w:rsid w:val="00D660D7"/>
    <w:rsid w:val="00D66D8B"/>
    <w:rsid w:val="00D70849"/>
    <w:rsid w:val="00D72297"/>
    <w:rsid w:val="00D72A1C"/>
    <w:rsid w:val="00D7308F"/>
    <w:rsid w:val="00D7313E"/>
    <w:rsid w:val="00D73580"/>
    <w:rsid w:val="00D73802"/>
    <w:rsid w:val="00D73C2C"/>
    <w:rsid w:val="00D73D52"/>
    <w:rsid w:val="00D745E7"/>
    <w:rsid w:val="00D774ED"/>
    <w:rsid w:val="00D777C3"/>
    <w:rsid w:val="00D7797C"/>
    <w:rsid w:val="00D77C44"/>
    <w:rsid w:val="00D77F88"/>
    <w:rsid w:val="00D81AFA"/>
    <w:rsid w:val="00D81EAA"/>
    <w:rsid w:val="00D81EF1"/>
    <w:rsid w:val="00D81FE2"/>
    <w:rsid w:val="00D8259F"/>
    <w:rsid w:val="00D825F2"/>
    <w:rsid w:val="00D8285C"/>
    <w:rsid w:val="00D828B1"/>
    <w:rsid w:val="00D82A55"/>
    <w:rsid w:val="00D83D49"/>
    <w:rsid w:val="00D84181"/>
    <w:rsid w:val="00D846AD"/>
    <w:rsid w:val="00D84731"/>
    <w:rsid w:val="00D84754"/>
    <w:rsid w:val="00D84F27"/>
    <w:rsid w:val="00D853F0"/>
    <w:rsid w:val="00D85862"/>
    <w:rsid w:val="00D86D47"/>
    <w:rsid w:val="00D8710C"/>
    <w:rsid w:val="00D873C6"/>
    <w:rsid w:val="00D9074A"/>
    <w:rsid w:val="00D9099E"/>
    <w:rsid w:val="00D9193A"/>
    <w:rsid w:val="00D923B2"/>
    <w:rsid w:val="00D92463"/>
    <w:rsid w:val="00D93E64"/>
    <w:rsid w:val="00D93F64"/>
    <w:rsid w:val="00D94CA4"/>
    <w:rsid w:val="00D95E99"/>
    <w:rsid w:val="00D965D5"/>
    <w:rsid w:val="00D97DA2"/>
    <w:rsid w:val="00DA1A3A"/>
    <w:rsid w:val="00DA207D"/>
    <w:rsid w:val="00DA2351"/>
    <w:rsid w:val="00DA249E"/>
    <w:rsid w:val="00DA2D3D"/>
    <w:rsid w:val="00DA4C30"/>
    <w:rsid w:val="00DA7722"/>
    <w:rsid w:val="00DB145E"/>
    <w:rsid w:val="00DB1A94"/>
    <w:rsid w:val="00DB1D52"/>
    <w:rsid w:val="00DB1E2B"/>
    <w:rsid w:val="00DB1F62"/>
    <w:rsid w:val="00DB21E7"/>
    <w:rsid w:val="00DB2E03"/>
    <w:rsid w:val="00DB3742"/>
    <w:rsid w:val="00DB3E9B"/>
    <w:rsid w:val="00DB3F4B"/>
    <w:rsid w:val="00DB5375"/>
    <w:rsid w:val="00DB67C1"/>
    <w:rsid w:val="00DB6C0B"/>
    <w:rsid w:val="00DB70F4"/>
    <w:rsid w:val="00DB748A"/>
    <w:rsid w:val="00DC009D"/>
    <w:rsid w:val="00DC1056"/>
    <w:rsid w:val="00DC1442"/>
    <w:rsid w:val="00DC21D8"/>
    <w:rsid w:val="00DC282A"/>
    <w:rsid w:val="00DC34DC"/>
    <w:rsid w:val="00DC3780"/>
    <w:rsid w:val="00DC3ADA"/>
    <w:rsid w:val="00DC3CC6"/>
    <w:rsid w:val="00DC3F55"/>
    <w:rsid w:val="00DC4782"/>
    <w:rsid w:val="00DC514A"/>
    <w:rsid w:val="00DC67B1"/>
    <w:rsid w:val="00DC7FBC"/>
    <w:rsid w:val="00DD0019"/>
    <w:rsid w:val="00DD132B"/>
    <w:rsid w:val="00DD1725"/>
    <w:rsid w:val="00DD197B"/>
    <w:rsid w:val="00DD2159"/>
    <w:rsid w:val="00DD218B"/>
    <w:rsid w:val="00DD2A18"/>
    <w:rsid w:val="00DD2DFB"/>
    <w:rsid w:val="00DD3044"/>
    <w:rsid w:val="00DD3985"/>
    <w:rsid w:val="00DD61E8"/>
    <w:rsid w:val="00DD62C0"/>
    <w:rsid w:val="00DD64DE"/>
    <w:rsid w:val="00DD7859"/>
    <w:rsid w:val="00DD7B41"/>
    <w:rsid w:val="00DD7D19"/>
    <w:rsid w:val="00DE0784"/>
    <w:rsid w:val="00DE0A1D"/>
    <w:rsid w:val="00DE15B2"/>
    <w:rsid w:val="00DE1A9A"/>
    <w:rsid w:val="00DE3D2C"/>
    <w:rsid w:val="00DE5E82"/>
    <w:rsid w:val="00DE5FA6"/>
    <w:rsid w:val="00DE6792"/>
    <w:rsid w:val="00DE6AA1"/>
    <w:rsid w:val="00DE7AAB"/>
    <w:rsid w:val="00DE7EF7"/>
    <w:rsid w:val="00DF015B"/>
    <w:rsid w:val="00DF02EC"/>
    <w:rsid w:val="00DF10FC"/>
    <w:rsid w:val="00DF1185"/>
    <w:rsid w:val="00DF1299"/>
    <w:rsid w:val="00DF1A70"/>
    <w:rsid w:val="00DF1E5F"/>
    <w:rsid w:val="00DF23A8"/>
    <w:rsid w:val="00DF2F27"/>
    <w:rsid w:val="00DF36B6"/>
    <w:rsid w:val="00DF4296"/>
    <w:rsid w:val="00DF53F0"/>
    <w:rsid w:val="00DF5F38"/>
    <w:rsid w:val="00DF6608"/>
    <w:rsid w:val="00DF6CCC"/>
    <w:rsid w:val="00DF6D0C"/>
    <w:rsid w:val="00DF6F64"/>
    <w:rsid w:val="00DF721E"/>
    <w:rsid w:val="00DF7B8A"/>
    <w:rsid w:val="00DF7C87"/>
    <w:rsid w:val="00E009B0"/>
    <w:rsid w:val="00E00A12"/>
    <w:rsid w:val="00E00C49"/>
    <w:rsid w:val="00E01C9C"/>
    <w:rsid w:val="00E0219D"/>
    <w:rsid w:val="00E04C0F"/>
    <w:rsid w:val="00E0570B"/>
    <w:rsid w:val="00E10343"/>
    <w:rsid w:val="00E10913"/>
    <w:rsid w:val="00E10B87"/>
    <w:rsid w:val="00E121CE"/>
    <w:rsid w:val="00E1478B"/>
    <w:rsid w:val="00E14FAC"/>
    <w:rsid w:val="00E15007"/>
    <w:rsid w:val="00E16277"/>
    <w:rsid w:val="00E16EC7"/>
    <w:rsid w:val="00E219CE"/>
    <w:rsid w:val="00E24071"/>
    <w:rsid w:val="00E24EBC"/>
    <w:rsid w:val="00E2522C"/>
    <w:rsid w:val="00E2552F"/>
    <w:rsid w:val="00E2599B"/>
    <w:rsid w:val="00E2710C"/>
    <w:rsid w:val="00E27428"/>
    <w:rsid w:val="00E305B4"/>
    <w:rsid w:val="00E31AFA"/>
    <w:rsid w:val="00E31CB7"/>
    <w:rsid w:val="00E324EE"/>
    <w:rsid w:val="00E32990"/>
    <w:rsid w:val="00E34DB1"/>
    <w:rsid w:val="00E35931"/>
    <w:rsid w:val="00E359FF"/>
    <w:rsid w:val="00E36BD1"/>
    <w:rsid w:val="00E402C5"/>
    <w:rsid w:val="00E402F4"/>
    <w:rsid w:val="00E405F1"/>
    <w:rsid w:val="00E4178B"/>
    <w:rsid w:val="00E417DB"/>
    <w:rsid w:val="00E43054"/>
    <w:rsid w:val="00E43655"/>
    <w:rsid w:val="00E44440"/>
    <w:rsid w:val="00E46013"/>
    <w:rsid w:val="00E47099"/>
    <w:rsid w:val="00E47284"/>
    <w:rsid w:val="00E4730A"/>
    <w:rsid w:val="00E477C3"/>
    <w:rsid w:val="00E47BE3"/>
    <w:rsid w:val="00E517A5"/>
    <w:rsid w:val="00E51E16"/>
    <w:rsid w:val="00E53730"/>
    <w:rsid w:val="00E5438D"/>
    <w:rsid w:val="00E54511"/>
    <w:rsid w:val="00E54E50"/>
    <w:rsid w:val="00E55288"/>
    <w:rsid w:val="00E57577"/>
    <w:rsid w:val="00E62043"/>
    <w:rsid w:val="00E626B9"/>
    <w:rsid w:val="00E627C9"/>
    <w:rsid w:val="00E630F3"/>
    <w:rsid w:val="00E6332F"/>
    <w:rsid w:val="00E637C9"/>
    <w:rsid w:val="00E6402D"/>
    <w:rsid w:val="00E6680A"/>
    <w:rsid w:val="00E66F0D"/>
    <w:rsid w:val="00E70615"/>
    <w:rsid w:val="00E7161E"/>
    <w:rsid w:val="00E7207B"/>
    <w:rsid w:val="00E72E86"/>
    <w:rsid w:val="00E7347A"/>
    <w:rsid w:val="00E75A47"/>
    <w:rsid w:val="00E75BB6"/>
    <w:rsid w:val="00E75D8C"/>
    <w:rsid w:val="00E777F2"/>
    <w:rsid w:val="00E802C9"/>
    <w:rsid w:val="00E80BFB"/>
    <w:rsid w:val="00E80F0A"/>
    <w:rsid w:val="00E815D4"/>
    <w:rsid w:val="00E8291B"/>
    <w:rsid w:val="00E82E70"/>
    <w:rsid w:val="00E82F92"/>
    <w:rsid w:val="00E8395F"/>
    <w:rsid w:val="00E8410F"/>
    <w:rsid w:val="00E849D7"/>
    <w:rsid w:val="00E85E41"/>
    <w:rsid w:val="00E85EA1"/>
    <w:rsid w:val="00E86703"/>
    <w:rsid w:val="00E91044"/>
    <w:rsid w:val="00E910D3"/>
    <w:rsid w:val="00E91257"/>
    <w:rsid w:val="00E92154"/>
    <w:rsid w:val="00E923CF"/>
    <w:rsid w:val="00E93685"/>
    <w:rsid w:val="00E93B65"/>
    <w:rsid w:val="00E93C8C"/>
    <w:rsid w:val="00E95111"/>
    <w:rsid w:val="00E95FDF"/>
    <w:rsid w:val="00EA14C8"/>
    <w:rsid w:val="00EA2110"/>
    <w:rsid w:val="00EA283A"/>
    <w:rsid w:val="00EA2C90"/>
    <w:rsid w:val="00EA2E07"/>
    <w:rsid w:val="00EA383B"/>
    <w:rsid w:val="00EA459E"/>
    <w:rsid w:val="00EA45D9"/>
    <w:rsid w:val="00EA48F3"/>
    <w:rsid w:val="00EA60BF"/>
    <w:rsid w:val="00EA7365"/>
    <w:rsid w:val="00EA763F"/>
    <w:rsid w:val="00EA775E"/>
    <w:rsid w:val="00EA77E9"/>
    <w:rsid w:val="00EB05D0"/>
    <w:rsid w:val="00EB1151"/>
    <w:rsid w:val="00EB1D49"/>
    <w:rsid w:val="00EB23D9"/>
    <w:rsid w:val="00EB39A0"/>
    <w:rsid w:val="00EB559F"/>
    <w:rsid w:val="00EB566C"/>
    <w:rsid w:val="00EB5F3D"/>
    <w:rsid w:val="00EC1CEB"/>
    <w:rsid w:val="00EC1DC0"/>
    <w:rsid w:val="00EC1DC2"/>
    <w:rsid w:val="00EC21EC"/>
    <w:rsid w:val="00EC24B8"/>
    <w:rsid w:val="00EC268C"/>
    <w:rsid w:val="00EC3753"/>
    <w:rsid w:val="00EC38EE"/>
    <w:rsid w:val="00EC4E71"/>
    <w:rsid w:val="00EC5F1C"/>
    <w:rsid w:val="00ED0365"/>
    <w:rsid w:val="00ED0865"/>
    <w:rsid w:val="00ED1C60"/>
    <w:rsid w:val="00ED2EB9"/>
    <w:rsid w:val="00ED32D5"/>
    <w:rsid w:val="00ED3722"/>
    <w:rsid w:val="00ED3A31"/>
    <w:rsid w:val="00ED4469"/>
    <w:rsid w:val="00ED5424"/>
    <w:rsid w:val="00ED5F23"/>
    <w:rsid w:val="00ED6DC0"/>
    <w:rsid w:val="00ED7A7A"/>
    <w:rsid w:val="00EE0327"/>
    <w:rsid w:val="00EE038C"/>
    <w:rsid w:val="00EE28C5"/>
    <w:rsid w:val="00EE2F09"/>
    <w:rsid w:val="00EE47C5"/>
    <w:rsid w:val="00EE490C"/>
    <w:rsid w:val="00EE4E57"/>
    <w:rsid w:val="00EE5738"/>
    <w:rsid w:val="00EE58BD"/>
    <w:rsid w:val="00EE5E59"/>
    <w:rsid w:val="00EE6549"/>
    <w:rsid w:val="00EE73D0"/>
    <w:rsid w:val="00EE7CB0"/>
    <w:rsid w:val="00EF08A8"/>
    <w:rsid w:val="00EF167B"/>
    <w:rsid w:val="00EF30BF"/>
    <w:rsid w:val="00EF41A8"/>
    <w:rsid w:val="00EF44FB"/>
    <w:rsid w:val="00EF5122"/>
    <w:rsid w:val="00EF5554"/>
    <w:rsid w:val="00EF5AD8"/>
    <w:rsid w:val="00EF6B90"/>
    <w:rsid w:val="00EF7807"/>
    <w:rsid w:val="00EF79F7"/>
    <w:rsid w:val="00F006C0"/>
    <w:rsid w:val="00F0125F"/>
    <w:rsid w:val="00F019AA"/>
    <w:rsid w:val="00F0267E"/>
    <w:rsid w:val="00F02686"/>
    <w:rsid w:val="00F030C0"/>
    <w:rsid w:val="00F03291"/>
    <w:rsid w:val="00F0459B"/>
    <w:rsid w:val="00F04E15"/>
    <w:rsid w:val="00F05DF3"/>
    <w:rsid w:val="00F0692C"/>
    <w:rsid w:val="00F069EA"/>
    <w:rsid w:val="00F070E5"/>
    <w:rsid w:val="00F07DDE"/>
    <w:rsid w:val="00F11675"/>
    <w:rsid w:val="00F12557"/>
    <w:rsid w:val="00F13599"/>
    <w:rsid w:val="00F13B28"/>
    <w:rsid w:val="00F14E01"/>
    <w:rsid w:val="00F156A0"/>
    <w:rsid w:val="00F15730"/>
    <w:rsid w:val="00F176A6"/>
    <w:rsid w:val="00F202C2"/>
    <w:rsid w:val="00F212F6"/>
    <w:rsid w:val="00F22756"/>
    <w:rsid w:val="00F23248"/>
    <w:rsid w:val="00F23890"/>
    <w:rsid w:val="00F2504D"/>
    <w:rsid w:val="00F2637F"/>
    <w:rsid w:val="00F268F7"/>
    <w:rsid w:val="00F30B83"/>
    <w:rsid w:val="00F30BDB"/>
    <w:rsid w:val="00F30CF8"/>
    <w:rsid w:val="00F31EDF"/>
    <w:rsid w:val="00F32CDE"/>
    <w:rsid w:val="00F32D4C"/>
    <w:rsid w:val="00F3327E"/>
    <w:rsid w:val="00F338C3"/>
    <w:rsid w:val="00F34B14"/>
    <w:rsid w:val="00F34F58"/>
    <w:rsid w:val="00F35DA7"/>
    <w:rsid w:val="00F36A6A"/>
    <w:rsid w:val="00F40101"/>
    <w:rsid w:val="00F404F7"/>
    <w:rsid w:val="00F40CCA"/>
    <w:rsid w:val="00F41EDD"/>
    <w:rsid w:val="00F42D97"/>
    <w:rsid w:val="00F436B2"/>
    <w:rsid w:val="00F43813"/>
    <w:rsid w:val="00F43970"/>
    <w:rsid w:val="00F43FEE"/>
    <w:rsid w:val="00F45A72"/>
    <w:rsid w:val="00F46723"/>
    <w:rsid w:val="00F4706D"/>
    <w:rsid w:val="00F476E1"/>
    <w:rsid w:val="00F47D1D"/>
    <w:rsid w:val="00F47F29"/>
    <w:rsid w:val="00F50016"/>
    <w:rsid w:val="00F50058"/>
    <w:rsid w:val="00F5118A"/>
    <w:rsid w:val="00F51A21"/>
    <w:rsid w:val="00F52614"/>
    <w:rsid w:val="00F5276E"/>
    <w:rsid w:val="00F52E9F"/>
    <w:rsid w:val="00F53304"/>
    <w:rsid w:val="00F53B81"/>
    <w:rsid w:val="00F540FE"/>
    <w:rsid w:val="00F54415"/>
    <w:rsid w:val="00F556FF"/>
    <w:rsid w:val="00F55D12"/>
    <w:rsid w:val="00F5687F"/>
    <w:rsid w:val="00F56CA4"/>
    <w:rsid w:val="00F56D3F"/>
    <w:rsid w:val="00F575C7"/>
    <w:rsid w:val="00F57FD0"/>
    <w:rsid w:val="00F60305"/>
    <w:rsid w:val="00F61B12"/>
    <w:rsid w:val="00F62F00"/>
    <w:rsid w:val="00F63264"/>
    <w:rsid w:val="00F634E4"/>
    <w:rsid w:val="00F6379E"/>
    <w:rsid w:val="00F64047"/>
    <w:rsid w:val="00F64FEF"/>
    <w:rsid w:val="00F65171"/>
    <w:rsid w:val="00F6560D"/>
    <w:rsid w:val="00F65C23"/>
    <w:rsid w:val="00F66127"/>
    <w:rsid w:val="00F67844"/>
    <w:rsid w:val="00F70799"/>
    <w:rsid w:val="00F70A8B"/>
    <w:rsid w:val="00F70B8D"/>
    <w:rsid w:val="00F71936"/>
    <w:rsid w:val="00F724FB"/>
    <w:rsid w:val="00F726B8"/>
    <w:rsid w:val="00F726E3"/>
    <w:rsid w:val="00F72A26"/>
    <w:rsid w:val="00F733C3"/>
    <w:rsid w:val="00F74458"/>
    <w:rsid w:val="00F746A1"/>
    <w:rsid w:val="00F74820"/>
    <w:rsid w:val="00F756DD"/>
    <w:rsid w:val="00F77F4E"/>
    <w:rsid w:val="00F80047"/>
    <w:rsid w:val="00F800C7"/>
    <w:rsid w:val="00F8104D"/>
    <w:rsid w:val="00F81587"/>
    <w:rsid w:val="00F8288F"/>
    <w:rsid w:val="00F84033"/>
    <w:rsid w:val="00F84802"/>
    <w:rsid w:val="00F85B72"/>
    <w:rsid w:val="00F86540"/>
    <w:rsid w:val="00F865CE"/>
    <w:rsid w:val="00F8766F"/>
    <w:rsid w:val="00F91082"/>
    <w:rsid w:val="00F9116D"/>
    <w:rsid w:val="00F91A9A"/>
    <w:rsid w:val="00F9203B"/>
    <w:rsid w:val="00F93ABB"/>
    <w:rsid w:val="00F94D79"/>
    <w:rsid w:val="00F9658C"/>
    <w:rsid w:val="00F97A7F"/>
    <w:rsid w:val="00FA0889"/>
    <w:rsid w:val="00FA16E7"/>
    <w:rsid w:val="00FA28F7"/>
    <w:rsid w:val="00FA31C7"/>
    <w:rsid w:val="00FA472D"/>
    <w:rsid w:val="00FB0CBF"/>
    <w:rsid w:val="00FB18F6"/>
    <w:rsid w:val="00FB2A52"/>
    <w:rsid w:val="00FB2BEF"/>
    <w:rsid w:val="00FB3F92"/>
    <w:rsid w:val="00FB52C7"/>
    <w:rsid w:val="00FB57DC"/>
    <w:rsid w:val="00FB6E19"/>
    <w:rsid w:val="00FB71F6"/>
    <w:rsid w:val="00FC0AF8"/>
    <w:rsid w:val="00FC1483"/>
    <w:rsid w:val="00FC1C47"/>
    <w:rsid w:val="00FC1D02"/>
    <w:rsid w:val="00FC3102"/>
    <w:rsid w:val="00FC39ED"/>
    <w:rsid w:val="00FC4419"/>
    <w:rsid w:val="00FC47E2"/>
    <w:rsid w:val="00FC4AA5"/>
    <w:rsid w:val="00FC4B88"/>
    <w:rsid w:val="00FC4BB8"/>
    <w:rsid w:val="00FC5148"/>
    <w:rsid w:val="00FC623A"/>
    <w:rsid w:val="00FC6524"/>
    <w:rsid w:val="00FC75AC"/>
    <w:rsid w:val="00FD01BF"/>
    <w:rsid w:val="00FD0525"/>
    <w:rsid w:val="00FD0AB7"/>
    <w:rsid w:val="00FD297D"/>
    <w:rsid w:val="00FD2D13"/>
    <w:rsid w:val="00FD374D"/>
    <w:rsid w:val="00FD6071"/>
    <w:rsid w:val="00FD633B"/>
    <w:rsid w:val="00FE0794"/>
    <w:rsid w:val="00FE1041"/>
    <w:rsid w:val="00FE24CB"/>
    <w:rsid w:val="00FE323F"/>
    <w:rsid w:val="00FE3473"/>
    <w:rsid w:val="00FE4049"/>
    <w:rsid w:val="00FE4794"/>
    <w:rsid w:val="00FE480F"/>
    <w:rsid w:val="00FE4998"/>
    <w:rsid w:val="00FE4BA0"/>
    <w:rsid w:val="00FE57DE"/>
    <w:rsid w:val="00FE6815"/>
    <w:rsid w:val="00FE7A5F"/>
    <w:rsid w:val="00FE7A68"/>
    <w:rsid w:val="00FF0231"/>
    <w:rsid w:val="00FF1C9B"/>
    <w:rsid w:val="00FF1D49"/>
    <w:rsid w:val="00FF203B"/>
    <w:rsid w:val="00FF2562"/>
    <w:rsid w:val="00FF3A41"/>
    <w:rsid w:val="00FF3E5B"/>
    <w:rsid w:val="00FF57E4"/>
    <w:rsid w:val="00FF78E5"/>
    <w:rsid w:val="01AF3D99"/>
    <w:rsid w:val="0227311A"/>
    <w:rsid w:val="02511F9D"/>
    <w:rsid w:val="02D963D4"/>
    <w:rsid w:val="03A314B8"/>
    <w:rsid w:val="03D82B98"/>
    <w:rsid w:val="03F83E8B"/>
    <w:rsid w:val="050C48D3"/>
    <w:rsid w:val="05C56868"/>
    <w:rsid w:val="07B72767"/>
    <w:rsid w:val="07D67D16"/>
    <w:rsid w:val="08077E72"/>
    <w:rsid w:val="08882DD0"/>
    <w:rsid w:val="0985598E"/>
    <w:rsid w:val="09CC2AAC"/>
    <w:rsid w:val="09D26E76"/>
    <w:rsid w:val="0A652D3E"/>
    <w:rsid w:val="0A9F675D"/>
    <w:rsid w:val="0AF10769"/>
    <w:rsid w:val="0B103307"/>
    <w:rsid w:val="0B326F2A"/>
    <w:rsid w:val="0C1E2888"/>
    <w:rsid w:val="0C92213C"/>
    <w:rsid w:val="0D84032B"/>
    <w:rsid w:val="0F2A74C4"/>
    <w:rsid w:val="109B096B"/>
    <w:rsid w:val="10A27F31"/>
    <w:rsid w:val="11472E91"/>
    <w:rsid w:val="11927058"/>
    <w:rsid w:val="11D97125"/>
    <w:rsid w:val="122022BD"/>
    <w:rsid w:val="13AF4F03"/>
    <w:rsid w:val="14736E66"/>
    <w:rsid w:val="147F458F"/>
    <w:rsid w:val="14D958EC"/>
    <w:rsid w:val="1534169A"/>
    <w:rsid w:val="15C03E03"/>
    <w:rsid w:val="162A25EB"/>
    <w:rsid w:val="16FD2A55"/>
    <w:rsid w:val="17067C1A"/>
    <w:rsid w:val="17366761"/>
    <w:rsid w:val="177C01F0"/>
    <w:rsid w:val="17C73DF4"/>
    <w:rsid w:val="17CE6630"/>
    <w:rsid w:val="1AFF0AFE"/>
    <w:rsid w:val="1B1C562E"/>
    <w:rsid w:val="1B4F19F8"/>
    <w:rsid w:val="1C226F03"/>
    <w:rsid w:val="1E3E29AC"/>
    <w:rsid w:val="1E723F8E"/>
    <w:rsid w:val="1E7E7B78"/>
    <w:rsid w:val="1ECC44FA"/>
    <w:rsid w:val="1ED708D2"/>
    <w:rsid w:val="1F063325"/>
    <w:rsid w:val="1FBC5DF5"/>
    <w:rsid w:val="1FF90588"/>
    <w:rsid w:val="1FFA4BAE"/>
    <w:rsid w:val="20AC0F62"/>
    <w:rsid w:val="20C3623F"/>
    <w:rsid w:val="20FD356C"/>
    <w:rsid w:val="21781212"/>
    <w:rsid w:val="21B83F86"/>
    <w:rsid w:val="221178A8"/>
    <w:rsid w:val="221213CF"/>
    <w:rsid w:val="22327A92"/>
    <w:rsid w:val="231D53A2"/>
    <w:rsid w:val="236157A0"/>
    <w:rsid w:val="236D5383"/>
    <w:rsid w:val="23B7504C"/>
    <w:rsid w:val="23E0247D"/>
    <w:rsid w:val="24571307"/>
    <w:rsid w:val="25110A2A"/>
    <w:rsid w:val="256C0944"/>
    <w:rsid w:val="26446DE3"/>
    <w:rsid w:val="26751DF6"/>
    <w:rsid w:val="269669E7"/>
    <w:rsid w:val="26D7699F"/>
    <w:rsid w:val="2ADFD853"/>
    <w:rsid w:val="2B774624"/>
    <w:rsid w:val="2BD77E5E"/>
    <w:rsid w:val="2C7A72BE"/>
    <w:rsid w:val="2C9A7D75"/>
    <w:rsid w:val="2CC17412"/>
    <w:rsid w:val="2E9976CE"/>
    <w:rsid w:val="2F343351"/>
    <w:rsid w:val="2F3FEF30"/>
    <w:rsid w:val="2F401D3C"/>
    <w:rsid w:val="2F5B24E1"/>
    <w:rsid w:val="2FA95C88"/>
    <w:rsid w:val="2FF7BE22"/>
    <w:rsid w:val="3041370F"/>
    <w:rsid w:val="312B50A3"/>
    <w:rsid w:val="3238172D"/>
    <w:rsid w:val="32453A27"/>
    <w:rsid w:val="3263064A"/>
    <w:rsid w:val="32A43132"/>
    <w:rsid w:val="32AC0C06"/>
    <w:rsid w:val="331FDCCE"/>
    <w:rsid w:val="33344EF5"/>
    <w:rsid w:val="33633FA1"/>
    <w:rsid w:val="3537750C"/>
    <w:rsid w:val="3537798C"/>
    <w:rsid w:val="35470E02"/>
    <w:rsid w:val="35A33EEF"/>
    <w:rsid w:val="35C13FC9"/>
    <w:rsid w:val="364257B6"/>
    <w:rsid w:val="373E3487"/>
    <w:rsid w:val="37EA5922"/>
    <w:rsid w:val="37EB5B58"/>
    <w:rsid w:val="37EF37BC"/>
    <w:rsid w:val="38276B93"/>
    <w:rsid w:val="38AC3431"/>
    <w:rsid w:val="392F2E16"/>
    <w:rsid w:val="39E00529"/>
    <w:rsid w:val="3A0B64A7"/>
    <w:rsid w:val="3A574DDA"/>
    <w:rsid w:val="3AD3075A"/>
    <w:rsid w:val="3AF74C02"/>
    <w:rsid w:val="3B0B1FFB"/>
    <w:rsid w:val="3C0059A5"/>
    <w:rsid w:val="3C134E78"/>
    <w:rsid w:val="3DEC7285"/>
    <w:rsid w:val="3DF6345D"/>
    <w:rsid w:val="3E2B5515"/>
    <w:rsid w:val="3E4D4F28"/>
    <w:rsid w:val="3EE13701"/>
    <w:rsid w:val="3F1A4BB3"/>
    <w:rsid w:val="3F5723BC"/>
    <w:rsid w:val="3FCDBA96"/>
    <w:rsid w:val="3FDB1BB7"/>
    <w:rsid w:val="40192BA6"/>
    <w:rsid w:val="41766EA9"/>
    <w:rsid w:val="423E12DC"/>
    <w:rsid w:val="42550A18"/>
    <w:rsid w:val="429D496A"/>
    <w:rsid w:val="42F473A1"/>
    <w:rsid w:val="441E62C0"/>
    <w:rsid w:val="45325D14"/>
    <w:rsid w:val="45811C7C"/>
    <w:rsid w:val="45906116"/>
    <w:rsid w:val="468B3EFB"/>
    <w:rsid w:val="470A6193"/>
    <w:rsid w:val="47385210"/>
    <w:rsid w:val="47DC4F5C"/>
    <w:rsid w:val="483D2FCF"/>
    <w:rsid w:val="48B40671"/>
    <w:rsid w:val="499B5738"/>
    <w:rsid w:val="499F244D"/>
    <w:rsid w:val="49D338FF"/>
    <w:rsid w:val="4A973F3F"/>
    <w:rsid w:val="4AF96BC7"/>
    <w:rsid w:val="4B4C0FE5"/>
    <w:rsid w:val="4B5A416B"/>
    <w:rsid w:val="4B862A85"/>
    <w:rsid w:val="4BC95D8E"/>
    <w:rsid w:val="4CEF36E2"/>
    <w:rsid w:val="4CEF4DC5"/>
    <w:rsid w:val="4E257655"/>
    <w:rsid w:val="4E8E7871"/>
    <w:rsid w:val="4F372380"/>
    <w:rsid w:val="4F372FFB"/>
    <w:rsid w:val="4F605E1F"/>
    <w:rsid w:val="4FDFCD2A"/>
    <w:rsid w:val="5025116D"/>
    <w:rsid w:val="52395ECD"/>
    <w:rsid w:val="52C10D75"/>
    <w:rsid w:val="52FE0190"/>
    <w:rsid w:val="537E01C5"/>
    <w:rsid w:val="53B536AF"/>
    <w:rsid w:val="53C27FF8"/>
    <w:rsid w:val="549E1A80"/>
    <w:rsid w:val="54C658F4"/>
    <w:rsid w:val="550C4BD7"/>
    <w:rsid w:val="554C1D56"/>
    <w:rsid w:val="55572986"/>
    <w:rsid w:val="55AC383B"/>
    <w:rsid w:val="55C062DD"/>
    <w:rsid w:val="565340FA"/>
    <w:rsid w:val="566E2DD1"/>
    <w:rsid w:val="5723343E"/>
    <w:rsid w:val="573D7EAB"/>
    <w:rsid w:val="574F7976"/>
    <w:rsid w:val="5A2F2CC8"/>
    <w:rsid w:val="5B6F7EBD"/>
    <w:rsid w:val="5BA26962"/>
    <w:rsid w:val="5BB51D47"/>
    <w:rsid w:val="5BB71F8E"/>
    <w:rsid w:val="5BFF0946"/>
    <w:rsid w:val="5C10702D"/>
    <w:rsid w:val="5C152601"/>
    <w:rsid w:val="5C591F03"/>
    <w:rsid w:val="5C8A1B2F"/>
    <w:rsid w:val="5D914004"/>
    <w:rsid w:val="5E1B29DD"/>
    <w:rsid w:val="5E9B021C"/>
    <w:rsid w:val="5F561B72"/>
    <w:rsid w:val="5F9FF1AC"/>
    <w:rsid w:val="5FA7B54E"/>
    <w:rsid w:val="5FBF8A93"/>
    <w:rsid w:val="606007BB"/>
    <w:rsid w:val="60AC7F66"/>
    <w:rsid w:val="61BF10D9"/>
    <w:rsid w:val="61DA3D4C"/>
    <w:rsid w:val="62AC22DC"/>
    <w:rsid w:val="62C849D4"/>
    <w:rsid w:val="637833E8"/>
    <w:rsid w:val="64467A6A"/>
    <w:rsid w:val="64E45EF7"/>
    <w:rsid w:val="654237C0"/>
    <w:rsid w:val="65DB14FD"/>
    <w:rsid w:val="6691014E"/>
    <w:rsid w:val="66C72004"/>
    <w:rsid w:val="66C87CCE"/>
    <w:rsid w:val="677435B2"/>
    <w:rsid w:val="67EF75F1"/>
    <w:rsid w:val="69124F16"/>
    <w:rsid w:val="694A5205"/>
    <w:rsid w:val="69CD5C14"/>
    <w:rsid w:val="69CF0D33"/>
    <w:rsid w:val="6AD4A9D4"/>
    <w:rsid w:val="6B9946B3"/>
    <w:rsid w:val="6BF7F3FE"/>
    <w:rsid w:val="6C662189"/>
    <w:rsid w:val="6C7007C7"/>
    <w:rsid w:val="6D605CF0"/>
    <w:rsid w:val="6D827303"/>
    <w:rsid w:val="6DA7718E"/>
    <w:rsid w:val="6DC50F68"/>
    <w:rsid w:val="6DE76850"/>
    <w:rsid w:val="6E3522FC"/>
    <w:rsid w:val="6EEA5483"/>
    <w:rsid w:val="6EFEBF92"/>
    <w:rsid w:val="6FB20BD4"/>
    <w:rsid w:val="6FB650F7"/>
    <w:rsid w:val="6FBA59BE"/>
    <w:rsid w:val="6FDFA446"/>
    <w:rsid w:val="70296B3E"/>
    <w:rsid w:val="70611204"/>
    <w:rsid w:val="70BC6081"/>
    <w:rsid w:val="720D5E4C"/>
    <w:rsid w:val="73445350"/>
    <w:rsid w:val="74FA2C30"/>
    <w:rsid w:val="754D5C4B"/>
    <w:rsid w:val="75977BBB"/>
    <w:rsid w:val="76C240A7"/>
    <w:rsid w:val="775246B7"/>
    <w:rsid w:val="781E69D1"/>
    <w:rsid w:val="78D7D369"/>
    <w:rsid w:val="79E78BC1"/>
    <w:rsid w:val="7A263B6B"/>
    <w:rsid w:val="7A320D06"/>
    <w:rsid w:val="7A960338"/>
    <w:rsid w:val="7AF46346"/>
    <w:rsid w:val="7B0F5EBF"/>
    <w:rsid w:val="7B130FB9"/>
    <w:rsid w:val="7B3B2796"/>
    <w:rsid w:val="7BDF0F28"/>
    <w:rsid w:val="7BF64EDE"/>
    <w:rsid w:val="7C400C1E"/>
    <w:rsid w:val="7CB232EB"/>
    <w:rsid w:val="7D8027B1"/>
    <w:rsid w:val="7DCA097A"/>
    <w:rsid w:val="7DD11708"/>
    <w:rsid w:val="7EBD579E"/>
    <w:rsid w:val="7EC167BD"/>
    <w:rsid w:val="7F272D9E"/>
    <w:rsid w:val="7F7338C5"/>
    <w:rsid w:val="7F7D51AB"/>
    <w:rsid w:val="7FEF84B3"/>
    <w:rsid w:val="8DFB658D"/>
    <w:rsid w:val="BEEDDCD8"/>
    <w:rsid w:val="BEFB6B4F"/>
    <w:rsid w:val="BF9DEEEC"/>
    <w:rsid w:val="DBEF6D26"/>
    <w:rsid w:val="E79FC834"/>
    <w:rsid w:val="EDD74839"/>
    <w:rsid w:val="EE904812"/>
    <w:rsid w:val="EEA61E86"/>
    <w:rsid w:val="EF7B3CAC"/>
    <w:rsid w:val="EFBD5799"/>
    <w:rsid w:val="F24CE4C7"/>
    <w:rsid w:val="F7F576CA"/>
    <w:rsid w:val="FDBA5E20"/>
    <w:rsid w:val="FEB73082"/>
    <w:rsid w:val="FEFFC012"/>
    <w:rsid w:val="FF7BC36D"/>
    <w:rsid w:val="FFF5C39F"/>
    <w:rsid w:val="FFF72A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nhideWhenUsed="0" w:uiPriority="9" w:semiHidden="0" w:name="heading 5"/>
    <w:lsdException w:qFormat="1" w:uiPriority="9" w:name="heading 6"/>
    <w:lsdException w:qFormat="1" w:uiPriority="9" w:name="heading 7"/>
    <w:lsdException w:qFormat="1" w:unhideWhenUsed="0" w:uiPriority="9" w:semiHidden="0"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iPriority="99" w:semiHidden="0" w:name="page number"/>
    <w:lsdException w:qFormat="1" w:uiPriority="99" w:semiHidden="0" w:name="endnote reference"/>
    <w:lsdException w:uiPriority="99" w:name="endnote text"/>
    <w:lsdException w:uiPriority="99" w:name="table of authorities"/>
    <w:lsdException w:uiPriority="99" w:name="macro"/>
    <w:lsdException w:uiPriority="99" w:name="toa heading"/>
    <w:lsdException w:qFormat="1" w:uiPriority="99" w:semiHidden="0" w:name="List"/>
    <w:lsdException w:uiPriority="99" w:name="List Bullet"/>
    <w:lsdException w:qFormat="1" w:uiPriority="99"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qFormat="1" w:uiPriority="0" w:semiHidden="0" w:name="Body Text First Indent 2"/>
    <w:lsdException w:uiPriority="99" w:name="Note Heading"/>
    <w:lsdException w:uiPriority="99" w:name="Body Text 2"/>
    <w:lsdException w:qFormat="1" w:uiPriority="99"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00" w:lineRule="exact"/>
      <w:contextualSpacing/>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57"/>
    <w:qFormat/>
    <w:uiPriority w:val="9"/>
    <w:pPr>
      <w:keepNext/>
      <w:keepLines/>
      <w:spacing w:before="340" w:after="330" w:line="578" w:lineRule="auto"/>
      <w:outlineLvl w:val="0"/>
    </w:pPr>
    <w:rPr>
      <w:b/>
      <w:bCs/>
      <w:kern w:val="44"/>
      <w:sz w:val="44"/>
      <w:szCs w:val="44"/>
    </w:rPr>
  </w:style>
  <w:style w:type="paragraph" w:styleId="5">
    <w:name w:val="heading 2"/>
    <w:basedOn w:val="1"/>
    <w:next w:val="1"/>
    <w:link w:val="51"/>
    <w:qFormat/>
    <w:uiPriority w:val="9"/>
    <w:pPr>
      <w:keepNext/>
      <w:keepLines/>
      <w:spacing w:before="260" w:after="260" w:line="416" w:lineRule="auto"/>
      <w:outlineLvl w:val="1"/>
    </w:pPr>
    <w:rPr>
      <w:rFonts w:ascii="Cambria" w:hAnsi="Cambria"/>
      <w:b/>
      <w:bCs/>
      <w:sz w:val="32"/>
      <w:szCs w:val="32"/>
    </w:rPr>
  </w:style>
  <w:style w:type="paragraph" w:styleId="6">
    <w:name w:val="heading 3"/>
    <w:basedOn w:val="1"/>
    <w:next w:val="1"/>
    <w:link w:val="49"/>
    <w:qFormat/>
    <w:uiPriority w:val="9"/>
    <w:pPr>
      <w:keepNext/>
      <w:keepLines/>
      <w:spacing w:before="260" w:after="260" w:line="416" w:lineRule="auto"/>
      <w:outlineLvl w:val="2"/>
    </w:pPr>
    <w:rPr>
      <w:b/>
      <w:bCs/>
      <w:sz w:val="32"/>
      <w:szCs w:val="32"/>
    </w:rPr>
  </w:style>
  <w:style w:type="paragraph" w:styleId="7">
    <w:name w:val="heading 5"/>
    <w:basedOn w:val="1"/>
    <w:next w:val="8"/>
    <w:link w:val="60"/>
    <w:qFormat/>
    <w:uiPriority w:val="9"/>
    <w:pPr>
      <w:keepNext/>
      <w:keepLines/>
      <w:spacing w:before="280" w:after="290" w:line="376" w:lineRule="auto"/>
      <w:outlineLvl w:val="4"/>
    </w:pPr>
    <w:rPr>
      <w:b/>
      <w:bCs/>
      <w:sz w:val="28"/>
      <w:szCs w:val="28"/>
    </w:rPr>
  </w:style>
  <w:style w:type="paragraph" w:styleId="9">
    <w:name w:val="heading 8"/>
    <w:basedOn w:val="1"/>
    <w:next w:val="1"/>
    <w:link w:val="55"/>
    <w:qFormat/>
    <w:uiPriority w:val="9"/>
    <w:pPr>
      <w:keepNext/>
      <w:keepLines/>
      <w:spacing w:before="240" w:after="64" w:line="320" w:lineRule="auto"/>
      <w:outlineLvl w:val="7"/>
    </w:pPr>
    <w:rPr>
      <w:rFonts w:ascii="等线 Light" w:hAnsi="等线 Light" w:eastAsia="等线 Light"/>
      <w:sz w:val="24"/>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unhideWhenUsed/>
    <w:qFormat/>
    <w:uiPriority w:val="0"/>
    <w:pPr>
      <w:spacing w:after="120" w:line="240" w:lineRule="auto"/>
      <w:ind w:left="420" w:leftChars="200" w:firstLine="210" w:firstLineChars="200"/>
    </w:pPr>
    <w:rPr>
      <w:rFonts w:ascii="宋体" w:hAnsi="宋体"/>
      <w:kern w:val="2"/>
      <w:sz w:val="28"/>
    </w:rPr>
  </w:style>
  <w:style w:type="paragraph" w:styleId="3">
    <w:name w:val="Body Text Indent"/>
    <w:basedOn w:val="1"/>
    <w:link w:val="44"/>
    <w:unhideWhenUsed/>
    <w:qFormat/>
    <w:uiPriority w:val="99"/>
    <w:pPr>
      <w:ind w:firstLine="830" w:firstLineChars="352"/>
    </w:pPr>
    <w:rPr>
      <w:rFonts w:ascii="仿宋_GB2312" w:eastAsia="仿宋_GB2312"/>
      <w:kern w:val="0"/>
      <w:sz w:val="32"/>
      <w:szCs w:val="20"/>
    </w:rPr>
  </w:style>
  <w:style w:type="paragraph" w:styleId="8">
    <w:name w:val="Normal Indent"/>
    <w:basedOn w:val="1"/>
    <w:unhideWhenUsed/>
    <w:qFormat/>
    <w:uiPriority w:val="99"/>
    <w:pPr>
      <w:ind w:firstLine="420"/>
    </w:pPr>
    <w:rPr>
      <w:szCs w:val="20"/>
    </w:rPr>
  </w:style>
  <w:style w:type="paragraph" w:styleId="10">
    <w:name w:val="List Number"/>
    <w:basedOn w:val="1"/>
    <w:unhideWhenUsed/>
    <w:qFormat/>
    <w:uiPriority w:val="99"/>
    <w:pPr>
      <w:widowControl/>
      <w:tabs>
        <w:tab w:val="left" w:pos="454"/>
        <w:tab w:val="left" w:pos="720"/>
        <w:tab w:val="left" w:pos="840"/>
      </w:tabs>
      <w:spacing w:afterLines="50"/>
      <w:ind w:left="454" w:hanging="284"/>
      <w:jc w:val="left"/>
    </w:pPr>
    <w:rPr>
      <w:kern w:val="0"/>
      <w:sz w:val="24"/>
      <w:szCs w:val="20"/>
    </w:rPr>
  </w:style>
  <w:style w:type="paragraph" w:styleId="11">
    <w:name w:val="annotation text"/>
    <w:basedOn w:val="1"/>
    <w:link w:val="66"/>
    <w:unhideWhenUsed/>
    <w:qFormat/>
    <w:uiPriority w:val="99"/>
    <w:pPr>
      <w:jc w:val="left"/>
    </w:pPr>
  </w:style>
  <w:style w:type="paragraph" w:styleId="12">
    <w:name w:val="Body Text 3"/>
    <w:basedOn w:val="1"/>
    <w:link w:val="64"/>
    <w:unhideWhenUsed/>
    <w:qFormat/>
    <w:uiPriority w:val="99"/>
    <w:pPr>
      <w:spacing w:after="120"/>
    </w:pPr>
    <w:rPr>
      <w:sz w:val="16"/>
      <w:szCs w:val="16"/>
    </w:rPr>
  </w:style>
  <w:style w:type="paragraph" w:styleId="13">
    <w:name w:val="Body Text"/>
    <w:basedOn w:val="1"/>
    <w:next w:val="1"/>
    <w:link w:val="59"/>
    <w:unhideWhenUsed/>
    <w:qFormat/>
    <w:uiPriority w:val="99"/>
    <w:pPr>
      <w:spacing w:after="120"/>
    </w:pPr>
  </w:style>
  <w:style w:type="paragraph" w:styleId="14">
    <w:name w:val="List 2"/>
    <w:basedOn w:val="1"/>
    <w:unhideWhenUsed/>
    <w:qFormat/>
    <w:uiPriority w:val="99"/>
    <w:pPr>
      <w:ind w:left="100" w:leftChars="200" w:hanging="200" w:hangingChars="200"/>
    </w:pPr>
  </w:style>
  <w:style w:type="paragraph" w:styleId="15">
    <w:name w:val="toc 3"/>
    <w:basedOn w:val="1"/>
    <w:next w:val="1"/>
    <w:unhideWhenUsed/>
    <w:qFormat/>
    <w:uiPriority w:val="39"/>
    <w:pPr>
      <w:ind w:left="840" w:leftChars="400"/>
    </w:pPr>
  </w:style>
  <w:style w:type="paragraph" w:styleId="16">
    <w:name w:val="Plain Text"/>
    <w:basedOn w:val="1"/>
    <w:link w:val="61"/>
    <w:unhideWhenUsed/>
    <w:qFormat/>
    <w:uiPriority w:val="0"/>
    <w:rPr>
      <w:rFonts w:ascii="宋体" w:hAnsi="Courier New"/>
      <w:kern w:val="0"/>
      <w:sz w:val="20"/>
      <w:szCs w:val="21"/>
    </w:rPr>
  </w:style>
  <w:style w:type="paragraph" w:styleId="17">
    <w:name w:val="Date"/>
    <w:basedOn w:val="1"/>
    <w:next w:val="1"/>
    <w:link w:val="45"/>
    <w:unhideWhenUsed/>
    <w:qFormat/>
    <w:uiPriority w:val="99"/>
    <w:pPr>
      <w:ind w:left="100" w:leftChars="2500"/>
    </w:pPr>
  </w:style>
  <w:style w:type="paragraph" w:styleId="18">
    <w:name w:val="Balloon Text"/>
    <w:basedOn w:val="1"/>
    <w:link w:val="37"/>
    <w:unhideWhenUsed/>
    <w:qFormat/>
    <w:uiPriority w:val="99"/>
    <w:rPr>
      <w:sz w:val="18"/>
      <w:szCs w:val="18"/>
    </w:rPr>
  </w:style>
  <w:style w:type="paragraph" w:styleId="19">
    <w:name w:val="footer"/>
    <w:basedOn w:val="1"/>
    <w:link w:val="34"/>
    <w:unhideWhenUsed/>
    <w:qFormat/>
    <w:uiPriority w:val="99"/>
    <w:pPr>
      <w:tabs>
        <w:tab w:val="center" w:pos="4153"/>
        <w:tab w:val="right" w:pos="8306"/>
      </w:tabs>
      <w:snapToGrid w:val="0"/>
      <w:jc w:val="left"/>
    </w:pPr>
    <w:rPr>
      <w:kern w:val="0"/>
      <w:sz w:val="18"/>
      <w:szCs w:val="18"/>
    </w:rPr>
  </w:style>
  <w:style w:type="paragraph" w:styleId="20">
    <w:name w:val="header"/>
    <w:basedOn w:val="1"/>
    <w:link w:val="40"/>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21">
    <w:name w:val="toc 1"/>
    <w:basedOn w:val="1"/>
    <w:next w:val="1"/>
    <w:unhideWhenUsed/>
    <w:qFormat/>
    <w:uiPriority w:val="39"/>
  </w:style>
  <w:style w:type="paragraph" w:styleId="22">
    <w:name w:val="List"/>
    <w:basedOn w:val="1"/>
    <w:unhideWhenUsed/>
    <w:qFormat/>
    <w:uiPriority w:val="99"/>
    <w:pPr>
      <w:ind w:left="200" w:hanging="200" w:hangingChars="200"/>
    </w:pPr>
  </w:style>
  <w:style w:type="paragraph" w:styleId="23">
    <w:name w:val="toc 2"/>
    <w:basedOn w:val="1"/>
    <w:next w:val="1"/>
    <w:unhideWhenUsed/>
    <w:qFormat/>
    <w:uiPriority w:val="39"/>
    <w:pPr>
      <w:tabs>
        <w:tab w:val="right" w:leader="dot" w:pos="8296"/>
      </w:tabs>
      <w:ind w:left="420" w:leftChars="200"/>
    </w:pPr>
  </w:style>
  <w:style w:type="paragraph" w:styleId="24">
    <w:name w:val="Normal (Web)"/>
    <w:basedOn w:val="1"/>
    <w:unhideWhenUsed/>
    <w:qFormat/>
    <w:uiPriority w:val="99"/>
    <w:rPr>
      <w:rFonts w:ascii="Calibri" w:hAnsi="Calibri"/>
      <w:kern w:val="0"/>
      <w:sz w:val="24"/>
    </w:rPr>
  </w:style>
  <w:style w:type="paragraph" w:styleId="25">
    <w:name w:val="annotation subject"/>
    <w:basedOn w:val="11"/>
    <w:next w:val="11"/>
    <w:link w:val="53"/>
    <w:unhideWhenUsed/>
    <w:qFormat/>
    <w:uiPriority w:val="99"/>
    <w:rPr>
      <w:b/>
      <w:bCs/>
    </w:rPr>
  </w:style>
  <w:style w:type="table" w:styleId="27">
    <w:name w:val="Table Grid"/>
    <w:basedOn w:val="26"/>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9">
    <w:name w:val="endnote reference"/>
    <w:unhideWhenUsed/>
    <w:qFormat/>
    <w:uiPriority w:val="99"/>
    <w:rPr>
      <w:vertAlign w:val="superscript"/>
    </w:rPr>
  </w:style>
  <w:style w:type="character" w:styleId="30">
    <w:name w:val="page number"/>
    <w:unhideWhenUsed/>
    <w:qFormat/>
    <w:uiPriority w:val="99"/>
  </w:style>
  <w:style w:type="character" w:styleId="31">
    <w:name w:val="FollowedHyperlink"/>
    <w:unhideWhenUsed/>
    <w:qFormat/>
    <w:uiPriority w:val="99"/>
    <w:rPr>
      <w:color w:val="800080"/>
      <w:u w:val="single"/>
    </w:rPr>
  </w:style>
  <w:style w:type="character" w:styleId="32">
    <w:name w:val="Hyperlink"/>
    <w:unhideWhenUsed/>
    <w:qFormat/>
    <w:uiPriority w:val="99"/>
    <w:rPr>
      <w:color w:val="0000FF"/>
      <w:u w:val="single"/>
    </w:rPr>
  </w:style>
  <w:style w:type="character" w:styleId="33">
    <w:name w:val="annotation reference"/>
    <w:unhideWhenUsed/>
    <w:qFormat/>
    <w:uiPriority w:val="99"/>
    <w:rPr>
      <w:sz w:val="21"/>
      <w:szCs w:val="21"/>
    </w:rPr>
  </w:style>
  <w:style w:type="character" w:customStyle="1" w:styleId="34">
    <w:name w:val="页脚 Char"/>
    <w:link w:val="19"/>
    <w:qFormat/>
    <w:uiPriority w:val="99"/>
    <w:rPr>
      <w:sz w:val="18"/>
      <w:szCs w:val="18"/>
    </w:rPr>
  </w:style>
  <w:style w:type="character" w:customStyle="1" w:styleId="35">
    <w:name w:val="标题 8 Char"/>
    <w:qFormat/>
    <w:uiPriority w:val="0"/>
    <w:rPr>
      <w:rFonts w:ascii="Arial" w:hAnsi="Arial" w:eastAsia="黑体"/>
      <w:kern w:val="2"/>
      <w:sz w:val="24"/>
      <w:szCs w:val="24"/>
    </w:rPr>
  </w:style>
  <w:style w:type="character" w:customStyle="1" w:styleId="36">
    <w:name w:val="正文文本 Char"/>
    <w:qFormat/>
    <w:uiPriority w:val="0"/>
    <w:rPr>
      <w:rFonts w:ascii="Times New Roman" w:hAnsi="Times New Roman"/>
      <w:kern w:val="2"/>
      <w:sz w:val="21"/>
      <w:szCs w:val="24"/>
    </w:rPr>
  </w:style>
  <w:style w:type="character" w:customStyle="1" w:styleId="37">
    <w:name w:val="批注框文本 Char"/>
    <w:link w:val="18"/>
    <w:semiHidden/>
    <w:qFormat/>
    <w:uiPriority w:val="99"/>
    <w:rPr>
      <w:kern w:val="2"/>
      <w:sz w:val="18"/>
      <w:szCs w:val="18"/>
    </w:rPr>
  </w:style>
  <w:style w:type="character" w:customStyle="1" w:styleId="38">
    <w:name w:val="纯文本 字符3"/>
    <w:qFormat/>
    <w:uiPriority w:val="99"/>
    <w:rPr>
      <w:rFonts w:ascii="宋体" w:hAnsi="Courier New"/>
      <w:szCs w:val="21"/>
    </w:rPr>
  </w:style>
  <w:style w:type="character" w:customStyle="1" w:styleId="39">
    <w:name w:val="页眉 字符"/>
    <w:qFormat/>
    <w:uiPriority w:val="99"/>
    <w:rPr>
      <w:sz w:val="18"/>
      <w:szCs w:val="18"/>
    </w:rPr>
  </w:style>
  <w:style w:type="character" w:customStyle="1" w:styleId="40">
    <w:name w:val="页眉 Char"/>
    <w:link w:val="20"/>
    <w:qFormat/>
    <w:uiPriority w:val="99"/>
    <w:rPr>
      <w:sz w:val="18"/>
      <w:szCs w:val="18"/>
    </w:rPr>
  </w:style>
  <w:style w:type="character" w:customStyle="1" w:styleId="41">
    <w:name w:val="正文文本 字符"/>
    <w:qFormat/>
    <w:uiPriority w:val="0"/>
    <w:rPr>
      <w:rFonts w:ascii="Times New Roman" w:hAnsi="Times New Roman"/>
      <w:kern w:val="2"/>
      <w:sz w:val="21"/>
      <w:szCs w:val="24"/>
    </w:rPr>
  </w:style>
  <w:style w:type="character" w:customStyle="1" w:styleId="42">
    <w:name w:val="批注文字 字符1"/>
    <w:qFormat/>
    <w:uiPriority w:val="0"/>
    <w:rPr>
      <w:rFonts w:ascii="Times New Roman" w:hAnsi="Times New Roman"/>
      <w:kern w:val="2"/>
      <w:sz w:val="21"/>
      <w:szCs w:val="24"/>
    </w:rPr>
  </w:style>
  <w:style w:type="character" w:customStyle="1" w:styleId="43">
    <w:name w:val="纯文本 字符"/>
    <w:qFormat/>
    <w:uiPriority w:val="0"/>
    <w:rPr>
      <w:rFonts w:ascii="宋体" w:hAnsi="Courier New" w:eastAsia="宋体" w:cs="Courier New"/>
      <w:szCs w:val="21"/>
    </w:rPr>
  </w:style>
  <w:style w:type="character" w:customStyle="1" w:styleId="44">
    <w:name w:val="正文文本缩进 Char"/>
    <w:link w:val="3"/>
    <w:qFormat/>
    <w:uiPriority w:val="0"/>
    <w:rPr>
      <w:rFonts w:ascii="仿宋_GB2312" w:hAnsi="Times New Roman" w:eastAsia="仿宋_GB2312" w:cs="Times New Roman"/>
      <w:sz w:val="32"/>
      <w:szCs w:val="20"/>
    </w:rPr>
  </w:style>
  <w:style w:type="character" w:customStyle="1" w:styleId="45">
    <w:name w:val="日期 Char"/>
    <w:link w:val="17"/>
    <w:qFormat/>
    <w:uiPriority w:val="99"/>
    <w:rPr>
      <w:rFonts w:ascii="Times New Roman" w:hAnsi="Times New Roman"/>
      <w:kern w:val="2"/>
      <w:sz w:val="21"/>
      <w:szCs w:val="24"/>
    </w:rPr>
  </w:style>
  <w:style w:type="character" w:customStyle="1" w:styleId="46">
    <w:name w:val="font111"/>
    <w:qFormat/>
    <w:uiPriority w:val="0"/>
    <w:rPr>
      <w:rFonts w:hint="eastAsia" w:ascii="宋体" w:hAnsi="宋体" w:eastAsia="宋体" w:cs="宋体"/>
      <w:color w:val="FF0000"/>
      <w:sz w:val="20"/>
      <w:szCs w:val="20"/>
      <w:u w:val="none"/>
    </w:rPr>
  </w:style>
  <w:style w:type="character" w:customStyle="1" w:styleId="47">
    <w:name w:val="正文文本缩进 字符"/>
    <w:qFormat/>
    <w:uiPriority w:val="99"/>
    <w:rPr>
      <w:rFonts w:ascii="仿宋_GB2312" w:eastAsia="仿宋_GB2312"/>
      <w:sz w:val="32"/>
    </w:rPr>
  </w:style>
  <w:style w:type="character" w:customStyle="1" w:styleId="48">
    <w:name w:val="标题 5 字符"/>
    <w:qFormat/>
    <w:uiPriority w:val="9"/>
    <w:rPr>
      <w:b/>
      <w:bCs/>
      <w:kern w:val="2"/>
      <w:sz w:val="28"/>
      <w:szCs w:val="28"/>
    </w:rPr>
  </w:style>
  <w:style w:type="character" w:customStyle="1" w:styleId="49">
    <w:name w:val="标题 3 Char"/>
    <w:link w:val="6"/>
    <w:qFormat/>
    <w:uiPriority w:val="9"/>
    <w:rPr>
      <w:b/>
      <w:bCs/>
      <w:kern w:val="2"/>
      <w:sz w:val="32"/>
      <w:szCs w:val="32"/>
    </w:rPr>
  </w:style>
  <w:style w:type="character" w:customStyle="1" w:styleId="50">
    <w:name w:val="纯文本 Char"/>
    <w:qFormat/>
    <w:uiPriority w:val="0"/>
    <w:rPr>
      <w:rFonts w:ascii="宋体" w:hAnsi="Courier New" w:eastAsia="宋体" w:cs="Courier New"/>
      <w:szCs w:val="21"/>
    </w:rPr>
  </w:style>
  <w:style w:type="character" w:customStyle="1" w:styleId="51">
    <w:name w:val="标题 2 Char1"/>
    <w:link w:val="5"/>
    <w:qFormat/>
    <w:uiPriority w:val="9"/>
    <w:rPr>
      <w:rFonts w:ascii="Cambria" w:hAnsi="Cambria" w:eastAsia="宋体" w:cs="Times New Roman"/>
      <w:b/>
      <w:bCs/>
      <w:kern w:val="2"/>
      <w:sz w:val="32"/>
      <w:szCs w:val="32"/>
    </w:rPr>
  </w:style>
  <w:style w:type="character" w:customStyle="1" w:styleId="52">
    <w:name w:val="标题 2 Char"/>
    <w:qFormat/>
    <w:uiPriority w:val="9"/>
    <w:rPr>
      <w:rFonts w:ascii="Cambria" w:hAnsi="Cambria" w:eastAsia="宋体" w:cs="Times New Roman"/>
      <w:b/>
      <w:bCs/>
      <w:kern w:val="2"/>
      <w:sz w:val="32"/>
      <w:szCs w:val="32"/>
    </w:rPr>
  </w:style>
  <w:style w:type="character" w:customStyle="1" w:styleId="53">
    <w:name w:val="批注主题 Char"/>
    <w:link w:val="25"/>
    <w:qFormat/>
    <w:uiPriority w:val="99"/>
    <w:rPr>
      <w:rFonts w:ascii="Times New Roman" w:hAnsi="Times New Roman"/>
      <w:b/>
      <w:bCs/>
      <w:kern w:val="2"/>
      <w:sz w:val="21"/>
      <w:szCs w:val="24"/>
    </w:rPr>
  </w:style>
  <w:style w:type="character" w:customStyle="1" w:styleId="54">
    <w:name w:val="正文文本 (26) + 间距 0 pt"/>
    <w:qFormat/>
    <w:uiPriority w:val="0"/>
    <w:rPr>
      <w:rFonts w:ascii="宋体" w:hAnsi="宋体" w:eastAsia="宋体" w:cs="宋体"/>
      <w:color w:val="000000"/>
      <w:spacing w:val="0"/>
      <w:w w:val="100"/>
      <w:position w:val="0"/>
      <w:sz w:val="22"/>
      <w:szCs w:val="22"/>
      <w:u w:val="none"/>
      <w:lang w:val="zh-CN" w:eastAsia="zh-CN" w:bidi="zh-CN"/>
    </w:rPr>
  </w:style>
  <w:style w:type="character" w:customStyle="1" w:styleId="55">
    <w:name w:val="标题 8 Char1"/>
    <w:link w:val="9"/>
    <w:qFormat/>
    <w:uiPriority w:val="9"/>
    <w:rPr>
      <w:rFonts w:ascii="等线 Light" w:hAnsi="等线 Light" w:eastAsia="等线 Light" w:cs="Times New Roman"/>
      <w:kern w:val="2"/>
      <w:sz w:val="24"/>
      <w:szCs w:val="24"/>
    </w:rPr>
  </w:style>
  <w:style w:type="character" w:customStyle="1" w:styleId="56">
    <w:name w:val="正文文本 3 字符"/>
    <w:qFormat/>
    <w:uiPriority w:val="99"/>
    <w:rPr>
      <w:kern w:val="2"/>
      <w:sz w:val="16"/>
      <w:szCs w:val="16"/>
    </w:rPr>
  </w:style>
  <w:style w:type="character" w:customStyle="1" w:styleId="57">
    <w:name w:val="标题 1 Char"/>
    <w:link w:val="4"/>
    <w:qFormat/>
    <w:uiPriority w:val="9"/>
    <w:rPr>
      <w:b/>
      <w:bCs/>
      <w:kern w:val="44"/>
      <w:sz w:val="44"/>
      <w:szCs w:val="44"/>
    </w:rPr>
  </w:style>
  <w:style w:type="character" w:customStyle="1" w:styleId="58">
    <w:name w:val="纯文本 字符2"/>
    <w:qFormat/>
    <w:uiPriority w:val="0"/>
    <w:rPr>
      <w:rFonts w:ascii="宋体" w:hAnsi="Courier New" w:eastAsia="宋体" w:cs="Courier New"/>
      <w:szCs w:val="21"/>
    </w:rPr>
  </w:style>
  <w:style w:type="character" w:customStyle="1" w:styleId="59">
    <w:name w:val="正文文本 Char1"/>
    <w:link w:val="13"/>
    <w:qFormat/>
    <w:uiPriority w:val="0"/>
    <w:rPr>
      <w:rFonts w:ascii="Times New Roman" w:hAnsi="Times New Roman"/>
      <w:kern w:val="2"/>
      <w:sz w:val="21"/>
      <w:szCs w:val="24"/>
    </w:rPr>
  </w:style>
  <w:style w:type="character" w:customStyle="1" w:styleId="60">
    <w:name w:val="标题 5 Char"/>
    <w:link w:val="7"/>
    <w:qFormat/>
    <w:uiPriority w:val="9"/>
    <w:rPr>
      <w:rFonts w:ascii="Times New Roman" w:hAnsi="Times New Roman"/>
      <w:b/>
      <w:bCs/>
      <w:kern w:val="2"/>
      <w:sz w:val="28"/>
      <w:szCs w:val="28"/>
    </w:rPr>
  </w:style>
  <w:style w:type="character" w:customStyle="1" w:styleId="61">
    <w:name w:val="纯文本 Char1"/>
    <w:link w:val="16"/>
    <w:qFormat/>
    <w:uiPriority w:val="0"/>
    <w:rPr>
      <w:rFonts w:ascii="宋体" w:hAnsi="Courier New" w:eastAsia="宋体" w:cs="Courier New"/>
      <w:szCs w:val="21"/>
    </w:rPr>
  </w:style>
  <w:style w:type="character" w:customStyle="1" w:styleId="62">
    <w:name w:val="日期 字符"/>
    <w:qFormat/>
    <w:uiPriority w:val="99"/>
    <w:rPr>
      <w:kern w:val="2"/>
      <w:sz w:val="21"/>
      <w:szCs w:val="24"/>
    </w:rPr>
  </w:style>
  <w:style w:type="character" w:customStyle="1" w:styleId="63">
    <w:name w:val="标题 1 字符1"/>
    <w:qFormat/>
    <w:uiPriority w:val="0"/>
    <w:rPr>
      <w:b/>
      <w:bCs/>
      <w:kern w:val="44"/>
      <w:sz w:val="44"/>
      <w:szCs w:val="44"/>
    </w:rPr>
  </w:style>
  <w:style w:type="character" w:customStyle="1" w:styleId="64">
    <w:name w:val="正文文本 3 Char"/>
    <w:link w:val="12"/>
    <w:qFormat/>
    <w:uiPriority w:val="99"/>
    <w:rPr>
      <w:kern w:val="2"/>
      <w:sz w:val="16"/>
      <w:szCs w:val="16"/>
    </w:rPr>
  </w:style>
  <w:style w:type="character" w:customStyle="1" w:styleId="65">
    <w:name w:val="纯文本 字符1"/>
    <w:qFormat/>
    <w:uiPriority w:val="0"/>
    <w:rPr>
      <w:rFonts w:ascii="宋体" w:hAnsi="Courier New"/>
    </w:rPr>
  </w:style>
  <w:style w:type="character" w:customStyle="1" w:styleId="66">
    <w:name w:val="批注文字 Char1"/>
    <w:link w:val="11"/>
    <w:qFormat/>
    <w:uiPriority w:val="0"/>
    <w:rPr>
      <w:rFonts w:ascii="Times New Roman" w:hAnsi="Times New Roman"/>
      <w:kern w:val="2"/>
      <w:sz w:val="21"/>
      <w:szCs w:val="24"/>
    </w:rPr>
  </w:style>
  <w:style w:type="character" w:customStyle="1" w:styleId="67">
    <w:name w:val="批注文字 Char"/>
    <w:qFormat/>
    <w:uiPriority w:val="0"/>
    <w:rPr>
      <w:rFonts w:ascii="Times New Roman" w:hAnsi="Times New Roman"/>
      <w:kern w:val="2"/>
      <w:sz w:val="21"/>
      <w:szCs w:val="24"/>
    </w:rPr>
  </w:style>
  <w:style w:type="character" w:customStyle="1" w:styleId="68">
    <w:name w:val="apple-style-span"/>
    <w:qFormat/>
    <w:uiPriority w:val="0"/>
  </w:style>
  <w:style w:type="character" w:customStyle="1" w:styleId="69">
    <w:name w:val="批注文字 字符2"/>
    <w:qFormat/>
    <w:uiPriority w:val="99"/>
    <w:rPr>
      <w:kern w:val="2"/>
      <w:sz w:val="21"/>
      <w:szCs w:val="24"/>
    </w:rPr>
  </w:style>
  <w:style w:type="character" w:customStyle="1" w:styleId="70">
    <w:name w:val="批注主题 字符"/>
    <w:qFormat/>
    <w:uiPriority w:val="99"/>
    <w:rPr>
      <w:rFonts w:ascii="Times New Roman" w:hAnsi="Times New Roman"/>
      <w:b/>
      <w:bCs/>
      <w:kern w:val="2"/>
      <w:sz w:val="21"/>
      <w:szCs w:val="24"/>
    </w:rPr>
  </w:style>
  <w:style w:type="character" w:customStyle="1" w:styleId="71">
    <w:name w:val="页脚 字符"/>
    <w:qFormat/>
    <w:uiPriority w:val="99"/>
    <w:rPr>
      <w:sz w:val="18"/>
      <w:szCs w:val="18"/>
    </w:rPr>
  </w:style>
  <w:style w:type="character" w:customStyle="1" w:styleId="72">
    <w:name w:val="标题 2 字符"/>
    <w:qFormat/>
    <w:uiPriority w:val="9"/>
    <w:rPr>
      <w:rFonts w:ascii="Cambria" w:hAnsi="Cambria"/>
      <w:b/>
      <w:bCs/>
      <w:kern w:val="2"/>
      <w:sz w:val="32"/>
      <w:szCs w:val="32"/>
    </w:rPr>
  </w:style>
  <w:style w:type="character" w:customStyle="1" w:styleId="73">
    <w:name w:val="批注文字 字符"/>
    <w:qFormat/>
    <w:uiPriority w:val="0"/>
    <w:rPr>
      <w:rFonts w:ascii="Times New Roman" w:hAnsi="Times New Roman"/>
      <w:kern w:val="2"/>
      <w:sz w:val="21"/>
      <w:szCs w:val="24"/>
    </w:rPr>
  </w:style>
  <w:style w:type="character" w:customStyle="1" w:styleId="74">
    <w:name w:val="textcontents"/>
    <w:qFormat/>
    <w:uiPriority w:val="0"/>
  </w:style>
  <w:style w:type="character" w:customStyle="1" w:styleId="75">
    <w:name w:val="Unresolved Mention"/>
    <w:unhideWhenUsed/>
    <w:qFormat/>
    <w:uiPriority w:val="99"/>
    <w:rPr>
      <w:color w:val="605E5C"/>
      <w:shd w:val="clear" w:color="auto" w:fill="E1DFDD"/>
    </w:rPr>
  </w:style>
  <w:style w:type="character" w:customStyle="1" w:styleId="76">
    <w:name w:val="正文2 Char Char"/>
    <w:link w:val="77"/>
    <w:qFormat/>
    <w:uiPriority w:val="0"/>
    <w:rPr>
      <w:sz w:val="21"/>
    </w:rPr>
  </w:style>
  <w:style w:type="paragraph" w:customStyle="1" w:styleId="77">
    <w:name w:val="正文2"/>
    <w:basedOn w:val="1"/>
    <w:link w:val="76"/>
    <w:qFormat/>
    <w:uiPriority w:val="0"/>
    <w:pPr>
      <w:spacing w:line="500" w:lineRule="exact"/>
      <w:ind w:firstLine="200" w:firstLineChars="200"/>
    </w:pPr>
    <w:rPr>
      <w:kern w:val="0"/>
      <w:szCs w:val="20"/>
    </w:rPr>
  </w:style>
  <w:style w:type="character" w:customStyle="1" w:styleId="78">
    <w:name w:val="标题 1 字符"/>
    <w:qFormat/>
    <w:uiPriority w:val="9"/>
    <w:rPr>
      <w:b/>
      <w:bCs/>
      <w:kern w:val="44"/>
      <w:sz w:val="44"/>
      <w:szCs w:val="44"/>
    </w:rPr>
  </w:style>
  <w:style w:type="character" w:customStyle="1" w:styleId="79">
    <w:name w:val="标题 3 字符"/>
    <w:qFormat/>
    <w:uiPriority w:val="9"/>
    <w:rPr>
      <w:b/>
      <w:bCs/>
      <w:kern w:val="2"/>
      <w:sz w:val="32"/>
      <w:szCs w:val="32"/>
    </w:rPr>
  </w:style>
  <w:style w:type="character" w:customStyle="1" w:styleId="80">
    <w:name w:val="标题 8 字符"/>
    <w:qFormat/>
    <w:uiPriority w:val="9"/>
    <w:rPr>
      <w:rFonts w:ascii="等线 Light" w:hAnsi="等线 Light" w:eastAsia="等线 Light"/>
      <w:kern w:val="2"/>
      <w:sz w:val="24"/>
      <w:szCs w:val="24"/>
    </w:rPr>
  </w:style>
  <w:style w:type="character" w:customStyle="1" w:styleId="81">
    <w:name w:val="正文文本 字符1"/>
    <w:qFormat/>
    <w:uiPriority w:val="99"/>
    <w:rPr>
      <w:kern w:val="2"/>
      <w:sz w:val="21"/>
      <w:szCs w:val="24"/>
    </w:rPr>
  </w:style>
  <w:style w:type="character" w:customStyle="1" w:styleId="82">
    <w:name w:val="font122"/>
    <w:qFormat/>
    <w:uiPriority w:val="0"/>
    <w:rPr>
      <w:rFonts w:hint="eastAsia" w:ascii="宋体" w:hAnsi="宋体" w:eastAsia="宋体" w:cs="宋体"/>
      <w:color w:val="800080"/>
      <w:sz w:val="20"/>
      <w:szCs w:val="20"/>
      <w:u w:val="none"/>
    </w:rPr>
  </w:style>
  <w:style w:type="paragraph" w:customStyle="1" w:styleId="83">
    <w:name w:val="msonormal"/>
    <w:basedOn w:val="1"/>
    <w:qFormat/>
    <w:uiPriority w:val="99"/>
    <w:rPr>
      <w:rFonts w:ascii="Calibri" w:hAnsi="Calibri"/>
      <w:kern w:val="0"/>
      <w:sz w:val="24"/>
    </w:rPr>
  </w:style>
  <w:style w:type="paragraph" w:customStyle="1" w:styleId="84">
    <w:name w:val="Char Char Char Char"/>
    <w:basedOn w:val="1"/>
    <w:qFormat/>
    <w:uiPriority w:val="99"/>
    <w:pPr>
      <w:widowControl/>
      <w:spacing w:after="160" w:line="240" w:lineRule="exact"/>
      <w:jc w:val="left"/>
    </w:pPr>
  </w:style>
  <w:style w:type="paragraph" w:customStyle="1" w:styleId="85">
    <w:name w:val="正文缩进1"/>
    <w:basedOn w:val="1"/>
    <w:next w:val="3"/>
    <w:qFormat/>
    <w:uiPriority w:val="99"/>
    <w:pPr>
      <w:autoSpaceDE w:val="0"/>
      <w:autoSpaceDN w:val="0"/>
      <w:adjustRightInd w:val="0"/>
      <w:snapToGrid w:val="0"/>
      <w:spacing w:after="120" w:line="360" w:lineRule="auto"/>
      <w:ind w:left="420" w:leftChars="200" w:firstLine="480" w:firstLineChars="200"/>
    </w:pPr>
    <w:rPr>
      <w:sz w:val="24"/>
      <w:szCs w:val="21"/>
    </w:rPr>
  </w:style>
  <w:style w:type="paragraph" w:customStyle="1" w:styleId="86">
    <w:name w:val="Default"/>
    <w:qFormat/>
    <w:uiPriority w:val="0"/>
    <w:pPr>
      <w:autoSpaceDE w:val="0"/>
      <w:autoSpaceDN w:val="0"/>
      <w:adjustRightInd w:val="0"/>
    </w:pPr>
    <w:rPr>
      <w:rFonts w:ascii="Arial" w:hAnsi="Arial" w:eastAsia="宋体" w:cs="Arial"/>
      <w:color w:val="000000"/>
      <w:sz w:val="24"/>
      <w:szCs w:val="24"/>
      <w:lang w:val="en-US" w:eastAsia="zh-CN" w:bidi="ar-SA"/>
    </w:rPr>
  </w:style>
  <w:style w:type="paragraph" w:customStyle="1" w:styleId="87">
    <w:name w:val="Table Paragraph"/>
    <w:basedOn w:val="1"/>
    <w:qFormat/>
    <w:uiPriority w:val="1"/>
    <w:pPr>
      <w:jc w:val="left"/>
    </w:pPr>
    <w:rPr>
      <w:rFonts w:ascii="Calibri" w:hAnsi="Calibri"/>
      <w:kern w:val="0"/>
      <w:sz w:val="22"/>
      <w:szCs w:val="22"/>
      <w:lang w:eastAsia="en-US"/>
    </w:rPr>
  </w:style>
  <w:style w:type="paragraph" w:customStyle="1" w:styleId="88">
    <w:name w:val="p16"/>
    <w:basedOn w:val="1"/>
    <w:qFormat/>
    <w:uiPriority w:val="0"/>
    <w:pPr>
      <w:widowControl/>
    </w:pPr>
    <w:rPr>
      <w:rFonts w:ascii="宋体" w:hAnsi="宋体" w:cs="宋体"/>
      <w:kern w:val="0"/>
      <w:szCs w:val="21"/>
    </w:rPr>
  </w:style>
  <w:style w:type="paragraph" w:customStyle="1" w:styleId="89">
    <w:name w:val="_Style 95"/>
    <w:basedOn w:val="1"/>
    <w:unhideWhenUsed/>
    <w:qFormat/>
    <w:uiPriority w:val="99"/>
  </w:style>
  <w:style w:type="paragraph" w:customStyle="1" w:styleId="90">
    <w:name w:val="WPSOffice手动目录 1"/>
    <w:qFormat/>
    <w:uiPriority w:val="0"/>
    <w:rPr>
      <w:rFonts w:ascii="Times New Roman" w:hAnsi="Times New Roman" w:eastAsia="宋体" w:cs="Times New Roman"/>
      <w:lang w:val="en-US" w:eastAsia="zh-CN" w:bidi="ar-SA"/>
    </w:rPr>
  </w:style>
  <w:style w:type="paragraph" w:customStyle="1" w:styleId="91">
    <w:name w:val="默认段落字体 Para Char Char Char Char Char Char Char Char Char1 Char Char Char Char"/>
    <w:basedOn w:val="1"/>
    <w:qFormat/>
    <w:uiPriority w:val="99"/>
    <w:rPr>
      <w:rFonts w:ascii="Tahoma" w:hAnsi="Tahoma"/>
      <w:sz w:val="24"/>
      <w:szCs w:val="20"/>
    </w:rPr>
  </w:style>
  <w:style w:type="paragraph" w:styleId="92">
    <w:name w:val="List Paragraph"/>
    <w:basedOn w:val="1"/>
    <w:qFormat/>
    <w:uiPriority w:val="34"/>
    <w:pPr>
      <w:ind w:firstLine="420" w:firstLineChars="200"/>
    </w:pPr>
  </w:style>
  <w:style w:type="paragraph" w:customStyle="1" w:styleId="93">
    <w:name w:val="TOC 标题1"/>
    <w:basedOn w:val="4"/>
    <w:next w:val="1"/>
    <w:qFormat/>
    <w:uiPriority w:val="39"/>
    <w:pPr>
      <w:widowControl/>
      <w:spacing w:before="240" w:after="0" w:line="259" w:lineRule="auto"/>
      <w:jc w:val="left"/>
      <w:outlineLvl w:val="9"/>
    </w:pPr>
    <w:rPr>
      <w:rFonts w:ascii="等线 Light" w:hAnsi="等线 Light" w:eastAsia="等线 Light"/>
      <w:b w:val="0"/>
      <w:bCs w:val="0"/>
      <w:color w:val="2F5496"/>
      <w:kern w:val="0"/>
      <w:sz w:val="32"/>
      <w:szCs w:val="32"/>
    </w:rPr>
  </w:style>
  <w:style w:type="paragraph" w:customStyle="1" w:styleId="94">
    <w:name w:val="修订1"/>
    <w:unhideWhenUsed/>
    <w:qFormat/>
    <w:uiPriority w:val="99"/>
    <w:rPr>
      <w:rFonts w:ascii="Times New Roman" w:hAnsi="Times New Roman" w:eastAsia="宋体" w:cs="Times New Roman"/>
      <w:kern w:val="2"/>
      <w:sz w:val="21"/>
      <w:szCs w:val="24"/>
      <w:lang w:val="en-US" w:eastAsia="zh-CN" w:bidi="ar-SA"/>
    </w:rPr>
  </w:style>
  <w:style w:type="paragraph" w:customStyle="1" w:styleId="95">
    <w:name w:val="_Style 94"/>
    <w:basedOn w:val="1"/>
    <w:unhideWhenUsed/>
    <w:qFormat/>
    <w:uiPriority w:val="99"/>
  </w:style>
  <w:style w:type="paragraph" w:customStyle="1" w:styleId="96">
    <w:name w:val="样式5"/>
    <w:basedOn w:val="1"/>
    <w:qFormat/>
    <w:uiPriority w:val="99"/>
    <w:pPr>
      <w:adjustRightInd w:val="0"/>
      <w:spacing w:line="440" w:lineRule="exact"/>
      <w:ind w:left="2" w:firstLine="480" w:firstLineChars="200"/>
    </w:pPr>
    <w:rPr>
      <w:rFonts w:ascii="仿宋_GB2312" w:hAnsi="仿宋" w:eastAsia="仿宋_GB2312"/>
      <w:sz w:val="24"/>
    </w:rPr>
  </w:style>
  <w:style w:type="paragraph" w:customStyle="1" w:styleId="97">
    <w:name w:val="表内文字"/>
    <w:basedOn w:val="1"/>
    <w:qFormat/>
    <w:uiPriority w:val="99"/>
    <w:pPr>
      <w:snapToGrid w:val="0"/>
      <w:spacing w:before="50" w:after="50"/>
      <w:jc w:val="center"/>
    </w:pPr>
    <w:rPr>
      <w:rFonts w:ascii="仿宋_GB2312" w:hAnsi="宋体" w:eastAsia="仿宋_GB2312"/>
      <w:b/>
      <w:color w:val="000000"/>
      <w:sz w:val="32"/>
      <w:szCs w:val="32"/>
    </w:rPr>
  </w:style>
  <w:style w:type="table" w:customStyle="1" w:styleId="98">
    <w:name w:val="Table Normal"/>
    <w:unhideWhenUsed/>
    <w:qFormat/>
    <w:uiPriority w:val="0"/>
    <w:tblPr>
      <w:tblCellMar>
        <w:top w:w="0" w:type="dxa"/>
        <w:left w:w="0" w:type="dxa"/>
        <w:bottom w:w="0" w:type="dxa"/>
        <w:right w:w="0" w:type="dxa"/>
      </w:tblCellMar>
    </w:tblPr>
  </w:style>
  <w:style w:type="paragraph" w:customStyle="1" w:styleId="99">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7"/>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102</Pages>
  <Words>6256</Words>
  <Characters>7219</Characters>
  <Lines>438</Lines>
  <Paragraphs>123</Paragraphs>
  <TotalTime>609</TotalTime>
  <ScaleCrop>false</ScaleCrop>
  <LinksUpToDate>false</LinksUpToDate>
  <CharactersWithSpaces>7443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2024-11-03T11:07:00Z</dcterms:created>
  <dc:creator>Sky123.Org</dc:creator>
  <cp:lastModifiedBy>Administrator</cp:lastModifiedBy>
  <cp:lastPrinted>2024-12-02T10:01:00Z</cp:lastPrinted>
  <dcterms:modified xsi:type="dcterms:W3CDTF">2024-12-10T09:08:30Z</dcterms:modified>
  <dc:title>竞争性谈判文件规范</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43D87E02F8B24E4FA9E5A20CCAE25485_13</vt:lpwstr>
  </property>
</Properties>
</file>