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7E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崇左市江州区森林草原湿地荒漠化普查工作服务范围：</w:t>
      </w:r>
    </w:p>
    <w:p w14:paraId="25C8AE7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（1）前期工作。收集相关数据。</w:t>
      </w:r>
    </w:p>
    <w:p w14:paraId="5E731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2）开展地类对接工作按照国土调查以实地现状认定地类原则，对预判图斑逐一进行内业核实确认，对双方认定有分歧，或与2023年“一上”成果、林草湿调查监测成果、国家内业预判地类均不同，或对国家下发的林地不一致图斑外的图斑重新确定地类的，需开展实地核实拍照举证工作，地类核实确认结果依照国家、自治区有关技术要求逐级联合上报自治区自然资源厅、自治区林业局共同审核。</w:t>
      </w:r>
    </w:p>
    <w:p w14:paraId="4AB52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3）开展图斑区划和属性调查采取样地调查、遥感监测、档案更新、补充调查、现地核实等多种方法，摸清林草湿资源数量、质量、结构等情况，以及荒漠化沙化土地、石漠化土地的类型、面积、程度、分布、治理情况。</w:t>
      </w:r>
    </w:p>
    <w:p w14:paraId="602B1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(4)落实管理属性和管理边界落实林地管理属性和管理边界，形成林地管理数据库</w:t>
      </w:r>
    </w:p>
    <w:p w14:paraId="7292DD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(5）标记可造林绿化图</w:t>
      </w:r>
    </w:p>
    <w:p w14:paraId="1ABCF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(6)数据库汇交，森林草原湿地荒漠化普查数据库逐级汇交。积极配合国家做好需要形成总体面积的调查监测指标相关调查工作</w:t>
      </w:r>
    </w:p>
    <w:p w14:paraId="06EB5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（7）汇总分析。基于数据库，汇集和处理调查数据，开展江州区森林草原湿地保护利用状况、森林草原湿地植被状况、生产力状况和荒漠化沙化、石漠化状况及沙化、石漠化土地治理情况综合分析。</w:t>
      </w:r>
    </w:p>
    <w:p w14:paraId="2DE5A76E"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（8）出具成果报告。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B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next w:val="1"/>
    <w:qFormat/>
    <w:uiPriority w:val="0"/>
    <w:pPr>
      <w:spacing w:after="0"/>
      <w:ind w:firstLine="420"/>
    </w:pPr>
    <w:rPr>
      <w:rFonts w:eastAsia="楷体_GB2312"/>
      <w:sz w:val="32"/>
    </w:rPr>
  </w:style>
  <w:style w:type="paragraph" w:customStyle="1" w:styleId="3">
    <w:name w:val="BodyText"/>
    <w:basedOn w:val="1"/>
    <w:qFormat/>
    <w:uiPriority w:val="0"/>
    <w:pPr>
      <w:spacing w:after="1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2025-04-10T08:24:25Z</dcterms:created>
  <dc:creator>Administrator</dc:creator>
  <cp:lastModifiedBy>admin</cp:lastModifiedBy>
  <dcterms:modified xsi:type="dcterms:W3CDTF">2025-04-10T08:25:18Z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eyJoZGlkIjoiNTZlMzdlMTY3NDA3NDgzMmMwYjVjMDZiNjFlNWI5MTIifQ==</vt:lpwstr>
  </property>
  <property fmtid="{D5CDD505-2E9C-101B-9397-08002B2CF9AE}" pid="4" name="ICV">
    <vt:lpwstr>A860F3A5D68D4BA4AC9CEC7E56B9D2F4_12</vt:lpwstr>
  </property>
</Properties>
</file>