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C203">
      <w:pPr>
        <w:spacing w:line="360" w:lineRule="auto"/>
        <w:jc w:val="center"/>
        <w:rPr>
          <w:rFonts w:ascii="方正小标宋简体" w:hAnsi="方正小标宋简体" w:eastAsia="方正小标宋简体" w:cs="方正小标宋简体"/>
          <w:b/>
          <w:color w:val="auto"/>
          <w:sz w:val="44"/>
          <w:szCs w:val="44"/>
          <w:highlight w:val="none"/>
        </w:rPr>
      </w:pPr>
    </w:p>
    <w:p w14:paraId="742D611F">
      <w:pPr>
        <w:spacing w:line="360" w:lineRule="auto"/>
        <w:jc w:val="center"/>
        <w:rPr>
          <w:rFonts w:ascii="方正小标宋简体" w:hAnsi="方正小标宋简体" w:eastAsia="方正小标宋简体" w:cs="方正小标宋简体"/>
          <w:b/>
          <w:color w:val="auto"/>
          <w:sz w:val="44"/>
          <w:szCs w:val="44"/>
          <w:highlight w:val="none"/>
        </w:rPr>
      </w:pPr>
    </w:p>
    <w:p w14:paraId="3B20FB09">
      <w:pPr>
        <w:snapToGrid w:val="0"/>
        <w:spacing w:before="156" w:beforeLines="50" w:line="360" w:lineRule="auto"/>
        <w:jc w:val="center"/>
        <w:rPr>
          <w:rFonts w:ascii="华文新魏" w:hAnsi="宋体" w:eastAsia="华文新魏" w:cs="Times New Roman"/>
          <w:color w:val="auto"/>
          <w:sz w:val="120"/>
          <w:szCs w:val="120"/>
          <w:highlight w:val="none"/>
        </w:rPr>
      </w:pPr>
      <w:r>
        <w:rPr>
          <w:rFonts w:hint="eastAsia" w:ascii="华文新魏" w:hAnsi="宋体" w:eastAsia="华文新魏" w:cs="Times New Roman"/>
          <w:color w:val="auto"/>
          <w:sz w:val="84"/>
          <w:szCs w:val="84"/>
          <w:highlight w:val="none"/>
        </w:rPr>
        <w:t>竞争性磋商文件</w:t>
      </w:r>
    </w:p>
    <w:p w14:paraId="498125B1">
      <w:pPr>
        <w:snapToGrid w:val="0"/>
        <w:spacing w:before="156" w:beforeLines="50" w:line="360" w:lineRule="auto"/>
        <w:jc w:val="center"/>
        <w:rPr>
          <w:rFonts w:hint="eastAsia" w:ascii="仿宋_GB2312" w:hAnsi="宋体" w:eastAsia="仿宋_GB2312" w:cs="Times New Roman"/>
          <w:b/>
          <w:color w:val="auto"/>
          <w:sz w:val="48"/>
          <w:szCs w:val="48"/>
          <w:highlight w:val="none"/>
        </w:rPr>
      </w:pPr>
    </w:p>
    <w:p w14:paraId="1FAF621C">
      <w:pPr>
        <w:snapToGrid w:val="0"/>
        <w:spacing w:before="156" w:beforeLines="50" w:line="360" w:lineRule="auto"/>
        <w:jc w:val="center"/>
        <w:rPr>
          <w:rFonts w:hint="eastAsia" w:ascii="仿宋_GB2312" w:hAnsi="宋体" w:eastAsia="仿宋_GB2312" w:cs="Times New Roman"/>
          <w:b/>
          <w:color w:val="auto"/>
          <w:sz w:val="48"/>
          <w:szCs w:val="48"/>
          <w:highlight w:val="none"/>
        </w:rPr>
      </w:pPr>
      <w:r>
        <w:rPr>
          <w:rFonts w:hint="eastAsia" w:ascii="仿宋_GB2312" w:hAnsi="宋体" w:eastAsia="仿宋_GB2312" w:cs="Times New Roman"/>
          <w:b/>
          <w:color w:val="auto"/>
          <w:sz w:val="48"/>
          <w:szCs w:val="48"/>
          <w:highlight w:val="none"/>
        </w:rPr>
        <w:t>（全流程电子化采购）</w:t>
      </w:r>
    </w:p>
    <w:p w14:paraId="1DF9D16C">
      <w:pPr>
        <w:snapToGrid w:val="0"/>
        <w:spacing w:before="156" w:beforeLines="50" w:line="360" w:lineRule="auto"/>
        <w:jc w:val="center"/>
        <w:rPr>
          <w:rFonts w:hint="eastAsia" w:ascii="仿宋_GB2312" w:hAnsi="宋体" w:eastAsia="仿宋_GB2312" w:cs="Times New Roman"/>
          <w:b/>
          <w:color w:val="auto"/>
          <w:sz w:val="48"/>
          <w:szCs w:val="48"/>
          <w:highlight w:val="none"/>
        </w:rPr>
      </w:pPr>
    </w:p>
    <w:p w14:paraId="1265F1B2">
      <w:pPr>
        <w:snapToGrid w:val="0"/>
        <w:spacing w:before="156" w:beforeLines="50" w:line="360" w:lineRule="auto"/>
        <w:jc w:val="center"/>
        <w:rPr>
          <w:rFonts w:hint="eastAsia" w:ascii="仿宋_GB2312" w:hAnsi="宋体" w:eastAsia="仿宋_GB2312" w:cs="Times New Roman"/>
          <w:b/>
          <w:color w:val="auto"/>
          <w:sz w:val="48"/>
          <w:szCs w:val="48"/>
          <w:highlight w:val="none"/>
        </w:rPr>
      </w:pPr>
    </w:p>
    <w:p w14:paraId="4C0A4F34">
      <w:pPr>
        <w:snapToGrid w:val="0"/>
        <w:spacing w:line="360" w:lineRule="auto"/>
        <w:ind w:firstLine="1113" w:firstLineChars="396"/>
        <w:rPr>
          <w:rFonts w:hint="eastAsia" w:ascii="仿宋_GB2312" w:hAnsi="宋体" w:eastAsia="仿宋_GB2312" w:cs="Times New Roman"/>
          <w:b/>
          <w:bCs/>
          <w:color w:val="auto"/>
          <w:w w:val="95"/>
          <w:kern w:val="0"/>
          <w:sz w:val="30"/>
          <w:szCs w:val="30"/>
          <w:highlight w:val="none"/>
          <w:lang w:eastAsia="zh-CN"/>
        </w:rPr>
      </w:pPr>
      <w:r>
        <w:rPr>
          <w:rFonts w:hint="eastAsia" w:ascii="仿宋_GB2312" w:hAnsi="宋体" w:eastAsia="仿宋_GB2312" w:cs="Times New Roman"/>
          <w:b/>
          <w:bCs/>
          <w:color w:val="auto"/>
          <w:w w:val="95"/>
          <w:kern w:val="0"/>
          <w:sz w:val="30"/>
          <w:szCs w:val="30"/>
          <w:highlight w:val="none"/>
        </w:rPr>
        <w:t>项目名称：</w:t>
      </w:r>
      <w:r>
        <w:rPr>
          <w:rFonts w:hint="eastAsia" w:ascii="仿宋_GB2312" w:hAnsi="宋体" w:eastAsia="仿宋_GB2312" w:cs="Times New Roman"/>
          <w:b/>
          <w:bCs/>
          <w:color w:val="auto"/>
          <w:w w:val="95"/>
          <w:kern w:val="0"/>
          <w:sz w:val="30"/>
          <w:szCs w:val="30"/>
          <w:highlight w:val="none"/>
          <w:lang w:eastAsia="zh-CN"/>
        </w:rPr>
        <w:t>广西党风廉政教育基地(柳州监狱)工程</w:t>
      </w:r>
    </w:p>
    <w:p w14:paraId="739A79ED">
      <w:pPr>
        <w:snapToGrid w:val="0"/>
        <w:spacing w:line="360" w:lineRule="auto"/>
        <w:ind w:firstLine="1113" w:firstLineChars="396"/>
        <w:rPr>
          <w:rFonts w:hint="eastAsia" w:ascii="仿宋_GB2312" w:hAnsi="宋体" w:eastAsia="仿宋_GB2312" w:cs="Times New Roman"/>
          <w:b/>
          <w:bCs/>
          <w:color w:val="auto"/>
          <w:w w:val="95"/>
          <w:kern w:val="0"/>
          <w:sz w:val="30"/>
          <w:szCs w:val="30"/>
          <w:highlight w:val="none"/>
        </w:rPr>
      </w:pPr>
      <w:r>
        <w:rPr>
          <w:rFonts w:hint="eastAsia" w:ascii="仿宋_GB2312" w:hAnsi="宋体" w:eastAsia="仿宋_GB2312" w:cs="Times New Roman"/>
          <w:b/>
          <w:bCs/>
          <w:color w:val="auto"/>
          <w:w w:val="95"/>
          <w:kern w:val="0"/>
          <w:sz w:val="30"/>
          <w:szCs w:val="30"/>
          <w:highlight w:val="none"/>
        </w:rPr>
        <w:t>项目编号：</w:t>
      </w:r>
      <w:r>
        <w:rPr>
          <w:rFonts w:hint="eastAsia" w:ascii="仿宋_GB2312" w:hAnsi="宋体" w:eastAsia="仿宋_GB2312" w:cs="Times New Roman"/>
          <w:b/>
          <w:bCs/>
          <w:i w:val="0"/>
          <w:iCs w:val="0"/>
          <w:caps w:val="0"/>
          <w:color w:val="auto"/>
          <w:spacing w:val="0"/>
          <w:w w:val="95"/>
          <w:kern w:val="0"/>
          <w:sz w:val="30"/>
          <w:szCs w:val="30"/>
          <w:highlight w:val="none"/>
          <w:shd w:val="clear"/>
          <w:lang w:eastAsia="zh-CN"/>
        </w:rPr>
        <w:t>GXZC2024-C2-005672-GXCJ</w:t>
      </w:r>
    </w:p>
    <w:p w14:paraId="76B7846B">
      <w:pPr>
        <w:snapToGrid w:val="0"/>
        <w:spacing w:line="360" w:lineRule="auto"/>
        <w:ind w:firstLine="1105" w:firstLineChars="393"/>
        <w:rPr>
          <w:rFonts w:hint="eastAsia" w:ascii="仿宋_GB2312" w:hAnsi="宋体" w:eastAsia="仿宋_GB2312" w:cs="Times New Roman"/>
          <w:b/>
          <w:bCs/>
          <w:color w:val="auto"/>
          <w:w w:val="95"/>
          <w:kern w:val="0"/>
          <w:sz w:val="30"/>
          <w:szCs w:val="30"/>
          <w:highlight w:val="none"/>
          <w:lang w:eastAsia="zh-CN"/>
        </w:rPr>
      </w:pPr>
      <w:r>
        <w:rPr>
          <w:rFonts w:hint="eastAsia" w:ascii="仿宋_GB2312" w:hAnsi="宋体" w:eastAsia="仿宋_GB2312" w:cs="Times New Roman"/>
          <w:b/>
          <w:bCs/>
          <w:color w:val="auto"/>
          <w:w w:val="95"/>
          <w:kern w:val="0"/>
          <w:sz w:val="30"/>
          <w:szCs w:val="30"/>
          <w:highlight w:val="none"/>
        </w:rPr>
        <w:t>采</w:t>
      </w:r>
      <w:r>
        <w:rPr>
          <w:rFonts w:hint="eastAsia" w:ascii="仿宋_GB2312" w:hAnsi="宋体" w:eastAsia="仿宋_GB2312" w:cs="Times New Roman"/>
          <w:b/>
          <w:bCs/>
          <w:color w:val="auto"/>
          <w:w w:val="95"/>
          <w:kern w:val="0"/>
          <w:sz w:val="30"/>
          <w:szCs w:val="30"/>
          <w:highlight w:val="none"/>
          <w:lang w:val="en-US" w:eastAsia="zh-CN"/>
        </w:rPr>
        <w:t xml:space="preserve"> </w:t>
      </w:r>
      <w:r>
        <w:rPr>
          <w:rFonts w:hint="eastAsia" w:ascii="仿宋_GB2312" w:hAnsi="宋体" w:eastAsia="仿宋_GB2312" w:cs="Times New Roman"/>
          <w:b/>
          <w:bCs/>
          <w:color w:val="auto"/>
          <w:w w:val="95"/>
          <w:kern w:val="0"/>
          <w:sz w:val="30"/>
          <w:szCs w:val="30"/>
          <w:highlight w:val="none"/>
        </w:rPr>
        <w:t>购</w:t>
      </w:r>
      <w:r>
        <w:rPr>
          <w:rFonts w:hint="eastAsia" w:ascii="仿宋_GB2312" w:hAnsi="宋体" w:eastAsia="仿宋_GB2312" w:cs="Times New Roman"/>
          <w:b/>
          <w:bCs/>
          <w:color w:val="auto"/>
          <w:w w:val="95"/>
          <w:kern w:val="0"/>
          <w:sz w:val="30"/>
          <w:szCs w:val="30"/>
          <w:highlight w:val="none"/>
          <w:lang w:val="en-US" w:eastAsia="zh-CN"/>
        </w:rPr>
        <w:t xml:space="preserve"> </w:t>
      </w:r>
      <w:r>
        <w:rPr>
          <w:rFonts w:hint="eastAsia" w:ascii="仿宋_GB2312" w:hAnsi="宋体" w:eastAsia="仿宋_GB2312" w:cs="Times New Roman"/>
          <w:b/>
          <w:bCs/>
          <w:color w:val="auto"/>
          <w:w w:val="95"/>
          <w:kern w:val="0"/>
          <w:sz w:val="30"/>
          <w:szCs w:val="30"/>
          <w:highlight w:val="none"/>
        </w:rPr>
        <w:t>人：</w:t>
      </w:r>
      <w:r>
        <w:rPr>
          <w:rFonts w:hint="eastAsia" w:ascii="仿宋_GB2312" w:hAnsi="宋体" w:eastAsia="仿宋_GB2312" w:cs="Times New Roman"/>
          <w:b/>
          <w:bCs/>
          <w:color w:val="auto"/>
          <w:w w:val="95"/>
          <w:kern w:val="0"/>
          <w:sz w:val="30"/>
          <w:szCs w:val="30"/>
          <w:highlight w:val="none"/>
          <w:lang w:eastAsia="zh-CN"/>
        </w:rPr>
        <w:t>广西壮族自治区柳州监狱</w:t>
      </w:r>
    </w:p>
    <w:p w14:paraId="748F7F24">
      <w:pPr>
        <w:snapToGrid w:val="0"/>
        <w:spacing w:line="360" w:lineRule="auto"/>
        <w:ind w:firstLine="1105" w:firstLineChars="393"/>
        <w:rPr>
          <w:rFonts w:ascii="仿宋_GB2312" w:hAnsi="宋体" w:eastAsia="仿宋_GB2312" w:cs="Times New Roman"/>
          <w:b/>
          <w:bCs/>
          <w:color w:val="auto"/>
          <w:w w:val="95"/>
          <w:kern w:val="0"/>
          <w:sz w:val="30"/>
          <w:szCs w:val="30"/>
          <w:highlight w:val="none"/>
        </w:rPr>
      </w:pPr>
      <w:r>
        <w:rPr>
          <w:rFonts w:hint="eastAsia" w:ascii="仿宋_GB2312" w:hAnsi="宋体" w:eastAsia="仿宋_GB2312" w:cs="Times New Roman"/>
          <w:b/>
          <w:bCs/>
          <w:color w:val="auto"/>
          <w:w w:val="95"/>
          <w:kern w:val="0"/>
          <w:sz w:val="30"/>
          <w:szCs w:val="30"/>
          <w:highlight w:val="none"/>
        </w:rPr>
        <w:t>采购代理机构：广西城建咨询设计有限公司</w:t>
      </w:r>
    </w:p>
    <w:p w14:paraId="7855E403">
      <w:pPr>
        <w:snapToGrid w:val="0"/>
        <w:spacing w:line="360" w:lineRule="auto"/>
        <w:ind w:firstLine="1105" w:firstLineChars="393"/>
        <w:rPr>
          <w:rFonts w:ascii="仿宋_GB2312" w:hAnsi="宋体" w:eastAsia="仿宋_GB2312" w:cs="Times New Roman"/>
          <w:b/>
          <w:bCs/>
          <w:color w:val="auto"/>
          <w:w w:val="95"/>
          <w:kern w:val="0"/>
          <w:sz w:val="30"/>
          <w:szCs w:val="30"/>
          <w:highlight w:val="none"/>
        </w:rPr>
      </w:pPr>
    </w:p>
    <w:p w14:paraId="44291ED0">
      <w:pPr>
        <w:snapToGrid w:val="0"/>
        <w:spacing w:line="360" w:lineRule="auto"/>
        <w:jc w:val="center"/>
        <w:rPr>
          <w:rFonts w:hint="eastAsia" w:ascii="仿宋_GB2312" w:hAnsi="宋体" w:eastAsia="仿宋_GB2312" w:cs="Times New Roman"/>
          <w:b/>
          <w:bCs/>
          <w:color w:val="auto"/>
          <w:w w:val="95"/>
          <w:kern w:val="0"/>
          <w:sz w:val="30"/>
          <w:szCs w:val="30"/>
          <w:highlight w:val="none"/>
        </w:rPr>
      </w:pPr>
      <w:r>
        <w:rPr>
          <w:rFonts w:ascii="仿宋_GB2312" w:hAnsi="宋体" w:eastAsia="仿宋_GB2312" w:cs="Times New Roman"/>
          <w:b/>
          <w:bCs/>
          <w:color w:val="auto"/>
          <w:w w:val="95"/>
          <w:kern w:val="0"/>
          <w:sz w:val="30"/>
          <w:szCs w:val="30"/>
          <w:highlight w:val="none"/>
        </w:rPr>
        <w:t>2024</w:t>
      </w:r>
      <w:r>
        <w:rPr>
          <w:rFonts w:hint="eastAsia" w:ascii="仿宋_GB2312" w:hAnsi="宋体" w:eastAsia="仿宋_GB2312" w:cs="Times New Roman"/>
          <w:b/>
          <w:bCs/>
          <w:color w:val="auto"/>
          <w:w w:val="95"/>
          <w:kern w:val="0"/>
          <w:sz w:val="30"/>
          <w:szCs w:val="30"/>
          <w:highlight w:val="none"/>
        </w:rPr>
        <w:t>年</w:t>
      </w:r>
      <w:r>
        <w:rPr>
          <w:rFonts w:hint="eastAsia" w:ascii="仿宋_GB2312" w:hAnsi="宋体" w:eastAsia="仿宋_GB2312" w:cs="Times New Roman"/>
          <w:b/>
          <w:bCs/>
          <w:color w:val="auto"/>
          <w:w w:val="95"/>
          <w:kern w:val="0"/>
          <w:sz w:val="30"/>
          <w:szCs w:val="30"/>
          <w:highlight w:val="none"/>
          <w:lang w:val="en-US" w:eastAsia="zh-CN"/>
        </w:rPr>
        <w:t>10</w:t>
      </w:r>
      <w:r>
        <w:rPr>
          <w:rFonts w:hint="eastAsia" w:ascii="仿宋_GB2312" w:hAnsi="宋体" w:eastAsia="仿宋_GB2312" w:cs="Times New Roman"/>
          <w:b/>
          <w:bCs/>
          <w:color w:val="auto"/>
          <w:w w:val="95"/>
          <w:kern w:val="0"/>
          <w:sz w:val="30"/>
          <w:szCs w:val="30"/>
          <w:highlight w:val="none"/>
        </w:rPr>
        <w:t>月</w:t>
      </w:r>
    </w:p>
    <w:p w14:paraId="087CB87E">
      <w:pPr>
        <w:spacing w:line="360" w:lineRule="auto"/>
        <w:jc w:val="center"/>
        <w:rPr>
          <w:rFonts w:hint="eastAsia" w:ascii="宋体" w:hAnsi="宋体" w:eastAsia="宋体" w:cs="Times New Roman"/>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1"/>
          <w:cols w:space="0" w:num="1"/>
          <w:titlePg/>
          <w:rtlGutter w:val="0"/>
          <w:docGrid w:type="linesAndChars" w:linePitch="294" w:charSpace="-878"/>
        </w:sectPr>
      </w:pPr>
    </w:p>
    <w:p w14:paraId="75B714B0">
      <w:pPr>
        <w:spacing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4C2A4C7E">
      <w:pPr>
        <w:pStyle w:val="24"/>
        <w:tabs>
          <w:tab w:val="right" w:leader="dot" w:pos="8879"/>
        </w:tabs>
        <w:spacing w:line="360" w:lineRule="auto"/>
        <w:rPr>
          <w:color w:val="auto"/>
          <w:sz w:val="24"/>
          <w:szCs w:val="24"/>
          <w:highlight w:val="none"/>
        </w:rPr>
      </w:pP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w:instrText>
      </w:r>
      <w:r>
        <w:rPr>
          <w:rFonts w:hint="eastAsia" w:ascii="宋体" w:hAnsi="宋体" w:eastAsia="宋体" w:cs="Times New Roman"/>
          <w:b/>
          <w:color w:val="auto"/>
          <w:sz w:val="24"/>
          <w:szCs w:val="24"/>
          <w:highlight w:val="none"/>
        </w:rPr>
        <w:instrText xml:space="preserve">TOC \o "1-3" \h \z \u</w:instrText>
      </w:r>
      <w:r>
        <w:rPr>
          <w:rFonts w:ascii="宋体" w:hAnsi="宋体" w:eastAsia="宋体" w:cs="Times New Roman"/>
          <w:b/>
          <w:color w:val="auto"/>
          <w:sz w:val="24"/>
          <w:szCs w:val="24"/>
          <w:highlight w:val="none"/>
        </w:rPr>
        <w:instrText xml:space="preserve"> </w:instrText>
      </w:r>
      <w:r>
        <w:rPr>
          <w:rFonts w:ascii="宋体" w:hAnsi="宋体" w:eastAsia="宋体" w:cs="Times New Roman"/>
          <w:b/>
          <w:color w:val="auto"/>
          <w:sz w:val="24"/>
          <w:szCs w:val="24"/>
          <w:highlight w:val="none"/>
        </w:rPr>
        <w:fldChar w:fldCharType="separate"/>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_Toc14467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第一章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_Toc14467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3A6951F2">
      <w:pPr>
        <w:pStyle w:val="24"/>
        <w:tabs>
          <w:tab w:val="right" w:leader="dot" w:pos="8879"/>
        </w:tabs>
        <w:spacing w:line="360" w:lineRule="auto"/>
        <w:rPr>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_Toc25248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_Toc25248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35543E91">
      <w:pPr>
        <w:pStyle w:val="24"/>
        <w:tabs>
          <w:tab w:val="right" w:leader="dot" w:pos="8879"/>
        </w:tabs>
        <w:spacing w:line="360" w:lineRule="auto"/>
        <w:rPr>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_Toc28607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_Toc28607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2B592A1F">
      <w:pPr>
        <w:pStyle w:val="24"/>
        <w:tabs>
          <w:tab w:val="right" w:leader="dot" w:pos="8879"/>
        </w:tabs>
        <w:spacing w:line="360" w:lineRule="auto"/>
        <w:rPr>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_Toc31441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第四章 评审程序、评审方法和评审标准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_Toc31441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6C7C64DE">
      <w:pPr>
        <w:pStyle w:val="24"/>
        <w:tabs>
          <w:tab w:val="right" w:leader="dot" w:pos="8879"/>
        </w:tabs>
        <w:spacing w:line="360" w:lineRule="auto"/>
        <w:rPr>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_Toc18944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第五章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_Toc18944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56C7AA41">
      <w:pPr>
        <w:pStyle w:val="24"/>
        <w:tabs>
          <w:tab w:val="right" w:leader="dot" w:pos="8879"/>
        </w:tabs>
        <w:spacing w:line="360" w:lineRule="auto"/>
        <w:rPr>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HYPERLINK \l _Toc13815 </w:instrText>
      </w:r>
      <w:r>
        <w:rPr>
          <w:rFonts w:ascii="宋体" w:hAnsi="宋体" w:eastAsia="宋体" w:cs="Times New Roman"/>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rPr>
        <w:t>第六章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_Toc13815 \h </w:instrText>
      </w:r>
      <w:r>
        <w:rPr>
          <w:color w:val="auto"/>
          <w:sz w:val="24"/>
          <w:szCs w:val="24"/>
          <w:highlight w:val="none"/>
        </w:rPr>
        <w:fldChar w:fldCharType="separate"/>
      </w:r>
      <w:r>
        <w:rPr>
          <w:color w:val="auto"/>
          <w:sz w:val="24"/>
          <w:szCs w:val="24"/>
          <w:highlight w:val="none"/>
        </w:rPr>
        <w:t>76</w:t>
      </w:r>
      <w:r>
        <w:rPr>
          <w:color w:val="auto"/>
          <w:sz w:val="24"/>
          <w:szCs w:val="24"/>
          <w:highlight w:val="none"/>
        </w:rPr>
        <w:fldChar w:fldCharType="end"/>
      </w:r>
      <w:r>
        <w:rPr>
          <w:rFonts w:ascii="宋体" w:hAnsi="宋体" w:eastAsia="宋体" w:cs="Times New Roman"/>
          <w:color w:val="auto"/>
          <w:sz w:val="24"/>
          <w:szCs w:val="24"/>
          <w:highlight w:val="none"/>
        </w:rPr>
        <w:fldChar w:fldCharType="end"/>
      </w:r>
    </w:p>
    <w:p w14:paraId="711A88E0">
      <w:pPr>
        <w:pStyle w:val="24"/>
        <w:tabs>
          <w:tab w:val="right" w:leader="dot" w:pos="8879"/>
        </w:tabs>
        <w:spacing w:line="360" w:lineRule="auto"/>
        <w:rPr>
          <w:color w:val="auto"/>
          <w:highlight w:val="none"/>
        </w:rPr>
      </w:pPr>
    </w:p>
    <w:p w14:paraId="216A219E">
      <w:pPr>
        <w:tabs>
          <w:tab w:val="right" w:leader="dot" w:pos="8931"/>
        </w:tabs>
        <w:snapToGrid w:val="0"/>
        <w:spacing w:line="360" w:lineRule="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fldChar w:fldCharType="end"/>
      </w:r>
    </w:p>
    <w:p w14:paraId="3E035831">
      <w:pPr>
        <w:spacing w:line="360" w:lineRule="auto"/>
        <w:jc w:val="center"/>
        <w:rPr>
          <w:rFonts w:ascii="宋体" w:hAnsi="宋体" w:eastAsia="宋体" w:cs="Times New Roman"/>
          <w:b/>
          <w:color w:val="auto"/>
          <w:sz w:val="32"/>
          <w:szCs w:val="32"/>
          <w:highlight w:val="none"/>
        </w:rPr>
      </w:pPr>
    </w:p>
    <w:p w14:paraId="6FBAAD8A">
      <w:pPr>
        <w:spacing w:line="360" w:lineRule="auto"/>
        <w:rPr>
          <w:rFonts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start="1"/>
          <w:cols w:space="0" w:num="1"/>
          <w:titlePg/>
          <w:rtlGutter w:val="0"/>
          <w:docGrid w:type="linesAndChars" w:linePitch="294" w:charSpace="-878"/>
        </w:sectPr>
      </w:pPr>
    </w:p>
    <w:p w14:paraId="0EFF9F87">
      <w:pPr>
        <w:pStyle w:val="2"/>
        <w:bidi w:val="0"/>
        <w:jc w:val="center"/>
        <w:rPr>
          <w:rFonts w:hint="eastAsia"/>
          <w:color w:val="auto"/>
        </w:rPr>
      </w:pPr>
      <w:bookmarkStart w:id="0" w:name="_Toc14467"/>
      <w:bookmarkStart w:id="1" w:name="_Toc74323456"/>
      <w:r>
        <w:rPr>
          <w:rFonts w:hint="eastAsia"/>
          <w:color w:val="auto"/>
        </w:rPr>
        <w:t>第一章 竞争性磋商公告</w:t>
      </w:r>
      <w:bookmarkEnd w:id="0"/>
      <w:bookmarkEnd w:id="1"/>
    </w:p>
    <w:p w14:paraId="58E8DFD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12" w:firstLineChars="200"/>
        <w:textAlignment w:val="auto"/>
        <w:rPr>
          <w:rFonts w:ascii="宋体" w:hAnsi="宋体" w:eastAsia="宋体" w:cs="Times New Roman"/>
          <w:color w:val="auto"/>
          <w:szCs w:val="21"/>
          <w:highlight w:val="none"/>
        </w:rPr>
      </w:pPr>
      <w:bookmarkStart w:id="2" w:name="_Hlk37430271"/>
      <w:r>
        <w:rPr>
          <w:rFonts w:hint="eastAsia" w:ascii="宋体" w:hAnsi="宋体" w:eastAsia="宋体" w:cs="Times New Roman"/>
          <w:color w:val="auto"/>
          <w:szCs w:val="21"/>
          <w:highlight w:val="none"/>
        </w:rPr>
        <w:t>项目概况</w:t>
      </w:r>
    </w:p>
    <w:p w14:paraId="60BE00D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eastAsia="zh-CN"/>
        </w:rPr>
        <w:t>广西党风廉政教育基地(柳州监狱)工程</w:t>
      </w:r>
      <w:r>
        <w:rPr>
          <w:rFonts w:hint="eastAsia" w:ascii="宋体" w:hAnsi="宋体" w:eastAsia="宋体" w:cs="Times New Roman"/>
          <w:color w:val="auto"/>
          <w:szCs w:val="21"/>
          <w:highlight w:val="none"/>
        </w:rPr>
        <w:t>的潜在供应商应在广西政府采购云平台（https://www.gcy.zfcg.gxzf.gov.cn/）获取（下载）竞争性磋商文件，并于</w:t>
      </w:r>
      <w:r>
        <w:rPr>
          <w:rFonts w:ascii="宋体" w:hAnsi="宋体" w:eastAsia="宋体" w:cs="Times New Roman"/>
          <w:color w:val="auto"/>
          <w:szCs w:val="21"/>
          <w:highlight w:val="none"/>
          <w:u w:val="single"/>
        </w:rPr>
        <w:t>2024</w:t>
      </w:r>
      <w:r>
        <w:rPr>
          <w:rFonts w:hint="eastAsia" w:ascii="宋体" w:hAnsi="宋体" w:eastAsia="宋体" w:cs="Times New Roman"/>
          <w:bCs/>
          <w:color w:val="auto"/>
          <w:szCs w:val="21"/>
          <w:highlight w:val="none"/>
          <w:u w:val="single"/>
        </w:rPr>
        <w:t>年</w:t>
      </w:r>
      <w:r>
        <w:rPr>
          <w:rFonts w:hint="eastAsia" w:ascii="宋体" w:hAnsi="宋体" w:eastAsia="宋体" w:cs="Times New Roman"/>
          <w:bCs/>
          <w:color w:val="auto"/>
          <w:szCs w:val="21"/>
          <w:highlight w:val="none"/>
          <w:u w:val="single"/>
          <w:lang w:val="en-US" w:eastAsia="zh-CN"/>
        </w:rPr>
        <w:t>11</w:t>
      </w:r>
      <w:r>
        <w:rPr>
          <w:rFonts w:hint="eastAsia" w:ascii="宋体" w:hAnsi="宋体" w:eastAsia="宋体" w:cs="Times New Roman"/>
          <w:bCs/>
          <w:color w:val="auto"/>
          <w:szCs w:val="21"/>
          <w:highlight w:val="none"/>
          <w:u w:val="single"/>
        </w:rPr>
        <w:t>月</w:t>
      </w:r>
      <w:r>
        <w:rPr>
          <w:rFonts w:hint="eastAsia" w:ascii="宋体" w:hAnsi="宋体" w:eastAsia="宋体" w:cs="Times New Roman"/>
          <w:bCs/>
          <w:color w:val="auto"/>
          <w:szCs w:val="21"/>
          <w:highlight w:val="none"/>
          <w:u w:val="single"/>
          <w:lang w:val="en-US" w:eastAsia="zh-CN"/>
        </w:rPr>
        <w:t>5</w:t>
      </w:r>
      <w:r>
        <w:rPr>
          <w:rFonts w:hint="eastAsia" w:ascii="宋体" w:hAnsi="宋体" w:eastAsia="宋体" w:cs="Times New Roman"/>
          <w:bCs/>
          <w:color w:val="auto"/>
          <w:szCs w:val="21"/>
          <w:highlight w:val="none"/>
          <w:u w:val="single"/>
        </w:rPr>
        <w:t>日</w:t>
      </w:r>
      <w:r>
        <w:rPr>
          <w:rFonts w:hint="eastAsia" w:ascii="宋体" w:hAnsi="宋体" w:eastAsia="宋体" w:cs="Times New Roman"/>
          <w:bCs/>
          <w:color w:val="auto"/>
          <w:szCs w:val="21"/>
          <w:highlight w:val="none"/>
          <w:u w:val="single"/>
          <w:lang w:val="en-US" w:eastAsia="zh-CN"/>
        </w:rPr>
        <w:t>15</w:t>
      </w:r>
      <w:r>
        <w:rPr>
          <w:rFonts w:hint="eastAsia" w:ascii="宋体" w:hAnsi="宋体" w:eastAsia="宋体" w:cs="Times New Roman"/>
          <w:bCs/>
          <w:color w:val="auto"/>
          <w:szCs w:val="21"/>
          <w:highlight w:val="none"/>
          <w:u w:val="single"/>
        </w:rPr>
        <w:t>时</w:t>
      </w:r>
      <w:r>
        <w:rPr>
          <w:rFonts w:hint="eastAsia" w:ascii="宋体" w:hAnsi="宋体" w:eastAsia="宋体" w:cs="Times New Roman"/>
          <w:bCs/>
          <w:color w:val="auto"/>
          <w:szCs w:val="21"/>
          <w:highlight w:val="none"/>
          <w:u w:val="single"/>
          <w:lang w:val="en-US" w:eastAsia="zh-CN"/>
        </w:rPr>
        <w:t>30</w:t>
      </w:r>
      <w:r>
        <w:rPr>
          <w:rFonts w:hint="eastAsia" w:ascii="宋体" w:hAnsi="宋体" w:eastAsia="宋体" w:cs="Times New Roman"/>
          <w:bCs/>
          <w:color w:val="auto"/>
          <w:szCs w:val="21"/>
          <w:highlight w:val="none"/>
          <w:u w:val="single"/>
        </w:rPr>
        <w:t>分（</w:t>
      </w:r>
      <w:r>
        <w:rPr>
          <w:rFonts w:hint="eastAsia" w:ascii="宋体" w:hAnsi="宋体" w:eastAsia="宋体" w:cs="Times New Roman"/>
          <w:bCs/>
          <w:color w:val="auto"/>
          <w:szCs w:val="21"/>
          <w:highlight w:val="none"/>
        </w:rPr>
        <w:t>北京时间）前提交（上传）</w:t>
      </w:r>
      <w:r>
        <w:rPr>
          <w:rFonts w:hint="eastAsia" w:ascii="宋体" w:hAnsi="宋体" w:eastAsia="宋体" w:cs="Times New Roman"/>
          <w:color w:val="auto"/>
          <w:szCs w:val="21"/>
          <w:highlight w:val="none"/>
        </w:rPr>
        <w:t>响应</w:t>
      </w:r>
      <w:r>
        <w:rPr>
          <w:rFonts w:hint="eastAsia"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14:paraId="54C5B5C0">
      <w:pPr>
        <w:keepNext w:val="0"/>
        <w:keepLines w:val="0"/>
        <w:pageBreakBefore w:val="0"/>
        <w:kinsoku/>
        <w:wordWrap/>
        <w:overflowPunct/>
        <w:topLinePunct w:val="0"/>
        <w:autoSpaceDE/>
        <w:autoSpaceDN/>
        <w:bidi w:val="0"/>
        <w:adjustRightInd/>
        <w:snapToGrid/>
        <w:spacing w:line="360" w:lineRule="auto"/>
        <w:textAlignment w:val="auto"/>
        <w:rPr>
          <w:rFonts w:ascii="黑体" w:hAnsi="黑体" w:eastAsia="黑体" w:cs="Times New Roman"/>
          <w:b/>
          <w:color w:val="auto"/>
          <w:sz w:val="24"/>
          <w:szCs w:val="24"/>
          <w:highlight w:val="none"/>
        </w:rPr>
      </w:pPr>
      <w:bookmarkStart w:id="3" w:name="_Toc28359089"/>
      <w:bookmarkStart w:id="4" w:name="_Toc35393629"/>
      <w:bookmarkStart w:id="5" w:name="_Toc35393798"/>
      <w:bookmarkStart w:id="6" w:name="_Toc28359012"/>
      <w:bookmarkStart w:id="7" w:name="_Toc71365905"/>
      <w:bookmarkStart w:id="8" w:name="_Toc44229878"/>
      <w:r>
        <w:rPr>
          <w:rFonts w:hint="eastAsia" w:ascii="黑体" w:hAnsi="黑体" w:eastAsia="黑体" w:cs="Times New Roman"/>
          <w:b/>
          <w:color w:val="auto"/>
          <w:sz w:val="24"/>
          <w:szCs w:val="24"/>
          <w:highlight w:val="none"/>
        </w:rPr>
        <w:t>一、项目基本情况</w:t>
      </w:r>
      <w:bookmarkEnd w:id="3"/>
      <w:bookmarkEnd w:id="4"/>
      <w:bookmarkEnd w:id="5"/>
      <w:bookmarkEnd w:id="6"/>
      <w:bookmarkEnd w:id="7"/>
      <w:bookmarkEnd w:id="8"/>
    </w:p>
    <w:p w14:paraId="020872D8">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b w:val="0"/>
          <w:bCs w:val="0"/>
          <w:i w:val="0"/>
          <w:iCs w:val="0"/>
          <w:caps w:val="0"/>
          <w:color w:val="auto"/>
          <w:spacing w:val="0"/>
          <w:w w:val="100"/>
          <w:kern w:val="2"/>
          <w:sz w:val="21"/>
          <w:szCs w:val="21"/>
          <w:highlight w:val="none"/>
          <w:shd w:val="clear"/>
          <w:lang w:eastAsia="zh-CN"/>
        </w:rPr>
        <w:t>GXZC2024-C2-005672-GXCJ</w:t>
      </w:r>
    </w:p>
    <w:p w14:paraId="051C0ECB">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广西党风廉政教育基地(柳州监狱)工程</w:t>
      </w:r>
    </w:p>
    <w:p w14:paraId="29C312C6">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采购方式：竞争性磋商</w:t>
      </w:r>
    </w:p>
    <w:p w14:paraId="3DDB3E71">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hint="eastAsia" w:ascii="宋体" w:hAnsi="宋体" w:eastAsia="宋体" w:cs="宋体"/>
          <w:color w:val="auto"/>
          <w:kern w:val="0"/>
          <w:szCs w:val="21"/>
          <w:highlight w:val="none"/>
          <w:lang w:eastAsia="zh-CN"/>
        </w:rPr>
        <w:t>1799011.00</w:t>
      </w:r>
    </w:p>
    <w:p w14:paraId="05F217FC">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最高限价（元）：</w:t>
      </w:r>
      <w:r>
        <w:rPr>
          <w:rFonts w:hint="eastAsia" w:ascii="宋体" w:hAnsi="宋体" w:eastAsia="宋体" w:cs="宋体"/>
          <w:color w:val="auto"/>
          <w:kern w:val="0"/>
          <w:szCs w:val="21"/>
          <w:highlight w:val="none"/>
          <w:lang w:eastAsia="zh-CN"/>
        </w:rPr>
        <w:t>1562603.12</w:t>
      </w:r>
    </w:p>
    <w:p w14:paraId="634E749C">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bookmarkStart w:id="1671" w:name="_GoBack"/>
      <w:bookmarkEnd w:id="1671"/>
    </w:p>
    <w:tbl>
      <w:tblPr>
        <w:tblStyle w:val="28"/>
        <w:tblW w:w="513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4"/>
        <w:gridCol w:w="2159"/>
        <w:gridCol w:w="1251"/>
        <w:gridCol w:w="5162"/>
      </w:tblGrid>
      <w:tr w14:paraId="2C214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09" w:type="pct"/>
            <w:tcBorders>
              <w:top w:val="single" w:color="auto" w:sz="4" w:space="0"/>
              <w:left w:val="single" w:color="auto" w:sz="4" w:space="0"/>
              <w:bottom w:val="single" w:color="auto" w:sz="4" w:space="0"/>
              <w:right w:val="single" w:color="auto" w:sz="4" w:space="0"/>
            </w:tcBorders>
            <w:vAlign w:val="center"/>
          </w:tcPr>
          <w:p w14:paraId="54A8A5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156" w:type="pct"/>
            <w:tcBorders>
              <w:top w:val="single" w:color="auto" w:sz="4" w:space="0"/>
              <w:left w:val="single" w:color="auto" w:sz="4" w:space="0"/>
              <w:bottom w:val="single" w:color="auto" w:sz="4" w:space="0"/>
              <w:right w:val="single" w:color="auto" w:sz="4" w:space="0"/>
            </w:tcBorders>
            <w:vAlign w:val="center"/>
          </w:tcPr>
          <w:p w14:paraId="11AAD2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标的的名称</w:t>
            </w:r>
          </w:p>
        </w:tc>
        <w:tc>
          <w:tcPr>
            <w:tcW w:w="670" w:type="pct"/>
            <w:tcBorders>
              <w:top w:val="single" w:color="auto" w:sz="4" w:space="0"/>
              <w:left w:val="single" w:color="auto" w:sz="4" w:space="0"/>
              <w:bottom w:val="single" w:color="auto" w:sz="4" w:space="0"/>
              <w:right w:val="single" w:color="auto" w:sz="4" w:space="0"/>
            </w:tcBorders>
            <w:vAlign w:val="center"/>
          </w:tcPr>
          <w:p w14:paraId="6CB199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数量单位</w:t>
            </w:r>
          </w:p>
        </w:tc>
        <w:tc>
          <w:tcPr>
            <w:tcW w:w="2764" w:type="pct"/>
            <w:tcBorders>
              <w:top w:val="single" w:color="auto" w:sz="4" w:space="0"/>
              <w:left w:val="single" w:color="auto" w:sz="4" w:space="0"/>
              <w:bottom w:val="single" w:color="auto" w:sz="4" w:space="0"/>
              <w:right w:val="single" w:color="auto" w:sz="4" w:space="0"/>
            </w:tcBorders>
            <w:vAlign w:val="center"/>
          </w:tcPr>
          <w:p w14:paraId="5C7F5B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简要技术需求</w:t>
            </w:r>
          </w:p>
        </w:tc>
      </w:tr>
      <w:tr w14:paraId="61484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09" w:type="pct"/>
            <w:tcBorders>
              <w:top w:val="single" w:color="auto" w:sz="4" w:space="0"/>
              <w:left w:val="single" w:color="auto" w:sz="4" w:space="0"/>
              <w:bottom w:val="single" w:color="auto" w:sz="4" w:space="0"/>
              <w:right w:val="single" w:color="auto" w:sz="4" w:space="0"/>
            </w:tcBorders>
            <w:vAlign w:val="center"/>
          </w:tcPr>
          <w:p w14:paraId="7FAB94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156" w:type="pct"/>
            <w:tcBorders>
              <w:top w:val="single" w:color="auto" w:sz="4" w:space="0"/>
              <w:left w:val="single" w:color="auto" w:sz="4" w:space="0"/>
              <w:bottom w:val="single" w:color="auto" w:sz="4" w:space="0"/>
              <w:right w:val="single" w:color="auto" w:sz="4" w:space="0"/>
            </w:tcBorders>
            <w:vAlign w:val="center"/>
          </w:tcPr>
          <w:p w14:paraId="5E1B960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Times New Roman"/>
                <w:color w:val="auto"/>
                <w:szCs w:val="21"/>
                <w:highlight w:val="none"/>
                <w:lang w:eastAsia="zh-CN"/>
              </w:rPr>
            </w:pPr>
            <w:r>
              <w:rPr>
                <w:rFonts w:hint="eastAsia" w:ascii="宋体" w:hAnsi="宋体" w:eastAsia="宋体" w:cs="宋体"/>
                <w:color w:val="auto"/>
                <w:kern w:val="0"/>
                <w:szCs w:val="21"/>
                <w:highlight w:val="none"/>
                <w:lang w:eastAsia="zh-CN"/>
              </w:rPr>
              <w:t>广西党风廉政教育基地(柳州监狱)工程</w:t>
            </w:r>
          </w:p>
        </w:tc>
        <w:tc>
          <w:tcPr>
            <w:tcW w:w="670" w:type="pct"/>
            <w:tcBorders>
              <w:top w:val="single" w:color="auto" w:sz="4" w:space="0"/>
              <w:left w:val="single" w:color="auto" w:sz="4" w:space="0"/>
              <w:bottom w:val="single" w:color="auto" w:sz="4" w:space="0"/>
              <w:right w:val="single" w:color="auto" w:sz="4" w:space="0"/>
            </w:tcBorders>
            <w:vAlign w:val="center"/>
          </w:tcPr>
          <w:p w14:paraId="42F7DD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w:t>
            </w:r>
          </w:p>
        </w:tc>
        <w:tc>
          <w:tcPr>
            <w:tcW w:w="2764" w:type="pct"/>
            <w:tcBorders>
              <w:top w:val="single" w:color="auto" w:sz="4" w:space="0"/>
              <w:left w:val="single" w:color="auto" w:sz="4" w:space="0"/>
              <w:bottom w:val="single" w:color="auto" w:sz="4" w:space="0"/>
              <w:right w:val="single" w:color="auto" w:sz="4" w:space="0"/>
            </w:tcBorders>
            <w:vAlign w:val="center"/>
          </w:tcPr>
          <w:p w14:paraId="4B57DD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本项目为广西党风廉政教育基地(柳州监狱)工程，位于广西壮族自治区柳州市柳南区洛满镇露塘，对廉政教育基地1栋进行改造，具体内容详见本采购文件的采购需求。</w:t>
            </w:r>
          </w:p>
        </w:tc>
      </w:tr>
    </w:tbl>
    <w:p w14:paraId="5FE6913A">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cs="Times New Roman"/>
          <w:color w:val="auto"/>
          <w:szCs w:val="21"/>
          <w:highlight w:val="none"/>
        </w:rPr>
      </w:pPr>
      <w:r>
        <w:rPr>
          <w:rFonts w:hint="eastAsia" w:ascii="宋体" w:hAnsi="宋体" w:eastAsia="宋体" w:cs="Times New Roman"/>
          <w:color w:val="auto"/>
          <w:szCs w:val="21"/>
          <w:highlight w:val="none"/>
        </w:rPr>
        <w:t>合同</w:t>
      </w:r>
      <w:r>
        <w:rPr>
          <w:rFonts w:hint="eastAsia" w:ascii="宋体" w:hAnsi="宋体" w:eastAsia="宋体" w:cs="Times New Roman"/>
          <w:color w:val="auto"/>
          <w:szCs w:val="21"/>
          <w:highlight w:val="none"/>
          <w:lang w:val="en-US" w:eastAsia="zh-CN"/>
        </w:rPr>
        <w:t>履约</w:t>
      </w:r>
      <w:r>
        <w:rPr>
          <w:rFonts w:hint="eastAsia" w:ascii="宋体" w:hAnsi="宋体" w:eastAsia="宋体" w:cs="Times New Roman"/>
          <w:color w:val="auto"/>
          <w:szCs w:val="21"/>
          <w:highlight w:val="none"/>
        </w:rPr>
        <w:t>期限：</w:t>
      </w:r>
      <w:r>
        <w:rPr>
          <w:rFonts w:hint="eastAsia" w:ascii="宋体" w:hAnsi="宋体" w:eastAsia="宋体" w:cs="Times New Roman"/>
          <w:color w:val="auto"/>
          <w:szCs w:val="21"/>
          <w:highlight w:val="none"/>
          <w:lang w:val="en-US" w:eastAsia="zh-CN"/>
        </w:rPr>
        <w:t>40</w:t>
      </w:r>
      <w:r>
        <w:rPr>
          <w:rFonts w:hint="eastAsia" w:ascii="宋体" w:hAnsi="宋体" w:eastAsia="宋体" w:cs="Times New Roman"/>
          <w:color w:val="auto"/>
          <w:szCs w:val="21"/>
          <w:highlight w:val="none"/>
        </w:rPr>
        <w:t>日历天。</w:t>
      </w:r>
    </w:p>
    <w:p w14:paraId="1C554C0E">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bookmarkStart w:id="9" w:name="_Toc28359090"/>
      <w:bookmarkStart w:id="10" w:name="_Toc44229879"/>
      <w:bookmarkStart w:id="11" w:name="_Toc28359013"/>
      <w:bookmarkStart w:id="12" w:name="_Toc35393630"/>
      <w:bookmarkStart w:id="13" w:name="_Toc71365906"/>
      <w:bookmarkStart w:id="14" w:name="_Toc35393799"/>
      <w:r>
        <w:rPr>
          <w:rFonts w:hint="eastAsia" w:ascii="宋体" w:hAnsi="宋体" w:eastAsia="宋体" w:cs="Times New Roman"/>
          <w:color w:val="auto"/>
          <w:szCs w:val="21"/>
          <w:highlight w:val="none"/>
        </w:rPr>
        <w:t>本标项（否）接受联合体</w:t>
      </w:r>
      <w:r>
        <w:rPr>
          <w:rFonts w:hint="eastAsia" w:ascii="宋体" w:hAnsi="宋体" w:eastAsia="宋体" w:cs="Times New Roman"/>
          <w:color w:val="auto"/>
          <w:szCs w:val="21"/>
          <w:highlight w:val="none"/>
          <w:lang w:eastAsia="zh-CN"/>
        </w:rPr>
        <w:t>竞</w:t>
      </w:r>
      <w:r>
        <w:rPr>
          <w:rFonts w:hint="eastAsia" w:ascii="宋体" w:hAnsi="宋体" w:eastAsia="宋体" w:cs="Times New Roman"/>
          <w:color w:val="auto"/>
          <w:szCs w:val="21"/>
          <w:highlight w:val="none"/>
        </w:rPr>
        <w:t>标</w:t>
      </w:r>
    </w:p>
    <w:p w14:paraId="42FA131A">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备注：无。</w:t>
      </w:r>
    </w:p>
    <w:p w14:paraId="344D626E">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r>
        <w:rPr>
          <w:rFonts w:hint="eastAsia" w:ascii="黑体" w:hAnsi="黑体" w:eastAsia="黑体" w:cs="Times New Roman"/>
          <w:b/>
          <w:color w:val="auto"/>
          <w:sz w:val="24"/>
          <w:szCs w:val="24"/>
          <w:highlight w:val="none"/>
        </w:rPr>
        <w:t>二、</w:t>
      </w:r>
      <w:bookmarkEnd w:id="9"/>
      <w:bookmarkEnd w:id="10"/>
      <w:bookmarkEnd w:id="11"/>
      <w:bookmarkEnd w:id="12"/>
      <w:bookmarkEnd w:id="13"/>
      <w:bookmarkEnd w:id="14"/>
      <w:r>
        <w:rPr>
          <w:rFonts w:hint="eastAsia" w:ascii="黑体" w:hAnsi="黑体" w:eastAsia="黑体" w:cs="Times New Roman"/>
          <w:b/>
          <w:color w:val="auto"/>
          <w:sz w:val="24"/>
          <w:szCs w:val="24"/>
          <w:highlight w:val="none"/>
        </w:rPr>
        <w:t>申请人的资格要求：</w:t>
      </w:r>
    </w:p>
    <w:p w14:paraId="0BEF7634">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color w:val="auto"/>
          <w:szCs w:val="21"/>
          <w:highlight w:val="none"/>
        </w:rPr>
      </w:pPr>
      <w:bookmarkStart w:id="15" w:name="_Toc44229880"/>
      <w:bookmarkStart w:id="16" w:name="_Toc28359014"/>
      <w:bookmarkStart w:id="17" w:name="_Toc35393800"/>
      <w:bookmarkStart w:id="18" w:name="_Toc35393631"/>
      <w:bookmarkStart w:id="19" w:name="_Toc28359091"/>
      <w:r>
        <w:rPr>
          <w:rFonts w:hint="eastAsia" w:ascii="宋体" w:hAnsi="宋体" w:eastAsia="宋体" w:cs="Times New Roman"/>
          <w:color w:val="auto"/>
          <w:szCs w:val="21"/>
          <w:highlight w:val="none"/>
        </w:rPr>
        <w:t>1.满足《中华人民共和国政府采购法》第二十二条规定；</w:t>
      </w:r>
    </w:p>
    <w:p w14:paraId="53B0211C">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w:t>
      </w:r>
      <w:r>
        <w:rPr>
          <w:rFonts w:hint="eastAsia" w:ascii="宋体" w:hAnsi="宋体" w:eastAsia="宋体" w:cs="Times New Roman"/>
          <w:color w:val="auto"/>
          <w:szCs w:val="21"/>
          <w:highlight w:val="none"/>
          <w:lang w:eastAsia="zh-CN"/>
        </w:rPr>
        <w:t>本项目属于</w:t>
      </w:r>
      <w:r>
        <w:rPr>
          <w:rFonts w:hint="eastAsia" w:ascii="宋体" w:hAnsi="宋体" w:eastAsia="宋体" w:cs="宋体"/>
          <w:color w:val="auto"/>
          <w:szCs w:val="21"/>
          <w:highlight w:val="none"/>
        </w:rPr>
        <w:t>专门面向中小企业采购的项目（供应商应为中小微企业或监狱企业或残疾人福利性单位)</w:t>
      </w:r>
    </w:p>
    <w:p w14:paraId="50194C8D">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3.本项目的特定资格要求：供应商须具备建筑工程施工总承包三级及以上（含三级）资质，且具有有效的安全生产许可证，并在人员、设备、资金等方面具有相应的施工能力。</w:t>
      </w:r>
    </w:p>
    <w:p w14:paraId="30E698A8">
      <w:pPr>
        <w:keepNext w:val="0"/>
        <w:keepLines w:val="0"/>
        <w:pageBreakBefore w:val="0"/>
        <w:kinsoku/>
        <w:wordWrap/>
        <w:overflowPunct/>
        <w:topLinePunct w:val="0"/>
        <w:autoSpaceDE/>
        <w:autoSpaceDN/>
        <w:bidi w:val="0"/>
        <w:adjustRightInd/>
        <w:snapToGrid/>
        <w:spacing w:line="360" w:lineRule="auto"/>
        <w:ind w:left="0" w:leftChars="0" w:firstLine="412"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0B3471">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bookmarkStart w:id="20" w:name="_Toc71365907"/>
    </w:p>
    <w:p w14:paraId="075F14A4">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r>
        <w:rPr>
          <w:rFonts w:hint="eastAsia" w:ascii="黑体" w:hAnsi="黑体" w:eastAsia="黑体" w:cs="Times New Roman"/>
          <w:b/>
          <w:color w:val="auto"/>
          <w:sz w:val="24"/>
          <w:szCs w:val="24"/>
          <w:highlight w:val="none"/>
        </w:rPr>
        <w:t>三、</w:t>
      </w:r>
      <w:bookmarkEnd w:id="15"/>
      <w:bookmarkEnd w:id="16"/>
      <w:bookmarkEnd w:id="17"/>
      <w:bookmarkEnd w:id="18"/>
      <w:bookmarkEnd w:id="19"/>
      <w:bookmarkEnd w:id="20"/>
      <w:r>
        <w:rPr>
          <w:rFonts w:hint="eastAsia" w:ascii="黑体" w:hAnsi="黑体" w:eastAsia="黑体" w:cs="Times New Roman"/>
          <w:b/>
          <w:color w:val="auto"/>
          <w:sz w:val="24"/>
          <w:szCs w:val="24"/>
          <w:highlight w:val="none"/>
        </w:rPr>
        <w:t>获取采购文件</w:t>
      </w:r>
    </w:p>
    <w:p w14:paraId="6EC29031">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bCs/>
          <w:color w:val="auto"/>
          <w:kern w:val="0"/>
          <w:szCs w:val="21"/>
          <w:highlight w:val="none"/>
          <w:u w:val="none"/>
        </w:rPr>
      </w:pPr>
      <w:bookmarkStart w:id="21" w:name="_Toc28359092"/>
      <w:bookmarkStart w:id="22" w:name="_Toc44229881"/>
      <w:bookmarkStart w:id="23" w:name="_Toc28359015"/>
      <w:bookmarkStart w:id="24" w:name="_Toc35393632"/>
      <w:bookmarkStart w:id="25" w:name="_Toc35393801"/>
      <w:r>
        <w:rPr>
          <w:rFonts w:hint="eastAsia" w:ascii="宋体" w:hAnsi="宋体" w:eastAsia="宋体" w:cs="宋体"/>
          <w:bCs/>
          <w:color w:val="auto"/>
          <w:kern w:val="0"/>
          <w:szCs w:val="21"/>
          <w:highlight w:val="none"/>
        </w:rPr>
        <w:t>时间：</w:t>
      </w:r>
      <w:r>
        <w:rPr>
          <w:rFonts w:hint="eastAsia" w:ascii="宋体" w:hAnsi="宋体" w:eastAsia="宋体" w:cs="Times New Roman"/>
          <w:bCs/>
          <w:color w:val="auto"/>
          <w:szCs w:val="21"/>
          <w:highlight w:val="none"/>
          <w:u w:val="none"/>
        </w:rPr>
        <w:t>2024年</w:t>
      </w:r>
      <w:r>
        <w:rPr>
          <w:rFonts w:hint="eastAsia" w:ascii="宋体" w:hAnsi="宋体" w:eastAsia="宋体" w:cs="Times New Roman"/>
          <w:bCs/>
          <w:color w:val="auto"/>
          <w:szCs w:val="21"/>
          <w:highlight w:val="none"/>
          <w:u w:val="none"/>
          <w:lang w:val="en-US" w:eastAsia="zh-CN"/>
        </w:rPr>
        <w:t>10</w:t>
      </w:r>
      <w:r>
        <w:rPr>
          <w:rFonts w:hint="eastAsia" w:ascii="宋体" w:hAnsi="宋体" w:eastAsia="宋体" w:cs="Times New Roman"/>
          <w:bCs/>
          <w:color w:val="auto"/>
          <w:szCs w:val="21"/>
          <w:highlight w:val="none"/>
          <w:u w:val="none"/>
        </w:rPr>
        <w:t>月</w:t>
      </w:r>
      <w:r>
        <w:rPr>
          <w:rFonts w:hint="eastAsia" w:ascii="宋体" w:hAnsi="宋体" w:eastAsia="宋体" w:cs="Times New Roman"/>
          <w:bCs/>
          <w:color w:val="auto"/>
          <w:szCs w:val="21"/>
          <w:highlight w:val="none"/>
          <w:u w:val="none"/>
          <w:lang w:val="en-US" w:eastAsia="zh-CN"/>
        </w:rPr>
        <w:t>24</w:t>
      </w:r>
      <w:r>
        <w:rPr>
          <w:rFonts w:hint="eastAsia" w:ascii="宋体" w:hAnsi="宋体" w:eastAsia="宋体" w:cs="Times New Roman"/>
          <w:bCs/>
          <w:color w:val="auto"/>
          <w:szCs w:val="21"/>
          <w:highlight w:val="none"/>
          <w:u w:val="none"/>
        </w:rPr>
        <w:t>日至2024年</w:t>
      </w:r>
      <w:r>
        <w:rPr>
          <w:rFonts w:hint="eastAsia" w:ascii="宋体" w:hAnsi="宋体" w:eastAsia="宋体" w:cs="Times New Roman"/>
          <w:bCs/>
          <w:color w:val="auto"/>
          <w:szCs w:val="21"/>
          <w:highlight w:val="none"/>
          <w:u w:val="none"/>
          <w:lang w:val="en-US" w:eastAsia="zh-CN"/>
        </w:rPr>
        <w:t>10</w:t>
      </w:r>
      <w:r>
        <w:rPr>
          <w:rFonts w:hint="eastAsia" w:ascii="宋体" w:hAnsi="宋体" w:eastAsia="宋体" w:cs="Times New Roman"/>
          <w:bCs/>
          <w:color w:val="auto"/>
          <w:szCs w:val="21"/>
          <w:highlight w:val="none"/>
          <w:u w:val="none"/>
        </w:rPr>
        <w:t>月</w:t>
      </w:r>
      <w:r>
        <w:rPr>
          <w:rFonts w:hint="eastAsia" w:ascii="宋体" w:hAnsi="宋体" w:eastAsia="宋体" w:cs="Times New Roman"/>
          <w:bCs/>
          <w:color w:val="auto"/>
          <w:szCs w:val="21"/>
          <w:highlight w:val="none"/>
          <w:u w:val="none"/>
          <w:lang w:val="en-US" w:eastAsia="zh-CN"/>
        </w:rPr>
        <w:t>31</w:t>
      </w:r>
      <w:r>
        <w:rPr>
          <w:rFonts w:hint="eastAsia" w:ascii="宋体" w:hAnsi="宋体" w:eastAsia="宋体" w:cs="Times New Roman"/>
          <w:bCs/>
          <w:color w:val="auto"/>
          <w:szCs w:val="21"/>
          <w:highlight w:val="none"/>
          <w:u w:val="none"/>
        </w:rPr>
        <w:t>日（北京时间，法定节假日除外）</w:t>
      </w:r>
    </w:p>
    <w:p w14:paraId="31C45937">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地点（网址）：广西政府采购云平台（https://www.gcy.zfcg.gxzf.gov.cn/）</w:t>
      </w:r>
    </w:p>
    <w:p w14:paraId="286B395E">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40A359DE">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售价：</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p>
    <w:p w14:paraId="60FC8C55">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bookmarkStart w:id="26" w:name="_Toc71365908"/>
      <w:r>
        <w:rPr>
          <w:rFonts w:hint="eastAsia" w:ascii="黑体" w:hAnsi="黑体" w:eastAsia="黑体" w:cs="Times New Roman"/>
          <w:b/>
          <w:color w:val="auto"/>
          <w:sz w:val="24"/>
          <w:szCs w:val="24"/>
          <w:highlight w:val="none"/>
        </w:rPr>
        <w:t>四、响应文件提交</w:t>
      </w:r>
      <w:bookmarkEnd w:id="21"/>
      <w:bookmarkEnd w:id="22"/>
      <w:bookmarkEnd w:id="23"/>
      <w:bookmarkEnd w:id="24"/>
      <w:bookmarkEnd w:id="25"/>
      <w:bookmarkEnd w:id="26"/>
    </w:p>
    <w:p w14:paraId="78C36DE7">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szCs w:val="21"/>
          <w:highlight w:val="none"/>
          <w:u w:val="single"/>
        </w:rPr>
      </w:pPr>
      <w:bookmarkStart w:id="27" w:name="_Toc28359016"/>
      <w:bookmarkStart w:id="28" w:name="_Toc35393802"/>
      <w:bookmarkStart w:id="29" w:name="_Toc28359093"/>
      <w:bookmarkStart w:id="30" w:name="_Toc35393633"/>
      <w:bookmarkStart w:id="31" w:name="_Toc44229882"/>
      <w:r>
        <w:rPr>
          <w:rFonts w:hint="eastAsia" w:ascii="宋体" w:hAnsi="宋体" w:eastAsia="宋体" w:cs="Times New Roman"/>
          <w:color w:val="auto"/>
          <w:szCs w:val="21"/>
          <w:highlight w:val="none"/>
        </w:rPr>
        <w:t>截止时间：</w:t>
      </w:r>
      <w:r>
        <w:rPr>
          <w:rFonts w:hint="eastAsia" w:ascii="宋体" w:hAnsi="宋体" w:eastAsia="宋体" w:cs="Times New Roman"/>
          <w:bCs/>
          <w:color w:val="auto"/>
          <w:szCs w:val="21"/>
          <w:highlight w:val="none"/>
          <w:u w:val="none"/>
        </w:rPr>
        <w:t>2024年11月5日15时30分</w:t>
      </w:r>
      <w:r>
        <w:rPr>
          <w:rFonts w:hint="eastAsia" w:ascii="宋体" w:hAnsi="宋体" w:eastAsia="宋体" w:cs="Times New Roman"/>
          <w:bCs/>
          <w:color w:val="auto"/>
          <w:szCs w:val="21"/>
          <w:highlight w:val="none"/>
        </w:rPr>
        <w:t>（北京时间）</w:t>
      </w:r>
    </w:p>
    <w:p w14:paraId="1E0866C9">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地点（网址）：请登录广西政府采购云平台竞标客户端竞标</w:t>
      </w:r>
    </w:p>
    <w:p w14:paraId="2F8347E5">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bookmarkStart w:id="32" w:name="_Toc71365909"/>
      <w:r>
        <w:rPr>
          <w:rFonts w:hint="eastAsia" w:ascii="黑体" w:hAnsi="黑体" w:eastAsia="黑体" w:cs="Times New Roman"/>
          <w:b/>
          <w:color w:val="auto"/>
          <w:sz w:val="24"/>
          <w:szCs w:val="24"/>
          <w:highlight w:val="none"/>
        </w:rPr>
        <w:t>五、</w:t>
      </w:r>
      <w:bookmarkEnd w:id="27"/>
      <w:bookmarkEnd w:id="28"/>
      <w:bookmarkEnd w:id="29"/>
      <w:bookmarkEnd w:id="30"/>
      <w:bookmarkEnd w:id="31"/>
      <w:bookmarkEnd w:id="32"/>
      <w:r>
        <w:rPr>
          <w:rFonts w:hint="eastAsia" w:ascii="黑体" w:hAnsi="黑体" w:eastAsia="黑体" w:cs="Times New Roman"/>
          <w:b/>
          <w:color w:val="auto"/>
          <w:sz w:val="24"/>
          <w:szCs w:val="24"/>
          <w:highlight w:val="none"/>
        </w:rPr>
        <w:t>响应文件开启</w:t>
      </w:r>
    </w:p>
    <w:p w14:paraId="45A4D80F">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lang w:val="en-US" w:eastAsia="zh-CN"/>
        </w:rPr>
        <w:t>开启</w:t>
      </w:r>
      <w:r>
        <w:rPr>
          <w:rFonts w:hint="eastAsia" w:ascii="宋体" w:hAnsi="宋体" w:eastAsia="宋体" w:cs="Times New Roman"/>
          <w:color w:val="auto"/>
          <w:szCs w:val="21"/>
          <w:highlight w:val="none"/>
        </w:rPr>
        <w:t>时间：</w:t>
      </w:r>
      <w:r>
        <w:rPr>
          <w:rFonts w:hint="eastAsia" w:ascii="宋体" w:hAnsi="宋体" w:eastAsia="宋体" w:cs="Times New Roman"/>
          <w:bCs/>
          <w:color w:val="auto"/>
          <w:szCs w:val="21"/>
          <w:highlight w:val="none"/>
          <w:u w:val="none"/>
        </w:rPr>
        <w:t>2024年11月5日15时30分</w:t>
      </w:r>
      <w:r>
        <w:rPr>
          <w:rFonts w:hint="eastAsia" w:ascii="宋体" w:hAnsi="宋体" w:eastAsia="宋体" w:cs="Times New Roman"/>
          <w:bCs/>
          <w:color w:val="auto"/>
          <w:szCs w:val="21"/>
          <w:highlight w:val="none"/>
        </w:rPr>
        <w:t>（北京时间）</w:t>
      </w:r>
    </w:p>
    <w:p w14:paraId="5BD697B8">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地点：广西政府采购云平台https://www.gcy.zfcg.gxzf.gov.cn/</w:t>
      </w:r>
    </w:p>
    <w:p w14:paraId="0B7B21DA">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bookmarkStart w:id="33" w:name="_Toc71365910"/>
      <w:bookmarkStart w:id="34" w:name="_Toc28359094"/>
      <w:bookmarkStart w:id="35" w:name="_Toc28359017"/>
      <w:bookmarkStart w:id="36" w:name="_Toc35393634"/>
      <w:bookmarkStart w:id="37" w:name="_Toc35393803"/>
      <w:bookmarkStart w:id="38" w:name="_Toc44229883"/>
      <w:r>
        <w:rPr>
          <w:rFonts w:hint="eastAsia" w:ascii="黑体" w:hAnsi="黑体" w:eastAsia="黑体" w:cs="Times New Roman"/>
          <w:b/>
          <w:color w:val="auto"/>
          <w:sz w:val="24"/>
          <w:szCs w:val="24"/>
          <w:highlight w:val="none"/>
        </w:rPr>
        <w:t>六、公告期限</w:t>
      </w:r>
      <w:bookmarkEnd w:id="33"/>
      <w:bookmarkEnd w:id="34"/>
      <w:bookmarkEnd w:id="35"/>
      <w:bookmarkEnd w:id="36"/>
      <w:bookmarkEnd w:id="37"/>
      <w:bookmarkEnd w:id="38"/>
    </w:p>
    <w:p w14:paraId="3165010E">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ADB53AB">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bookmarkStart w:id="39" w:name="_Toc44229884"/>
      <w:bookmarkStart w:id="40" w:name="_Toc35393804"/>
      <w:bookmarkStart w:id="41" w:name="_Toc71365911"/>
      <w:bookmarkStart w:id="42" w:name="_Toc35393635"/>
      <w:r>
        <w:rPr>
          <w:rFonts w:hint="eastAsia" w:ascii="黑体" w:hAnsi="黑体" w:eastAsia="黑体" w:cs="Times New Roman"/>
          <w:b/>
          <w:color w:val="auto"/>
          <w:sz w:val="24"/>
          <w:szCs w:val="24"/>
          <w:highlight w:val="none"/>
        </w:rPr>
        <w:t>七、其他补充事宜</w:t>
      </w:r>
      <w:bookmarkEnd w:id="39"/>
      <w:bookmarkEnd w:id="40"/>
      <w:bookmarkEnd w:id="41"/>
      <w:bookmarkEnd w:id="42"/>
      <w:r>
        <w:rPr>
          <w:rFonts w:hint="eastAsia" w:ascii="黑体" w:hAnsi="黑体" w:eastAsia="黑体" w:cs="Times New Roman"/>
          <w:b/>
          <w:color w:val="auto"/>
          <w:sz w:val="24"/>
          <w:szCs w:val="24"/>
          <w:highlight w:val="none"/>
        </w:rPr>
        <w:tab/>
      </w:r>
    </w:p>
    <w:p w14:paraId="3D00AFE3">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网上查询地址</w:t>
      </w:r>
    </w:p>
    <w:p w14:paraId="7E3EC6A5">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中国政府采购网（http://www.ccgp.gov.cn）、广西壮族自治区政府采购网（http://zfcg.gxzf.gov.cn）</w:t>
      </w:r>
    </w:p>
    <w:p w14:paraId="64260822">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kern w:val="0"/>
          <w:szCs w:val="21"/>
          <w:highlight w:val="none"/>
        </w:rPr>
      </w:pPr>
      <w:bookmarkStart w:id="43" w:name="_Hlk37429674"/>
      <w:bookmarkStart w:id="44" w:name="_Toc35393636"/>
      <w:bookmarkStart w:id="45" w:name="_Toc44229885"/>
      <w:bookmarkStart w:id="46" w:name="_Toc28359095"/>
      <w:bookmarkStart w:id="47" w:name="_Toc35393805"/>
      <w:bookmarkStart w:id="48" w:name="_Toc28359018"/>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宋体"/>
          <w:color w:val="auto"/>
          <w:kern w:val="0"/>
          <w:szCs w:val="21"/>
          <w:highlight w:val="none"/>
        </w:rPr>
        <w:t>本项目需要落实的政府采购政策</w:t>
      </w:r>
    </w:p>
    <w:p w14:paraId="103D0A4A">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（1）政府采购促进中小企业发展。</w:t>
      </w:r>
    </w:p>
    <w:p w14:paraId="4AB4BE68">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（2）政府采购支持采用本国产品的政策。</w:t>
      </w:r>
    </w:p>
    <w:p w14:paraId="0200EB0F">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（3）强制采购节能产品；优先采购节能产品、环境标志产品。</w:t>
      </w:r>
    </w:p>
    <w:p w14:paraId="76F97DDD">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（4）政府采购促进残疾人就业政策。</w:t>
      </w:r>
    </w:p>
    <w:p w14:paraId="2E70AA05">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（5）政府采购支持监狱企业发展。</w:t>
      </w:r>
    </w:p>
    <w:bookmarkEnd w:id="43"/>
    <w:p w14:paraId="44B6591B">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3.</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标保证金：人民币壹万元整（</w:t>
      </w:r>
      <w:r>
        <w:rPr>
          <w:rFonts w:hint="default" w:ascii="Arial" w:hAnsi="Arial" w:eastAsia="宋体" w:cs="Arial"/>
          <w:iCs/>
          <w:color w:val="auto"/>
          <w:kern w:val="0"/>
          <w:szCs w:val="21"/>
          <w:highlight w:val="none"/>
        </w:rPr>
        <w:t>¥</w:t>
      </w:r>
      <w:r>
        <w:rPr>
          <w:rFonts w:hint="eastAsia" w:ascii="宋体" w:hAnsi="宋体" w:eastAsia="宋体" w:cs="宋体"/>
          <w:iCs/>
          <w:color w:val="auto"/>
          <w:kern w:val="0"/>
          <w:szCs w:val="21"/>
          <w:highlight w:val="none"/>
        </w:rPr>
        <w:t>10000.00）。</w:t>
      </w:r>
    </w:p>
    <w:p w14:paraId="1B657F97">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标保证金的交纳方式：银行转账、支票、汇票、本票或者金融、担保机构出具的保函，禁止采用现钞方式。采用银行转账方式的，在</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标截止时间前交至指定账户并且到账（开户名称：广西城建咨询设计有限公司；开户银行：</w:t>
      </w:r>
      <w:r>
        <w:rPr>
          <w:rFonts w:hint="eastAsia" w:ascii="宋体" w:hAnsi="宋体" w:eastAsia="宋体" w:cs="宋体"/>
          <w:iCs/>
          <w:color w:val="auto"/>
          <w:kern w:val="0"/>
          <w:szCs w:val="21"/>
          <w:highlight w:val="none"/>
          <w:lang w:eastAsia="zh-CN"/>
        </w:rPr>
        <w:t>中国建设银行股份有限公司南宁民族大道东支行</w:t>
      </w:r>
      <w:r>
        <w:rPr>
          <w:rFonts w:hint="eastAsia" w:ascii="宋体" w:hAnsi="宋体" w:eastAsia="宋体" w:cs="宋体"/>
          <w:iCs/>
          <w:color w:val="auto"/>
          <w:kern w:val="0"/>
          <w:szCs w:val="21"/>
          <w:highlight w:val="none"/>
        </w:rPr>
        <w:t xml:space="preserve">；银行账号： </w:t>
      </w:r>
      <w:r>
        <w:rPr>
          <w:rFonts w:hint="eastAsia" w:ascii="宋体" w:hAnsi="宋体" w:eastAsia="宋体" w:cs="宋体"/>
          <w:iCs/>
          <w:color w:val="auto"/>
          <w:kern w:val="0"/>
          <w:szCs w:val="21"/>
          <w:highlight w:val="none"/>
          <w:lang w:eastAsia="zh-CN"/>
        </w:rPr>
        <w:t>4500 1604 6530 5070 3663</w:t>
      </w:r>
      <w:r>
        <w:rPr>
          <w:rFonts w:hint="eastAsia" w:ascii="宋体" w:hAnsi="宋体" w:eastAsia="宋体" w:cs="宋体"/>
          <w:iCs/>
          <w:color w:val="auto"/>
          <w:kern w:val="0"/>
          <w:szCs w:val="21"/>
          <w:highlight w:val="none"/>
        </w:rPr>
        <w:t>）；采用支票、汇票、本票或者保函等方式的，在</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标截止时间前，</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标人必须向采购代理机构递交支票、汇票、本票或者保函原件。否则视为无效</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标保证金。</w:t>
      </w:r>
    </w:p>
    <w:p w14:paraId="154EE7B1">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注：办理</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标保证金手续时，请在银行进帐单的用途或空白栏上注明竞标项目名称(或项目编号)，以免耽误</w:t>
      </w:r>
      <w:r>
        <w:rPr>
          <w:rFonts w:hint="eastAsia" w:ascii="宋体" w:hAnsi="宋体" w:eastAsia="宋体" w:cs="宋体"/>
          <w:iCs/>
          <w:color w:val="auto"/>
          <w:kern w:val="0"/>
          <w:szCs w:val="21"/>
          <w:highlight w:val="none"/>
          <w:lang w:eastAsia="zh-CN"/>
        </w:rPr>
        <w:t>竞</w:t>
      </w:r>
      <w:r>
        <w:rPr>
          <w:rFonts w:hint="eastAsia" w:ascii="宋体" w:hAnsi="宋体" w:eastAsia="宋体" w:cs="宋体"/>
          <w:iCs/>
          <w:color w:val="auto"/>
          <w:kern w:val="0"/>
          <w:szCs w:val="21"/>
          <w:highlight w:val="none"/>
        </w:rPr>
        <w:t>标。</w:t>
      </w:r>
    </w:p>
    <w:p w14:paraId="5426539C">
      <w:pPr>
        <w:keepNext w:val="0"/>
        <w:keepLines w:val="0"/>
        <w:pageBreakBefore w:val="0"/>
        <w:widowControl/>
        <w:kinsoku/>
        <w:wordWrap/>
        <w:overflowPunct/>
        <w:topLinePunct w:val="0"/>
        <w:autoSpaceDE/>
        <w:autoSpaceDN/>
        <w:bidi w:val="0"/>
        <w:adjustRightInd/>
        <w:snapToGrid/>
        <w:spacing w:line="360" w:lineRule="auto"/>
        <w:ind w:left="0" w:leftChars="0" w:firstLine="412" w:firstLineChars="200"/>
        <w:contextualSpacing/>
        <w:jc w:val="left"/>
        <w:textAlignment w:val="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4.供应商</w:t>
      </w:r>
      <w:r>
        <w:rPr>
          <w:rFonts w:hint="eastAsia" w:ascii="宋体" w:hAnsi="宋体" w:eastAsia="宋体" w:cs="Times New Roman"/>
          <w:color w:val="auto"/>
          <w:szCs w:val="21"/>
          <w:highlight w:val="none"/>
        </w:rPr>
        <w:t>竞标注意事项</w:t>
      </w:r>
    </w:p>
    <w:p w14:paraId="49ED7BE5">
      <w:pPr>
        <w:keepNext w:val="0"/>
        <w:keepLines w:val="0"/>
        <w:pageBreakBefore w:val="0"/>
        <w:widowControl/>
        <w:kinsoku/>
        <w:wordWrap/>
        <w:overflowPunct/>
        <w:topLinePunct w:val="0"/>
        <w:autoSpaceDE/>
        <w:autoSpaceDN/>
        <w:bidi w:val="0"/>
        <w:adjustRightInd/>
        <w:snapToGrid/>
        <w:spacing w:line="360" w:lineRule="auto"/>
        <w:ind w:left="0" w:leftChars="0" w:firstLine="412" w:firstLineChars="200"/>
        <w:contextualSpacing/>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w:t>
      </w:r>
      <w:r>
        <w:rPr>
          <w:rFonts w:hint="eastAsia" w:ascii="宋体" w:hAnsi="宋体" w:eastAsia="宋体" w:cs="Times New Roman"/>
          <w:color w:val="auto"/>
          <w:szCs w:val="21"/>
          <w:highlight w:val="none"/>
          <w:lang w:eastAsia="zh-CN"/>
        </w:rPr>
        <w:t>竞</w:t>
      </w:r>
      <w:r>
        <w:rPr>
          <w:rFonts w:hint="eastAsia" w:ascii="宋体" w:hAnsi="宋体" w:eastAsia="宋体" w:cs="Times New Roman"/>
          <w:color w:val="auto"/>
          <w:szCs w:val="21"/>
          <w:highlight w:val="none"/>
        </w:rPr>
        <w:t>标文件提交截止时间前通过网络上传至“广西政府采购云平台”，</w:t>
      </w:r>
      <w:r>
        <w:rPr>
          <w:rFonts w:hint="eastAsia" w:ascii="宋体" w:hAnsi="宋体" w:eastAsia="宋体" w:cs="Times New Roman"/>
          <w:b/>
          <w:bCs/>
          <w:color w:val="auto"/>
          <w:szCs w:val="21"/>
          <w:highlight w:val="none"/>
        </w:rPr>
        <w:t>供应商在“广西政府采购云平台”提交电子版响应文件时，请填写参加远程采购活动经办人联系方式</w:t>
      </w:r>
      <w:r>
        <w:rPr>
          <w:rFonts w:hint="eastAsia" w:ascii="宋体" w:hAnsi="宋体" w:eastAsia="宋体" w:cs="Times New Roman"/>
          <w:color w:val="auto"/>
          <w:szCs w:val="21"/>
          <w:highlight w:val="none"/>
        </w:rPr>
        <w:t>。</w:t>
      </w:r>
    </w:p>
    <w:p w14:paraId="53F5E899">
      <w:pPr>
        <w:keepNext w:val="0"/>
        <w:keepLines w:val="0"/>
        <w:pageBreakBefore w:val="0"/>
        <w:widowControl/>
        <w:kinsoku/>
        <w:wordWrap/>
        <w:overflowPunct/>
        <w:topLinePunct w:val="0"/>
        <w:autoSpaceDE/>
        <w:autoSpaceDN/>
        <w:bidi w:val="0"/>
        <w:adjustRightInd/>
        <w:snapToGrid/>
        <w:spacing w:line="360" w:lineRule="auto"/>
        <w:ind w:left="0" w:leftChars="0" w:firstLine="412" w:firstLineChars="200"/>
        <w:contextualSpacing/>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szCs w:val="21"/>
          <w:highlight w:val="none"/>
        </w:rPr>
        <w:t>广西政府采购云平台，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如在操作过程中遇到问题或者需要技术支持，请致电广西政府采购云客服热线：95763</w:t>
      </w:r>
      <w:r>
        <w:rPr>
          <w:rFonts w:hint="eastAsia" w:ascii="宋体" w:hAnsi="宋体" w:eastAsia="宋体" w:cs="Times New Roman"/>
          <w:color w:val="auto"/>
          <w:szCs w:val="21"/>
          <w:highlight w:val="none"/>
        </w:rPr>
        <w:t>）。</w:t>
      </w:r>
    </w:p>
    <w:p w14:paraId="609041B9">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D37D26A">
      <w:pPr>
        <w:keepNext w:val="0"/>
        <w:keepLines w:val="0"/>
        <w:pageBreakBefore w:val="0"/>
        <w:widowControl/>
        <w:kinsoku/>
        <w:wordWrap/>
        <w:overflowPunct/>
        <w:topLinePunct w:val="0"/>
        <w:autoSpaceDE/>
        <w:autoSpaceDN/>
        <w:bidi w:val="0"/>
        <w:adjustRightInd/>
        <w:snapToGrid/>
        <w:spacing w:line="360" w:lineRule="auto"/>
        <w:ind w:left="0" w:leftChars="0" w:firstLine="412" w:firstLineChars="200"/>
        <w:contextualSpacing/>
        <w:jc w:val="left"/>
        <w:textAlignment w:val="auto"/>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9012990">
      <w:pPr>
        <w:keepNext w:val="0"/>
        <w:keepLines w:val="0"/>
        <w:pageBreakBefore w:val="0"/>
        <w:kinsoku/>
        <w:wordWrap/>
        <w:overflowPunct/>
        <w:topLinePunct w:val="0"/>
        <w:autoSpaceDE/>
        <w:autoSpaceDN/>
        <w:bidi w:val="0"/>
        <w:adjustRightInd/>
        <w:snapToGrid/>
        <w:spacing w:line="360" w:lineRule="auto"/>
        <w:ind w:left="0" w:leftChars="0" w:firstLine="412" w:firstLineChars="200"/>
        <w:contextualSpacing/>
        <w:textAlignment w:val="auto"/>
        <w:rPr>
          <w:rFonts w:ascii="宋体" w:hAnsi="宋体" w:eastAsia="宋体" w:cs="Times New Roman"/>
          <w:color w:val="auto"/>
          <w:szCs w:val="21"/>
          <w:highlight w:val="none"/>
          <w:u w:val="singl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24F6AA01">
      <w:pPr>
        <w:keepNext w:val="0"/>
        <w:keepLines w:val="0"/>
        <w:pageBreakBefore w:val="0"/>
        <w:kinsoku/>
        <w:wordWrap/>
        <w:overflowPunct/>
        <w:topLinePunct w:val="0"/>
        <w:autoSpaceDE/>
        <w:autoSpaceDN/>
        <w:bidi w:val="0"/>
        <w:adjustRightInd/>
        <w:snapToGrid/>
        <w:spacing w:line="360" w:lineRule="auto"/>
        <w:contextualSpacing/>
        <w:textAlignment w:val="auto"/>
        <w:rPr>
          <w:rFonts w:ascii="黑体" w:hAnsi="黑体" w:eastAsia="黑体" w:cs="Times New Roman"/>
          <w:b/>
          <w:color w:val="auto"/>
          <w:sz w:val="24"/>
          <w:szCs w:val="24"/>
          <w:highlight w:val="none"/>
        </w:rPr>
      </w:pPr>
      <w:r>
        <w:rPr>
          <w:rFonts w:hint="eastAsia" w:ascii="黑体" w:hAnsi="黑体" w:eastAsia="黑体" w:cs="Times New Roman"/>
          <w:b/>
          <w:color w:val="auto"/>
          <w:sz w:val="24"/>
          <w:szCs w:val="24"/>
          <w:highlight w:val="none"/>
        </w:rPr>
        <w:t>八、凡对本次采购提出询问，请按</w:t>
      </w:r>
      <w:r>
        <w:rPr>
          <w:rFonts w:ascii="黑体" w:hAnsi="黑体" w:eastAsia="黑体" w:cs="Times New Roman"/>
          <w:b/>
          <w:color w:val="auto"/>
          <w:sz w:val="24"/>
          <w:szCs w:val="24"/>
          <w:highlight w:val="none"/>
        </w:rPr>
        <w:t>以下方式</w:t>
      </w:r>
      <w:r>
        <w:rPr>
          <w:rFonts w:hint="eastAsia" w:ascii="黑体" w:hAnsi="黑体" w:eastAsia="黑体" w:cs="Times New Roman"/>
          <w:b/>
          <w:color w:val="auto"/>
          <w:sz w:val="24"/>
          <w:szCs w:val="24"/>
          <w:highlight w:val="none"/>
        </w:rPr>
        <w:t>联系。</w:t>
      </w:r>
      <w:bookmarkEnd w:id="44"/>
      <w:bookmarkEnd w:id="45"/>
      <w:bookmarkEnd w:id="46"/>
      <w:bookmarkEnd w:id="47"/>
      <w:bookmarkEnd w:id="48"/>
    </w:p>
    <w:bookmarkEnd w:id="2"/>
    <w:p w14:paraId="623DF1CB">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rPr>
      </w:pPr>
      <w:bookmarkStart w:id="49" w:name="_Toc28359096"/>
      <w:bookmarkStart w:id="50" w:name="_Toc35393637"/>
      <w:bookmarkStart w:id="51" w:name="_Toc28359019"/>
      <w:bookmarkStart w:id="52" w:name="_Toc35393806"/>
      <w:r>
        <w:rPr>
          <w:rFonts w:hint="eastAsia" w:ascii="宋体" w:hAnsi="宋体" w:eastAsia="宋体" w:cs="宋体"/>
          <w:color w:val="auto"/>
          <w:kern w:val="0"/>
          <w:szCs w:val="21"/>
          <w:highlight w:val="none"/>
        </w:rPr>
        <w:t>1.采购人信息</w:t>
      </w:r>
      <w:bookmarkEnd w:id="49"/>
      <w:bookmarkEnd w:id="50"/>
      <w:bookmarkEnd w:id="51"/>
      <w:bookmarkEnd w:id="52"/>
    </w:p>
    <w:p w14:paraId="5D87CA43">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广西壮族自治区柳州监狱</w:t>
      </w:r>
    </w:p>
    <w:p w14:paraId="544ADBCE">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rPr>
      </w:pPr>
      <w:bookmarkStart w:id="53" w:name="_Toc35393807"/>
      <w:bookmarkStart w:id="54" w:name="_Toc28359020"/>
      <w:bookmarkStart w:id="55" w:name="_Toc28359097"/>
      <w:bookmarkStart w:id="56" w:name="_Toc35393638"/>
      <w:r>
        <w:rPr>
          <w:rFonts w:hint="eastAsia" w:ascii="宋体" w:hAnsi="宋体" w:eastAsia="宋体" w:cs="宋体"/>
          <w:color w:val="auto"/>
          <w:kern w:val="0"/>
          <w:szCs w:val="21"/>
          <w:highlight w:val="none"/>
          <w:lang w:val="en-US" w:eastAsia="zh-CN"/>
        </w:rPr>
        <w:t>地  址：柳州市柳南区洛满镇露塘</w:t>
      </w:r>
    </w:p>
    <w:p w14:paraId="218C6C72">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项目联系人：邓浩余</w:t>
      </w:r>
    </w:p>
    <w:p w14:paraId="4536E708">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项目联系方式：0772-2080808</w:t>
      </w:r>
    </w:p>
    <w:p w14:paraId="5FB35EE8">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bookmarkEnd w:id="53"/>
      <w:bookmarkEnd w:id="54"/>
      <w:bookmarkEnd w:id="55"/>
      <w:bookmarkEnd w:id="56"/>
    </w:p>
    <w:p w14:paraId="70698AA1">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广西城建咨询</w:t>
      </w:r>
      <w:r>
        <w:rPr>
          <w:rFonts w:hint="eastAsia" w:ascii="宋体" w:hAnsi="宋体" w:eastAsia="宋体" w:cs="宋体"/>
          <w:color w:val="auto"/>
          <w:kern w:val="0"/>
          <w:szCs w:val="21"/>
          <w:highlight w:val="none"/>
          <w:lang w:val="en-US" w:eastAsia="zh-CN"/>
        </w:rPr>
        <w:t>设计</w:t>
      </w:r>
      <w:r>
        <w:rPr>
          <w:rFonts w:hint="eastAsia" w:ascii="宋体" w:hAnsi="宋体" w:eastAsia="宋体" w:cs="宋体"/>
          <w:color w:val="auto"/>
          <w:kern w:val="0"/>
          <w:szCs w:val="21"/>
          <w:highlight w:val="none"/>
        </w:rPr>
        <w:t>有限公司</w:t>
      </w:r>
    </w:p>
    <w:p w14:paraId="167FEE86">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址</w:t>
      </w:r>
      <w:r>
        <w:rPr>
          <w:rFonts w:hint="eastAsia" w:ascii="宋体" w:hAnsi="宋体" w:eastAsia="宋体" w:cs="宋体"/>
          <w:color w:val="auto"/>
          <w:kern w:val="0"/>
          <w:szCs w:val="21"/>
          <w:highlight w:val="none"/>
          <w:lang w:eastAsia="zh-CN"/>
        </w:rPr>
        <w:t>：南宁市青秀区金湖路</w:t>
      </w:r>
      <w:r>
        <w:rPr>
          <w:rFonts w:hint="eastAsia" w:ascii="宋体" w:hAnsi="宋体" w:eastAsia="宋体" w:cs="宋体"/>
          <w:color w:val="auto"/>
          <w:kern w:val="0"/>
          <w:szCs w:val="21"/>
          <w:highlight w:val="none"/>
          <w:lang w:val="en-US" w:eastAsia="zh-CN"/>
        </w:rPr>
        <w:t>58号广西建设大厦三楼</w:t>
      </w:r>
    </w:p>
    <w:p w14:paraId="69DA0E27">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项目联系人：甘红山</w:t>
      </w:r>
    </w:p>
    <w:p w14:paraId="21F4EDF3">
      <w:pPr>
        <w:keepNext w:val="0"/>
        <w:keepLines w:val="0"/>
        <w:pageBreakBefore w:val="0"/>
        <w:kinsoku/>
        <w:wordWrap/>
        <w:overflowPunct/>
        <w:topLinePunct w:val="0"/>
        <w:autoSpaceDE/>
        <w:autoSpaceDN/>
        <w:bidi w:val="0"/>
        <w:adjustRightInd/>
        <w:snapToGrid/>
        <w:spacing w:line="360" w:lineRule="auto"/>
        <w:ind w:left="0" w:leftChars="0" w:firstLine="412"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项目联系方式：</w:t>
      </w:r>
      <w:r>
        <w:rPr>
          <w:rFonts w:hint="eastAsia" w:ascii="宋体" w:hAnsi="宋体" w:eastAsia="宋体" w:cs="宋体"/>
          <w:color w:val="auto"/>
          <w:kern w:val="0"/>
          <w:szCs w:val="21"/>
          <w:highlight w:val="none"/>
          <w:lang w:val="en-US" w:eastAsia="zh-CN"/>
        </w:rPr>
        <w:t>0771-5823850</w:t>
      </w:r>
    </w:p>
    <w:p w14:paraId="0118F6B1">
      <w:pPr>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br w:type="page"/>
      </w:r>
    </w:p>
    <w:p w14:paraId="29929E31">
      <w:pPr>
        <w:pStyle w:val="2"/>
        <w:bidi w:val="0"/>
        <w:jc w:val="center"/>
        <w:rPr>
          <w:color w:val="auto"/>
        </w:rPr>
      </w:pPr>
      <w:bookmarkStart w:id="57" w:name="_Toc25248"/>
      <w:bookmarkStart w:id="58" w:name="_Toc74323457"/>
      <w:r>
        <w:rPr>
          <w:rFonts w:hint="eastAsia"/>
          <w:color w:val="auto"/>
        </w:rPr>
        <w:t>第二章 供应商须知</w:t>
      </w:r>
      <w:bookmarkEnd w:id="57"/>
      <w:bookmarkEnd w:id="58"/>
    </w:p>
    <w:p w14:paraId="7560AF8F">
      <w:pPr>
        <w:spacing w:line="360" w:lineRule="auto"/>
        <w:contextualSpacing/>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供应商须知前附表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EE3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B81D9A4">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vAlign w:val="center"/>
          </w:tcPr>
          <w:p w14:paraId="3145AA68">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7758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DDCE072">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0FB0C93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14:paraId="6856F416">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215EEB0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E07AC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D95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B3E9800">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4294EA78">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是否接受联合体竞标：详见竞争性磋商公告</w:t>
            </w:r>
          </w:p>
        </w:tc>
      </w:tr>
      <w:tr w14:paraId="5BD2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7E10E9B">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912" w:type="dxa"/>
            <w:vAlign w:val="center"/>
          </w:tcPr>
          <w:p w14:paraId="6C1BFF55">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如接受联合体竞标，联合体竞标要求如下：</w:t>
            </w:r>
          </w:p>
          <w:p w14:paraId="4E70DE4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1.两个以上供应商可以组成一个竞标联合体，以一个供应商的身份共同参加竞标。联合体竞标的，须提供《联合体竞标协议书》（格式后附）。</w:t>
            </w:r>
          </w:p>
          <w:p w14:paraId="2A88FBBE">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D7B9CD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3.联合体各方之间必须签订联合竞标协议，协议书必须明确主体方（或者牵头方）并明确约定联合体各方承担的工作和相应的责任（</w:t>
            </w:r>
            <w:r>
              <w:rPr>
                <w:rFonts w:hint="eastAsia" w:ascii="宋体" w:hAnsi="宋体" w:eastAsia="宋体" w:cs="宋体"/>
                <w:b/>
                <w:color w:val="auto"/>
                <w:szCs w:val="21"/>
                <w:highlight w:val="none"/>
              </w:rPr>
              <w:t>各方承担责任与义务的分工必须符合采购需求，否则，联合体竞标无效</w:t>
            </w:r>
            <w:r>
              <w:rPr>
                <w:rFonts w:hint="eastAsia" w:ascii="宋体" w:hAnsi="宋体" w:eastAsia="宋体" w:cs="宋体"/>
                <w:color w:val="auto"/>
                <w:szCs w:val="21"/>
                <w:highlight w:val="none"/>
              </w:rPr>
              <w:t>），并将联合竞标协议放入响应文件。联合体各方必须共同与采购人签订采购合同，就采购合同约定的事项对采购人承担连带责任。</w:t>
            </w:r>
          </w:p>
          <w:p w14:paraId="3847307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w:t>
            </w:r>
          </w:p>
          <w:p w14:paraId="4584567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5.联合体中有同类资质的供应商按照联合体分工承担相同工作的，应当按照资质等级较低的供应商确定资质等级。</w:t>
            </w:r>
          </w:p>
          <w:p w14:paraId="7DAD2C3B">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6.联合体竞标业绩、履约能力按照联合体各方中较高的一方认定并计算（磋商文件另有规定的除外）。</w:t>
            </w:r>
          </w:p>
          <w:p w14:paraId="7CCDD158">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7.供应商为联合体的，可以由联合体中的一方或者多方共同交纳</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，其交纳的保证金对联合体各方均具有约束力。</w:t>
            </w:r>
          </w:p>
          <w:p w14:paraId="429B414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8.联合体各方均应按照磋商文件的规定提交资格证明文件。</w:t>
            </w:r>
          </w:p>
        </w:tc>
      </w:tr>
      <w:tr w14:paraId="31BF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D7A4F48">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62271A61">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p w14:paraId="1F681BA0">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46F73B1">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049A13E6">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tc>
      </w:tr>
      <w:tr w14:paraId="237E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768DDB0">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1082F744">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31C06D89">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供应商为法人或者其他组织的，提供营业执照等证明文件（如营业执照或者事业单位法人证书或者执业许可证或者登记证书等），供应商为自然人的提供其身份证复印件；</w:t>
            </w:r>
            <w:r>
              <w:rPr>
                <w:rFonts w:hint="eastAsia" w:ascii="宋体" w:hAnsi="宋体" w:eastAsia="宋体" w:cs="宋体"/>
                <w:b/>
                <w:bCs/>
                <w:color w:val="auto"/>
                <w:szCs w:val="21"/>
                <w:highlight w:val="none"/>
              </w:rPr>
              <w:t>（必须提供，否则响应文件按无效响应处理）</w:t>
            </w:r>
          </w:p>
          <w:p w14:paraId="3EF92242">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月至2024年</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内连续</w:t>
            </w:r>
            <w:r>
              <w:rPr>
                <w:rFonts w:hint="eastAsia" w:ascii="宋体" w:hAnsi="宋体" w:eastAsia="宋体" w:cs="宋体"/>
                <w:color w:val="auto"/>
                <w:szCs w:val="21"/>
                <w:highlight w:val="none"/>
                <w:u w:val="single"/>
              </w:rPr>
              <w:t xml:space="preserve"> 3</w:t>
            </w:r>
            <w:r>
              <w:rPr>
                <w:rFonts w:hint="eastAsia" w:ascii="宋体" w:hAnsi="宋体" w:eastAsia="宋体" w:cs="宋体"/>
                <w:color w:val="auto"/>
                <w:szCs w:val="21"/>
                <w:highlight w:val="none"/>
              </w:rPr>
              <w:t>个月的依法缴纳税收的凭据复印件；</w:t>
            </w:r>
            <w:r>
              <w:rPr>
                <w:rFonts w:hint="eastAsia" w:ascii="宋体" w:hAnsi="宋体" w:eastAsia="宋体" w:cs="宋体"/>
                <w:color w:val="auto"/>
                <w:szCs w:val="24"/>
                <w:highlight w:val="none"/>
              </w:rPr>
              <w:t>依法免税的，必须提供相应文件证明其依法免税。</w:t>
            </w:r>
            <w:r>
              <w:rPr>
                <w:rFonts w:hint="eastAsia" w:ascii="宋体" w:hAnsi="宋体" w:eastAsia="宋体" w:cs="宋体"/>
                <w:color w:val="auto"/>
                <w:szCs w:val="21"/>
                <w:highlight w:val="none"/>
              </w:rPr>
              <w:t>从成立之日起到响应文件提交截止时间止不足要求月数的，只需提供从成立之日起的依法缴纳税收</w:t>
            </w:r>
            <w:r>
              <w:rPr>
                <w:rFonts w:hint="eastAsia" w:ascii="宋体" w:hAnsi="宋体" w:eastAsia="宋体" w:cs="宋体"/>
                <w:color w:val="auto"/>
                <w:szCs w:val="24"/>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5C213A0">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contextualSpacing/>
              <w:jc w:val="left"/>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月至2024年</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内连续</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个月的依法缴纳社会保障资金的缴费凭证（</w:t>
            </w:r>
            <w:r>
              <w:rPr>
                <w:rFonts w:hint="eastAsia" w:ascii="宋体" w:hAnsi="宋体" w:eastAsia="宋体" w:cs="宋体"/>
                <w:color w:val="auto"/>
                <w:szCs w:val="24"/>
                <w:highlight w:val="none"/>
              </w:rPr>
              <w:t>如：</w:t>
            </w:r>
            <w:r>
              <w:rPr>
                <w:rFonts w:hint="eastAsia" w:ascii="宋体" w:hAnsi="宋体" w:eastAsia="宋体" w:cs="宋体"/>
                <w:color w:val="auto"/>
                <w:szCs w:val="21"/>
                <w:highlight w:val="none"/>
              </w:rPr>
              <w:t>专用收据、社会保险缴纳清单或者社保部门的证明）复印件；</w:t>
            </w:r>
            <w:r>
              <w:rPr>
                <w:rFonts w:hint="eastAsia" w:ascii="宋体" w:hAnsi="宋体" w:eastAsia="宋体" w:cs="宋体"/>
                <w:color w:val="auto"/>
                <w:szCs w:val="24"/>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szCs w:val="24"/>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0864906F">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供应商财务状况报告：[</w:t>
            </w:r>
            <w:r>
              <w:rPr>
                <w:rFonts w:hint="eastAsia" w:ascii="宋体" w:hAnsi="宋体" w:eastAsia="宋体" w:cs="宋体"/>
                <w:b w:val="0"/>
                <w:bCs w:val="0"/>
                <w:color w:val="auto"/>
                <w:highlight w:val="none"/>
                <w:u w:val="single"/>
              </w:rPr>
              <w:t>2023</w:t>
            </w:r>
            <w:r>
              <w:rPr>
                <w:rFonts w:hint="eastAsia" w:ascii="宋体" w:hAnsi="宋体" w:eastAsia="宋体" w:cs="宋体"/>
                <w:b w:val="0"/>
                <w:bCs w:val="0"/>
                <w:color w:val="auto"/>
                <w:szCs w:val="21"/>
                <w:highlight w:val="none"/>
              </w:rPr>
              <w:t>年]财务状况报告扫描件；供应商成立不满一年的应按提供首次响应文件提交截止时间上一个月的财务状况报告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rPr>
              <w:t>（必须提供，否则响应文件按无效响应处理）</w:t>
            </w:r>
          </w:p>
          <w:p w14:paraId="29427BC3">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供应商直接控股信息表（格式后附）；</w:t>
            </w:r>
            <w:r>
              <w:rPr>
                <w:rFonts w:hint="eastAsia" w:ascii="宋体" w:hAnsi="宋体" w:eastAsia="宋体" w:cs="宋体"/>
                <w:b/>
                <w:bCs/>
                <w:color w:val="auto"/>
                <w:szCs w:val="21"/>
                <w:highlight w:val="none"/>
              </w:rPr>
              <w:t>（必须提供，否则响应文件按无效响应处理）</w:t>
            </w:r>
          </w:p>
          <w:p w14:paraId="1C17EEB1">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供应商直接管理关系信息表（格式后附）；</w:t>
            </w:r>
            <w:r>
              <w:rPr>
                <w:rFonts w:hint="eastAsia" w:ascii="宋体" w:hAnsi="宋体" w:eastAsia="宋体" w:cs="宋体"/>
                <w:b/>
                <w:bCs/>
                <w:color w:val="auto"/>
                <w:szCs w:val="21"/>
                <w:highlight w:val="none"/>
              </w:rPr>
              <w:t>（必须提供，否则响应文件按无效响应处理）</w:t>
            </w:r>
          </w:p>
          <w:p w14:paraId="45E75E96">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竞标声明（格式后附）；</w:t>
            </w:r>
            <w:r>
              <w:rPr>
                <w:rFonts w:hint="eastAsia" w:ascii="宋体" w:hAnsi="宋体" w:eastAsia="宋体" w:cs="宋体"/>
                <w:b/>
                <w:bCs/>
                <w:color w:val="auto"/>
                <w:szCs w:val="21"/>
                <w:highlight w:val="none"/>
              </w:rPr>
              <w:t>（必须提供，否则响应文件按无效响应处理）</w:t>
            </w:r>
          </w:p>
          <w:p w14:paraId="7AEA3316">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特定资格要求及特定条件设置供应商提供的资格证明材料：供应商有效的资质证书及安全生产许可证副本复印件；</w:t>
            </w:r>
            <w:r>
              <w:rPr>
                <w:rFonts w:hint="eastAsia" w:ascii="宋体" w:hAnsi="宋体" w:eastAsia="宋体" w:cs="宋体"/>
                <w:b/>
                <w:bCs/>
                <w:color w:val="auto"/>
                <w:szCs w:val="21"/>
                <w:highlight w:val="none"/>
              </w:rPr>
              <w:t>（必须提供，否则响应文件按无效响应处理）</w:t>
            </w:r>
          </w:p>
          <w:p w14:paraId="3EAAD707">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中小企业声明函或监狱企业证明材料或残疾人福利性单位声明函（格式后附）；</w:t>
            </w:r>
            <w:r>
              <w:rPr>
                <w:rFonts w:hint="eastAsia" w:ascii="宋体" w:hAnsi="宋体" w:eastAsia="宋体" w:cs="宋体"/>
                <w:b/>
                <w:bCs/>
                <w:color w:val="auto"/>
                <w:szCs w:val="21"/>
                <w:highlight w:val="none"/>
              </w:rPr>
              <w:t>（必须提供，否则响应文件按无效响应处理）</w:t>
            </w:r>
          </w:p>
          <w:p w14:paraId="35413F29">
            <w:pPr>
              <w:keepNext w:val="0"/>
              <w:keepLines w:val="0"/>
              <w:pageBreakBefore w:val="0"/>
              <w:numPr>
                <w:ilvl w:val="0"/>
                <w:numId w:val="1"/>
              </w:numPr>
              <w:kinsoku/>
              <w:wordWrap/>
              <w:overflowPunct/>
              <w:topLinePunct w:val="0"/>
              <w:bidi w:val="0"/>
              <w:adjustRightInd/>
              <w:snapToGrid/>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除磋商文件规定必须提供以外，供应商认为需要提供的其他证明材料。（如有，请提供）</w:t>
            </w:r>
          </w:p>
          <w:p w14:paraId="7DD58E98">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注：以上标明“必须提供”的材料属于复印件的，必须加盖供应商</w:t>
            </w:r>
            <w:r>
              <w:rPr>
                <w:rFonts w:hint="eastAsia" w:ascii="宋体" w:hAnsi="宋体" w:eastAsia="宋体" w:cs="宋体"/>
                <w:b/>
                <w:color w:val="auto"/>
                <w:szCs w:val="24"/>
                <w:highlight w:val="none"/>
              </w:rPr>
              <w:t>电子签章</w:t>
            </w:r>
            <w:r>
              <w:rPr>
                <w:rFonts w:hint="eastAsia" w:ascii="宋体" w:hAnsi="宋体" w:eastAsia="宋体" w:cs="宋体"/>
                <w:b/>
                <w:color w:val="auto"/>
                <w:szCs w:val="21"/>
                <w:highlight w:val="none"/>
              </w:rPr>
              <w:t>，否则响应文件按无效处理。</w:t>
            </w:r>
          </w:p>
        </w:tc>
      </w:tr>
      <w:tr w14:paraId="35E02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8A7B1BD">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01338B9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14:paraId="284AB1A3">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响应函；</w:t>
            </w:r>
            <w:r>
              <w:rPr>
                <w:rFonts w:hint="eastAsia" w:ascii="宋体" w:hAnsi="宋体" w:eastAsia="宋体" w:cs="宋体"/>
                <w:b/>
                <w:bCs/>
                <w:color w:val="auto"/>
                <w:szCs w:val="21"/>
                <w:highlight w:val="none"/>
              </w:rPr>
              <w:t>（必须提供，否则响应文件按无效响应处理）</w:t>
            </w:r>
          </w:p>
          <w:p w14:paraId="68FCE75A">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r>
              <w:rPr>
                <w:rFonts w:hint="eastAsia" w:ascii="宋体" w:hAnsi="宋体" w:eastAsia="宋体" w:cs="宋体"/>
                <w:b/>
                <w:bCs/>
                <w:color w:val="auto"/>
                <w:szCs w:val="21"/>
                <w:highlight w:val="none"/>
              </w:rPr>
              <w:t>（必须提供，否则响应文件按无效响应处理）</w:t>
            </w:r>
          </w:p>
          <w:p w14:paraId="4EAE39EB">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供应商认为需要提供的其他有关资料。（如有，请提供）</w:t>
            </w:r>
          </w:p>
        </w:tc>
      </w:tr>
      <w:tr w14:paraId="368D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E2CF6B4">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7912" w:type="dxa"/>
            <w:vAlign w:val="center"/>
          </w:tcPr>
          <w:p w14:paraId="600F4C89">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商务技术文件</w:t>
            </w:r>
          </w:p>
          <w:p w14:paraId="25DBAE2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无串通竞标行为的承诺函（格式后附）；</w:t>
            </w:r>
            <w:r>
              <w:rPr>
                <w:rFonts w:hint="eastAsia" w:ascii="宋体" w:hAnsi="宋体" w:eastAsia="宋体" w:cs="宋体"/>
                <w:b/>
                <w:bCs/>
                <w:color w:val="auto"/>
                <w:szCs w:val="21"/>
                <w:highlight w:val="none"/>
              </w:rPr>
              <w:t>（必须提供，否则响应文件按无效响应处理）</w:t>
            </w:r>
          </w:p>
          <w:p w14:paraId="0E9A83B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法定代</w:t>
            </w:r>
            <w:r>
              <w:rPr>
                <w:rFonts w:hint="eastAsia" w:ascii="宋体" w:hAnsi="宋体" w:eastAsia="宋体" w:cs="宋体"/>
                <w:b w:val="0"/>
                <w:bCs w:val="0"/>
                <w:color w:val="auto"/>
                <w:szCs w:val="21"/>
                <w:highlight w:val="none"/>
              </w:rPr>
              <w:t>表人身份证明书及法定代表人有效身份证正反面复印件（格式后附）；</w:t>
            </w:r>
            <w:r>
              <w:rPr>
                <w:rFonts w:hint="eastAsia" w:ascii="宋体" w:hAnsi="宋体" w:eastAsia="宋体" w:cs="宋体"/>
                <w:b/>
                <w:bCs/>
                <w:color w:val="auto"/>
                <w:szCs w:val="21"/>
                <w:highlight w:val="none"/>
              </w:rPr>
              <w:t>（除自然人竞标外必须提供，否则响应文件按无效响应处理）</w:t>
            </w:r>
          </w:p>
          <w:p w14:paraId="3CE4FEB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授权委托书及委托代理人有效身份证正反面复印件（格式后附）；</w:t>
            </w:r>
            <w:r>
              <w:rPr>
                <w:rFonts w:hint="eastAsia" w:ascii="宋体" w:hAnsi="宋体" w:eastAsia="宋体" w:cs="宋体"/>
                <w:b/>
                <w:bCs/>
                <w:color w:val="auto"/>
                <w:szCs w:val="21"/>
                <w:highlight w:val="none"/>
              </w:rPr>
              <w:t>（委托时必须提供，否则响应文件按无效响应处理）</w:t>
            </w:r>
          </w:p>
          <w:p w14:paraId="0D66D39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竞标</w:t>
            </w:r>
            <w:r>
              <w:rPr>
                <w:rFonts w:hint="eastAsia" w:ascii="宋体" w:hAnsi="宋体" w:eastAsia="宋体" w:cs="宋体"/>
                <w:b w:val="0"/>
                <w:bCs w:val="0"/>
                <w:color w:val="auto"/>
                <w:szCs w:val="21"/>
                <w:highlight w:val="none"/>
              </w:rPr>
              <w:t>保证金提交凭证；</w:t>
            </w:r>
            <w:r>
              <w:rPr>
                <w:rFonts w:hint="eastAsia" w:ascii="宋体" w:hAnsi="宋体" w:eastAsia="宋体" w:cs="宋体"/>
                <w:b/>
                <w:bCs/>
                <w:color w:val="auto"/>
                <w:szCs w:val="21"/>
                <w:highlight w:val="none"/>
              </w:rPr>
              <w:t>（</w:t>
            </w:r>
            <w:r>
              <w:rPr>
                <w:rFonts w:hint="eastAsia" w:ascii="宋体" w:hAnsi="宋体" w:eastAsia="宋体" w:cs="宋体"/>
                <w:b/>
                <w:bCs/>
                <w:color w:val="auto"/>
                <w:szCs w:val="24"/>
                <w:highlight w:val="none"/>
              </w:rPr>
              <w:t>必须提供</w:t>
            </w:r>
            <w:r>
              <w:rPr>
                <w:rFonts w:hint="eastAsia" w:ascii="宋体" w:hAnsi="宋体" w:eastAsia="宋体" w:cs="宋体"/>
                <w:b/>
                <w:bCs/>
                <w:color w:val="auto"/>
                <w:szCs w:val="21"/>
                <w:highlight w:val="none"/>
              </w:rPr>
              <w:t>，否则响应文件按无效响应处理）</w:t>
            </w:r>
          </w:p>
          <w:p w14:paraId="355BFF1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商务要求偏离表（格式后附）；</w:t>
            </w:r>
            <w:r>
              <w:rPr>
                <w:rFonts w:hint="eastAsia" w:ascii="宋体" w:hAnsi="宋体" w:eastAsia="宋体" w:cs="宋体"/>
                <w:b/>
                <w:bCs/>
                <w:color w:val="auto"/>
                <w:szCs w:val="21"/>
                <w:highlight w:val="none"/>
              </w:rPr>
              <w:t>（必须提供，否则响应文件按无效响应处理）</w:t>
            </w:r>
          </w:p>
          <w:p w14:paraId="383D48A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lang w:val="en-US" w:eastAsia="zh-CN"/>
              </w:rPr>
              <w:t>建设工程项目管理承诺书</w:t>
            </w:r>
            <w:r>
              <w:rPr>
                <w:rFonts w:hint="eastAsia" w:ascii="宋体" w:hAnsi="宋体" w:eastAsia="宋体" w:cs="宋体"/>
                <w:b w:val="0"/>
                <w:bCs w:val="0"/>
                <w:color w:val="auto"/>
                <w:szCs w:val="21"/>
                <w:highlight w:val="none"/>
              </w:rPr>
              <w:t>（格式后附）；</w:t>
            </w:r>
            <w:r>
              <w:rPr>
                <w:rFonts w:hint="eastAsia" w:ascii="宋体" w:hAnsi="宋体" w:eastAsia="宋体" w:cs="宋体"/>
                <w:b/>
                <w:bCs/>
                <w:color w:val="auto"/>
                <w:szCs w:val="21"/>
                <w:highlight w:val="none"/>
              </w:rPr>
              <w:t>（必须提供，否则响应文件按无效响应处理）</w:t>
            </w:r>
          </w:p>
          <w:p w14:paraId="3E2E55A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施工组织设计（格式自拟）；</w:t>
            </w:r>
            <w:r>
              <w:rPr>
                <w:rFonts w:hint="eastAsia" w:ascii="宋体" w:hAnsi="宋体" w:eastAsia="宋体" w:cs="宋体"/>
                <w:b/>
                <w:bCs/>
                <w:color w:val="auto"/>
                <w:szCs w:val="21"/>
                <w:highlight w:val="none"/>
              </w:rPr>
              <w:t>（必须提供，否则响应文件按无效响应处理）</w:t>
            </w:r>
          </w:p>
          <w:p w14:paraId="522E173F">
            <w:pPr>
              <w:pStyle w:val="7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项目实施人员一览表（格式后附）；</w:t>
            </w:r>
            <w:r>
              <w:rPr>
                <w:rFonts w:hint="eastAsia" w:ascii="宋体" w:hAnsi="宋体" w:eastAsia="宋体" w:cs="宋体"/>
                <w:b/>
                <w:bCs/>
                <w:color w:val="auto"/>
                <w:szCs w:val="21"/>
                <w:highlight w:val="none"/>
              </w:rPr>
              <w:t>（必须提供，否则响应文件按无效响应处理）</w:t>
            </w:r>
          </w:p>
          <w:p w14:paraId="258616F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基地教育内容展示方案（格式自拟）；</w:t>
            </w:r>
            <w:r>
              <w:rPr>
                <w:rFonts w:hint="eastAsia" w:ascii="宋体" w:hAnsi="宋体" w:eastAsia="宋体" w:cs="宋体"/>
                <w:b/>
                <w:bCs/>
                <w:color w:val="auto"/>
                <w:szCs w:val="21"/>
                <w:highlight w:val="none"/>
              </w:rPr>
              <w:t>（必须提供，否则响应文件按无效响应处理）</w:t>
            </w:r>
          </w:p>
          <w:p w14:paraId="09D19B1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技术要求偏离表（格式后附）；</w:t>
            </w:r>
            <w:r>
              <w:rPr>
                <w:rFonts w:hint="eastAsia" w:ascii="宋体" w:hAnsi="宋体" w:eastAsia="宋体" w:cs="宋体"/>
                <w:b/>
                <w:bCs/>
                <w:color w:val="auto"/>
                <w:szCs w:val="21"/>
                <w:highlight w:val="none"/>
              </w:rPr>
              <w:t>（必须提供，否则响应文件按无效响应处理）</w:t>
            </w:r>
          </w:p>
          <w:p w14:paraId="116B939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对应采购需求的技术要求、商务要求提供的其他文件资料（格式自拟）；（如有，请提供）</w:t>
            </w:r>
          </w:p>
          <w:p w14:paraId="137F0CF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供应商认为需要提供的其他有关资料。（如有，请提供）</w:t>
            </w:r>
          </w:p>
          <w:p w14:paraId="46C93AD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注：以上标明“必须提供”的材料属于复印件的，必须加盖供应商</w:t>
            </w:r>
            <w:r>
              <w:rPr>
                <w:rFonts w:hint="eastAsia" w:ascii="宋体" w:hAnsi="宋体" w:eastAsia="宋体" w:cs="宋体"/>
                <w:b/>
                <w:bCs/>
                <w:color w:val="auto"/>
                <w:szCs w:val="21"/>
                <w:highlight w:val="none"/>
              </w:rPr>
              <w:t>电子签章</w:t>
            </w:r>
            <w:r>
              <w:rPr>
                <w:rFonts w:hint="eastAsia" w:ascii="宋体" w:hAnsi="宋体" w:eastAsia="宋体" w:cs="宋体"/>
                <w:b/>
                <w:color w:val="auto"/>
                <w:szCs w:val="21"/>
                <w:highlight w:val="none"/>
              </w:rPr>
              <w:t>，否则响应文件按无效响应处理。</w:t>
            </w:r>
          </w:p>
        </w:tc>
      </w:tr>
      <w:tr w14:paraId="2C7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B85C91A">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367A7B95">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工程量清单报价方式。报价必须包含完成本项目工程的成本、利润、增值税、开办费、技术措施费、设备吊装-运输-装卸费、大型机械进出场费、风险费、政策性文件规定费用等所有与本项目实施有关的全部费用。</w:t>
            </w:r>
          </w:p>
        </w:tc>
      </w:tr>
      <w:tr w14:paraId="432B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4BC970D">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7912" w:type="dxa"/>
            <w:vAlign w:val="center"/>
          </w:tcPr>
          <w:p w14:paraId="3999B58C">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价格合同：综合单价、包工包料。</w:t>
            </w:r>
          </w:p>
        </w:tc>
      </w:tr>
      <w:tr w14:paraId="7865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49C7701">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4B1D9458">
            <w:pPr>
              <w:keepNext w:val="0"/>
              <w:keepLines w:val="0"/>
              <w:pageBreakBefore w:val="0"/>
              <w:tabs>
                <w:tab w:val="left" w:pos="720"/>
                <w:tab w:val="left" w:pos="840"/>
              </w:tabs>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 xml:space="preserve"> 90</w:t>
            </w:r>
            <w:r>
              <w:rPr>
                <w:rFonts w:hint="eastAsia" w:ascii="宋体" w:hAnsi="宋体" w:eastAsia="宋体" w:cs="宋体"/>
                <w:color w:val="auto"/>
                <w:szCs w:val="21"/>
                <w:highlight w:val="none"/>
              </w:rPr>
              <w:t>日。</w:t>
            </w:r>
          </w:p>
        </w:tc>
      </w:tr>
      <w:tr w14:paraId="3754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A6E4CEF">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7B6A2B4F">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□本项目不收取</w:t>
            </w:r>
            <w:r>
              <w:rPr>
                <w:rFonts w:hint="eastAsia" w:ascii="宋体" w:hAnsi="宋体" w:eastAsia="宋体" w:cs="宋体"/>
                <w:b/>
                <w:bCs/>
                <w:color w:val="auto"/>
                <w:szCs w:val="21"/>
                <w:highlight w:val="none"/>
                <w:lang w:eastAsia="zh-CN"/>
              </w:rPr>
              <w:t>竞标保证金</w:t>
            </w:r>
            <w:r>
              <w:rPr>
                <w:rFonts w:hint="eastAsia" w:ascii="宋体" w:hAnsi="宋体" w:eastAsia="宋体" w:cs="宋体"/>
                <w:b/>
                <w:bCs/>
                <w:color w:val="auto"/>
                <w:szCs w:val="21"/>
                <w:highlight w:val="none"/>
              </w:rPr>
              <w:t>。</w:t>
            </w:r>
          </w:p>
          <w:p w14:paraId="4810F05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☑本项目收取</w:t>
            </w:r>
            <w:r>
              <w:rPr>
                <w:rFonts w:hint="eastAsia" w:ascii="宋体" w:hAnsi="宋体" w:eastAsia="宋体" w:cs="宋体"/>
                <w:b/>
                <w:bCs/>
                <w:color w:val="auto"/>
                <w:szCs w:val="21"/>
                <w:highlight w:val="none"/>
                <w:lang w:eastAsia="zh-CN"/>
              </w:rPr>
              <w:t>竞标保证金</w:t>
            </w:r>
            <w:r>
              <w:rPr>
                <w:rFonts w:hint="eastAsia" w:ascii="宋体" w:hAnsi="宋体" w:eastAsia="宋体" w:cs="宋体"/>
                <w:b/>
                <w:bCs/>
                <w:color w:val="auto"/>
                <w:szCs w:val="21"/>
                <w:highlight w:val="none"/>
              </w:rPr>
              <w:t>，具体规定如下：</w:t>
            </w:r>
          </w:p>
          <w:p w14:paraId="09A329D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竞标保证金</w:t>
            </w:r>
            <w:r>
              <w:rPr>
                <w:rFonts w:hint="eastAsia" w:ascii="宋体" w:hAnsi="宋体" w:eastAsia="宋体" w:cs="宋体"/>
                <w:color w:val="auto"/>
                <w:kern w:val="0"/>
                <w:szCs w:val="21"/>
                <w:highlight w:val="none"/>
              </w:rPr>
              <w:t>人民币壹万元整（¥10000.00）。</w:t>
            </w:r>
          </w:p>
          <w:p w14:paraId="699E4C39">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竞标保证金</w:t>
            </w:r>
            <w:r>
              <w:rPr>
                <w:rFonts w:hint="eastAsia" w:ascii="宋体" w:hAnsi="宋体" w:eastAsia="宋体" w:cs="宋体"/>
                <w:color w:val="auto"/>
                <w:kern w:val="0"/>
                <w:szCs w:val="21"/>
                <w:highlight w:val="none"/>
              </w:rPr>
              <w:t>的交纳方式：银行转账、支票、汇票、本票或者银行、保险机构出具的保函</w:t>
            </w:r>
            <w:r>
              <w:rPr>
                <w:rFonts w:hint="eastAsia" w:ascii="宋体" w:hAnsi="宋体" w:eastAsia="宋体" w:cs="宋体"/>
                <w:color w:val="auto"/>
                <w:szCs w:val="24"/>
                <w:highlight w:val="none"/>
              </w:rPr>
              <w:t>（包含电子保函）</w:t>
            </w:r>
            <w:r>
              <w:rPr>
                <w:rFonts w:hint="eastAsia" w:ascii="宋体" w:hAnsi="宋体" w:eastAsia="宋体" w:cs="宋体"/>
                <w:color w:val="auto"/>
                <w:kern w:val="0"/>
                <w:szCs w:val="21"/>
                <w:highlight w:val="none"/>
              </w:rPr>
              <w:t>，禁止采用现钞方式。采用银行转账方式的，在响应文件提交截止时间前交至指定账户并且到账（</w:t>
            </w:r>
            <w:r>
              <w:rPr>
                <w:rFonts w:hint="eastAsia" w:ascii="宋体" w:hAnsi="宋体" w:eastAsia="宋体" w:cs="宋体"/>
                <w:iCs/>
                <w:color w:val="auto"/>
                <w:kern w:val="0"/>
                <w:szCs w:val="21"/>
                <w:highlight w:val="none"/>
              </w:rPr>
              <w:t>开户名称：广西城建咨询设计有限公司；开户银行：</w:t>
            </w:r>
            <w:r>
              <w:rPr>
                <w:rFonts w:hint="eastAsia" w:ascii="宋体" w:hAnsi="宋体" w:eastAsia="宋体" w:cs="宋体"/>
                <w:iCs/>
                <w:color w:val="auto"/>
                <w:kern w:val="0"/>
                <w:szCs w:val="21"/>
                <w:highlight w:val="none"/>
                <w:lang w:eastAsia="zh-CN"/>
              </w:rPr>
              <w:t>中国建设银行股份有限公司南宁民族大道东支行</w:t>
            </w:r>
            <w:r>
              <w:rPr>
                <w:rFonts w:hint="eastAsia" w:ascii="宋体" w:hAnsi="宋体" w:eastAsia="宋体" w:cs="宋体"/>
                <w:iCs/>
                <w:color w:val="auto"/>
                <w:kern w:val="0"/>
                <w:szCs w:val="21"/>
                <w:highlight w:val="none"/>
              </w:rPr>
              <w:t xml:space="preserve">；银行账号： </w:t>
            </w:r>
            <w:r>
              <w:rPr>
                <w:rFonts w:hint="eastAsia" w:ascii="宋体" w:hAnsi="宋体" w:eastAsia="宋体" w:cs="宋体"/>
                <w:iCs/>
                <w:color w:val="auto"/>
                <w:kern w:val="0"/>
                <w:szCs w:val="21"/>
                <w:highlight w:val="none"/>
                <w:lang w:eastAsia="zh-CN"/>
              </w:rPr>
              <w:t>4500 1604 6530 5070 3663</w:t>
            </w:r>
            <w:r>
              <w:rPr>
                <w:rFonts w:hint="eastAsia" w:ascii="宋体" w:hAnsi="宋体" w:eastAsia="宋体" w:cs="宋体"/>
                <w:color w:val="auto"/>
                <w:kern w:val="0"/>
                <w:szCs w:val="21"/>
                <w:highlight w:val="none"/>
              </w:rPr>
              <w:t>）；采用支票、汇票、本票或者保函等方式的，在响应文件提交截止时间前，供应商必须提交单独密封的支票、汇票、本票或者保函原件。否则视为无效</w:t>
            </w:r>
            <w:r>
              <w:rPr>
                <w:rFonts w:hint="eastAsia" w:ascii="宋体" w:hAnsi="宋体" w:eastAsia="宋体" w:cs="宋体"/>
                <w:color w:val="auto"/>
                <w:kern w:val="0"/>
                <w:szCs w:val="21"/>
                <w:highlight w:val="none"/>
                <w:lang w:eastAsia="zh-CN"/>
              </w:rPr>
              <w:t>竞标保证金</w:t>
            </w:r>
            <w:r>
              <w:rPr>
                <w:rFonts w:hint="eastAsia" w:ascii="宋体" w:hAnsi="宋体" w:eastAsia="宋体" w:cs="宋体"/>
                <w:color w:val="auto"/>
                <w:kern w:val="0"/>
                <w:szCs w:val="21"/>
                <w:highlight w:val="none"/>
              </w:rPr>
              <w:t>。</w:t>
            </w:r>
          </w:p>
          <w:p w14:paraId="60C57F70">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7EAB74C1">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采用银行转账交纳方式的，在响应文件提交截止时间前交至指定账户并且到账，供应商应将银行转账底单的复印件作为</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提交凭证，放置于商务技术文件中，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BB2F534">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采用支票、汇票、本票或者银行、保险机构出具的保函</w:t>
            </w:r>
            <w:r>
              <w:rPr>
                <w:rFonts w:hint="eastAsia" w:ascii="宋体" w:hAnsi="宋体" w:eastAsia="宋体" w:cs="宋体"/>
                <w:color w:val="auto"/>
                <w:szCs w:val="24"/>
                <w:highlight w:val="none"/>
              </w:rPr>
              <w:t>（包含电子保函）</w:t>
            </w:r>
            <w:r>
              <w:rPr>
                <w:rFonts w:hint="eastAsia" w:ascii="宋体" w:hAnsi="宋体" w:eastAsia="宋体" w:cs="宋体"/>
                <w:color w:val="auto"/>
                <w:szCs w:val="21"/>
                <w:highlight w:val="none"/>
              </w:rPr>
              <w:t>交纳方式的，供应商应将支票、汇票、本票或者银行、保险机构出具的保函</w:t>
            </w:r>
            <w:r>
              <w:rPr>
                <w:rFonts w:hint="eastAsia" w:ascii="宋体" w:hAnsi="宋体" w:eastAsia="宋体" w:cs="宋体"/>
                <w:color w:val="auto"/>
                <w:szCs w:val="24"/>
                <w:highlight w:val="none"/>
              </w:rPr>
              <w:t>（包含电子保函）</w:t>
            </w:r>
            <w:r>
              <w:rPr>
                <w:rFonts w:hint="eastAsia" w:ascii="宋体" w:hAnsi="宋体" w:eastAsia="宋体" w:cs="宋体"/>
                <w:color w:val="auto"/>
                <w:szCs w:val="21"/>
                <w:highlight w:val="none"/>
              </w:rPr>
              <w:t>的复印件作为</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提交凭证，放置于商务技术文件中，</w:t>
            </w:r>
            <w:r>
              <w:rPr>
                <w:rFonts w:hint="eastAsia" w:ascii="宋体" w:hAnsi="宋体" w:eastAsia="宋体" w:cs="宋体"/>
                <w:b/>
                <w:color w:val="auto"/>
                <w:szCs w:val="21"/>
                <w:highlight w:val="none"/>
              </w:rPr>
              <w:t>否则响应文件按无效处理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4"/>
                <w:highlight w:val="none"/>
              </w:rPr>
              <w:t>在响应文件提交截止时间前采用现场或邮寄方式（现场提交地址：</w:t>
            </w:r>
            <w:r>
              <w:rPr>
                <w:rFonts w:hint="eastAsia" w:ascii="宋体" w:hAnsi="宋体" w:eastAsia="宋体" w:cs="宋体"/>
                <w:color w:val="auto"/>
                <w:szCs w:val="24"/>
                <w:highlight w:val="none"/>
                <w:lang w:eastAsia="zh-CN"/>
              </w:rPr>
              <w:t>南宁市青秀区金湖路58号广西建设大厦三楼</w:t>
            </w:r>
            <w:r>
              <w:rPr>
                <w:rFonts w:hint="eastAsia" w:ascii="宋体" w:hAnsi="宋体" w:eastAsia="宋体" w:cs="宋体"/>
                <w:color w:val="auto"/>
                <w:szCs w:val="24"/>
                <w:highlight w:val="none"/>
              </w:rPr>
              <w:t>；邮寄地址：</w:t>
            </w:r>
            <w:r>
              <w:rPr>
                <w:rFonts w:hint="eastAsia" w:ascii="宋体" w:hAnsi="宋体" w:eastAsia="宋体" w:cs="宋体"/>
                <w:color w:val="auto"/>
                <w:szCs w:val="24"/>
                <w:highlight w:val="none"/>
                <w:lang w:eastAsia="zh-CN"/>
              </w:rPr>
              <w:t>南宁市青秀区金湖路58号广西建设大厦三楼</w:t>
            </w:r>
            <w:r>
              <w:rPr>
                <w:rFonts w:hint="eastAsia" w:ascii="宋体" w:hAnsi="宋体" w:eastAsia="宋体" w:cs="宋体"/>
                <w:color w:val="auto"/>
                <w:szCs w:val="24"/>
                <w:highlight w:val="none"/>
              </w:rPr>
              <w:t>，收件人：</w:t>
            </w:r>
            <w:r>
              <w:rPr>
                <w:rFonts w:hint="eastAsia" w:ascii="宋体" w:hAnsi="宋体" w:eastAsia="宋体" w:cs="宋体"/>
                <w:color w:val="auto"/>
                <w:szCs w:val="24"/>
                <w:highlight w:val="none"/>
                <w:lang w:eastAsia="zh-CN"/>
              </w:rPr>
              <w:t>甘红山</w:t>
            </w:r>
            <w:r>
              <w:rPr>
                <w:rFonts w:hint="eastAsia" w:ascii="宋体" w:hAnsi="宋体" w:eastAsia="宋体" w:cs="宋体"/>
                <w:color w:val="auto"/>
                <w:szCs w:val="24"/>
                <w:highlight w:val="none"/>
              </w:rPr>
              <w:t>，联系方式：</w:t>
            </w:r>
            <w:r>
              <w:rPr>
                <w:rFonts w:hint="eastAsia" w:ascii="宋体" w:hAnsi="宋体" w:eastAsia="宋体" w:cs="宋体"/>
                <w:color w:val="auto"/>
                <w:szCs w:val="21"/>
                <w:highlight w:val="none"/>
                <w:lang w:eastAsia="zh-CN"/>
              </w:rPr>
              <w:t>0771-5823850</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将</w:t>
            </w:r>
            <w:r>
              <w:rPr>
                <w:rFonts w:hint="eastAsia" w:ascii="宋体" w:hAnsi="宋体" w:eastAsia="宋体" w:cs="宋体"/>
                <w:color w:val="auto"/>
                <w:kern w:val="0"/>
                <w:szCs w:val="21"/>
                <w:highlight w:val="none"/>
              </w:rPr>
              <w:t>单独密封的</w:t>
            </w:r>
            <w:r>
              <w:rPr>
                <w:rFonts w:hint="eastAsia" w:ascii="宋体" w:hAnsi="宋体" w:eastAsia="宋体" w:cs="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39126B00">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1A0B23C4">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在响应文件提交截止时间后提交的，或者不按规定交纳方式交纳的，或者未足额交纳的（包含保函额度不足的），视为无效</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w:t>
            </w:r>
          </w:p>
          <w:p w14:paraId="56C61185">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，视为无效</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w:t>
            </w:r>
          </w:p>
          <w:p w14:paraId="2CC97D78">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w:t>
            </w:r>
          </w:p>
          <w:p w14:paraId="3B9BF4ED">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w:t>
            </w:r>
          </w:p>
          <w:p w14:paraId="13BF786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5.采用银行、保险机构出具保函的，必须为无条件保函，否则视为无效</w:t>
            </w:r>
            <w:r>
              <w:rPr>
                <w:rFonts w:hint="eastAsia" w:ascii="宋体" w:hAnsi="宋体" w:eastAsia="宋体" w:cs="宋体"/>
                <w:b/>
                <w:color w:val="auto"/>
                <w:szCs w:val="21"/>
                <w:highlight w:val="none"/>
                <w:lang w:eastAsia="zh-CN"/>
              </w:rPr>
              <w:t>竞标保证金</w:t>
            </w:r>
            <w:r>
              <w:rPr>
                <w:rFonts w:hint="eastAsia" w:ascii="宋体" w:hAnsi="宋体" w:eastAsia="宋体" w:cs="宋体"/>
                <w:b/>
                <w:color w:val="auto"/>
                <w:szCs w:val="21"/>
                <w:highlight w:val="none"/>
              </w:rPr>
              <w:t>。</w:t>
            </w:r>
          </w:p>
        </w:tc>
      </w:tr>
      <w:tr w14:paraId="1A15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0C33605">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vAlign w:val="center"/>
          </w:tcPr>
          <w:p w14:paraId="7FC78C8C">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w:t>
            </w:r>
            <w:r>
              <w:rPr>
                <w:rFonts w:hint="eastAsia" w:ascii="宋体" w:hAnsi="宋体" w:eastAsia="宋体" w:cs="宋体"/>
                <w:color w:val="auto"/>
                <w:szCs w:val="24"/>
                <w:highlight w:val="none"/>
              </w:rPr>
              <w:t>电子</w:t>
            </w:r>
            <w:r>
              <w:rPr>
                <w:rFonts w:hint="eastAsia" w:ascii="宋体" w:hAnsi="宋体" w:eastAsia="宋体" w:cs="宋体"/>
                <w:color w:val="auto"/>
                <w:szCs w:val="21"/>
                <w:highlight w:val="none"/>
              </w:rPr>
              <w:t>备份响应文件</w:t>
            </w:r>
            <w:r>
              <w:rPr>
                <w:rFonts w:hint="eastAsia" w:ascii="宋体" w:hAnsi="宋体" w:eastAsia="宋体" w:cs="宋体"/>
                <w:color w:val="auto"/>
                <w:szCs w:val="24"/>
                <w:highlight w:val="none"/>
              </w:rPr>
              <w:t>。</w:t>
            </w:r>
          </w:p>
        </w:tc>
      </w:tr>
      <w:tr w14:paraId="7AA6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3F5035E">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370F05AE">
            <w:pPr>
              <w:keepNext w:val="0"/>
              <w:keepLines w:val="0"/>
              <w:pageBreakBefore w:val="0"/>
              <w:kinsoku/>
              <w:wordWrap/>
              <w:overflowPunct/>
              <w:topLinePunct w:val="0"/>
              <w:bidi w:val="0"/>
              <w:adjustRightInd/>
              <w:snapToGrid/>
              <w:spacing w:line="360" w:lineRule="auto"/>
              <w:ind w:left="0" w:firstLine="0" w:firstLineChars="0"/>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14:paraId="64440962">
            <w:pPr>
              <w:keepNext w:val="0"/>
              <w:keepLines w:val="0"/>
              <w:pageBreakBefore w:val="0"/>
              <w:kinsoku/>
              <w:wordWrap/>
              <w:overflowPunct/>
              <w:topLinePunct w:val="0"/>
              <w:bidi w:val="0"/>
              <w:adjustRightInd/>
              <w:snapToGrid/>
              <w:spacing w:line="360" w:lineRule="auto"/>
              <w:ind w:left="0" w:firstLine="0" w:firstLineChars="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响应文件提交地点：详见竞争性磋商公告。</w:t>
            </w:r>
          </w:p>
        </w:tc>
      </w:tr>
      <w:tr w14:paraId="2626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952BA4C">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6F955CC7">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w:t>
            </w:r>
          </w:p>
        </w:tc>
      </w:tr>
      <w:tr w14:paraId="592A0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179AEF6">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912" w:type="dxa"/>
            <w:vAlign w:val="center"/>
          </w:tcPr>
          <w:p w14:paraId="2D7DE3D7">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首次响应文件开启时间详见竞争性磋商公告</w:t>
            </w:r>
            <w:r>
              <w:rPr>
                <w:rFonts w:hint="eastAsia" w:ascii="宋体" w:hAnsi="宋体" w:eastAsia="宋体" w:cs="宋体"/>
                <w:color w:val="auto"/>
                <w:szCs w:val="21"/>
                <w:highlight w:val="none"/>
                <w:lang w:eastAsia="zh-CN"/>
              </w:rPr>
              <w:t>。</w:t>
            </w:r>
          </w:p>
          <w:p w14:paraId="5C1842BD">
            <w:pPr>
              <w:keepNext w:val="0"/>
              <w:keepLines w:val="0"/>
              <w:pageBreakBefore w:val="0"/>
              <w:kinsoku/>
              <w:wordWrap/>
              <w:overflowPunct/>
              <w:topLinePunct w:val="0"/>
              <w:bidi w:val="0"/>
              <w:adjustRightInd/>
              <w:snapToGrid/>
              <w:spacing w:line="360" w:lineRule="auto"/>
              <w:ind w:left="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首次响应文件解密时间：</w:t>
            </w:r>
            <w:r>
              <w:rPr>
                <w:rFonts w:hint="eastAsia" w:ascii="宋体" w:hAnsi="宋体" w:eastAsia="宋体" w:cs="宋体"/>
                <w:color w:val="auto"/>
                <w:szCs w:val="24"/>
                <w:highlight w:val="none"/>
                <w:u w:val="single"/>
              </w:rPr>
              <w:t xml:space="preserve"> 30</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分钟</w:t>
            </w:r>
          </w:p>
        </w:tc>
      </w:tr>
      <w:tr w14:paraId="4B2B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80FD212">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w:t>
            </w:r>
          </w:p>
        </w:tc>
        <w:tc>
          <w:tcPr>
            <w:tcW w:w="7912" w:type="dxa"/>
            <w:vAlign w:val="center"/>
          </w:tcPr>
          <w:p w14:paraId="65E4A8F7">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商务要求评审中允许负偏离的条款数为</w:t>
            </w:r>
            <w:r>
              <w:rPr>
                <w:rFonts w:hint="eastAsia" w:ascii="宋体" w:hAnsi="宋体" w:eastAsia="宋体" w:cs="宋体"/>
                <w:b/>
                <w:color w:val="auto"/>
                <w:szCs w:val="21"/>
                <w:highlight w:val="none"/>
                <w:u w:val="single"/>
              </w:rPr>
              <w:t xml:space="preserve"> 0 </w:t>
            </w:r>
            <w:r>
              <w:rPr>
                <w:rFonts w:hint="eastAsia" w:ascii="宋体" w:hAnsi="宋体" w:eastAsia="宋体" w:cs="宋体"/>
                <w:b/>
                <w:color w:val="auto"/>
                <w:szCs w:val="21"/>
                <w:highlight w:val="none"/>
              </w:rPr>
              <w:t>项。</w:t>
            </w:r>
          </w:p>
          <w:p w14:paraId="1D566E76">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技术要求评审中允许负偏离的条款数为</w:t>
            </w:r>
            <w:r>
              <w:rPr>
                <w:rFonts w:hint="eastAsia" w:ascii="宋体" w:hAnsi="宋体" w:eastAsia="宋体" w:cs="宋体"/>
                <w:b/>
                <w:color w:val="auto"/>
                <w:szCs w:val="21"/>
                <w:highlight w:val="none"/>
                <w:u w:val="single"/>
              </w:rPr>
              <w:t xml:space="preserve"> 0 </w:t>
            </w:r>
            <w:r>
              <w:rPr>
                <w:rFonts w:hint="eastAsia" w:ascii="宋体" w:hAnsi="宋体" w:eastAsia="宋体" w:cs="宋体"/>
                <w:b/>
                <w:color w:val="auto"/>
                <w:szCs w:val="21"/>
                <w:highlight w:val="none"/>
              </w:rPr>
              <w:t>项</w:t>
            </w:r>
            <w:r>
              <w:rPr>
                <w:rFonts w:hint="eastAsia" w:ascii="宋体" w:hAnsi="宋体" w:eastAsia="宋体" w:cs="宋体"/>
                <w:color w:val="auto"/>
                <w:szCs w:val="21"/>
                <w:highlight w:val="none"/>
              </w:rPr>
              <w:t>。</w:t>
            </w:r>
          </w:p>
        </w:tc>
      </w:tr>
      <w:tr w14:paraId="7A541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6B753C3">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382DB07B">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本项目不收取履约保证金。</w:t>
            </w:r>
          </w:p>
          <w:p w14:paraId="610A6DD7">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本项目收取履约保证金，具体规定如下：</w:t>
            </w:r>
          </w:p>
          <w:p w14:paraId="130DF8F6">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履约保证金金额：按成交金额的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%【如为中型企业，按合同总金额的2%收取，如为小微企业的，免收履约保证金】。</w:t>
            </w:r>
          </w:p>
          <w:p w14:paraId="0755C8DE">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履约保证金提交方式：银行转账、支票、汇票、本票或者银行、保险机构出具的保函等非现金方式。</w:t>
            </w:r>
          </w:p>
          <w:p w14:paraId="3E1A6496">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履约保证金缴纳期限: 成交供应商在收到成交通知书后，须在15日内向采购人足额提交履约保证金，否则采购人可以取消其成交资格。</w:t>
            </w:r>
          </w:p>
          <w:p w14:paraId="37336E96">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由成交供应商向履约保证金收取单位提供《广西壮族自治区政府采购项目合同验收书》（详见桂财采〔2015〕22号），保证金收取单位在收到合格材料后5个工作日内办理退还手续（不计利息）。</w:t>
            </w:r>
          </w:p>
          <w:p w14:paraId="0A1233BD">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履约保证金指定账户：成交后由采购人提供。</w:t>
            </w:r>
          </w:p>
          <w:p w14:paraId="40D261C0">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4ADBB797">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59" w:name="_Hlk54170335"/>
            <w:r>
              <w:rPr>
                <w:rFonts w:hint="eastAsia" w:ascii="宋体" w:hAnsi="宋体" w:eastAsia="宋体" w:cs="宋体"/>
                <w:color w:val="auto"/>
                <w:szCs w:val="21"/>
                <w:highlight w:val="none"/>
              </w:rPr>
              <w:t>根据《广西壮族自治区财政厅关于贯彻落实政府采购优化营商环境百日攻坚行动方案的通知》（桂财采〔2020〕49号）及《广西壮族自治区财政厅关于规范政府采购货物和服务项目保证金管理的通知》（桂财规〔2022〕8号）的规定，履约保证金数额不得超过政府采购合同金额的5%；政府采购要加大对中小企业发展的扶持力度，对中小企业收取的履约保证金数额不得超过政府采购合同金额的2%。</w:t>
            </w:r>
            <w:bookmarkEnd w:id="59"/>
          </w:p>
          <w:p w14:paraId="1E1B7831">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2.履约保证金不足额缴纳的（包含保函额度不足的），或者不按规定提交方式提交的，或者保函有效期低于</w:t>
            </w:r>
            <w:r>
              <w:rPr>
                <w:rFonts w:hint="eastAsia" w:ascii="宋体" w:hAnsi="宋体" w:eastAsia="宋体" w:cs="宋体"/>
                <w:color w:val="auto"/>
                <w:szCs w:val="21"/>
                <w:highlight w:val="none"/>
                <w:lang w:eastAsia="zh-CN"/>
              </w:rPr>
              <w:t>合同履约期限</w:t>
            </w:r>
            <w:r>
              <w:rPr>
                <w:rFonts w:hint="eastAsia" w:ascii="宋体" w:hAnsi="宋体" w:eastAsia="宋体" w:cs="宋体"/>
                <w:color w:val="auto"/>
                <w:szCs w:val="21"/>
                <w:highlight w:val="none"/>
              </w:rPr>
              <w:t>（即合同中规定的当事人履行自己的义务，如交付标的物、价款或者报酬，履行劳务、完成工作的时间界限）的，不予签订合同。</w:t>
            </w:r>
          </w:p>
          <w:p w14:paraId="3318CC92">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3.采用银行、保险机构出具的保函的，必须为无条件保函，否则不予签订合同。</w:t>
            </w:r>
          </w:p>
          <w:p w14:paraId="17545F79">
            <w:pPr>
              <w:keepNext w:val="0"/>
              <w:keepLines w:val="0"/>
              <w:pageBreakBefore w:val="0"/>
              <w:kinsoku/>
              <w:wordWrap/>
              <w:overflowPunct/>
              <w:topLinePunct w:val="0"/>
              <w:bidi w:val="0"/>
              <w:adjustRightInd/>
              <w:snapToGrid/>
              <w:spacing w:line="360" w:lineRule="auto"/>
              <w:ind w:left="0"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4.供应商为联合体的，由联合体任意一方按规定提交的履约保证金，视为有效履约保证金。</w:t>
            </w:r>
          </w:p>
        </w:tc>
      </w:tr>
      <w:tr w14:paraId="5081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88282AA">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21E3666C">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26B3C6E6">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6B21588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3146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691EE3E">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4F3A297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5A438D8E">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质疑联系部门及联系方式：广西城建咨询设计有限公司，联系电话：</w:t>
            </w:r>
            <w:r>
              <w:rPr>
                <w:rFonts w:hint="eastAsia" w:ascii="宋体" w:hAnsi="宋体" w:eastAsia="宋体" w:cs="宋体"/>
                <w:color w:val="auto"/>
                <w:szCs w:val="21"/>
                <w:highlight w:val="none"/>
                <w:lang w:eastAsia="zh-CN"/>
              </w:rPr>
              <w:t>0771-5823850。</w:t>
            </w:r>
          </w:p>
          <w:p w14:paraId="5C51CC0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南宁市青秀区金湖路58号广西建设大厦三楼</w:t>
            </w:r>
            <w:r>
              <w:rPr>
                <w:rFonts w:hint="eastAsia" w:ascii="宋体" w:hAnsi="宋体" w:eastAsia="宋体" w:cs="宋体"/>
                <w:color w:val="auto"/>
                <w:szCs w:val="21"/>
                <w:highlight w:val="none"/>
              </w:rPr>
              <w:t>。</w:t>
            </w:r>
          </w:p>
          <w:p w14:paraId="7C7B596C">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0"/>
                <w:sz w:val="20"/>
                <w:szCs w:val="21"/>
                <w:highlight w:val="none"/>
              </w:rPr>
            </w:pPr>
            <w:r>
              <w:rPr>
                <w:rFonts w:hint="eastAsia" w:ascii="宋体" w:hAnsi="宋体" w:eastAsia="宋体" w:cs="宋体"/>
                <w:color w:val="auto"/>
                <w:szCs w:val="21"/>
                <w:highlight w:val="none"/>
              </w:rPr>
              <w:t>业务时间：工作日每天上午8时30分到12时00分，下午3时00分到6时00分。</w:t>
            </w:r>
          </w:p>
        </w:tc>
      </w:tr>
      <w:tr w14:paraId="2508A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6213ABC">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31.6</w:t>
            </w:r>
          </w:p>
        </w:tc>
        <w:tc>
          <w:tcPr>
            <w:tcW w:w="7912" w:type="dxa"/>
            <w:vAlign w:val="center"/>
          </w:tcPr>
          <w:p w14:paraId="5124F682">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方式：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8286B47">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监督部门及联系方式:</w:t>
            </w:r>
          </w:p>
          <w:p w14:paraId="3FF7A034">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名称：广西壮族自治区财政厅政府采购监督管理处</w:t>
            </w:r>
          </w:p>
          <w:p w14:paraId="28797D1C">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地址：广西南宁市桃源路69号广西财政大厦7楼</w:t>
            </w:r>
          </w:p>
          <w:p w14:paraId="140CC400">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联系电话：0771-5331544/5331539</w:t>
            </w:r>
          </w:p>
        </w:tc>
      </w:tr>
      <w:tr w14:paraId="29AA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38073F2">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4A5C8697">
            <w:pPr>
              <w:pStyle w:val="19"/>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1.采购代理费支付方式：本项目</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rPr>
              <w:t>代理服务费</w:t>
            </w:r>
            <w:r>
              <w:rPr>
                <w:rFonts w:hint="eastAsia" w:ascii="宋体" w:hAnsi="宋体" w:eastAsia="宋体" w:cs="宋体"/>
                <w:color w:val="auto"/>
                <w:kern w:val="2"/>
                <w:sz w:val="21"/>
                <w:highlight w:val="none"/>
                <w:lang w:val="en-US" w:eastAsia="zh-CN"/>
              </w:rPr>
              <w:t>和评审费</w:t>
            </w:r>
            <w:r>
              <w:rPr>
                <w:rFonts w:hint="eastAsia" w:ascii="宋体" w:hAnsi="宋体" w:eastAsia="宋体" w:cs="宋体"/>
                <w:color w:val="auto"/>
                <w:kern w:val="2"/>
                <w:sz w:val="21"/>
                <w:highlight w:val="none"/>
              </w:rPr>
              <w:t>由中标人在领取中标通知书前，一次性向采购代理机构支付。</w:t>
            </w:r>
          </w:p>
          <w:p w14:paraId="5FB27A82">
            <w:pPr>
              <w:pStyle w:val="19"/>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收费标准：采购代理机构根据与采购人签订的《采购代理合同》约定向中标供应商收取代理服务费。本项目代理服务费按照《招标代理服务费管理暂行办法》(计价格﹝2002﹞1980号)、《国家发展改革委关于降低部分建设项目收费标准规范收费行为等有关问题的通知》(发改价格﹝2011﹞534号)的规定，采用差额定率累进法计算。</w:t>
            </w:r>
          </w:p>
          <w:p w14:paraId="2FED8354">
            <w:pPr>
              <w:pStyle w:val="19"/>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3.服务费提交账户：</w:t>
            </w:r>
          </w:p>
          <w:p w14:paraId="3E746178">
            <w:pPr>
              <w:pStyle w:val="19"/>
              <w:keepNext w:val="0"/>
              <w:keepLines w:val="0"/>
              <w:pageBreakBefore w:val="0"/>
              <w:widowControl/>
              <w:kinsoku/>
              <w:wordWrap/>
              <w:overflowPunct/>
              <w:topLinePunct w:val="0"/>
              <w:bidi w:val="0"/>
              <w:adjustRightInd/>
              <w:snapToGrid/>
              <w:spacing w:line="360" w:lineRule="auto"/>
              <w:ind w:left="0" w:firstLine="0" w:firstLineChars="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开户名称：广西城建咨询设计有限公司钦州分公司</w:t>
            </w:r>
          </w:p>
          <w:p w14:paraId="1B85A07A">
            <w:pPr>
              <w:pStyle w:val="19"/>
              <w:keepNext w:val="0"/>
              <w:keepLines w:val="0"/>
              <w:pageBreakBefore w:val="0"/>
              <w:widowControl/>
              <w:kinsoku/>
              <w:wordWrap/>
              <w:overflowPunct/>
              <w:topLinePunct w:val="0"/>
              <w:bidi w:val="0"/>
              <w:adjustRightInd/>
              <w:snapToGrid/>
              <w:spacing w:line="360" w:lineRule="auto"/>
              <w:ind w:left="0" w:firstLine="0" w:firstLineChars="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开户银行：工行钦州向阳支行</w:t>
            </w:r>
          </w:p>
          <w:p w14:paraId="16C37206">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银行账号：2115 5900 0930 0013 302</w:t>
            </w:r>
          </w:p>
        </w:tc>
      </w:tr>
      <w:tr w14:paraId="7155D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8D23A84">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7912" w:type="dxa"/>
            <w:vAlign w:val="center"/>
          </w:tcPr>
          <w:p w14:paraId="5508A63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9C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C24B48F">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33.2</w:t>
            </w:r>
          </w:p>
        </w:tc>
        <w:tc>
          <w:tcPr>
            <w:tcW w:w="7912" w:type="dxa"/>
            <w:vAlign w:val="center"/>
          </w:tcPr>
          <w:p w14:paraId="4A826D2A">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161B247">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2.本磋商文件所称的“</w:t>
            </w:r>
            <w:r>
              <w:rPr>
                <w:rFonts w:hint="eastAsia" w:ascii="宋体" w:hAnsi="宋体" w:eastAsia="宋体" w:cs="宋体"/>
                <w:b/>
                <w:color w:val="auto"/>
                <w:kern w:val="0"/>
                <w:szCs w:val="21"/>
                <w:highlight w:val="none"/>
              </w:rPr>
              <w:t>电子签章</w:t>
            </w:r>
            <w:r>
              <w:rPr>
                <w:rFonts w:hint="eastAsia" w:ascii="宋体" w:hAnsi="宋体" w:eastAsia="宋体" w:cs="宋体"/>
                <w:b/>
                <w:bCs/>
                <w:color w:val="auto"/>
                <w:kern w:val="0"/>
                <w:szCs w:val="21"/>
                <w:highlight w:val="none"/>
              </w:rPr>
              <w:t>”、“电子签名”</w:t>
            </w:r>
            <w:r>
              <w:rPr>
                <w:rFonts w:hint="eastAsia" w:ascii="宋体" w:hAnsi="宋体" w:eastAsia="宋体" w:cs="宋体"/>
                <w:b/>
                <w:color w:val="auto"/>
                <w:kern w:val="0"/>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1F24F2A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3.供应商为其他组织或者自然人时，本磋商文件规定的法定代表人指负责人或者自然人。本磋商文件所称负责人是指参加竞标的其他组织</w:t>
            </w:r>
            <w:r>
              <w:rPr>
                <w:rFonts w:hint="eastAsia" w:ascii="宋体" w:hAnsi="宋体" w:eastAsia="宋体" w:cs="宋体"/>
                <w:b/>
                <w:bCs/>
                <w:color w:val="auto"/>
                <w:kern w:val="0"/>
                <w:szCs w:val="21"/>
                <w:highlight w:val="none"/>
              </w:rPr>
              <w:t>营业执照或者执业许可证等证照上的</w:t>
            </w:r>
            <w:r>
              <w:rPr>
                <w:rFonts w:hint="eastAsia" w:ascii="宋体" w:hAnsi="宋体" w:eastAsia="宋体" w:cs="宋体"/>
                <w:b/>
                <w:color w:val="auto"/>
                <w:kern w:val="0"/>
                <w:szCs w:val="21"/>
                <w:highlight w:val="none"/>
              </w:rPr>
              <w:t>负责人，本磋商文件所称自然人指参与竞标的自然人本人，</w:t>
            </w:r>
            <w:r>
              <w:rPr>
                <w:rFonts w:hint="eastAsia" w:ascii="宋体" w:hAnsi="宋体" w:eastAsia="宋体" w:cs="宋体"/>
                <w:b/>
                <w:bCs/>
                <w:color w:val="auto"/>
                <w:kern w:val="0"/>
                <w:szCs w:val="21"/>
                <w:highlight w:val="none"/>
              </w:rPr>
              <w:t>且应具备独立承担民事责任能力，自然人应当为年满18岁以上成年人（十六周岁以上的未成年人，以自己的劳动收入为主要生活来源的，视为完全民事行为能力人）。</w:t>
            </w:r>
          </w:p>
          <w:p w14:paraId="4603CF7D">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4A3AE493">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5.本磋商文件所称的“以上”“以下”“以内”“届满”，包括本数；所称的“不满”“超过”“以外”，不包括本数。</w:t>
            </w:r>
          </w:p>
        </w:tc>
      </w:tr>
      <w:tr w14:paraId="4486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E903779">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34</w:t>
            </w:r>
          </w:p>
        </w:tc>
        <w:tc>
          <w:tcPr>
            <w:tcW w:w="7912" w:type="dxa"/>
            <w:vAlign w:val="center"/>
          </w:tcPr>
          <w:p w14:paraId="07586853">
            <w:pPr>
              <w:keepNext w:val="0"/>
              <w:keepLines w:val="0"/>
              <w:pageBreakBefore w:val="0"/>
              <w:kinsoku/>
              <w:wordWrap/>
              <w:overflowPunct/>
              <w:topLinePunct w:val="0"/>
              <w:bidi w:val="0"/>
              <w:adjustRightInd/>
              <w:snapToGrid/>
              <w:spacing w:line="360" w:lineRule="auto"/>
              <w:ind w:left="0" w:firstLine="0" w:firstLineChars="0"/>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广西线上“政采贷”政策告知函</w:t>
            </w:r>
          </w:p>
          <w:p w14:paraId="7F80F33B">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各供应商：</w:t>
            </w:r>
          </w:p>
          <w:p w14:paraId="7827C35B">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欢迎贵公司参与广西政府采购活动！</w:t>
            </w:r>
          </w:p>
          <w:p w14:paraId="12712ABF">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线上“政采贷”是人民银行</w:t>
            </w:r>
            <w:r>
              <w:rPr>
                <w:rFonts w:hint="eastAsia" w:ascii="宋体" w:hAnsi="宋体" w:eastAsia="宋体" w:cs="宋体"/>
                <w:b w:val="0"/>
                <w:bCs/>
                <w:color w:val="auto"/>
                <w:kern w:val="0"/>
                <w:szCs w:val="21"/>
                <w:highlight w:val="none"/>
                <w:lang w:eastAsia="zh-CN"/>
              </w:rPr>
              <w:t>南宁</w:t>
            </w:r>
            <w:r>
              <w:rPr>
                <w:rFonts w:hint="eastAsia" w:ascii="宋体" w:hAnsi="宋体" w:eastAsia="宋体" w:cs="宋体"/>
                <w:b w:val="0"/>
                <w:bCs/>
                <w:color w:val="auto"/>
                <w:kern w:val="0"/>
                <w:szCs w:val="21"/>
                <w:highlight w:val="none"/>
              </w:rPr>
              <w:t>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w:t>
            </w:r>
            <w:r>
              <w:rPr>
                <w:rFonts w:hint="eastAsia" w:ascii="宋体" w:hAnsi="宋体" w:eastAsia="宋体" w:cs="宋体"/>
                <w:b w:val="0"/>
                <w:bCs/>
                <w:color w:val="auto"/>
                <w:kern w:val="0"/>
                <w:szCs w:val="21"/>
                <w:highlight w:val="none"/>
                <w:lang w:eastAsia="zh-CN"/>
              </w:rPr>
              <w:t>南宁</w:t>
            </w:r>
            <w:r>
              <w:rPr>
                <w:rFonts w:hint="eastAsia" w:ascii="宋体" w:hAnsi="宋体" w:eastAsia="宋体" w:cs="宋体"/>
                <w:b w:val="0"/>
                <w:bCs/>
                <w:color w:val="auto"/>
                <w:kern w:val="0"/>
                <w:szCs w:val="21"/>
                <w:highlight w:val="none"/>
              </w:rPr>
              <w:t>中心支行广西壮族自治区财政厅关于推广线上“政采贷”融资模式的通知》(</w:t>
            </w:r>
            <w:r>
              <w:rPr>
                <w:rFonts w:hint="eastAsia" w:ascii="宋体" w:hAnsi="宋体" w:eastAsia="宋体" w:cs="宋体"/>
                <w:b w:val="0"/>
                <w:bCs/>
                <w:color w:val="auto"/>
                <w:kern w:val="0"/>
                <w:szCs w:val="21"/>
                <w:highlight w:val="none"/>
                <w:lang w:eastAsia="zh-CN"/>
              </w:rPr>
              <w:t>南宁</w:t>
            </w:r>
            <w:r>
              <w:rPr>
                <w:rFonts w:hint="eastAsia" w:ascii="宋体" w:hAnsi="宋体" w:eastAsia="宋体" w:cs="宋体"/>
                <w:b w:val="0"/>
                <w:bCs/>
                <w:color w:val="auto"/>
                <w:kern w:val="0"/>
                <w:szCs w:val="21"/>
                <w:highlight w:val="none"/>
              </w:rPr>
              <w:t>银发〔2021〕258号)，按照双方自愿的原则提供便捷、优惠的贷款服务。</w:t>
            </w:r>
          </w:p>
          <w:p w14:paraId="69F295DE">
            <w:pPr>
              <w:keepNext w:val="0"/>
              <w:keepLines w:val="0"/>
              <w:pageBreakBefore w:val="0"/>
              <w:kinsoku/>
              <w:wordWrap/>
              <w:overflowPunct/>
              <w:topLinePunct w:val="0"/>
              <w:bidi w:val="0"/>
              <w:adjustRightInd/>
              <w:snapToGrid/>
              <w:spacing w:line="360" w:lineRule="auto"/>
              <w:ind w:left="0" w:firstLine="0" w:firstLineChars="0"/>
              <w:rPr>
                <w:rFonts w:hint="eastAsia" w:ascii="宋体" w:hAnsi="宋体" w:eastAsia="宋体" w:cs="宋体"/>
                <w:b/>
                <w:color w:val="auto"/>
                <w:kern w:val="0"/>
                <w:szCs w:val="21"/>
                <w:highlight w:val="none"/>
              </w:rPr>
            </w:pPr>
            <w:r>
              <w:rPr>
                <w:rFonts w:hint="eastAsia" w:ascii="宋体" w:hAnsi="宋体" w:eastAsia="宋体" w:cs="宋体"/>
                <w:b w:val="0"/>
                <w:bCs/>
                <w:color w:val="auto"/>
                <w:kern w:val="0"/>
                <w:szCs w:val="21"/>
                <w:highlight w:val="none"/>
              </w:rPr>
              <w:t>相关金融产品和银行业金融机构联系方式，可在中征应收账款融资服务平台查询 (网址：https://www.crcrfsp.com/，客服电话： 400-009-0001)。</w:t>
            </w:r>
          </w:p>
        </w:tc>
      </w:tr>
    </w:tbl>
    <w:p w14:paraId="19DDBB42">
      <w:pPr>
        <w:keepNext w:val="0"/>
        <w:keepLines w:val="0"/>
        <w:pageBreakBefore w:val="0"/>
        <w:widowControl w:val="0"/>
        <w:kinsoku/>
        <w:wordWrap/>
        <w:overflowPunct/>
        <w:topLinePunct w:val="0"/>
        <w:autoSpaceDE/>
        <w:autoSpaceDN/>
        <w:bidi w:val="0"/>
        <w:adjustRightInd/>
        <w:snapToGrid/>
        <w:spacing w:before="260" w:after="260" w:line="360" w:lineRule="auto"/>
        <w:jc w:val="center"/>
        <w:textAlignment w:val="auto"/>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br w:type="page"/>
      </w:r>
      <w:r>
        <w:rPr>
          <w:rFonts w:hint="eastAsia" w:ascii="宋体" w:hAnsi="宋体" w:eastAsia="宋体" w:cs="Times New Roman"/>
          <w:b/>
          <w:color w:val="auto"/>
          <w:sz w:val="32"/>
          <w:szCs w:val="32"/>
          <w:highlight w:val="none"/>
        </w:rPr>
        <w:t>供应商须知正文</w:t>
      </w:r>
    </w:p>
    <w:p w14:paraId="40F181AA">
      <w:pPr>
        <w:spacing w:line="400" w:lineRule="exact"/>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一、总则</w:t>
      </w:r>
    </w:p>
    <w:p w14:paraId="16F421C1">
      <w:pPr>
        <w:spacing w:line="400" w:lineRule="exact"/>
        <w:jc w:val="center"/>
        <w:rPr>
          <w:rFonts w:ascii="宋体" w:hAnsi="宋体" w:eastAsia="宋体" w:cs="Times New Roman"/>
          <w:color w:val="auto"/>
          <w:szCs w:val="21"/>
          <w:highlight w:val="none"/>
        </w:rPr>
      </w:pPr>
    </w:p>
    <w:p w14:paraId="7279C5F2">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44BB7D1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eastAsia="宋体" w:cs="Times New Roman"/>
          <w:color w:val="auto"/>
          <w:szCs w:val="21"/>
          <w:highlight w:val="none"/>
        </w:rPr>
        <w:t>《政府采购竞争性磋商采购方式管理暂行办法》《财政部关于政府采购竞争性磋商采购方式管理暂行办法有关问题的补充通知》</w:t>
      </w:r>
      <w:r>
        <w:rPr>
          <w:rFonts w:hint="eastAsia" w:ascii="宋体" w:hAnsi="宋体" w:eastAsia="宋体" w:cs="宋体"/>
          <w:color w:val="auto"/>
          <w:szCs w:val="21"/>
          <w:highlight w:val="none"/>
        </w:rPr>
        <w:t>及本项目本级和上级财政部门政府采购有关规定的约束和保护。</w:t>
      </w:r>
    </w:p>
    <w:p w14:paraId="6DC5452F">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BE7AFBC">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2.定义</w:t>
      </w:r>
    </w:p>
    <w:p w14:paraId="418471E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52E235E">
      <w:pPr>
        <w:spacing w:line="360" w:lineRule="auto"/>
        <w:ind w:firstLine="412"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38C778E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3B5590D">
      <w:pPr>
        <w:spacing w:line="360" w:lineRule="auto"/>
        <w:ind w:firstLine="412"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2.4“服务”是指除货物和工程以外的其他政府采购对象。</w:t>
      </w:r>
    </w:p>
    <w:p w14:paraId="3C1CDA8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5</w:t>
      </w:r>
      <w:r>
        <w:rPr>
          <w:rFonts w:hint="eastAsia" w:ascii="宋体" w:hAnsi="宋体" w:eastAsia="宋体" w:cs="宋体"/>
          <w:color w:val="auto"/>
          <w:szCs w:val="21"/>
          <w:highlight w:val="none"/>
        </w:rPr>
        <w:t>“竞标”是指供应商按照本项目竞争性磋商公告或者邀请函规定的方式获取磋商文件、提交响应文件并希望获得标的的行为。</w:t>
      </w:r>
    </w:p>
    <w:p w14:paraId="5B04315D">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000A0D3E">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63801FC">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14:paraId="5C93BB8E">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1A17E713">
      <w:pPr>
        <w:spacing w:line="360" w:lineRule="auto"/>
        <w:ind w:firstLine="412" w:firstLineChars="200"/>
        <w:contextualSpacing/>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10“负偏离”，是指响应文件对磋商文件“采购需求”中有关条款作出的响应不满足条款要求，导致采购人要求不能得到满足的情形。</w:t>
      </w:r>
    </w:p>
    <w:p w14:paraId="7741E808">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716FDD18">
      <w:pPr>
        <w:spacing w:line="360" w:lineRule="auto"/>
        <w:ind w:firstLine="412"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r>
        <w:rPr>
          <w:rFonts w:hint="eastAsia" w:ascii="宋体" w:hAnsi="宋体" w:eastAsia="宋体" w:cs="宋体"/>
          <w:color w:val="auto"/>
          <w:szCs w:val="21"/>
          <w:highlight w:val="none"/>
        </w:rPr>
        <w:t>2“首次报价”是指供应商提交的首次响应文件中的报价。</w:t>
      </w:r>
    </w:p>
    <w:p w14:paraId="68A8FF36">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719EF34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68FE189">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4.竞标费用</w:t>
      </w:r>
    </w:p>
    <w:p w14:paraId="0E63647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98AD5A2">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134B5AD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13278E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194D99D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w:t>
      </w:r>
      <w:bookmarkStart w:id="60" w:name="_Hlk66782192"/>
      <w:r>
        <w:rPr>
          <w:rFonts w:hint="eastAsia" w:ascii="宋体" w:hAnsi="宋体" w:eastAsia="宋体" w:cs="Times New Roman"/>
          <w:bCs/>
          <w:color w:val="auto"/>
          <w:szCs w:val="21"/>
          <w:highlight w:val="none"/>
        </w:rPr>
        <w:t>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0"/>
    </w:p>
    <w:p w14:paraId="3A3EEFD9">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3961164C">
      <w:pPr>
        <w:spacing w:line="360" w:lineRule="auto"/>
        <w:ind w:left="412" w:leftChars="200"/>
        <w:outlineLvl w:val="4"/>
        <w:rPr>
          <w:rFonts w:ascii="宋体" w:hAnsi="宋体" w:eastAsia="宋体" w:cs="Times New Roman"/>
          <w:bCs/>
          <w:color w:val="auto"/>
          <w:szCs w:val="21"/>
          <w:highlight w:val="none"/>
        </w:rPr>
      </w:pPr>
      <w:bookmarkStart w:id="61" w:name="_Toc254970532"/>
      <w:bookmarkStart w:id="62" w:name="_Toc254970673"/>
      <w:r>
        <w:rPr>
          <w:rFonts w:hint="eastAsia" w:ascii="宋体" w:hAnsi="宋体" w:eastAsia="宋体" w:cs="Times New Roman"/>
          <w:bCs/>
          <w:color w:val="auto"/>
          <w:szCs w:val="21"/>
          <w:highlight w:val="none"/>
        </w:rPr>
        <w:t>6.1本项目不允许转包。</w:t>
      </w:r>
    </w:p>
    <w:p w14:paraId="5C264864">
      <w:pPr>
        <w:spacing w:line="360" w:lineRule="auto"/>
        <w:ind w:firstLine="309" w:firstLineChars="150"/>
        <w:outlineLvl w:val="4"/>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2F869FF">
      <w:pPr>
        <w:spacing w:line="360" w:lineRule="auto"/>
        <w:ind w:firstLine="309" w:firstLineChars="150"/>
        <w:outlineLvl w:val="4"/>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13A67F7">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7.特别说明</w:t>
      </w:r>
      <w:bookmarkEnd w:id="61"/>
      <w:bookmarkEnd w:id="62"/>
    </w:p>
    <w:p w14:paraId="4360ED2D">
      <w:pPr>
        <w:spacing w:line="360" w:lineRule="auto"/>
        <w:ind w:firstLine="412" w:firstLineChars="200"/>
        <w:rPr>
          <w:rFonts w:ascii="宋体" w:hAnsi="宋体" w:eastAsia="宋体" w:cs="宋体"/>
          <w:color w:val="auto"/>
          <w:szCs w:val="21"/>
          <w:highlight w:val="none"/>
        </w:rPr>
      </w:pPr>
      <w:bookmarkStart w:id="63" w:name="_8.1提供相同品牌产品且通过资格审查、符合性审查的不同投标人参加同一合"/>
      <w:bookmarkEnd w:id="63"/>
      <w:r>
        <w:rPr>
          <w:rFonts w:hint="eastAsia" w:ascii="宋体" w:hAnsi="宋体" w:eastAsia="宋体" w:cs="宋体"/>
          <w:color w:val="auto"/>
          <w:szCs w:val="21"/>
          <w:highlight w:val="none"/>
        </w:rPr>
        <w:t>7.</w:t>
      </w:r>
      <w:r>
        <w:rPr>
          <w:rFonts w:ascii="宋体" w:hAnsi="宋体" w:eastAsia="宋体" w:cs="宋体"/>
          <w:color w:val="auto"/>
          <w:szCs w:val="21"/>
          <w:highlight w:val="none"/>
        </w:rPr>
        <w:t>1</w:t>
      </w:r>
      <w:bookmarkStart w:id="64" w:name="_Hlk65832145"/>
      <w:r>
        <w:rPr>
          <w:rFonts w:hint="eastAsia" w:ascii="宋体" w:hAnsi="宋体" w:eastAsia="宋体" w:cs="Times New Roman"/>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rPr>
        <w:t>。</w:t>
      </w:r>
    </w:p>
    <w:bookmarkEnd w:id="64"/>
    <w:p w14:paraId="1754025F">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2</w:t>
      </w:r>
      <w:r>
        <w:rPr>
          <w:rFonts w:hint="eastAsia" w:ascii="宋体" w:hAnsi="宋体" w:eastAsia="宋体" w:cs="宋体"/>
          <w:color w:val="auto"/>
          <w:szCs w:val="21"/>
          <w:highlight w:val="none"/>
        </w:rPr>
        <w:t>供应商应仔细阅读磋商文件的所有内容，按照磋商文件的要求提交响应文件，并对所提供的全部资料的真实性承担法律责任。</w:t>
      </w:r>
    </w:p>
    <w:p w14:paraId="72F1E76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3</w:t>
      </w:r>
      <w:r>
        <w:rPr>
          <w:rFonts w:hint="eastAsia" w:ascii="宋体" w:hAnsi="宋体" w:eastAsia="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3F5C68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4</w:t>
      </w:r>
      <w:r>
        <w:rPr>
          <w:rFonts w:hint="eastAsia" w:ascii="宋体" w:hAnsi="宋体" w:eastAsia="宋体" w:cs="宋体"/>
          <w:color w:val="auto"/>
          <w:szCs w:val="21"/>
          <w:highlight w:val="none"/>
        </w:rPr>
        <w:t>在政府采购活动中，采购人员及相关人员与供应商有下列利害关系之一的，应当回避：</w:t>
      </w:r>
    </w:p>
    <w:p w14:paraId="4FF0AED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FAB2AF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B75E78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E7BAB0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BD9B0C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FD4194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3EC0B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5</w:t>
      </w:r>
      <w:r>
        <w:rPr>
          <w:rFonts w:hint="eastAsia" w:ascii="宋体" w:hAnsi="宋体" w:eastAsia="宋体" w:cs="宋体"/>
          <w:color w:val="auto"/>
          <w:szCs w:val="21"/>
          <w:highlight w:val="none"/>
        </w:rPr>
        <w:t>有下列情形之一的视为供应商相互串通竞标，响应文件将被视为无效：</w:t>
      </w:r>
    </w:p>
    <w:p w14:paraId="28D8A70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1D31B82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0707524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007119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162CBF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053A480">
      <w:pPr>
        <w:tabs>
          <w:tab w:val="left" w:pos="6931"/>
        </w:tabs>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从同一单位或者个人账户转出。</w:t>
      </w:r>
      <w:r>
        <w:rPr>
          <w:rFonts w:ascii="宋体" w:hAnsi="宋体" w:eastAsia="宋体" w:cs="宋体"/>
          <w:color w:val="auto"/>
          <w:szCs w:val="21"/>
          <w:highlight w:val="none"/>
        </w:rPr>
        <w:tab/>
      </w:r>
    </w:p>
    <w:p w14:paraId="6212C52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6</w:t>
      </w:r>
      <w:r>
        <w:rPr>
          <w:rFonts w:hint="eastAsia" w:ascii="宋体" w:hAnsi="宋体" w:eastAsia="宋体" w:cs="宋体"/>
          <w:color w:val="auto"/>
          <w:szCs w:val="21"/>
          <w:highlight w:val="none"/>
        </w:rPr>
        <w:t>供应商有下列情形之一的，属于恶意串通行为，将报同级监督管理部门：</w:t>
      </w:r>
    </w:p>
    <w:p w14:paraId="4743D64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05F0FA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168CF9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70FD0D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0A77987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7B7EFF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ACA0027">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75E5E97">
      <w:pPr>
        <w:spacing w:line="360" w:lineRule="auto"/>
        <w:jc w:val="center"/>
        <w:rPr>
          <w:rFonts w:ascii="宋体" w:hAnsi="宋体" w:eastAsia="宋体" w:cs="宋体"/>
          <w:color w:val="auto"/>
          <w:szCs w:val="21"/>
          <w:highlight w:val="none"/>
        </w:rPr>
      </w:pPr>
    </w:p>
    <w:p w14:paraId="3837A69F">
      <w:pPr>
        <w:spacing w:line="360" w:lineRule="auto"/>
        <w:jc w:val="center"/>
        <w:rPr>
          <w:rFonts w:ascii="宋体" w:hAnsi="宋体" w:eastAsia="宋体" w:cs="Times New Roman"/>
          <w:b/>
          <w:bCs/>
          <w:color w:val="auto"/>
          <w:sz w:val="32"/>
          <w:szCs w:val="32"/>
          <w:highlight w:val="none"/>
        </w:rPr>
      </w:pPr>
      <w:bookmarkStart w:id="65" w:name="_Toc254970534"/>
      <w:bookmarkStart w:id="66" w:name="_Toc254970675"/>
      <w:r>
        <w:rPr>
          <w:rFonts w:hint="eastAsia" w:ascii="宋体" w:hAnsi="宋体" w:eastAsia="宋体" w:cs="Times New Roman"/>
          <w:b/>
          <w:bCs/>
          <w:color w:val="auto"/>
          <w:sz w:val="32"/>
          <w:szCs w:val="32"/>
          <w:highlight w:val="none"/>
        </w:rPr>
        <w:t>二、磋商文件</w:t>
      </w:r>
      <w:bookmarkEnd w:id="65"/>
      <w:bookmarkEnd w:id="66"/>
    </w:p>
    <w:p w14:paraId="04AB0C5B">
      <w:pPr>
        <w:spacing w:line="360" w:lineRule="auto"/>
        <w:jc w:val="center"/>
        <w:rPr>
          <w:rFonts w:ascii="宋体" w:hAnsi="宋体" w:eastAsia="宋体" w:cs="Times New Roman"/>
          <w:color w:val="auto"/>
          <w:szCs w:val="21"/>
          <w:highlight w:val="none"/>
        </w:rPr>
      </w:pPr>
    </w:p>
    <w:p w14:paraId="4DD2FBAE">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8.磋商文件的构成</w:t>
      </w:r>
    </w:p>
    <w:p w14:paraId="4A9B2B01">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（1）竞争性磋商公告；</w:t>
      </w:r>
    </w:p>
    <w:p w14:paraId="799A7F5E">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（2）供应商须知； </w:t>
      </w:r>
    </w:p>
    <w:p w14:paraId="3889A27C">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（3）采购需求；</w:t>
      </w:r>
    </w:p>
    <w:p w14:paraId="396E3312">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（4）评审程序、评审方法和评审标准；</w:t>
      </w:r>
    </w:p>
    <w:p w14:paraId="1B0083B0">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（5）响应文件格式；</w:t>
      </w:r>
    </w:p>
    <w:p w14:paraId="0F2014F3">
      <w:pPr>
        <w:spacing w:line="360" w:lineRule="auto"/>
        <w:ind w:firstLine="412"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（6）合同文本。</w:t>
      </w:r>
    </w:p>
    <w:p w14:paraId="0A933778">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533B956D">
      <w:pPr>
        <w:spacing w:line="360" w:lineRule="auto"/>
        <w:ind w:firstLine="412"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供应商应认真阅读磋商文件的采购需求，如供应商对磋商文件有疑问的，如要求采购人作出澄清或者修改的，供应商应在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5297CF20">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10.磋商文件的澄清和修改</w:t>
      </w:r>
    </w:p>
    <w:p w14:paraId="70FB2776">
      <w:pPr>
        <w:spacing w:line="360" w:lineRule="auto"/>
        <w:ind w:firstLine="412"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eastAsia="宋体" w:cs="Times New Roman"/>
          <w:color w:val="auto"/>
          <w:szCs w:val="21"/>
          <w:highlight w:val="none"/>
        </w:rPr>
        <w:t>获取</w:t>
      </w:r>
      <w:r>
        <w:rPr>
          <w:rFonts w:ascii="宋体" w:hAnsi="宋体" w:eastAsia="宋体" w:cs="Times New Roman"/>
          <w:color w:val="auto"/>
          <w:szCs w:val="21"/>
          <w:highlight w:val="none"/>
        </w:rPr>
        <w:t>磋商文件的供应商，不足3个工作日的，应当顺延提交首次响应文件截止之日。</w:t>
      </w:r>
    </w:p>
    <w:p w14:paraId="161AE7C0">
      <w:pPr>
        <w:spacing w:line="360" w:lineRule="auto"/>
        <w:jc w:val="center"/>
        <w:rPr>
          <w:rFonts w:ascii="宋体" w:hAnsi="宋体" w:eastAsia="宋体" w:cs="Times New Roman"/>
          <w:color w:val="auto"/>
          <w:szCs w:val="21"/>
          <w:highlight w:val="none"/>
        </w:rPr>
      </w:pPr>
    </w:p>
    <w:p w14:paraId="2BC706CD">
      <w:pPr>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 w:val="32"/>
          <w:szCs w:val="32"/>
          <w:highlight w:val="none"/>
        </w:rPr>
        <w:t>三、响应文件的编制</w:t>
      </w:r>
    </w:p>
    <w:p w14:paraId="4DECB791">
      <w:pPr>
        <w:spacing w:line="360" w:lineRule="auto"/>
        <w:jc w:val="center"/>
        <w:rPr>
          <w:rFonts w:ascii="宋体" w:hAnsi="宋体" w:eastAsia="宋体" w:cs="Times New Roman"/>
          <w:color w:val="auto"/>
          <w:szCs w:val="21"/>
          <w:highlight w:val="none"/>
        </w:rPr>
      </w:pPr>
    </w:p>
    <w:p w14:paraId="1B268448">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751CCEF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eastAsia="宋体" w:cs="Times New Roman"/>
          <w:color w:val="auto"/>
          <w:szCs w:val="21"/>
          <w:highlight w:val="none"/>
        </w:rPr>
        <w:t>提出的要求和条件作出明确响应</w:t>
      </w:r>
      <w:r>
        <w:rPr>
          <w:rFonts w:hint="eastAsia" w:ascii="宋体" w:hAnsi="宋体" w:eastAsia="宋体" w:cs="宋体"/>
          <w:color w:val="auto"/>
          <w:szCs w:val="21"/>
          <w:highlight w:val="none"/>
        </w:rPr>
        <w:t>。</w:t>
      </w:r>
    </w:p>
    <w:p w14:paraId="3B8BF9BD">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1B83B83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12.1响应文件由资格证明文件、报价文件、商务技术文件三部分组成。</w:t>
      </w:r>
    </w:p>
    <w:p w14:paraId="2629B9DD">
      <w:pPr>
        <w:spacing w:line="360" w:lineRule="auto"/>
        <w:ind w:left="824" w:leftChars="200" w:hanging="412"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76FCD2D2">
      <w:pPr>
        <w:spacing w:line="360" w:lineRule="auto"/>
        <w:ind w:left="824" w:leftChars="200" w:hanging="412"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12.1.2报价文件：详见“供应商须知前附表”</w:t>
      </w:r>
    </w:p>
    <w:p w14:paraId="295D91A5">
      <w:pPr>
        <w:spacing w:line="360" w:lineRule="auto"/>
        <w:ind w:left="824" w:leftChars="200" w:hanging="412"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12.1.3商务技术文件：详见“供应商须知前附表”</w:t>
      </w:r>
    </w:p>
    <w:p w14:paraId="00DE0F1B">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273A9737">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06D5C6D">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4EFA86AF">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3E1B93F">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15.竞标报价</w:t>
      </w:r>
    </w:p>
    <w:p w14:paraId="41E0D79D">
      <w:pPr>
        <w:tabs>
          <w:tab w:val="left" w:pos="2492"/>
        </w:tabs>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56DA86AC">
      <w:pPr>
        <w:tabs>
          <w:tab w:val="left" w:pos="2492"/>
        </w:tabs>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100FBB41">
      <w:pPr>
        <w:spacing w:line="360" w:lineRule="auto"/>
        <w:ind w:left="418" w:leftChars="203"/>
        <w:rPr>
          <w:rFonts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62A89A2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5.3.1</w:t>
      </w:r>
      <w:r>
        <w:rPr>
          <w:rFonts w:hint="eastAsia" w:ascii="宋体" w:hAnsi="宋体" w:eastAsia="宋体" w:cs="宋体"/>
          <w:color w:val="auto"/>
          <w:szCs w:val="21"/>
          <w:highlight w:val="none"/>
        </w:rPr>
        <w:t>供应商的竞标报价应符合以下要求，否则响应文件按无效响应处理：</w:t>
      </w:r>
    </w:p>
    <w:p w14:paraId="616DECE3">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399A6F2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284D34A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）供应商必须就所竞标的分标的单项内容作唯一报价。</w:t>
      </w:r>
    </w:p>
    <w:p w14:paraId="567F739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2</w:t>
      </w:r>
      <w:r>
        <w:rPr>
          <w:rFonts w:hint="eastAsia" w:ascii="宋体" w:hAnsi="宋体" w:eastAsia="宋体" w:cs="宋体"/>
          <w:color w:val="auto"/>
          <w:szCs w:val="21"/>
          <w:highlight w:val="none"/>
        </w:rPr>
        <w:t>竞标报价（包含首次报价、最后报价）超过所竞标分标规定的采购预算金额或者最高限价的，其响应文件将按无效处理。</w:t>
      </w:r>
    </w:p>
    <w:p w14:paraId="5219CC9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3</w:t>
      </w:r>
      <w:bookmarkStart w:id="67"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67"/>
    <w:p w14:paraId="403A735C">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3C4C4D7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B5E930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r>
        <w:rPr>
          <w:rFonts w:hint="eastAsia" w:ascii="宋体" w:hAnsi="宋体" w:eastAsia="宋体" w:cs="Times New Roman"/>
          <w:color w:val="auto"/>
          <w:szCs w:val="21"/>
          <w:highlight w:val="none"/>
        </w:rPr>
        <w:t>承诺的竞标有效期低于采购文件规定期限的，供应商的响应文件作无效处理。</w:t>
      </w:r>
    </w:p>
    <w:p w14:paraId="62448B77">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7C66ECF">
      <w:pPr>
        <w:spacing w:line="360" w:lineRule="auto"/>
        <w:ind w:firstLine="472" w:firstLineChars="200"/>
        <w:rPr>
          <w:rFonts w:hint="eastAsia" w:ascii="黑体" w:hAnsi="黑体" w:eastAsia="黑体" w:cs="宋体"/>
          <w:b/>
          <w:bCs/>
          <w:color w:val="auto"/>
          <w:sz w:val="24"/>
          <w:szCs w:val="24"/>
          <w:highlight w:val="none"/>
          <w:lang w:eastAsia="zh-CN"/>
        </w:rPr>
      </w:pPr>
      <w:r>
        <w:rPr>
          <w:rFonts w:hint="eastAsia" w:ascii="黑体" w:hAnsi="黑体" w:eastAsia="黑体" w:cs="宋体"/>
          <w:b/>
          <w:bCs/>
          <w:color w:val="auto"/>
          <w:sz w:val="24"/>
          <w:szCs w:val="24"/>
          <w:highlight w:val="none"/>
        </w:rPr>
        <w:t>17.</w:t>
      </w:r>
      <w:r>
        <w:rPr>
          <w:rFonts w:hint="eastAsia" w:ascii="黑体" w:hAnsi="黑体" w:eastAsia="黑体" w:cs="宋体"/>
          <w:b/>
          <w:bCs/>
          <w:color w:val="auto"/>
          <w:sz w:val="24"/>
          <w:szCs w:val="24"/>
          <w:highlight w:val="none"/>
          <w:lang w:eastAsia="zh-CN"/>
        </w:rPr>
        <w:t>竞标保证金</w:t>
      </w:r>
    </w:p>
    <w:p w14:paraId="68D87F7B">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w:t>
      </w:r>
    </w:p>
    <w:p w14:paraId="3E2F36AA">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的退还</w:t>
      </w:r>
    </w:p>
    <w:p w14:paraId="7D9C5982">
      <w:pPr>
        <w:spacing w:line="360" w:lineRule="auto"/>
        <w:ind w:firstLine="412" w:firstLineChars="200"/>
        <w:rPr>
          <w:rFonts w:ascii="宋体" w:hAnsi="宋体" w:eastAsia="宋体" w:cs="宋体"/>
          <w:color w:val="auto"/>
          <w:szCs w:val="21"/>
          <w:highlight w:val="none"/>
        </w:rPr>
      </w:pPr>
      <w:bookmarkStart w:id="68"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成交供应商的竞标保证金自成交通知书发出之日起5个工作日内退还；</w:t>
      </w:r>
      <w:r>
        <w:rPr>
          <w:rFonts w:hint="eastAsia" w:ascii="宋体" w:hAnsi="宋体" w:eastAsia="宋体" w:cs="宋体"/>
          <w:color w:val="auto"/>
          <w:szCs w:val="21"/>
          <w:highlight w:val="none"/>
        </w:rPr>
        <w:t>成交供应商的</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自签订合同之日起5个工作日内退还。</w:t>
      </w:r>
      <w:bookmarkEnd w:id="68"/>
      <w:r>
        <w:rPr>
          <w:rFonts w:hint="eastAsia" w:ascii="宋体" w:hAnsi="宋体" w:eastAsia="宋体" w:cs="宋体"/>
          <w:color w:val="auto"/>
          <w:szCs w:val="21"/>
          <w:highlight w:val="none"/>
        </w:rPr>
        <w:t xml:space="preserve"> </w:t>
      </w:r>
    </w:p>
    <w:p w14:paraId="39D322F0">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17.3除逾期退还</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和终止采购的情形以外，</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不计息。</w:t>
      </w:r>
    </w:p>
    <w:p w14:paraId="0A50F2CA">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 xml:space="preserve">将不予退还： </w:t>
      </w:r>
    </w:p>
    <w:p w14:paraId="33625233">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324684A5">
      <w:pPr>
        <w:spacing w:line="360" w:lineRule="auto"/>
        <w:ind w:left="412" w:left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（2）未按规定提交履约保证金的；</w:t>
      </w:r>
    </w:p>
    <w:p w14:paraId="607B2159">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14:paraId="2355A0F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（4）除因不可抗力或者磋商文件认可的情形以外，成交供应商不与采购人签订合同的；</w:t>
      </w:r>
    </w:p>
    <w:p w14:paraId="57631A51">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14:paraId="065B96C6">
      <w:pPr>
        <w:spacing w:line="360" w:lineRule="auto"/>
        <w:ind w:left="412" w:leftChars="200"/>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28C8BBE7">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35E857B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5578F80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67EAE1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18.3响应文件须由供应商在规定位置签字、盖章（具体以供应商须知前附表或响应文件格式规定为准），否则按无效响应处理。</w:t>
      </w:r>
    </w:p>
    <w:p w14:paraId="462DFD0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eastAsia="宋体" w:cs="Times New Roman"/>
          <w:b/>
          <w:color w:val="auto"/>
          <w:szCs w:val="21"/>
          <w:highlight w:val="none"/>
        </w:rPr>
        <w:t>并与广西政府采购云平台中获取采购文件的供应商名称一致，</w:t>
      </w:r>
      <w:r>
        <w:rPr>
          <w:rFonts w:hint="eastAsia" w:ascii="宋体" w:hAnsi="宋体" w:eastAsia="宋体" w:cs="宋体"/>
          <w:color w:val="auto"/>
          <w:szCs w:val="21"/>
          <w:highlight w:val="none"/>
        </w:rPr>
        <w:t>供应商为自然人的，标注的供应商名称应与身份证姓名及签名一致，否则其响应文件按无效响应处理。</w:t>
      </w:r>
    </w:p>
    <w:p w14:paraId="299972F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5CE7906">
      <w:pPr>
        <w:spacing w:line="360" w:lineRule="auto"/>
        <w:ind w:firstLine="472" w:firstLineChars="200"/>
        <w:rPr>
          <w:rFonts w:ascii="黑体" w:hAnsi="黑体" w:eastAsia="黑体" w:cs="Times New Roman"/>
          <w:color w:val="auto"/>
          <w:sz w:val="24"/>
          <w:szCs w:val="24"/>
          <w:highlight w:val="none"/>
        </w:rPr>
      </w:pPr>
      <w:r>
        <w:rPr>
          <w:rFonts w:hint="eastAsia" w:ascii="黑体" w:hAnsi="黑体" w:eastAsia="黑体" w:cs="宋体"/>
          <w:b/>
          <w:bCs/>
          <w:color w:val="auto"/>
          <w:sz w:val="24"/>
          <w:szCs w:val="24"/>
          <w:highlight w:val="none"/>
        </w:rPr>
        <w:t>19.电子</w:t>
      </w:r>
      <w:r>
        <w:rPr>
          <w:rFonts w:hint="eastAsia" w:ascii="黑体" w:hAnsi="黑体" w:eastAsia="黑体" w:cs="Times New Roman"/>
          <w:b/>
          <w:color w:val="auto"/>
          <w:sz w:val="24"/>
          <w:szCs w:val="24"/>
          <w:highlight w:val="none"/>
        </w:rPr>
        <w:t>备份响应文件</w:t>
      </w:r>
    </w:p>
    <w:p w14:paraId="02BC2644">
      <w:pPr>
        <w:spacing w:line="360" w:lineRule="auto"/>
        <w:ind w:firstLine="412" w:firstLineChars="200"/>
        <w:rPr>
          <w:rFonts w:ascii="宋体" w:hAnsi="宋体" w:eastAsia="宋体" w:cs="宋体"/>
          <w:color w:val="auto"/>
          <w:szCs w:val="21"/>
          <w:highlight w:val="none"/>
        </w:rPr>
      </w:pPr>
      <w:r>
        <w:rPr>
          <w:rFonts w:hint="eastAsia" w:ascii="Times New Roman" w:hAnsi="Times New Roman" w:eastAsia="宋体" w:cs="Times New Roman"/>
          <w:color w:val="auto"/>
          <w:szCs w:val="24"/>
          <w:highlight w:val="none"/>
        </w:rPr>
        <w:t>电子备份响应文件是指通过在线编制生成且后缀名为“</w:t>
      </w:r>
      <w:r>
        <w:rPr>
          <w:rFonts w:ascii="Times New Roman" w:hAnsi="Times New Roman" w:eastAsia="宋体" w:cs="Times New Roman"/>
          <w:color w:val="auto"/>
          <w:szCs w:val="24"/>
          <w:highlight w:val="none"/>
        </w:rPr>
        <w:t>bfbs</w:t>
      </w:r>
      <w:r>
        <w:rPr>
          <w:rFonts w:hint="eastAsia" w:ascii="Times New Roman" w:hAnsi="Times New Roman" w:eastAsia="宋体" w:cs="Times New Roman"/>
          <w:color w:val="auto"/>
          <w:szCs w:val="24"/>
          <w:highlight w:val="none"/>
        </w:rPr>
        <w:t>”的文件，是否接受电子备份响应文件</w:t>
      </w:r>
      <w:r>
        <w:rPr>
          <w:rFonts w:hint="eastAsia" w:ascii="Times New Roman" w:hAnsi="宋体" w:eastAsia="宋体" w:cs="Times New Roman"/>
          <w:bCs/>
          <w:color w:val="auto"/>
          <w:szCs w:val="21"/>
          <w:highlight w:val="none"/>
        </w:rPr>
        <w:t>详见在“供应商须知前附表”。</w:t>
      </w:r>
    </w:p>
    <w:p w14:paraId="2CCED8A4">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37D4E945">
      <w:pPr>
        <w:spacing w:line="360" w:lineRule="auto"/>
        <w:ind w:firstLine="412" w:firstLineChars="200"/>
        <w:rPr>
          <w:rFonts w:ascii="Times New Roman" w:hAnsi="宋体" w:eastAsia="宋体" w:cs="Times New Roman"/>
          <w:b/>
          <w:color w:val="auto"/>
          <w:szCs w:val="24"/>
          <w:highlight w:val="none"/>
        </w:rPr>
      </w:pPr>
      <w:r>
        <w:rPr>
          <w:rFonts w:hint="eastAsia" w:ascii="Times New Roman" w:hAnsi="宋体" w:eastAsia="宋体" w:cs="Times New Roman"/>
          <w:bCs/>
          <w:color w:val="auto"/>
          <w:szCs w:val="21"/>
          <w:highlight w:val="none"/>
        </w:rPr>
        <w:t>20.1供应商必须按“供应商须知前附表”规定的</w:t>
      </w:r>
      <w:r>
        <w:rPr>
          <w:rFonts w:hint="eastAsia" w:ascii="宋体" w:hAnsi="宋体" w:eastAsia="宋体" w:cs="宋体"/>
          <w:color w:val="auto"/>
          <w:szCs w:val="21"/>
          <w:highlight w:val="none"/>
        </w:rPr>
        <w:t>时间</w:t>
      </w:r>
      <w:r>
        <w:rPr>
          <w:rFonts w:hint="eastAsia" w:ascii="宋体" w:hAnsi="宋体" w:eastAsia="宋体" w:cs="Times New Roman"/>
          <w:color w:val="auto"/>
          <w:szCs w:val="21"/>
          <w:highlight w:val="none"/>
        </w:rPr>
        <w:t>及</w:t>
      </w:r>
      <w:r>
        <w:rPr>
          <w:rFonts w:hint="eastAsia" w:ascii="Times New Roman" w:hAnsi="宋体" w:eastAsia="宋体" w:cs="Times New Roman"/>
          <w:bCs/>
          <w:color w:val="auto"/>
          <w:szCs w:val="21"/>
          <w:highlight w:val="none"/>
        </w:rPr>
        <w:t>地点提交响应文件。电子响应文件应在制作完成后，</w:t>
      </w:r>
      <w:r>
        <w:rPr>
          <w:rFonts w:ascii="Times New Roman" w:hAnsi="宋体" w:eastAsia="宋体" w:cs="Times New Roman"/>
          <w:bCs/>
          <w:color w:val="auto"/>
          <w:szCs w:val="21"/>
          <w:highlight w:val="none"/>
        </w:rPr>
        <w:t>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时间前</w:t>
      </w:r>
      <w:r>
        <w:rPr>
          <w:rFonts w:hint="eastAsia" w:ascii="Times New Roman" w:hAnsi="宋体" w:eastAsia="宋体" w:cs="Times New Roman"/>
          <w:bCs/>
          <w:color w:val="auto"/>
          <w:szCs w:val="21"/>
          <w:highlight w:val="none"/>
        </w:rPr>
        <w:t>通过有效数字证书（CA认证锁）进行电子签章、加密，然后通过网络将加密的电子响应文件提交至</w:t>
      </w:r>
      <w:r>
        <w:rPr>
          <w:rFonts w:hint="eastAsia" w:ascii="宋体" w:hAnsi="宋体" w:eastAsia="宋体" w:cs="Times New Roman"/>
          <w:color w:val="auto"/>
          <w:szCs w:val="21"/>
          <w:highlight w:val="none"/>
        </w:rPr>
        <w:t>广西政府采购云平台</w:t>
      </w:r>
      <w:r>
        <w:rPr>
          <w:rFonts w:hint="eastAsia" w:ascii="Times New Roman" w:hAnsi="宋体" w:eastAsia="宋体" w:cs="Times New Roman"/>
          <w:bCs/>
          <w:color w:val="auto"/>
          <w:szCs w:val="21"/>
          <w:highlight w:val="none"/>
        </w:rPr>
        <w:t xml:space="preserve">。 </w:t>
      </w:r>
      <w:r>
        <w:rPr>
          <w:rFonts w:hint="eastAsia" w:ascii="Times New Roman" w:hAnsi="宋体" w:eastAsia="宋体" w:cs="Times New Roman"/>
          <w:b/>
          <w:color w:val="auto"/>
          <w:szCs w:val="24"/>
          <w:highlight w:val="none"/>
        </w:rPr>
        <w:t xml:space="preserve"> </w:t>
      </w:r>
    </w:p>
    <w:p w14:paraId="61F3924C">
      <w:pPr>
        <w:spacing w:line="360" w:lineRule="auto"/>
        <w:ind w:firstLine="412" w:firstLineChars="200"/>
        <w:rPr>
          <w:rFonts w:ascii="宋体" w:hAnsi="宋体" w:eastAsia="宋体" w:cs="宋体"/>
          <w:color w:val="auto"/>
          <w:szCs w:val="21"/>
          <w:highlight w:val="none"/>
        </w:rPr>
      </w:pPr>
      <w:r>
        <w:rPr>
          <w:rFonts w:hint="eastAsia" w:ascii="宋体" w:hAnsi="宋体" w:eastAsia="宋体" w:cs="Times New Roman"/>
          <w:b/>
          <w:color w:val="auto"/>
          <w:szCs w:val="21"/>
          <w:highlight w:val="none"/>
        </w:rPr>
        <w:t>20.</w:t>
      </w:r>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未在规定时间内提交或者未按照磋商文件要求加密的电子响应文件，广西政府采购云平台将拒收。</w:t>
      </w:r>
    </w:p>
    <w:p w14:paraId="333FEBDC">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21E725DB">
      <w:pPr>
        <w:snapToGrid w:val="0"/>
        <w:spacing w:line="360" w:lineRule="auto"/>
        <w:ind w:firstLine="420"/>
        <w:jc w:val="left"/>
        <w:rPr>
          <w:rFonts w:ascii="宋体" w:hAnsi="宋体" w:eastAsia="宋体" w:cs="Times New Roman"/>
          <w:color w:val="auto"/>
          <w:szCs w:val="21"/>
          <w:highlight w:val="none"/>
        </w:rPr>
      </w:pPr>
      <w:bookmarkStart w:id="69" w:name="_Toc254970684"/>
      <w:bookmarkStart w:id="70" w:name="_Toc254970543"/>
      <w:r>
        <w:rPr>
          <w:rFonts w:ascii="宋体" w:hAnsi="宋体" w:eastAsia="宋体" w:cs="宋体"/>
          <w:color w:val="auto"/>
          <w:szCs w:val="21"/>
          <w:highlight w:val="none"/>
        </w:rPr>
        <w:t>2</w:t>
      </w:r>
      <w:r>
        <w:rPr>
          <w:rFonts w:hint="eastAsia" w:ascii="宋体" w:hAnsi="宋体" w:eastAsia="宋体" w:cs="宋体"/>
          <w:color w:val="auto"/>
          <w:szCs w:val="21"/>
          <w:highlight w:val="none"/>
        </w:rPr>
        <w:t>1.1</w:t>
      </w:r>
      <w:r>
        <w:rPr>
          <w:rFonts w:hint="eastAsia" w:ascii="宋体" w:hAnsi="宋体" w:eastAsia="宋体" w:cs="Times New Roman"/>
          <w:bCs/>
          <w:color w:val="auto"/>
          <w:szCs w:val="21"/>
          <w:highlight w:val="none"/>
        </w:rPr>
        <w:t>供应商应当在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前完成电子响应文件的提交（上传），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可以补充、修改或者撤回响应文件。补充或者修改响应文件的，应当先行撤回原响应文件，补充、修改后重新提交（上传），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未完成提交（上传）的，视为撤回响应文件。</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以后提交（上传）的响应文件，广西政府采购云平台将予以拒收。</w:t>
      </w:r>
      <w:r>
        <w:rPr>
          <w:rFonts w:hint="eastAsia" w:ascii="宋体" w:hAnsi="宋体" w:eastAsia="宋体" w:cs="宋体"/>
          <w:color w:val="auto"/>
          <w:szCs w:val="21"/>
          <w:highlight w:val="none"/>
        </w:rPr>
        <w:t>（补充、修改或者撤回方式可</w:t>
      </w:r>
      <w:r>
        <w:rPr>
          <w:rFonts w:hint="eastAsia" w:ascii="宋体" w:hAnsi="宋体" w:eastAsia="宋体" w:cs="Times New Roman"/>
          <w:color w:val="auto"/>
          <w:szCs w:val="21"/>
          <w:highlight w:val="none"/>
        </w:rPr>
        <w:t>登录</w:t>
      </w:r>
      <w:r>
        <w:rPr>
          <w:rFonts w:hint="eastAsia" w:ascii="宋体" w:hAnsi="宋体" w:eastAsia="宋体" w:cs="宋体"/>
          <w:color w:val="auto"/>
          <w:kern w:val="0"/>
          <w:szCs w:val="21"/>
          <w:highlight w:val="none"/>
        </w:rPr>
        <w:t>广西政府采购云平台，</w:t>
      </w:r>
      <w:r>
        <w:rPr>
          <w:rFonts w:hint="eastAsia" w:ascii="宋体" w:hAnsi="宋体" w:eastAsia="宋体" w:cs="Times New Roman"/>
          <w:color w:val="auto"/>
          <w:szCs w:val="21"/>
          <w:highlight w:val="none"/>
        </w:rPr>
        <w:t>进入“服务中心”中查看</w:t>
      </w:r>
      <w:r>
        <w:rPr>
          <w:rFonts w:hint="eastAsia" w:ascii="宋体" w:hAnsi="宋体" w:eastAsia="宋体" w:cs="宋体"/>
          <w:color w:val="auto"/>
          <w:szCs w:val="21"/>
          <w:highlight w:val="none"/>
        </w:rPr>
        <w:t xml:space="preserve"> “电子响应文件制作与投送教程”）</w:t>
      </w:r>
    </w:p>
    <w:bookmarkEnd w:id="69"/>
    <w:bookmarkEnd w:id="70"/>
    <w:p w14:paraId="305CEB1E">
      <w:pPr>
        <w:adjustRightInd w:val="0"/>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2在提交响应文件截止时间前，除供应商补充、修改或者撤回响应文件外，任何单位和个人不得解密或提取响应文件。</w:t>
      </w:r>
    </w:p>
    <w:p w14:paraId="321E8CFA">
      <w:pPr>
        <w:spacing w:line="360" w:lineRule="auto"/>
        <w:ind w:firstLine="472" w:firstLineChars="200"/>
        <w:rPr>
          <w:rFonts w:ascii="黑体" w:hAnsi="黑体" w:eastAsia="黑体" w:cs="宋体"/>
          <w:b/>
          <w:bCs/>
          <w:color w:val="auto"/>
          <w:sz w:val="24"/>
          <w:szCs w:val="24"/>
          <w:highlight w:val="none"/>
        </w:rPr>
      </w:pPr>
      <w:bookmarkStart w:id="71" w:name="_Hlk45702405"/>
      <w:r>
        <w:rPr>
          <w:rFonts w:hint="eastAsia" w:ascii="黑体" w:hAnsi="黑体" w:eastAsia="黑体" w:cs="宋体"/>
          <w:b/>
          <w:bCs/>
          <w:color w:val="auto"/>
          <w:sz w:val="24"/>
          <w:szCs w:val="24"/>
          <w:highlight w:val="none"/>
        </w:rPr>
        <w:t>22.响应文件的退回</w:t>
      </w:r>
    </w:p>
    <w:p w14:paraId="3D9DB61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采购人和采购代理机构对已提交的响应文件概不退回。</w:t>
      </w:r>
    </w:p>
    <w:p w14:paraId="2D548236">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23.截止时间后的撤回</w:t>
      </w:r>
    </w:p>
    <w:p w14:paraId="2671A30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供应商在响应文件提交截止时间后向采购人、采购代理机构书面申请撤回响应文件的，将根据本须知正文17.4的规定不予退还其</w:t>
      </w:r>
      <w:r>
        <w:rPr>
          <w:rFonts w:hint="eastAsia" w:ascii="宋体" w:hAnsi="宋体" w:eastAsia="宋体" w:cs="宋体"/>
          <w:color w:val="auto"/>
          <w:szCs w:val="21"/>
          <w:highlight w:val="none"/>
          <w:lang w:eastAsia="zh-CN"/>
        </w:rPr>
        <w:t>竞标保证金</w:t>
      </w:r>
      <w:r>
        <w:rPr>
          <w:rFonts w:hint="eastAsia" w:ascii="宋体" w:hAnsi="宋体" w:eastAsia="宋体" w:cs="宋体"/>
          <w:color w:val="auto"/>
          <w:szCs w:val="21"/>
          <w:highlight w:val="none"/>
        </w:rPr>
        <w:t>。</w:t>
      </w:r>
    </w:p>
    <w:bookmarkEnd w:id="71"/>
    <w:p w14:paraId="443CEED7">
      <w:pPr>
        <w:spacing w:line="360" w:lineRule="auto"/>
        <w:jc w:val="center"/>
        <w:rPr>
          <w:rFonts w:ascii="宋体" w:hAnsi="宋体" w:eastAsia="宋体" w:cs="Times New Roman"/>
          <w:color w:val="auto"/>
          <w:szCs w:val="21"/>
          <w:highlight w:val="none"/>
        </w:rPr>
      </w:pPr>
    </w:p>
    <w:p w14:paraId="06847EE1">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四、评审及磋商</w:t>
      </w:r>
    </w:p>
    <w:p w14:paraId="22537883">
      <w:pPr>
        <w:spacing w:line="360" w:lineRule="auto"/>
        <w:jc w:val="center"/>
        <w:rPr>
          <w:rFonts w:ascii="宋体" w:hAnsi="宋体" w:eastAsia="宋体" w:cs="Times New Roman"/>
          <w:color w:val="auto"/>
          <w:szCs w:val="21"/>
          <w:highlight w:val="none"/>
        </w:rPr>
      </w:pPr>
    </w:p>
    <w:p w14:paraId="4CBC3D3A">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24.磋商小组成立</w:t>
      </w:r>
    </w:p>
    <w:p w14:paraId="4890764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2B1D916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440B46">
      <w:pPr>
        <w:spacing w:line="360" w:lineRule="auto"/>
        <w:ind w:firstLine="412" w:firstLineChars="200"/>
        <w:rPr>
          <w:rFonts w:ascii="Times New Roman" w:hAnsi="宋体" w:eastAsia="宋体" w:cs="Times New Roman"/>
          <w:bCs/>
          <w:color w:val="auto"/>
          <w:szCs w:val="21"/>
          <w:highlight w:val="none"/>
        </w:rPr>
      </w:pPr>
      <w:r>
        <w:rPr>
          <w:rFonts w:hint="eastAsia" w:ascii="宋体" w:hAnsi="宋体" w:eastAsia="宋体" w:cs="宋体"/>
          <w:color w:val="auto"/>
          <w:szCs w:val="21"/>
          <w:highlight w:val="none"/>
        </w:rPr>
        <w:t>24.3</w:t>
      </w:r>
      <w:r>
        <w:rPr>
          <w:rFonts w:hint="eastAsia" w:ascii="Times New Roman" w:hAnsi="宋体" w:eastAsia="宋体" w:cs="Times New Roman"/>
          <w:bCs/>
          <w:color w:val="auto"/>
          <w:szCs w:val="21"/>
          <w:highlight w:val="none"/>
        </w:rPr>
        <w:t>采购代理机构</w:t>
      </w:r>
      <w:r>
        <w:rPr>
          <w:rFonts w:hint="eastAsia" w:ascii="Times New Roman" w:hAnsi="宋体" w:eastAsia="宋体" w:cs="Times New Roman"/>
          <w:bCs/>
          <w:color w:val="auto"/>
          <w:szCs w:val="24"/>
          <w:highlight w:val="none"/>
        </w:rPr>
        <w:t>应当</w:t>
      </w:r>
      <w:r>
        <w:rPr>
          <w:rFonts w:hint="eastAsia" w:ascii="Times New Roman" w:hAnsi="宋体" w:eastAsia="宋体" w:cs="Times New Roman"/>
          <w:bCs/>
          <w:color w:val="auto"/>
          <w:szCs w:val="21"/>
          <w:highlight w:val="none"/>
        </w:rPr>
        <w:t>基于广西政府采购云平台</w:t>
      </w:r>
      <w:r>
        <w:rPr>
          <w:rFonts w:hint="eastAsia" w:ascii="Times New Roman" w:hAnsi="宋体" w:eastAsia="宋体" w:cs="Times New Roman"/>
          <w:bCs/>
          <w:color w:val="auto"/>
          <w:szCs w:val="24"/>
          <w:highlight w:val="none"/>
        </w:rPr>
        <w:t>抽（选）取</w:t>
      </w:r>
      <w:r>
        <w:rPr>
          <w:rFonts w:hint="eastAsia" w:ascii="Times New Roman" w:hAnsi="宋体" w:eastAsia="宋体" w:cs="Times New Roman"/>
          <w:bCs/>
          <w:color w:val="auto"/>
          <w:szCs w:val="21"/>
          <w:highlight w:val="none"/>
        </w:rPr>
        <w:t>评审专家。</w:t>
      </w:r>
    </w:p>
    <w:p w14:paraId="5331BF89">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24.4参加过采购项目前期咨询论证的专家，不得参加该采购项目的评审活动。</w:t>
      </w:r>
    </w:p>
    <w:p w14:paraId="155AE829">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首次响应文件的开启和解密</w:t>
      </w:r>
    </w:p>
    <w:p w14:paraId="63EF06EA">
      <w:pPr>
        <w:spacing w:line="360" w:lineRule="auto"/>
        <w:ind w:firstLine="412" w:firstLineChars="200"/>
        <w:rPr>
          <w:rFonts w:ascii="宋体" w:hAnsi="宋体" w:eastAsia="宋体" w:cs="宋体"/>
          <w:color w:val="auto"/>
          <w:szCs w:val="21"/>
          <w:highlight w:val="none"/>
        </w:rPr>
      </w:pPr>
      <w:r>
        <w:rPr>
          <w:rFonts w:hint="eastAsia" w:ascii="Times New Roman" w:hAnsi="宋体" w:eastAsia="宋体" w:cs="Times New Roman"/>
          <w:bCs/>
          <w:color w:val="auto"/>
          <w:szCs w:val="24"/>
          <w:highlight w:val="none"/>
        </w:rPr>
        <w:t>采购代理机构将在“供应商须知前附表”规定的时</w:t>
      </w:r>
      <w:r>
        <w:rPr>
          <w:rFonts w:hint="eastAsia" w:ascii="Times New Roman" w:hAnsi="宋体" w:eastAsia="宋体" w:cs="Times New Roman"/>
          <w:color w:val="auto"/>
          <w:szCs w:val="24"/>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ascii="Times New Roman" w:hAnsi="Times New Roman" w:eastAsia="宋体" w:cs="Times New Roman"/>
          <w:color w:val="auto"/>
          <w:szCs w:val="24"/>
          <w:highlight w:val="none"/>
        </w:rPr>
        <w:t>采购代理机构依托广西政府采购云平台向各供应商发出电子加密响应文件【开始解密】通知，由供应商按</w:t>
      </w:r>
      <w:r>
        <w:rPr>
          <w:rFonts w:hint="eastAsia" w:ascii="Times New Roman" w:hAnsi="宋体" w:eastAsia="宋体" w:cs="Times New Roman"/>
          <w:bCs/>
          <w:color w:val="auto"/>
          <w:szCs w:val="21"/>
          <w:highlight w:val="none"/>
        </w:rPr>
        <w:t>“供应商须知前附表”</w:t>
      </w:r>
      <w:r>
        <w:rPr>
          <w:rFonts w:hint="eastAsia" w:ascii="Times New Roman" w:hAnsi="Times New Roman" w:eastAsia="宋体" w:cs="Times New Roman"/>
          <w:color w:val="auto"/>
          <w:szCs w:val="24"/>
          <w:highlight w:val="none"/>
        </w:rPr>
        <w:t>规定的时间内自行进行响应文件解密</w:t>
      </w:r>
      <w:r>
        <w:rPr>
          <w:rFonts w:hint="eastAsia" w:ascii="Times New Roman" w:hAnsi="宋体" w:eastAsia="宋体" w:cs="Times New Roman"/>
          <w:color w:val="auto"/>
          <w:szCs w:val="24"/>
          <w:highlight w:val="none"/>
        </w:rPr>
        <w:t>。</w:t>
      </w:r>
      <w:r>
        <w:rPr>
          <w:rFonts w:hint="eastAsia" w:ascii="Times New Roman" w:hAnsi="Times New Roman" w:eastAsia="宋体" w:cs="Times New Roman"/>
          <w:b/>
          <w:color w:val="auto"/>
          <w:szCs w:val="24"/>
          <w:highlight w:val="none"/>
        </w:rPr>
        <w:t>供应商未在</w:t>
      </w:r>
      <w:r>
        <w:rPr>
          <w:rFonts w:ascii="Times New Roman" w:hAnsi="Times New Roman" w:eastAsia="宋体" w:cs="Times New Roman"/>
          <w:b/>
          <w:color w:val="auto"/>
          <w:szCs w:val="24"/>
          <w:highlight w:val="none"/>
        </w:rPr>
        <w:t>规定的时间内解密</w:t>
      </w:r>
      <w:r>
        <w:rPr>
          <w:rFonts w:hint="eastAsia" w:ascii="Times New Roman" w:hAnsi="Times New Roman" w:eastAsia="宋体" w:cs="Times New Roman"/>
          <w:b/>
          <w:color w:val="auto"/>
          <w:szCs w:val="24"/>
          <w:highlight w:val="none"/>
        </w:rPr>
        <w:t>响应文件</w:t>
      </w:r>
      <w:r>
        <w:rPr>
          <w:rFonts w:ascii="Times New Roman" w:hAnsi="Times New Roman" w:eastAsia="宋体" w:cs="Times New Roman"/>
          <w:b/>
          <w:color w:val="auto"/>
          <w:szCs w:val="24"/>
          <w:highlight w:val="none"/>
        </w:rPr>
        <w:t>或</w:t>
      </w:r>
      <w:r>
        <w:rPr>
          <w:rFonts w:hint="eastAsia" w:ascii="Times New Roman" w:hAnsi="Times New Roman" w:eastAsia="宋体" w:cs="Times New Roman"/>
          <w:b/>
          <w:color w:val="auto"/>
          <w:szCs w:val="24"/>
          <w:highlight w:val="none"/>
        </w:rPr>
        <w:t>者</w:t>
      </w:r>
      <w:r>
        <w:rPr>
          <w:rFonts w:ascii="Times New Roman" w:hAnsi="Times New Roman" w:eastAsia="宋体" w:cs="Times New Roman"/>
          <w:b/>
          <w:color w:val="auto"/>
          <w:szCs w:val="24"/>
          <w:highlight w:val="none"/>
        </w:rPr>
        <w:t>解密失败的</w:t>
      </w:r>
      <w:r>
        <w:rPr>
          <w:rFonts w:hint="eastAsia" w:ascii="Times New Roman" w:hAnsi="Times New Roman" w:eastAsia="宋体" w:cs="Times New Roman"/>
          <w:b/>
          <w:color w:val="auto"/>
          <w:szCs w:val="24"/>
          <w:highlight w:val="none"/>
        </w:rPr>
        <w:t>，供应商</w:t>
      </w:r>
      <w:r>
        <w:rPr>
          <w:rFonts w:hint="eastAsia" w:ascii="宋体" w:hAnsi="宋体" w:eastAsia="宋体" w:cs="Times New Roman"/>
          <w:b/>
          <w:color w:val="auto"/>
          <w:szCs w:val="21"/>
          <w:highlight w:val="none"/>
        </w:rPr>
        <w:t>的响应文件作无效处理</w:t>
      </w:r>
      <w:r>
        <w:rPr>
          <w:rFonts w:ascii="Times New Roman" w:hAnsi="Times New Roman" w:eastAsia="宋体" w:cs="Times New Roman"/>
          <w:b/>
          <w:color w:val="auto"/>
          <w:szCs w:val="24"/>
          <w:highlight w:val="none"/>
        </w:rPr>
        <w:t>。</w:t>
      </w:r>
    </w:p>
    <w:p w14:paraId="62D27274">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26</w:t>
      </w:r>
      <w:r>
        <w:rPr>
          <w:rFonts w:hint="eastAsia" w:ascii="黑体" w:hAnsi="黑体" w:eastAsia="黑体" w:cs="宋体"/>
          <w:b/>
          <w:bCs/>
          <w:color w:val="auto"/>
          <w:sz w:val="24"/>
          <w:szCs w:val="24"/>
          <w:highlight w:val="none"/>
        </w:rPr>
        <w:t>.评审程序、评审方法和评审标准</w:t>
      </w:r>
    </w:p>
    <w:p w14:paraId="48F46D4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w:t>
      </w:r>
      <w:r>
        <w:rPr>
          <w:rFonts w:hint="eastAsia" w:ascii="宋体" w:hAnsi="宋体" w:eastAsia="宋体" w:cs="宋体"/>
          <w:color w:val="auto"/>
          <w:szCs w:val="21"/>
          <w:highlight w:val="none"/>
        </w:rPr>
        <w:t>.1本项目的评审方法为综合评分法。</w:t>
      </w:r>
    </w:p>
    <w:p w14:paraId="28C0D391">
      <w:pPr>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1"/>
          <w:highlight w:val="none"/>
        </w:rPr>
        <w:t>26.2</w:t>
      </w:r>
      <w:r>
        <w:rPr>
          <w:rFonts w:hint="eastAsia" w:ascii="宋体" w:hAnsi="宋体" w:eastAsia="宋体" w:cs="宋体"/>
          <w:color w:val="auto"/>
          <w:szCs w:val="21"/>
          <w:highlight w:val="none"/>
        </w:rPr>
        <w:t>磋商小组</w:t>
      </w:r>
      <w:r>
        <w:rPr>
          <w:rFonts w:ascii="宋体" w:hAnsi="宋体" w:eastAsia="宋体" w:cs="宋体"/>
          <w:color w:val="auto"/>
          <w:szCs w:val="21"/>
          <w:highlight w:val="none"/>
        </w:rPr>
        <w:t>按照</w:t>
      </w:r>
      <w:r>
        <w:rPr>
          <w:rFonts w:hint="eastAsia" w:ascii="宋体" w:hAnsi="宋体" w:eastAsia="宋体" w:cs="宋体"/>
          <w:color w:val="auto"/>
          <w:szCs w:val="21"/>
          <w:highlight w:val="none"/>
        </w:rPr>
        <w:t>“第四章 评审程序、评审方法和评审标准”</w:t>
      </w:r>
      <w:r>
        <w:rPr>
          <w:rFonts w:ascii="宋体" w:hAnsi="宋体" w:eastAsia="宋体" w:cs="宋体"/>
          <w:color w:val="auto"/>
          <w:szCs w:val="21"/>
          <w:highlight w:val="none"/>
        </w:rPr>
        <w:t>规定的方法、评审因素、标准和程序对</w:t>
      </w:r>
      <w:r>
        <w:rPr>
          <w:rFonts w:hint="eastAsia" w:ascii="宋体" w:hAnsi="宋体" w:eastAsia="宋体" w:cs="宋体"/>
          <w:color w:val="auto"/>
          <w:szCs w:val="21"/>
          <w:highlight w:val="none"/>
        </w:rPr>
        <w:t>响应</w:t>
      </w:r>
      <w:r>
        <w:rPr>
          <w:rFonts w:ascii="宋体" w:hAnsi="宋体" w:eastAsia="宋体" w:cs="宋体"/>
          <w:color w:val="auto"/>
          <w:szCs w:val="21"/>
          <w:highlight w:val="none"/>
        </w:rPr>
        <w:t>文件进行评审。</w:t>
      </w:r>
    </w:p>
    <w:p w14:paraId="455637D4">
      <w:pPr>
        <w:spacing w:line="360" w:lineRule="auto"/>
        <w:ind w:firstLine="412"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 xml:space="preserve">6.3 </w:t>
      </w:r>
      <w:r>
        <w:rPr>
          <w:rFonts w:hint="eastAsia" w:ascii="宋体" w:hAnsi="宋体" w:eastAsia="宋体" w:cs="Times New Roman"/>
          <w:color w:val="auto"/>
          <w:szCs w:val="21"/>
          <w:highlight w:val="none"/>
        </w:rPr>
        <w:t>商务/技术要求允许负偏离的条款数详见“供应商须知前附表”。</w:t>
      </w:r>
    </w:p>
    <w:p w14:paraId="735F43D1">
      <w:pPr>
        <w:spacing w:line="360" w:lineRule="auto"/>
        <w:ind w:firstLine="412" w:firstLineChars="200"/>
        <w:rPr>
          <w:rFonts w:ascii="宋体" w:hAnsi="宋体" w:eastAsia="宋体" w:cs="Times New Roman"/>
          <w:color w:val="auto"/>
          <w:szCs w:val="21"/>
          <w:highlight w:val="none"/>
        </w:rPr>
      </w:pPr>
      <w:r>
        <w:rPr>
          <w:rFonts w:hint="eastAsia" w:ascii="宋体" w:hAnsi="宋体" w:eastAsia="宋体" w:cs="宋体"/>
          <w:color w:val="auto"/>
          <w:szCs w:val="24"/>
          <w:highlight w:val="none"/>
        </w:rPr>
        <w:t>26.</w:t>
      </w:r>
      <w:r>
        <w:rPr>
          <w:rFonts w:ascii="宋体" w:hAnsi="宋体" w:eastAsia="宋体" w:cs="宋体"/>
          <w:color w:val="auto"/>
          <w:szCs w:val="24"/>
          <w:highlight w:val="none"/>
        </w:rPr>
        <w:t>4</w:t>
      </w:r>
      <w:r>
        <w:rPr>
          <w:rFonts w:hint="eastAsia" w:ascii="宋体" w:hAnsi="宋体" w:eastAsia="宋体" w:cs="宋体"/>
          <w:color w:val="auto"/>
          <w:szCs w:val="24"/>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094BE83">
      <w:pPr>
        <w:spacing w:line="360" w:lineRule="auto"/>
        <w:ind w:firstLine="412" w:firstLineChars="200"/>
        <w:rPr>
          <w:rFonts w:ascii="Times New Roman" w:hAnsi="宋体" w:eastAsia="宋体" w:cs="Times New Roman"/>
          <w:color w:val="auto"/>
          <w:szCs w:val="24"/>
          <w:highlight w:val="none"/>
        </w:rPr>
      </w:pPr>
      <w:r>
        <w:rPr>
          <w:rFonts w:hint="eastAsia" w:ascii="宋体" w:hAnsi="宋体" w:eastAsia="宋体" w:cs="宋体"/>
          <w:color w:val="auto"/>
          <w:szCs w:val="24"/>
          <w:highlight w:val="none"/>
        </w:rPr>
        <w:t>2</w:t>
      </w:r>
      <w:r>
        <w:rPr>
          <w:rFonts w:ascii="宋体" w:hAnsi="宋体" w:eastAsia="宋体" w:cs="宋体"/>
          <w:color w:val="auto"/>
          <w:szCs w:val="24"/>
          <w:highlight w:val="none"/>
        </w:rPr>
        <w:t>6.5</w:t>
      </w:r>
      <w:r>
        <w:rPr>
          <w:rFonts w:hint="eastAsia" w:ascii="Times New Roman" w:hAnsi="宋体" w:eastAsia="宋体" w:cs="Times New Roman"/>
          <w:color w:val="auto"/>
          <w:szCs w:val="24"/>
          <w:highlight w:val="none"/>
        </w:rPr>
        <w:t>电子交易活动的中止。采购过程中出现以下情形，导致电子交易平台无法正常运行，或者无法保证电子交易的公平、公正和安全时，采购机构可中止电子交易活动：</w:t>
      </w:r>
    </w:p>
    <w:p w14:paraId="260808E5">
      <w:pPr>
        <w:spacing w:line="360" w:lineRule="auto"/>
        <w:ind w:firstLine="412" w:firstLineChars="200"/>
        <w:rPr>
          <w:rFonts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 xml:space="preserve">（1）电子交易平台发生故障而无法登录访问的； </w:t>
      </w:r>
    </w:p>
    <w:p w14:paraId="603FEEAE">
      <w:pPr>
        <w:spacing w:line="360" w:lineRule="auto"/>
        <w:ind w:firstLine="412" w:firstLineChars="200"/>
        <w:rPr>
          <w:rFonts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（2）电子交易平台应用或数据库出现错误，不能进行正常操作的；</w:t>
      </w:r>
    </w:p>
    <w:p w14:paraId="514C8C14">
      <w:pPr>
        <w:spacing w:line="360" w:lineRule="auto"/>
        <w:ind w:firstLine="412" w:firstLineChars="200"/>
        <w:rPr>
          <w:rFonts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（3）电子交易平台发现严重安全漏洞，有潜在泄密危险的；</w:t>
      </w:r>
    </w:p>
    <w:p w14:paraId="7E2F7295">
      <w:pPr>
        <w:spacing w:line="360" w:lineRule="auto"/>
        <w:ind w:firstLine="412" w:firstLineChars="200"/>
        <w:rPr>
          <w:rFonts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 xml:space="preserve">（4）病毒发作导致不能进行正常操作的； </w:t>
      </w:r>
    </w:p>
    <w:p w14:paraId="551A761D">
      <w:pPr>
        <w:spacing w:line="360" w:lineRule="auto"/>
        <w:ind w:firstLine="412" w:firstLineChars="200"/>
        <w:rPr>
          <w:rFonts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（5）其他无法保证电子交易的公平、公正和安全的情况。</w:t>
      </w:r>
    </w:p>
    <w:p w14:paraId="3B6E0C7E">
      <w:pPr>
        <w:spacing w:line="360" w:lineRule="auto"/>
        <w:ind w:firstLine="412" w:firstLineChars="200"/>
        <w:rPr>
          <w:rFonts w:ascii="宋体" w:hAnsi="宋体" w:eastAsia="宋体" w:cs="宋体"/>
          <w:color w:val="auto"/>
          <w:szCs w:val="21"/>
          <w:highlight w:val="none"/>
        </w:rPr>
      </w:pPr>
      <w:r>
        <w:rPr>
          <w:rFonts w:hint="eastAsia" w:ascii="宋体" w:hAnsi="宋体" w:eastAsia="宋体" w:cs="Times New Roman"/>
          <w:color w:val="auto"/>
          <w:szCs w:val="24"/>
          <w:highlight w:val="none"/>
        </w:rPr>
        <w:t>26.</w:t>
      </w:r>
      <w:r>
        <w:rPr>
          <w:rFonts w:ascii="宋体" w:hAnsi="宋体" w:eastAsia="宋体" w:cs="Times New Roman"/>
          <w:color w:val="auto"/>
          <w:szCs w:val="24"/>
          <w:highlight w:val="none"/>
        </w:rPr>
        <w:t>6</w:t>
      </w:r>
      <w:r>
        <w:rPr>
          <w:rFonts w:hint="eastAsia" w:ascii="Times New Roman" w:hAnsi="宋体" w:eastAsia="宋体" w:cs="Times New Roman"/>
          <w:color w:val="auto"/>
          <w:szCs w:val="24"/>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041015C">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14:paraId="4205174C">
      <w:pPr>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1"/>
          <w:highlight w:val="none"/>
        </w:rPr>
        <w:t>27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CD912C">
      <w:pPr>
        <w:spacing w:line="360" w:lineRule="auto"/>
        <w:ind w:firstLine="412" w:firstLineChars="200"/>
        <w:rPr>
          <w:rFonts w:ascii="宋体" w:hAnsi="宋体" w:eastAsia="宋体" w:cs="Courier New"/>
          <w:color w:val="auto"/>
          <w:szCs w:val="21"/>
          <w:highlight w:val="none"/>
        </w:rPr>
      </w:pPr>
      <w:r>
        <w:rPr>
          <w:rFonts w:ascii="宋体" w:hAnsi="宋体" w:eastAsia="宋体" w:cs="宋体"/>
          <w:color w:val="auto"/>
          <w:szCs w:val="21"/>
          <w:highlight w:val="none"/>
        </w:rPr>
        <w:t>27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2" w:name="_Hlk66782294"/>
      <w:r>
        <w:rPr>
          <w:rFonts w:hint="eastAsia" w:ascii="宋体" w:hAnsi="宋体" w:eastAsia="宋体" w:cs="Courier New"/>
          <w:color w:val="auto"/>
          <w:szCs w:val="21"/>
          <w:highlight w:val="none"/>
        </w:rPr>
        <w:t>成交供应商享受</w:t>
      </w:r>
      <w:r>
        <w:rPr>
          <w:rFonts w:hint="eastAsia" w:ascii="宋体" w:hAnsi="宋体" w:eastAsia="宋体" w:cs="Times New Roman"/>
          <w:color w:val="auto"/>
          <w:szCs w:val="21"/>
          <w:highlight w:val="none"/>
        </w:rPr>
        <w:t>《政府采购促进中小企业发展管理办法》（财库〔2020〕46号）规定的中小企业扶持</w:t>
      </w:r>
      <w:r>
        <w:rPr>
          <w:rFonts w:hint="eastAsia" w:ascii="宋体" w:hAnsi="宋体" w:eastAsia="宋体" w:cs="Courier New"/>
          <w:color w:val="auto"/>
          <w:szCs w:val="21"/>
          <w:highlight w:val="none"/>
        </w:rPr>
        <w:t>政策的，采购人、采购代理机构应当随成交结果公开成交供应商的《中小企业声明函》。</w:t>
      </w:r>
      <w:bookmarkEnd w:id="72"/>
    </w:p>
    <w:p w14:paraId="62D86C7D">
      <w:pPr>
        <w:spacing w:line="360" w:lineRule="auto"/>
        <w:ind w:firstLine="412"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27.3出现下列情形之一的，采购人或者采购代理机构应当终止竞争性磋商采购活动，发布项目终止公告并说明原因，重新开展采购活动：</w:t>
      </w:r>
    </w:p>
    <w:p w14:paraId="0ABC3E77">
      <w:pPr>
        <w:spacing w:line="360" w:lineRule="auto"/>
        <w:ind w:firstLine="412"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（1）因情况变化，不再符合规定的竞争性磋商采购方式适用情形的；</w:t>
      </w:r>
    </w:p>
    <w:p w14:paraId="32003325">
      <w:pPr>
        <w:spacing w:line="360" w:lineRule="auto"/>
        <w:ind w:firstLine="412"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（2）出现影响采购公正的违法、违规行为的；</w:t>
      </w:r>
    </w:p>
    <w:p w14:paraId="550D3311">
      <w:pPr>
        <w:spacing w:line="360" w:lineRule="auto"/>
        <w:ind w:firstLine="412"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（3）除“第四章 评审程序、评审方法和评审标准”第4.3条规定的情形外，在采购过程中符合要求的供应商或者报价未超过采购预算的供应商不足3家的。</w:t>
      </w:r>
    </w:p>
    <w:p w14:paraId="5ED8A33E">
      <w:pPr>
        <w:spacing w:line="360" w:lineRule="auto"/>
        <w:ind w:firstLine="412" w:firstLineChars="200"/>
        <w:rPr>
          <w:rFonts w:ascii="宋体" w:hAnsi="宋体" w:eastAsia="宋体" w:cs="宋体"/>
          <w:color w:val="auto"/>
          <w:szCs w:val="21"/>
          <w:highlight w:val="none"/>
        </w:rPr>
      </w:pPr>
      <w:r>
        <w:rPr>
          <w:rFonts w:hint="eastAsia" w:ascii="宋体" w:hAnsi="宋体" w:eastAsia="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63E7CDC">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14:paraId="46AA54B8">
      <w:pPr>
        <w:spacing w:line="360" w:lineRule="auto"/>
        <w:ind w:firstLine="416" w:firstLineChars="202"/>
        <w:rPr>
          <w:rFonts w:ascii="宋体" w:hAnsi="宋体" w:eastAsia="宋体" w:cs="宋体"/>
          <w:color w:val="auto"/>
          <w:szCs w:val="21"/>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.1</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履约保证金的金额、提交方式、缴纳期限、退付的时间和条件详见 “供应商须知前附表”。成交供应商未按规定提交履约保证金的，视为拒绝</w:t>
      </w:r>
      <w:r>
        <w:rPr>
          <w:rFonts w:ascii="宋体" w:hAnsi="宋体" w:eastAsia="宋体" w:cs="Times New Roman"/>
          <w:color w:val="auto"/>
          <w:szCs w:val="24"/>
          <w:highlight w:val="none"/>
        </w:rPr>
        <w:t>与采购人</w:t>
      </w:r>
      <w:r>
        <w:rPr>
          <w:rFonts w:hint="eastAsia" w:ascii="宋体" w:hAnsi="宋体" w:eastAsia="宋体" w:cs="宋体"/>
          <w:color w:val="auto"/>
          <w:szCs w:val="21"/>
          <w:highlight w:val="none"/>
        </w:rPr>
        <w:t>签订合同。</w:t>
      </w:r>
    </w:p>
    <w:p w14:paraId="74831648">
      <w:pPr>
        <w:spacing w:line="360" w:lineRule="auto"/>
        <w:ind w:firstLine="416" w:firstLineChars="202"/>
        <w:rPr>
          <w:rFonts w:ascii="宋体" w:hAnsi="宋体" w:eastAsia="宋体" w:cs="宋体"/>
          <w:color w:val="auto"/>
          <w:szCs w:val="21"/>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6A5410E6">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14:paraId="5ECE5E1B">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29.1签订电子采购合同：成交供应商领取电子成交通知书后，在</w:t>
      </w:r>
      <w:r>
        <w:rPr>
          <w:rFonts w:hint="eastAsia" w:ascii="宋体" w:hAnsi="宋体" w:eastAsia="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A7188C7">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线下签订纸质合同：供应商领取成交通知书后，按“供应商须知前附表”规定向采购人出示相关证明材料，经采购人核验合格后方可签订合同。</w:t>
      </w:r>
    </w:p>
    <w:p w14:paraId="470B7C62">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29.2签订合同时间：按成交通知书规定的时间与采购人签订合同。</w:t>
      </w:r>
    </w:p>
    <w:p w14:paraId="77943C95">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w:t>
      </w:r>
      <w:r>
        <w:rPr>
          <w:rFonts w:ascii="宋体" w:hAnsi="宋体" w:eastAsia="宋体" w:cs="宋体"/>
          <w:color w:val="auto"/>
          <w:szCs w:val="21"/>
          <w:highlight w:val="none"/>
        </w:rPr>
        <w:t>3</w:t>
      </w:r>
      <w:r>
        <w:rPr>
          <w:rFonts w:hint="eastAsia" w:ascii="宋体" w:hAnsi="宋体" w:eastAsia="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3B8B4EE">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6A9119B">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0B5A29C">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29.6如签订合同并生效后，供应商无故拒绝或延期，除按照合同条款处理外，将承担相应的法律责任。</w:t>
      </w:r>
    </w:p>
    <w:p w14:paraId="6E07AC1F">
      <w:pPr>
        <w:spacing w:line="360" w:lineRule="auto"/>
        <w:ind w:firstLine="416"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E364685">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14:paraId="470B81A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24B58E">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14:paraId="6866A548">
      <w:pPr>
        <w:spacing w:line="360" w:lineRule="auto"/>
        <w:ind w:firstLine="420"/>
        <w:rPr>
          <w:rFonts w:ascii="宋体" w:hAnsi="宋体" w:eastAsia="宋体" w:cs="Times New Roman"/>
          <w:color w:val="auto"/>
          <w:szCs w:val="21"/>
          <w:highlight w:val="none"/>
        </w:rPr>
      </w:pPr>
      <w:r>
        <w:rPr>
          <w:rFonts w:hint="eastAsia" w:ascii="宋体" w:hAnsi="宋体" w:eastAsia="宋体" w:cs="宋体"/>
          <w:color w:val="auto"/>
          <w:szCs w:val="20"/>
          <w:highlight w:val="none"/>
        </w:rPr>
        <w:t>3</w:t>
      </w:r>
      <w:r>
        <w:rPr>
          <w:rFonts w:ascii="宋体" w:hAnsi="宋体" w:eastAsia="宋体" w:cs="宋体"/>
          <w:color w:val="auto"/>
          <w:szCs w:val="20"/>
          <w:highlight w:val="none"/>
        </w:rPr>
        <w:t>1</w:t>
      </w:r>
      <w:r>
        <w:rPr>
          <w:rFonts w:hint="eastAsia" w:ascii="宋体" w:hAnsi="宋体" w:eastAsia="宋体" w:cs="宋体"/>
          <w:color w:val="auto"/>
          <w:szCs w:val="20"/>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Times New Roman"/>
          <w:color w:val="auto"/>
          <w:szCs w:val="21"/>
          <w:highlight w:val="none"/>
        </w:rPr>
        <w:t>但答复的内容不得涉及商业秘密</w:t>
      </w:r>
      <w:r>
        <w:rPr>
          <w:rFonts w:hint="eastAsia" w:ascii="宋体" w:hAnsi="宋体" w:eastAsia="宋体" w:cs="宋体"/>
          <w:color w:val="auto"/>
          <w:szCs w:val="20"/>
          <w:highlight w:val="none"/>
        </w:rPr>
        <w:t>。</w:t>
      </w:r>
    </w:p>
    <w:p w14:paraId="4745C5BB">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w:t>
      </w:r>
      <w:r>
        <w:rPr>
          <w:rFonts w:ascii="宋体" w:hAnsi="宋体" w:eastAsia="宋体" w:cs="宋体"/>
          <w:color w:val="auto"/>
          <w:szCs w:val="24"/>
          <w:highlight w:val="none"/>
        </w:rPr>
        <w:t>1</w:t>
      </w:r>
      <w:r>
        <w:rPr>
          <w:rFonts w:hint="eastAsia" w:ascii="宋体" w:hAnsi="宋体" w:eastAsia="宋体" w:cs="宋体"/>
          <w:color w:val="auto"/>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eastAsia="宋体" w:cs="Arial"/>
          <w:color w:val="auto"/>
          <w:szCs w:val="24"/>
          <w:highlight w:val="none"/>
          <w:shd w:val="clear" w:color="auto" w:fill="FFFFFF"/>
        </w:rPr>
        <w:t>接收质疑函的方式、联系部门、联系电话和通讯地址等信息</w:t>
      </w:r>
      <w:r>
        <w:rPr>
          <w:rFonts w:hint="eastAsia" w:ascii="宋体" w:hAnsi="宋体" w:eastAsia="宋体" w:cs="Arial"/>
          <w:color w:val="auto"/>
          <w:szCs w:val="24"/>
          <w:highlight w:val="none"/>
          <w:shd w:val="clear" w:color="auto" w:fill="FFFFFF"/>
        </w:rPr>
        <w:t>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。具体质疑起算时间如下：</w:t>
      </w:r>
    </w:p>
    <w:p w14:paraId="1E910E47">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（1）对可以质疑的磋商文件提出质疑的，为收到磋商文件之日或者</w:t>
      </w:r>
      <w:r>
        <w:rPr>
          <w:rFonts w:hint="eastAsia" w:ascii="宋体" w:hAnsi="宋体" w:eastAsia="宋体" w:cs="Times New Roman"/>
          <w:color w:val="auto"/>
          <w:szCs w:val="24"/>
          <w:highlight w:val="none"/>
        </w:rPr>
        <w:t>竞争性磋商公告期限届满之日</w:t>
      </w:r>
      <w:r>
        <w:rPr>
          <w:rFonts w:hint="eastAsia" w:ascii="宋体" w:hAnsi="宋体" w:eastAsia="宋体" w:cs="宋体"/>
          <w:color w:val="auto"/>
          <w:szCs w:val="24"/>
          <w:highlight w:val="none"/>
        </w:rPr>
        <w:t>；</w:t>
      </w:r>
    </w:p>
    <w:p w14:paraId="14CE0ED5">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（2）对采购过程提出质疑的，为各采购程序环节结束之日；</w:t>
      </w:r>
    </w:p>
    <w:p w14:paraId="78778398">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（3）对成交结果提出质疑的，为成交结果公告期限届满之日。</w:t>
      </w:r>
    </w:p>
    <w:p w14:paraId="2C0C85A0">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w:t>
      </w:r>
      <w:r>
        <w:rPr>
          <w:rFonts w:ascii="宋体" w:hAnsi="宋体" w:eastAsia="宋体" w:cs="宋体"/>
          <w:color w:val="auto"/>
          <w:szCs w:val="24"/>
          <w:highlight w:val="none"/>
        </w:rPr>
        <w:t>1</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6508AE8">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w:t>
      </w:r>
      <w:r>
        <w:rPr>
          <w:rFonts w:ascii="宋体" w:hAnsi="宋体" w:eastAsia="宋体" w:cs="宋体"/>
          <w:color w:val="auto"/>
          <w:szCs w:val="24"/>
          <w:highlight w:val="none"/>
        </w:rPr>
        <w:t>1</w:t>
      </w:r>
      <w:r>
        <w:rPr>
          <w:rFonts w:hint="eastAsia" w:ascii="宋体" w:hAnsi="宋体" w:eastAsia="宋体" w:cs="宋体"/>
          <w:color w:val="auto"/>
          <w:szCs w:val="24"/>
          <w:highlight w:val="none"/>
        </w:rPr>
        <w:t>.4 供应商提出质疑应当提交质疑函和必要的证明材料，针对同一采购程序环节的质疑必须在法定质疑期内一次性提出。质疑函应当包括下列内容</w:t>
      </w:r>
      <w:r>
        <w:rPr>
          <w:rFonts w:hint="eastAsia" w:ascii="Times New Roman" w:hAnsi="宋体" w:eastAsia="宋体" w:cs="Times New Roman"/>
          <w:bCs/>
          <w:color w:val="auto"/>
          <w:szCs w:val="24"/>
          <w:highlight w:val="none"/>
        </w:rPr>
        <w:t>（质疑函格式后附）</w:t>
      </w:r>
      <w:r>
        <w:rPr>
          <w:rFonts w:hint="eastAsia" w:ascii="宋体" w:hAnsi="宋体" w:eastAsia="宋体" w:cs="宋体"/>
          <w:color w:val="auto"/>
          <w:szCs w:val="24"/>
          <w:highlight w:val="none"/>
        </w:rPr>
        <w:t>：</w:t>
      </w:r>
    </w:p>
    <w:p w14:paraId="300C47D8">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7C440438">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0CA5E2BA">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7BA67C4C">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656E594F">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036D713C">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429F2851">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621F8290">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w:t>
      </w:r>
      <w:r>
        <w:rPr>
          <w:rFonts w:ascii="宋体" w:hAnsi="宋体" w:eastAsia="宋体" w:cs="宋体"/>
          <w:color w:val="auto"/>
          <w:szCs w:val="24"/>
          <w:highlight w:val="none"/>
        </w:rPr>
        <w:t>1.5</w:t>
      </w:r>
      <w:r>
        <w:rPr>
          <w:rFonts w:hint="eastAsia" w:ascii="宋体" w:hAnsi="宋体" w:eastAsia="宋体" w:cs="宋体"/>
          <w:color w:val="auto"/>
          <w:szCs w:val="24"/>
          <w:highlight w:val="none"/>
        </w:rPr>
        <w:t>采购人、采购代理机构认为供应商质疑不成立，或者成立但未对成交结果构成影响的，继续开展采购活动；认为供应商质疑成立且影响或者可能影响成交结果的，按照下列情况处理：</w:t>
      </w:r>
    </w:p>
    <w:p w14:paraId="3FFEACB4">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30AAEE46">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33A6AE7E">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4A4A1E61">
      <w:pPr>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4"/>
          <w:highlight w:val="none"/>
        </w:rPr>
        <w:t>31</w:t>
      </w:r>
      <w:r>
        <w:rPr>
          <w:rFonts w:hint="eastAsia" w:ascii="宋体" w:hAnsi="宋体" w:eastAsia="宋体" w:cs="宋体"/>
          <w:color w:val="auto"/>
          <w:szCs w:val="24"/>
          <w:highlight w:val="none"/>
        </w:rPr>
        <w:t>.</w:t>
      </w:r>
      <w:r>
        <w:rPr>
          <w:rFonts w:ascii="宋体" w:hAnsi="宋体" w:eastAsia="宋体" w:cs="宋体"/>
          <w:color w:val="auto"/>
          <w:szCs w:val="24"/>
          <w:highlight w:val="none"/>
        </w:rPr>
        <w:t>6</w:t>
      </w:r>
      <w:r>
        <w:rPr>
          <w:rFonts w:hint="eastAsia" w:ascii="宋体" w:hAnsi="宋体" w:eastAsia="宋体" w:cs="宋体"/>
          <w:color w:val="auto"/>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6F0A9CA">
      <w:pPr>
        <w:spacing w:line="360" w:lineRule="auto"/>
        <w:ind w:firstLine="47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32</w:t>
      </w:r>
      <w:r>
        <w:rPr>
          <w:rFonts w:hint="eastAsia" w:ascii="黑体" w:hAnsi="黑体" w:eastAsia="黑体" w:cs="宋体"/>
          <w:b/>
          <w:bCs/>
          <w:color w:val="auto"/>
          <w:sz w:val="24"/>
          <w:szCs w:val="24"/>
          <w:highlight w:val="none"/>
        </w:rPr>
        <w:t>.其他内容</w:t>
      </w:r>
    </w:p>
    <w:p w14:paraId="1E487C90">
      <w:pPr>
        <w:tabs>
          <w:tab w:val="left" w:pos="2835"/>
        </w:tabs>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1"/>
          <w:highlight w:val="none"/>
        </w:rPr>
        <w:t>32</w:t>
      </w:r>
      <w:r>
        <w:rPr>
          <w:rFonts w:hint="eastAsia" w:ascii="宋体" w:hAnsi="宋体" w:eastAsia="宋体" w:cs="宋体"/>
          <w:color w:val="auto"/>
          <w:szCs w:val="21"/>
          <w:highlight w:val="none"/>
        </w:rPr>
        <w:t>.1代理服务收取标准及缴费账户详见“供应商须知前附表”，供应商为联合体的，可以由联合体中的一方或者多方共同交纳代理服务费。</w:t>
      </w:r>
    </w:p>
    <w:p w14:paraId="38A5EBB6">
      <w:pPr>
        <w:tabs>
          <w:tab w:val="left" w:pos="2835"/>
        </w:tabs>
        <w:spacing w:line="360" w:lineRule="auto"/>
        <w:ind w:firstLine="412" w:firstLineChars="200"/>
        <w:rPr>
          <w:rFonts w:ascii="宋体" w:hAnsi="宋体" w:eastAsia="宋体" w:cs="宋体"/>
          <w:color w:val="auto"/>
          <w:szCs w:val="21"/>
          <w:highlight w:val="none"/>
        </w:rPr>
      </w:pPr>
      <w:r>
        <w:rPr>
          <w:rFonts w:ascii="宋体" w:hAnsi="宋体" w:eastAsia="宋体" w:cs="宋体"/>
          <w:color w:val="auto"/>
          <w:szCs w:val="21"/>
          <w:highlight w:val="none"/>
        </w:rPr>
        <w:t>32.2</w:t>
      </w:r>
      <w:r>
        <w:rPr>
          <w:rFonts w:hint="eastAsia" w:ascii="宋体" w:hAnsi="宋体" w:eastAsia="宋体" w:cs="宋体"/>
          <w:color w:val="auto"/>
          <w:szCs w:val="21"/>
          <w:highlight w:val="none"/>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F11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999A71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40D9BB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52F4BB37">
            <w:pPr>
              <w:spacing w:line="360" w:lineRule="auto"/>
              <w:ind w:firstLine="103"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1A135A4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6F42601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79C3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F2902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3504469A">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1FB79F91">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24A25775">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2D1C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836C3D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18A187BF">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6207E8D0">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5D7672B1">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12E9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9F7CE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7038E702">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56C4D55C">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033D6296">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007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D460D1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5BD1AFAC">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2225A816">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11A3E01C">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336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45EB6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75705A1A">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13A1A420">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146EE06E">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E02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07439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79A4D0BE">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50DC17C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1116860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119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91FE3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2552303C">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400A680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5A47E578">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699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0FA40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7D92B58C">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31009352">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7E7D9DD2">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244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16F8DF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0B37150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130BD248">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41732B6F">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A3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6111D9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66D41DC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77580ACD">
            <w:pPr>
              <w:spacing w:line="360" w:lineRule="auto"/>
              <w:ind w:firstLine="206"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3C364450">
            <w:pPr>
              <w:spacing w:line="360" w:lineRule="auto"/>
              <w:ind w:firstLine="103"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1B333A">
      <w:pPr>
        <w:spacing w:line="360" w:lineRule="auto"/>
        <w:ind w:firstLine="412" w:firstLineChars="200"/>
        <w:rPr>
          <w:rFonts w:ascii="宋体" w:hAnsi="宋体" w:eastAsia="宋体" w:cs="宋体"/>
          <w:color w:val="auto"/>
          <w:szCs w:val="24"/>
          <w:highlight w:val="none"/>
        </w:rPr>
      </w:pPr>
      <w:r>
        <w:rPr>
          <w:rFonts w:ascii="宋体" w:hAnsi="宋体" w:eastAsia="宋体" w:cs="宋体"/>
          <w:color w:val="auto"/>
          <w:szCs w:val="24"/>
          <w:highlight w:val="none"/>
        </w:rPr>
        <w:t>注：</w:t>
      </w:r>
    </w:p>
    <w:p w14:paraId="3807491B">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Fonts w:ascii="宋体" w:hAnsi="宋体" w:eastAsia="宋体" w:cs="宋体"/>
          <w:color w:val="auto"/>
          <w:szCs w:val="24"/>
          <w:highlight w:val="none"/>
        </w:rPr>
        <w:t>按本表费率计算的收费为</w:t>
      </w:r>
      <w:r>
        <w:rPr>
          <w:rFonts w:hint="eastAsia" w:ascii="宋体" w:hAnsi="宋体" w:eastAsia="宋体" w:cs="宋体"/>
          <w:color w:val="auto"/>
          <w:szCs w:val="24"/>
          <w:highlight w:val="none"/>
        </w:rPr>
        <w:t>采购</w:t>
      </w:r>
      <w:r>
        <w:rPr>
          <w:rFonts w:ascii="宋体" w:hAnsi="宋体" w:eastAsia="宋体" w:cs="宋体"/>
          <w:color w:val="auto"/>
          <w:szCs w:val="24"/>
          <w:highlight w:val="none"/>
        </w:rPr>
        <w:t>代理的收费基准价格</w:t>
      </w:r>
      <w:r>
        <w:rPr>
          <w:rFonts w:hint="eastAsia" w:ascii="宋体" w:hAnsi="宋体" w:eastAsia="宋体" w:cs="宋体"/>
          <w:color w:val="auto"/>
          <w:szCs w:val="24"/>
          <w:highlight w:val="none"/>
        </w:rPr>
        <w:t>；</w:t>
      </w:r>
    </w:p>
    <w:p w14:paraId="003A1FFB">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（2）采购</w:t>
      </w:r>
      <w:r>
        <w:rPr>
          <w:rFonts w:ascii="宋体" w:hAnsi="宋体" w:eastAsia="宋体" w:cs="宋体"/>
          <w:color w:val="auto"/>
          <w:szCs w:val="24"/>
          <w:highlight w:val="none"/>
        </w:rPr>
        <w:t>代理收费按差额定率累进法计算。</w:t>
      </w:r>
    </w:p>
    <w:p w14:paraId="726802F8">
      <w:pPr>
        <w:spacing w:line="360" w:lineRule="auto"/>
        <w:ind w:firstLine="412" w:firstLineChars="200"/>
        <w:rPr>
          <w:rFonts w:ascii="宋体" w:hAnsi="宋体" w:eastAsia="宋体" w:cs="宋体"/>
          <w:color w:val="auto"/>
          <w:szCs w:val="24"/>
          <w:highlight w:val="none"/>
        </w:rPr>
      </w:pPr>
      <w:r>
        <w:rPr>
          <w:rFonts w:ascii="宋体" w:hAnsi="宋体" w:eastAsia="宋体" w:cs="宋体"/>
          <w:color w:val="auto"/>
          <w:szCs w:val="24"/>
          <w:highlight w:val="none"/>
        </w:rPr>
        <w:t>例如：某</w:t>
      </w:r>
      <w:r>
        <w:rPr>
          <w:rFonts w:hint="eastAsia" w:ascii="宋体" w:hAnsi="宋体" w:eastAsia="宋体" w:cs="宋体"/>
          <w:color w:val="auto"/>
          <w:szCs w:val="24"/>
          <w:highlight w:val="none"/>
        </w:rPr>
        <w:t>服务采购</w:t>
      </w:r>
      <w:r>
        <w:rPr>
          <w:rFonts w:ascii="宋体" w:hAnsi="宋体" w:eastAsia="宋体" w:cs="宋体"/>
          <w:color w:val="auto"/>
          <w:szCs w:val="24"/>
          <w:highlight w:val="none"/>
        </w:rPr>
        <w:t>代理业务</w:t>
      </w:r>
      <w:r>
        <w:rPr>
          <w:rFonts w:hint="eastAsia" w:ascii="宋体" w:hAnsi="宋体" w:eastAsia="宋体" w:cs="宋体"/>
          <w:color w:val="auto"/>
          <w:szCs w:val="24"/>
          <w:highlight w:val="none"/>
        </w:rPr>
        <w:t>成交</w:t>
      </w:r>
      <w:r>
        <w:rPr>
          <w:rFonts w:ascii="宋体" w:hAnsi="宋体" w:eastAsia="宋体" w:cs="宋体"/>
          <w:color w:val="auto"/>
          <w:szCs w:val="24"/>
          <w:highlight w:val="none"/>
        </w:rPr>
        <w:t>金额</w:t>
      </w:r>
      <w:r>
        <w:rPr>
          <w:rFonts w:hint="eastAsia" w:ascii="宋体" w:hAnsi="宋体" w:eastAsia="宋体" w:cs="宋体"/>
          <w:color w:val="auto"/>
          <w:szCs w:val="24"/>
          <w:highlight w:val="none"/>
        </w:rPr>
        <w:t>或者暂定价</w:t>
      </w:r>
      <w:r>
        <w:rPr>
          <w:rFonts w:ascii="宋体" w:hAnsi="宋体" w:eastAsia="宋体" w:cs="宋体"/>
          <w:color w:val="auto"/>
          <w:szCs w:val="24"/>
          <w:highlight w:val="none"/>
        </w:rPr>
        <w:t>为</w:t>
      </w:r>
      <w:r>
        <w:rPr>
          <w:rFonts w:hint="eastAsia" w:ascii="宋体" w:hAnsi="宋体" w:eastAsia="宋体" w:cs="宋体"/>
          <w:color w:val="auto"/>
          <w:kern w:val="0"/>
          <w:szCs w:val="21"/>
          <w:highlight w:val="none"/>
        </w:rPr>
        <w:t>250</w:t>
      </w:r>
      <w:r>
        <w:rPr>
          <w:rFonts w:ascii="宋体" w:hAnsi="宋体" w:eastAsia="宋体" w:cs="宋体"/>
          <w:color w:val="auto"/>
          <w:szCs w:val="24"/>
          <w:highlight w:val="none"/>
        </w:rPr>
        <w:t>万元，计算</w:t>
      </w:r>
      <w:r>
        <w:rPr>
          <w:rFonts w:hint="eastAsia" w:ascii="宋体" w:hAnsi="宋体" w:eastAsia="宋体" w:cs="宋体"/>
          <w:color w:val="auto"/>
          <w:szCs w:val="24"/>
          <w:highlight w:val="none"/>
        </w:rPr>
        <w:t>采购</w:t>
      </w:r>
      <w:r>
        <w:rPr>
          <w:rFonts w:ascii="宋体" w:hAnsi="宋体" w:eastAsia="宋体" w:cs="宋体"/>
          <w:color w:val="auto"/>
          <w:szCs w:val="24"/>
          <w:highlight w:val="none"/>
        </w:rPr>
        <w:t>代理收费额如下：</w:t>
      </w:r>
    </w:p>
    <w:p w14:paraId="41AB47D5">
      <w:pPr>
        <w:spacing w:line="360" w:lineRule="auto"/>
        <w:ind w:firstLine="412" w:firstLineChars="200"/>
        <w:rPr>
          <w:rFonts w:ascii="宋体" w:hAnsi="宋体" w:eastAsia="宋体" w:cs="宋体"/>
          <w:color w:val="auto"/>
          <w:szCs w:val="24"/>
          <w:highlight w:val="none"/>
        </w:rPr>
      </w:pPr>
      <w:r>
        <w:rPr>
          <w:rFonts w:ascii="宋体" w:hAnsi="宋体" w:eastAsia="宋体" w:cs="宋体"/>
          <w:color w:val="auto"/>
          <w:szCs w:val="24"/>
          <w:highlight w:val="none"/>
        </w:rPr>
        <w:t>100万元×l.</w:t>
      </w:r>
      <w:r>
        <w:rPr>
          <w:rFonts w:hint="eastAsia" w:ascii="宋体" w:hAnsi="宋体" w:eastAsia="宋体" w:cs="宋体"/>
          <w:color w:val="auto"/>
          <w:szCs w:val="24"/>
          <w:highlight w:val="none"/>
        </w:rPr>
        <w:t>0</w:t>
      </w:r>
      <w:r>
        <w:rPr>
          <w:rFonts w:ascii="宋体" w:hAnsi="宋体" w:eastAsia="宋体" w:cs="宋体"/>
          <w:color w:val="auto"/>
          <w:szCs w:val="24"/>
          <w:highlight w:val="none"/>
        </w:rPr>
        <w:t>%＝ 1.</w:t>
      </w:r>
      <w:r>
        <w:rPr>
          <w:rFonts w:hint="eastAsia" w:ascii="宋体" w:hAnsi="宋体" w:eastAsia="宋体" w:cs="宋体"/>
          <w:color w:val="auto"/>
          <w:szCs w:val="24"/>
          <w:highlight w:val="none"/>
        </w:rPr>
        <w:t>00</w:t>
      </w:r>
      <w:r>
        <w:rPr>
          <w:rFonts w:ascii="宋体" w:hAnsi="宋体" w:eastAsia="宋体" w:cs="宋体"/>
          <w:color w:val="auto"/>
          <w:szCs w:val="24"/>
          <w:highlight w:val="none"/>
        </w:rPr>
        <w:t xml:space="preserve"> 万元</w:t>
      </w:r>
    </w:p>
    <w:p w14:paraId="37F0866C">
      <w:pPr>
        <w:spacing w:line="360" w:lineRule="auto"/>
        <w:ind w:firstLine="412"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（250－100）万元 ×0.7%＝ 1.05万元</w:t>
      </w:r>
    </w:p>
    <w:p w14:paraId="6A93ABF6">
      <w:pPr>
        <w:spacing w:line="360" w:lineRule="auto"/>
        <w:ind w:firstLine="412"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合计收费＝ 1.00 ＋ 1.05＝ 2.05万元</w:t>
      </w:r>
    </w:p>
    <w:p w14:paraId="3C887BC8">
      <w:pPr>
        <w:spacing w:line="360" w:lineRule="auto"/>
        <w:ind w:firstLine="47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ascii="黑体" w:hAnsi="黑体" w:eastAsia="黑体" w:cs="宋体"/>
          <w:b/>
          <w:bCs/>
          <w:color w:val="auto"/>
          <w:sz w:val="24"/>
          <w:szCs w:val="24"/>
          <w:highlight w:val="none"/>
        </w:rPr>
        <w:t>3.需要补充的其他内容</w:t>
      </w:r>
    </w:p>
    <w:p w14:paraId="33A67975">
      <w:pPr>
        <w:spacing w:line="360" w:lineRule="auto"/>
        <w:ind w:firstLine="412" w:firstLineChars="200"/>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3.1</w:t>
      </w:r>
      <w:r>
        <w:rPr>
          <w:rFonts w:hint="eastAsia" w:ascii="宋体" w:hAnsi="宋体" w:eastAsia="宋体" w:cs="宋体"/>
          <w:color w:val="auto"/>
          <w:szCs w:val="21"/>
          <w:highlight w:val="none"/>
        </w:rPr>
        <w:t>本磋商文件解释规则详见“供应商须知前附表”。</w:t>
      </w:r>
    </w:p>
    <w:p w14:paraId="05EEC616">
      <w:pPr>
        <w:spacing w:line="360" w:lineRule="auto"/>
        <w:ind w:firstLine="412" w:firstLineChars="200"/>
        <w:textAlignment w:val="center"/>
        <w:rPr>
          <w:rFonts w:ascii="宋体" w:hAnsi="宋体" w:eastAsia="宋体" w:cs="宋体"/>
          <w:color w:val="auto"/>
          <w:szCs w:val="21"/>
          <w:highlight w:val="none"/>
        </w:rPr>
      </w:pPr>
      <w:r>
        <w:rPr>
          <w:rFonts w:ascii="宋体" w:hAnsi="宋体" w:eastAsia="宋体" w:cs="宋体"/>
          <w:color w:val="auto"/>
          <w:szCs w:val="21"/>
          <w:highlight w:val="none"/>
        </w:rPr>
        <w:t>33.2</w:t>
      </w:r>
      <w:r>
        <w:rPr>
          <w:rFonts w:hint="eastAsia" w:ascii="宋体" w:hAnsi="宋体" w:eastAsia="宋体" w:cs="宋体"/>
          <w:color w:val="auto"/>
          <w:szCs w:val="21"/>
          <w:highlight w:val="none"/>
        </w:rPr>
        <w:t xml:space="preserve"> 其他事项详见“供应商须知前附表”。</w:t>
      </w:r>
    </w:p>
    <w:p w14:paraId="6F19E5C7">
      <w:pPr>
        <w:spacing w:line="360" w:lineRule="auto"/>
        <w:ind w:firstLine="412" w:firstLineChars="200"/>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3.3</w:t>
      </w:r>
      <w:r>
        <w:rPr>
          <w:rFonts w:hint="eastAsia" w:ascii="宋体" w:hAnsi="宋体" w:eastAsia="宋体" w:cs="宋体"/>
          <w:color w:val="auto"/>
          <w:szCs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B62770F">
      <w:pPr>
        <w:spacing w:line="360" w:lineRule="auto"/>
        <w:ind w:firstLine="412" w:firstLineChars="200"/>
        <w:contextualSpacing/>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14:paraId="0D9E8386">
      <w:pPr>
        <w:spacing w:line="360" w:lineRule="auto"/>
        <w:ind w:firstLine="412" w:firstLineChars="200"/>
        <w:contextualSpacing/>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（2）在工程采购项目中，工程由中小企业承建，即工程施工单位为中小企业，不对其中涉及的货物的制造商和服务的承接商作出要求；</w:t>
      </w:r>
    </w:p>
    <w:p w14:paraId="670912A4">
      <w:pPr>
        <w:spacing w:line="360" w:lineRule="auto"/>
        <w:ind w:firstLine="412" w:firstLineChars="200"/>
        <w:contextualSpacing/>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7C227B8">
      <w:pPr>
        <w:spacing w:line="360" w:lineRule="auto"/>
        <w:ind w:firstLine="412" w:firstLineChars="200"/>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E6F263E">
      <w:pPr>
        <w:spacing w:line="360" w:lineRule="auto"/>
        <w:ind w:firstLine="412"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依据本磋商文件规定享受扶持政策获得政府采购合同的，小微企业不得将合同分包给大中型企业，中型企业不得将合同分包给大型企业。</w:t>
      </w:r>
    </w:p>
    <w:p w14:paraId="35DD9BD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3507CEB">
      <w:pPr>
        <w:pStyle w:val="2"/>
        <w:bidi w:val="0"/>
        <w:jc w:val="center"/>
        <w:rPr>
          <w:color w:val="auto"/>
        </w:rPr>
      </w:pPr>
      <w:bookmarkStart w:id="73" w:name="_Toc74323458"/>
      <w:bookmarkStart w:id="74" w:name="_Toc28607"/>
      <w:r>
        <w:rPr>
          <w:rFonts w:hint="eastAsia"/>
          <w:color w:val="auto"/>
        </w:rPr>
        <w:t>第三章 采购需求</w:t>
      </w:r>
      <w:bookmarkEnd w:id="73"/>
      <w:bookmarkEnd w:id="74"/>
    </w:p>
    <w:p w14:paraId="677C9067">
      <w:pPr>
        <w:contextualSpacing/>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采购项目技术规格、参数及要求</w:t>
      </w:r>
    </w:p>
    <w:p w14:paraId="7F98022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05D0EE4">
      <w:pPr>
        <w:spacing w:line="360" w:lineRule="auto"/>
        <w:ind w:firstLine="412"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 为落实政府采购政策需满足的要求</w:t>
      </w:r>
    </w:p>
    <w:p w14:paraId="50BB290D">
      <w:pPr>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314CEA37">
      <w:pPr>
        <w:spacing w:line="360" w:lineRule="auto"/>
        <w:ind w:firstLine="416"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“实质性要求”是指采购需求中带“▲”的条款或者不能负偏离的条款或者已经指明不满足按响应文件按无效处理的条款。</w:t>
      </w:r>
    </w:p>
    <w:p w14:paraId="10534964">
      <w:pPr>
        <w:spacing w:line="360" w:lineRule="auto"/>
        <w:ind w:firstLine="416"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3278C024">
      <w:pPr>
        <w:spacing w:line="360" w:lineRule="auto"/>
        <w:ind w:firstLine="416" w:firstLineChars="202"/>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4"/>
          <w:highlight w:val="none"/>
        </w:rPr>
        <w:t>供应商必须自行为其竞标产品侵犯他人的知识产权或者专利成果的行为承担相应法律责任。</w:t>
      </w:r>
    </w:p>
    <w:p w14:paraId="62EC5815">
      <w:pPr>
        <w:spacing w:line="360" w:lineRule="auto"/>
        <w:ind w:firstLine="416" w:firstLineChars="2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5.本项目中小企业划分标准所属行业名称（行业名称及划分见本章附件2）：建筑业。</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60"/>
        <w:gridCol w:w="326"/>
        <w:gridCol w:w="997"/>
        <w:gridCol w:w="6097"/>
      </w:tblGrid>
      <w:tr w14:paraId="440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vAlign w:val="center"/>
          </w:tcPr>
          <w:p w14:paraId="5D4DEE01">
            <w:pPr>
              <w:pageBreakBefore w:val="0"/>
              <w:tabs>
                <w:tab w:val="left" w:pos="180"/>
                <w:tab w:val="left" w:pos="1620"/>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一、技术要求</w:t>
            </w:r>
          </w:p>
        </w:tc>
      </w:tr>
      <w:tr w14:paraId="16E4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vAlign w:val="center"/>
          </w:tcPr>
          <w:p w14:paraId="6EF53046">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7" w:type="pct"/>
            <w:gridSpan w:val="2"/>
            <w:vAlign w:val="center"/>
          </w:tcPr>
          <w:p w14:paraId="73C85DEB">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548" w:type="pct"/>
            <w:vAlign w:val="center"/>
          </w:tcPr>
          <w:p w14:paraId="7D8C1BE0">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3351" w:type="pct"/>
            <w:vAlign w:val="center"/>
          </w:tcPr>
          <w:p w14:paraId="69440698">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内容及要求</w:t>
            </w:r>
          </w:p>
        </w:tc>
      </w:tr>
      <w:tr w14:paraId="10CE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vAlign w:val="center"/>
          </w:tcPr>
          <w:p w14:paraId="4FA7B651">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7" w:type="pct"/>
            <w:gridSpan w:val="2"/>
            <w:vAlign w:val="center"/>
          </w:tcPr>
          <w:p w14:paraId="4DA1699A">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广西党风廉政教育基地(柳州监狱)工程</w:t>
            </w:r>
          </w:p>
        </w:tc>
        <w:tc>
          <w:tcPr>
            <w:tcW w:w="548" w:type="pct"/>
            <w:vAlign w:val="center"/>
          </w:tcPr>
          <w:p w14:paraId="394F39CB">
            <w:pPr>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3351" w:type="pct"/>
            <w:vAlign w:val="center"/>
          </w:tcPr>
          <w:p w14:paraId="6E201AD5">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▲一、项目概况</w:t>
            </w:r>
          </w:p>
          <w:p w14:paraId="1F1A22DB">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工程名称：广西党风廉政教育基地(柳州监狱)工程。</w:t>
            </w:r>
          </w:p>
          <w:p w14:paraId="153573C5">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建设地点:广西壮族自治区柳州市柳南区洛满镇露塘。</w:t>
            </w:r>
          </w:p>
          <w:p w14:paraId="4E5353A4">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施工范围：本项目为广西党风廉政教育基地(柳州监狱)工程，位于广西壮族自治区柳州市柳南区洛满镇露塘，对廉政教育基地1栋进行改造，工作内容包含拆除原报告厅内墙面、地面、吊顶、所有门窗、窗帘、防盗网、主席台、屋面防水和保温层；重新刷内墙面、外墙刷漆、地面贴瓷砖、更换吊顶、更换所有门窗、更换防盗网、新建主席台、重新做屋面防水层和保温层；安装PVC-U塑料雨水管、照明配电、消防应急配电、屋面防雷、弱电管线；道路混凝土硬化、车位划等。以及装修改造广西廉政教育基地2楼三号展厅，工作内容包含拆除部分墙体、PVC地胶地面、吊顶；新建轻钢龙骨石膏板墙、PVC地胶地面、石膏板吊顶、金属网吊顶、铝塑板墙面、金属网墙面装饰等；安装照明配电、设备电源、智能设备系统、设备布线敷设，采购智能化设备等。</w:t>
            </w:r>
            <w:r>
              <w:rPr>
                <w:rFonts w:hint="eastAsia" w:ascii="宋体" w:hAnsi="宋体" w:cs="宋体"/>
                <w:color w:val="auto"/>
                <w:szCs w:val="21"/>
                <w:highlight w:val="none"/>
              </w:rPr>
              <w:t>同时负责提供基地教育内容展示方案，在工程施工时，</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必须将经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审核认可的基地教育内容展示方案融入硬件中，硬件与软件相结合，使得廉政教育基地能够成为一个兼具教育性、示范性与艺术性的场所。</w:t>
            </w:r>
          </w:p>
          <w:p w14:paraId="6FBA96D7">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▲二、质量、验收标准、规范</w:t>
            </w:r>
          </w:p>
          <w:p w14:paraId="692397DD">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符合国家现行验收规范合格标准。</w:t>
            </w:r>
            <w:r>
              <w:rPr>
                <w:rFonts w:hint="eastAsia" w:ascii="宋体" w:hAnsi="宋体"/>
                <w:color w:val="auto"/>
                <w:szCs w:val="21"/>
                <w:highlight w:val="none"/>
                <w:lang w:val="en-US" w:eastAsia="zh-CN"/>
              </w:rPr>
              <w:t>同时，成交人必须提供满足项目需求的基地教育内容展示方案，并将经过采购人认可的</w:t>
            </w:r>
            <w:r>
              <w:rPr>
                <w:rFonts w:hint="eastAsia" w:ascii="宋体" w:hAnsi="宋体" w:eastAsia="宋体" w:cs="宋体"/>
                <w:color w:val="auto"/>
                <w:highlight w:val="none"/>
                <w:lang w:val="en-US" w:eastAsia="zh-CN"/>
              </w:rPr>
              <w:t>基地教育</w:t>
            </w:r>
            <w:r>
              <w:rPr>
                <w:rFonts w:hint="default" w:ascii="宋体" w:hAnsi="宋体" w:eastAsia="宋体" w:cs="宋体"/>
                <w:color w:val="auto"/>
                <w:highlight w:val="none"/>
                <w:lang w:eastAsia="zh-CN"/>
              </w:rPr>
              <w:t>内容</w:t>
            </w:r>
            <w:r>
              <w:rPr>
                <w:rFonts w:hint="eastAsia" w:ascii="宋体" w:hAnsi="宋体" w:eastAsia="宋体" w:cs="宋体"/>
                <w:color w:val="auto"/>
                <w:highlight w:val="none"/>
                <w:lang w:val="en-US" w:eastAsia="zh-CN"/>
              </w:rPr>
              <w:t>展示方案融入硬件建设中，硬件与软件相结合，</w:t>
            </w:r>
            <w:r>
              <w:rPr>
                <w:rFonts w:hint="eastAsia" w:ascii="宋体" w:hAnsi="宋体"/>
                <w:color w:val="auto"/>
                <w:szCs w:val="21"/>
                <w:highlight w:val="none"/>
                <w:lang w:val="en-US" w:eastAsia="zh-CN"/>
              </w:rPr>
              <w:t>否则不予验收。</w:t>
            </w:r>
          </w:p>
          <w:p w14:paraId="41F8B44F">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▲三、工程缺陷责任期要求</w:t>
            </w:r>
          </w:p>
          <w:p w14:paraId="2F38F28A">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缺陷责任期自工程竣工验收合格之日起 24个月。</w:t>
            </w:r>
          </w:p>
          <w:p w14:paraId="54D39BC3">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▲四、人员要求：</w:t>
            </w:r>
          </w:p>
          <w:p w14:paraId="422CE2A5">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（1）项目经理：具备建筑工程专业二级以上（含本级）注册建造师执业资格，且具备有效的安全生产考核合格证书（B类）。</w:t>
            </w:r>
          </w:p>
          <w:p w14:paraId="62111489">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（2）技术负责人：具备工程师及以上职称。</w:t>
            </w:r>
          </w:p>
          <w:p w14:paraId="59466476">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（3）安全员：具备有效的安全生产考核合格证书（C类）。</w:t>
            </w:r>
          </w:p>
          <w:p w14:paraId="0CF61947">
            <w:pPr>
              <w:pStyle w:val="7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（4）施工员、质量员、材料员：具有相应施工现场专业人员职业培训合格证书并在有效期内。</w:t>
            </w:r>
          </w:p>
        </w:tc>
      </w:tr>
      <w:tr w14:paraId="597D3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41A1461">
            <w:pPr>
              <w:pageBreakBefore w:val="0"/>
              <w:kinsoku/>
              <w:wordWrap/>
              <w:overflowPunct/>
              <w:topLinePunct w:val="0"/>
              <w:autoSpaceDE/>
              <w:autoSpaceDN/>
              <w:bidi w:val="0"/>
              <w:adjustRightInd/>
              <w:snapToGrid/>
              <w:spacing w:line="360" w:lineRule="auto"/>
              <w:jc w:val="left"/>
              <w:textAlignment w:val="auto"/>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、商务要求</w:t>
            </w:r>
          </w:p>
        </w:tc>
      </w:tr>
      <w:tr w14:paraId="09DEF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38165016">
            <w:pPr>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b/>
                <w:color w:val="auto"/>
                <w:szCs w:val="21"/>
                <w:highlight w:val="none"/>
              </w:rPr>
            </w:pPr>
            <w:r>
              <w:rPr>
                <w:rFonts w:hint="eastAsia" w:ascii="宋体" w:hAnsi="宋体" w:eastAsia="宋体" w:cs="宋体"/>
                <w:color w:val="auto"/>
                <w:szCs w:val="21"/>
                <w:highlight w:val="none"/>
              </w:rPr>
              <w:t>合同签订期</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35E367E4">
            <w:pPr>
              <w:pageBreakBefore w:val="0"/>
              <w:widowControl/>
              <w:tabs>
                <w:tab w:val="left" w:pos="1440"/>
              </w:tabs>
              <w:kinsoku/>
              <w:wordWrap/>
              <w:overflowPunct/>
              <w:topLinePunct w:val="0"/>
              <w:autoSpaceDE/>
              <w:autoSpaceDN/>
              <w:bidi w:val="0"/>
              <w:adjustRightInd/>
              <w:snapToGrid/>
              <w:spacing w:line="360" w:lineRule="auto"/>
              <w:jc w:val="left"/>
              <w:textAlignment w:val="auto"/>
              <w:rPr>
                <w:rFonts w:ascii="宋体" w:hAnsi="宋体" w:eastAsia="宋体" w:cs="宋体"/>
                <w:color w:val="auto"/>
                <w:kern w:val="0"/>
                <w:szCs w:val="21"/>
                <w:highlight w:val="none"/>
              </w:rPr>
            </w:pPr>
            <w:r>
              <w:rPr>
                <w:rFonts w:hint="eastAsia" w:ascii="宋体" w:hAnsi="宋体" w:eastAsia="宋体" w:cs="宋体"/>
                <w:color w:val="auto"/>
                <w:szCs w:val="21"/>
                <w:highlight w:val="none"/>
              </w:rPr>
              <w:t>自成交通知书发出之日起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日内。</w:t>
            </w:r>
          </w:p>
        </w:tc>
      </w:tr>
      <w:tr w14:paraId="06F9D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1B907D9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合同履约期限（工期）</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420AB4B7">
            <w:pPr>
              <w:pageBreakBefore w:val="0"/>
              <w:widowControl/>
              <w:tabs>
                <w:tab w:val="left" w:pos="14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val="en-US" w:eastAsia="zh-CN"/>
              </w:rPr>
              <w:t>40</w:t>
            </w:r>
            <w:r>
              <w:rPr>
                <w:rFonts w:hint="eastAsia" w:ascii="宋体" w:hAnsi="宋体" w:eastAsia="宋体" w:cs="宋体"/>
                <w:color w:val="auto"/>
                <w:szCs w:val="21"/>
                <w:highlight w:val="none"/>
                <w:shd w:val="clear" w:color="auto" w:fill="FFFFFF"/>
              </w:rPr>
              <w:t>日历天</w:t>
            </w:r>
            <w:r>
              <w:rPr>
                <w:rFonts w:hint="eastAsia" w:ascii="宋体" w:hAnsi="宋体" w:eastAsia="宋体" w:cs="宋体"/>
                <w:color w:val="auto"/>
                <w:szCs w:val="21"/>
                <w:highlight w:val="none"/>
                <w:shd w:val="clear" w:color="auto" w:fill="FFFFFF"/>
                <w:lang w:eastAsia="zh-CN"/>
              </w:rPr>
              <w:t>。</w:t>
            </w:r>
          </w:p>
        </w:tc>
      </w:tr>
      <w:tr w14:paraId="5029E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40F4A283">
            <w:pPr>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13F899FA">
            <w:pPr>
              <w:pageBreakBefore w:val="0"/>
              <w:widowControl/>
              <w:tabs>
                <w:tab w:val="left" w:pos="14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rPr>
              <w:t>采购人指定地点</w:t>
            </w:r>
            <w:r>
              <w:rPr>
                <w:rFonts w:hint="eastAsia" w:ascii="宋体" w:hAnsi="宋体" w:eastAsia="宋体" w:cs="宋体"/>
                <w:color w:val="auto"/>
                <w:szCs w:val="21"/>
                <w:highlight w:val="none"/>
                <w:lang w:eastAsia="zh-CN"/>
              </w:rPr>
              <w:t>。</w:t>
            </w:r>
          </w:p>
        </w:tc>
      </w:tr>
      <w:tr w14:paraId="1A021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3A5311A1">
            <w:pPr>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验收条件及标准</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48154E44">
            <w:pPr>
              <w:pageBreakBefore w:val="0"/>
              <w:kinsoku/>
              <w:wordWrap/>
              <w:overflowPunct/>
              <w:topLinePunct w:val="0"/>
              <w:autoSpaceDE/>
              <w:autoSpaceDN/>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符合现行国家相关标准、行业标准、地方标准或者其他标准、规范。</w:t>
            </w:r>
          </w:p>
        </w:tc>
      </w:tr>
      <w:tr w14:paraId="47CDF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7C8900A0">
            <w:pPr>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rPr>
              <w:t>磋商报价</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1323AB5E">
            <w:pPr>
              <w:pageBreakBefore w:val="0"/>
              <w:widowControl/>
              <w:tabs>
                <w:tab w:val="left" w:pos="1440"/>
              </w:tabs>
              <w:kinsoku/>
              <w:wordWrap/>
              <w:overflowPunct/>
              <w:topLinePunct w:val="0"/>
              <w:autoSpaceDE/>
              <w:autoSpaceDN/>
              <w:bidi w:val="0"/>
              <w:adjustRightInd/>
              <w:snapToGrid/>
              <w:spacing w:line="360" w:lineRule="auto"/>
              <w:jc w:val="left"/>
              <w:textAlignment w:val="auto"/>
              <w:rPr>
                <w:rFonts w:ascii="宋体" w:hAnsi="宋体" w:eastAsia="宋体" w:cs="宋体"/>
                <w:color w:val="auto"/>
                <w:szCs w:val="21"/>
                <w:highlight w:val="none"/>
              </w:rPr>
            </w:pPr>
            <w:r>
              <w:rPr>
                <w:rFonts w:hint="eastAsia" w:ascii="宋体" w:hAnsi="宋体" w:eastAsia="宋体" w:cs="宋体"/>
                <w:b w:val="0"/>
                <w:bCs w:val="0"/>
                <w:color w:val="auto"/>
                <w:kern w:val="2"/>
                <w:szCs w:val="21"/>
                <w:highlight w:val="none"/>
                <w:shd w:val="clear"/>
              </w:rPr>
              <w:t>本项目采用工程量清单报价方式。报价必须包含完成本项目工程的成本、利润、增值税、开办费、技术措施费、设备吊装-运输-装卸费、大型机械进出场费、风险费、政策性文件规定费用等所有与本项目实施有关的全部费用。</w:t>
            </w:r>
          </w:p>
        </w:tc>
      </w:tr>
      <w:tr w14:paraId="380C0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0498E3DD">
            <w:pPr>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b/>
                <w:color w:val="auto"/>
                <w:szCs w:val="21"/>
                <w:highlight w:val="none"/>
              </w:rPr>
            </w:pPr>
            <w:r>
              <w:rPr>
                <w:rFonts w:hint="eastAsia" w:ascii="宋体" w:hAnsi="宋体" w:eastAsia="宋体" w:cs="宋体"/>
                <w:color w:val="auto"/>
                <w:kern w:val="0"/>
                <w:szCs w:val="21"/>
                <w:highlight w:val="none"/>
              </w:rPr>
              <w:t>付款方式</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41AD464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1.以银行转账方式支付工程款；</w:t>
            </w:r>
          </w:p>
          <w:p w14:paraId="218F8BF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（1）乙方进场后，甲方向乙方支付合同款的30%作为预付款；</w:t>
            </w:r>
          </w:p>
          <w:p w14:paraId="1CDB32F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（2）工程进度完成工程量的60%以上，通过甲方组织的进度验收后支付支合同总价的50%；</w:t>
            </w:r>
          </w:p>
          <w:p w14:paraId="45F0F38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（3）工程竣工验收合格后支付至合同总价的80%，结算审核后支付支结算总价的100%；</w:t>
            </w:r>
          </w:p>
          <w:p w14:paraId="7FC8E49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2.每一次付款前，乙方需开具同等额度的正式发票。</w:t>
            </w:r>
          </w:p>
          <w:p w14:paraId="6AC288E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Cs w:val="21"/>
                <w:lang w:val="en-US" w:eastAsia="zh-CN"/>
              </w:rPr>
              <w:t>3.本合同执行中相关的税费均由乙方承担。</w:t>
            </w:r>
          </w:p>
        </w:tc>
      </w:tr>
      <w:tr w14:paraId="759DE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vAlign w:val="center"/>
          </w:tcPr>
          <w:p w14:paraId="2AD84889">
            <w:pPr>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其他要求</w:t>
            </w:r>
          </w:p>
        </w:tc>
        <w:tc>
          <w:tcPr>
            <w:tcW w:w="4078" w:type="pct"/>
            <w:gridSpan w:val="3"/>
            <w:tcBorders>
              <w:top w:val="single" w:color="auto" w:sz="4" w:space="0"/>
              <w:left w:val="single" w:color="auto" w:sz="4" w:space="0"/>
              <w:bottom w:val="single" w:color="auto" w:sz="4" w:space="0"/>
              <w:right w:val="single" w:color="auto" w:sz="4" w:space="0"/>
            </w:tcBorders>
            <w:vAlign w:val="center"/>
          </w:tcPr>
          <w:p w14:paraId="69C35E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供应商必须提供</w:t>
            </w:r>
            <w:r>
              <w:rPr>
                <w:rFonts w:hint="eastAsia" w:ascii="宋体" w:hAnsi="宋体" w:eastAsia="宋体" w:cs="宋体"/>
                <w:color w:val="auto"/>
                <w:highlight w:val="none"/>
                <w:lang w:eastAsia="zh-CN"/>
              </w:rPr>
              <w:t>基地</w:t>
            </w:r>
            <w:r>
              <w:rPr>
                <w:rFonts w:hint="eastAsia" w:ascii="宋体" w:hAnsi="宋体" w:eastAsia="宋体" w:cs="宋体"/>
                <w:color w:val="auto"/>
                <w:highlight w:val="none"/>
                <w:lang w:val="en-US" w:eastAsia="zh-CN"/>
              </w:rPr>
              <w:t>教育</w:t>
            </w:r>
            <w:r>
              <w:rPr>
                <w:rFonts w:hint="eastAsia" w:ascii="宋体" w:hAnsi="宋体" w:eastAsia="宋体" w:cs="宋体"/>
                <w:color w:val="auto"/>
                <w:highlight w:val="none"/>
                <w:lang w:eastAsia="zh-CN"/>
              </w:rPr>
              <w:t>内容</w:t>
            </w:r>
            <w:r>
              <w:rPr>
                <w:rFonts w:hint="eastAsia" w:ascii="宋体" w:hAnsi="宋体" w:eastAsia="宋体" w:cs="宋体"/>
                <w:color w:val="auto"/>
                <w:highlight w:val="none"/>
                <w:lang w:val="en-US" w:eastAsia="zh-CN"/>
              </w:rPr>
              <w:t>展示方案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可通过参考</w:t>
            </w:r>
            <w:r>
              <w:rPr>
                <w:rFonts w:hint="eastAsia" w:ascii="宋体" w:hAnsi="宋体" w:eastAsia="宋体" w:cs="宋体"/>
                <w:color w:val="auto"/>
                <w:highlight w:val="none"/>
                <w:lang w:eastAsia="zh-CN"/>
              </w:rPr>
              <w:t>以下</w:t>
            </w:r>
            <w:r>
              <w:rPr>
                <w:rFonts w:hint="eastAsia" w:ascii="宋体" w:hAnsi="宋体" w:eastAsia="宋体" w:cs="宋体"/>
                <w:color w:val="auto"/>
                <w:highlight w:val="none"/>
                <w:lang w:val="en-US" w:eastAsia="zh-CN"/>
              </w:rPr>
              <w:t>几</w:t>
            </w:r>
            <w:r>
              <w:rPr>
                <w:rFonts w:hint="eastAsia" w:ascii="宋体" w:hAnsi="宋体" w:eastAsia="宋体" w:cs="宋体"/>
                <w:color w:val="auto"/>
                <w:highlight w:val="none"/>
                <w:lang w:eastAsia="zh-CN"/>
              </w:rPr>
              <w:t>个</w:t>
            </w:r>
            <w:r>
              <w:rPr>
                <w:rFonts w:hint="eastAsia" w:ascii="宋体" w:hAnsi="宋体" w:eastAsia="宋体" w:cs="宋体"/>
                <w:color w:val="auto"/>
                <w:highlight w:val="none"/>
                <w:lang w:val="en-US" w:eastAsia="zh-CN"/>
              </w:rPr>
              <w:t>维度组织设计方案</w:t>
            </w:r>
            <w:r>
              <w:rPr>
                <w:rFonts w:hint="eastAsia" w:ascii="宋体" w:hAnsi="宋体" w:eastAsia="宋体" w:cs="宋体"/>
                <w:color w:val="auto"/>
                <w:highlight w:val="none"/>
                <w:lang w:eastAsia="zh-CN"/>
              </w:rPr>
              <w:t>‌：</w:t>
            </w:r>
          </w:p>
          <w:p w14:paraId="59E8FA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‌主题定位与目标受众‌：基地的主题聚焦于廉洁教育，旨在深化廉洁教育，增进公众对廉洁文化的理解与自律意识。目标受</w:t>
            </w:r>
            <w:r>
              <w:rPr>
                <w:rFonts w:hint="eastAsia" w:ascii="宋体" w:hAnsi="宋体" w:eastAsia="宋体" w:cs="宋体"/>
                <w:i w:val="0"/>
                <w:iCs w:val="0"/>
                <w:caps w:val="0"/>
                <w:color w:val="auto"/>
                <w:spacing w:val="0"/>
                <w:sz w:val="21"/>
                <w:szCs w:val="21"/>
                <w:shd w:val="clear" w:color="auto" w:fill="FFFFFF"/>
              </w:rPr>
              <w:t>众应包括党政机关工作人员、企事业单位员工、学生团体及社会公众，</w:t>
            </w:r>
            <w:r>
              <w:rPr>
                <w:rFonts w:hint="eastAsia" w:ascii="宋体" w:hAnsi="宋体" w:eastAsia="宋体" w:cs="宋体"/>
                <w:color w:val="auto"/>
                <w:highlight w:val="none"/>
                <w:lang w:eastAsia="zh-CN"/>
              </w:rPr>
              <w:t>特别是关键岗位人员和新入职公务员，通过定制化的教育内容提升他们的廉洁从政意识和拒腐防变能力。</w:t>
            </w:r>
          </w:p>
          <w:p w14:paraId="31A0B4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‌空间布局与功能划分‌：应合理规划空间</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lang w:eastAsia="zh-CN"/>
              </w:rPr>
              <w:t>布局，包括</w:t>
            </w:r>
            <w:r>
              <w:rPr>
                <w:rFonts w:hint="eastAsia" w:ascii="宋体" w:hAnsi="宋体" w:eastAsia="宋体" w:cs="宋体"/>
                <w:color w:val="auto"/>
                <w:highlight w:val="none"/>
                <w:lang w:val="en-US" w:eastAsia="zh-CN"/>
              </w:rPr>
              <w:t>如</w:t>
            </w:r>
            <w:r>
              <w:rPr>
                <w:rFonts w:hint="eastAsia" w:ascii="宋体" w:hAnsi="宋体" w:eastAsia="宋体" w:cs="宋体"/>
                <w:color w:val="auto"/>
                <w:highlight w:val="none"/>
                <w:lang w:eastAsia="zh-CN"/>
              </w:rPr>
              <w:t>序厅、廉洁知识展示区、廉洁行为典范展示区、廉洁修身实践体验区、廉洁修身成果展示区及廉洁互动体验区等。每个区域应有明确的功能和展示内容，如实物展示、多媒体互动体验等，以确保参观者能够全面、深入地理解和体验廉洁文化。</w:t>
            </w:r>
          </w:p>
          <w:p w14:paraId="6243BD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多媒体技术应用‌：利用现代科技与传统文化的融合，通过多媒体互动体验项目，如廉洁场景体验、触摸式互动展示系统等，增强参观者的参与感和体验感。这些技术有助于将廉洁文化的精髓以直观、生动的方式呈现给参观者，提升廉洁意识，传播廉洁价值。</w:t>
            </w:r>
          </w:p>
          <w:p w14:paraId="33225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展示内容设计‌：展示内容应丰富多样，包括廉洁文化的历史渊源、发展脉络和典型案例等，以及反腐倡廉的历史沿革、政策法规、警示案例及正面典型。通过图文展示、实物陈列、视频播放等多种形式，展示内容要兼顾理论性和实践性，关注热点和难点，突出教育性和警示性。</w:t>
            </w:r>
          </w:p>
          <w:p w14:paraId="5307E31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‌互动体验与教育方法‌：设计多样化的互动体验项目，如模拟场景体验、廉政演练等，使参观者能够亲身感受并学习廉政知识。通过互动学习的方式，加深对廉洁文化的理解和认同。</w:t>
            </w:r>
          </w:p>
          <w:p w14:paraId="47ACF2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在工程施工时，成交人必须将经采购人审核认可的基地教育</w:t>
            </w:r>
            <w:r>
              <w:rPr>
                <w:rFonts w:hint="eastAsia" w:ascii="宋体" w:hAnsi="宋体" w:eastAsia="宋体" w:cs="宋体"/>
                <w:color w:val="auto"/>
                <w:highlight w:val="none"/>
                <w:lang w:eastAsia="zh-CN"/>
              </w:rPr>
              <w:t>内容</w:t>
            </w:r>
            <w:r>
              <w:rPr>
                <w:rFonts w:hint="eastAsia" w:ascii="宋体" w:hAnsi="宋体" w:eastAsia="宋体" w:cs="宋体"/>
                <w:color w:val="auto"/>
                <w:highlight w:val="none"/>
                <w:lang w:val="en-US" w:eastAsia="zh-CN"/>
              </w:rPr>
              <w:t>展示方案融入硬件中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硬件与软件相结合，使得</w:t>
            </w:r>
            <w:r>
              <w:rPr>
                <w:rFonts w:hint="eastAsia" w:ascii="宋体" w:hAnsi="宋体" w:eastAsia="宋体" w:cs="宋体"/>
                <w:color w:val="auto"/>
                <w:highlight w:val="none"/>
                <w:lang w:eastAsia="zh-CN"/>
              </w:rPr>
              <w:t>廉政教育基地能够成为一个兼具教育性、示范性与艺术性的场所，有效提升</w:t>
            </w:r>
            <w:r>
              <w:rPr>
                <w:rFonts w:hint="eastAsia" w:ascii="宋体" w:hAnsi="宋体" w:eastAsia="宋体" w:cs="宋体"/>
                <w:color w:val="auto"/>
                <w:highlight w:val="none"/>
                <w:lang w:val="en-US" w:eastAsia="zh-CN"/>
              </w:rPr>
              <w:t>受</w:t>
            </w:r>
            <w:r>
              <w:rPr>
                <w:rFonts w:hint="eastAsia" w:ascii="宋体" w:hAnsi="宋体" w:eastAsia="宋体" w:cs="宋体"/>
                <w:color w:val="auto"/>
                <w:highlight w:val="none"/>
                <w:lang w:eastAsia="zh-CN"/>
              </w:rPr>
              <w:t>众的廉洁意识和自律能力，</w:t>
            </w:r>
            <w:r>
              <w:rPr>
                <w:rFonts w:hint="eastAsia" w:ascii="宋体" w:hAnsi="宋体" w:eastAsia="宋体" w:cs="宋体"/>
                <w:color w:val="auto"/>
                <w:highlight w:val="none"/>
                <w:lang w:eastAsia="zh-CN"/>
              </w:rPr>
              <w:t>促进社会廉洁风尚的形成和发展</w:t>
            </w:r>
            <w:r>
              <w:rPr>
                <w:rFonts w:hint="eastAsia" w:ascii="宋体" w:hAnsi="宋体" w:eastAsia="宋体" w:cs="宋体"/>
                <w:color w:val="auto"/>
                <w:highlight w:val="none"/>
                <w:lang w:val="en-US" w:eastAsia="zh-CN"/>
              </w:rPr>
              <w:t>。（竞标时，必须提供</w:t>
            </w:r>
            <w:r>
              <w:rPr>
                <w:rFonts w:hint="eastAsia" w:ascii="宋体" w:hAnsi="宋体" w:eastAsia="宋体" w:cs="宋体"/>
                <w:color w:val="auto"/>
                <w:highlight w:val="none"/>
                <w:lang w:eastAsia="zh-CN"/>
              </w:rPr>
              <w:t>基地</w:t>
            </w:r>
            <w:r>
              <w:rPr>
                <w:rFonts w:hint="eastAsia" w:ascii="宋体" w:hAnsi="宋体" w:eastAsia="宋体" w:cs="宋体"/>
                <w:color w:val="auto"/>
                <w:highlight w:val="none"/>
                <w:lang w:val="en-US" w:eastAsia="zh-CN"/>
              </w:rPr>
              <w:t>教育</w:t>
            </w:r>
            <w:r>
              <w:rPr>
                <w:rFonts w:hint="eastAsia" w:ascii="宋体" w:hAnsi="宋体" w:eastAsia="宋体" w:cs="宋体"/>
                <w:color w:val="auto"/>
                <w:highlight w:val="none"/>
                <w:lang w:eastAsia="zh-CN"/>
              </w:rPr>
              <w:t>内容</w:t>
            </w:r>
            <w:r>
              <w:rPr>
                <w:rFonts w:hint="eastAsia" w:ascii="宋体" w:hAnsi="宋体" w:eastAsia="宋体" w:cs="宋体"/>
                <w:color w:val="auto"/>
                <w:highlight w:val="none"/>
                <w:lang w:val="en-US" w:eastAsia="zh-CN"/>
              </w:rPr>
              <w:t>展示初步设计方案，不提供或者提供的方案不符合项目需求的，按废标处理。）</w:t>
            </w:r>
          </w:p>
        </w:tc>
      </w:tr>
      <w:tr w14:paraId="0EE13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5F227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其他说明</w:t>
            </w:r>
          </w:p>
        </w:tc>
        <w:tc>
          <w:tcPr>
            <w:tcW w:w="40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54BFC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竞争性磋商文件中可能实质性变动的内容：技术、服务要求以及合同草案条款</w:t>
            </w:r>
            <w:r>
              <w:rPr>
                <w:rFonts w:hint="eastAsia" w:ascii="宋体" w:hAnsi="宋体" w:eastAsia="宋体" w:cs="宋体"/>
                <w:color w:val="auto"/>
                <w:szCs w:val="21"/>
                <w:highlight w:val="none"/>
                <w:lang w:eastAsia="zh-CN"/>
              </w:rPr>
              <w:t>。</w:t>
            </w:r>
          </w:p>
        </w:tc>
      </w:tr>
    </w:tbl>
    <w:p w14:paraId="40427494">
      <w:pPr>
        <w:rPr>
          <w:color w:val="auto"/>
          <w:highlight w:val="none"/>
        </w:rPr>
      </w:pPr>
      <w:r>
        <w:rPr>
          <w:color w:val="auto"/>
          <w:highlight w:val="none"/>
        </w:rPr>
        <w:br w:type="page"/>
      </w:r>
    </w:p>
    <w:p w14:paraId="4124A3E6">
      <w:pPr>
        <w:spacing w:line="240" w:lineRule="auto"/>
        <w:ind w:left="0"/>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附件1：</w:t>
      </w:r>
    </w:p>
    <w:p w14:paraId="5E6467AD">
      <w:pPr>
        <w:spacing w:line="360" w:lineRule="auto"/>
        <w:ind w:left="119"/>
        <w:jc w:val="center"/>
        <w:rPr>
          <w:rFonts w:ascii="宋体" w:hAnsi="宋体" w:eastAsia="宋体" w:cs="宋体"/>
          <w:b/>
          <w:bCs/>
          <w:color w:val="auto"/>
          <w:kern w:val="0"/>
          <w:sz w:val="20"/>
          <w:szCs w:val="21"/>
          <w:highlight w:val="none"/>
        </w:rPr>
      </w:pPr>
      <w:r>
        <w:rPr>
          <w:rFonts w:hint="eastAsia" w:ascii="宋体" w:hAnsi="宋体" w:eastAsia="宋体" w:cs="宋体"/>
          <w:color w:val="auto"/>
          <w:kern w:val="0"/>
          <w:sz w:val="32"/>
          <w:szCs w:val="32"/>
          <w:highlight w:val="none"/>
        </w:rPr>
        <w:t>工程量清单、招标控制价</w:t>
      </w:r>
      <w:r>
        <w:rPr>
          <w:rFonts w:hint="eastAsia" w:ascii="宋体" w:hAnsi="宋体" w:eastAsia="宋体" w:cs="宋体"/>
          <w:color w:val="auto"/>
          <w:sz w:val="32"/>
          <w:szCs w:val="32"/>
          <w:highlight w:val="none"/>
        </w:rPr>
        <w:t>说明</w:t>
      </w:r>
    </w:p>
    <w:p w14:paraId="51F45C3A">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1.工程量清单、招标控制价编制依据</w:t>
      </w:r>
    </w:p>
    <w:p w14:paraId="13C01C60">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（1）本项目施工图纸、招标控制价、现场勘察资料等；</w:t>
      </w:r>
    </w:p>
    <w:p w14:paraId="71D18492">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（2）《建设工程工程量清单计价规范》（GB50500-2013）；</w:t>
      </w:r>
    </w:p>
    <w:p w14:paraId="14CE0CBD">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（3）《&lt;建设工程工程量清单计价规范&gt;（GB50500-2013）广西壮族自治区实施细则》；</w:t>
      </w:r>
    </w:p>
    <w:p w14:paraId="39853C4E">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（4）2013年《广西壮族自治区建筑装饰装修工程消耗量定额》；</w:t>
      </w:r>
    </w:p>
    <w:p w14:paraId="4FFF0433">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（5）2015年《广西壮族自治区安装工程消耗量定额》；</w:t>
      </w:r>
    </w:p>
    <w:p w14:paraId="13F91F8E">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（6）2011年《广西壮族自治区拆除工程消耗量定额》；</w:t>
      </w:r>
    </w:p>
    <w:p w14:paraId="2B738B8B">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（7）2014年《广西壮族自治区市政工程消耗量定额》；</w:t>
      </w:r>
    </w:p>
    <w:p w14:paraId="432416F9">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（8）2016年《广西自治区住房城乡建设工程费用定额》的通知（桂建标，[2016]16号）；</w:t>
      </w:r>
    </w:p>
    <w:p w14:paraId="5E022B2A">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（9）自治区住房城乡建设厅关于调整建设工程定额人工费及有关费率的通知》(桂建标[2023]7号)；</w:t>
      </w:r>
    </w:p>
    <w:p w14:paraId="66C2028B">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（10）《自治区住房城乡建设厅关于调整建设工程计价增值税税率的通知》（桂建标〔2019〕12号）；</w:t>
      </w:r>
    </w:p>
    <w:p w14:paraId="6E76F444">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（11）《自治区住房城乡建设厅关于印发广西壮族自治区房屋建筑和市政基础设施工程安全生产责任保险计价规定的通知》(桂建发[2023] 6号)；</w:t>
      </w:r>
    </w:p>
    <w:p w14:paraId="223CC1E1">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（12）建设项目施工图纸内容等相关资料；</w:t>
      </w:r>
    </w:p>
    <w:p w14:paraId="6E61D94B">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（13）相关的标准、规范、技术资料等；</w:t>
      </w:r>
    </w:p>
    <w:p w14:paraId="63BE731C">
      <w:pPr>
        <w:numPr>
          <w:ilvl w:val="255"/>
          <w:numId w:val="0"/>
        </w:num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w:t>
      </w:r>
      <w:r>
        <w:rPr>
          <w:rFonts w:hint="eastAsia" w:ascii="宋体" w:hAnsi="宋体" w:eastAsia="宋体" w:cs="宋体"/>
          <w:color w:val="auto"/>
          <w:kern w:val="0"/>
          <w:szCs w:val="21"/>
          <w:highlight w:val="none"/>
          <w:lang w:eastAsia="zh-CN" w:bidi="hi-IN"/>
        </w:rPr>
        <w:t>竞</w:t>
      </w:r>
      <w:r>
        <w:rPr>
          <w:rFonts w:hint="eastAsia" w:ascii="宋体" w:hAnsi="宋体" w:eastAsia="宋体" w:cs="宋体"/>
          <w:color w:val="auto"/>
          <w:kern w:val="0"/>
          <w:szCs w:val="21"/>
          <w:highlight w:val="none"/>
          <w:lang w:bidi="hi-IN"/>
        </w:rPr>
        <w:t>标报价（已标价工程量清单）编制说明</w:t>
      </w:r>
    </w:p>
    <w:p w14:paraId="3472B838">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3.1供应商应依据磋商文件、招标工程量清单（在</w:t>
      </w:r>
      <w:r>
        <w:rPr>
          <w:rFonts w:hint="eastAsia" w:ascii="宋体" w:hAnsi="宋体" w:eastAsia="宋体" w:cs="宋体"/>
          <w:b/>
          <w:bCs/>
          <w:color w:val="auto"/>
          <w:kern w:val="0"/>
          <w:szCs w:val="21"/>
          <w:highlight w:val="none"/>
        </w:rPr>
        <w:t>广西政府采购云平台线上</w:t>
      </w:r>
      <w:r>
        <w:rPr>
          <w:rFonts w:hint="eastAsia" w:ascii="宋体" w:hAnsi="宋体" w:eastAsia="宋体" w:cs="宋体"/>
          <w:color w:val="auto"/>
          <w:kern w:val="0"/>
          <w:szCs w:val="21"/>
          <w:highlight w:val="none"/>
          <w:lang w:bidi="hi-IN"/>
        </w:rPr>
        <w:t>发布，潜在供应商可自行在本磋商公告后下载）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73C8D8F">
      <w:pPr>
        <w:spacing w:line="360" w:lineRule="auto"/>
        <w:ind w:firstLine="412" w:firstLineChars="200"/>
        <w:rPr>
          <w:rFonts w:ascii="宋体" w:hAnsi="宋体" w:eastAsia="宋体" w:cs="宋体"/>
          <w:b/>
          <w:bCs/>
          <w:color w:val="auto"/>
          <w:kern w:val="0"/>
          <w:szCs w:val="21"/>
          <w:highlight w:val="none"/>
          <w:lang w:bidi="hi-IN"/>
        </w:rPr>
      </w:pPr>
      <w:r>
        <w:rPr>
          <w:rFonts w:hint="eastAsia" w:ascii="宋体" w:hAnsi="宋体" w:eastAsia="宋体" w:cs="宋体"/>
          <w:b/>
          <w:bCs/>
          <w:color w:val="auto"/>
          <w:kern w:val="0"/>
          <w:szCs w:val="21"/>
          <w:highlight w:val="none"/>
          <w:lang w:bidi="hi-IN"/>
        </w:rPr>
        <w:t>3.2本项目的最高</w:t>
      </w:r>
      <w:r>
        <w:rPr>
          <w:rFonts w:hint="eastAsia" w:ascii="宋体" w:hAnsi="宋体" w:eastAsia="宋体" w:cs="宋体"/>
          <w:b/>
          <w:bCs/>
          <w:color w:val="auto"/>
          <w:kern w:val="0"/>
          <w:szCs w:val="21"/>
          <w:highlight w:val="none"/>
          <w:lang w:eastAsia="zh-CN" w:bidi="hi-IN"/>
        </w:rPr>
        <w:t>竞</w:t>
      </w:r>
      <w:r>
        <w:rPr>
          <w:rFonts w:hint="eastAsia" w:ascii="宋体" w:hAnsi="宋体" w:eastAsia="宋体" w:cs="宋体"/>
          <w:b/>
          <w:bCs/>
          <w:color w:val="auto"/>
          <w:kern w:val="0"/>
          <w:szCs w:val="21"/>
          <w:highlight w:val="none"/>
          <w:lang w:bidi="hi-IN"/>
        </w:rPr>
        <w:t>标限价为人民币壹佰伍拾陆万贰仟陆佰零叁元壹角贰分（¥1562603.12）。</w:t>
      </w:r>
    </w:p>
    <w:p w14:paraId="0072B55D">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3.3供应商应按招标工程量清单填报价格。项目编码、项目名称、项目特征、计量单位、工程量必须与招标工程量清单一致，供应商不得对招标工程量清单项目进行增减调整。</w:t>
      </w:r>
    </w:p>
    <w:p w14:paraId="4F4AAB06">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3.4 综合单价中应包含磋商文件中划分的应由供应商承担的风险范围及其费用。</w:t>
      </w:r>
    </w:p>
    <w:p w14:paraId="04072731">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3.5分部分项工程项目和单价措施项目，应根据磋商文件和招标工程量清单项目中的特征描述确定综合单价计算。如出现招标工程量清单特征描述与设计图纸不符时，供应商应以招标工程量清单的项目特征描述为准，确定</w:t>
      </w:r>
      <w:r>
        <w:rPr>
          <w:rFonts w:ascii="宋体" w:hAnsi="宋体" w:eastAsia="宋体" w:cs="宋体"/>
          <w:color w:val="auto"/>
          <w:kern w:val="0"/>
          <w:szCs w:val="21"/>
          <w:highlight w:val="none"/>
          <w:lang w:bidi="hi-IN"/>
        </w:rPr>
        <w:t>磋商</w:t>
      </w:r>
      <w:r>
        <w:rPr>
          <w:rFonts w:hint="eastAsia" w:ascii="宋体" w:hAnsi="宋体" w:eastAsia="宋体" w:cs="宋体"/>
          <w:color w:val="auto"/>
          <w:kern w:val="0"/>
          <w:szCs w:val="21"/>
          <w:highlight w:val="none"/>
          <w:lang w:bidi="hi-IN"/>
        </w:rPr>
        <w:t>报价的综合单价。</w:t>
      </w:r>
    </w:p>
    <w:p w14:paraId="3E9A0558">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3.6总价措施项目的金额应根据磋商文件及竞标时拟定的施工组织设计或施工方案，按计价规范的规定自主确定。但安全文明施工费按国家、省级或行业建设主管部门的有关规定执行，作为不竞争费用单列。</w:t>
      </w:r>
    </w:p>
    <w:p w14:paraId="63AF28FF">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3.7其他项目费应按下列规定报价：</w:t>
      </w:r>
    </w:p>
    <w:p w14:paraId="5F5C1548">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（1）暂列金额应按招标工程量清单中列出的金额填写；</w:t>
      </w:r>
    </w:p>
    <w:p w14:paraId="11E7598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（2）材料、工程设备暂估价应按招标工程量清单中列出的单价计入综合单价；</w:t>
      </w:r>
    </w:p>
    <w:p w14:paraId="2C9DE922">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（3）专业工程暂估价应按招标工程量清单中列出的金额填写；</w:t>
      </w:r>
    </w:p>
    <w:p w14:paraId="494800A3">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（4）计日工应按招标工程量清单中列出的项目和估算数量，自主确定综合单价并计算计日工总额；计日工单价均不含规费和税金；</w:t>
      </w:r>
    </w:p>
    <w:p w14:paraId="1FE7F5D2">
      <w:pPr>
        <w:spacing w:line="360" w:lineRule="auto"/>
        <w:ind w:firstLine="412" w:firstLineChars="200"/>
        <w:rPr>
          <w:rFonts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3.8规费和增值税应按规定确定，作为不可竞争费用。</w:t>
      </w:r>
    </w:p>
    <w:p w14:paraId="6D581B03">
      <w:pPr>
        <w:spacing w:line="360" w:lineRule="auto"/>
        <w:ind w:firstLine="412" w:firstLineChars="200"/>
        <w:rPr>
          <w:rFonts w:hint="eastAsia" w:ascii="宋体" w:hAnsi="宋体" w:eastAsia="宋体" w:cs="宋体"/>
          <w:color w:val="auto"/>
          <w:kern w:val="0"/>
          <w:szCs w:val="21"/>
          <w:highlight w:val="none"/>
          <w:lang w:bidi="hi-IN"/>
        </w:rPr>
      </w:pPr>
      <w:r>
        <w:rPr>
          <w:rFonts w:hint="eastAsia" w:ascii="宋体" w:hAnsi="宋体" w:eastAsia="宋体" w:cs="宋体"/>
          <w:color w:val="auto"/>
          <w:kern w:val="0"/>
          <w:szCs w:val="21"/>
          <w:highlight w:val="none"/>
          <w:lang w:bidi="hi-IN"/>
        </w:rPr>
        <w:t>3.9磋商总价应当与分部分项工程费、措施项目费、其他项目费和规费、增值税的合计金额一致。</w:t>
      </w:r>
    </w:p>
    <w:p w14:paraId="2D9D8AF0">
      <w:pPr>
        <w:spacing w:line="360" w:lineRule="auto"/>
        <w:ind w:firstLine="412" w:firstLineChars="200"/>
        <w:rPr>
          <w:rFonts w:hint="eastAsia" w:ascii="宋体" w:hAnsi="宋体" w:eastAsia="宋体" w:cs="宋体"/>
          <w:color w:val="auto"/>
          <w:kern w:val="0"/>
          <w:szCs w:val="21"/>
          <w:highlight w:val="none"/>
          <w:lang w:val="en-US" w:eastAsia="zh-CN" w:bidi="hi-IN"/>
        </w:rPr>
      </w:pPr>
      <w:r>
        <w:rPr>
          <w:rFonts w:hint="eastAsia" w:ascii="宋体" w:hAnsi="宋体" w:eastAsia="宋体" w:cs="宋体"/>
          <w:color w:val="auto"/>
          <w:kern w:val="0"/>
          <w:szCs w:val="21"/>
          <w:highlight w:val="none"/>
          <w:lang w:val="en-US" w:eastAsia="zh-CN" w:bidi="hi-IN"/>
        </w:rPr>
        <w:t>3.10安全生产责任保险费按分部分项工程费及措施项目费（含单价及总价措施项目费）为计算基数乘以0.2%计入暂估价，工程结算时，由发承包双方根据工程实际情况确认的安全生产责任保险费计入工程造价。</w:t>
      </w:r>
    </w:p>
    <w:p w14:paraId="13800B15">
      <w:pPr>
        <w:rPr>
          <w:rFonts w:hint="eastAsia" w:ascii="宋体" w:hAnsi="宋体" w:eastAsia="宋体" w:cs="宋体"/>
          <w:color w:val="auto"/>
          <w:kern w:val="0"/>
          <w:szCs w:val="21"/>
          <w:highlight w:val="none"/>
          <w:lang w:val="en-US" w:eastAsia="zh-CN" w:bidi="hi-IN"/>
        </w:rPr>
      </w:pPr>
      <w:r>
        <w:rPr>
          <w:rFonts w:hint="eastAsia" w:ascii="宋体" w:hAnsi="宋体" w:eastAsia="宋体" w:cs="宋体"/>
          <w:color w:val="auto"/>
          <w:kern w:val="0"/>
          <w:szCs w:val="21"/>
          <w:highlight w:val="none"/>
          <w:lang w:val="en-US" w:eastAsia="zh-CN" w:bidi="hi-IN"/>
        </w:rPr>
        <w:br w:type="page"/>
      </w:r>
    </w:p>
    <w:p w14:paraId="6CAB009B">
      <w:pPr>
        <w:spacing w:line="240" w:lineRule="auto"/>
        <w:ind w:left="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附件2：</w:t>
      </w:r>
    </w:p>
    <w:p w14:paraId="2BE3EA6A">
      <w:pPr>
        <w:widowControl/>
        <w:spacing w:line="360" w:lineRule="auto"/>
        <w:jc w:val="center"/>
        <w:rPr>
          <w:rFonts w:hint="eastAsia" w:ascii="宋体" w:hAnsi="宋体" w:eastAsia="宋体" w:cs="宋体"/>
          <w:b/>
          <w:bCs/>
          <w:color w:val="auto"/>
          <w:kern w:val="0"/>
          <w:sz w:val="36"/>
          <w:szCs w:val="32"/>
          <w:highlight w:val="none"/>
        </w:rPr>
      </w:pPr>
      <w:bookmarkStart w:id="75" w:name="_Toc74323459"/>
      <w:r>
        <w:rPr>
          <w:rFonts w:hint="eastAsia" w:ascii="宋体" w:hAnsi="宋体" w:eastAsia="宋体" w:cs="宋体"/>
          <w:b/>
          <w:bCs/>
          <w:color w:val="auto"/>
          <w:kern w:val="0"/>
          <w:sz w:val="36"/>
          <w:szCs w:val="32"/>
          <w:highlight w:val="none"/>
        </w:rPr>
        <w:t>统计上大中小微型企业划分标准</w:t>
      </w:r>
    </w:p>
    <w:tbl>
      <w:tblPr>
        <w:tblStyle w:val="28"/>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320"/>
        <w:gridCol w:w="682"/>
        <w:gridCol w:w="1085"/>
        <w:gridCol w:w="1640"/>
        <w:gridCol w:w="1374"/>
        <w:gridCol w:w="956"/>
      </w:tblGrid>
      <w:tr w14:paraId="1F1D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39" w:type="pct"/>
            <w:noWrap w:val="0"/>
            <w:vAlign w:val="center"/>
          </w:tcPr>
          <w:p w14:paraId="5C65CF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759" w:type="pct"/>
            <w:noWrap w:val="0"/>
            <w:vAlign w:val="center"/>
          </w:tcPr>
          <w:p w14:paraId="6C03FA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392" w:type="pct"/>
            <w:noWrap w:val="0"/>
            <w:vAlign w:val="center"/>
          </w:tcPr>
          <w:p w14:paraId="6148BEF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624" w:type="pct"/>
            <w:noWrap w:val="0"/>
            <w:vAlign w:val="center"/>
          </w:tcPr>
          <w:p w14:paraId="09BB9F2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943" w:type="pct"/>
            <w:noWrap w:val="0"/>
            <w:vAlign w:val="center"/>
          </w:tcPr>
          <w:p w14:paraId="0A13A3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790" w:type="pct"/>
            <w:noWrap w:val="0"/>
            <w:vAlign w:val="center"/>
          </w:tcPr>
          <w:p w14:paraId="683DC9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549" w:type="pct"/>
            <w:noWrap w:val="0"/>
            <w:vAlign w:val="center"/>
          </w:tcPr>
          <w:p w14:paraId="43F655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2CB3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noWrap w:val="0"/>
            <w:vAlign w:val="center"/>
          </w:tcPr>
          <w:p w14:paraId="48F3EC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759" w:type="pct"/>
            <w:noWrap w:val="0"/>
            <w:vAlign w:val="center"/>
          </w:tcPr>
          <w:p w14:paraId="2D34CF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364FAB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64AC45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943" w:type="pct"/>
            <w:noWrap w:val="0"/>
            <w:vAlign w:val="center"/>
          </w:tcPr>
          <w:p w14:paraId="0B7923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790" w:type="pct"/>
            <w:noWrap w:val="0"/>
            <w:vAlign w:val="center"/>
          </w:tcPr>
          <w:p w14:paraId="39AC21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549" w:type="pct"/>
            <w:noWrap w:val="0"/>
            <w:vAlign w:val="center"/>
          </w:tcPr>
          <w:p w14:paraId="635AD5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0A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39CCB49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759" w:type="pct"/>
            <w:noWrap w:val="0"/>
            <w:vAlign w:val="center"/>
          </w:tcPr>
          <w:p w14:paraId="090BA3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574B4E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34FE1E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43" w:type="pct"/>
            <w:noWrap w:val="0"/>
            <w:vAlign w:val="center"/>
          </w:tcPr>
          <w:p w14:paraId="2356C59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90" w:type="pct"/>
            <w:noWrap w:val="0"/>
            <w:vAlign w:val="center"/>
          </w:tcPr>
          <w:p w14:paraId="1172A7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49" w:type="pct"/>
            <w:noWrap w:val="0"/>
            <w:vAlign w:val="center"/>
          </w:tcPr>
          <w:p w14:paraId="5BB143C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57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54A3DF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4301F2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7C744A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7A374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943" w:type="pct"/>
            <w:noWrap w:val="0"/>
            <w:vAlign w:val="center"/>
          </w:tcPr>
          <w:p w14:paraId="3E19F0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790" w:type="pct"/>
            <w:noWrap w:val="0"/>
            <w:vAlign w:val="center"/>
          </w:tcPr>
          <w:p w14:paraId="0D2055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549" w:type="pct"/>
            <w:noWrap w:val="0"/>
            <w:vAlign w:val="center"/>
          </w:tcPr>
          <w:p w14:paraId="0448348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F08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3B89F3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759" w:type="pct"/>
            <w:noWrap w:val="0"/>
            <w:vAlign w:val="center"/>
          </w:tcPr>
          <w:p w14:paraId="0E8682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2D000A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814FE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943" w:type="pct"/>
            <w:noWrap w:val="0"/>
            <w:vAlign w:val="center"/>
          </w:tcPr>
          <w:p w14:paraId="4860E9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790" w:type="pct"/>
            <w:noWrap w:val="0"/>
            <w:vAlign w:val="center"/>
          </w:tcPr>
          <w:p w14:paraId="702A3DE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549" w:type="pct"/>
            <w:noWrap w:val="0"/>
            <w:vAlign w:val="center"/>
          </w:tcPr>
          <w:p w14:paraId="5C2260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F0C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1CE42C7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2EBF77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392" w:type="pct"/>
            <w:noWrap w:val="0"/>
            <w:vAlign w:val="center"/>
          </w:tcPr>
          <w:p w14:paraId="661EC2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7C33C9A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943" w:type="pct"/>
            <w:noWrap w:val="0"/>
            <w:vAlign w:val="center"/>
          </w:tcPr>
          <w:p w14:paraId="10F353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790" w:type="pct"/>
            <w:noWrap w:val="0"/>
            <w:vAlign w:val="center"/>
          </w:tcPr>
          <w:p w14:paraId="708712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549" w:type="pct"/>
            <w:noWrap w:val="0"/>
            <w:vAlign w:val="center"/>
          </w:tcPr>
          <w:p w14:paraId="550521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A71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2CE1746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759" w:type="pct"/>
            <w:noWrap w:val="0"/>
            <w:vAlign w:val="center"/>
          </w:tcPr>
          <w:p w14:paraId="0A32CF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44E633E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609CFBC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943" w:type="pct"/>
            <w:noWrap w:val="0"/>
            <w:vAlign w:val="center"/>
          </w:tcPr>
          <w:p w14:paraId="659BB1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790" w:type="pct"/>
            <w:noWrap w:val="0"/>
            <w:vAlign w:val="center"/>
          </w:tcPr>
          <w:p w14:paraId="02E197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549" w:type="pct"/>
            <w:noWrap w:val="0"/>
            <w:vAlign w:val="center"/>
          </w:tcPr>
          <w:p w14:paraId="09CA11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B3A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0250E2D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6ADA8D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5DDB74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35D2A6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943" w:type="pct"/>
            <w:noWrap w:val="0"/>
            <w:vAlign w:val="center"/>
          </w:tcPr>
          <w:p w14:paraId="2DF31B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790" w:type="pct"/>
            <w:noWrap w:val="0"/>
            <w:vAlign w:val="center"/>
          </w:tcPr>
          <w:p w14:paraId="66137706">
            <w:pPr>
              <w:keepNext w:val="0"/>
              <w:keepLines w:val="0"/>
              <w:widowControl/>
              <w:suppressLineNumbers w:val="0"/>
              <w:spacing w:before="0" w:beforeAutospacing="0" w:after="0" w:afterAutospacing="0"/>
              <w:ind w:left="-1" w:leftChars="-1" w:right="0"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549" w:type="pct"/>
            <w:noWrap w:val="0"/>
            <w:vAlign w:val="center"/>
          </w:tcPr>
          <w:p w14:paraId="76F400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2F5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7669D6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759" w:type="pct"/>
            <w:noWrap w:val="0"/>
            <w:vAlign w:val="center"/>
          </w:tcPr>
          <w:p w14:paraId="3896CD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0D2AD1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210E3F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2E9AEC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790" w:type="pct"/>
            <w:noWrap w:val="0"/>
            <w:vAlign w:val="center"/>
          </w:tcPr>
          <w:p w14:paraId="3CABE937">
            <w:pPr>
              <w:keepNext w:val="0"/>
              <w:keepLines w:val="0"/>
              <w:widowControl/>
              <w:suppressLineNumbers w:val="0"/>
              <w:spacing w:before="0" w:beforeAutospacing="0" w:after="0" w:afterAutospacing="0"/>
              <w:ind w:left="-1" w:leftChars="-1" w:right="0"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549" w:type="pct"/>
            <w:noWrap w:val="0"/>
            <w:vAlign w:val="center"/>
          </w:tcPr>
          <w:p w14:paraId="255478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DD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337DC41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47DC14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60395C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C48D2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943" w:type="pct"/>
            <w:noWrap w:val="0"/>
            <w:vAlign w:val="center"/>
          </w:tcPr>
          <w:p w14:paraId="1F5C09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790" w:type="pct"/>
            <w:noWrap w:val="0"/>
            <w:vAlign w:val="center"/>
          </w:tcPr>
          <w:p w14:paraId="595D5AE2">
            <w:pPr>
              <w:keepNext w:val="0"/>
              <w:keepLines w:val="0"/>
              <w:widowControl/>
              <w:suppressLineNumbers w:val="0"/>
              <w:spacing w:before="0" w:beforeAutospacing="0" w:after="0" w:afterAutospacing="0"/>
              <w:ind w:left="-1" w:leftChars="-1" w:right="0"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549" w:type="pct"/>
            <w:noWrap w:val="0"/>
            <w:vAlign w:val="center"/>
          </w:tcPr>
          <w:p w14:paraId="5382E17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E7A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5FC533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759" w:type="pct"/>
            <w:noWrap w:val="0"/>
            <w:vAlign w:val="center"/>
          </w:tcPr>
          <w:p w14:paraId="166193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6C2B4D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213820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43" w:type="pct"/>
            <w:noWrap w:val="0"/>
            <w:vAlign w:val="center"/>
          </w:tcPr>
          <w:p w14:paraId="6C8E33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90" w:type="pct"/>
            <w:noWrap w:val="0"/>
            <w:vAlign w:val="center"/>
          </w:tcPr>
          <w:p w14:paraId="696E2E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49" w:type="pct"/>
            <w:noWrap w:val="0"/>
            <w:vAlign w:val="center"/>
          </w:tcPr>
          <w:p w14:paraId="3D1B493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CB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2E4F0B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4DB599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1E183D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6D30A9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43" w:type="pct"/>
            <w:noWrap w:val="0"/>
            <w:vAlign w:val="center"/>
          </w:tcPr>
          <w:p w14:paraId="2F21A4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790" w:type="pct"/>
            <w:noWrap w:val="0"/>
            <w:vAlign w:val="center"/>
          </w:tcPr>
          <w:p w14:paraId="16E559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549" w:type="pct"/>
            <w:noWrap w:val="0"/>
            <w:vAlign w:val="center"/>
          </w:tcPr>
          <w:p w14:paraId="44920C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291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20A514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759" w:type="pct"/>
            <w:noWrap w:val="0"/>
            <w:vAlign w:val="center"/>
          </w:tcPr>
          <w:p w14:paraId="0D0187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39D24A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07316D3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943" w:type="pct"/>
            <w:noWrap w:val="0"/>
            <w:vAlign w:val="center"/>
          </w:tcPr>
          <w:p w14:paraId="53D5B6D2">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790" w:type="pct"/>
            <w:noWrap w:val="0"/>
            <w:vAlign w:val="center"/>
          </w:tcPr>
          <w:p w14:paraId="7C73935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549" w:type="pct"/>
            <w:noWrap w:val="0"/>
            <w:vAlign w:val="center"/>
          </w:tcPr>
          <w:p w14:paraId="7F518E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5AA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7CC513D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146115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29C0FF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19EA82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43" w:type="pct"/>
            <w:noWrap w:val="0"/>
            <w:vAlign w:val="center"/>
          </w:tcPr>
          <w:p w14:paraId="4D77B7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790" w:type="pct"/>
            <w:noWrap w:val="0"/>
            <w:vAlign w:val="center"/>
          </w:tcPr>
          <w:p w14:paraId="0E657A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49" w:type="pct"/>
            <w:noWrap w:val="0"/>
            <w:vAlign w:val="center"/>
          </w:tcPr>
          <w:p w14:paraId="781E79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5B6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0C1C4C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759" w:type="pct"/>
            <w:noWrap w:val="0"/>
            <w:vAlign w:val="center"/>
          </w:tcPr>
          <w:p w14:paraId="1D0185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4D016B7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2F9C3E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43" w:type="pct"/>
            <w:noWrap w:val="0"/>
            <w:vAlign w:val="center"/>
          </w:tcPr>
          <w:p w14:paraId="73F743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90" w:type="pct"/>
            <w:noWrap w:val="0"/>
            <w:vAlign w:val="center"/>
          </w:tcPr>
          <w:p w14:paraId="6F1BBB7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49" w:type="pct"/>
            <w:noWrap w:val="0"/>
            <w:vAlign w:val="center"/>
          </w:tcPr>
          <w:p w14:paraId="389F76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AE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5ED7C4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20E91C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39A732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EAD9D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43" w:type="pct"/>
            <w:noWrap w:val="0"/>
            <w:vAlign w:val="center"/>
          </w:tcPr>
          <w:p w14:paraId="6C23BD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790" w:type="pct"/>
            <w:noWrap w:val="0"/>
            <w:vAlign w:val="center"/>
          </w:tcPr>
          <w:p w14:paraId="4529120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49" w:type="pct"/>
            <w:noWrap w:val="0"/>
            <w:vAlign w:val="center"/>
          </w:tcPr>
          <w:p w14:paraId="04AFD8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2F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3863903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759" w:type="pct"/>
            <w:noWrap w:val="0"/>
            <w:vAlign w:val="center"/>
          </w:tcPr>
          <w:p w14:paraId="39877E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15814EF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783C5B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06F1165D">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90" w:type="pct"/>
            <w:noWrap w:val="0"/>
            <w:vAlign w:val="center"/>
          </w:tcPr>
          <w:p w14:paraId="63629D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69D5EE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B2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2C273F8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079412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13F976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793FEF0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43" w:type="pct"/>
            <w:noWrap w:val="0"/>
            <w:vAlign w:val="center"/>
          </w:tcPr>
          <w:p w14:paraId="1D789A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790" w:type="pct"/>
            <w:noWrap w:val="0"/>
            <w:vAlign w:val="center"/>
          </w:tcPr>
          <w:p w14:paraId="6AA5D7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49" w:type="pct"/>
            <w:noWrap w:val="0"/>
            <w:vAlign w:val="center"/>
          </w:tcPr>
          <w:p w14:paraId="663A61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84A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7A0B0A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759" w:type="pct"/>
            <w:noWrap w:val="0"/>
            <w:vAlign w:val="center"/>
          </w:tcPr>
          <w:p w14:paraId="046A61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2D0ED6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6267EE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43A40321">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90" w:type="pct"/>
            <w:noWrap w:val="0"/>
            <w:vAlign w:val="center"/>
          </w:tcPr>
          <w:p w14:paraId="1034EE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71AB7B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949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0B71892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06DF23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0A6A83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05FCB1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43" w:type="pct"/>
            <w:noWrap w:val="0"/>
            <w:vAlign w:val="center"/>
          </w:tcPr>
          <w:p w14:paraId="1B3FFC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790" w:type="pct"/>
            <w:noWrap w:val="0"/>
            <w:vAlign w:val="center"/>
          </w:tcPr>
          <w:p w14:paraId="6ED38D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49" w:type="pct"/>
            <w:noWrap w:val="0"/>
            <w:vAlign w:val="center"/>
          </w:tcPr>
          <w:p w14:paraId="09CD9A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077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noWrap w:val="0"/>
            <w:vAlign w:val="center"/>
          </w:tcPr>
          <w:p w14:paraId="06AF9FA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759" w:type="pct"/>
            <w:noWrap w:val="0"/>
            <w:vAlign w:val="center"/>
          </w:tcPr>
          <w:p w14:paraId="0CD2D7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5FFA3E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75AB52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943" w:type="pct"/>
            <w:noWrap w:val="0"/>
            <w:vAlign w:val="center"/>
          </w:tcPr>
          <w:p w14:paraId="56A313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790" w:type="pct"/>
            <w:noWrap w:val="0"/>
            <w:vAlign w:val="center"/>
          </w:tcPr>
          <w:p w14:paraId="6B1413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0CFDEE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7FF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noWrap w:val="0"/>
            <w:vAlign w:val="center"/>
          </w:tcPr>
          <w:p w14:paraId="0C1DD2F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53BA93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63B56A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5A39A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943" w:type="pct"/>
            <w:noWrap w:val="0"/>
            <w:vAlign w:val="center"/>
          </w:tcPr>
          <w:p w14:paraId="26DD9C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790" w:type="pct"/>
            <w:noWrap w:val="0"/>
            <w:vAlign w:val="center"/>
          </w:tcPr>
          <w:p w14:paraId="71FF479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49" w:type="pct"/>
            <w:noWrap w:val="0"/>
            <w:vAlign w:val="center"/>
          </w:tcPr>
          <w:p w14:paraId="2AA45D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DF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noWrap w:val="0"/>
            <w:vAlign w:val="center"/>
          </w:tcPr>
          <w:p w14:paraId="0330049C">
            <w:pPr>
              <w:keepNext w:val="0"/>
              <w:keepLines w:val="0"/>
              <w:widowControl/>
              <w:suppressLineNumbers w:val="0"/>
              <w:spacing w:before="0" w:beforeAutospacing="0" w:after="0" w:afterAutospacing="0"/>
              <w:ind w:left="0" w:right="0"/>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759" w:type="pct"/>
            <w:noWrap w:val="0"/>
            <w:vAlign w:val="center"/>
          </w:tcPr>
          <w:p w14:paraId="39C708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14E4BD7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020803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08B0CD39">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90" w:type="pct"/>
            <w:noWrap w:val="0"/>
            <w:vAlign w:val="center"/>
          </w:tcPr>
          <w:p w14:paraId="5DFB46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275CEE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02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noWrap w:val="0"/>
            <w:vAlign w:val="center"/>
          </w:tcPr>
          <w:p w14:paraId="2D58C160">
            <w:pPr>
              <w:keepNext w:val="0"/>
              <w:keepLines w:val="0"/>
              <w:widowControl/>
              <w:suppressLineNumbers w:val="0"/>
              <w:spacing w:before="0" w:beforeAutospacing="0" w:after="0" w:afterAutospacing="0"/>
              <w:ind w:left="0" w:right="0"/>
              <w:jc w:val="left"/>
              <w:rPr>
                <w:rFonts w:hint="eastAsia" w:ascii="宋体" w:hAnsi="宋体" w:eastAsia="宋体" w:cs="宋体"/>
                <w:color w:val="auto"/>
                <w:spacing w:val="-12"/>
                <w:kern w:val="0"/>
                <w:sz w:val="18"/>
                <w:szCs w:val="18"/>
                <w:highlight w:val="none"/>
              </w:rPr>
            </w:pPr>
          </w:p>
        </w:tc>
        <w:tc>
          <w:tcPr>
            <w:tcW w:w="759" w:type="pct"/>
            <w:noWrap w:val="0"/>
            <w:vAlign w:val="center"/>
          </w:tcPr>
          <w:p w14:paraId="6B9BD9E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27F71C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15D810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43" w:type="pct"/>
            <w:noWrap w:val="0"/>
            <w:vAlign w:val="center"/>
          </w:tcPr>
          <w:p w14:paraId="21D5EC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790" w:type="pct"/>
            <w:noWrap w:val="0"/>
            <w:vAlign w:val="center"/>
          </w:tcPr>
          <w:p w14:paraId="42941F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549" w:type="pct"/>
            <w:noWrap w:val="0"/>
            <w:vAlign w:val="center"/>
          </w:tcPr>
          <w:p w14:paraId="4FA68A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276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noWrap w:val="0"/>
            <w:vAlign w:val="center"/>
          </w:tcPr>
          <w:p w14:paraId="26C4E46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759" w:type="pct"/>
            <w:noWrap w:val="0"/>
            <w:vAlign w:val="center"/>
          </w:tcPr>
          <w:p w14:paraId="335A00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29F1D0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3FF8E44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943" w:type="pct"/>
            <w:noWrap w:val="0"/>
            <w:vAlign w:val="center"/>
          </w:tcPr>
          <w:p w14:paraId="4B623F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790" w:type="pct"/>
            <w:noWrap w:val="0"/>
            <w:vAlign w:val="center"/>
          </w:tcPr>
          <w:p w14:paraId="6A458A0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49" w:type="pct"/>
            <w:noWrap w:val="0"/>
            <w:vAlign w:val="center"/>
          </w:tcPr>
          <w:p w14:paraId="4D71DA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D4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noWrap w:val="0"/>
            <w:vAlign w:val="center"/>
          </w:tcPr>
          <w:p w14:paraId="28FBC4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3FF735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392" w:type="pct"/>
            <w:noWrap w:val="0"/>
            <w:vAlign w:val="center"/>
          </w:tcPr>
          <w:p w14:paraId="0B75CB3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62F258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943" w:type="pct"/>
            <w:noWrap w:val="0"/>
            <w:vAlign w:val="center"/>
          </w:tcPr>
          <w:p w14:paraId="6346E2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790" w:type="pct"/>
            <w:noWrap w:val="0"/>
            <w:vAlign w:val="center"/>
          </w:tcPr>
          <w:p w14:paraId="5BE64A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549" w:type="pct"/>
            <w:noWrap w:val="0"/>
            <w:vAlign w:val="center"/>
          </w:tcPr>
          <w:p w14:paraId="4F8411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6A4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noWrap w:val="0"/>
            <w:vAlign w:val="center"/>
          </w:tcPr>
          <w:p w14:paraId="45FAFF1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759" w:type="pct"/>
            <w:noWrap w:val="0"/>
            <w:vAlign w:val="center"/>
          </w:tcPr>
          <w:p w14:paraId="6618EE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01E4EE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678E75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43" w:type="pct"/>
            <w:noWrap w:val="0"/>
            <w:vAlign w:val="center"/>
          </w:tcPr>
          <w:p w14:paraId="75577E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90" w:type="pct"/>
            <w:noWrap w:val="0"/>
            <w:vAlign w:val="center"/>
          </w:tcPr>
          <w:p w14:paraId="0B9774A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549" w:type="pct"/>
            <w:noWrap w:val="0"/>
            <w:vAlign w:val="center"/>
          </w:tcPr>
          <w:p w14:paraId="30F4D8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662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noWrap w:val="0"/>
            <w:vAlign w:val="center"/>
          </w:tcPr>
          <w:p w14:paraId="1DD8456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432156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392" w:type="pct"/>
            <w:noWrap w:val="0"/>
            <w:vAlign w:val="center"/>
          </w:tcPr>
          <w:p w14:paraId="57E919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583D54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943" w:type="pct"/>
            <w:noWrap w:val="0"/>
            <w:vAlign w:val="center"/>
          </w:tcPr>
          <w:p w14:paraId="1421E644">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790" w:type="pct"/>
            <w:noWrap w:val="0"/>
            <w:vAlign w:val="center"/>
          </w:tcPr>
          <w:p w14:paraId="054C65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549" w:type="pct"/>
            <w:noWrap w:val="0"/>
            <w:vAlign w:val="center"/>
          </w:tcPr>
          <w:p w14:paraId="611790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FD3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noWrap w:val="0"/>
            <w:vAlign w:val="center"/>
          </w:tcPr>
          <w:p w14:paraId="33FE3F8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759" w:type="pct"/>
            <w:noWrap w:val="0"/>
            <w:vAlign w:val="center"/>
          </w:tcPr>
          <w:p w14:paraId="554646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532F8FE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005B9A9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7CE9E837">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90" w:type="pct"/>
            <w:noWrap w:val="0"/>
            <w:vAlign w:val="center"/>
          </w:tcPr>
          <w:p w14:paraId="5AA1B0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2561BE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22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noWrap w:val="0"/>
            <w:vAlign w:val="center"/>
          </w:tcPr>
          <w:p w14:paraId="2FC292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p>
        </w:tc>
        <w:tc>
          <w:tcPr>
            <w:tcW w:w="759" w:type="pct"/>
            <w:noWrap w:val="0"/>
            <w:vAlign w:val="center"/>
          </w:tcPr>
          <w:p w14:paraId="18DD6E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392" w:type="pct"/>
            <w:noWrap w:val="0"/>
            <w:vAlign w:val="center"/>
          </w:tcPr>
          <w:p w14:paraId="341B63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4" w:type="pct"/>
            <w:noWrap w:val="0"/>
            <w:vAlign w:val="center"/>
          </w:tcPr>
          <w:p w14:paraId="031C6C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943" w:type="pct"/>
            <w:noWrap w:val="0"/>
            <w:vAlign w:val="center"/>
          </w:tcPr>
          <w:p w14:paraId="120256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790" w:type="pct"/>
            <w:noWrap w:val="0"/>
            <w:vAlign w:val="center"/>
          </w:tcPr>
          <w:p w14:paraId="4DE197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549" w:type="pct"/>
            <w:noWrap w:val="0"/>
            <w:vAlign w:val="center"/>
          </w:tcPr>
          <w:p w14:paraId="20387D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5745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noWrap w:val="0"/>
            <w:vAlign w:val="center"/>
          </w:tcPr>
          <w:p w14:paraId="70473E6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759" w:type="pct"/>
            <w:noWrap w:val="0"/>
            <w:vAlign w:val="center"/>
          </w:tcPr>
          <w:p w14:paraId="09E5DD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392" w:type="pct"/>
            <w:noWrap w:val="0"/>
            <w:vAlign w:val="center"/>
          </w:tcPr>
          <w:p w14:paraId="57A659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624" w:type="pct"/>
            <w:noWrap w:val="0"/>
            <w:vAlign w:val="center"/>
          </w:tcPr>
          <w:p w14:paraId="28EFD1F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43" w:type="pct"/>
            <w:noWrap w:val="0"/>
            <w:vAlign w:val="center"/>
          </w:tcPr>
          <w:p w14:paraId="131484EA">
            <w:pPr>
              <w:keepNext w:val="0"/>
              <w:keepLines w:val="0"/>
              <w:widowControl/>
              <w:suppressLineNumbers w:val="0"/>
              <w:spacing w:before="0" w:beforeAutospacing="0" w:after="0" w:afterAutospacing="0"/>
              <w:ind w:left="1" w:leftChars="-51" w:right="0" w:hanging="106"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90" w:type="pct"/>
            <w:noWrap w:val="0"/>
            <w:vAlign w:val="center"/>
          </w:tcPr>
          <w:p w14:paraId="21DCC0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49" w:type="pct"/>
            <w:noWrap w:val="0"/>
            <w:vAlign w:val="center"/>
          </w:tcPr>
          <w:p w14:paraId="21261B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210247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908B80C">
      <w:pPr>
        <w:spacing w:line="360" w:lineRule="auto"/>
        <w:ind w:firstLine="51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1.大型、中型和小型企业须同时满足所列指标的下限，否则下划一档；微型企业只须满足所列指标中的一项即可。</w:t>
      </w:r>
    </w:p>
    <w:p w14:paraId="2F05E0C2">
      <w:pPr>
        <w:spacing w:line="360" w:lineRule="auto"/>
        <w:ind w:firstLine="51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60A0B99">
      <w:pPr>
        <w:spacing w:line="360" w:lineRule="auto"/>
        <w:ind w:firstLine="51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57D4E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C5452F7">
      <w:pPr>
        <w:pStyle w:val="2"/>
        <w:bidi w:val="0"/>
        <w:jc w:val="right"/>
        <w:rPr>
          <w:color w:val="auto"/>
        </w:rPr>
      </w:pPr>
      <w:bookmarkStart w:id="76" w:name="_Toc31441"/>
      <w:r>
        <w:rPr>
          <w:rFonts w:hint="eastAsia"/>
          <w:color w:val="auto"/>
        </w:rPr>
        <w:t>第四章  评审程序、评审方法和评审标准</w:t>
      </w:r>
      <w:bookmarkEnd w:id="75"/>
      <w:bookmarkEnd w:id="76"/>
    </w:p>
    <w:p w14:paraId="09AC7EB6">
      <w:pPr>
        <w:pStyle w:val="3"/>
        <w:jc w:val="center"/>
        <w:rPr>
          <w:rFonts w:ascii="宋体" w:hAnsi="宋体" w:cs="宋体"/>
          <w:b w:val="0"/>
          <w:color w:val="auto"/>
          <w:highlight w:val="none"/>
        </w:rPr>
      </w:pPr>
      <w:bookmarkStart w:id="77" w:name="_Toc27493"/>
      <w:bookmarkStart w:id="78" w:name="_Toc22838"/>
      <w:bookmarkStart w:id="79" w:name="_Toc29289"/>
      <w:r>
        <w:rPr>
          <w:rFonts w:hint="eastAsia" w:ascii="宋体" w:hAnsi="宋体" w:cs="宋体"/>
          <w:b w:val="0"/>
          <w:color w:val="auto"/>
          <w:highlight w:val="none"/>
        </w:rPr>
        <w:t>第一节 评审程序和评审方法</w:t>
      </w:r>
      <w:bookmarkEnd w:id="77"/>
      <w:bookmarkEnd w:id="78"/>
      <w:bookmarkEnd w:id="79"/>
    </w:p>
    <w:p w14:paraId="0E68C392">
      <w:pPr>
        <w:spacing w:line="360" w:lineRule="auto"/>
        <w:ind w:firstLine="47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3A21BD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1C9357C0">
      <w:pPr>
        <w:spacing w:line="360" w:lineRule="auto"/>
        <w:ind w:firstLine="47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423A9050">
      <w:pPr>
        <w:snapToGrid w:val="0"/>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5EC17BF">
      <w:pPr>
        <w:snapToGrid w:val="0"/>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7258C4BF">
      <w:pPr>
        <w:snapToGrid w:val="0"/>
        <w:spacing w:line="360" w:lineRule="auto"/>
        <w:ind w:firstLine="412"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4"/>
          <w:rFonts w:hint="eastAsia" w:ascii="宋体" w:hAnsi="宋体" w:eastAsia="宋体" w:cs="宋体"/>
          <w:color w:val="auto"/>
          <w:highlight w:val="none"/>
        </w:rPr>
        <w:t>www.creditchina.gov.cn</w:t>
      </w:r>
      <w:r>
        <w:rPr>
          <w:rStyle w:val="34"/>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4"/>
          <w:rFonts w:hint="eastAsia" w:ascii="宋体" w:hAnsi="宋体" w:eastAsia="宋体" w:cs="宋体"/>
          <w:color w:val="auto"/>
          <w:highlight w:val="none"/>
        </w:rPr>
        <w:t>www.ccgp.gov.cn</w:t>
      </w:r>
      <w:r>
        <w:rPr>
          <w:rStyle w:val="34"/>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5AA1B397">
      <w:pPr>
        <w:snapToGrid w:val="0"/>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E1C7B32">
      <w:pPr>
        <w:snapToGrid w:val="0"/>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507BE8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B181D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FDE61B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8AD943E">
      <w:pPr>
        <w:snapToGrid w:val="0"/>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9E15AA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9BCE71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3B703657">
      <w:pPr>
        <w:spacing w:line="360" w:lineRule="auto"/>
        <w:ind w:firstLine="412" w:firstLineChars="200"/>
        <w:rPr>
          <w:rFonts w:ascii="宋体" w:hAnsi="宋体" w:eastAsia="宋体" w:cs="宋体"/>
          <w:color w:val="auto"/>
          <w:szCs w:val="21"/>
          <w:highlight w:val="none"/>
        </w:rPr>
      </w:pPr>
      <w:bookmarkStart w:id="8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0"/>
    </w:p>
    <w:p w14:paraId="1A83A25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94520C0">
      <w:pPr>
        <w:spacing w:line="360" w:lineRule="auto"/>
        <w:ind w:firstLine="47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8AF53C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38ADF89">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A4A02F">
      <w:pPr>
        <w:spacing w:line="360" w:lineRule="auto"/>
        <w:ind w:firstLine="412"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w:t>
      </w:r>
    </w:p>
    <w:p w14:paraId="649EA2C5">
      <w:pPr>
        <w:spacing w:line="360" w:lineRule="auto"/>
        <w:ind w:firstLine="388"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7DFC0BB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9BAFC3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673157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7EB54C2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488DF9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037280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411495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B47E7D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C12307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B8327C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D8BA9A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FA1418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372B07CD">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F47C14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ED3B80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3A8F76D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04B35E7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870C53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03C0EED">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1CC6C21F">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29E08F8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13）响应文件标注的项目名称或者项目编号与竞争性磋商文件标注的项目名称或者项目编号不一致的（已标价工程量清单除外，已标价工程量清单按照采购人提供的工程量清单的要求填写）；</w:t>
      </w:r>
    </w:p>
    <w:p w14:paraId="29E9360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D46480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A3517A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4D95C9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 必须提供”的文件资料或提供的资料不符合“ 必须提供”的文件资料要求的规定；</w:t>
      </w:r>
    </w:p>
    <w:p w14:paraId="562BAA5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1194C5D">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9C920B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C30994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0B6DBC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19F50C3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7）供应商采用总价优惠或以总价百分比优惠的方式进行响应报价的；</w:t>
      </w:r>
    </w:p>
    <w:p w14:paraId="5C2E014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8）安全文明施工费和规费、税金不按规定报价的；</w:t>
      </w:r>
    </w:p>
    <w:p w14:paraId="103A1DF7">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9）供应商已标价工程量清单的项目编码、计量单位、工程量任何一处与工程量清单不一致的；</w:t>
      </w:r>
    </w:p>
    <w:p w14:paraId="291352A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10）供应商已标价工程量清单的项目名称或项目特征与工程量清单不一致，磋商小组要求澄清、说明或补正，但供应商拒绝澄清、说明或补正的；</w:t>
      </w:r>
    </w:p>
    <w:p w14:paraId="55CD149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11）响应函中的报价与已标价的工程量清单汇总表不一致的；</w:t>
      </w:r>
    </w:p>
    <w:p w14:paraId="0A5634B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12）设有暂估价、暂列金额的，响应时未按工程量清单给出的暂估价总价、暂列金额总价计入磋商总报价中的。</w:t>
      </w:r>
    </w:p>
    <w:p w14:paraId="3A9A6D7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18B63F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6180B7F">
      <w:pPr>
        <w:spacing w:line="360" w:lineRule="auto"/>
        <w:ind w:firstLine="47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668F6EA6">
      <w:pPr>
        <w:spacing w:line="360" w:lineRule="auto"/>
        <w:ind w:firstLine="412"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538016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234D94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498B26C7">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4.4供应商必须按照磋商文件的变动情况和磋商小组的要求以回函的形式重新提交响应文件，并加盖电子公章。参加磋商的供应商未在规定时间内重新提交响应文件的，视同退出磋商。</w:t>
      </w:r>
    </w:p>
    <w:p w14:paraId="1FD0261D">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2EAF3366">
      <w:pPr>
        <w:widowControl/>
        <w:tabs>
          <w:tab w:val="left" w:pos="540"/>
        </w:tabs>
        <w:spacing w:line="360" w:lineRule="auto"/>
        <w:ind w:firstLine="412" w:firstLineChars="200"/>
        <w:jc w:val="left"/>
        <w:rPr>
          <w:rFonts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9913112">
      <w:pPr>
        <w:pStyle w:val="74"/>
        <w:spacing w:before="0" w:line="360" w:lineRule="auto"/>
        <w:ind w:firstLine="396"/>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（1）按照相关规定进行公示的，公示情况说明；</w:t>
      </w:r>
    </w:p>
    <w:p w14:paraId="137A04ED">
      <w:pPr>
        <w:pStyle w:val="74"/>
        <w:spacing w:before="0" w:line="360" w:lineRule="auto"/>
        <w:ind w:firstLine="396"/>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（2）磋商日期和地点，磋商人员名单；</w:t>
      </w:r>
    </w:p>
    <w:p w14:paraId="65B153ED">
      <w:pPr>
        <w:pStyle w:val="74"/>
        <w:spacing w:before="0" w:line="360" w:lineRule="auto"/>
        <w:ind w:firstLine="396"/>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（3）合同主要条款及价格商定情况。</w:t>
      </w:r>
    </w:p>
    <w:p w14:paraId="62D1866B">
      <w:pPr>
        <w:widowControl/>
        <w:tabs>
          <w:tab w:val="left" w:pos="540"/>
        </w:tabs>
        <w:spacing w:line="360" w:lineRule="auto"/>
        <w:ind w:firstLine="412"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4B4AE3B5">
      <w:pPr>
        <w:tabs>
          <w:tab w:val="left" w:pos="2835"/>
        </w:tabs>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010E7DA">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color w:val="auto"/>
          <w:szCs w:val="21"/>
          <w:highlight w:val="none"/>
        </w:rPr>
      </w:pPr>
      <w:r>
        <w:rPr>
          <w:rFonts w:hint="eastAsia" w:ascii="宋体" w:hAnsi="宋体" w:eastAsia="宋体" w:cs="宋体"/>
          <w:b/>
          <w:bCs/>
          <w:color w:val="auto"/>
          <w:sz w:val="24"/>
          <w:highlight w:val="none"/>
        </w:rPr>
        <w:t xml:space="preserve">5. 最后报价 </w:t>
      </w:r>
    </w:p>
    <w:p w14:paraId="4B44B5AA">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highlight w:val="none"/>
        </w:rPr>
        <w:t>本项目采用多次报价方式，作最后报价时磋商小组将书面告知参与谈判的供应商，各</w:t>
      </w:r>
      <w:r>
        <w:rPr>
          <w:rFonts w:hint="eastAsia" w:ascii="宋体" w:hAnsi="宋体" w:eastAsia="宋体" w:cs="宋体"/>
          <w:color w:val="auto"/>
          <w:szCs w:val="21"/>
          <w:highlight w:val="none"/>
        </w:rPr>
        <w:t>供应商的最终报价如有变动，则</w:t>
      </w:r>
      <w:r>
        <w:rPr>
          <w:rFonts w:hint="eastAsia" w:ascii="宋体" w:hAnsi="宋体" w:eastAsia="宋体" w:cs="宋体"/>
          <w:b/>
          <w:bCs/>
          <w:color w:val="auto"/>
          <w:szCs w:val="21"/>
          <w:highlight w:val="none"/>
        </w:rPr>
        <w:t>必须以完整的已标价工程量清单报价的形式（按磋商文件中的相关规定签字盖章）编制提交</w:t>
      </w:r>
      <w:r>
        <w:rPr>
          <w:rFonts w:hint="eastAsia" w:ascii="宋体" w:hAnsi="宋体" w:eastAsia="宋体" w:cs="宋体"/>
          <w:color w:val="auto"/>
          <w:highlight w:val="none"/>
        </w:rPr>
        <w:t>，不得以总价下浮的方式做最后报价，否则，作无效标处理。各供应商必须提前做好相关准备并按时递交最后报价文件，最后报价高于采购预算或招标控制价的响应文件作无效标处理。</w:t>
      </w:r>
    </w:p>
    <w:p w14:paraId="0C4CE73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4566B48">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DCE58A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r>
        <w:rPr>
          <w:rFonts w:hint="eastAsia" w:ascii="宋体" w:hAnsi="宋体" w:eastAsia="宋体" w:cs="宋体"/>
          <w:b/>
          <w:color w:val="auto"/>
          <w:szCs w:val="21"/>
          <w:highlight w:val="none"/>
          <w:u w:val="single"/>
        </w:rPr>
        <w:t>本项目执行工程量清单报价（首次报价、最终报价）。如首次报价与最终报价一致，视为最终报价按首次递交的已标价工程量清单执行；如最终报价与首次报价不一致且未上传最终计价的工程量清单作为附件的，视为退出磋商，退出磋商的供应商的响应文件按无效响应处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重要提示：最后报价时，采购代理机构将在广西采购云平台系统告知各供应商，最后报价有时间限制，供应商须提前做好相关准备工作并按时递交磋商报价文件（以附件的方式上传）。</w:t>
      </w:r>
    </w:p>
    <w:p w14:paraId="35F51F46">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EF74C0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5BFB16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5.6磋商小组收齐最后报价后统一开启，磋商小组对最后报价进行有效性、完整性和响应程度的审查。</w:t>
      </w:r>
    </w:p>
    <w:p w14:paraId="668A59BA">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8D4767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3D9DBCF">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4E7389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7862BA2">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5961F3B">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7751D71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highlight w:val="none"/>
        </w:rPr>
        <w:t>，磋商小组应当告知有关供应商</w:t>
      </w:r>
      <w:r>
        <w:rPr>
          <w:rFonts w:hint="eastAsia" w:ascii="宋体" w:hAnsi="宋体" w:eastAsia="宋体" w:cs="宋体"/>
          <w:color w:val="auto"/>
          <w:szCs w:val="21"/>
          <w:highlight w:val="none"/>
        </w:rPr>
        <w:t>。</w:t>
      </w:r>
    </w:p>
    <w:p w14:paraId="1B0AF0A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4765EE5">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5143E5AC">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6D8C0CFD">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9C00144">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0AF3313">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5BDDED0">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2D2D648E">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3AB634F1">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9A40BB3">
      <w:pPr>
        <w:spacing w:line="360" w:lineRule="auto"/>
        <w:ind w:firstLine="412"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C23BA82">
      <w:pPr>
        <w:spacing w:line="360" w:lineRule="auto"/>
        <w:ind w:firstLine="412"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E2FB05">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7.评审复核</w:t>
      </w:r>
    </w:p>
    <w:p w14:paraId="7E512185">
      <w:pPr>
        <w:spacing w:line="360" w:lineRule="auto"/>
        <w:ind w:firstLine="412"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14:paraId="0853C620">
      <w:pPr>
        <w:widowControl/>
        <w:spacing w:line="360" w:lineRule="auto"/>
        <w:ind w:firstLine="412"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17BFA96">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color w:val="auto"/>
          <w:highlight w:val="none"/>
        </w:rPr>
      </w:pPr>
      <w:r>
        <w:rPr>
          <w:rFonts w:hint="eastAsia" w:ascii="宋体" w:hAnsi="宋体" w:eastAsia="宋体" w:cs="宋体"/>
          <w:b/>
          <w:bCs/>
          <w:color w:val="auto"/>
          <w:sz w:val="24"/>
          <w:highlight w:val="none"/>
        </w:rPr>
        <w:t>8.评审标准</w:t>
      </w:r>
    </w:p>
    <w:p w14:paraId="5EBAE7C8">
      <w:pPr>
        <w:spacing w:line="360" w:lineRule="auto"/>
        <w:ind w:firstLine="412" w:firstLineChars="200"/>
        <w:rPr>
          <w:rFonts w:ascii="宋体" w:hAnsi="宋体" w:eastAsia="宋体" w:cs="宋体"/>
          <w:bCs/>
          <w:color w:val="auto"/>
          <w:szCs w:val="21"/>
          <w:highlight w:val="none"/>
        </w:rPr>
      </w:pPr>
      <w:bookmarkStart w:id="81" w:name="PO_TDCUS_ITEM_SM_TABLE_1_0"/>
      <w:r>
        <w:rPr>
          <w:rFonts w:hint="eastAsia" w:ascii="宋体" w:hAnsi="宋体" w:eastAsia="宋体" w:cs="宋体"/>
          <w:b w:val="0"/>
          <w:bCs/>
          <w:color w:val="auto"/>
          <w:highlight w:val="none"/>
        </w:rPr>
        <w:t>8.</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依据：磋商小组将以磋商响应文件为评审依据，对供应商的报价、技术、商务等方面内容按百分制打分。（计分方法按四舍五入取至百分位）</w:t>
      </w:r>
    </w:p>
    <w:p w14:paraId="7A2DEA67">
      <w:pPr>
        <w:spacing w:line="360" w:lineRule="auto"/>
        <w:ind w:firstLine="41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按照《政府采购促进中小企业发展管理办法》（财库[2020]46号）之规定：专门面向中小企业采购的项目，对供应商的最后报价不再执行价格评审优惠的扶持政策。在工程采购项目中，工程由中小企业承建，即工程施工单位为中小企业。</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91"/>
        <w:gridCol w:w="6746"/>
        <w:gridCol w:w="864"/>
      </w:tblGrid>
      <w:tr w14:paraId="596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0747E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91" w:type="dxa"/>
            <w:tcBorders>
              <w:top w:val="single" w:color="auto" w:sz="4" w:space="0"/>
              <w:left w:val="nil"/>
              <w:bottom w:val="single" w:color="auto" w:sz="4" w:space="0"/>
              <w:right w:val="single" w:color="auto" w:sz="4" w:space="0"/>
            </w:tcBorders>
            <w:vAlign w:val="center"/>
          </w:tcPr>
          <w:p w14:paraId="6122403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746" w:type="dxa"/>
            <w:tcBorders>
              <w:top w:val="single" w:color="auto" w:sz="4" w:space="0"/>
              <w:left w:val="nil"/>
              <w:bottom w:val="single" w:color="auto" w:sz="4" w:space="0"/>
              <w:right w:val="single" w:color="auto" w:sz="4" w:space="0"/>
            </w:tcBorders>
            <w:vAlign w:val="center"/>
          </w:tcPr>
          <w:p w14:paraId="0D9B3587">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64" w:type="dxa"/>
            <w:tcBorders>
              <w:top w:val="single" w:color="auto" w:sz="4" w:space="0"/>
              <w:left w:val="nil"/>
              <w:bottom w:val="single" w:color="auto" w:sz="4" w:space="0"/>
              <w:right w:val="single" w:color="auto" w:sz="4" w:space="0"/>
            </w:tcBorders>
            <w:vAlign w:val="center"/>
          </w:tcPr>
          <w:p w14:paraId="4C7D1021">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1447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AC635E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1091" w:type="dxa"/>
            <w:tcBorders>
              <w:top w:val="single" w:color="auto" w:sz="4" w:space="0"/>
              <w:left w:val="nil"/>
              <w:bottom w:val="single" w:color="auto" w:sz="4" w:space="0"/>
              <w:right w:val="single" w:color="auto" w:sz="4" w:space="0"/>
            </w:tcBorders>
            <w:vAlign w:val="center"/>
          </w:tcPr>
          <w:p w14:paraId="601FD8A0">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价格分</w:t>
            </w:r>
          </w:p>
        </w:tc>
        <w:tc>
          <w:tcPr>
            <w:tcW w:w="6746" w:type="dxa"/>
            <w:tcBorders>
              <w:top w:val="single" w:color="auto" w:sz="4" w:space="0"/>
              <w:left w:val="nil"/>
              <w:bottom w:val="single" w:color="auto" w:sz="4" w:space="0"/>
              <w:right w:val="single" w:color="auto" w:sz="4" w:space="0"/>
            </w:tcBorders>
          </w:tcPr>
          <w:p w14:paraId="0042DF9C">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评审价为供应商的最后报价，最终成交供应商的成交金额等于最后报价（如有修正，以确认修正后的最后报价为准）</w:t>
            </w:r>
            <w:r>
              <w:rPr>
                <w:rFonts w:hint="eastAsia" w:ascii="宋体" w:hAnsi="宋体" w:eastAsia="宋体" w:cs="宋体"/>
                <w:bCs/>
                <w:color w:val="auto"/>
                <w:szCs w:val="21"/>
                <w:highlight w:val="none"/>
                <w:lang w:eastAsia="zh-CN"/>
              </w:rPr>
              <w:t>。</w:t>
            </w:r>
          </w:p>
          <w:p w14:paraId="6C5A888B">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以进入比较与评价环节的最低的评审报价为基准价，基准价得分为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 xml:space="preserve">0 </w:t>
            </w:r>
            <w:r>
              <w:rPr>
                <w:rFonts w:hint="eastAsia" w:ascii="宋体" w:hAnsi="宋体" w:eastAsia="宋体" w:cs="宋体"/>
                <w:bCs/>
                <w:color w:val="auto"/>
                <w:szCs w:val="21"/>
                <w:highlight w:val="none"/>
              </w:rPr>
              <w:t>分。</w:t>
            </w:r>
          </w:p>
          <w:p w14:paraId="22C6879E">
            <w:pPr>
              <w:pStyle w:val="19"/>
              <w:keepNext w:val="0"/>
              <w:keepLines w:val="0"/>
              <w:pageBreakBefore w:val="0"/>
              <w:kinsoku/>
              <w:wordWrap/>
              <w:overflowPunct/>
              <w:topLinePunct w:val="0"/>
              <w:autoSpaceDE/>
              <w:autoSpaceDN/>
              <w:bidi w:val="0"/>
              <w:adjustRightInd/>
              <w:snapToGrid/>
              <w:spacing w:line="360" w:lineRule="auto"/>
              <w:ind w:right="0" w:rightChars="0"/>
              <w:textAlignment w:val="auto"/>
              <w:rPr>
                <w:rFonts w:hAnsi="宋体" w:cs="宋体"/>
                <w:bCs/>
                <w:color w:val="auto"/>
                <w:kern w:val="2"/>
                <w:sz w:val="21"/>
                <w:highlight w:val="none"/>
              </w:rPr>
            </w:pP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3</w:t>
            </w:r>
            <w:r>
              <w:rPr>
                <w:rFonts w:hint="eastAsia" w:hAnsi="宋体" w:cs="宋体"/>
                <w:bCs/>
                <w:color w:val="auto"/>
                <w:sz w:val="21"/>
                <w:highlight w:val="none"/>
                <w:lang w:eastAsia="zh-CN"/>
              </w:rPr>
              <w:t>）</w:t>
            </w:r>
            <w:r>
              <w:rPr>
                <w:rFonts w:hint="eastAsia" w:hAnsi="宋体" w:cs="宋体"/>
                <w:bCs/>
                <w:color w:val="auto"/>
                <w:sz w:val="21"/>
                <w:highlight w:val="none"/>
              </w:rPr>
              <w:t>价格分计算公式：</w:t>
            </w:r>
          </w:p>
          <w:p w14:paraId="63C39119">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报价得分=（基准价/最后报价）×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分</w:t>
            </w:r>
          </w:p>
        </w:tc>
        <w:tc>
          <w:tcPr>
            <w:tcW w:w="864" w:type="dxa"/>
            <w:tcBorders>
              <w:top w:val="single" w:color="auto" w:sz="4" w:space="0"/>
              <w:left w:val="nil"/>
              <w:bottom w:val="single" w:color="auto" w:sz="4" w:space="0"/>
              <w:right w:val="single" w:color="auto" w:sz="4" w:space="0"/>
            </w:tcBorders>
            <w:vAlign w:val="center"/>
          </w:tcPr>
          <w:p w14:paraId="7C69F71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0分</w:t>
            </w:r>
          </w:p>
        </w:tc>
      </w:tr>
      <w:tr w14:paraId="0119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F58841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091" w:type="dxa"/>
            <w:tcBorders>
              <w:top w:val="single" w:color="auto" w:sz="4" w:space="0"/>
              <w:left w:val="nil"/>
              <w:bottom w:val="single" w:color="auto" w:sz="4" w:space="0"/>
              <w:right w:val="single" w:color="auto" w:sz="4" w:space="0"/>
            </w:tcBorders>
            <w:vAlign w:val="center"/>
          </w:tcPr>
          <w:p w14:paraId="4F0C7D8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6746" w:type="dxa"/>
            <w:tcBorders>
              <w:top w:val="single" w:color="auto" w:sz="4" w:space="0"/>
              <w:left w:val="nil"/>
              <w:bottom w:val="single" w:color="auto" w:sz="4" w:space="0"/>
              <w:right w:val="single" w:color="auto" w:sz="4" w:space="0"/>
            </w:tcBorders>
            <w:vAlign w:val="center"/>
          </w:tcPr>
          <w:p w14:paraId="62050CD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12" w:firstLineChars="200"/>
              <w:jc w:val="center"/>
              <w:textAlignment w:val="auto"/>
              <w:rPr>
                <w:rFonts w:ascii="宋体" w:hAnsi="宋体" w:eastAsia="宋体" w:cs="宋体"/>
                <w:color w:val="auto"/>
                <w:szCs w:val="21"/>
                <w:highlight w:val="none"/>
              </w:rPr>
            </w:pPr>
            <w:r>
              <w:rPr>
                <w:rFonts w:hint="eastAsia" w:ascii="宋体" w:hAnsi="宋体" w:eastAsia="宋体" w:cs="宋体"/>
                <w:b/>
                <w:color w:val="auto"/>
                <w:kern w:val="0"/>
                <w:szCs w:val="21"/>
                <w:highlight w:val="none"/>
              </w:rPr>
              <w:t>评审因素</w:t>
            </w:r>
          </w:p>
        </w:tc>
        <w:tc>
          <w:tcPr>
            <w:tcW w:w="864" w:type="dxa"/>
            <w:tcBorders>
              <w:top w:val="single" w:color="auto" w:sz="4" w:space="0"/>
              <w:left w:val="nil"/>
              <w:bottom w:val="single" w:color="auto" w:sz="4" w:space="0"/>
              <w:right w:val="single" w:color="auto" w:sz="4" w:space="0"/>
            </w:tcBorders>
            <w:vAlign w:val="center"/>
          </w:tcPr>
          <w:p w14:paraId="1D8DDCE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38</w:t>
            </w:r>
            <w:r>
              <w:rPr>
                <w:rFonts w:hint="eastAsia" w:ascii="宋体" w:hAnsi="宋体" w:eastAsia="宋体" w:cs="宋体"/>
                <w:color w:val="auto"/>
                <w:kern w:val="0"/>
                <w:szCs w:val="21"/>
                <w:highlight w:val="none"/>
              </w:rPr>
              <w:t>分</w:t>
            </w:r>
          </w:p>
        </w:tc>
      </w:tr>
      <w:tr w14:paraId="71D0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858E69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091" w:type="dxa"/>
            <w:tcBorders>
              <w:top w:val="single" w:color="auto" w:sz="4" w:space="0"/>
              <w:left w:val="nil"/>
              <w:bottom w:val="single" w:color="auto" w:sz="4" w:space="0"/>
              <w:right w:val="single" w:color="auto" w:sz="4" w:space="0"/>
            </w:tcBorders>
            <w:vAlign w:val="center"/>
          </w:tcPr>
          <w:p w14:paraId="5427BD70">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主要施工方法</w:t>
            </w:r>
          </w:p>
        </w:tc>
        <w:tc>
          <w:tcPr>
            <w:tcW w:w="6746" w:type="dxa"/>
            <w:tcBorders>
              <w:top w:val="single" w:color="auto" w:sz="4" w:space="0"/>
              <w:left w:val="nil"/>
              <w:bottom w:val="single" w:color="auto" w:sz="4" w:space="0"/>
              <w:right w:val="single" w:color="auto" w:sz="4" w:space="0"/>
            </w:tcBorders>
            <w:vAlign w:val="center"/>
          </w:tcPr>
          <w:p w14:paraId="610CBA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四档（8分）：各主要分部施工方法符合项目实际、针对性强，施工技术方案详尽，工艺先进，对实施方法和步骤均有详细的说明，主要工序有针对性的重点和难点分析及解决重点和难点问题的方法及保证措施，有针对质量、进度、安全等提出的重点和难点分析且解决重点和难点问题的方法及保证措施且措施得力。</w:t>
            </w:r>
          </w:p>
          <w:p w14:paraId="1F19308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三档</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满足二档的基础上，</w:t>
            </w:r>
            <w:r>
              <w:rPr>
                <w:rFonts w:hint="eastAsia" w:ascii="宋体" w:hAnsi="宋体" w:eastAsia="宋体" w:cs="宋体"/>
                <w:bCs/>
                <w:color w:val="auto"/>
                <w:szCs w:val="21"/>
                <w:highlight w:val="none"/>
              </w:rPr>
              <w:t>各主要分部施工方法符合项目实际，具备项目的现场施工总平面划分，对实施方法和步骤</w:t>
            </w:r>
            <w:r>
              <w:rPr>
                <w:rFonts w:hint="eastAsia" w:ascii="宋体" w:hAnsi="宋体" w:eastAsia="宋体" w:cs="宋体"/>
                <w:bCs/>
                <w:color w:val="auto"/>
                <w:szCs w:val="21"/>
                <w:highlight w:val="none"/>
                <w:lang w:eastAsia="zh-CN"/>
              </w:rPr>
              <w:t>有</w:t>
            </w:r>
            <w:r>
              <w:rPr>
                <w:rFonts w:hint="eastAsia" w:ascii="宋体" w:hAnsi="宋体" w:eastAsia="宋体" w:cs="宋体"/>
                <w:bCs/>
                <w:color w:val="auto"/>
                <w:szCs w:val="21"/>
                <w:highlight w:val="none"/>
              </w:rPr>
              <w:t>说明</w:t>
            </w:r>
            <w:r>
              <w:rPr>
                <w:rFonts w:hint="eastAsia" w:ascii="宋体" w:hAnsi="宋体" w:eastAsia="宋体" w:cs="宋体"/>
                <w:bCs/>
                <w:color w:val="auto"/>
                <w:szCs w:val="21"/>
                <w:highlight w:val="none"/>
                <w:lang w:eastAsia="zh-CN"/>
              </w:rPr>
              <w:t>，提供了详细的</w:t>
            </w:r>
            <w:r>
              <w:rPr>
                <w:rFonts w:hint="eastAsia" w:ascii="宋体" w:hAnsi="宋体" w:eastAsia="宋体" w:cs="宋体"/>
                <w:bCs/>
                <w:color w:val="auto"/>
                <w:szCs w:val="21"/>
                <w:highlight w:val="none"/>
              </w:rPr>
              <w:t>主要工序</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rPr>
              <w:t>重点和难点</w:t>
            </w:r>
            <w:r>
              <w:rPr>
                <w:rFonts w:hint="eastAsia" w:ascii="宋体" w:hAnsi="宋体" w:eastAsia="宋体" w:cs="宋体"/>
                <w:bCs/>
                <w:color w:val="auto"/>
                <w:szCs w:val="21"/>
                <w:highlight w:val="none"/>
                <w:lang w:eastAsia="zh-CN"/>
              </w:rPr>
              <w:t>分析</w:t>
            </w:r>
            <w:r>
              <w:rPr>
                <w:rFonts w:hint="eastAsia" w:ascii="宋体" w:hAnsi="宋体" w:eastAsia="宋体" w:cs="宋体"/>
                <w:bCs/>
                <w:color w:val="auto"/>
                <w:szCs w:val="21"/>
                <w:highlight w:val="none"/>
              </w:rPr>
              <w:t>及解决重点和难点问题的方法</w:t>
            </w:r>
            <w:r>
              <w:rPr>
                <w:rFonts w:hint="eastAsia" w:ascii="宋体" w:hAnsi="宋体" w:eastAsia="宋体" w:cs="宋体"/>
                <w:bCs/>
                <w:color w:val="auto"/>
                <w:szCs w:val="21"/>
                <w:highlight w:val="none"/>
                <w:lang w:eastAsia="zh-CN"/>
              </w:rPr>
              <w:t>及</w:t>
            </w:r>
            <w:r>
              <w:rPr>
                <w:rFonts w:hint="eastAsia" w:ascii="宋体" w:hAnsi="宋体" w:eastAsia="宋体" w:cs="宋体"/>
                <w:bCs/>
                <w:color w:val="auto"/>
                <w:szCs w:val="21"/>
                <w:highlight w:val="none"/>
              </w:rPr>
              <w:t>保证措施。</w:t>
            </w:r>
          </w:p>
          <w:p w14:paraId="55B0925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二档</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满足一档的基础上，</w:t>
            </w:r>
            <w:r>
              <w:rPr>
                <w:rFonts w:hint="eastAsia" w:ascii="宋体" w:hAnsi="宋体" w:eastAsia="宋体" w:cs="宋体"/>
                <w:bCs/>
                <w:color w:val="auto"/>
                <w:szCs w:val="21"/>
                <w:highlight w:val="none"/>
              </w:rPr>
              <w:t>各主要分部施工方法简单，施工技术方案齐全，施工段划分呼应总体表述，划分清晰</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能指导具体施工并确保安全</w:t>
            </w:r>
            <w:r>
              <w:rPr>
                <w:rFonts w:hint="eastAsia" w:ascii="宋体" w:hAnsi="宋体" w:eastAsia="宋体" w:cs="宋体"/>
                <w:bCs/>
                <w:color w:val="auto"/>
                <w:szCs w:val="21"/>
                <w:highlight w:val="none"/>
                <w:lang w:eastAsia="zh-CN"/>
              </w:rPr>
              <w:t>，有</w:t>
            </w:r>
            <w:r>
              <w:rPr>
                <w:rFonts w:hint="eastAsia" w:ascii="宋体" w:hAnsi="宋体" w:eastAsia="宋体" w:cs="宋体"/>
                <w:bCs/>
                <w:color w:val="auto"/>
                <w:szCs w:val="21"/>
                <w:highlight w:val="none"/>
              </w:rPr>
              <w:t>重点和难点</w:t>
            </w:r>
            <w:r>
              <w:rPr>
                <w:rFonts w:hint="eastAsia" w:ascii="宋体" w:hAnsi="宋体" w:eastAsia="宋体" w:cs="宋体"/>
                <w:bCs/>
                <w:color w:val="auto"/>
                <w:szCs w:val="21"/>
                <w:highlight w:val="none"/>
                <w:lang w:eastAsia="zh-CN"/>
              </w:rPr>
              <w:t>分析</w:t>
            </w:r>
            <w:r>
              <w:rPr>
                <w:rFonts w:hint="eastAsia" w:ascii="宋体" w:hAnsi="宋体" w:eastAsia="宋体" w:cs="宋体"/>
                <w:bCs/>
                <w:color w:val="auto"/>
                <w:szCs w:val="21"/>
                <w:highlight w:val="none"/>
              </w:rPr>
              <w:t>及解决重点和难点问题的方法。</w:t>
            </w:r>
          </w:p>
          <w:p w14:paraId="24A07B6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一档</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分）：各主要分部施工方法</w:t>
            </w:r>
            <w:r>
              <w:rPr>
                <w:rFonts w:hint="eastAsia" w:ascii="宋体" w:hAnsi="宋体" w:eastAsia="宋体" w:cs="宋体"/>
                <w:bCs/>
                <w:color w:val="auto"/>
                <w:szCs w:val="21"/>
                <w:highlight w:val="none"/>
                <w:lang w:eastAsia="zh-CN"/>
              </w:rPr>
              <w:t>简单</w:t>
            </w:r>
            <w:r>
              <w:rPr>
                <w:rFonts w:hint="eastAsia" w:ascii="宋体" w:hAnsi="宋体" w:eastAsia="宋体" w:cs="宋体"/>
                <w:bCs/>
                <w:color w:val="auto"/>
                <w:szCs w:val="21"/>
                <w:highlight w:val="none"/>
              </w:rPr>
              <w:t>，工艺落后，</w:t>
            </w:r>
            <w:r>
              <w:rPr>
                <w:rFonts w:hint="eastAsia" w:ascii="宋体" w:hAnsi="宋体" w:eastAsia="宋体" w:cs="宋体"/>
                <w:bCs/>
                <w:color w:val="auto"/>
                <w:szCs w:val="21"/>
                <w:highlight w:val="none"/>
                <w:lang w:eastAsia="zh-CN"/>
              </w:rPr>
              <w:t>不能</w:t>
            </w:r>
            <w:r>
              <w:rPr>
                <w:rFonts w:hint="eastAsia" w:ascii="宋体" w:hAnsi="宋体" w:eastAsia="宋体" w:cs="宋体"/>
                <w:bCs/>
                <w:color w:val="auto"/>
                <w:szCs w:val="21"/>
                <w:highlight w:val="none"/>
              </w:rPr>
              <w:t>指导具体施工和确保安全。</w:t>
            </w:r>
          </w:p>
          <w:p w14:paraId="1014D78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1344AD3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r>
      <w:tr w14:paraId="0CE8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282217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091" w:type="dxa"/>
            <w:tcBorders>
              <w:top w:val="single" w:color="auto" w:sz="4" w:space="0"/>
              <w:left w:val="nil"/>
              <w:bottom w:val="single" w:color="auto" w:sz="4" w:space="0"/>
              <w:right w:val="single" w:color="auto" w:sz="4" w:space="0"/>
            </w:tcBorders>
            <w:vAlign w:val="center"/>
          </w:tcPr>
          <w:p w14:paraId="6B402628">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spacing w:val="-11"/>
                <w:w w:val="96"/>
                <w:szCs w:val="21"/>
                <w:highlight w:val="none"/>
              </w:rPr>
            </w:pPr>
            <w:r>
              <w:rPr>
                <w:rFonts w:hint="eastAsia" w:ascii="宋体" w:hAnsi="宋体" w:eastAsia="宋体" w:cs="宋体"/>
                <w:b w:val="0"/>
                <w:bCs/>
                <w:color w:val="auto"/>
                <w:kern w:val="0"/>
                <w:szCs w:val="21"/>
                <w:highlight w:val="none"/>
              </w:rPr>
              <w:t>拟投入的主要物资计划</w:t>
            </w:r>
          </w:p>
        </w:tc>
        <w:tc>
          <w:tcPr>
            <w:tcW w:w="6746" w:type="dxa"/>
            <w:tcBorders>
              <w:top w:val="single" w:color="auto" w:sz="4" w:space="0"/>
              <w:left w:val="nil"/>
              <w:bottom w:val="single" w:color="auto" w:sz="4" w:space="0"/>
              <w:right w:val="single" w:color="auto" w:sz="4" w:space="0"/>
            </w:tcBorders>
            <w:vAlign w:val="center"/>
          </w:tcPr>
          <w:p w14:paraId="63D5A57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四档（</w:t>
            </w:r>
            <w:r>
              <w:rPr>
                <w:rFonts w:hint="eastAsia" w:ascii="宋体" w:hAnsi="宋体" w:eastAsia="宋体" w:cs="宋体"/>
                <w:bCs/>
                <w:color w:val="auto"/>
                <w:szCs w:val="21"/>
                <w:highlight w:val="none"/>
                <w:lang w:val="en-US" w:eastAsia="zh-CN"/>
              </w:rPr>
              <w:t>6分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eastAsia="zh-CN"/>
              </w:rPr>
              <w:t>三</w:t>
            </w:r>
            <w:r>
              <w:rPr>
                <w:rFonts w:hint="eastAsia" w:ascii="宋体" w:hAnsi="宋体" w:eastAsia="宋体" w:cs="宋体"/>
                <w:bCs/>
                <w:color w:val="auto"/>
                <w:szCs w:val="21"/>
                <w:highlight w:val="none"/>
              </w:rPr>
              <w:t>档的基础上，</w:t>
            </w:r>
            <w:r>
              <w:rPr>
                <w:rFonts w:hint="eastAsia" w:ascii="宋体" w:hAnsi="宋体" w:eastAsia="宋体" w:cs="宋体"/>
                <w:bCs/>
                <w:color w:val="auto"/>
                <w:szCs w:val="21"/>
                <w:highlight w:val="none"/>
                <w:lang w:eastAsia="zh-CN"/>
              </w:rPr>
              <w:t>材料</w:t>
            </w:r>
            <w:r>
              <w:rPr>
                <w:rFonts w:hint="eastAsia" w:ascii="宋体" w:hAnsi="宋体" w:eastAsia="宋体" w:cs="宋体"/>
                <w:bCs/>
                <w:color w:val="auto"/>
                <w:szCs w:val="21"/>
                <w:highlight w:val="none"/>
              </w:rPr>
              <w:t>数量、选型配置、进场时间安排</w:t>
            </w:r>
            <w:r>
              <w:rPr>
                <w:rFonts w:hint="eastAsia" w:ascii="宋体" w:hAnsi="宋体" w:eastAsia="宋体" w:cs="宋体"/>
                <w:bCs/>
                <w:color w:val="auto"/>
                <w:szCs w:val="21"/>
                <w:highlight w:val="none"/>
                <w:lang w:eastAsia="zh-CN"/>
              </w:rPr>
              <w:t>有针对性，</w:t>
            </w:r>
            <w:r>
              <w:rPr>
                <w:rFonts w:hint="eastAsia" w:ascii="宋体" w:hAnsi="宋体" w:eastAsia="宋体" w:cs="宋体"/>
                <w:bCs/>
                <w:color w:val="auto"/>
                <w:szCs w:val="21"/>
                <w:highlight w:val="none"/>
              </w:rPr>
              <w:t>能提供有效的材料存储与管理以及确保劳动力充足的措施，能做到劳动力和材料投入计划相呼应且计划合理、准确。</w:t>
            </w:r>
          </w:p>
          <w:p w14:paraId="190C056A">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分)：满足二档的基础上，材料进场计划</w:t>
            </w:r>
            <w:r>
              <w:rPr>
                <w:rFonts w:hint="eastAsia" w:ascii="宋体" w:hAnsi="宋体" w:eastAsia="宋体" w:cs="宋体"/>
                <w:bCs/>
                <w:color w:val="auto"/>
                <w:szCs w:val="21"/>
                <w:highlight w:val="none"/>
                <w:lang w:eastAsia="zh-CN"/>
              </w:rPr>
              <w:t>与进度计划呼应</w:t>
            </w:r>
            <w:r>
              <w:rPr>
                <w:rFonts w:hint="eastAsia" w:ascii="宋体" w:hAnsi="宋体" w:eastAsia="宋体" w:cs="宋体"/>
                <w:bCs/>
                <w:color w:val="auto"/>
                <w:szCs w:val="21"/>
                <w:highlight w:val="none"/>
              </w:rPr>
              <w:t xml:space="preserve">、劳动力用量计划及管理措施、劳动力管理、提高劳动生产率的的措施，满足施工需要。 </w:t>
            </w:r>
          </w:p>
          <w:p w14:paraId="5E115B49">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 xml:space="preserve">分)：满足一档的基础上，能提供材料进场计划、劳动力用量计划及管理措施，满足施工需要。 </w:t>
            </w:r>
          </w:p>
          <w:p w14:paraId="7DDB2D5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分)：有劳动力和材料投入计划，计划</w:t>
            </w:r>
            <w:r>
              <w:rPr>
                <w:rFonts w:hint="eastAsia" w:ascii="宋体" w:hAnsi="宋体" w:eastAsia="宋体" w:cs="宋体"/>
                <w:bCs/>
                <w:color w:val="auto"/>
                <w:szCs w:val="21"/>
                <w:highlight w:val="none"/>
                <w:lang w:eastAsia="zh-CN"/>
              </w:rPr>
              <w:t>简单，内容不够完善</w:t>
            </w:r>
            <w:r>
              <w:rPr>
                <w:rFonts w:hint="eastAsia" w:ascii="宋体" w:hAnsi="宋体" w:eastAsia="宋体" w:cs="宋体"/>
                <w:bCs/>
                <w:color w:val="auto"/>
                <w:szCs w:val="21"/>
                <w:highlight w:val="none"/>
              </w:rPr>
              <w:t>。</w:t>
            </w:r>
          </w:p>
          <w:p w14:paraId="6C40320C">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265108F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1D3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BD9EEE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w:t>
            </w:r>
          </w:p>
        </w:tc>
        <w:tc>
          <w:tcPr>
            <w:tcW w:w="1091" w:type="dxa"/>
            <w:tcBorders>
              <w:top w:val="single" w:color="auto" w:sz="4" w:space="0"/>
              <w:left w:val="nil"/>
              <w:bottom w:val="single" w:color="auto" w:sz="4" w:space="0"/>
              <w:right w:val="single" w:color="auto" w:sz="4" w:space="0"/>
            </w:tcBorders>
            <w:vAlign w:val="center"/>
          </w:tcPr>
          <w:p w14:paraId="13CA08E2">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确保工程质量的技术组织措施</w:t>
            </w:r>
          </w:p>
        </w:tc>
        <w:tc>
          <w:tcPr>
            <w:tcW w:w="6746" w:type="dxa"/>
            <w:tcBorders>
              <w:top w:val="single" w:color="auto" w:sz="4" w:space="0"/>
              <w:left w:val="nil"/>
              <w:bottom w:val="single" w:color="auto" w:sz="4" w:space="0"/>
              <w:right w:val="single" w:color="auto" w:sz="4" w:space="0"/>
            </w:tcBorders>
            <w:vAlign w:val="center"/>
          </w:tcPr>
          <w:p w14:paraId="7DC68AB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四档（</w:t>
            </w:r>
            <w:r>
              <w:rPr>
                <w:rFonts w:hint="eastAsia" w:ascii="宋体" w:hAnsi="宋体" w:eastAsia="宋体" w:cs="宋体"/>
                <w:bCs/>
                <w:color w:val="auto"/>
                <w:szCs w:val="21"/>
                <w:highlight w:val="none"/>
                <w:lang w:val="en-US" w:eastAsia="zh-CN"/>
              </w:rPr>
              <w:t>6分</w:t>
            </w:r>
            <w:r>
              <w:rPr>
                <w:rFonts w:hint="eastAsia" w:ascii="宋体" w:hAnsi="宋体" w:eastAsia="宋体" w:cs="宋体"/>
                <w:bCs/>
                <w:color w:val="auto"/>
                <w:szCs w:val="21"/>
                <w:highlight w:val="none"/>
                <w:lang w:eastAsia="zh-CN"/>
              </w:rPr>
              <w:t>）：满足三档的基础上，</w:t>
            </w:r>
            <w:r>
              <w:rPr>
                <w:rFonts w:hint="eastAsia" w:ascii="宋体" w:hAnsi="宋体" w:eastAsia="宋体" w:cs="宋体"/>
                <w:bCs/>
                <w:color w:val="auto"/>
                <w:szCs w:val="21"/>
                <w:highlight w:val="none"/>
              </w:rPr>
              <w:t>主要工序有</w:t>
            </w:r>
            <w:r>
              <w:rPr>
                <w:rFonts w:hint="eastAsia" w:ascii="宋体" w:hAnsi="宋体" w:eastAsia="宋体" w:cs="宋体"/>
                <w:bCs/>
                <w:color w:val="auto"/>
                <w:szCs w:val="21"/>
                <w:highlight w:val="none"/>
                <w:lang w:eastAsia="zh-CN"/>
              </w:rPr>
              <w:t>针对性的</w:t>
            </w:r>
            <w:r>
              <w:rPr>
                <w:rFonts w:hint="eastAsia" w:ascii="宋体" w:hAnsi="宋体" w:eastAsia="宋体" w:cs="宋体"/>
                <w:bCs/>
                <w:color w:val="auto"/>
                <w:szCs w:val="21"/>
                <w:highlight w:val="none"/>
              </w:rPr>
              <w:t>质量技术保证措施和手段</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有针对质量通病提出的防治措施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提供工程施工质量保证承诺书。</w:t>
            </w:r>
          </w:p>
          <w:p w14:paraId="3D275A3A">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分)：满足二档的基础上，有专门的质量技术管理班子和制度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主要工序有质量技术保证措施</w:t>
            </w:r>
            <w:r>
              <w:rPr>
                <w:rFonts w:hint="eastAsia" w:ascii="宋体" w:hAnsi="宋体" w:eastAsia="宋体" w:cs="宋体"/>
                <w:bCs/>
                <w:color w:val="auto"/>
                <w:szCs w:val="21"/>
                <w:highlight w:val="none"/>
                <w:lang w:eastAsia="zh-CN"/>
              </w:rPr>
              <w:t>和手段可行。</w:t>
            </w:r>
          </w:p>
          <w:p w14:paraId="019916D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分)：满足一档的基础上，</w:t>
            </w:r>
            <w:r>
              <w:rPr>
                <w:rFonts w:hint="eastAsia" w:ascii="宋体" w:hAnsi="宋体" w:eastAsia="宋体" w:cs="宋体"/>
                <w:bCs/>
                <w:color w:val="auto"/>
                <w:szCs w:val="21"/>
                <w:highlight w:val="none"/>
                <w:lang w:eastAsia="zh-CN"/>
              </w:rPr>
              <w:t>有</w:t>
            </w:r>
            <w:r>
              <w:rPr>
                <w:rFonts w:hint="eastAsia" w:ascii="宋体" w:hAnsi="宋体" w:eastAsia="宋体" w:cs="宋体"/>
                <w:bCs/>
                <w:color w:val="auto"/>
                <w:szCs w:val="21"/>
                <w:highlight w:val="none"/>
              </w:rPr>
              <w:t>质量技术管理班子人员</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有明确的质量目标并制定切实可行的质量管理制度，能确保施工的质量得到有效控制</w:t>
            </w:r>
          </w:p>
          <w:p w14:paraId="650B494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分)：质量技术保证措施和手段</w:t>
            </w:r>
            <w:r>
              <w:rPr>
                <w:rFonts w:hint="eastAsia" w:ascii="宋体" w:hAnsi="宋体" w:eastAsia="宋体" w:cs="宋体"/>
                <w:bCs/>
                <w:color w:val="auto"/>
                <w:szCs w:val="21"/>
                <w:highlight w:val="none"/>
                <w:lang w:eastAsia="zh-CN"/>
              </w:rPr>
              <w:t>简单</w:t>
            </w:r>
            <w:r>
              <w:rPr>
                <w:rFonts w:hint="eastAsia" w:ascii="宋体" w:hAnsi="宋体" w:eastAsia="宋体" w:cs="宋体"/>
                <w:bCs/>
                <w:color w:val="auto"/>
                <w:szCs w:val="21"/>
                <w:highlight w:val="none"/>
              </w:rPr>
              <w:t>，不提供工程施工质量保证承诺书。</w:t>
            </w:r>
          </w:p>
          <w:p w14:paraId="35B3FA75">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5DE49237">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36E1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38DCBA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2.4</w:t>
            </w:r>
          </w:p>
        </w:tc>
        <w:tc>
          <w:tcPr>
            <w:tcW w:w="1091" w:type="dxa"/>
            <w:tcBorders>
              <w:top w:val="single" w:color="auto" w:sz="4" w:space="0"/>
              <w:left w:val="nil"/>
              <w:bottom w:val="single" w:color="auto" w:sz="4" w:space="0"/>
              <w:right w:val="single" w:color="auto" w:sz="4" w:space="0"/>
            </w:tcBorders>
            <w:vAlign w:val="center"/>
          </w:tcPr>
          <w:p w14:paraId="1B114FBA">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确保安全生产的技术组织措施</w:t>
            </w:r>
          </w:p>
        </w:tc>
        <w:tc>
          <w:tcPr>
            <w:tcW w:w="6746" w:type="dxa"/>
            <w:tcBorders>
              <w:top w:val="single" w:color="auto" w:sz="4" w:space="0"/>
              <w:left w:val="nil"/>
              <w:bottom w:val="single" w:color="auto" w:sz="4" w:space="0"/>
              <w:right w:val="single" w:color="auto" w:sz="4" w:space="0"/>
            </w:tcBorders>
            <w:vAlign w:val="center"/>
          </w:tcPr>
          <w:p w14:paraId="79E9CAA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四</w:t>
            </w:r>
            <w:r>
              <w:rPr>
                <w:rFonts w:hint="eastAsia" w:ascii="宋体" w:hAnsi="宋体" w:eastAsia="宋体" w:cs="宋体"/>
                <w:bCs/>
                <w:color w:val="auto"/>
                <w:szCs w:val="21"/>
                <w:highlight w:val="none"/>
              </w:rPr>
              <w:t>档（</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满足三档的基础上，</w:t>
            </w:r>
            <w:r>
              <w:rPr>
                <w:rFonts w:hint="eastAsia" w:ascii="宋体" w:hAnsi="宋体" w:eastAsia="宋体" w:cs="宋体"/>
                <w:bCs/>
                <w:color w:val="auto"/>
                <w:szCs w:val="21"/>
                <w:highlight w:val="none"/>
              </w:rPr>
              <w:t>有专门的安全管理人员和制度，且人员配备</w:t>
            </w:r>
            <w:r>
              <w:rPr>
                <w:rFonts w:hint="eastAsia" w:ascii="宋体" w:hAnsi="宋体" w:eastAsia="宋体" w:cs="宋体"/>
                <w:bCs/>
                <w:color w:val="auto"/>
                <w:szCs w:val="21"/>
                <w:highlight w:val="none"/>
                <w:lang w:eastAsia="zh-CN"/>
              </w:rPr>
              <w:t>有针对性</w:t>
            </w:r>
            <w:r>
              <w:rPr>
                <w:rFonts w:hint="eastAsia" w:ascii="宋体" w:hAnsi="宋体" w:eastAsia="宋体" w:cs="宋体"/>
                <w:bCs/>
                <w:color w:val="auto"/>
                <w:szCs w:val="21"/>
                <w:highlight w:val="none"/>
              </w:rPr>
              <w:t>，有健全的安全管理制度，各道工序安全技术措施针对性强，确保工程质量的技术组织措施符合实际且满足有关安全技术标准要求。有现场防火、应急救援、社会治安安全等措施</w:t>
            </w:r>
            <w:r>
              <w:rPr>
                <w:rFonts w:hint="eastAsia" w:ascii="宋体" w:hAnsi="宋体" w:eastAsia="宋体" w:cs="宋体"/>
                <w:bCs/>
                <w:color w:val="auto"/>
                <w:szCs w:val="21"/>
                <w:highlight w:val="none"/>
                <w:lang w:eastAsia="zh-CN"/>
              </w:rPr>
              <w:t>且措施得力</w:t>
            </w:r>
            <w:r>
              <w:rPr>
                <w:rFonts w:hint="eastAsia" w:ascii="宋体" w:hAnsi="宋体" w:eastAsia="宋体" w:cs="宋体"/>
                <w:bCs/>
                <w:color w:val="auto"/>
                <w:szCs w:val="21"/>
                <w:highlight w:val="none"/>
              </w:rPr>
              <w:t>。</w:t>
            </w:r>
          </w:p>
          <w:p w14:paraId="410533F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三档（</w:t>
            </w:r>
            <w:r>
              <w:rPr>
                <w:rFonts w:hint="eastAsia" w:ascii="宋体" w:hAnsi="宋体" w:eastAsia="宋体" w:cs="宋体"/>
                <w:bCs/>
                <w:color w:val="auto"/>
                <w:szCs w:val="21"/>
                <w:highlight w:val="none"/>
                <w:lang w:val="en-US" w:eastAsia="zh-CN"/>
              </w:rPr>
              <w:t>5分</w:t>
            </w:r>
            <w:r>
              <w:rPr>
                <w:rFonts w:hint="eastAsia" w:ascii="宋体" w:hAnsi="宋体" w:eastAsia="宋体" w:cs="宋体"/>
                <w:bCs/>
                <w:color w:val="auto"/>
                <w:szCs w:val="21"/>
                <w:highlight w:val="none"/>
                <w:lang w:eastAsia="zh-CN"/>
              </w:rPr>
              <w:t>）：满足二档的基础上，</w:t>
            </w:r>
            <w:r>
              <w:rPr>
                <w:rFonts w:hint="eastAsia" w:ascii="宋体" w:hAnsi="宋体" w:eastAsia="宋体" w:cs="宋体"/>
                <w:bCs/>
                <w:color w:val="auto"/>
                <w:szCs w:val="21"/>
                <w:highlight w:val="none"/>
              </w:rPr>
              <w:t>有专门的安全管理人员和制度，制度健全，各道工序安全技术措施</w:t>
            </w:r>
            <w:r>
              <w:rPr>
                <w:rFonts w:hint="eastAsia" w:ascii="宋体" w:hAnsi="宋体" w:eastAsia="宋体" w:cs="宋体"/>
                <w:bCs/>
                <w:color w:val="auto"/>
                <w:szCs w:val="21"/>
                <w:highlight w:val="none"/>
                <w:lang w:eastAsia="zh-CN"/>
              </w:rPr>
              <w:t>符合实际</w:t>
            </w:r>
            <w:r>
              <w:rPr>
                <w:rFonts w:hint="eastAsia" w:ascii="宋体" w:hAnsi="宋体" w:eastAsia="宋体" w:cs="宋体"/>
                <w:bCs/>
                <w:color w:val="auto"/>
                <w:szCs w:val="21"/>
                <w:highlight w:val="none"/>
              </w:rPr>
              <w:t>，确保工程质量的技术组织措施符合实际且满足有关安全技术标准要求。</w:t>
            </w:r>
          </w:p>
          <w:p w14:paraId="095CD05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满足一档的基础上，</w:t>
            </w:r>
            <w:r>
              <w:rPr>
                <w:rFonts w:hint="eastAsia" w:ascii="宋体" w:hAnsi="宋体" w:eastAsia="宋体" w:cs="宋体"/>
                <w:bCs/>
                <w:color w:val="auto"/>
                <w:szCs w:val="21"/>
                <w:highlight w:val="none"/>
              </w:rPr>
              <w:t>有配备满足项目要求的安全管理人员</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制度健全，各道工序安全技术措施简单</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满足有关安全技术标准要求。</w:t>
            </w:r>
          </w:p>
          <w:p w14:paraId="768B4FD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分）：有安全管理人员和制度，且人员配备基本合理，</w:t>
            </w:r>
            <w:r>
              <w:rPr>
                <w:rFonts w:hint="eastAsia" w:ascii="宋体" w:hAnsi="宋体" w:eastAsia="宋体" w:cs="宋体"/>
                <w:bCs/>
                <w:color w:val="auto"/>
                <w:szCs w:val="21"/>
                <w:highlight w:val="none"/>
                <w:lang w:eastAsia="zh-CN"/>
              </w:rPr>
              <w:t>提供了简单的</w:t>
            </w:r>
            <w:r>
              <w:rPr>
                <w:rFonts w:hint="eastAsia" w:ascii="宋体" w:hAnsi="宋体" w:eastAsia="宋体" w:cs="宋体"/>
                <w:bCs/>
                <w:color w:val="auto"/>
                <w:szCs w:val="21"/>
                <w:highlight w:val="none"/>
              </w:rPr>
              <w:t>现场防火、应急救援、社会治安安全措施。</w:t>
            </w:r>
          </w:p>
          <w:p w14:paraId="33339B8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4A837DCD">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274C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BBD585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w:t>
            </w:r>
          </w:p>
        </w:tc>
        <w:tc>
          <w:tcPr>
            <w:tcW w:w="1091" w:type="dxa"/>
            <w:tcBorders>
              <w:top w:val="single" w:color="auto" w:sz="4" w:space="0"/>
              <w:left w:val="nil"/>
              <w:bottom w:val="single" w:color="auto" w:sz="4" w:space="0"/>
              <w:right w:val="single" w:color="auto" w:sz="4" w:space="0"/>
            </w:tcBorders>
            <w:vAlign w:val="center"/>
          </w:tcPr>
          <w:p w14:paraId="7C007CC9">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spacing w:val="-11"/>
                <w:szCs w:val="21"/>
                <w:highlight w:val="none"/>
              </w:rPr>
            </w:pPr>
            <w:r>
              <w:rPr>
                <w:rFonts w:hint="eastAsia" w:ascii="宋体" w:hAnsi="宋体" w:eastAsia="宋体" w:cs="宋体"/>
                <w:b w:val="0"/>
                <w:bCs/>
                <w:color w:val="auto"/>
                <w:kern w:val="0"/>
                <w:szCs w:val="21"/>
                <w:highlight w:val="none"/>
              </w:rPr>
              <w:t>确保工期的技术组织措施</w:t>
            </w:r>
          </w:p>
        </w:tc>
        <w:tc>
          <w:tcPr>
            <w:tcW w:w="6746" w:type="dxa"/>
            <w:tcBorders>
              <w:top w:val="single" w:color="auto" w:sz="4" w:space="0"/>
              <w:left w:val="nil"/>
              <w:bottom w:val="single" w:color="auto" w:sz="4" w:space="0"/>
              <w:right w:val="single" w:color="auto" w:sz="4" w:space="0"/>
            </w:tcBorders>
            <w:vAlign w:val="center"/>
          </w:tcPr>
          <w:p w14:paraId="0E71CD3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 w:val="0"/>
                <w:bCs/>
                <w:color w:val="auto"/>
                <w:kern w:val="2"/>
                <w:sz w:val="21"/>
                <w:szCs w:val="21"/>
                <w:highlight w:val="none"/>
                <w:lang w:eastAsia="zh-CN"/>
              </w:rPr>
              <w:t>四档（</w:t>
            </w:r>
            <w:r>
              <w:rPr>
                <w:rFonts w:hint="eastAsia" w:ascii="宋体" w:hAnsi="宋体" w:eastAsia="宋体" w:cs="宋体"/>
                <w:b w:val="0"/>
                <w:bCs/>
                <w:color w:val="auto"/>
                <w:kern w:val="2"/>
                <w:sz w:val="21"/>
                <w:szCs w:val="21"/>
                <w:highlight w:val="none"/>
                <w:lang w:val="en-US" w:eastAsia="zh-CN"/>
              </w:rPr>
              <w:t>6分</w:t>
            </w: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eastAsia="zh-CN"/>
              </w:rPr>
              <w:t>三</w:t>
            </w:r>
            <w:r>
              <w:rPr>
                <w:rFonts w:hint="eastAsia" w:ascii="宋体" w:hAnsi="宋体" w:eastAsia="宋体" w:cs="宋体"/>
                <w:bCs/>
                <w:color w:val="auto"/>
                <w:szCs w:val="21"/>
                <w:highlight w:val="none"/>
              </w:rPr>
              <w:t>档的基础上，在施工工艺、施工方法、材料选用、劳动力安排、技术等方面有保证工期的具体措施且措施得力</w:t>
            </w:r>
            <w:r>
              <w:rPr>
                <w:rFonts w:hint="eastAsia" w:ascii="宋体" w:hAnsi="宋体" w:eastAsia="宋体" w:cs="宋体"/>
                <w:bCs/>
                <w:color w:val="auto"/>
                <w:kern w:val="2"/>
                <w:szCs w:val="21"/>
                <w:highlight w:val="none"/>
                <w:lang w:eastAsia="zh-CN"/>
              </w:rPr>
              <w:t>，</w:t>
            </w:r>
            <w:r>
              <w:rPr>
                <w:rFonts w:hint="eastAsia" w:ascii="宋体" w:hAnsi="宋体" w:eastAsia="宋体" w:cs="宋体"/>
                <w:bCs/>
                <w:color w:val="auto"/>
                <w:szCs w:val="21"/>
                <w:highlight w:val="none"/>
                <w:lang w:eastAsia="zh-CN"/>
              </w:rPr>
              <w:t>有风险防范措施，</w:t>
            </w:r>
            <w:r>
              <w:rPr>
                <w:rFonts w:hint="eastAsia" w:ascii="宋体" w:hAnsi="宋体" w:eastAsia="宋体" w:cs="宋体"/>
                <w:bCs/>
                <w:color w:val="auto"/>
                <w:szCs w:val="21"/>
                <w:highlight w:val="none"/>
              </w:rPr>
              <w:t>提供特殊季节工期保障措施，并作出进度违约责任承诺</w:t>
            </w:r>
            <w:r>
              <w:rPr>
                <w:rFonts w:hint="eastAsia" w:ascii="宋体" w:hAnsi="宋体" w:eastAsia="宋体" w:cs="宋体"/>
                <w:bCs/>
                <w:color w:val="auto"/>
                <w:szCs w:val="21"/>
                <w:highlight w:val="none"/>
                <w:lang w:eastAsia="zh-CN"/>
              </w:rPr>
              <w:t>。</w:t>
            </w:r>
          </w:p>
          <w:p w14:paraId="469F03D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分)：满足二档的基础上，</w:t>
            </w:r>
            <w:r>
              <w:rPr>
                <w:rFonts w:hint="eastAsia" w:ascii="宋体" w:hAnsi="宋体" w:eastAsia="宋体" w:cs="宋体"/>
                <w:bCs/>
                <w:color w:val="auto"/>
                <w:szCs w:val="21"/>
                <w:highlight w:val="none"/>
                <w:lang w:eastAsia="zh-CN"/>
              </w:rPr>
              <w:t>提供了</w:t>
            </w:r>
            <w:r>
              <w:rPr>
                <w:rFonts w:hint="eastAsia" w:ascii="宋体" w:hAnsi="宋体" w:eastAsia="宋体" w:cs="宋体"/>
                <w:bCs/>
                <w:color w:val="auto"/>
                <w:szCs w:val="21"/>
                <w:highlight w:val="none"/>
              </w:rPr>
              <w:t>在施工工艺、施工方法、材料选用、劳动力安排、技术等方面有保证工期</w:t>
            </w:r>
            <w:r>
              <w:rPr>
                <w:rFonts w:hint="eastAsia" w:ascii="宋体" w:hAnsi="宋体" w:eastAsia="宋体" w:cs="宋体"/>
                <w:bCs/>
                <w:color w:val="auto"/>
                <w:szCs w:val="21"/>
                <w:highlight w:val="none"/>
                <w:lang w:eastAsia="zh-CN"/>
              </w:rPr>
              <w:t>的措施，</w:t>
            </w:r>
            <w:r>
              <w:rPr>
                <w:rFonts w:hint="eastAsia" w:ascii="宋体" w:hAnsi="宋体" w:eastAsia="宋体" w:cs="宋体"/>
                <w:bCs/>
                <w:color w:val="auto"/>
                <w:szCs w:val="21"/>
                <w:highlight w:val="none"/>
              </w:rPr>
              <w:t>提供可行的各施工阶段工期合理性分析及保证措施。</w:t>
            </w:r>
          </w:p>
          <w:p w14:paraId="1A4DF4A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分)：满足一档的基础上，有</w:t>
            </w:r>
            <w:r>
              <w:rPr>
                <w:rFonts w:hint="eastAsia" w:ascii="宋体" w:hAnsi="宋体" w:eastAsia="宋体" w:cs="宋体"/>
                <w:bCs/>
                <w:color w:val="auto"/>
                <w:szCs w:val="21"/>
                <w:highlight w:val="none"/>
                <w:lang w:eastAsia="zh-CN"/>
              </w:rPr>
              <w:t>控制</w:t>
            </w:r>
            <w:r>
              <w:rPr>
                <w:rFonts w:hint="eastAsia" w:ascii="宋体" w:hAnsi="宋体" w:eastAsia="宋体" w:cs="宋体"/>
                <w:bCs/>
                <w:color w:val="auto"/>
                <w:szCs w:val="21"/>
                <w:highlight w:val="none"/>
              </w:rPr>
              <w:t>施工进度计划及保证措施，关键节点控制符合采购需求。</w:t>
            </w:r>
          </w:p>
          <w:p w14:paraId="1763A4A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分)：控制工期的施工进度计划，有施工总进度表或施工网络图，各项计划图表编制不完善</w:t>
            </w:r>
            <w:r>
              <w:rPr>
                <w:rFonts w:hint="eastAsia" w:ascii="宋体" w:hAnsi="宋体" w:eastAsia="宋体" w:cs="宋体"/>
                <w:bCs/>
                <w:color w:val="auto"/>
                <w:szCs w:val="21"/>
                <w:highlight w:val="none"/>
                <w:lang w:eastAsia="zh-CN"/>
              </w:rPr>
              <w:t>。</w:t>
            </w:r>
          </w:p>
          <w:p w14:paraId="71F99D0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115EB76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103B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643692B">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2.6</w:t>
            </w:r>
          </w:p>
        </w:tc>
        <w:tc>
          <w:tcPr>
            <w:tcW w:w="1091" w:type="dxa"/>
            <w:tcBorders>
              <w:top w:val="single" w:color="auto" w:sz="4" w:space="0"/>
              <w:left w:val="nil"/>
              <w:bottom w:val="single" w:color="auto" w:sz="4" w:space="0"/>
              <w:right w:val="single" w:color="auto" w:sz="4" w:space="0"/>
            </w:tcBorders>
            <w:vAlign w:val="center"/>
          </w:tcPr>
          <w:p w14:paraId="039959DF">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文明施工的技术组织措施</w:t>
            </w:r>
          </w:p>
        </w:tc>
        <w:tc>
          <w:tcPr>
            <w:tcW w:w="6746" w:type="dxa"/>
            <w:tcBorders>
              <w:top w:val="single" w:color="auto" w:sz="4" w:space="0"/>
              <w:left w:val="nil"/>
              <w:bottom w:val="single" w:color="auto" w:sz="4" w:space="0"/>
              <w:right w:val="single" w:color="auto" w:sz="4" w:space="0"/>
            </w:tcBorders>
            <w:vAlign w:val="center"/>
          </w:tcPr>
          <w:p w14:paraId="3DCDC77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四档（</w:t>
            </w:r>
            <w:r>
              <w:rPr>
                <w:rFonts w:hint="eastAsia" w:ascii="宋体" w:hAnsi="宋体" w:eastAsia="宋体" w:cs="宋体"/>
                <w:bCs/>
                <w:color w:val="auto"/>
                <w:szCs w:val="21"/>
                <w:highlight w:val="none"/>
                <w:lang w:val="en-US" w:eastAsia="zh-CN"/>
              </w:rPr>
              <w:t>6分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eastAsia="zh-CN"/>
              </w:rPr>
              <w:t>三</w:t>
            </w:r>
            <w:r>
              <w:rPr>
                <w:rFonts w:hint="eastAsia" w:ascii="宋体" w:hAnsi="宋体" w:eastAsia="宋体" w:cs="宋体"/>
                <w:bCs/>
                <w:color w:val="auto"/>
                <w:szCs w:val="21"/>
                <w:highlight w:val="none"/>
              </w:rPr>
              <w:t>档的基础上，针对项目实际情况及项目特点，有现场文明施工、环境保 护措施，且措施内容达到《建筑施工安全生产检查标准》 (JGJ59-2011) 合格标准并符合《广西壮族自治区建筑工程文 明施工导则》要求。有分阶段文明、环保施工的重点措施。各项措施周全、具体、有效，有具体实现现场文明施工目标的承诺。</w:t>
            </w:r>
          </w:p>
          <w:p w14:paraId="581BAB2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三</w:t>
            </w:r>
            <w:r>
              <w:rPr>
                <w:rFonts w:hint="eastAsia" w:ascii="宋体" w:hAnsi="宋体" w:eastAsia="宋体" w:cs="宋体"/>
                <w:bCs/>
                <w:color w:val="auto"/>
                <w:szCs w:val="21"/>
                <w:highlight w:val="none"/>
              </w:rPr>
              <w:t>档</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分)：满足二档的基础上，针对项目实际情况及项目特点，有现场文明施工、环境保 护措施，且措施内容达到《建筑施工安全生产检查标准》 (JGJ59-2011) 合格标准并符合《广西壮族自治区建筑工程文 明施工导则》要求。有实现现场文明施工目标的承诺。</w:t>
            </w:r>
          </w:p>
          <w:p w14:paraId="46AEF8E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二</w:t>
            </w:r>
            <w:r>
              <w:rPr>
                <w:rFonts w:hint="eastAsia" w:ascii="宋体" w:hAnsi="宋体" w:eastAsia="宋体" w:cs="宋体"/>
                <w:bCs/>
                <w:color w:val="auto"/>
                <w:szCs w:val="21"/>
                <w:highlight w:val="none"/>
              </w:rPr>
              <w:t>档</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分)：满足一档的基础上，有现场文明施工、环境保护措施，且措施内容达到《建筑施工安全生产检查标准》(JGJ59-2011)合格标准并符合《广西壮族自治区建筑工程文明施工导则》要求。</w:t>
            </w:r>
          </w:p>
          <w:p w14:paraId="69E0F8C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一档（</w:t>
            </w:r>
            <w:r>
              <w:rPr>
                <w:rFonts w:hint="eastAsia" w:ascii="宋体" w:hAnsi="宋体" w:eastAsia="宋体" w:cs="宋体"/>
                <w:bCs/>
                <w:color w:val="auto"/>
                <w:szCs w:val="21"/>
                <w:highlight w:val="none"/>
                <w:lang w:val="en-US" w:eastAsia="zh-CN"/>
              </w:rPr>
              <w:t>2分</w:t>
            </w:r>
            <w:r>
              <w:rPr>
                <w:rFonts w:hint="eastAsia" w:ascii="宋体" w:hAnsi="宋体" w:eastAsia="宋体" w:cs="宋体"/>
                <w:bCs/>
                <w:color w:val="auto"/>
                <w:szCs w:val="21"/>
                <w:highlight w:val="none"/>
                <w:lang w:eastAsia="zh-CN"/>
              </w:rPr>
              <w:t>）：提供了简单的</w:t>
            </w:r>
            <w:r>
              <w:rPr>
                <w:rFonts w:hint="eastAsia" w:ascii="宋体" w:hAnsi="宋体" w:eastAsia="宋体" w:cs="宋体"/>
                <w:bCs/>
                <w:color w:val="auto"/>
                <w:szCs w:val="21"/>
                <w:highlight w:val="none"/>
              </w:rPr>
              <w:t>现场文明施工、环境保护措施</w:t>
            </w:r>
            <w:r>
              <w:rPr>
                <w:rFonts w:hint="eastAsia" w:ascii="宋体" w:hAnsi="宋体" w:eastAsia="宋体" w:cs="宋体"/>
                <w:bCs/>
                <w:color w:val="auto"/>
                <w:szCs w:val="21"/>
                <w:highlight w:val="none"/>
                <w:lang w:eastAsia="zh-CN"/>
              </w:rPr>
              <w:t>。</w:t>
            </w:r>
          </w:p>
          <w:p w14:paraId="79A57D8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注：没有提供本项目内容得0分。未达到一档标准要求不得分。</w:t>
            </w:r>
          </w:p>
        </w:tc>
        <w:tc>
          <w:tcPr>
            <w:tcW w:w="864" w:type="dxa"/>
            <w:tcBorders>
              <w:top w:val="single" w:color="auto" w:sz="4" w:space="0"/>
              <w:left w:val="nil"/>
              <w:bottom w:val="single" w:color="auto" w:sz="4" w:space="0"/>
              <w:right w:val="single" w:color="auto" w:sz="4" w:space="0"/>
            </w:tcBorders>
            <w:vAlign w:val="center"/>
          </w:tcPr>
          <w:p w14:paraId="06892896">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4240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21A5074">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91" w:type="dxa"/>
            <w:tcBorders>
              <w:top w:val="single" w:color="auto" w:sz="4" w:space="0"/>
              <w:left w:val="nil"/>
              <w:bottom w:val="single" w:color="auto" w:sz="4" w:space="0"/>
              <w:right w:val="single" w:color="auto" w:sz="4" w:space="0"/>
            </w:tcBorders>
            <w:vAlign w:val="center"/>
          </w:tcPr>
          <w:p w14:paraId="2860C9D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c>
          <w:tcPr>
            <w:tcW w:w="6746" w:type="dxa"/>
            <w:tcBorders>
              <w:top w:val="single" w:color="auto" w:sz="4" w:space="0"/>
              <w:left w:val="nil"/>
              <w:bottom w:val="single" w:color="auto" w:sz="4" w:space="0"/>
              <w:right w:val="single" w:color="auto" w:sz="4" w:space="0"/>
            </w:tcBorders>
            <w:vAlign w:val="center"/>
          </w:tcPr>
          <w:p w14:paraId="0C911B40">
            <w:pPr>
              <w:keepNext w:val="0"/>
              <w:keepLines w:val="0"/>
              <w:pageBreakBefore w:val="0"/>
              <w:kinsoku/>
              <w:wordWrap/>
              <w:overflowPunct/>
              <w:topLinePunct w:val="0"/>
              <w:autoSpaceDE/>
              <w:autoSpaceDN/>
              <w:bidi w:val="0"/>
              <w:adjustRightInd/>
              <w:snapToGrid/>
              <w:spacing w:line="360" w:lineRule="auto"/>
              <w:ind w:left="0" w:leftChars="0" w:right="0" w:rightChars="0" w:firstLine="412" w:firstLineChars="200"/>
              <w:jc w:val="center"/>
              <w:textAlignment w:val="auto"/>
              <w:rPr>
                <w:rFonts w:ascii="宋体" w:hAnsi="宋体" w:eastAsia="宋体" w:cs="宋体"/>
                <w:bCs/>
                <w:color w:val="auto"/>
                <w:szCs w:val="21"/>
                <w:highlight w:val="none"/>
              </w:rPr>
            </w:pPr>
            <w:r>
              <w:rPr>
                <w:rFonts w:hint="eastAsia" w:ascii="宋体" w:hAnsi="宋体" w:eastAsia="宋体" w:cs="宋体"/>
                <w:b/>
                <w:bCs/>
                <w:color w:val="auto"/>
                <w:kern w:val="0"/>
                <w:szCs w:val="21"/>
                <w:highlight w:val="none"/>
              </w:rPr>
              <w:t>评审因素</w:t>
            </w:r>
          </w:p>
        </w:tc>
        <w:tc>
          <w:tcPr>
            <w:tcW w:w="864" w:type="dxa"/>
            <w:tcBorders>
              <w:top w:val="single" w:color="auto" w:sz="4" w:space="0"/>
              <w:left w:val="nil"/>
              <w:bottom w:val="single" w:color="auto" w:sz="4" w:space="0"/>
              <w:right w:val="single" w:color="auto" w:sz="4" w:space="0"/>
            </w:tcBorders>
            <w:vAlign w:val="center"/>
          </w:tcPr>
          <w:p w14:paraId="5784B28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分</w:t>
            </w:r>
          </w:p>
        </w:tc>
      </w:tr>
      <w:tr w14:paraId="584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C7C548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091" w:type="dxa"/>
            <w:tcBorders>
              <w:top w:val="single" w:color="auto" w:sz="4" w:space="0"/>
              <w:left w:val="nil"/>
              <w:bottom w:val="single" w:color="auto" w:sz="4" w:space="0"/>
              <w:right w:val="single" w:color="auto" w:sz="4" w:space="0"/>
            </w:tcBorders>
            <w:vAlign w:val="center"/>
          </w:tcPr>
          <w:p w14:paraId="1F25975D">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类似业绩</w:t>
            </w:r>
          </w:p>
        </w:tc>
        <w:tc>
          <w:tcPr>
            <w:tcW w:w="6746" w:type="dxa"/>
            <w:tcBorders>
              <w:top w:val="single" w:color="auto" w:sz="4" w:space="0"/>
              <w:left w:val="nil"/>
              <w:bottom w:val="single" w:color="auto" w:sz="4" w:space="0"/>
              <w:right w:val="single" w:color="auto" w:sz="4" w:space="0"/>
            </w:tcBorders>
          </w:tcPr>
          <w:p w14:paraId="79AC8FC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供应商2021年</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eastAsia="zh-CN"/>
              </w:rPr>
              <w:t>月至今完成过类似项目的，每个得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分，满分</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eastAsia="zh-CN"/>
              </w:rPr>
              <w:t>分。</w:t>
            </w:r>
          </w:p>
          <w:p w14:paraId="47B189F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注：响应文件必须同时附：①中标（成交）通知书或施工合同关键页（包含项目名称、项目规模和相关盖章页等）扫描件；②竣工验收合格的相关证明材料扫描件，否则不予得分。</w:t>
            </w:r>
          </w:p>
        </w:tc>
        <w:tc>
          <w:tcPr>
            <w:tcW w:w="864" w:type="dxa"/>
            <w:tcBorders>
              <w:top w:val="single" w:color="auto" w:sz="4" w:space="0"/>
              <w:left w:val="nil"/>
              <w:bottom w:val="single" w:color="auto" w:sz="4" w:space="0"/>
              <w:right w:val="single" w:color="auto" w:sz="4" w:space="0"/>
            </w:tcBorders>
            <w:vAlign w:val="center"/>
          </w:tcPr>
          <w:p w14:paraId="396EDEB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r>
              <w:rPr>
                <w:rFonts w:hint="eastAsia" w:ascii="宋体" w:hAnsi="宋体" w:eastAsia="宋体" w:cs="宋体"/>
                <w:color w:val="auto"/>
                <w:szCs w:val="24"/>
                <w:highlight w:val="none"/>
              </w:rPr>
              <w:t>客观分</w:t>
            </w:r>
            <w:r>
              <w:rPr>
                <w:rFonts w:hint="eastAsia" w:ascii="宋体" w:hAnsi="宋体" w:eastAsia="宋体" w:cs="宋体"/>
                <w:color w:val="auto"/>
                <w:kern w:val="0"/>
                <w:szCs w:val="21"/>
                <w:highlight w:val="none"/>
              </w:rPr>
              <w:t>）</w:t>
            </w:r>
          </w:p>
        </w:tc>
      </w:tr>
      <w:tr w14:paraId="6A59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A7F8AA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1091" w:type="dxa"/>
            <w:tcBorders>
              <w:top w:val="single" w:color="auto" w:sz="4" w:space="0"/>
              <w:left w:val="nil"/>
              <w:bottom w:val="single" w:color="auto" w:sz="4" w:space="0"/>
              <w:right w:val="single" w:color="auto" w:sz="4" w:space="0"/>
            </w:tcBorders>
            <w:vAlign w:val="center"/>
          </w:tcPr>
          <w:p w14:paraId="640C0080">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信誉分</w:t>
            </w:r>
          </w:p>
        </w:tc>
        <w:tc>
          <w:tcPr>
            <w:tcW w:w="6746" w:type="dxa"/>
            <w:tcBorders>
              <w:top w:val="single" w:color="auto" w:sz="4" w:space="0"/>
              <w:left w:val="nil"/>
              <w:bottom w:val="single" w:color="auto" w:sz="4" w:space="0"/>
              <w:right w:val="single" w:color="auto" w:sz="4" w:space="0"/>
            </w:tcBorders>
          </w:tcPr>
          <w:p w14:paraId="67B95B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供应商具备ISO质量管理体系、ISO环境管理体系、ISO职业健康安全管理体系认证且在有效期内的，每具备1个认证得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分，满分</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eastAsia="zh-CN"/>
              </w:rPr>
              <w:t>分。（响应文件中提供认证证书复印件）</w:t>
            </w:r>
          </w:p>
        </w:tc>
        <w:tc>
          <w:tcPr>
            <w:tcW w:w="864" w:type="dxa"/>
            <w:tcBorders>
              <w:top w:val="single" w:color="auto" w:sz="4" w:space="0"/>
              <w:left w:val="nil"/>
              <w:bottom w:val="single" w:color="auto" w:sz="4" w:space="0"/>
              <w:right w:val="single" w:color="auto" w:sz="4" w:space="0"/>
            </w:tcBorders>
            <w:vAlign w:val="center"/>
          </w:tcPr>
          <w:p w14:paraId="05ADBD6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分（客观分）</w:t>
            </w:r>
          </w:p>
        </w:tc>
      </w:tr>
      <w:tr w14:paraId="2FEB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37" w:type="dxa"/>
            <w:gridSpan w:val="4"/>
            <w:tcBorders>
              <w:top w:val="single" w:color="auto" w:sz="4" w:space="0"/>
              <w:left w:val="single" w:color="auto" w:sz="4" w:space="0"/>
              <w:bottom w:val="single" w:color="auto" w:sz="4" w:space="0"/>
              <w:right w:val="single" w:color="auto" w:sz="4" w:space="0"/>
            </w:tcBorders>
            <w:vAlign w:val="center"/>
          </w:tcPr>
          <w:p w14:paraId="2152268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rPr>
              <w:t>总得分＝1＋2＋3</w:t>
            </w:r>
          </w:p>
        </w:tc>
      </w:tr>
      <w:bookmarkEnd w:id="81"/>
    </w:tbl>
    <w:p w14:paraId="2680D7A5">
      <w:pPr>
        <w:spacing w:line="360" w:lineRule="auto"/>
        <w:ind w:firstLine="412"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8.2商务技术评审因素为客观评分项的，应在评分项目或评分标准中予以标注为“客观分”。对供应商的客观评分项目，各评审专家评分应当一致。</w:t>
      </w:r>
    </w:p>
    <w:p w14:paraId="2FF8A7DB">
      <w:pPr>
        <w:spacing w:line="360" w:lineRule="auto"/>
        <w:ind w:firstLine="412" w:firstLineChars="200"/>
        <w:rPr>
          <w:rFonts w:ascii="宋体" w:hAnsi="宋体" w:eastAsia="宋体" w:cs="宋体"/>
          <w:color w:val="auto"/>
          <w:highlight w:val="none"/>
        </w:rPr>
      </w:pPr>
      <w:bookmarkStart w:id="82" w:name="_Toc80205935"/>
      <w:r>
        <w:rPr>
          <w:rFonts w:hint="eastAsia" w:ascii="宋体" w:hAnsi="宋体" w:eastAsia="宋体" w:cs="宋体"/>
          <w:color w:val="auto"/>
          <w:highlight w:val="none"/>
        </w:rPr>
        <w:t>8.3.终止竞争性磋商采购活动</w:t>
      </w:r>
    </w:p>
    <w:p w14:paraId="646191BA">
      <w:pPr>
        <w:spacing w:line="360" w:lineRule="auto"/>
        <w:ind w:firstLine="412"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595C8DC">
      <w:pPr>
        <w:rPr>
          <w:rFonts w:hint="eastAsia" w:ascii="宋体" w:hAnsi="宋体" w:eastAsia="宋体" w:cs="宋体"/>
          <w:color w:val="auto"/>
          <w:highlight w:val="none"/>
        </w:rPr>
      </w:pPr>
    </w:p>
    <w:p w14:paraId="5B72A189">
      <w:pPr>
        <w:pStyle w:val="3"/>
        <w:spacing w:before="0" w:after="0" w:line="360" w:lineRule="auto"/>
        <w:jc w:val="center"/>
        <w:rPr>
          <w:rFonts w:ascii="宋体" w:hAnsi="宋体" w:cs="宋体"/>
          <w:b w:val="0"/>
          <w:color w:val="auto"/>
          <w:highlight w:val="none"/>
        </w:rPr>
      </w:pPr>
      <w:bookmarkStart w:id="83" w:name="_Toc7707"/>
      <w:bookmarkStart w:id="84" w:name="_Toc29939"/>
      <w:bookmarkStart w:id="85" w:name="_Toc28427"/>
      <w:r>
        <w:rPr>
          <w:rFonts w:hint="eastAsia" w:ascii="宋体" w:hAnsi="宋体" w:cs="宋体"/>
          <w:b w:val="0"/>
          <w:color w:val="auto"/>
          <w:highlight w:val="none"/>
        </w:rPr>
        <w:t>第二节 评标报告</w:t>
      </w:r>
      <w:bookmarkEnd w:id="82"/>
      <w:bookmarkEnd w:id="83"/>
      <w:bookmarkEnd w:id="84"/>
      <w:bookmarkEnd w:id="85"/>
    </w:p>
    <w:p w14:paraId="79C28B93">
      <w:pPr>
        <w:spacing w:line="360" w:lineRule="auto"/>
        <w:ind w:firstLine="412" w:firstLineChars="200"/>
        <w:rPr>
          <w:rFonts w:ascii="宋体" w:hAnsi="宋体" w:eastAsia="宋体" w:cs="宋体"/>
          <w:color w:val="auto"/>
          <w:highlight w:val="none"/>
        </w:rPr>
      </w:pPr>
      <w:r>
        <w:rPr>
          <w:rFonts w:hint="eastAsia" w:ascii="宋体" w:hAnsi="宋体" w:eastAsia="宋体" w:cs="宋体"/>
          <w:color w:val="auto"/>
          <w:highlight w:val="none"/>
        </w:rPr>
        <w:t>1.成交标准</w:t>
      </w:r>
    </w:p>
    <w:p w14:paraId="598CC355">
      <w:pPr>
        <w:spacing w:line="360" w:lineRule="auto"/>
        <w:ind w:firstLine="412" w:firstLineChars="200"/>
        <w:rPr>
          <w:rFonts w:ascii="宋体" w:hAnsi="宋体" w:eastAsia="宋体" w:cs="宋体"/>
          <w:color w:val="auto"/>
          <w:highlight w:val="none"/>
        </w:rPr>
      </w:pPr>
      <w:r>
        <w:rPr>
          <w:rFonts w:hint="eastAsia" w:ascii="宋体" w:hAnsi="宋体" w:eastAsia="宋体" w:cs="宋体"/>
          <w:color w:val="auto"/>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094FE59D">
      <w:pPr>
        <w:spacing w:line="360" w:lineRule="auto"/>
        <w:ind w:firstLine="412" w:firstLineChars="200"/>
        <w:rPr>
          <w:rFonts w:ascii="宋体" w:hAnsi="宋体" w:eastAsia="宋体" w:cs="宋体"/>
          <w:color w:val="auto"/>
          <w:highlight w:val="none"/>
        </w:rPr>
      </w:pPr>
      <w:r>
        <w:rPr>
          <w:rFonts w:hint="eastAsia" w:ascii="宋体" w:hAnsi="宋体" w:eastAsia="宋体" w:cs="宋体"/>
          <w:color w:val="auto"/>
          <w:highlight w:val="none"/>
        </w:rPr>
        <w:t>2.评标争议事项处理</w:t>
      </w:r>
    </w:p>
    <w:p w14:paraId="007EA493">
      <w:pPr>
        <w:spacing w:line="360" w:lineRule="auto"/>
        <w:ind w:firstLine="412"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DD9E8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5C54D07">
      <w:pPr>
        <w:spacing w:line="240" w:lineRule="atLeast"/>
        <w:rPr>
          <w:rFonts w:ascii="宋体" w:hAnsi="宋体" w:eastAsia="宋体" w:cs="Times New Roman"/>
          <w:b/>
          <w:color w:val="auto"/>
          <w:sz w:val="32"/>
          <w:szCs w:val="32"/>
          <w:highlight w:val="none"/>
        </w:rPr>
      </w:pPr>
    </w:p>
    <w:p w14:paraId="103DEA00">
      <w:pPr>
        <w:spacing w:line="240" w:lineRule="atLeast"/>
        <w:rPr>
          <w:rFonts w:ascii="宋体" w:hAnsi="宋体" w:eastAsia="宋体" w:cs="Times New Roman"/>
          <w:b/>
          <w:color w:val="auto"/>
          <w:sz w:val="32"/>
          <w:szCs w:val="32"/>
          <w:highlight w:val="none"/>
        </w:rPr>
      </w:pPr>
    </w:p>
    <w:p w14:paraId="0BF843A9">
      <w:pPr>
        <w:spacing w:line="240" w:lineRule="atLeast"/>
        <w:rPr>
          <w:rFonts w:ascii="宋体" w:hAnsi="宋体" w:eastAsia="宋体" w:cs="Times New Roman"/>
          <w:b/>
          <w:color w:val="auto"/>
          <w:sz w:val="32"/>
          <w:szCs w:val="32"/>
          <w:highlight w:val="none"/>
        </w:rPr>
      </w:pPr>
    </w:p>
    <w:p w14:paraId="754D52FA">
      <w:pPr>
        <w:spacing w:line="240" w:lineRule="atLeast"/>
        <w:rPr>
          <w:rFonts w:ascii="宋体" w:hAnsi="宋体" w:eastAsia="宋体" w:cs="Times New Roman"/>
          <w:b/>
          <w:color w:val="auto"/>
          <w:sz w:val="32"/>
          <w:szCs w:val="32"/>
          <w:highlight w:val="none"/>
        </w:rPr>
      </w:pPr>
    </w:p>
    <w:p w14:paraId="37CD2DDD">
      <w:pPr>
        <w:spacing w:line="240" w:lineRule="atLeast"/>
        <w:rPr>
          <w:rFonts w:ascii="宋体" w:hAnsi="宋体" w:eastAsia="宋体" w:cs="Times New Roman"/>
          <w:b/>
          <w:color w:val="auto"/>
          <w:sz w:val="32"/>
          <w:szCs w:val="32"/>
          <w:highlight w:val="none"/>
        </w:rPr>
      </w:pPr>
    </w:p>
    <w:p w14:paraId="6E96C0D7">
      <w:pPr>
        <w:spacing w:line="240" w:lineRule="atLeast"/>
        <w:rPr>
          <w:rFonts w:ascii="宋体" w:hAnsi="宋体" w:eastAsia="宋体" w:cs="Times New Roman"/>
          <w:b/>
          <w:color w:val="auto"/>
          <w:sz w:val="32"/>
          <w:szCs w:val="32"/>
          <w:highlight w:val="none"/>
        </w:rPr>
      </w:pPr>
    </w:p>
    <w:p w14:paraId="7953375E">
      <w:pPr>
        <w:spacing w:line="240" w:lineRule="atLeast"/>
        <w:rPr>
          <w:rFonts w:ascii="宋体" w:hAnsi="宋体" w:eastAsia="宋体" w:cs="Times New Roman"/>
          <w:b/>
          <w:color w:val="auto"/>
          <w:sz w:val="32"/>
          <w:szCs w:val="32"/>
          <w:highlight w:val="none"/>
        </w:rPr>
      </w:pPr>
    </w:p>
    <w:p w14:paraId="46EFA848">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rPr>
      </w:pPr>
      <w:bookmarkStart w:id="86" w:name="_Toc18944"/>
      <w:bookmarkStart w:id="87" w:name="_Toc74323460"/>
      <w:r>
        <w:rPr>
          <w:rFonts w:hint="eastAsia" w:ascii="Times New Roman" w:hAnsi="Times New Roman" w:eastAsia="宋体" w:cs="Times New Roman"/>
          <w:b/>
          <w:bCs/>
          <w:color w:val="auto"/>
          <w:kern w:val="44"/>
          <w:sz w:val="44"/>
          <w:szCs w:val="44"/>
          <w:highlight w:val="none"/>
        </w:rPr>
        <w:t>第五章 响应文件格式</w:t>
      </w:r>
      <w:bookmarkEnd w:id="86"/>
      <w:bookmarkEnd w:id="87"/>
    </w:p>
    <w:p w14:paraId="66BA5E48">
      <w:pPr>
        <w:spacing w:line="240" w:lineRule="atLeast"/>
        <w:rPr>
          <w:rFonts w:ascii="宋体" w:hAnsi="宋体" w:eastAsia="宋体" w:cs="Times New Roman"/>
          <w:b/>
          <w:color w:val="auto"/>
          <w:sz w:val="32"/>
          <w:szCs w:val="32"/>
          <w:highlight w:val="none"/>
        </w:rPr>
      </w:pPr>
    </w:p>
    <w:p w14:paraId="3339CDBC">
      <w:pPr>
        <w:spacing w:line="240" w:lineRule="atLeast"/>
        <w:rPr>
          <w:rFonts w:ascii="宋体" w:hAnsi="宋体" w:eastAsia="宋体" w:cs="Times New Roman"/>
          <w:b/>
          <w:color w:val="auto"/>
          <w:sz w:val="32"/>
          <w:szCs w:val="32"/>
          <w:highlight w:val="none"/>
        </w:rPr>
      </w:pPr>
    </w:p>
    <w:p w14:paraId="58D9C95C">
      <w:pPr>
        <w:spacing w:line="240" w:lineRule="atLeast"/>
        <w:rPr>
          <w:rFonts w:ascii="宋体" w:hAnsi="宋体" w:eastAsia="宋体" w:cs="Times New Roman"/>
          <w:b/>
          <w:color w:val="auto"/>
          <w:sz w:val="32"/>
          <w:szCs w:val="32"/>
          <w:highlight w:val="none"/>
        </w:rPr>
      </w:pPr>
    </w:p>
    <w:p w14:paraId="2DF8E2A1">
      <w:pPr>
        <w:spacing w:line="240" w:lineRule="atLeast"/>
        <w:rPr>
          <w:rFonts w:ascii="宋体" w:hAnsi="宋体" w:eastAsia="宋体" w:cs="Times New Roman"/>
          <w:b/>
          <w:color w:val="auto"/>
          <w:sz w:val="32"/>
          <w:szCs w:val="32"/>
          <w:highlight w:val="none"/>
        </w:rPr>
      </w:pPr>
    </w:p>
    <w:p w14:paraId="403F5FF0">
      <w:pPr>
        <w:spacing w:line="240" w:lineRule="atLeast"/>
        <w:rPr>
          <w:rFonts w:ascii="宋体" w:hAnsi="宋体" w:eastAsia="宋体" w:cs="Times New Roman"/>
          <w:b/>
          <w:color w:val="auto"/>
          <w:sz w:val="32"/>
          <w:szCs w:val="32"/>
          <w:highlight w:val="none"/>
        </w:rPr>
      </w:pPr>
    </w:p>
    <w:p w14:paraId="0AA916C4">
      <w:pPr>
        <w:spacing w:line="240" w:lineRule="atLeast"/>
        <w:rPr>
          <w:rFonts w:ascii="宋体" w:hAnsi="宋体" w:eastAsia="宋体" w:cs="Times New Roman"/>
          <w:b/>
          <w:color w:val="auto"/>
          <w:sz w:val="32"/>
          <w:szCs w:val="32"/>
          <w:highlight w:val="none"/>
        </w:rPr>
      </w:pPr>
    </w:p>
    <w:p w14:paraId="50C54BE4">
      <w:pPr>
        <w:spacing w:line="240" w:lineRule="atLeast"/>
        <w:rPr>
          <w:rFonts w:ascii="宋体" w:hAnsi="宋体" w:eastAsia="宋体" w:cs="Times New Roman"/>
          <w:b/>
          <w:color w:val="auto"/>
          <w:sz w:val="32"/>
          <w:szCs w:val="32"/>
          <w:highlight w:val="none"/>
        </w:rPr>
      </w:pPr>
    </w:p>
    <w:p w14:paraId="44D76093">
      <w:pPr>
        <w:spacing w:line="240" w:lineRule="atLeast"/>
        <w:rPr>
          <w:rFonts w:ascii="宋体" w:hAnsi="宋体" w:eastAsia="宋体" w:cs="Times New Roman"/>
          <w:b/>
          <w:color w:val="auto"/>
          <w:sz w:val="32"/>
          <w:szCs w:val="32"/>
          <w:highlight w:val="none"/>
        </w:rPr>
      </w:pPr>
    </w:p>
    <w:p w14:paraId="602C9C56">
      <w:pPr>
        <w:pageBreakBefore/>
        <w:rPr>
          <w:rFonts w:ascii="Times New Roman" w:hAnsi="Times New Roman" w:eastAsia="宋体" w:cs="Times New Roman"/>
          <w:b/>
          <w:color w:val="auto"/>
          <w:sz w:val="32"/>
          <w:szCs w:val="32"/>
          <w:highlight w:val="none"/>
        </w:rPr>
      </w:pPr>
      <w:bookmarkStart w:id="88" w:name="_Toc31723070"/>
      <w:bookmarkStart w:id="89" w:name="_Toc71366186"/>
      <w:bookmarkStart w:id="90" w:name="_Toc35611516"/>
      <w:bookmarkStart w:id="91" w:name="_Toc35611438"/>
      <w:bookmarkStart w:id="92" w:name="_Toc31728084"/>
      <w:bookmarkStart w:id="93" w:name="_Toc44229899"/>
      <w:r>
        <w:rPr>
          <w:rFonts w:hint="eastAsia" w:ascii="Times New Roman" w:hAnsi="Times New Roman" w:eastAsia="宋体" w:cs="Times New Roman"/>
          <w:b/>
          <w:color w:val="auto"/>
          <w:sz w:val="32"/>
          <w:szCs w:val="32"/>
          <w:highlight w:val="none"/>
        </w:rPr>
        <w:t>一、资格证明文件格式</w:t>
      </w:r>
      <w:bookmarkEnd w:id="88"/>
      <w:bookmarkEnd w:id="89"/>
      <w:bookmarkEnd w:id="90"/>
      <w:bookmarkEnd w:id="91"/>
      <w:bookmarkEnd w:id="92"/>
      <w:bookmarkEnd w:id="93"/>
    </w:p>
    <w:p w14:paraId="15A4CFB6">
      <w:pPr>
        <w:snapToGrid w:val="0"/>
        <w:spacing w:before="120" w:beforeLines="50" w:after="50" w:line="360" w:lineRule="auto"/>
        <w:jc w:val="left"/>
        <w:rPr>
          <w:rFonts w:ascii="宋体" w:hAnsi="宋体" w:eastAsia="宋体" w:cs="Times New Roman"/>
          <w:b/>
          <w:color w:val="auto"/>
          <w:sz w:val="24"/>
          <w:szCs w:val="24"/>
          <w:highlight w:val="none"/>
        </w:rPr>
      </w:pPr>
      <w:r>
        <w:rPr>
          <w:rFonts w:hint="eastAsia" w:ascii="宋体" w:hAnsi="宋体" w:eastAsia="宋体" w:cs="Times New Roman"/>
          <w:b/>
          <w:color w:val="auto"/>
          <w:sz w:val="32"/>
          <w:szCs w:val="32"/>
          <w:highlight w:val="none"/>
        </w:rPr>
        <w:t>1.资格证明文件封面格式：</w:t>
      </w:r>
      <w:r>
        <w:rPr>
          <w:rFonts w:hint="eastAsia" w:ascii="宋体" w:hAnsi="宋体" w:eastAsia="宋体" w:cs="Times New Roman"/>
          <w:b/>
          <w:color w:val="auto"/>
          <w:sz w:val="24"/>
          <w:szCs w:val="24"/>
          <w:highlight w:val="none"/>
        </w:rPr>
        <w:t xml:space="preserve"> </w:t>
      </w:r>
    </w:p>
    <w:p w14:paraId="1942A654">
      <w:pPr>
        <w:snapToGrid w:val="0"/>
        <w:spacing w:before="120" w:beforeLines="50" w:after="50"/>
        <w:jc w:val="center"/>
        <w:rPr>
          <w:rFonts w:ascii="宋体" w:hAnsi="宋体" w:eastAsia="宋体" w:cs="Times New Roman"/>
          <w:color w:val="auto"/>
          <w:sz w:val="44"/>
          <w:szCs w:val="44"/>
          <w:highlight w:val="none"/>
        </w:rPr>
      </w:pPr>
    </w:p>
    <w:p w14:paraId="2150F89E">
      <w:pPr>
        <w:snapToGrid w:val="0"/>
        <w:spacing w:before="120" w:beforeLines="50" w:after="50"/>
        <w:jc w:val="center"/>
        <w:rPr>
          <w:rFonts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电 子 响 应 文 件</w:t>
      </w:r>
    </w:p>
    <w:p w14:paraId="3DA8C74E">
      <w:pPr>
        <w:snapToGrid w:val="0"/>
        <w:spacing w:before="120" w:beforeLines="50" w:after="50"/>
        <w:rPr>
          <w:rFonts w:ascii="宋体" w:hAnsi="宋体" w:eastAsia="宋体" w:cs="Times New Roman"/>
          <w:color w:val="auto"/>
          <w:sz w:val="24"/>
          <w:szCs w:val="20"/>
          <w:highlight w:val="none"/>
        </w:rPr>
      </w:pPr>
    </w:p>
    <w:p w14:paraId="1333599F">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5240A1AD">
      <w:pPr>
        <w:snapToGrid w:val="0"/>
        <w:spacing w:before="120" w:beforeLines="50" w:after="50"/>
        <w:rPr>
          <w:rFonts w:ascii="宋体" w:hAnsi="宋体" w:eastAsia="宋体" w:cs="Times New Roman"/>
          <w:bCs/>
          <w:color w:val="auto"/>
          <w:sz w:val="24"/>
          <w:szCs w:val="20"/>
          <w:highlight w:val="none"/>
        </w:rPr>
      </w:pPr>
    </w:p>
    <w:p w14:paraId="7A7C88C0">
      <w:pPr>
        <w:snapToGrid w:val="0"/>
        <w:spacing w:before="120" w:beforeLines="50" w:after="50"/>
        <w:rPr>
          <w:rFonts w:ascii="宋体" w:hAnsi="宋体" w:eastAsia="宋体" w:cs="Times New Roman"/>
          <w:bCs/>
          <w:color w:val="auto"/>
          <w:sz w:val="24"/>
          <w:szCs w:val="20"/>
          <w:highlight w:val="none"/>
        </w:rPr>
      </w:pPr>
    </w:p>
    <w:p w14:paraId="40137CB5">
      <w:pPr>
        <w:snapToGrid w:val="0"/>
        <w:spacing w:before="120" w:beforeLines="50" w:after="50"/>
        <w:rPr>
          <w:rFonts w:ascii="宋体" w:hAnsi="宋体" w:eastAsia="宋体" w:cs="Times New Roman"/>
          <w:bCs/>
          <w:color w:val="auto"/>
          <w:sz w:val="24"/>
          <w:szCs w:val="20"/>
          <w:highlight w:val="none"/>
        </w:rPr>
      </w:pPr>
    </w:p>
    <w:p w14:paraId="219C3C79">
      <w:pPr>
        <w:snapToGrid w:val="0"/>
        <w:spacing w:before="120" w:beforeLines="50" w:after="50"/>
        <w:rPr>
          <w:rFonts w:ascii="宋体" w:hAnsi="宋体" w:eastAsia="宋体" w:cs="Times New Roman"/>
          <w:bCs/>
          <w:color w:val="auto"/>
          <w:sz w:val="24"/>
          <w:szCs w:val="20"/>
          <w:highlight w:val="none"/>
        </w:rPr>
      </w:pPr>
    </w:p>
    <w:p w14:paraId="091BD37F">
      <w:pPr>
        <w:snapToGrid w:val="0"/>
        <w:spacing w:before="120" w:beforeLines="50" w:after="50"/>
        <w:rPr>
          <w:rFonts w:ascii="宋体" w:hAnsi="宋体" w:eastAsia="宋体" w:cs="Times New Roman"/>
          <w:bCs/>
          <w:color w:val="auto"/>
          <w:sz w:val="24"/>
          <w:szCs w:val="20"/>
          <w:highlight w:val="none"/>
        </w:rPr>
      </w:pPr>
    </w:p>
    <w:p w14:paraId="6D22AD43">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695F146E">
      <w:pPr>
        <w:snapToGrid w:val="0"/>
        <w:spacing w:before="120" w:beforeLines="50" w:after="50"/>
        <w:ind w:firstLine="711" w:firstLineChars="225"/>
        <w:rPr>
          <w:rFonts w:ascii="宋体" w:hAnsi="宋体" w:eastAsia="宋体" w:cs="仿宋_GB2312"/>
          <w:bCs/>
          <w:color w:val="auto"/>
          <w:sz w:val="32"/>
          <w:szCs w:val="32"/>
          <w:highlight w:val="none"/>
        </w:rPr>
      </w:pPr>
    </w:p>
    <w:p w14:paraId="165E0274">
      <w:pPr>
        <w:snapToGrid w:val="0"/>
        <w:spacing w:before="120" w:beforeLines="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411DF438">
      <w:pPr>
        <w:snapToGrid w:val="0"/>
        <w:spacing w:before="120" w:beforeLines="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5E964704">
      <w:pPr>
        <w:snapToGrid w:val="0"/>
        <w:spacing w:before="120" w:beforeLines="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07336120">
      <w:pPr>
        <w:snapToGrid w:val="0"/>
        <w:spacing w:before="120" w:beforeLines="50" w:after="50"/>
        <w:ind w:firstLine="711" w:firstLineChars="225"/>
        <w:rPr>
          <w:rFonts w:ascii="宋体" w:hAnsi="宋体" w:eastAsia="宋体" w:cs="仿宋_GB2312"/>
          <w:bCs/>
          <w:color w:val="auto"/>
          <w:sz w:val="32"/>
          <w:szCs w:val="32"/>
          <w:highlight w:val="none"/>
        </w:rPr>
      </w:pPr>
    </w:p>
    <w:p w14:paraId="06C846DC">
      <w:pPr>
        <w:snapToGrid w:val="0"/>
        <w:spacing w:before="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08A67FC1">
      <w:pPr>
        <w:snapToGrid w:val="0"/>
        <w:spacing w:before="120" w:beforeLines="50" w:after="50"/>
        <w:rPr>
          <w:rFonts w:ascii="宋体" w:hAnsi="宋体" w:eastAsia="宋体" w:cs="Times New Roman"/>
          <w:bCs/>
          <w:color w:val="auto"/>
          <w:sz w:val="24"/>
          <w:szCs w:val="20"/>
          <w:highlight w:val="none"/>
        </w:rPr>
      </w:pPr>
    </w:p>
    <w:p w14:paraId="7D3F09BF">
      <w:pPr>
        <w:snapToGrid w:val="0"/>
        <w:spacing w:before="120" w:beforeLines="50" w:after="50"/>
        <w:rPr>
          <w:rFonts w:ascii="宋体" w:hAnsi="宋体" w:eastAsia="宋体" w:cs="Times New Roman"/>
          <w:bCs/>
          <w:color w:val="auto"/>
          <w:sz w:val="24"/>
          <w:szCs w:val="20"/>
          <w:highlight w:val="none"/>
        </w:rPr>
      </w:pPr>
    </w:p>
    <w:p w14:paraId="0D8E7B53">
      <w:pPr>
        <w:snapToGrid w:val="0"/>
        <w:spacing w:before="120" w:beforeLines="50" w:after="50"/>
        <w:rPr>
          <w:rFonts w:ascii="宋体" w:hAnsi="宋体" w:eastAsia="宋体" w:cs="Times New Roman"/>
          <w:bCs/>
          <w:color w:val="auto"/>
          <w:sz w:val="24"/>
          <w:szCs w:val="20"/>
          <w:highlight w:val="none"/>
        </w:rPr>
      </w:pPr>
    </w:p>
    <w:p w14:paraId="2BC3FED2">
      <w:pPr>
        <w:snapToGrid w:val="0"/>
        <w:spacing w:before="120" w:beforeLines="50" w:after="50"/>
        <w:rPr>
          <w:rFonts w:ascii="宋体" w:hAnsi="宋体" w:eastAsia="宋体" w:cs="Times New Roman"/>
          <w:bCs/>
          <w:color w:val="auto"/>
          <w:sz w:val="24"/>
          <w:szCs w:val="20"/>
          <w:highlight w:val="none"/>
        </w:rPr>
      </w:pPr>
    </w:p>
    <w:p w14:paraId="54A5FDDB">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44EE8E15">
      <w:pPr>
        <w:snapToGrid w:val="0"/>
        <w:spacing w:before="120" w:beforeLines="50" w:after="50" w:line="360" w:lineRule="auto"/>
        <w:ind w:left="142"/>
        <w:jc w:val="left"/>
        <w:rPr>
          <w:rFonts w:ascii="宋体" w:hAnsi="宋体" w:eastAsia="宋体" w:cs="Times New Roman"/>
          <w:b/>
          <w:bCs/>
          <w:color w:val="auto"/>
          <w:sz w:val="32"/>
          <w:szCs w:val="32"/>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bCs/>
          <w:color w:val="auto"/>
          <w:sz w:val="32"/>
          <w:szCs w:val="32"/>
          <w:highlight w:val="none"/>
        </w:rPr>
        <w:t>2.资格证明文件目录</w:t>
      </w:r>
    </w:p>
    <w:p w14:paraId="19726616">
      <w:pPr>
        <w:snapToGrid w:val="0"/>
        <w:spacing w:before="120" w:beforeLines="50" w:after="50" w:line="360" w:lineRule="auto"/>
        <w:ind w:firstLine="645"/>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根据磋商文件规定及供应商提供的材料自行编写目录（部分格式后附）。</w:t>
      </w:r>
    </w:p>
    <w:p w14:paraId="21C6005B">
      <w:pPr>
        <w:spacing w:line="300" w:lineRule="auto"/>
        <w:rPr>
          <w:rFonts w:ascii="宋体" w:hAnsi="宋体" w:eastAsia="宋体" w:cs="Times New Roman"/>
          <w:color w:val="auto"/>
          <w:szCs w:val="21"/>
          <w:highlight w:val="none"/>
        </w:rPr>
      </w:pPr>
    </w:p>
    <w:p w14:paraId="07479DFF">
      <w:pPr>
        <w:spacing w:line="300" w:lineRule="auto"/>
        <w:rPr>
          <w:rFonts w:ascii="宋体" w:hAnsi="宋体" w:eastAsia="宋体" w:cs="Times New Roman"/>
          <w:color w:val="auto"/>
          <w:szCs w:val="21"/>
          <w:highlight w:val="none"/>
        </w:rPr>
      </w:pPr>
    </w:p>
    <w:p w14:paraId="60BBB239">
      <w:pPr>
        <w:spacing w:line="300" w:lineRule="auto"/>
        <w:rPr>
          <w:rFonts w:ascii="宋体" w:hAnsi="宋体" w:eastAsia="宋体" w:cs="Times New Roman"/>
          <w:color w:val="auto"/>
          <w:szCs w:val="21"/>
          <w:highlight w:val="none"/>
        </w:rPr>
      </w:pPr>
    </w:p>
    <w:p w14:paraId="15062C63">
      <w:pPr>
        <w:spacing w:line="300" w:lineRule="auto"/>
        <w:rPr>
          <w:rFonts w:ascii="宋体" w:hAnsi="宋体" w:eastAsia="宋体" w:cs="Times New Roman"/>
          <w:color w:val="auto"/>
          <w:szCs w:val="21"/>
          <w:highlight w:val="none"/>
        </w:rPr>
      </w:pPr>
    </w:p>
    <w:p w14:paraId="619AEF6F">
      <w:pPr>
        <w:spacing w:line="300" w:lineRule="auto"/>
        <w:rPr>
          <w:rFonts w:ascii="宋体" w:hAnsi="宋体" w:eastAsia="宋体" w:cs="Times New Roman"/>
          <w:color w:val="auto"/>
          <w:szCs w:val="21"/>
          <w:highlight w:val="none"/>
        </w:rPr>
      </w:pPr>
    </w:p>
    <w:p w14:paraId="123457F0">
      <w:pPr>
        <w:spacing w:line="300" w:lineRule="auto"/>
        <w:rPr>
          <w:rFonts w:ascii="宋体" w:hAnsi="宋体" w:eastAsia="宋体" w:cs="Times New Roman"/>
          <w:color w:val="auto"/>
          <w:szCs w:val="21"/>
          <w:highlight w:val="none"/>
        </w:rPr>
      </w:pPr>
    </w:p>
    <w:p w14:paraId="0A663B76">
      <w:pPr>
        <w:spacing w:line="300" w:lineRule="auto"/>
        <w:rPr>
          <w:rFonts w:ascii="宋体" w:hAnsi="宋体" w:eastAsia="宋体" w:cs="Times New Roman"/>
          <w:color w:val="auto"/>
          <w:szCs w:val="21"/>
          <w:highlight w:val="none"/>
        </w:rPr>
      </w:pPr>
    </w:p>
    <w:p w14:paraId="6306C218">
      <w:pPr>
        <w:spacing w:line="300" w:lineRule="auto"/>
        <w:rPr>
          <w:rFonts w:ascii="宋体" w:hAnsi="宋体" w:eastAsia="宋体" w:cs="Times New Roman"/>
          <w:color w:val="auto"/>
          <w:szCs w:val="21"/>
          <w:highlight w:val="none"/>
        </w:rPr>
      </w:pPr>
    </w:p>
    <w:p w14:paraId="390991F0">
      <w:pPr>
        <w:spacing w:line="300" w:lineRule="auto"/>
        <w:rPr>
          <w:rFonts w:ascii="宋体" w:hAnsi="宋体" w:eastAsia="宋体" w:cs="Times New Roman"/>
          <w:color w:val="auto"/>
          <w:szCs w:val="21"/>
          <w:highlight w:val="none"/>
        </w:rPr>
      </w:pPr>
    </w:p>
    <w:p w14:paraId="1D8398CF">
      <w:pPr>
        <w:spacing w:line="300" w:lineRule="auto"/>
        <w:rPr>
          <w:rFonts w:ascii="宋体" w:hAnsi="宋体" w:eastAsia="宋体" w:cs="Times New Roman"/>
          <w:color w:val="auto"/>
          <w:szCs w:val="21"/>
          <w:highlight w:val="none"/>
        </w:rPr>
      </w:pPr>
    </w:p>
    <w:p w14:paraId="57FD8FE7">
      <w:pPr>
        <w:spacing w:line="320" w:lineRule="exact"/>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E491FA1">
      <w:pPr>
        <w:snapToGrid w:val="0"/>
        <w:spacing w:before="120" w:beforeLines="50" w:after="5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w:t>
      </w:r>
      <w:r>
        <w:rPr>
          <w:rFonts w:hint="eastAsia" w:ascii="宋体" w:hAnsi="宋体" w:eastAsia="宋体" w:cs="Times New Roman"/>
          <w:b/>
          <w:color w:val="auto"/>
          <w:sz w:val="28"/>
          <w:szCs w:val="28"/>
          <w:highlight w:val="none"/>
        </w:rPr>
        <w:t>供应商直接控股股东信息表</w:t>
      </w:r>
    </w:p>
    <w:p w14:paraId="085AB3DB">
      <w:pPr>
        <w:snapToGrid w:val="0"/>
        <w:spacing w:before="50" w:after="120" w:afterLines="50"/>
        <w:jc w:val="center"/>
        <w:rPr>
          <w:rFonts w:ascii="宋体" w:hAnsi="宋体" w:eastAsia="宋体" w:cs="Times New Roman"/>
          <w:b/>
          <w:color w:val="auto"/>
          <w:sz w:val="28"/>
          <w:szCs w:val="28"/>
          <w:highlight w:val="none"/>
        </w:rPr>
      </w:pPr>
    </w:p>
    <w:p w14:paraId="4AA40FDB">
      <w:pPr>
        <w:snapToGrid w:val="0"/>
        <w:spacing w:before="50" w:after="120" w:afterLines="50"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供应商直接控股股东信息表</w:t>
      </w:r>
    </w:p>
    <w:tbl>
      <w:tblPr>
        <w:tblStyle w:val="2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35629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23FFFA">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18F8F6">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3BCFB9">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4CA021">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F8B769">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4168C47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B3B5F">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CC1178">
            <w:pPr>
              <w:spacing w:line="360" w:lineRule="auto"/>
              <w:jc w:val="center"/>
              <w:rPr>
                <w:rFonts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25ADA">
            <w:pPr>
              <w:spacing w:line="360" w:lineRule="auto"/>
              <w:jc w:val="center"/>
              <w:rPr>
                <w:rFonts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AF800">
            <w:pPr>
              <w:spacing w:line="360" w:lineRule="auto"/>
              <w:jc w:val="center"/>
              <w:rPr>
                <w:rFonts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1EE7DE">
            <w:pPr>
              <w:spacing w:line="360" w:lineRule="auto"/>
              <w:jc w:val="center"/>
              <w:rPr>
                <w:rFonts w:ascii="宋体" w:hAnsi="宋体" w:eastAsia="宋体" w:cs="宋体"/>
                <w:color w:val="auto"/>
                <w:kern w:val="0"/>
                <w:sz w:val="24"/>
                <w:szCs w:val="24"/>
                <w:highlight w:val="none"/>
              </w:rPr>
            </w:pPr>
          </w:p>
        </w:tc>
      </w:tr>
      <w:tr w14:paraId="7154D5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EBEEF">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E95ED">
            <w:pPr>
              <w:spacing w:line="360" w:lineRule="auto"/>
              <w:jc w:val="center"/>
              <w:rPr>
                <w:rFonts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EE4160">
            <w:pPr>
              <w:spacing w:line="360" w:lineRule="auto"/>
              <w:jc w:val="center"/>
              <w:rPr>
                <w:rFonts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60A87F">
            <w:pPr>
              <w:spacing w:line="360" w:lineRule="auto"/>
              <w:jc w:val="center"/>
              <w:rPr>
                <w:rFonts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20372">
            <w:pPr>
              <w:spacing w:line="360" w:lineRule="auto"/>
              <w:jc w:val="center"/>
              <w:rPr>
                <w:rFonts w:ascii="宋体" w:hAnsi="宋体" w:eastAsia="宋体" w:cs="宋体"/>
                <w:color w:val="auto"/>
                <w:kern w:val="0"/>
                <w:sz w:val="24"/>
                <w:szCs w:val="24"/>
                <w:highlight w:val="none"/>
              </w:rPr>
            </w:pPr>
          </w:p>
        </w:tc>
      </w:tr>
      <w:tr w14:paraId="33B24E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04CE9">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EF9B5">
            <w:pPr>
              <w:spacing w:line="360" w:lineRule="auto"/>
              <w:jc w:val="center"/>
              <w:rPr>
                <w:rFonts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F22B9F">
            <w:pPr>
              <w:spacing w:line="360" w:lineRule="auto"/>
              <w:jc w:val="center"/>
              <w:rPr>
                <w:rFonts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002694">
            <w:pPr>
              <w:spacing w:line="360" w:lineRule="auto"/>
              <w:jc w:val="center"/>
              <w:rPr>
                <w:rFonts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BA85B">
            <w:pPr>
              <w:spacing w:line="360" w:lineRule="auto"/>
              <w:jc w:val="center"/>
              <w:rPr>
                <w:rFonts w:ascii="宋体" w:hAnsi="宋体" w:eastAsia="宋体" w:cs="宋体"/>
                <w:color w:val="auto"/>
                <w:kern w:val="0"/>
                <w:sz w:val="24"/>
                <w:szCs w:val="24"/>
                <w:highlight w:val="none"/>
              </w:rPr>
            </w:pPr>
          </w:p>
        </w:tc>
      </w:tr>
      <w:tr w14:paraId="676F922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E43D4A">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1AD29D">
            <w:pPr>
              <w:spacing w:line="360" w:lineRule="auto"/>
              <w:jc w:val="center"/>
              <w:rPr>
                <w:rFonts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B4DCB">
            <w:pPr>
              <w:spacing w:line="360" w:lineRule="auto"/>
              <w:jc w:val="center"/>
              <w:rPr>
                <w:rFonts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6F177D">
            <w:pPr>
              <w:spacing w:line="360" w:lineRule="auto"/>
              <w:jc w:val="center"/>
              <w:rPr>
                <w:rFonts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D711B5">
            <w:pPr>
              <w:spacing w:line="360" w:lineRule="auto"/>
              <w:jc w:val="center"/>
              <w:rPr>
                <w:rFonts w:ascii="宋体" w:hAnsi="宋体" w:eastAsia="宋体" w:cs="宋体"/>
                <w:color w:val="auto"/>
                <w:kern w:val="0"/>
                <w:sz w:val="24"/>
                <w:szCs w:val="24"/>
                <w:highlight w:val="none"/>
              </w:rPr>
            </w:pPr>
          </w:p>
        </w:tc>
      </w:tr>
    </w:tbl>
    <w:p w14:paraId="6413AB1D">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14:paraId="6B3EED24">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EF533D">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2.本表所指的控股关系仅限于直接控股关系，不包括间接的控股关系。公司实际控制人与公司之间的关系不属于本表所指的直接控股关系。</w:t>
      </w:r>
    </w:p>
    <w:p w14:paraId="1668EFB9">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3.供应商不存在直接控股股东的，则在“</w:t>
      </w:r>
      <w:r>
        <w:rPr>
          <w:rFonts w:hint="eastAsia" w:ascii="宋体" w:hAnsi="宋体" w:eastAsia="宋体" w:cs="宋体"/>
          <w:b/>
          <w:bCs/>
          <w:color w:val="auto"/>
          <w:kern w:val="0"/>
          <w:sz w:val="24"/>
          <w:szCs w:val="24"/>
          <w:highlight w:val="none"/>
        </w:rPr>
        <w:t>直接控股股东名称</w:t>
      </w:r>
      <w:r>
        <w:rPr>
          <w:rFonts w:hint="eastAsia" w:ascii="宋体" w:hAnsi="宋体" w:eastAsia="宋体" w:cs="Times New Roman"/>
          <w:color w:val="auto"/>
          <w:sz w:val="24"/>
          <w:szCs w:val="24"/>
          <w:highlight w:val="none"/>
        </w:rPr>
        <w:t>”中填“无”。</w:t>
      </w:r>
    </w:p>
    <w:p w14:paraId="6E4D05E6">
      <w:pPr>
        <w:snapToGrid w:val="0"/>
        <w:spacing w:line="360" w:lineRule="auto"/>
        <w:jc w:val="left"/>
        <w:rPr>
          <w:rFonts w:ascii="宋体" w:hAnsi="宋体" w:eastAsia="宋体" w:cs="Times New Roman"/>
          <w:color w:val="auto"/>
          <w:sz w:val="24"/>
          <w:szCs w:val="24"/>
          <w:highlight w:val="none"/>
        </w:rPr>
      </w:pPr>
    </w:p>
    <w:p w14:paraId="7CD144A8">
      <w:pPr>
        <w:snapToGrid w:val="0"/>
        <w:spacing w:line="360" w:lineRule="auto"/>
        <w:jc w:val="left"/>
        <w:rPr>
          <w:rFonts w:ascii="宋体" w:hAnsi="宋体" w:eastAsia="宋体" w:cs="Times New Roman"/>
          <w:color w:val="auto"/>
          <w:sz w:val="24"/>
          <w:szCs w:val="24"/>
          <w:highlight w:val="none"/>
        </w:rPr>
      </w:pPr>
    </w:p>
    <w:p w14:paraId="6C8921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法定代表人或者委托代理人（签字或者电子签名）：</w:t>
      </w:r>
    </w:p>
    <w:p w14:paraId="38E27D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供应商名称（电子签章）：</w:t>
      </w:r>
    </w:p>
    <w:p w14:paraId="0E20DF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期：    年   月   日</w:t>
      </w:r>
    </w:p>
    <w:p w14:paraId="17962D27">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0A3368D3">
      <w:pPr>
        <w:snapToGrid w:val="0"/>
        <w:spacing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24"/>
          <w:szCs w:val="24"/>
          <w:highlight w:val="none"/>
        </w:rPr>
        <w:t>4.</w:t>
      </w:r>
      <w:r>
        <w:rPr>
          <w:rFonts w:ascii="Times New Roman" w:hAnsi="Times New Roman" w:eastAsia="宋体" w:cs="Times New Roman"/>
          <w:color w:val="auto"/>
          <w:szCs w:val="24"/>
          <w:highlight w:val="none"/>
        </w:rPr>
        <w:t xml:space="preserve"> </w:t>
      </w:r>
      <w:r>
        <w:rPr>
          <w:rFonts w:hint="eastAsia" w:ascii="宋体" w:hAnsi="宋体" w:eastAsia="宋体" w:cs="Times New Roman"/>
          <w:b/>
          <w:color w:val="auto"/>
          <w:sz w:val="28"/>
          <w:szCs w:val="28"/>
          <w:highlight w:val="none"/>
        </w:rPr>
        <w:t>供应商直接管理关系信息表</w:t>
      </w:r>
    </w:p>
    <w:p w14:paraId="26D79E40">
      <w:pPr>
        <w:snapToGrid w:val="0"/>
        <w:spacing w:line="360" w:lineRule="auto"/>
        <w:jc w:val="center"/>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AB9462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07A8F9">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632625">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720B3B">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8A6312">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413BD4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789D82">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7DBEA">
            <w:pPr>
              <w:spacing w:line="360" w:lineRule="auto"/>
              <w:jc w:val="center"/>
              <w:rPr>
                <w:rFonts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52B686">
            <w:pPr>
              <w:spacing w:line="360" w:lineRule="auto"/>
              <w:jc w:val="center"/>
              <w:rPr>
                <w:rFonts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5AF75B">
            <w:pPr>
              <w:spacing w:line="360" w:lineRule="auto"/>
              <w:jc w:val="center"/>
              <w:rPr>
                <w:rFonts w:ascii="宋体" w:hAnsi="宋体" w:eastAsia="宋体" w:cs="宋体"/>
                <w:color w:val="auto"/>
                <w:kern w:val="0"/>
                <w:sz w:val="24"/>
                <w:szCs w:val="24"/>
                <w:highlight w:val="none"/>
              </w:rPr>
            </w:pPr>
          </w:p>
        </w:tc>
      </w:tr>
      <w:tr w14:paraId="4117F71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55E812">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9C81B4">
            <w:pPr>
              <w:spacing w:line="360" w:lineRule="auto"/>
              <w:jc w:val="center"/>
              <w:rPr>
                <w:rFonts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61C684">
            <w:pPr>
              <w:spacing w:line="360" w:lineRule="auto"/>
              <w:jc w:val="center"/>
              <w:rPr>
                <w:rFonts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5EC0E9">
            <w:pPr>
              <w:spacing w:line="360" w:lineRule="auto"/>
              <w:jc w:val="center"/>
              <w:rPr>
                <w:rFonts w:ascii="宋体" w:hAnsi="宋体" w:eastAsia="宋体" w:cs="宋体"/>
                <w:color w:val="auto"/>
                <w:kern w:val="0"/>
                <w:sz w:val="24"/>
                <w:szCs w:val="24"/>
                <w:highlight w:val="none"/>
              </w:rPr>
            </w:pPr>
          </w:p>
        </w:tc>
      </w:tr>
      <w:tr w14:paraId="1B7CB39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72401D">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484609">
            <w:pPr>
              <w:spacing w:line="360" w:lineRule="auto"/>
              <w:jc w:val="center"/>
              <w:rPr>
                <w:rFonts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A71EB">
            <w:pPr>
              <w:spacing w:line="360" w:lineRule="auto"/>
              <w:jc w:val="center"/>
              <w:rPr>
                <w:rFonts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6390D">
            <w:pPr>
              <w:spacing w:line="360" w:lineRule="auto"/>
              <w:jc w:val="center"/>
              <w:rPr>
                <w:rFonts w:ascii="宋体" w:hAnsi="宋体" w:eastAsia="宋体" w:cs="宋体"/>
                <w:color w:val="auto"/>
                <w:kern w:val="0"/>
                <w:sz w:val="24"/>
                <w:szCs w:val="24"/>
                <w:highlight w:val="none"/>
              </w:rPr>
            </w:pPr>
          </w:p>
        </w:tc>
      </w:tr>
      <w:tr w14:paraId="079646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2E701">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5575F">
            <w:pPr>
              <w:spacing w:line="360" w:lineRule="auto"/>
              <w:jc w:val="center"/>
              <w:rPr>
                <w:rFonts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989ADF">
            <w:pPr>
              <w:spacing w:line="360" w:lineRule="auto"/>
              <w:jc w:val="center"/>
              <w:rPr>
                <w:rFonts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02681">
            <w:pPr>
              <w:spacing w:line="360" w:lineRule="auto"/>
              <w:jc w:val="center"/>
              <w:rPr>
                <w:rFonts w:ascii="宋体" w:hAnsi="宋体" w:eastAsia="宋体" w:cs="宋体"/>
                <w:color w:val="auto"/>
                <w:kern w:val="0"/>
                <w:sz w:val="24"/>
                <w:szCs w:val="24"/>
                <w:highlight w:val="none"/>
              </w:rPr>
            </w:pPr>
          </w:p>
        </w:tc>
      </w:tr>
    </w:tbl>
    <w:p w14:paraId="60B02A3B">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14:paraId="7A44E76E">
      <w:pPr>
        <w:snapToGrid w:val="0"/>
        <w:spacing w:line="360" w:lineRule="auto"/>
        <w:ind w:firstLine="472"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1.管理关系：是指不具有出资持股关系的其他单位之间存在的管理与被管理关系，如一些上下级关系的事业单位和团体组织。</w:t>
      </w:r>
    </w:p>
    <w:p w14:paraId="0136CF03">
      <w:pPr>
        <w:snapToGrid w:val="0"/>
        <w:spacing w:line="360" w:lineRule="auto"/>
        <w:ind w:firstLine="472"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pacing w:val="-6"/>
          <w:sz w:val="24"/>
          <w:szCs w:val="24"/>
          <w:highlight w:val="none"/>
        </w:rPr>
        <w:t>本表所指的管理关系仅限于直接管理关系，不包括间接的管理关系。</w:t>
      </w:r>
    </w:p>
    <w:p w14:paraId="2E9F8576">
      <w:pPr>
        <w:snapToGrid w:val="0"/>
        <w:spacing w:line="360" w:lineRule="auto"/>
        <w:ind w:firstLine="472"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3.供应商不存在直接管理关系的，则在“</w:t>
      </w:r>
      <w:r>
        <w:rPr>
          <w:rFonts w:hint="eastAsia" w:ascii="宋体" w:hAnsi="宋体" w:eastAsia="宋体" w:cs="宋体"/>
          <w:b/>
          <w:bCs/>
          <w:color w:val="auto"/>
          <w:kern w:val="0"/>
          <w:sz w:val="24"/>
          <w:szCs w:val="24"/>
          <w:highlight w:val="none"/>
        </w:rPr>
        <w:t>直接管理关系单位名称</w:t>
      </w:r>
      <w:r>
        <w:rPr>
          <w:rFonts w:hint="eastAsia" w:ascii="宋体" w:hAnsi="宋体" w:eastAsia="宋体" w:cs="Times New Roman"/>
          <w:color w:val="auto"/>
          <w:sz w:val="24"/>
          <w:szCs w:val="24"/>
          <w:highlight w:val="none"/>
        </w:rPr>
        <w:t>”中填“无”。</w:t>
      </w:r>
    </w:p>
    <w:p w14:paraId="33400975">
      <w:pPr>
        <w:snapToGrid w:val="0"/>
        <w:spacing w:line="360" w:lineRule="auto"/>
        <w:jc w:val="left"/>
        <w:rPr>
          <w:rFonts w:ascii="宋体" w:hAnsi="宋体" w:eastAsia="宋体" w:cs="Times New Roman"/>
          <w:color w:val="auto"/>
          <w:sz w:val="24"/>
          <w:szCs w:val="24"/>
          <w:highlight w:val="none"/>
        </w:rPr>
      </w:pPr>
    </w:p>
    <w:p w14:paraId="3278807D">
      <w:pPr>
        <w:snapToGrid w:val="0"/>
        <w:spacing w:line="360" w:lineRule="auto"/>
        <w:jc w:val="left"/>
        <w:rPr>
          <w:rFonts w:ascii="宋体" w:hAnsi="宋体" w:eastAsia="宋体" w:cs="Times New Roman"/>
          <w:color w:val="auto"/>
          <w:sz w:val="24"/>
          <w:szCs w:val="24"/>
          <w:highlight w:val="none"/>
        </w:rPr>
      </w:pPr>
    </w:p>
    <w:p w14:paraId="6395B12D">
      <w:pPr>
        <w:snapToGrid w:val="0"/>
        <w:spacing w:line="360" w:lineRule="auto"/>
        <w:jc w:val="left"/>
        <w:rPr>
          <w:rFonts w:ascii="宋体" w:hAnsi="宋体" w:eastAsia="宋体" w:cs="Times New Roman"/>
          <w:color w:val="auto"/>
          <w:sz w:val="24"/>
          <w:szCs w:val="24"/>
          <w:highlight w:val="none"/>
        </w:rPr>
      </w:pPr>
    </w:p>
    <w:p w14:paraId="32A3B2B7">
      <w:pPr>
        <w:snapToGrid w:val="0"/>
        <w:spacing w:line="360" w:lineRule="auto"/>
        <w:jc w:val="left"/>
        <w:rPr>
          <w:rFonts w:ascii="Times New Roman" w:hAnsi="Times New Roman" w:eastAsia="宋体" w:cs="Times New Roman"/>
          <w:color w:val="auto"/>
          <w:sz w:val="24"/>
          <w:szCs w:val="24"/>
          <w:highlight w:val="none"/>
        </w:rPr>
      </w:pPr>
    </w:p>
    <w:p w14:paraId="18797A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法定代表人或者委托代理人（签字或者电子签名）：</w:t>
      </w:r>
    </w:p>
    <w:p w14:paraId="35C101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供应商名称（电子签章）：</w:t>
      </w:r>
    </w:p>
    <w:p w14:paraId="1B6D34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期：    年   月   日</w:t>
      </w:r>
    </w:p>
    <w:p w14:paraId="185E9B3C">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1869E03B">
      <w:pPr>
        <w:snapToGrid w:val="0"/>
        <w:spacing w:before="120" w:beforeLines="50" w:after="50"/>
        <w:ind w:left="142"/>
        <w:jc w:val="left"/>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4"/>
          <w:highlight w:val="none"/>
        </w:rPr>
        <w:t>5.竞标声明</w:t>
      </w:r>
    </w:p>
    <w:p w14:paraId="49D6C38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竞标声明</w:t>
      </w:r>
    </w:p>
    <w:p w14:paraId="6B2FFC81">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2CCC2FA2">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5E0816">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r>
        <w:rPr>
          <w:rFonts w:hint="eastAsia" w:ascii="宋体" w:hAnsi="宋体" w:eastAsia="宋体" w:cs="宋体"/>
          <w:color w:val="auto"/>
          <w:sz w:val="24"/>
          <w:szCs w:val="24"/>
          <w:highlight w:val="none"/>
          <w:u w:val="single"/>
        </w:rPr>
        <w:t xml:space="preserve">（项目名称）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14:paraId="5CDACC05">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720075F">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Times New Roman"/>
          <w:color w:val="auto"/>
          <w:sz w:val="24"/>
          <w:szCs w:val="24"/>
          <w:highlight w:val="none"/>
        </w:rPr>
        <w:t>我方不是为本次采购项目提供整体设计、规范编制或者项目管理、监理、检测等服务的供应商</w:t>
      </w:r>
      <w:r>
        <w:rPr>
          <w:rFonts w:hint="eastAsia" w:ascii="宋体" w:hAnsi="宋体" w:eastAsia="宋体" w:cs="宋体"/>
          <w:color w:val="auto"/>
          <w:sz w:val="24"/>
          <w:szCs w:val="24"/>
          <w:highlight w:val="none"/>
        </w:rPr>
        <w:t>。</w:t>
      </w:r>
    </w:p>
    <w:p w14:paraId="7F250AE9">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0E960D94">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（1）将按磋商文件的约定履行合同责任和义务；</w:t>
      </w:r>
    </w:p>
    <w:p w14:paraId="226205C2">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（2）已详细审查全部磋商文件，包括澄清或者更正公告（如有）；</w:t>
      </w:r>
    </w:p>
    <w:p w14:paraId="43D93777">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（3）同意提供按照贵方可能要求的与磋商有关的一切数据或者资料；</w:t>
      </w:r>
    </w:p>
    <w:p w14:paraId="57E61CA5">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（4）响应磋商文件规定的竞标有效期。</w:t>
      </w:r>
    </w:p>
    <w:p w14:paraId="1C83D6F4">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4.我方承诺符合《中华人民共和国政府采购法》第二十二条规定：</w:t>
      </w:r>
    </w:p>
    <w:p w14:paraId="10F1081C">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835D053">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C48E5EE">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302BD03">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BA58193">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CA0CCD2">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CDE38AB">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F38A03D">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414047">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37779106">
      <w:pPr>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FBBE13">
      <w:pPr>
        <w:spacing w:line="360" w:lineRule="auto"/>
        <w:ind w:firstLine="472" w:firstLineChars="200"/>
        <w:contextualSpacing/>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7.与本磋商有关的一切正式往来信函请寄：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邮政编号：</w:t>
      </w:r>
      <w:r>
        <w:rPr>
          <w:rFonts w:hint="eastAsia" w:ascii="宋体" w:hAnsi="宋体" w:eastAsia="宋体" w:cs="宋体"/>
          <w:color w:val="auto"/>
          <w:kern w:val="0"/>
          <w:sz w:val="24"/>
          <w:szCs w:val="24"/>
          <w:highlight w:val="none"/>
          <w:u w:val="single"/>
        </w:rPr>
        <w:t xml:space="preserve">        </w:t>
      </w:r>
    </w:p>
    <w:p w14:paraId="219BE333">
      <w:pPr>
        <w:spacing w:line="360" w:lineRule="auto"/>
        <w:ind w:firstLine="472"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A953818">
      <w:pPr>
        <w:tabs>
          <w:tab w:val="left" w:pos="939"/>
        </w:tabs>
        <w:spacing w:line="360" w:lineRule="auto"/>
        <w:ind w:left="138" w:leftChars="67" w:firstLine="354"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2C644B90">
      <w:pPr>
        <w:tabs>
          <w:tab w:val="left" w:pos="939"/>
        </w:tabs>
        <w:spacing w:line="360" w:lineRule="auto"/>
        <w:ind w:firstLine="472"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8.以上事项如有虚假或者隐瞒，我方愿意承担一切后果，并不再寻求任何旨在减轻或者免除法律责任的辩解。</w:t>
      </w:r>
    </w:p>
    <w:p w14:paraId="6C099578">
      <w:pPr>
        <w:tabs>
          <w:tab w:val="left" w:pos="939"/>
        </w:tabs>
        <w:spacing w:line="360" w:lineRule="auto"/>
        <w:ind w:left="138" w:leftChars="67" w:firstLine="354"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A257F74">
      <w:pPr>
        <w:spacing w:line="360" w:lineRule="auto"/>
        <w:contextualSpacing/>
        <w:jc w:val="left"/>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Times New Roman"/>
          <w:b/>
          <w:color w:val="auto"/>
          <w:sz w:val="24"/>
          <w:szCs w:val="24"/>
          <w:highlight w:val="none"/>
        </w:rPr>
        <w:t>如为联合体竞标，盖章处须加盖联合体牵头人电子签章并由联合体牵头人法定代表人分别签字或者盖章或者电子签名，否则响应文件按无效处理。</w:t>
      </w:r>
    </w:p>
    <w:p w14:paraId="18B6ECBB">
      <w:pPr>
        <w:spacing w:line="360" w:lineRule="auto"/>
        <w:contextualSpacing/>
        <w:jc w:val="left"/>
        <w:rPr>
          <w:rFonts w:ascii="宋体" w:hAnsi="宋体" w:eastAsia="宋体" w:cs="宋体"/>
          <w:color w:val="auto"/>
          <w:sz w:val="24"/>
          <w:szCs w:val="24"/>
          <w:highlight w:val="none"/>
        </w:rPr>
      </w:pPr>
    </w:p>
    <w:p w14:paraId="1AFA44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法定代表人或者委托代理人（签字或者电子签名）：</w:t>
      </w:r>
    </w:p>
    <w:p w14:paraId="6DF1D9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供应商名称（电子签章）：</w:t>
      </w:r>
    </w:p>
    <w:p w14:paraId="14C368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24" w:firstLineChars="9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期：    年   月   日</w:t>
      </w:r>
    </w:p>
    <w:p w14:paraId="54E6D657">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br w:type="page"/>
      </w:r>
    </w:p>
    <w:p w14:paraId="413EE4AA">
      <w:pPr>
        <w:snapToGrid w:val="0"/>
        <w:spacing w:before="120" w:beforeLines="50" w:after="50" w:line="360" w:lineRule="auto"/>
        <w:ind w:left="142"/>
        <w:jc w:val="left"/>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4"/>
          <w:highlight w:val="none"/>
        </w:rPr>
        <w:t>6.中小企业声明函或监狱企业证明材料或残疾人福利性单位声明函</w:t>
      </w:r>
    </w:p>
    <w:p w14:paraId="1D0D68D9">
      <w:pPr>
        <w:spacing w:line="360" w:lineRule="auto"/>
        <w:ind w:firstLine="2180" w:firstLineChars="500"/>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w:t>
      </w:r>
    </w:p>
    <w:p w14:paraId="04880897">
      <w:pPr>
        <w:pStyle w:val="14"/>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5F884E6A">
      <w:pPr>
        <w:tabs>
          <w:tab w:val="left" w:pos="1384"/>
          <w:tab w:val="left" w:pos="4562"/>
          <w:tab w:val="left" w:pos="6803"/>
        </w:tabs>
        <w:spacing w:line="360" w:lineRule="auto"/>
        <w:ind w:left="-426" w:right="-58" w:firstLine="655"/>
        <w:contextualSpacing/>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2FDA1D3E">
      <w:pPr>
        <w:tabs>
          <w:tab w:val="left" w:pos="1065"/>
          <w:tab w:val="left" w:pos="6477"/>
        </w:tabs>
        <w:spacing w:line="360" w:lineRule="auto"/>
        <w:ind w:left="-426" w:right="-58" w:firstLine="655"/>
        <w:contextualSpacing/>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C4E4A8C">
      <w:pPr>
        <w:pStyle w:val="14"/>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0444A8A3">
      <w:pPr>
        <w:pStyle w:val="14"/>
        <w:spacing w:after="0" w:line="360" w:lineRule="auto"/>
        <w:ind w:left="-397" w:leftChars="-193" w:right="142" w:firstLine="446"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85C0A0">
      <w:pPr>
        <w:pStyle w:val="14"/>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EEFAF39">
      <w:pPr>
        <w:pStyle w:val="14"/>
        <w:spacing w:after="0" w:line="360" w:lineRule="auto"/>
        <w:ind w:right="1808"/>
        <w:contextualSpacing/>
        <w:rPr>
          <w:rFonts w:ascii="宋体" w:hAnsi="宋体" w:cs="宋体"/>
          <w:color w:val="auto"/>
          <w:sz w:val="24"/>
          <w:highlight w:val="none"/>
        </w:rPr>
      </w:pPr>
    </w:p>
    <w:p w14:paraId="42343697">
      <w:pPr>
        <w:autoSpaceDE w:val="0"/>
        <w:autoSpaceDN w:val="0"/>
        <w:spacing w:line="360" w:lineRule="auto"/>
        <w:ind w:left="4253" w:leftChars="1950" w:hanging="236" w:hangingChars="1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5C1A45">
      <w:pPr>
        <w:autoSpaceDE w:val="0"/>
        <w:autoSpaceDN w:val="0"/>
        <w:spacing w:line="360" w:lineRule="auto"/>
        <w:ind w:firstLine="4012" w:firstLineChars="17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期：  年  月   日</w:t>
      </w:r>
    </w:p>
    <w:p w14:paraId="15F4D399">
      <w:pPr>
        <w:pStyle w:val="14"/>
        <w:spacing w:after="0" w:line="360" w:lineRule="auto"/>
        <w:ind w:right="1808"/>
        <w:contextualSpacing/>
        <w:rPr>
          <w:rFonts w:ascii="宋体" w:hAnsi="宋体" w:cs="宋体"/>
          <w:color w:val="auto"/>
          <w:highlight w:val="none"/>
        </w:rPr>
      </w:pPr>
    </w:p>
    <w:p w14:paraId="625CB46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D3473E7">
      <w:pPr>
        <w:spacing w:line="520" w:lineRule="exact"/>
        <w:jc w:val="center"/>
        <w:rPr>
          <w:rFonts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残疾人福利性单位声明函</w:t>
      </w:r>
    </w:p>
    <w:p w14:paraId="19FB8C2E">
      <w:pPr>
        <w:spacing w:line="520" w:lineRule="exact"/>
        <w:rPr>
          <w:rFonts w:ascii="宋体" w:hAnsi="宋体" w:eastAsia="宋体" w:cs="宋体"/>
          <w:color w:val="auto"/>
          <w:sz w:val="32"/>
          <w:szCs w:val="32"/>
          <w:highlight w:val="none"/>
        </w:rPr>
      </w:pPr>
    </w:p>
    <w:p w14:paraId="1C4E32A8">
      <w:pPr>
        <w:spacing w:line="360" w:lineRule="auto"/>
        <w:ind w:firstLine="472"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0C905B6B">
      <w:pPr>
        <w:spacing w:line="360" w:lineRule="auto"/>
        <w:ind w:firstLine="472"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EC583E1">
      <w:pPr>
        <w:spacing w:line="360" w:lineRule="auto"/>
        <w:rPr>
          <w:rFonts w:ascii="宋体" w:hAnsi="宋体" w:eastAsia="宋体" w:cs="宋体"/>
          <w:color w:val="auto"/>
          <w:sz w:val="24"/>
          <w:highlight w:val="none"/>
        </w:rPr>
      </w:pPr>
    </w:p>
    <w:p w14:paraId="76633058">
      <w:pPr>
        <w:spacing w:line="360" w:lineRule="auto"/>
        <w:ind w:firstLine="2360" w:firstLineChars="1000"/>
        <w:rPr>
          <w:rFonts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46119C">
      <w:pPr>
        <w:spacing w:line="360" w:lineRule="auto"/>
        <w:ind w:firstLine="2360" w:firstLineChars="1000"/>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53953F3">
      <w:pPr>
        <w:spacing w:line="360" w:lineRule="auto"/>
        <w:rPr>
          <w:rFonts w:ascii="宋体" w:hAnsi="宋体" w:eastAsia="宋体" w:cs="宋体"/>
          <w:color w:val="auto"/>
          <w:sz w:val="24"/>
          <w:highlight w:val="none"/>
        </w:rPr>
      </w:pPr>
    </w:p>
    <w:p w14:paraId="5ACC02C7">
      <w:pPr>
        <w:spacing w:line="360" w:lineRule="auto"/>
        <w:rPr>
          <w:rFonts w:ascii="宋体" w:hAnsi="宋体" w:eastAsia="宋体" w:cs="宋体"/>
          <w:color w:val="auto"/>
          <w:sz w:val="24"/>
          <w:highlight w:val="none"/>
        </w:rPr>
      </w:pPr>
    </w:p>
    <w:p w14:paraId="53CC9C2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w:t>
      </w:r>
      <w:r>
        <w:rPr>
          <w:rFonts w:hint="eastAsia" w:ascii="宋体" w:hAnsi="宋体" w:eastAsia="宋体" w:cs="宋体"/>
          <w:color w:val="auto"/>
          <w:sz w:val="24"/>
          <w:highlight w:val="none"/>
          <w:lang w:eastAsia="zh-CN"/>
        </w:rPr>
        <w:t>竞</w:t>
      </w:r>
      <w:r>
        <w:rPr>
          <w:rFonts w:hint="eastAsia" w:ascii="宋体" w:hAnsi="宋体" w:eastAsia="宋体" w:cs="宋体"/>
          <w:color w:val="auto"/>
          <w:sz w:val="24"/>
          <w:highlight w:val="none"/>
        </w:rPr>
        <w:t>标人提供由省级以上监狱管理局、戒毒管理局（含新疆生产建设兵团）出具的属于监狱企业证明文件的，视同为小型和微型企业。</w:t>
      </w:r>
    </w:p>
    <w:p w14:paraId="16D34952">
      <w:pPr>
        <w:rPr>
          <w:rFonts w:ascii="宋体" w:hAnsi="宋体" w:eastAsia="宋体" w:cs="宋体"/>
          <w:color w:val="auto"/>
          <w:highlight w:val="none"/>
        </w:rPr>
        <w:sectPr>
          <w:pgSz w:w="11910" w:h="16840"/>
          <w:pgMar w:top="1440" w:right="1440" w:bottom="1440" w:left="1587" w:header="850" w:footer="992" w:gutter="0"/>
          <w:pgNumType w:fmt="decimal"/>
          <w:cols w:space="0" w:num="1"/>
          <w:rtlGutter w:val="0"/>
          <w:docGrid w:type="linesAndChars" w:linePitch="294" w:charSpace="-878"/>
        </w:sectPr>
      </w:pPr>
    </w:p>
    <w:p w14:paraId="6589249E">
      <w:pPr>
        <w:spacing w:line="360" w:lineRule="auto"/>
        <w:ind w:right="420"/>
        <w:contextualSpacing/>
        <w:jc w:val="left"/>
        <w:rPr>
          <w:rFonts w:ascii="宋体" w:hAnsi="宋体" w:eastAsia="宋体" w:cs="Times New Roman"/>
          <w:b/>
          <w:color w:val="auto"/>
          <w:sz w:val="32"/>
          <w:szCs w:val="32"/>
          <w:highlight w:val="none"/>
        </w:rPr>
      </w:pPr>
      <w:r>
        <w:rPr>
          <w:rFonts w:hint="eastAsia" w:ascii="宋体" w:hAnsi="宋体" w:eastAsia="宋体" w:cs="Times New Roman"/>
          <w:b/>
          <w:bCs/>
          <w:color w:val="auto"/>
          <w:sz w:val="32"/>
          <w:szCs w:val="32"/>
          <w:highlight w:val="none"/>
        </w:rPr>
        <w:t>二、</w:t>
      </w:r>
      <w:r>
        <w:rPr>
          <w:rFonts w:hint="eastAsia" w:ascii="宋体" w:hAnsi="宋体" w:eastAsia="宋体" w:cs="Times New Roman"/>
          <w:b/>
          <w:color w:val="auto"/>
          <w:sz w:val="32"/>
          <w:szCs w:val="32"/>
          <w:highlight w:val="none"/>
        </w:rPr>
        <w:t xml:space="preserve">报价文件格式 </w:t>
      </w:r>
    </w:p>
    <w:p w14:paraId="4559C959">
      <w:pPr>
        <w:snapToGrid w:val="0"/>
        <w:spacing w:before="120" w:beforeLines="50" w:after="5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1.报价文件封面格式</w:t>
      </w:r>
    </w:p>
    <w:p w14:paraId="025CBD0F">
      <w:pPr>
        <w:snapToGrid w:val="0"/>
        <w:spacing w:before="120"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p>
    <w:p w14:paraId="1B6FD6BF">
      <w:pPr>
        <w:snapToGrid w:val="0"/>
        <w:spacing w:before="120" w:beforeLines="50" w:after="50"/>
        <w:jc w:val="center"/>
        <w:rPr>
          <w:rFonts w:ascii="宋体" w:hAnsi="宋体" w:eastAsia="宋体" w:cs="Times New Roman"/>
          <w:color w:val="auto"/>
          <w:sz w:val="24"/>
          <w:szCs w:val="20"/>
          <w:highlight w:val="none"/>
        </w:rPr>
      </w:pPr>
      <w:r>
        <w:rPr>
          <w:rFonts w:hint="eastAsia" w:ascii="宋体" w:hAnsi="宋体" w:eastAsia="宋体" w:cs="Times New Roman"/>
          <w:color w:val="auto"/>
          <w:sz w:val="44"/>
          <w:szCs w:val="44"/>
          <w:highlight w:val="none"/>
        </w:rPr>
        <w:t>电 子 响 应 文 件</w:t>
      </w:r>
    </w:p>
    <w:p w14:paraId="66DE47CA">
      <w:pPr>
        <w:snapToGrid w:val="0"/>
        <w:spacing w:before="120" w:beforeLines="50" w:after="50"/>
        <w:rPr>
          <w:rFonts w:ascii="宋体" w:hAnsi="宋体" w:eastAsia="宋体" w:cs="Times New Roman"/>
          <w:color w:val="auto"/>
          <w:sz w:val="24"/>
          <w:szCs w:val="20"/>
          <w:highlight w:val="none"/>
        </w:rPr>
      </w:pPr>
    </w:p>
    <w:p w14:paraId="473AE7FC">
      <w:pPr>
        <w:snapToGrid w:val="0"/>
        <w:spacing w:before="120" w:beforeLines="50" w:after="50"/>
        <w:rPr>
          <w:rFonts w:ascii="宋体" w:hAnsi="宋体" w:eastAsia="宋体" w:cs="Times New Roman"/>
          <w:color w:val="auto"/>
          <w:sz w:val="24"/>
          <w:szCs w:val="20"/>
          <w:highlight w:val="none"/>
        </w:rPr>
      </w:pPr>
    </w:p>
    <w:p w14:paraId="52749C62">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294B26FE">
      <w:pPr>
        <w:snapToGrid w:val="0"/>
        <w:spacing w:before="120" w:beforeLines="50" w:after="50"/>
        <w:rPr>
          <w:rFonts w:ascii="宋体" w:hAnsi="宋体" w:eastAsia="宋体" w:cs="Times New Roman"/>
          <w:bCs/>
          <w:color w:val="auto"/>
          <w:sz w:val="24"/>
          <w:szCs w:val="20"/>
          <w:highlight w:val="none"/>
        </w:rPr>
      </w:pPr>
    </w:p>
    <w:p w14:paraId="07CB4C8D">
      <w:pPr>
        <w:snapToGrid w:val="0"/>
        <w:spacing w:before="120" w:beforeLines="50" w:after="50"/>
        <w:rPr>
          <w:rFonts w:ascii="宋体" w:hAnsi="宋体" w:eastAsia="宋体" w:cs="Times New Roman"/>
          <w:bCs/>
          <w:color w:val="auto"/>
          <w:sz w:val="24"/>
          <w:szCs w:val="20"/>
          <w:highlight w:val="none"/>
        </w:rPr>
      </w:pPr>
    </w:p>
    <w:p w14:paraId="441005D1">
      <w:pPr>
        <w:snapToGrid w:val="0"/>
        <w:spacing w:before="120" w:beforeLines="50" w:after="50"/>
        <w:rPr>
          <w:rFonts w:ascii="宋体" w:hAnsi="宋体" w:eastAsia="宋体" w:cs="Times New Roman"/>
          <w:bCs/>
          <w:color w:val="auto"/>
          <w:sz w:val="24"/>
          <w:szCs w:val="20"/>
          <w:highlight w:val="none"/>
        </w:rPr>
      </w:pPr>
    </w:p>
    <w:p w14:paraId="336A5B1A">
      <w:pPr>
        <w:snapToGrid w:val="0"/>
        <w:spacing w:before="120" w:beforeLines="50" w:after="50"/>
        <w:rPr>
          <w:rFonts w:ascii="宋体" w:hAnsi="宋体" w:eastAsia="宋体" w:cs="Times New Roman"/>
          <w:bCs/>
          <w:color w:val="auto"/>
          <w:sz w:val="24"/>
          <w:szCs w:val="20"/>
          <w:highlight w:val="none"/>
        </w:rPr>
      </w:pPr>
    </w:p>
    <w:p w14:paraId="06F36BB9">
      <w:pPr>
        <w:snapToGrid w:val="0"/>
        <w:spacing w:before="120" w:beforeLines="50" w:after="50"/>
        <w:rPr>
          <w:rFonts w:ascii="宋体" w:hAnsi="宋体" w:eastAsia="宋体" w:cs="Times New Roman"/>
          <w:bCs/>
          <w:color w:val="auto"/>
          <w:sz w:val="24"/>
          <w:szCs w:val="20"/>
          <w:highlight w:val="none"/>
        </w:rPr>
      </w:pPr>
    </w:p>
    <w:p w14:paraId="58D6FBDD">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14D7F241">
      <w:pPr>
        <w:snapToGrid w:val="0"/>
        <w:spacing w:before="120" w:beforeLines="50" w:after="50"/>
        <w:ind w:firstLine="711" w:firstLineChars="225"/>
        <w:rPr>
          <w:rFonts w:ascii="宋体" w:hAnsi="宋体" w:eastAsia="宋体" w:cs="仿宋_GB2312"/>
          <w:bCs/>
          <w:color w:val="auto"/>
          <w:sz w:val="32"/>
          <w:szCs w:val="32"/>
          <w:highlight w:val="none"/>
        </w:rPr>
      </w:pPr>
    </w:p>
    <w:p w14:paraId="37920863">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5DA2883B">
      <w:pPr>
        <w:snapToGrid w:val="0"/>
        <w:spacing w:before="120" w:beforeLines="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163141B2">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4A1DE6F6">
      <w:pPr>
        <w:snapToGrid w:val="0"/>
        <w:spacing w:before="120" w:beforeLines="50" w:after="50"/>
        <w:ind w:firstLine="711" w:firstLineChars="225"/>
        <w:rPr>
          <w:rFonts w:ascii="宋体" w:hAnsi="宋体" w:eastAsia="宋体" w:cs="仿宋_GB2312"/>
          <w:bCs/>
          <w:color w:val="auto"/>
          <w:sz w:val="32"/>
          <w:szCs w:val="32"/>
          <w:highlight w:val="none"/>
        </w:rPr>
      </w:pPr>
    </w:p>
    <w:p w14:paraId="2423A56C">
      <w:pPr>
        <w:snapToGrid w:val="0"/>
        <w:spacing w:before="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452F437C">
      <w:pPr>
        <w:snapToGrid w:val="0"/>
        <w:spacing w:before="120" w:beforeLines="50" w:after="50"/>
        <w:rPr>
          <w:rFonts w:ascii="宋体" w:hAnsi="宋体" w:eastAsia="宋体" w:cs="Times New Roman"/>
          <w:bCs/>
          <w:color w:val="auto"/>
          <w:sz w:val="24"/>
          <w:szCs w:val="20"/>
          <w:highlight w:val="none"/>
        </w:rPr>
      </w:pPr>
    </w:p>
    <w:p w14:paraId="288D96C5">
      <w:pPr>
        <w:snapToGrid w:val="0"/>
        <w:spacing w:before="120" w:beforeLines="50" w:after="50"/>
        <w:rPr>
          <w:rFonts w:ascii="宋体" w:hAnsi="宋体" w:eastAsia="宋体" w:cs="Times New Roman"/>
          <w:bCs/>
          <w:color w:val="auto"/>
          <w:sz w:val="24"/>
          <w:szCs w:val="20"/>
          <w:highlight w:val="none"/>
        </w:rPr>
      </w:pPr>
    </w:p>
    <w:p w14:paraId="47EDB994">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27FC7E2">
      <w:pPr>
        <w:snapToGrid w:val="0"/>
        <w:spacing w:before="120" w:beforeLines="50" w:after="50" w:line="360" w:lineRule="auto"/>
        <w:ind w:left="142"/>
        <w:jc w:val="left"/>
        <w:rPr>
          <w:rFonts w:ascii="宋体" w:hAnsi="宋体" w:eastAsia="宋体" w:cs="Times New Roman"/>
          <w:b/>
          <w:bCs/>
          <w:color w:val="auto"/>
          <w:sz w:val="24"/>
          <w:szCs w:val="24"/>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bCs/>
          <w:color w:val="auto"/>
          <w:sz w:val="32"/>
          <w:szCs w:val="32"/>
          <w:highlight w:val="none"/>
        </w:rPr>
        <w:t>2.报价文件目录</w:t>
      </w:r>
    </w:p>
    <w:p w14:paraId="6D7E49E9">
      <w:pPr>
        <w:pStyle w:val="19"/>
        <w:spacing w:line="500" w:lineRule="exact"/>
        <w:jc w:val="center"/>
        <w:rPr>
          <w:rFonts w:hint="eastAsia" w:hAnsi="宋体"/>
          <w:color w:val="auto"/>
          <w:sz w:val="32"/>
          <w:szCs w:val="32"/>
          <w:highlight w:val="none"/>
        </w:rPr>
      </w:pPr>
      <w:r>
        <w:rPr>
          <w:rFonts w:hint="eastAsia" w:hAnsi="宋体"/>
          <w:color w:val="auto"/>
          <w:sz w:val="32"/>
          <w:szCs w:val="32"/>
          <w:highlight w:val="none"/>
        </w:rPr>
        <w:t>根据磋商文件规定及供应商提供的材料自行编写目录（部分格式后附）。</w:t>
      </w:r>
    </w:p>
    <w:p w14:paraId="2CC2AF4F">
      <w:pPr>
        <w:rPr>
          <w:rFonts w:hint="eastAsia" w:hAnsi="宋体"/>
          <w:color w:val="auto"/>
          <w:sz w:val="32"/>
          <w:szCs w:val="32"/>
          <w:highlight w:val="none"/>
        </w:rPr>
      </w:pPr>
      <w:r>
        <w:rPr>
          <w:rFonts w:hint="eastAsia" w:hAnsi="宋体"/>
          <w:color w:val="auto"/>
          <w:sz w:val="32"/>
          <w:szCs w:val="32"/>
          <w:highlight w:val="none"/>
        </w:rPr>
        <w:br w:type="page"/>
      </w:r>
    </w:p>
    <w:p w14:paraId="7F5115C3">
      <w:pPr>
        <w:pStyle w:val="19"/>
        <w:spacing w:line="360" w:lineRule="auto"/>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14:paraId="4693C371">
      <w:pPr>
        <w:pStyle w:val="19"/>
        <w:spacing w:line="360" w:lineRule="auto"/>
        <w:rPr>
          <w:rFonts w:hint="default" w:hAnsi="宋体" w:eastAsia="宋体" w:cs="宋体"/>
          <w:color w:val="auto"/>
          <w:sz w:val="21"/>
          <w:highlight w:val="none"/>
          <w:lang w:val="en-US" w:eastAsia="zh-CN"/>
        </w:rPr>
      </w:pPr>
      <w:r>
        <w:rPr>
          <w:rFonts w:hint="eastAsia" w:hAnsi="宋体" w:cs="宋体"/>
          <w:color w:val="auto"/>
          <w:sz w:val="21"/>
          <w:highlight w:val="none"/>
        </w:rPr>
        <w:t>致：</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 xml:space="preserve">  </w:t>
      </w:r>
      <w:r>
        <w:rPr>
          <w:rFonts w:hint="eastAsia" w:hAnsi="宋体" w:cs="宋体"/>
          <w:color w:val="auto"/>
          <w:sz w:val="21"/>
          <w:highlight w:val="none"/>
          <w:u w:val="single"/>
          <w:lang w:val="en-US" w:eastAsia="zh-CN"/>
        </w:rPr>
        <w:t xml:space="preserve">    （采购人名称）</w:t>
      </w:r>
    </w:p>
    <w:p w14:paraId="39ACF30E">
      <w:pPr>
        <w:pStyle w:val="19"/>
        <w:spacing w:line="360" w:lineRule="auto"/>
        <w:ind w:firstLine="412" w:firstLineChars="200"/>
        <w:rPr>
          <w:rFonts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 xml:space="preserve">                     </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）的竞争性磋商采购文件的全部内容，现正式递交下述文件参加贵方组织的本次政府采购活动： </w:t>
      </w:r>
    </w:p>
    <w:p w14:paraId="612E4264">
      <w:pPr>
        <w:pStyle w:val="19"/>
        <w:spacing w:line="360" w:lineRule="auto"/>
        <w:ind w:firstLine="412" w:firstLineChars="200"/>
        <w:rPr>
          <w:rFonts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5C6F713C">
      <w:pPr>
        <w:pStyle w:val="19"/>
        <w:spacing w:line="360" w:lineRule="auto"/>
        <w:ind w:firstLine="412" w:firstLineChars="200"/>
        <w:rPr>
          <w:rFonts w:hAnsi="宋体" w:cs="宋体"/>
          <w:color w:val="auto"/>
          <w:sz w:val="21"/>
          <w:highlight w:val="none"/>
        </w:rPr>
      </w:pPr>
      <w:r>
        <w:rPr>
          <w:rFonts w:hint="eastAsia" w:hAnsi="宋体" w:cs="宋体"/>
          <w:color w:val="auto"/>
          <w:sz w:val="21"/>
          <w:highlight w:val="none"/>
        </w:rPr>
        <w:t>二、技术文件电子版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供应商须知”提交的全部文件）；（商务技术文件已合并装订成册）；</w:t>
      </w:r>
    </w:p>
    <w:p w14:paraId="46C1F4F6">
      <w:pPr>
        <w:pStyle w:val="19"/>
        <w:spacing w:line="360" w:lineRule="auto"/>
        <w:ind w:firstLine="412" w:firstLineChars="200"/>
        <w:rPr>
          <w:rFonts w:hAnsi="宋体" w:cs="宋体"/>
          <w:color w:val="auto"/>
          <w:sz w:val="21"/>
          <w:highlight w:val="none"/>
        </w:rPr>
      </w:pPr>
      <w:r>
        <w:rPr>
          <w:rFonts w:hint="eastAsia" w:hAnsi="宋体" w:cs="宋体"/>
          <w:color w:val="auto"/>
          <w:sz w:val="21"/>
          <w:highlight w:val="none"/>
        </w:rPr>
        <w:t>三、资格证明文件电子版（包含按“第三章供应商须知”提交的全部文件）；</w:t>
      </w:r>
    </w:p>
    <w:p w14:paraId="1A7E7120">
      <w:pPr>
        <w:pStyle w:val="19"/>
        <w:spacing w:line="360" w:lineRule="auto"/>
        <w:ind w:firstLine="412" w:firstLineChars="200"/>
        <w:rPr>
          <w:rFonts w:hAnsi="宋体" w:cs="宋体"/>
          <w:color w:val="auto"/>
          <w:sz w:val="21"/>
          <w:highlight w:val="none"/>
        </w:rPr>
      </w:pPr>
      <w:r>
        <w:rPr>
          <w:rFonts w:hint="eastAsia" w:hAnsi="宋体" w:cs="宋体"/>
          <w:color w:val="auto"/>
          <w:sz w:val="21"/>
          <w:highlight w:val="none"/>
        </w:rPr>
        <w:t>据此函，签字人兹宣布：</w:t>
      </w:r>
    </w:p>
    <w:p w14:paraId="132D1BF9">
      <w:pPr>
        <w:spacing w:line="360" w:lineRule="auto"/>
        <w:ind w:firstLine="535"/>
        <w:rPr>
          <w:rFonts w:ascii="宋体" w:hAnsi="宋体" w:eastAsia="宋体" w:cs="宋体"/>
          <w:color w:val="auto"/>
          <w:highlight w:val="none"/>
        </w:rPr>
      </w:pPr>
      <w:r>
        <w:rPr>
          <w:rFonts w:hint="eastAsia" w:ascii="宋体" w:hAnsi="宋体" w:eastAsia="宋体" w:cs="宋体"/>
          <w:color w:val="auto"/>
          <w:spacing w:val="2"/>
          <w:szCs w:val="21"/>
          <w:highlight w:val="none"/>
        </w:rPr>
        <w:t>1、</w:t>
      </w:r>
      <w:r>
        <w:rPr>
          <w:rFonts w:hint="eastAsia" w:ascii="宋体" w:hAnsi="宋体" w:eastAsia="宋体" w:cs="宋体"/>
          <w:color w:val="auto"/>
          <w:spacing w:val="8"/>
          <w:szCs w:val="21"/>
          <w:highlight w:val="none"/>
        </w:rPr>
        <w:t>我单位经考察现场和研究上述工程竞争性磋商文件的</w:t>
      </w:r>
      <w:r>
        <w:rPr>
          <w:rFonts w:hint="eastAsia" w:ascii="宋体" w:hAnsi="宋体" w:eastAsia="宋体" w:cs="宋体"/>
          <w:color w:val="auto"/>
          <w:szCs w:val="21"/>
          <w:highlight w:val="none"/>
        </w:rPr>
        <w:t>磋商</w:t>
      </w:r>
      <w:r>
        <w:rPr>
          <w:rFonts w:hint="eastAsia" w:ascii="宋体" w:hAnsi="宋体" w:eastAsia="宋体" w:cs="宋体"/>
          <w:color w:val="auto"/>
          <w:spacing w:val="8"/>
          <w:szCs w:val="21"/>
          <w:highlight w:val="none"/>
        </w:rPr>
        <w:t>须知、合同条件、技术规范、图纸和其他有关文件后，我方承接项目的磋商报价为人民币</w:t>
      </w:r>
      <w:r>
        <w:rPr>
          <w:rFonts w:hint="eastAsia" w:ascii="宋体" w:hAnsi="宋体" w:eastAsia="宋体" w:cs="宋体"/>
          <w:color w:val="auto"/>
          <w:spacing w:val="8"/>
          <w:szCs w:val="21"/>
          <w:highlight w:val="none"/>
          <w:u w:val="single"/>
        </w:rPr>
        <w:t xml:space="preserve">         （大写）      </w:t>
      </w:r>
      <w:r>
        <w:rPr>
          <w:rFonts w:hint="eastAsia" w:ascii="宋体" w:hAnsi="宋体" w:eastAsia="宋体" w:cs="宋体"/>
          <w:color w:val="auto"/>
          <w:spacing w:val="8"/>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8"/>
          <w:szCs w:val="21"/>
          <w:highlight w:val="none"/>
        </w:rPr>
        <w:t>）</w:t>
      </w:r>
      <w:r>
        <w:rPr>
          <w:rFonts w:hint="eastAsia" w:ascii="宋体" w:hAnsi="宋体" w:eastAsia="宋体" w:cs="宋体"/>
          <w:color w:val="auto"/>
          <w:szCs w:val="21"/>
          <w:highlight w:val="none"/>
        </w:rPr>
        <w:t>，我方保证工期：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，并保证工程质量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8"/>
          <w:szCs w:val="21"/>
          <w:highlight w:val="none"/>
        </w:rPr>
        <w:t>。</w:t>
      </w:r>
      <w:r>
        <w:rPr>
          <w:rFonts w:hint="eastAsia" w:ascii="宋体" w:hAnsi="宋体" w:eastAsia="宋体" w:cs="宋体"/>
          <w:color w:val="auto"/>
          <w:szCs w:val="21"/>
          <w:highlight w:val="none"/>
        </w:rPr>
        <w:t>按上述合同条件、技术规范、图纸的条件承包本采购范围内全部工程的施工、竣工和保修。</w:t>
      </w:r>
    </w:p>
    <w:p w14:paraId="26AC001B">
      <w:pPr>
        <w:pStyle w:val="19"/>
        <w:spacing w:line="360" w:lineRule="auto"/>
        <w:ind w:firstLine="482"/>
        <w:rPr>
          <w:rFonts w:hAnsi="宋体" w:cs="宋体"/>
          <w:color w:val="auto"/>
          <w:sz w:val="21"/>
          <w:highlight w:val="none"/>
        </w:rPr>
      </w:pPr>
      <w:r>
        <w:rPr>
          <w:rFonts w:hint="eastAsia" w:hAnsi="宋体" w:cs="宋体"/>
          <w:color w:val="auto"/>
          <w:sz w:val="21"/>
          <w:highlight w:val="none"/>
        </w:rPr>
        <w:t>2、我方同意自本项目竞争性磋商采购文件采购公告规定的递交响应文件截止时间起遵循本响应函，并承诺在“第三章 供应商须知”规定的响应有效期内不修改、撤销响应文件。</w:t>
      </w:r>
    </w:p>
    <w:p w14:paraId="7C17E954">
      <w:pPr>
        <w:pStyle w:val="19"/>
        <w:spacing w:line="360" w:lineRule="auto"/>
        <w:ind w:firstLine="482"/>
        <w:rPr>
          <w:rFonts w:hAnsi="宋体" w:cs="宋体"/>
          <w:color w:val="auto"/>
          <w:sz w:val="21"/>
          <w:highlight w:val="none"/>
        </w:rPr>
      </w:pPr>
      <w:r>
        <w:rPr>
          <w:rFonts w:hint="eastAsia" w:hAnsi="宋体" w:cs="宋体"/>
          <w:color w:val="auto"/>
          <w:sz w:val="21"/>
          <w:highlight w:val="none"/>
        </w:rPr>
        <w:t>3、我方在此声明，所递交的响应文件及有关资料内容完整、真实和准确。</w:t>
      </w:r>
    </w:p>
    <w:p w14:paraId="0EF50100">
      <w:pPr>
        <w:pStyle w:val="19"/>
        <w:spacing w:line="360" w:lineRule="auto"/>
        <w:ind w:firstLine="482"/>
        <w:rPr>
          <w:rFonts w:hAnsi="宋体" w:cs="宋体"/>
          <w:color w:val="auto"/>
          <w:sz w:val="21"/>
          <w:highlight w:val="none"/>
        </w:rPr>
      </w:pPr>
      <w:r>
        <w:rPr>
          <w:rFonts w:hint="eastAsia" w:hAnsi="宋体" w:cs="宋体"/>
          <w:color w:val="auto"/>
          <w:sz w:val="21"/>
          <w:highlight w:val="none"/>
        </w:rPr>
        <w:t>4、如本项目采购内容涉及须符合国家强制规定的，我方承诺我方本次竞标均符合国家有关强制规定。</w:t>
      </w:r>
    </w:p>
    <w:p w14:paraId="17766E32">
      <w:pPr>
        <w:pStyle w:val="19"/>
        <w:spacing w:line="360" w:lineRule="auto"/>
        <w:ind w:firstLine="482"/>
        <w:rPr>
          <w:rFonts w:hAnsi="宋体" w:cs="宋体"/>
          <w:color w:val="auto"/>
          <w:sz w:val="21"/>
          <w:highlight w:val="none"/>
        </w:rPr>
      </w:pPr>
      <w:r>
        <w:rPr>
          <w:rFonts w:hint="eastAsia" w:hAnsi="宋体" w:cs="宋体"/>
          <w:color w:val="auto"/>
          <w:sz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0AE2279">
      <w:pPr>
        <w:pStyle w:val="19"/>
        <w:spacing w:line="360" w:lineRule="auto"/>
        <w:ind w:firstLine="482"/>
        <w:rPr>
          <w:rFonts w:hAnsi="宋体" w:cs="宋体"/>
          <w:color w:val="auto"/>
          <w:sz w:val="21"/>
          <w:highlight w:val="none"/>
        </w:rPr>
      </w:pPr>
      <w:r>
        <w:rPr>
          <w:rFonts w:hint="eastAsia" w:hAnsi="宋体" w:cs="宋体"/>
          <w:color w:val="auto"/>
          <w:sz w:val="21"/>
          <w:highlight w:val="none"/>
        </w:rPr>
        <w:t>6、我方已详细审核竞争性磋商采购文件，我方知道必须放弃提出含糊不清或误解问题的权利。</w:t>
      </w:r>
    </w:p>
    <w:p w14:paraId="627DACAE">
      <w:pPr>
        <w:pStyle w:val="19"/>
        <w:spacing w:line="360" w:lineRule="auto"/>
        <w:ind w:firstLine="482"/>
        <w:rPr>
          <w:rFonts w:hAnsi="宋体" w:cs="宋体"/>
          <w:color w:val="auto"/>
          <w:sz w:val="21"/>
          <w:highlight w:val="none"/>
        </w:rPr>
      </w:pPr>
      <w:r>
        <w:rPr>
          <w:rFonts w:hint="eastAsia" w:hAnsi="宋体" w:cs="宋体"/>
          <w:color w:val="auto"/>
          <w:sz w:val="21"/>
          <w:highlight w:val="none"/>
        </w:rPr>
        <w:t>7、我方承诺满足竞争性磋商采购文件第六章“合同文本”的条款，承担完成合同的责任和义务。</w:t>
      </w:r>
    </w:p>
    <w:p w14:paraId="4E1E6662">
      <w:pPr>
        <w:pStyle w:val="19"/>
        <w:spacing w:line="360" w:lineRule="auto"/>
        <w:ind w:firstLine="482"/>
        <w:rPr>
          <w:rFonts w:hAnsi="宋体" w:cs="宋体"/>
          <w:color w:val="auto"/>
          <w:sz w:val="21"/>
          <w:highlight w:val="none"/>
        </w:rPr>
      </w:pPr>
      <w:r>
        <w:rPr>
          <w:rFonts w:hint="eastAsia" w:hAnsi="宋体" w:cs="宋体"/>
          <w:color w:val="auto"/>
          <w:sz w:val="21"/>
          <w:highlight w:val="none"/>
        </w:rPr>
        <w:t>8、我方同意应贵方要求提供与本竞标有关的任何数据或资料。若贵方需要，我方愿意提供我方作出的一切承诺的证明材料。</w:t>
      </w:r>
    </w:p>
    <w:p w14:paraId="1FCD252C">
      <w:pPr>
        <w:pStyle w:val="19"/>
        <w:spacing w:line="360" w:lineRule="auto"/>
        <w:ind w:firstLine="482"/>
        <w:rPr>
          <w:rFonts w:hAnsi="宋体" w:cs="宋体"/>
          <w:color w:val="auto"/>
          <w:sz w:val="21"/>
          <w:highlight w:val="none"/>
        </w:rPr>
      </w:pPr>
      <w:r>
        <w:rPr>
          <w:rFonts w:hint="eastAsia" w:hAnsi="宋体" w:cs="宋体"/>
          <w:color w:val="auto"/>
          <w:sz w:val="21"/>
          <w:highlight w:val="none"/>
        </w:rPr>
        <w:t>9、我方完全理解贵方不一定接受响应报价最低的竞标人为成交供应商的行为。</w:t>
      </w:r>
    </w:p>
    <w:p w14:paraId="5089F951">
      <w:pPr>
        <w:pStyle w:val="19"/>
        <w:spacing w:line="360" w:lineRule="auto"/>
        <w:ind w:firstLine="482"/>
        <w:rPr>
          <w:rFonts w:hAnsi="宋体" w:cs="宋体"/>
          <w:color w:val="auto"/>
          <w:sz w:val="21"/>
          <w:highlight w:val="none"/>
        </w:rPr>
      </w:pPr>
      <w:r>
        <w:rPr>
          <w:rFonts w:hint="eastAsia" w:hAnsi="宋体" w:cs="宋体"/>
          <w:color w:val="auto"/>
          <w:sz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6D4B50">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提供虚假材料谋取中标、成交的；</w:t>
      </w:r>
    </w:p>
    <w:p w14:paraId="62C33D1C">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采取不正当手段诋毁、排挤其他供应商的；</w:t>
      </w:r>
    </w:p>
    <w:p w14:paraId="60CBC00B">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与采购人、其他供应商或者采购代理机构恶意串通的；</w:t>
      </w:r>
    </w:p>
    <w:p w14:paraId="3556B7B3">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5F296E11">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在采购过程中与采购人进行协商谈判的；</w:t>
      </w:r>
    </w:p>
    <w:p w14:paraId="68FF496C">
      <w:pPr>
        <w:pStyle w:val="19"/>
        <w:numPr>
          <w:ilvl w:val="0"/>
          <w:numId w:val="4"/>
        </w:numPr>
        <w:tabs>
          <w:tab w:val="left" w:pos="945"/>
        </w:tabs>
        <w:spacing w:line="360" w:lineRule="auto"/>
        <w:rPr>
          <w:rFonts w:hAnsi="宋体" w:cs="宋体"/>
          <w:color w:val="auto"/>
          <w:sz w:val="21"/>
          <w:highlight w:val="none"/>
        </w:rPr>
      </w:pPr>
      <w:r>
        <w:rPr>
          <w:rFonts w:hint="eastAsia" w:hAnsi="宋体" w:cs="宋体"/>
          <w:color w:val="auto"/>
          <w:sz w:val="21"/>
          <w:highlight w:val="none"/>
        </w:rPr>
        <w:t>拒绝有关部门监督检查或提供虚假情况的。</w:t>
      </w:r>
    </w:p>
    <w:p w14:paraId="60BFB7B0">
      <w:pPr>
        <w:pStyle w:val="19"/>
        <w:spacing w:line="360" w:lineRule="auto"/>
        <w:ind w:firstLine="420"/>
        <w:rPr>
          <w:rFonts w:hAnsi="宋体" w:cs="宋体"/>
          <w:color w:val="auto"/>
          <w:sz w:val="21"/>
          <w:highlight w:val="none"/>
        </w:rPr>
      </w:pPr>
      <w:r>
        <w:rPr>
          <w:rFonts w:hint="eastAsia" w:hAnsi="宋体" w:cs="宋体"/>
          <w:color w:val="auto"/>
          <w:sz w:val="21"/>
          <w:highlight w:val="none"/>
        </w:rPr>
        <w:t>11、与本磋商有关的一切正式往来信函请寄：</w:t>
      </w:r>
    </w:p>
    <w:p w14:paraId="52AB84F1">
      <w:pPr>
        <w:pStyle w:val="19"/>
        <w:spacing w:line="360" w:lineRule="auto"/>
        <w:ind w:firstLine="420"/>
        <w:rPr>
          <w:rFonts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597F5F61">
      <w:pPr>
        <w:pStyle w:val="19"/>
        <w:spacing w:line="360" w:lineRule="auto"/>
        <w:ind w:firstLine="420"/>
        <w:rPr>
          <w:rFonts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3B0FA507">
      <w:pPr>
        <w:pStyle w:val="19"/>
        <w:spacing w:line="360" w:lineRule="auto"/>
        <w:ind w:firstLine="420"/>
        <w:rPr>
          <w:rFonts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2B4A9927">
      <w:pPr>
        <w:pStyle w:val="19"/>
        <w:spacing w:line="360" w:lineRule="auto"/>
        <w:ind w:firstLine="420"/>
        <w:rPr>
          <w:rFonts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495071D6">
      <w:pPr>
        <w:pStyle w:val="19"/>
        <w:spacing w:line="360" w:lineRule="auto"/>
        <w:ind w:firstLine="420"/>
        <w:rPr>
          <w:rFonts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21DB3AD2">
      <w:pPr>
        <w:pStyle w:val="19"/>
        <w:spacing w:line="360" w:lineRule="auto"/>
        <w:ind w:firstLine="420"/>
        <w:rPr>
          <w:rFonts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5B63E927">
      <w:pPr>
        <w:pStyle w:val="19"/>
        <w:spacing w:line="360" w:lineRule="auto"/>
        <w:ind w:firstLine="420"/>
        <w:rPr>
          <w:rFonts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65E36A33">
      <w:pPr>
        <w:pStyle w:val="17"/>
        <w:tabs>
          <w:tab w:val="left" w:pos="939"/>
        </w:tabs>
        <w:spacing w:line="360" w:lineRule="auto"/>
        <w:ind w:left="138" w:leftChars="67" w:firstLine="309"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635E03AB">
      <w:pPr>
        <w:spacing w:line="360" w:lineRule="auto"/>
        <w:jc w:val="left"/>
        <w:rPr>
          <w:rFonts w:ascii="宋体" w:hAnsi="宋体" w:eastAsia="宋体" w:cs="宋体"/>
          <w:color w:val="auto"/>
          <w:szCs w:val="21"/>
          <w:highlight w:val="none"/>
        </w:rPr>
      </w:pPr>
    </w:p>
    <w:p w14:paraId="15034600">
      <w:pPr>
        <w:autoSpaceDE w:val="0"/>
        <w:autoSpaceDN w:val="0"/>
        <w:spacing w:line="360" w:lineRule="auto"/>
        <w:ind w:left="4253" w:leftChars="1950" w:hanging="236" w:hangingChars="1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B7581E">
      <w:pPr>
        <w:autoSpaceDE w:val="0"/>
        <w:autoSpaceDN w:val="0"/>
        <w:spacing w:line="360" w:lineRule="auto"/>
        <w:ind w:firstLine="4012"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期：  年  月   日</w:t>
      </w:r>
    </w:p>
    <w:p w14:paraId="1F927649">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1C5489D2">
      <w:pPr>
        <w:spacing w:line="360" w:lineRule="auto"/>
        <w:ind w:right="420"/>
        <w:contextualSpacing/>
        <w:jc w:val="left"/>
        <w:rPr>
          <w:rFonts w:ascii="宋体" w:hAnsi="宋体" w:eastAsia="宋体" w:cs="Times New Roman"/>
          <w:b/>
          <w:color w:val="auto"/>
          <w:sz w:val="32"/>
          <w:szCs w:val="32"/>
          <w:highlight w:val="none"/>
        </w:rPr>
      </w:pPr>
      <w:r>
        <w:rPr>
          <w:rFonts w:hint="eastAsia" w:ascii="宋体" w:hAnsi="宋体" w:eastAsia="宋体" w:cs="Times New Roman"/>
          <w:b/>
          <w:bCs/>
          <w:color w:val="auto"/>
          <w:sz w:val="32"/>
          <w:szCs w:val="32"/>
          <w:highlight w:val="none"/>
        </w:rPr>
        <w:t>三、</w:t>
      </w:r>
      <w:r>
        <w:rPr>
          <w:rFonts w:hint="eastAsia" w:ascii="宋体" w:hAnsi="宋体" w:eastAsia="宋体" w:cs="Times New Roman"/>
          <w:b/>
          <w:color w:val="auto"/>
          <w:sz w:val="32"/>
          <w:szCs w:val="32"/>
          <w:highlight w:val="none"/>
        </w:rPr>
        <w:t xml:space="preserve">商务技术文件格式 </w:t>
      </w:r>
    </w:p>
    <w:p w14:paraId="28EA07A6">
      <w:pPr>
        <w:snapToGrid w:val="0"/>
        <w:spacing w:before="120" w:beforeLines="50" w:after="5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1.商务技术文件封面格式</w:t>
      </w:r>
    </w:p>
    <w:p w14:paraId="40EC6FF2">
      <w:pPr>
        <w:snapToGrid w:val="0"/>
        <w:spacing w:before="120"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p>
    <w:p w14:paraId="5D03999F">
      <w:pPr>
        <w:snapToGrid w:val="0"/>
        <w:spacing w:before="120" w:beforeLines="50" w:after="50"/>
        <w:jc w:val="center"/>
        <w:rPr>
          <w:rFonts w:ascii="宋体" w:hAnsi="宋体" w:eastAsia="宋体" w:cs="Times New Roman"/>
          <w:color w:val="auto"/>
          <w:sz w:val="24"/>
          <w:szCs w:val="20"/>
          <w:highlight w:val="none"/>
        </w:rPr>
      </w:pPr>
      <w:r>
        <w:rPr>
          <w:rFonts w:hint="eastAsia" w:ascii="宋体" w:hAnsi="宋体" w:eastAsia="宋体" w:cs="Times New Roman"/>
          <w:color w:val="auto"/>
          <w:sz w:val="44"/>
          <w:szCs w:val="44"/>
          <w:highlight w:val="none"/>
        </w:rPr>
        <w:t>电 子 响 应 文 件</w:t>
      </w:r>
    </w:p>
    <w:p w14:paraId="681FA69B">
      <w:pPr>
        <w:snapToGrid w:val="0"/>
        <w:spacing w:before="120" w:beforeLines="50" w:after="50"/>
        <w:rPr>
          <w:rFonts w:ascii="宋体" w:hAnsi="宋体" w:eastAsia="宋体" w:cs="Times New Roman"/>
          <w:color w:val="auto"/>
          <w:sz w:val="24"/>
          <w:szCs w:val="20"/>
          <w:highlight w:val="none"/>
        </w:rPr>
      </w:pPr>
    </w:p>
    <w:p w14:paraId="1D880F87">
      <w:pPr>
        <w:snapToGrid w:val="0"/>
        <w:spacing w:before="120" w:beforeLines="50" w:after="50"/>
        <w:rPr>
          <w:rFonts w:ascii="宋体" w:hAnsi="宋体" w:eastAsia="宋体" w:cs="Times New Roman"/>
          <w:color w:val="auto"/>
          <w:sz w:val="24"/>
          <w:szCs w:val="20"/>
          <w:highlight w:val="none"/>
        </w:rPr>
      </w:pPr>
    </w:p>
    <w:p w14:paraId="4553B218">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468CAEF4">
      <w:pPr>
        <w:snapToGrid w:val="0"/>
        <w:spacing w:before="120" w:beforeLines="50" w:after="50"/>
        <w:rPr>
          <w:rFonts w:ascii="宋体" w:hAnsi="宋体" w:eastAsia="宋体" w:cs="Times New Roman"/>
          <w:bCs/>
          <w:color w:val="auto"/>
          <w:sz w:val="24"/>
          <w:szCs w:val="20"/>
          <w:highlight w:val="none"/>
        </w:rPr>
      </w:pPr>
    </w:p>
    <w:p w14:paraId="493CE85A">
      <w:pPr>
        <w:snapToGrid w:val="0"/>
        <w:spacing w:before="120" w:beforeLines="50" w:after="50"/>
        <w:rPr>
          <w:rFonts w:ascii="宋体" w:hAnsi="宋体" w:eastAsia="宋体" w:cs="Times New Roman"/>
          <w:bCs/>
          <w:color w:val="auto"/>
          <w:sz w:val="24"/>
          <w:szCs w:val="20"/>
          <w:highlight w:val="none"/>
        </w:rPr>
      </w:pPr>
    </w:p>
    <w:p w14:paraId="5C008611">
      <w:pPr>
        <w:snapToGrid w:val="0"/>
        <w:spacing w:before="120" w:beforeLines="50" w:after="50"/>
        <w:rPr>
          <w:rFonts w:ascii="宋体" w:hAnsi="宋体" w:eastAsia="宋体" w:cs="Times New Roman"/>
          <w:bCs/>
          <w:color w:val="auto"/>
          <w:sz w:val="24"/>
          <w:szCs w:val="20"/>
          <w:highlight w:val="none"/>
        </w:rPr>
      </w:pPr>
    </w:p>
    <w:p w14:paraId="254704EA">
      <w:pPr>
        <w:snapToGrid w:val="0"/>
        <w:spacing w:before="120" w:beforeLines="50" w:after="50"/>
        <w:rPr>
          <w:rFonts w:ascii="宋体" w:hAnsi="宋体" w:eastAsia="宋体" w:cs="Times New Roman"/>
          <w:bCs/>
          <w:color w:val="auto"/>
          <w:sz w:val="24"/>
          <w:szCs w:val="20"/>
          <w:highlight w:val="none"/>
        </w:rPr>
      </w:pPr>
    </w:p>
    <w:p w14:paraId="436ED0A3">
      <w:pPr>
        <w:snapToGrid w:val="0"/>
        <w:spacing w:before="120" w:beforeLines="50" w:after="50"/>
        <w:rPr>
          <w:rFonts w:ascii="宋体" w:hAnsi="宋体" w:eastAsia="宋体" w:cs="Times New Roman"/>
          <w:bCs/>
          <w:color w:val="auto"/>
          <w:sz w:val="24"/>
          <w:szCs w:val="20"/>
          <w:highlight w:val="none"/>
        </w:rPr>
      </w:pPr>
    </w:p>
    <w:p w14:paraId="694D1D0D">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08A888F5">
      <w:pPr>
        <w:snapToGrid w:val="0"/>
        <w:spacing w:before="120" w:beforeLines="50" w:after="50"/>
        <w:ind w:firstLine="711" w:firstLineChars="225"/>
        <w:rPr>
          <w:rFonts w:ascii="宋体" w:hAnsi="宋体" w:eastAsia="宋体" w:cs="仿宋_GB2312"/>
          <w:bCs/>
          <w:color w:val="auto"/>
          <w:sz w:val="32"/>
          <w:szCs w:val="32"/>
          <w:highlight w:val="none"/>
        </w:rPr>
      </w:pPr>
    </w:p>
    <w:p w14:paraId="73E2E2BA">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08F0E6DB">
      <w:pPr>
        <w:snapToGrid w:val="0"/>
        <w:spacing w:before="120" w:beforeLines="50" w:after="50"/>
        <w:ind w:firstLine="711"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7DD2299F">
      <w:pPr>
        <w:snapToGrid w:val="0"/>
        <w:spacing w:before="120" w:beforeLines="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289D692E">
      <w:pPr>
        <w:snapToGrid w:val="0"/>
        <w:spacing w:before="120" w:beforeLines="50" w:after="50"/>
        <w:ind w:firstLine="711" w:firstLineChars="225"/>
        <w:rPr>
          <w:rFonts w:ascii="宋体" w:hAnsi="宋体" w:eastAsia="宋体" w:cs="仿宋_GB2312"/>
          <w:bCs/>
          <w:color w:val="auto"/>
          <w:sz w:val="32"/>
          <w:szCs w:val="32"/>
          <w:highlight w:val="none"/>
        </w:rPr>
      </w:pPr>
    </w:p>
    <w:p w14:paraId="62137064">
      <w:pPr>
        <w:snapToGrid w:val="0"/>
        <w:spacing w:before="50" w:after="50"/>
        <w:ind w:firstLine="632"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5E9B9BCA">
      <w:pPr>
        <w:snapToGrid w:val="0"/>
        <w:spacing w:before="120" w:beforeLines="50" w:after="50"/>
        <w:rPr>
          <w:rFonts w:ascii="宋体" w:hAnsi="宋体" w:eastAsia="宋体" w:cs="Times New Roman"/>
          <w:bCs/>
          <w:color w:val="auto"/>
          <w:sz w:val="24"/>
          <w:szCs w:val="20"/>
          <w:highlight w:val="none"/>
        </w:rPr>
      </w:pPr>
    </w:p>
    <w:p w14:paraId="3257F6FD">
      <w:pPr>
        <w:snapToGrid w:val="0"/>
        <w:spacing w:before="120" w:beforeLines="50" w:after="50"/>
        <w:rPr>
          <w:rFonts w:ascii="宋体" w:hAnsi="宋体" w:eastAsia="宋体" w:cs="Times New Roman"/>
          <w:bCs/>
          <w:color w:val="auto"/>
          <w:sz w:val="24"/>
          <w:szCs w:val="20"/>
          <w:highlight w:val="none"/>
        </w:rPr>
      </w:pPr>
    </w:p>
    <w:p w14:paraId="2E7C630F">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47BBF466">
      <w:pPr>
        <w:snapToGrid w:val="0"/>
        <w:spacing w:before="120" w:beforeLines="50" w:after="50" w:line="360" w:lineRule="auto"/>
        <w:ind w:right="480" w:firstLine="236" w:firstLineChars="100"/>
        <w:jc w:val="left"/>
        <w:rPr>
          <w:rFonts w:ascii="宋体" w:hAnsi="宋体" w:eastAsia="宋体" w:cs="Times New Roman"/>
          <w:b/>
          <w:bCs/>
          <w:color w:val="auto"/>
          <w:sz w:val="24"/>
          <w:szCs w:val="24"/>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bCs/>
          <w:color w:val="auto"/>
          <w:sz w:val="32"/>
          <w:szCs w:val="32"/>
          <w:highlight w:val="none"/>
        </w:rPr>
        <w:t>2.商务技术文件目录</w:t>
      </w:r>
    </w:p>
    <w:p w14:paraId="0F5756EE">
      <w:pPr>
        <w:snapToGrid w:val="0"/>
        <w:spacing w:before="120" w:beforeLines="50" w:after="50" w:line="360" w:lineRule="auto"/>
        <w:ind w:firstLine="632" w:firstLineChars="200"/>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根据磋商文件规定及供应商提供的材料自行编写目录（部分格式后附）。</w:t>
      </w:r>
    </w:p>
    <w:p w14:paraId="157417BE">
      <w:pPr>
        <w:spacing w:line="400" w:lineRule="exact"/>
        <w:rPr>
          <w:rFonts w:ascii="仿宋_GB2312" w:hAnsi="仿宋_GB2312" w:eastAsia="仿宋_GB2312" w:cs="仿宋_GB2312"/>
          <w:color w:val="auto"/>
          <w:sz w:val="32"/>
          <w:szCs w:val="32"/>
          <w:highlight w:val="none"/>
        </w:rPr>
      </w:pPr>
    </w:p>
    <w:p w14:paraId="3F29593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E8977E0">
      <w:pPr>
        <w:spacing w:line="360" w:lineRule="auto"/>
        <w:ind w:firstLine="632" w:firstLineChars="200"/>
        <w:contextualSpacing/>
        <w:rPr>
          <w:rFonts w:ascii="仿宋_GB2312" w:hAnsi="仿宋_GB2312" w:eastAsia="仿宋_GB2312" w:cs="仿宋_GB2312"/>
          <w:color w:val="auto"/>
          <w:sz w:val="32"/>
          <w:szCs w:val="32"/>
          <w:highlight w:val="none"/>
        </w:rPr>
      </w:pPr>
    </w:p>
    <w:p w14:paraId="07A06591">
      <w:pPr>
        <w:spacing w:line="360" w:lineRule="auto"/>
        <w:ind w:firstLine="47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6194F1F4">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1.不同供应商的响应文件由同一单位或者个人编制； </w:t>
      </w:r>
    </w:p>
    <w:p w14:paraId="18BC957D">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045C84E8">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3.不同供应商的响应文件载明的项目管理员为同一个人；</w:t>
      </w:r>
    </w:p>
    <w:p w14:paraId="40259863">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2051C4F5">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6EBF158C">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竞标保证金</w:t>
      </w:r>
      <w:r>
        <w:rPr>
          <w:rFonts w:hint="eastAsia" w:ascii="宋体" w:hAnsi="宋体" w:eastAsia="宋体" w:cs="仿宋_GB2312"/>
          <w:color w:val="auto"/>
          <w:sz w:val="24"/>
          <w:szCs w:val="24"/>
          <w:highlight w:val="none"/>
        </w:rPr>
        <w:t>从同一单位或者个人账户转出。</w:t>
      </w:r>
    </w:p>
    <w:p w14:paraId="1808BDA4">
      <w:pPr>
        <w:spacing w:line="360" w:lineRule="auto"/>
        <w:ind w:firstLine="47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78A57534">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67A67AC4">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532ECD08">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0302E348">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166936DC">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5.供应商之间事先约定一致抬高或者压低竞标报价，或者在竞争性磋商项目中事先约定轮流以高价位或者低价位成交，或者事先约定由某一特定供应商成交，然后再参加竞标；</w:t>
      </w:r>
    </w:p>
    <w:p w14:paraId="7E02A68A">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25F41121">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5EEF2DA7">
      <w:pPr>
        <w:spacing w:line="360" w:lineRule="auto"/>
        <w:ind w:firstLine="472" w:firstLineChars="200"/>
        <w:contextualSpacing/>
        <w:rPr>
          <w:rFonts w:ascii="宋体" w:hAnsi="宋体" w:eastAsia="宋体" w:cs="仿宋_GB2312"/>
          <w:color w:val="auto"/>
          <w:sz w:val="24"/>
          <w:szCs w:val="24"/>
          <w:highlight w:val="none"/>
        </w:rPr>
      </w:pPr>
    </w:p>
    <w:p w14:paraId="136E7C52">
      <w:pPr>
        <w:spacing w:line="360" w:lineRule="auto"/>
        <w:ind w:firstLine="47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以上情形一经核查属实，我方愿意承担一切后果，并不再寻求任何旨在减轻或者免除法律责任的辩解。</w:t>
      </w:r>
    </w:p>
    <w:p w14:paraId="019B8E1E">
      <w:pPr>
        <w:spacing w:line="360" w:lineRule="auto"/>
        <w:contextualSpacing/>
        <w:rPr>
          <w:rFonts w:ascii="宋体" w:hAnsi="宋体" w:eastAsia="宋体" w:cs="仿宋_GB2312"/>
          <w:color w:val="auto"/>
          <w:sz w:val="24"/>
          <w:szCs w:val="24"/>
          <w:highlight w:val="none"/>
        </w:rPr>
      </w:pPr>
    </w:p>
    <w:p w14:paraId="0DB9B460">
      <w:pPr>
        <w:spacing w:line="360" w:lineRule="auto"/>
        <w:ind w:firstLine="3540" w:firstLineChars="15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供应商名称（电子签章）：</w:t>
      </w:r>
    </w:p>
    <w:p w14:paraId="4BA14B72">
      <w:pPr>
        <w:spacing w:line="360" w:lineRule="auto"/>
        <w:ind w:firstLine="3540" w:firstLineChars="1500"/>
        <w:contextualSpacing/>
        <w:jc w:val="both"/>
        <w:rPr>
          <w:rFonts w:ascii="仿宋_GB2312" w:hAnsi="仿宋_GB2312" w:eastAsia="仿宋_GB2312" w:cs="仿宋_GB2312"/>
          <w:color w:val="auto"/>
          <w:sz w:val="32"/>
          <w:szCs w:val="32"/>
          <w:highlight w:val="none"/>
        </w:rPr>
      </w:pPr>
      <w:r>
        <w:rPr>
          <w:rFonts w:hint="eastAsia" w:ascii="宋体" w:hAnsi="宋体" w:eastAsia="宋体" w:cs="仿宋_GB2312"/>
          <w:color w:val="auto"/>
          <w:sz w:val="24"/>
          <w:szCs w:val="24"/>
          <w:highlight w:val="none"/>
          <w:lang w:val="en-US" w:eastAsia="zh-CN"/>
        </w:rPr>
        <w:t>日  期：</w:t>
      </w:r>
      <w:r>
        <w:rPr>
          <w:rFonts w:hint="eastAsia" w:ascii="宋体" w:hAnsi="宋体" w:eastAsia="宋体" w:cs="仿宋_GB2312"/>
          <w:color w:val="auto"/>
          <w:sz w:val="24"/>
          <w:szCs w:val="24"/>
          <w:highlight w:val="none"/>
        </w:rPr>
        <w:t xml:space="preserve">    年   月   日</w:t>
      </w:r>
    </w:p>
    <w:p w14:paraId="46446110">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71E1DEE9">
      <w:pPr>
        <w:spacing w:line="360" w:lineRule="auto"/>
        <w:ind w:left="540"/>
        <w:contextualSpacing/>
        <w:rPr>
          <w:rFonts w:ascii="仿宋_GB2312" w:hAnsi="仿宋_GB2312" w:eastAsia="仿宋_GB2312" w:cs="仿宋_GB2312"/>
          <w:color w:val="auto"/>
          <w:sz w:val="32"/>
          <w:szCs w:val="32"/>
          <w:highlight w:val="none"/>
        </w:rPr>
      </w:pPr>
    </w:p>
    <w:p w14:paraId="5E6B5387">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w:t>
      </w:r>
      <w:r>
        <w:rPr>
          <w:rFonts w:hint="eastAsia" w:ascii="宋体" w:hAnsi="宋体" w:eastAsia="宋体" w:cs="仿宋_GB2312"/>
          <w:color w:val="auto"/>
          <w:sz w:val="24"/>
          <w:szCs w:val="24"/>
          <w:highlight w:val="none"/>
          <w:u w:val="single"/>
        </w:rPr>
        <w:t xml:space="preserve">                                                      </w:t>
      </w:r>
    </w:p>
    <w:p w14:paraId="75490FC6">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地    址：</w:t>
      </w:r>
      <w:r>
        <w:rPr>
          <w:rFonts w:hint="eastAsia" w:ascii="宋体" w:hAnsi="宋体" w:eastAsia="宋体" w:cs="仿宋_GB2312"/>
          <w:color w:val="auto"/>
          <w:sz w:val="24"/>
          <w:szCs w:val="24"/>
          <w:highlight w:val="none"/>
          <w:u w:val="single"/>
        </w:rPr>
        <w:t xml:space="preserve">                                                        </w:t>
      </w:r>
    </w:p>
    <w:p w14:paraId="187BB150">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姓    名：</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性     别：</w:t>
      </w:r>
      <w:r>
        <w:rPr>
          <w:rFonts w:hint="eastAsia" w:ascii="宋体" w:hAnsi="宋体" w:eastAsia="宋体" w:cs="仿宋_GB2312"/>
          <w:color w:val="auto"/>
          <w:sz w:val="24"/>
          <w:szCs w:val="24"/>
          <w:highlight w:val="none"/>
          <w:u w:val="single"/>
        </w:rPr>
        <w:t xml:space="preserve">                </w:t>
      </w:r>
    </w:p>
    <w:p w14:paraId="4F4A3CF0">
      <w:pPr>
        <w:spacing w:line="360" w:lineRule="auto"/>
        <w:ind w:left="540"/>
        <w:contextualSpacing/>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年    龄：</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职     务：</w:t>
      </w:r>
      <w:r>
        <w:rPr>
          <w:rFonts w:hint="eastAsia" w:ascii="宋体" w:hAnsi="宋体" w:eastAsia="宋体" w:cs="仿宋_GB2312"/>
          <w:color w:val="auto"/>
          <w:sz w:val="24"/>
          <w:szCs w:val="24"/>
          <w:highlight w:val="none"/>
          <w:u w:val="single"/>
        </w:rPr>
        <w:t xml:space="preserve">                </w:t>
      </w:r>
    </w:p>
    <w:p w14:paraId="3168AD0C">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身份证号码：</w:t>
      </w:r>
      <w:r>
        <w:rPr>
          <w:rFonts w:hint="eastAsia" w:ascii="宋体" w:hAnsi="宋体" w:eastAsia="宋体" w:cs="仿宋_GB2312"/>
          <w:color w:val="auto"/>
          <w:sz w:val="24"/>
          <w:szCs w:val="24"/>
          <w:highlight w:val="none"/>
          <w:u w:val="single"/>
        </w:rPr>
        <w:t xml:space="preserve">                                        </w:t>
      </w:r>
    </w:p>
    <w:p w14:paraId="6395B0A2">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系</w:t>
      </w:r>
      <w:r>
        <w:rPr>
          <w:rFonts w:hint="eastAsia" w:ascii="宋体" w:hAnsi="宋体" w:eastAsia="宋体" w:cs="仿宋_GB2312"/>
          <w:color w:val="auto"/>
          <w:sz w:val="24"/>
          <w:szCs w:val="24"/>
          <w:highlight w:val="none"/>
          <w:u w:val="single"/>
        </w:rPr>
        <w:t>（供应商名称）</w:t>
      </w:r>
      <w:r>
        <w:rPr>
          <w:rFonts w:hint="eastAsia" w:ascii="宋体" w:hAnsi="宋体" w:eastAsia="宋体" w:cs="仿宋_GB2312"/>
          <w:color w:val="auto"/>
          <w:sz w:val="24"/>
          <w:szCs w:val="24"/>
          <w:highlight w:val="none"/>
        </w:rPr>
        <w:t>的法定代表人。</w:t>
      </w:r>
    </w:p>
    <w:p w14:paraId="407E0650">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特此证明。</w:t>
      </w:r>
    </w:p>
    <w:p w14:paraId="0BEC4B4E">
      <w:pPr>
        <w:spacing w:line="360" w:lineRule="auto"/>
        <w:ind w:left="540"/>
        <w:contextualSpacing/>
        <w:rPr>
          <w:rFonts w:ascii="宋体" w:hAnsi="宋体" w:eastAsia="宋体" w:cs="仿宋_GB2312"/>
          <w:color w:val="auto"/>
          <w:sz w:val="24"/>
          <w:szCs w:val="24"/>
          <w:highlight w:val="none"/>
        </w:rPr>
      </w:pPr>
    </w:p>
    <w:p w14:paraId="5EF283F5">
      <w:pPr>
        <w:spacing w:line="360" w:lineRule="auto"/>
        <w:ind w:left="540"/>
        <w:contextualSpacing/>
        <w:rPr>
          <w:rFonts w:ascii="宋体" w:hAnsi="宋体" w:eastAsia="宋体" w:cs="仿宋_GB2312"/>
          <w:color w:val="auto"/>
          <w:sz w:val="24"/>
          <w:szCs w:val="24"/>
          <w:highlight w:val="none"/>
        </w:rPr>
      </w:pPr>
    </w:p>
    <w:p w14:paraId="1F92EF9B">
      <w:pPr>
        <w:spacing w:line="360" w:lineRule="auto"/>
        <w:ind w:left="54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附件：法定代表人有效身份证正反面复印件</w:t>
      </w:r>
    </w:p>
    <w:p w14:paraId="2E84F24C">
      <w:pPr>
        <w:spacing w:line="360" w:lineRule="auto"/>
        <w:ind w:left="540"/>
        <w:contextualSpacing/>
        <w:rPr>
          <w:rFonts w:ascii="宋体" w:hAnsi="宋体" w:eastAsia="宋体" w:cs="仿宋_GB2312"/>
          <w:color w:val="auto"/>
          <w:sz w:val="24"/>
          <w:szCs w:val="24"/>
          <w:highlight w:val="none"/>
        </w:rPr>
      </w:pPr>
    </w:p>
    <w:p w14:paraId="48FF15C3">
      <w:pPr>
        <w:spacing w:line="360" w:lineRule="auto"/>
        <w:ind w:right="480" w:firstLine="2832" w:firstLineChars="1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供应商名称（电子签章）：</w:t>
      </w:r>
      <w:r>
        <w:rPr>
          <w:rFonts w:hint="eastAsia" w:ascii="宋体" w:hAnsi="宋体" w:eastAsia="宋体" w:cs="仿宋_GB2312"/>
          <w:color w:val="auto"/>
          <w:sz w:val="24"/>
          <w:szCs w:val="24"/>
          <w:highlight w:val="none"/>
          <w:u w:val="single"/>
        </w:rPr>
        <w:t xml:space="preserve">               </w:t>
      </w:r>
    </w:p>
    <w:p w14:paraId="262EE18E">
      <w:pPr>
        <w:spacing w:line="360" w:lineRule="auto"/>
        <w:ind w:firstLine="2832" w:firstLineChars="1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u w:val="none"/>
          <w:lang w:val="en-US" w:eastAsia="zh-CN"/>
        </w:rPr>
        <w:t>日  期：</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年</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月</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日</w:t>
      </w:r>
    </w:p>
    <w:p w14:paraId="41DA0544">
      <w:pPr>
        <w:spacing w:line="360" w:lineRule="auto"/>
        <w:contextualSpacing/>
        <w:jc w:val="both"/>
        <w:rPr>
          <w:rFonts w:ascii="宋体" w:hAnsi="宋体" w:eastAsia="宋体" w:cs="仿宋_GB2312"/>
          <w:b/>
          <w:color w:val="auto"/>
          <w:sz w:val="24"/>
          <w:szCs w:val="24"/>
          <w:highlight w:val="none"/>
        </w:rPr>
      </w:pPr>
    </w:p>
    <w:p w14:paraId="52EB2E74">
      <w:pPr>
        <w:spacing w:line="360" w:lineRule="auto"/>
        <w:contextualSpacing/>
        <w:jc w:val="left"/>
        <w:rPr>
          <w:rFonts w:ascii="宋体" w:hAnsi="宋体" w:eastAsia="宋体" w:cs="仿宋_GB2312"/>
          <w:color w:val="auto"/>
          <w:sz w:val="24"/>
          <w:szCs w:val="24"/>
          <w:highlight w:val="none"/>
        </w:rPr>
      </w:pPr>
    </w:p>
    <w:p w14:paraId="69EF8192">
      <w:pPr>
        <w:spacing w:line="360" w:lineRule="auto"/>
        <w:contextualSpacing/>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注：自然人竞标的无需提供，联合体竞标的只需牵头人出具。</w:t>
      </w:r>
    </w:p>
    <w:p w14:paraId="1E0DDF91">
      <w:pPr>
        <w:adjustRightInd w:val="0"/>
        <w:snapToGrid w:val="0"/>
        <w:spacing w:line="300" w:lineRule="auto"/>
        <w:jc w:val="left"/>
        <w:rPr>
          <w:rFonts w:ascii="宋体" w:hAnsi="宋体" w:eastAsia="宋体" w:cs="Times New Roman"/>
          <w:b/>
          <w:color w:val="auto"/>
          <w:szCs w:val="21"/>
          <w:highlight w:val="none"/>
        </w:rPr>
      </w:pPr>
    </w:p>
    <w:p w14:paraId="448A4AA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46728EF8">
      <w:pPr>
        <w:spacing w:line="520" w:lineRule="exact"/>
        <w:jc w:val="center"/>
        <w:rPr>
          <w:rFonts w:ascii="方正小标宋简体" w:hAnsi="方正小标宋简体" w:eastAsia="方正小标宋简体" w:cs="方正小标宋简体"/>
          <w:color w:val="auto"/>
          <w:sz w:val="44"/>
          <w:szCs w:val="44"/>
          <w:highlight w:val="none"/>
        </w:rPr>
      </w:pPr>
      <w:bookmarkStart w:id="94" w:name="_Hlk65853643"/>
      <w:r>
        <w:rPr>
          <w:rFonts w:hint="eastAsia" w:ascii="方正小标宋简体" w:hAnsi="方正小标宋简体" w:eastAsia="方正小标宋简体" w:cs="方正小标宋简体"/>
          <w:color w:val="auto"/>
          <w:sz w:val="44"/>
          <w:szCs w:val="44"/>
          <w:highlight w:val="none"/>
        </w:rPr>
        <w:t>授权委托书</w:t>
      </w:r>
    </w:p>
    <w:p w14:paraId="1E6E8259">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1F9280B8">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162B64E">
      <w:pPr>
        <w:spacing w:line="520" w:lineRule="exact"/>
        <w:rPr>
          <w:rFonts w:ascii="仿宋_GB2312" w:hAnsi="仿宋_GB2312" w:eastAsia="仿宋_GB2312" w:cs="仿宋_GB2312"/>
          <w:color w:val="auto"/>
          <w:sz w:val="32"/>
          <w:szCs w:val="32"/>
          <w:highlight w:val="none"/>
        </w:rPr>
      </w:pPr>
    </w:p>
    <w:p w14:paraId="4F1BA061">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致：</w:t>
      </w:r>
      <w:r>
        <w:rPr>
          <w:rFonts w:hint="eastAsia" w:ascii="宋体" w:hAnsi="宋体" w:eastAsia="宋体" w:cs="仿宋_GB2312"/>
          <w:color w:val="auto"/>
          <w:sz w:val="24"/>
          <w:szCs w:val="24"/>
          <w:highlight w:val="none"/>
          <w:u w:val="single"/>
        </w:rPr>
        <w:t>（采购人名称）</w:t>
      </w:r>
      <w:r>
        <w:rPr>
          <w:rFonts w:hint="eastAsia" w:ascii="宋体" w:hAnsi="宋体" w:eastAsia="宋体" w:cs="仿宋_GB2312"/>
          <w:color w:val="auto"/>
          <w:sz w:val="24"/>
          <w:szCs w:val="24"/>
          <w:highlight w:val="none"/>
        </w:rPr>
        <w:t>：</w:t>
      </w:r>
    </w:p>
    <w:p w14:paraId="1BB5F4A1">
      <w:pPr>
        <w:spacing w:line="360" w:lineRule="auto"/>
        <w:ind w:firstLine="472"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w:t>
      </w:r>
      <w:r>
        <w:rPr>
          <w:rFonts w:hint="eastAsia" w:ascii="宋体" w:hAnsi="宋体" w:eastAsia="宋体" w:cs="仿宋_GB2312"/>
          <w:color w:val="auto"/>
          <w:sz w:val="24"/>
          <w:szCs w:val="24"/>
          <w:highlight w:val="none"/>
          <w:u w:val="single"/>
        </w:rPr>
        <w:t xml:space="preserve">  （姓名）  </w:t>
      </w:r>
      <w:r>
        <w:rPr>
          <w:rFonts w:hint="eastAsia" w:ascii="宋体" w:hAnsi="宋体" w:eastAsia="宋体" w:cs="仿宋_GB2312"/>
          <w:color w:val="auto"/>
          <w:sz w:val="24"/>
          <w:szCs w:val="24"/>
          <w:highlight w:val="none"/>
        </w:rPr>
        <w:t>系</w:t>
      </w:r>
      <w:r>
        <w:rPr>
          <w:rFonts w:hint="eastAsia" w:ascii="宋体" w:hAnsi="宋体" w:eastAsia="宋体" w:cs="仿宋_GB2312"/>
          <w:color w:val="auto"/>
          <w:sz w:val="24"/>
          <w:szCs w:val="24"/>
          <w:highlight w:val="none"/>
          <w:u w:val="single"/>
        </w:rPr>
        <w:t xml:space="preserve">  （供应商名称）  </w:t>
      </w:r>
      <w:r>
        <w:rPr>
          <w:rFonts w:hint="eastAsia" w:ascii="宋体" w:hAnsi="宋体" w:eastAsia="宋体" w:cs="仿宋_GB2312"/>
          <w:color w:val="auto"/>
          <w:sz w:val="24"/>
          <w:szCs w:val="24"/>
          <w:highlight w:val="none"/>
        </w:rPr>
        <w:t>的（</w:t>
      </w:r>
      <w:r>
        <w:rPr>
          <w:rFonts w:hint="eastAsia" w:ascii="宋体" w:hAnsi="宋体" w:eastAsia="宋体" w:cs="仿宋_GB2312"/>
          <w:color w:val="auto"/>
          <w:sz w:val="24"/>
          <w:szCs w:val="24"/>
          <w:highlight w:val="none"/>
          <w:u w:val="single"/>
        </w:rPr>
        <w:sym w:font="Wingdings 2" w:char="00A3"/>
      </w:r>
      <w:r>
        <w:rPr>
          <w:rFonts w:hint="eastAsia" w:ascii="宋体" w:hAnsi="宋体" w:eastAsia="宋体" w:cs="仿宋_GB2312"/>
          <w:color w:val="auto"/>
          <w:sz w:val="24"/>
          <w:szCs w:val="24"/>
          <w:highlight w:val="none"/>
          <w:u w:val="single"/>
        </w:rPr>
        <w:t>法定代表人/□负责人/□自然人本人</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（姓名） </w:t>
      </w:r>
      <w:r>
        <w:rPr>
          <w:rFonts w:hint="eastAsia" w:ascii="宋体" w:hAnsi="宋体" w:eastAsia="宋体" w:cs="仿宋_GB2312"/>
          <w:color w:val="auto"/>
          <w:sz w:val="24"/>
          <w:szCs w:val="24"/>
          <w:highlight w:val="none"/>
        </w:rPr>
        <w:t>以我方的名义参加</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项目的竞标活动，并代表我方全权办理针对上述项目的所有采购程序和环节的具体事务和签署相关文件。</w:t>
      </w:r>
    </w:p>
    <w:p w14:paraId="42BE9825">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我方对委托代理人的签字</w:t>
      </w:r>
      <w:r>
        <w:rPr>
          <w:rFonts w:hint="eastAsia" w:ascii="宋体" w:hAnsi="宋体" w:eastAsia="宋体" w:cs="Times New Roman"/>
          <w:color w:val="auto"/>
          <w:sz w:val="24"/>
          <w:szCs w:val="24"/>
          <w:highlight w:val="none"/>
        </w:rPr>
        <w:t>或者电子签名</w:t>
      </w:r>
      <w:r>
        <w:rPr>
          <w:rFonts w:hint="eastAsia" w:ascii="宋体" w:hAnsi="宋体" w:eastAsia="宋体" w:cs="仿宋_GB2312"/>
          <w:color w:val="auto"/>
          <w:sz w:val="24"/>
          <w:szCs w:val="24"/>
          <w:highlight w:val="none"/>
        </w:rPr>
        <w:t>事项负全部责任。</w:t>
      </w:r>
    </w:p>
    <w:p w14:paraId="1FAC2E69">
      <w:pPr>
        <w:spacing w:line="360" w:lineRule="auto"/>
        <w:ind w:firstLine="472"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73A2C517">
      <w:pPr>
        <w:spacing w:line="360" w:lineRule="auto"/>
        <w:ind w:firstLine="472"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0B18F0E9">
      <w:pPr>
        <w:spacing w:line="360" w:lineRule="auto"/>
        <w:ind w:firstLine="472"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附：法定代表人身份证明书及委托代理人有效身份证正反面复印件</w:t>
      </w:r>
    </w:p>
    <w:p w14:paraId="2FACA75B">
      <w:pPr>
        <w:spacing w:line="360" w:lineRule="auto"/>
        <w:rPr>
          <w:rFonts w:ascii="宋体" w:hAnsi="宋体" w:eastAsia="宋体" w:cs="仿宋_GB2312"/>
          <w:color w:val="auto"/>
          <w:sz w:val="24"/>
          <w:szCs w:val="24"/>
          <w:highlight w:val="none"/>
        </w:rPr>
      </w:pPr>
    </w:p>
    <w:p w14:paraId="51C6D463">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法定代表人（签字或者盖章或者电子签名）：</w:t>
      </w:r>
    </w:p>
    <w:p w14:paraId="1C6CF454">
      <w:pPr>
        <w:spacing w:line="360" w:lineRule="auto"/>
        <w:contextualSpacing/>
        <w:rPr>
          <w:rFonts w:ascii="宋体" w:hAnsi="宋体" w:eastAsia="宋体" w:cs="仿宋_GB2312"/>
          <w:color w:val="auto"/>
          <w:sz w:val="24"/>
          <w:szCs w:val="24"/>
          <w:highlight w:val="none"/>
        </w:rPr>
      </w:pPr>
    </w:p>
    <w:p w14:paraId="2E5B63F8">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w:t>
      </w:r>
      <w:r>
        <w:rPr>
          <w:rFonts w:hint="eastAsia" w:ascii="宋体" w:hAnsi="宋体" w:eastAsia="宋体" w:cs="Times New Roman"/>
          <w:color w:val="auto"/>
          <w:sz w:val="24"/>
          <w:szCs w:val="24"/>
          <w:highlight w:val="none"/>
        </w:rPr>
        <w:t>签字或者电子签名</w:t>
      </w:r>
      <w:r>
        <w:rPr>
          <w:rFonts w:hint="eastAsia" w:ascii="宋体" w:hAnsi="宋体" w:eastAsia="宋体" w:cs="仿宋_GB2312"/>
          <w:color w:val="auto"/>
          <w:sz w:val="24"/>
          <w:szCs w:val="24"/>
          <w:highlight w:val="none"/>
        </w:rPr>
        <w:t>）：</w:t>
      </w:r>
    </w:p>
    <w:p w14:paraId="3777A30A">
      <w:pPr>
        <w:spacing w:line="360" w:lineRule="auto"/>
        <w:contextualSpacing/>
        <w:rPr>
          <w:rFonts w:ascii="宋体" w:hAnsi="宋体" w:eastAsia="宋体" w:cs="仿宋_GB2312"/>
          <w:color w:val="auto"/>
          <w:sz w:val="24"/>
          <w:szCs w:val="24"/>
          <w:highlight w:val="none"/>
        </w:rPr>
      </w:pPr>
    </w:p>
    <w:p w14:paraId="5F828AF6">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委托代理人身份证号码：</w:t>
      </w:r>
    </w:p>
    <w:p w14:paraId="08E0F4C0">
      <w:pPr>
        <w:spacing w:line="360" w:lineRule="auto"/>
        <w:contextualSpacing/>
        <w:rPr>
          <w:rFonts w:ascii="宋体" w:hAnsi="宋体" w:eastAsia="宋体" w:cs="仿宋_GB2312"/>
          <w:color w:val="auto"/>
          <w:sz w:val="24"/>
          <w:szCs w:val="24"/>
          <w:highlight w:val="none"/>
        </w:rPr>
      </w:pPr>
    </w:p>
    <w:p w14:paraId="19ED9D2E">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供应商名称（电子签章）：</w:t>
      </w:r>
    </w:p>
    <w:p w14:paraId="3FC85D81">
      <w:pPr>
        <w:spacing w:line="360" w:lineRule="auto"/>
        <w:ind w:firstLine="3068" w:firstLineChars="13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日  期：</w:t>
      </w:r>
      <w:r>
        <w:rPr>
          <w:rFonts w:hint="eastAsia" w:ascii="宋体" w:hAnsi="宋体" w:eastAsia="宋体" w:cs="仿宋_GB2312"/>
          <w:color w:val="auto"/>
          <w:sz w:val="24"/>
          <w:szCs w:val="24"/>
          <w:highlight w:val="none"/>
        </w:rPr>
        <w:t xml:space="preserve">      年    月    日</w:t>
      </w:r>
    </w:p>
    <w:p w14:paraId="229B4ADE">
      <w:pPr>
        <w:spacing w:line="360" w:lineRule="auto"/>
        <w:rPr>
          <w:rFonts w:ascii="宋体" w:hAnsi="宋体" w:eastAsia="宋体" w:cs="仿宋_GB2312"/>
          <w:color w:val="auto"/>
          <w:sz w:val="24"/>
          <w:szCs w:val="24"/>
          <w:highlight w:val="none"/>
        </w:rPr>
      </w:pPr>
    </w:p>
    <w:p w14:paraId="1D572D56">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法定代表人必须在授权委托书上签字或者盖章</w:t>
      </w:r>
      <w:r>
        <w:rPr>
          <w:rFonts w:hint="eastAsia" w:ascii="宋体" w:hAnsi="宋体" w:eastAsia="宋体" w:cs="Times New Roman"/>
          <w:color w:val="auto"/>
          <w:sz w:val="24"/>
          <w:szCs w:val="24"/>
          <w:highlight w:val="none"/>
        </w:rPr>
        <w:t>或者电子签名</w:t>
      </w:r>
      <w:r>
        <w:rPr>
          <w:rFonts w:hint="eastAsia" w:ascii="宋体" w:hAnsi="宋体" w:eastAsia="宋体" w:cs="仿宋_GB2312"/>
          <w:color w:val="auto"/>
          <w:sz w:val="24"/>
          <w:szCs w:val="24"/>
          <w:highlight w:val="none"/>
        </w:rPr>
        <w:t>，委托代理人必须在授权委托书上签字或者电子签名，</w:t>
      </w:r>
      <w:r>
        <w:rPr>
          <w:rFonts w:hint="eastAsia" w:ascii="宋体" w:hAnsi="宋体" w:eastAsia="宋体" w:cs="仿宋_GB2312"/>
          <w:b/>
          <w:color w:val="auto"/>
          <w:sz w:val="24"/>
          <w:szCs w:val="24"/>
          <w:highlight w:val="none"/>
        </w:rPr>
        <w:t>否则其响应文件按无效响应处理。</w:t>
      </w:r>
    </w:p>
    <w:p w14:paraId="32D3A04A">
      <w:pPr>
        <w:spacing w:line="360" w:lineRule="auto"/>
        <w:ind w:firstLine="472" w:firstLineChars="200"/>
        <w:jc w:val="left"/>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2.</w:t>
      </w:r>
      <w:bookmarkStart w:id="95" w:name="_Hlk65853109"/>
      <w:bookmarkStart w:id="96" w:name="_Hlk65853542"/>
      <w:r>
        <w:rPr>
          <w:rFonts w:hint="eastAsia" w:ascii="宋体" w:hAnsi="宋体" w:eastAsia="宋体" w:cs="仿宋_GB2312"/>
          <w:color w:val="auto"/>
          <w:sz w:val="24"/>
          <w:szCs w:val="24"/>
          <w:highlight w:val="none"/>
        </w:rPr>
        <w:t>法人、其他组织竞标时“我方”是指“我单位”，自然人竞标时“我方”是指“本人”。</w:t>
      </w:r>
      <w:bookmarkEnd w:id="95"/>
    </w:p>
    <w:bookmarkEnd w:id="96"/>
    <w:p w14:paraId="47CEFE93">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64EE0F40">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7C10286C">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368174CE">
      <w:pPr>
        <w:spacing w:line="500" w:lineRule="exact"/>
        <w:jc w:val="center"/>
        <w:rPr>
          <w:rFonts w:ascii="仿宋_GB2312" w:hAnsi="仿宋_GB2312" w:eastAsia="仿宋_GB2312" w:cs="仿宋_GB2312"/>
          <w:color w:val="auto"/>
          <w:sz w:val="32"/>
          <w:szCs w:val="32"/>
          <w:highlight w:val="none"/>
        </w:rPr>
      </w:pPr>
    </w:p>
    <w:p w14:paraId="73F358FB">
      <w:pPr>
        <w:spacing w:line="360" w:lineRule="auto"/>
        <w:ind w:firstLine="472"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（姓名）现授权</w:t>
      </w:r>
      <w:r>
        <w:rPr>
          <w:rFonts w:hint="eastAsia" w:ascii="宋体" w:hAnsi="宋体" w:eastAsia="宋体" w:cs="仿宋_GB2312"/>
          <w:color w:val="auto"/>
          <w:sz w:val="24"/>
          <w:szCs w:val="24"/>
          <w:highlight w:val="none"/>
          <w:u w:val="single"/>
        </w:rPr>
        <w:t xml:space="preserve">  </w:t>
      </w:r>
      <w:r>
        <w:rPr>
          <w:rFonts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（姓名）为联合委托代理人，并代表我方全权办理针对上述项目的所有采购程序和环节的具体事务和签署相关文件。</w:t>
      </w:r>
    </w:p>
    <w:p w14:paraId="378A643B">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w:t>
      </w:r>
      <w:r>
        <w:rPr>
          <w:rFonts w:hint="eastAsia" w:ascii="宋体" w:hAnsi="宋体" w:eastAsia="宋体" w:cs="Times New Roman"/>
          <w:color w:val="auto"/>
          <w:sz w:val="24"/>
          <w:szCs w:val="24"/>
          <w:highlight w:val="none"/>
        </w:rPr>
        <w:t>签字或者电子签名</w:t>
      </w:r>
      <w:r>
        <w:rPr>
          <w:rFonts w:hint="eastAsia" w:ascii="宋体" w:hAnsi="宋体" w:eastAsia="宋体" w:cs="仿宋_GB2312"/>
          <w:color w:val="auto"/>
          <w:sz w:val="24"/>
          <w:szCs w:val="24"/>
          <w:highlight w:val="none"/>
        </w:rPr>
        <w:t>事项负全部责任。</w:t>
      </w:r>
    </w:p>
    <w:p w14:paraId="44BA3286">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7F2EEB6C">
      <w:pPr>
        <w:spacing w:line="360" w:lineRule="auto"/>
        <w:ind w:firstLine="472"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2C9DBAEA">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附：法定代表人身份证明书及委托代理人有效身份证正反面复印件</w:t>
      </w:r>
    </w:p>
    <w:p w14:paraId="75595F5B">
      <w:pPr>
        <w:spacing w:line="360" w:lineRule="auto"/>
        <w:ind w:firstLine="472"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牵头人法定代表人（签字或者盖章或者电子签名）：</w:t>
      </w:r>
    </w:p>
    <w:p w14:paraId="70368142">
      <w:pPr>
        <w:spacing w:line="360" w:lineRule="auto"/>
        <w:ind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牵头人名称（电子签章）：</w:t>
      </w:r>
    </w:p>
    <w:p w14:paraId="2911EC1A">
      <w:pPr>
        <w:spacing w:line="360" w:lineRule="auto"/>
        <w:ind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期：    年   月   日</w:t>
      </w:r>
    </w:p>
    <w:p w14:paraId="0446949B">
      <w:pPr>
        <w:spacing w:line="360" w:lineRule="auto"/>
        <w:contextualSpacing/>
        <w:rPr>
          <w:rFonts w:ascii="宋体" w:hAnsi="宋体" w:eastAsia="宋体" w:cs="仿宋_GB2312"/>
          <w:color w:val="auto"/>
          <w:sz w:val="24"/>
          <w:szCs w:val="24"/>
          <w:highlight w:val="none"/>
        </w:rPr>
      </w:pPr>
    </w:p>
    <w:p w14:paraId="2287B081">
      <w:pPr>
        <w:spacing w:line="360" w:lineRule="auto"/>
        <w:ind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被授权人（签字或者电子签名）：</w:t>
      </w:r>
    </w:p>
    <w:p w14:paraId="64E78F36">
      <w:pPr>
        <w:spacing w:line="360" w:lineRule="auto"/>
        <w:ind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期：    年   月   日</w:t>
      </w:r>
    </w:p>
    <w:p w14:paraId="313BEFB4">
      <w:pPr>
        <w:spacing w:line="360" w:lineRule="auto"/>
        <w:contextualSpacing/>
        <w:rPr>
          <w:rFonts w:ascii="宋体" w:hAnsi="宋体" w:eastAsia="宋体" w:cs="仿宋_GB2312"/>
          <w:color w:val="auto"/>
          <w:sz w:val="24"/>
          <w:szCs w:val="24"/>
          <w:highlight w:val="none"/>
        </w:rPr>
      </w:pPr>
    </w:p>
    <w:p w14:paraId="729B8E82">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法定代表人必须在授权委托书上签字或者盖章</w:t>
      </w:r>
      <w:r>
        <w:rPr>
          <w:rFonts w:hint="eastAsia" w:ascii="宋体" w:hAnsi="宋体" w:eastAsia="宋体" w:cs="Times New Roman"/>
          <w:color w:val="auto"/>
          <w:sz w:val="24"/>
          <w:szCs w:val="24"/>
          <w:highlight w:val="none"/>
        </w:rPr>
        <w:t>或者电子签名</w:t>
      </w:r>
      <w:r>
        <w:rPr>
          <w:rFonts w:hint="eastAsia" w:ascii="宋体" w:hAnsi="宋体" w:eastAsia="宋体" w:cs="仿宋_GB2312"/>
          <w:color w:val="auto"/>
          <w:sz w:val="24"/>
          <w:szCs w:val="24"/>
          <w:highlight w:val="none"/>
        </w:rPr>
        <w:t>，委托代理人必须在授权委托书上签字或者电子签名，</w:t>
      </w:r>
      <w:r>
        <w:rPr>
          <w:rFonts w:hint="eastAsia" w:ascii="宋体" w:hAnsi="宋体" w:eastAsia="宋体" w:cs="仿宋_GB2312"/>
          <w:b/>
          <w:color w:val="auto"/>
          <w:sz w:val="24"/>
          <w:szCs w:val="24"/>
          <w:highlight w:val="none"/>
        </w:rPr>
        <w:t>否则其响应文件按无效响应处理。</w:t>
      </w:r>
    </w:p>
    <w:p w14:paraId="392C2A38">
      <w:pPr>
        <w:spacing w:line="360" w:lineRule="auto"/>
        <w:ind w:firstLine="472" w:firstLineChars="200"/>
        <w:jc w:val="left"/>
        <w:rPr>
          <w:rFonts w:ascii="宋体" w:hAnsi="宋体" w:eastAsia="宋体" w:cs="仿宋_GB2312"/>
          <w:color w:val="auto"/>
          <w:spacing w:val="-11"/>
          <w:sz w:val="24"/>
          <w:szCs w:val="24"/>
          <w:highlight w:val="none"/>
        </w:rPr>
      </w:pPr>
      <w:r>
        <w:rPr>
          <w:rFonts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rPr>
        <w:t>法人、其他组织竞标时“我方”是指“我单位”，自然人竞标时“我方”是指“本人”。</w:t>
      </w:r>
    </w:p>
    <w:bookmarkEnd w:id="94"/>
    <w:p w14:paraId="1897F00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486F81E3">
      <w:pPr>
        <w:spacing w:line="360" w:lineRule="auto"/>
        <w:contextualSpacing/>
        <w:jc w:val="left"/>
        <w:rPr>
          <w:rFonts w:ascii="宋体" w:hAnsi="宋体" w:eastAsia="宋体" w:cs="Times New Roman"/>
          <w:color w:val="auto"/>
          <w:sz w:val="24"/>
          <w:szCs w:val="24"/>
          <w:highlight w:val="none"/>
        </w:rPr>
      </w:pPr>
    </w:p>
    <w:p w14:paraId="78A21644">
      <w:pPr>
        <w:spacing w:line="360" w:lineRule="auto"/>
        <w:contextualSpacing/>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采购项目编号：</w:t>
      </w:r>
      <w:r>
        <w:rPr>
          <w:rFonts w:hint="eastAsia" w:ascii="宋体" w:hAnsi="宋体" w:eastAsia="宋体" w:cs="仿宋_GB2312"/>
          <w:color w:val="auto"/>
          <w:sz w:val="24"/>
          <w:szCs w:val="24"/>
          <w:highlight w:val="none"/>
          <w:u w:val="single"/>
        </w:rPr>
        <w:t xml:space="preserve">                 </w:t>
      </w:r>
    </w:p>
    <w:p w14:paraId="28F94FF7">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采购项目名称：</w:t>
      </w:r>
      <w:r>
        <w:rPr>
          <w:rFonts w:hint="eastAsia" w:ascii="宋体" w:hAnsi="宋体" w:eastAsia="宋体" w:cs="仿宋_GB2312"/>
          <w:color w:val="auto"/>
          <w:sz w:val="24"/>
          <w:szCs w:val="24"/>
          <w:highlight w:val="none"/>
          <w:u w:val="single"/>
        </w:rPr>
        <w:t xml:space="preserve">                 </w:t>
      </w:r>
    </w:p>
    <w:p w14:paraId="0F7A3274">
      <w:pPr>
        <w:spacing w:line="360" w:lineRule="auto"/>
        <w:contextualSpacing/>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分标号：</w:t>
      </w:r>
      <w:r>
        <w:rPr>
          <w:rFonts w:hint="eastAsia" w:ascii="宋体" w:hAnsi="宋体" w:eastAsia="宋体" w:cs="仿宋_GB2312"/>
          <w:color w:val="auto"/>
          <w:sz w:val="24"/>
          <w:szCs w:val="24"/>
          <w:highlight w:val="none"/>
          <w:u w:val="single"/>
        </w:rPr>
        <w:t xml:space="preserve">                       </w:t>
      </w:r>
    </w:p>
    <w:tbl>
      <w:tblPr>
        <w:tblStyle w:val="28"/>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C34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E25472D">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CACCA86">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4F95A484">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48F8790">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r>
      <w:tr w14:paraId="159AC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60C6A294">
            <w:pPr>
              <w:jc w:val="center"/>
              <w:rPr>
                <w:rFonts w:ascii="宋体" w:hAnsi="宋体" w:eastAsia="宋体" w:cs="Times New Roman"/>
                <w:color w:val="auto"/>
                <w:sz w:val="24"/>
                <w:szCs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F3737E9">
            <w:pPr>
              <w:spacing w:line="360" w:lineRule="auto"/>
              <w:contextualSpacing/>
              <w:jc w:val="center"/>
              <w:rPr>
                <w:rFonts w:ascii="宋体" w:hAnsi="宋体" w:eastAsia="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693A39A">
            <w:pPr>
              <w:spacing w:line="360" w:lineRule="auto"/>
              <w:contextualSpacing/>
              <w:jc w:val="center"/>
              <w:rPr>
                <w:rFonts w:ascii="宋体" w:hAnsi="宋体" w:eastAsia="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9723EA0">
            <w:pPr>
              <w:spacing w:line="360" w:lineRule="auto"/>
              <w:contextualSpacing/>
              <w:jc w:val="center"/>
              <w:rPr>
                <w:rFonts w:ascii="宋体" w:hAnsi="宋体" w:eastAsia="宋体" w:cs="仿宋_GB2312"/>
                <w:color w:val="auto"/>
                <w:sz w:val="24"/>
                <w:szCs w:val="24"/>
                <w:highlight w:val="none"/>
              </w:rPr>
            </w:pPr>
          </w:p>
        </w:tc>
      </w:tr>
      <w:tr w14:paraId="5B3F4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178" w:type="dxa"/>
            <w:tcBorders>
              <w:top w:val="single" w:color="auto" w:sz="4" w:space="0"/>
              <w:left w:val="single" w:color="auto" w:sz="4" w:space="0"/>
              <w:bottom w:val="single" w:color="auto" w:sz="4" w:space="0"/>
              <w:right w:val="single" w:color="auto" w:sz="4" w:space="0"/>
            </w:tcBorders>
            <w:vAlign w:val="center"/>
          </w:tcPr>
          <w:p w14:paraId="63FAEDAC">
            <w:pPr>
              <w:jc w:val="center"/>
              <w:rPr>
                <w:rFonts w:ascii="宋体" w:hAnsi="宋体" w:eastAsia="宋体" w:cs="Times New Roman"/>
                <w:color w:val="auto"/>
                <w:sz w:val="24"/>
                <w:szCs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0D39337">
            <w:pPr>
              <w:spacing w:line="360" w:lineRule="auto"/>
              <w:contextualSpacing/>
              <w:jc w:val="center"/>
              <w:rPr>
                <w:rFonts w:ascii="宋体" w:hAnsi="宋体" w:eastAsia="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A40E7B9">
            <w:pPr>
              <w:spacing w:line="360" w:lineRule="auto"/>
              <w:ind w:left="43"/>
              <w:contextualSpacing/>
              <w:jc w:val="center"/>
              <w:rPr>
                <w:rFonts w:ascii="宋体" w:hAnsi="宋体" w:eastAsia="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B75653F">
            <w:pPr>
              <w:spacing w:line="360" w:lineRule="auto"/>
              <w:ind w:left="43"/>
              <w:contextualSpacing/>
              <w:jc w:val="center"/>
              <w:rPr>
                <w:rFonts w:ascii="宋体" w:hAnsi="宋体" w:eastAsia="宋体" w:cs="仿宋_GB2312"/>
                <w:color w:val="auto"/>
                <w:sz w:val="24"/>
                <w:szCs w:val="24"/>
                <w:highlight w:val="none"/>
              </w:rPr>
            </w:pPr>
          </w:p>
        </w:tc>
      </w:tr>
      <w:tr w14:paraId="3DB6F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A833012">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C58A44A">
            <w:pPr>
              <w:spacing w:line="360" w:lineRule="auto"/>
              <w:contextualSpacing/>
              <w:jc w:val="center"/>
              <w:rPr>
                <w:rFonts w:ascii="宋体" w:hAnsi="宋体" w:eastAsia="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865F990">
            <w:pPr>
              <w:spacing w:line="360" w:lineRule="auto"/>
              <w:contextualSpacing/>
              <w:jc w:val="center"/>
              <w:rPr>
                <w:rFonts w:ascii="宋体" w:hAnsi="宋体" w:eastAsia="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11A71B5">
            <w:pPr>
              <w:spacing w:line="360" w:lineRule="auto"/>
              <w:contextualSpacing/>
              <w:jc w:val="center"/>
              <w:rPr>
                <w:rFonts w:ascii="宋体" w:hAnsi="宋体" w:eastAsia="宋体" w:cs="仿宋_GB2312"/>
                <w:color w:val="auto"/>
                <w:sz w:val="24"/>
                <w:szCs w:val="24"/>
                <w:highlight w:val="none"/>
              </w:rPr>
            </w:pPr>
          </w:p>
        </w:tc>
      </w:tr>
    </w:tbl>
    <w:p w14:paraId="040C756F">
      <w:pPr>
        <w:spacing w:line="360" w:lineRule="auto"/>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w:t>
      </w:r>
    </w:p>
    <w:p w14:paraId="07C7B250">
      <w:pPr>
        <w:spacing w:line="360" w:lineRule="auto"/>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 说明：应对照磋商文件“第三章 采购需求”中的商务要求逐条作出明确响应，并作出偏离说明。</w:t>
      </w:r>
    </w:p>
    <w:p w14:paraId="45F3BB67">
      <w:pPr>
        <w:spacing w:line="360" w:lineRule="auto"/>
        <w:contextualSpacing/>
        <w:jc w:val="left"/>
        <w:rPr>
          <w:rFonts w:ascii="宋体" w:hAnsi="宋体" w:eastAsia="宋体" w:cs="仿宋_GB2312"/>
          <w:color w:val="auto"/>
          <w:sz w:val="24"/>
          <w:szCs w:val="24"/>
          <w:highlight w:val="none"/>
          <w:u w:val="single"/>
        </w:rPr>
      </w:pPr>
      <w:r>
        <w:rPr>
          <w:rFonts w:hint="eastAsia" w:ascii="宋体" w:hAnsi="宋体" w:eastAsia="宋体" w:cs="Times New Roman"/>
          <w:color w:val="auto"/>
          <w:kern w:val="0"/>
          <w:sz w:val="24"/>
          <w:szCs w:val="24"/>
          <w:highlight w:val="none"/>
        </w:rPr>
        <w:t>2.供应商应根据自身的承诺，对照磋商文件要求在“偏离说明”中注明“正偏离”、“负偏离”或者“无偏离”。既不属于“正偏离”也不属于“负偏离”即为“无偏离”。</w:t>
      </w:r>
    </w:p>
    <w:p w14:paraId="1DC22C17">
      <w:pPr>
        <w:spacing w:line="360" w:lineRule="auto"/>
        <w:ind w:right="-801" w:rightChars="-389"/>
        <w:contextualSpacing/>
        <w:rPr>
          <w:rFonts w:ascii="宋体" w:hAnsi="宋体" w:eastAsia="宋体" w:cs="仿宋_GB2312"/>
          <w:color w:val="auto"/>
          <w:sz w:val="24"/>
          <w:szCs w:val="24"/>
          <w:highlight w:val="none"/>
        </w:rPr>
      </w:pPr>
    </w:p>
    <w:p w14:paraId="71D1D5F5">
      <w:pPr>
        <w:spacing w:line="360" w:lineRule="auto"/>
        <w:ind w:right="-801" w:rightChars="-389"/>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法定代表人或者委托代理人（签字或者电子签名）：</w:t>
      </w:r>
    </w:p>
    <w:p w14:paraId="7AB6CEC9">
      <w:pPr>
        <w:spacing w:line="360" w:lineRule="auto"/>
        <w:ind w:right="-801" w:rightChars="-389" w:firstLine="2124" w:firstLineChars="9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供应商名称（电子签章）：</w:t>
      </w:r>
    </w:p>
    <w:p w14:paraId="1D0FC6C0">
      <w:pPr>
        <w:spacing w:line="360" w:lineRule="auto"/>
        <w:ind w:right="-801" w:rightChars="-389" w:firstLine="2124" w:firstLineChars="9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期：   年   月   日</w:t>
      </w:r>
    </w:p>
    <w:p w14:paraId="5BCEEA36">
      <w:pP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br w:type="page"/>
      </w:r>
    </w:p>
    <w:p w14:paraId="0F30F26E">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建设工程项目管理承诺书</w:t>
      </w:r>
    </w:p>
    <w:p w14:paraId="71A7DEA1">
      <w:pPr>
        <w:spacing w:line="400" w:lineRule="exact"/>
        <w:rPr>
          <w:rFonts w:ascii="宋体" w:hAnsi="宋体" w:eastAsia="宋体"/>
          <w:color w:val="auto"/>
          <w:sz w:val="24"/>
          <w:highlight w:val="none"/>
        </w:rPr>
      </w:pPr>
    </w:p>
    <w:p w14:paraId="0FCA1467">
      <w:pPr>
        <w:spacing w:line="400" w:lineRule="exact"/>
        <w:rPr>
          <w:rFonts w:eastAsia="宋体" w:asciiTheme="minorAscii" w:hAnsiTheme="minorAscii"/>
          <w:color w:val="auto"/>
          <w:szCs w:val="21"/>
          <w:highlight w:val="none"/>
        </w:rPr>
      </w:pPr>
      <w:r>
        <w:rPr>
          <w:rFonts w:eastAsia="宋体" w:asciiTheme="minorAscii" w:hAnsiTheme="minorAscii"/>
          <w:color w:val="auto"/>
          <w:szCs w:val="21"/>
          <w:highlight w:val="none"/>
        </w:rPr>
        <w:t>致</w:t>
      </w:r>
      <w:r>
        <w:rPr>
          <w:rFonts w:eastAsia="宋体" w:asciiTheme="minorAscii" w:hAnsiTheme="minorAscii"/>
          <w:color w:val="auto"/>
          <w:szCs w:val="21"/>
          <w:highlight w:val="none"/>
          <w:u w:val="single"/>
        </w:rPr>
        <w:t xml:space="preserve">                        </w:t>
      </w:r>
      <w:r>
        <w:rPr>
          <w:rFonts w:eastAsia="宋体" w:asciiTheme="minorAscii" w:hAnsiTheme="minorAscii"/>
          <w:color w:val="auto"/>
          <w:szCs w:val="21"/>
          <w:highlight w:val="none"/>
        </w:rPr>
        <w:t>（采购人名称）：</w:t>
      </w:r>
    </w:p>
    <w:p w14:paraId="5F148409">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作为参与</w:t>
      </w:r>
      <w:r>
        <w:rPr>
          <w:rFonts w:eastAsia="宋体" w:asciiTheme="minorAscii" w:hAnsiTheme="minorAscii"/>
          <w:color w:val="auto"/>
          <w:szCs w:val="21"/>
          <w:highlight w:val="none"/>
          <w:u w:val="single"/>
        </w:rPr>
        <w:t xml:space="preserve">                  </w:t>
      </w:r>
      <w:r>
        <w:rPr>
          <w:rFonts w:eastAsia="宋体" w:asciiTheme="minorAscii" w:hAnsiTheme="minorAscii"/>
          <w:color w:val="auto"/>
          <w:szCs w:val="21"/>
          <w:highlight w:val="none"/>
        </w:rPr>
        <w:t>（项目名称）项目的供应商，根据国家、自治区相关文件规定，我方在此向采购人承诺：</w:t>
      </w:r>
    </w:p>
    <w:p w14:paraId="24C219B2">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1、一旦成交，我方保证按照政府相关部门的规定，在成交后7个工作日内，按照《保障农民工工资支付条例》规定及广西壮族自治区有关规定开设农民工工资专用账户，并按</w:t>
      </w:r>
      <w:r>
        <w:rPr>
          <w:rFonts w:eastAsia="宋体" w:asciiTheme="minorAscii" w:hAnsiTheme="minorAscii"/>
          <w:color w:val="auto"/>
          <w:szCs w:val="21"/>
          <w:highlight w:val="none"/>
          <w:u w:val="single"/>
        </w:rPr>
        <w:t>要求</w:t>
      </w:r>
      <w:r>
        <w:rPr>
          <w:rFonts w:eastAsia="宋体" w:asciiTheme="minorAscii" w:hAnsiTheme="minorAscii"/>
          <w:color w:val="auto"/>
          <w:szCs w:val="21"/>
          <w:highlight w:val="none"/>
        </w:rPr>
        <w:t>比例将农民工工资保证金存入</w:t>
      </w:r>
      <w:r>
        <w:rPr>
          <w:rFonts w:hint="eastAsia" w:eastAsia="宋体" w:asciiTheme="minorAscii" w:hAnsiTheme="minorAscii"/>
          <w:color w:val="auto"/>
          <w:highlight w:val="none"/>
          <w:lang w:val="en-US" w:eastAsia="zh-CN"/>
        </w:rPr>
        <w:t>账</w:t>
      </w:r>
      <w:r>
        <w:rPr>
          <w:rFonts w:eastAsia="宋体" w:asciiTheme="minorAscii" w:hAnsiTheme="minorAscii"/>
          <w:color w:val="auto"/>
          <w:szCs w:val="21"/>
          <w:highlight w:val="none"/>
        </w:rPr>
        <w:t>户，专项用于支付本工程提供劳动的农民工被拖欠的工资。按照与农民工依法约定的工资支付周期和具体支付日期支付工资，保证每月至少向农民工足额支付一次工资。</w:t>
      </w:r>
    </w:p>
    <w:p w14:paraId="45CDB33D">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75FD8FAB">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11276E1">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33BBA6E">
      <w:pPr>
        <w:spacing w:line="400" w:lineRule="exact"/>
        <w:ind w:firstLine="412" w:firstLineChars="200"/>
        <w:rPr>
          <w:rFonts w:eastAsia="宋体" w:asciiTheme="minorAscii" w:hAnsiTheme="minorAscii"/>
          <w:color w:val="auto"/>
          <w:szCs w:val="21"/>
          <w:highlight w:val="none"/>
        </w:rPr>
      </w:pPr>
      <w:r>
        <w:rPr>
          <w:rFonts w:eastAsia="宋体" w:asciiTheme="minorAscii" w:hAnsiTheme="minorAscii"/>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2EC916F">
      <w:pPr>
        <w:spacing w:line="400" w:lineRule="exact"/>
        <w:ind w:firstLine="412" w:firstLineChars="200"/>
        <w:rPr>
          <w:rFonts w:eastAsia="宋体" w:asciiTheme="minorAscii" w:hAnsiTheme="minorAscii"/>
          <w:color w:val="auto"/>
          <w:szCs w:val="21"/>
          <w:highlight w:val="none"/>
        </w:rPr>
      </w:pPr>
    </w:p>
    <w:p w14:paraId="40CEAF4B">
      <w:pPr>
        <w:spacing w:line="400" w:lineRule="exact"/>
        <w:ind w:firstLine="4120" w:firstLineChars="2000"/>
        <w:rPr>
          <w:rFonts w:eastAsia="宋体" w:asciiTheme="minorAscii" w:hAnsiTheme="minorAscii"/>
          <w:color w:val="auto"/>
          <w:szCs w:val="21"/>
          <w:highlight w:val="none"/>
          <w:u w:val="single"/>
        </w:rPr>
      </w:pPr>
      <w:r>
        <w:rPr>
          <w:rFonts w:eastAsia="宋体" w:asciiTheme="minorAscii" w:hAnsiTheme="minorAscii"/>
          <w:color w:val="auto"/>
          <w:szCs w:val="21"/>
          <w:highlight w:val="none"/>
        </w:rPr>
        <w:t>供应商</w:t>
      </w:r>
      <w:r>
        <w:rPr>
          <w:rFonts w:eastAsia="宋体" w:asciiTheme="minorAscii" w:hAnsiTheme="minorAscii"/>
          <w:color w:val="auto"/>
          <w:kern w:val="0"/>
          <w:szCs w:val="21"/>
          <w:highlight w:val="none"/>
        </w:rPr>
        <w:t>名称</w:t>
      </w:r>
      <w:r>
        <w:rPr>
          <w:rFonts w:eastAsia="宋体" w:asciiTheme="minorAscii" w:hAnsiTheme="minorAscii"/>
          <w:color w:val="auto"/>
          <w:szCs w:val="21"/>
          <w:highlight w:val="none"/>
        </w:rPr>
        <w:t>（盖公章）：</w:t>
      </w:r>
      <w:r>
        <w:rPr>
          <w:rFonts w:eastAsia="宋体" w:asciiTheme="minorAscii" w:hAnsiTheme="minorAscii"/>
          <w:color w:val="auto"/>
          <w:szCs w:val="21"/>
          <w:highlight w:val="none"/>
          <w:u w:val="single"/>
        </w:rPr>
        <w:t xml:space="preserve">                   </w:t>
      </w:r>
    </w:p>
    <w:p w14:paraId="285A4970">
      <w:pPr>
        <w:spacing w:line="400" w:lineRule="exact"/>
        <w:ind w:firstLine="4120" w:firstLineChars="2000"/>
        <w:jc w:val="both"/>
        <w:rPr>
          <w:rFonts w:eastAsia="宋体" w:asciiTheme="minorAscii" w:hAnsiTheme="minorAscii"/>
          <w:color w:val="auto"/>
          <w:szCs w:val="21"/>
          <w:highlight w:val="none"/>
        </w:rPr>
      </w:pPr>
      <w:r>
        <w:rPr>
          <w:rFonts w:eastAsia="宋体" w:asciiTheme="minorAscii" w:hAnsiTheme="minorAscii"/>
          <w:color w:val="auto"/>
          <w:szCs w:val="21"/>
          <w:highlight w:val="none"/>
        </w:rPr>
        <w:t>日</w:t>
      </w:r>
      <w:r>
        <w:rPr>
          <w:rFonts w:hint="eastAsia" w:eastAsia="宋体" w:asciiTheme="minorAscii" w:hAnsiTheme="minorAscii"/>
          <w:color w:val="auto"/>
          <w:szCs w:val="21"/>
          <w:highlight w:val="none"/>
          <w:lang w:val="en-US" w:eastAsia="zh-CN"/>
        </w:rPr>
        <w:t xml:space="preserve">  </w:t>
      </w:r>
      <w:r>
        <w:rPr>
          <w:rFonts w:eastAsia="宋体" w:asciiTheme="minorAscii" w:hAnsiTheme="minorAscii"/>
          <w:color w:val="auto"/>
          <w:szCs w:val="21"/>
          <w:highlight w:val="none"/>
        </w:rPr>
        <w:t>期：</w:t>
      </w:r>
      <w:r>
        <w:rPr>
          <w:rFonts w:eastAsia="宋体" w:asciiTheme="minorAscii" w:hAnsiTheme="minorAscii"/>
          <w:color w:val="auto"/>
          <w:szCs w:val="21"/>
          <w:highlight w:val="none"/>
          <w:u w:val="single"/>
        </w:rPr>
        <w:t xml:space="preserve">         </w:t>
      </w:r>
      <w:r>
        <w:rPr>
          <w:rFonts w:eastAsia="宋体" w:asciiTheme="minorAscii" w:hAnsiTheme="minorAscii"/>
          <w:color w:val="auto"/>
          <w:szCs w:val="21"/>
          <w:highlight w:val="none"/>
        </w:rPr>
        <w:t>年</w:t>
      </w:r>
      <w:r>
        <w:rPr>
          <w:rFonts w:eastAsia="宋体" w:asciiTheme="minorAscii" w:hAnsiTheme="minorAscii"/>
          <w:color w:val="auto"/>
          <w:szCs w:val="21"/>
          <w:highlight w:val="none"/>
          <w:u w:val="single"/>
        </w:rPr>
        <w:t xml:space="preserve">        </w:t>
      </w:r>
      <w:r>
        <w:rPr>
          <w:rFonts w:eastAsia="宋体" w:asciiTheme="minorAscii" w:hAnsiTheme="minorAscii"/>
          <w:color w:val="auto"/>
          <w:szCs w:val="21"/>
          <w:highlight w:val="none"/>
        </w:rPr>
        <w:t>月</w:t>
      </w:r>
      <w:r>
        <w:rPr>
          <w:rFonts w:eastAsia="宋体" w:asciiTheme="minorAscii" w:hAnsiTheme="minorAscii"/>
          <w:color w:val="auto"/>
          <w:szCs w:val="21"/>
          <w:highlight w:val="none"/>
          <w:u w:val="single"/>
        </w:rPr>
        <w:t xml:space="preserve">        </w:t>
      </w:r>
      <w:r>
        <w:rPr>
          <w:rFonts w:eastAsia="宋体" w:asciiTheme="minorAscii" w:hAnsiTheme="minorAscii"/>
          <w:color w:val="auto"/>
          <w:szCs w:val="21"/>
          <w:highlight w:val="none"/>
        </w:rPr>
        <w:t>日</w:t>
      </w:r>
    </w:p>
    <w:p w14:paraId="46E86CF4">
      <w:pPr>
        <w:rPr>
          <w:rFonts w:eastAsia="宋体" w:asciiTheme="minorAscii" w:hAnsiTheme="minorAscii"/>
          <w:color w:val="auto"/>
          <w:szCs w:val="21"/>
          <w:highlight w:val="none"/>
        </w:rPr>
      </w:pPr>
      <w:r>
        <w:rPr>
          <w:rFonts w:eastAsia="宋体" w:asciiTheme="minorAscii" w:hAnsiTheme="minorAscii"/>
          <w:color w:val="auto"/>
          <w:szCs w:val="21"/>
          <w:highlight w:val="none"/>
        </w:rPr>
        <w:br w:type="page"/>
      </w:r>
    </w:p>
    <w:p w14:paraId="096679F9">
      <w:pPr>
        <w:spacing w:line="400" w:lineRule="exact"/>
        <w:jc w:val="center"/>
        <w:rPr>
          <w:rFonts w:eastAsia="宋体" w:asciiTheme="minorAscii" w:hAnsiTheme="minorAscii"/>
          <w:color w:val="auto"/>
          <w:szCs w:val="21"/>
          <w:highlight w:val="none"/>
        </w:rPr>
      </w:pPr>
      <w:r>
        <w:rPr>
          <w:rFonts w:eastAsia="宋体" w:asciiTheme="minorAscii" w:hAnsiTheme="minorAscii"/>
          <w:b/>
          <w:bCs/>
          <w:color w:val="auto"/>
          <w:szCs w:val="21"/>
          <w:highlight w:val="none"/>
        </w:rPr>
        <w:t>广西壮族自治区建筑工程安全文明施工措施项目清单内容</w:t>
      </w:r>
    </w:p>
    <w:p w14:paraId="2D22FBD2">
      <w:pPr>
        <w:jc w:val="center"/>
        <w:rPr>
          <w:rFonts w:eastAsia="宋体" w:asciiTheme="minorAscii" w:hAnsiTheme="minorAscii"/>
          <w:color w:val="auto"/>
          <w:szCs w:val="21"/>
          <w:highlight w:val="none"/>
        </w:rPr>
      </w:pPr>
      <w:r>
        <w:rPr>
          <w:rFonts w:eastAsia="宋体" w:asciiTheme="minorAscii" w:hAnsiTheme="minorAscii"/>
          <w:color w:val="auto"/>
          <w:szCs w:val="21"/>
          <w:highlight w:val="none"/>
        </w:rPr>
        <w:t>（桂建质〔2015〕16号文附件一）</w:t>
      </w:r>
    </w:p>
    <w:p w14:paraId="0327DB4E">
      <w:pPr>
        <w:jc w:val="cente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广西壮族自治区</w:t>
      </w:r>
    </w:p>
    <w:p w14:paraId="6999AC5B">
      <w:pPr>
        <w:jc w:val="center"/>
        <w:rPr>
          <w:rFonts w:eastAsia="宋体" w:asciiTheme="minorAscii" w:hAnsiTheme="minorAscii"/>
          <w:b/>
          <w:bCs/>
          <w:color w:val="auto"/>
          <w:w w:val="90"/>
          <w:szCs w:val="21"/>
          <w:highlight w:val="none"/>
        </w:rPr>
      </w:pPr>
      <w:r>
        <w:rPr>
          <w:rFonts w:eastAsia="宋体" w:asciiTheme="minorAscii" w:hAnsiTheme="minorAscii"/>
          <w:b/>
          <w:bCs/>
          <w:color w:val="auto"/>
          <w:w w:val="90"/>
          <w:szCs w:val="21"/>
          <w:highlight w:val="none"/>
        </w:rPr>
        <w:t>建设工程安全文明施工措施项目清单内容</w:t>
      </w:r>
    </w:p>
    <w:p w14:paraId="260951D8">
      <w:pPr>
        <w:rPr>
          <w:rFonts w:eastAsia="宋体" w:asciiTheme="minorAscii" w:hAnsiTheme="minorAscii"/>
          <w:b/>
          <w:bCs/>
          <w:color w:val="auto"/>
          <w:w w:val="90"/>
          <w:szCs w:val="21"/>
          <w:highlight w:val="none"/>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6D0F3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14:paraId="5BD1594D">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类别</w:t>
            </w:r>
          </w:p>
        </w:tc>
        <w:tc>
          <w:tcPr>
            <w:tcW w:w="2070" w:type="dxa"/>
            <w:gridSpan w:val="2"/>
            <w:tcBorders>
              <w:top w:val="single" w:color="auto" w:sz="12" w:space="0"/>
            </w:tcBorders>
            <w:noWrap w:val="0"/>
            <w:vAlign w:val="center"/>
          </w:tcPr>
          <w:p w14:paraId="63D485EB">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项目名称</w:t>
            </w:r>
          </w:p>
        </w:tc>
        <w:tc>
          <w:tcPr>
            <w:tcW w:w="6645" w:type="dxa"/>
            <w:tcBorders>
              <w:top w:val="single" w:color="auto" w:sz="12" w:space="0"/>
            </w:tcBorders>
            <w:noWrap w:val="0"/>
            <w:vAlign w:val="center"/>
          </w:tcPr>
          <w:p w14:paraId="4F0C7D4D">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主要内容和要求</w:t>
            </w:r>
          </w:p>
        </w:tc>
      </w:tr>
      <w:tr w14:paraId="773FF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5FB7E0AD">
            <w:pPr>
              <w:rPr>
                <w:rFonts w:eastAsia="宋体" w:asciiTheme="minorAscii" w:hAnsiTheme="minorAscii"/>
                <w:color w:val="auto"/>
                <w:szCs w:val="21"/>
                <w:highlight w:val="none"/>
              </w:rPr>
            </w:pPr>
            <w:r>
              <w:rPr>
                <w:rFonts w:eastAsia="宋体" w:asciiTheme="minorAscii" w:hAnsiTheme="minorAscii"/>
                <w:color w:val="auto"/>
                <w:szCs w:val="21"/>
                <w:highlight w:val="none"/>
              </w:rPr>
              <w:t>文明</w:t>
            </w:r>
          </w:p>
          <w:p w14:paraId="664CDE96">
            <w:pPr>
              <w:rPr>
                <w:rFonts w:eastAsia="宋体" w:asciiTheme="minorAscii" w:hAnsiTheme="minorAscii"/>
                <w:color w:val="auto"/>
                <w:szCs w:val="21"/>
                <w:highlight w:val="none"/>
              </w:rPr>
            </w:pPr>
            <w:r>
              <w:rPr>
                <w:rFonts w:eastAsia="宋体" w:asciiTheme="minorAscii" w:hAnsiTheme="minorAscii"/>
                <w:color w:val="auto"/>
                <w:szCs w:val="21"/>
                <w:highlight w:val="none"/>
              </w:rPr>
              <w:t>施工</w:t>
            </w:r>
          </w:p>
          <w:p w14:paraId="228574C1">
            <w:pPr>
              <w:rPr>
                <w:rFonts w:eastAsia="宋体" w:asciiTheme="minorAscii" w:hAnsiTheme="minorAscii"/>
                <w:color w:val="auto"/>
                <w:szCs w:val="21"/>
                <w:highlight w:val="none"/>
              </w:rPr>
            </w:pPr>
            <w:r>
              <w:rPr>
                <w:rFonts w:eastAsia="宋体" w:asciiTheme="minorAscii" w:hAnsiTheme="minorAscii"/>
                <w:color w:val="auto"/>
                <w:szCs w:val="21"/>
                <w:highlight w:val="none"/>
              </w:rPr>
              <w:t>与</w:t>
            </w:r>
          </w:p>
          <w:p w14:paraId="1456F873">
            <w:pPr>
              <w:rPr>
                <w:rFonts w:eastAsia="宋体" w:asciiTheme="minorAscii" w:hAnsiTheme="minorAscii"/>
                <w:color w:val="auto"/>
                <w:szCs w:val="21"/>
                <w:highlight w:val="none"/>
              </w:rPr>
            </w:pPr>
            <w:r>
              <w:rPr>
                <w:rFonts w:eastAsia="宋体" w:asciiTheme="minorAscii" w:hAnsiTheme="minorAscii"/>
                <w:color w:val="auto"/>
                <w:szCs w:val="21"/>
                <w:highlight w:val="none"/>
              </w:rPr>
              <w:t>环境</w:t>
            </w:r>
          </w:p>
          <w:p w14:paraId="6C3409EC">
            <w:pPr>
              <w:rPr>
                <w:rFonts w:eastAsia="宋体" w:asciiTheme="minorAscii" w:hAnsiTheme="minorAscii"/>
                <w:color w:val="auto"/>
                <w:szCs w:val="21"/>
                <w:highlight w:val="none"/>
              </w:rPr>
            </w:pPr>
            <w:r>
              <w:rPr>
                <w:rFonts w:eastAsia="宋体" w:asciiTheme="minorAscii" w:hAnsiTheme="minorAscii"/>
                <w:color w:val="auto"/>
                <w:szCs w:val="21"/>
                <w:highlight w:val="none"/>
              </w:rPr>
              <w:t>保护</w:t>
            </w:r>
          </w:p>
        </w:tc>
        <w:tc>
          <w:tcPr>
            <w:tcW w:w="2070" w:type="dxa"/>
            <w:gridSpan w:val="2"/>
            <w:noWrap w:val="0"/>
            <w:vAlign w:val="center"/>
          </w:tcPr>
          <w:p w14:paraId="2F6ED0B0">
            <w:pPr>
              <w:rPr>
                <w:rFonts w:eastAsia="宋体" w:asciiTheme="minorAscii" w:hAnsiTheme="minorAscii"/>
                <w:color w:val="auto"/>
                <w:szCs w:val="21"/>
                <w:highlight w:val="none"/>
              </w:rPr>
            </w:pPr>
            <w:r>
              <w:rPr>
                <w:rFonts w:eastAsia="宋体" w:asciiTheme="minorAscii" w:hAnsiTheme="minorAscii"/>
                <w:color w:val="auto"/>
                <w:szCs w:val="21"/>
                <w:highlight w:val="none"/>
              </w:rPr>
              <w:t>安全警示</w:t>
            </w:r>
          </w:p>
          <w:p w14:paraId="5D20E1D5">
            <w:pPr>
              <w:rPr>
                <w:rFonts w:eastAsia="宋体" w:asciiTheme="minorAscii" w:hAnsiTheme="minorAscii"/>
                <w:color w:val="auto"/>
                <w:szCs w:val="21"/>
                <w:highlight w:val="none"/>
              </w:rPr>
            </w:pPr>
            <w:r>
              <w:rPr>
                <w:rFonts w:eastAsia="宋体" w:asciiTheme="minorAscii" w:hAnsiTheme="minorAscii"/>
                <w:color w:val="auto"/>
                <w:szCs w:val="21"/>
                <w:highlight w:val="none"/>
              </w:rPr>
              <w:t>标志牌</w:t>
            </w:r>
          </w:p>
        </w:tc>
        <w:tc>
          <w:tcPr>
            <w:tcW w:w="6645" w:type="dxa"/>
            <w:noWrap w:val="0"/>
            <w:vAlign w:val="center"/>
          </w:tcPr>
          <w:p w14:paraId="734319DF">
            <w:pPr>
              <w:rPr>
                <w:rFonts w:eastAsia="宋体" w:asciiTheme="minorAscii" w:hAnsiTheme="minorAscii"/>
                <w:color w:val="auto"/>
                <w:szCs w:val="21"/>
                <w:highlight w:val="none"/>
              </w:rPr>
            </w:pPr>
            <w:r>
              <w:rPr>
                <w:rFonts w:eastAsia="宋体" w:asciiTheme="minorAscii" w:hAnsiTheme="minorAscii"/>
                <w:color w:val="auto"/>
                <w:szCs w:val="21"/>
                <w:highlight w:val="none"/>
              </w:rPr>
              <w:t>在易发伤亡事故（或危险）处设置明显的、符合国家标准要求的安全警示标志牌。</w:t>
            </w:r>
          </w:p>
        </w:tc>
      </w:tr>
      <w:tr w14:paraId="62965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1434308">
            <w:pPr>
              <w:rPr>
                <w:rFonts w:eastAsia="宋体" w:asciiTheme="minorAscii" w:hAnsiTheme="minorAscii"/>
                <w:color w:val="auto"/>
                <w:szCs w:val="21"/>
                <w:highlight w:val="none"/>
              </w:rPr>
            </w:pPr>
          </w:p>
        </w:tc>
        <w:tc>
          <w:tcPr>
            <w:tcW w:w="2070" w:type="dxa"/>
            <w:gridSpan w:val="2"/>
            <w:noWrap w:val="0"/>
            <w:vAlign w:val="center"/>
          </w:tcPr>
          <w:p w14:paraId="2D32C4FD">
            <w:pPr>
              <w:rPr>
                <w:rFonts w:eastAsia="宋体" w:asciiTheme="minorAscii" w:hAnsiTheme="minorAscii"/>
                <w:color w:val="auto"/>
                <w:szCs w:val="21"/>
                <w:highlight w:val="none"/>
              </w:rPr>
            </w:pPr>
            <w:r>
              <w:rPr>
                <w:rFonts w:eastAsia="宋体" w:asciiTheme="minorAscii" w:hAnsiTheme="minorAscii"/>
                <w:color w:val="auto"/>
                <w:szCs w:val="21"/>
                <w:highlight w:val="none"/>
              </w:rPr>
              <w:t>现场围挡</w:t>
            </w:r>
          </w:p>
        </w:tc>
        <w:tc>
          <w:tcPr>
            <w:tcW w:w="6645" w:type="dxa"/>
            <w:noWrap w:val="0"/>
            <w:vAlign w:val="center"/>
          </w:tcPr>
          <w:p w14:paraId="53B8D0B1">
            <w:pPr>
              <w:rPr>
                <w:rFonts w:eastAsia="宋体" w:asciiTheme="minorAscii" w:hAnsiTheme="minorAscii"/>
                <w:color w:val="auto"/>
                <w:szCs w:val="21"/>
                <w:highlight w:val="none"/>
              </w:rPr>
            </w:pPr>
            <w:r>
              <w:rPr>
                <w:rFonts w:eastAsia="宋体" w:asciiTheme="minorAscii" w:hAnsiTheme="minorAscii"/>
                <w:color w:val="auto"/>
                <w:szCs w:val="21"/>
                <w:highlight w:val="none"/>
              </w:rPr>
              <w:t>1. 现场采用封闭围挡，高度不小于1.8m。</w:t>
            </w:r>
          </w:p>
          <w:p w14:paraId="0021EC3D">
            <w:pPr>
              <w:rPr>
                <w:rFonts w:eastAsia="宋体" w:asciiTheme="minorAscii" w:hAnsiTheme="minorAscii"/>
                <w:color w:val="auto"/>
                <w:szCs w:val="21"/>
                <w:highlight w:val="none"/>
              </w:rPr>
            </w:pPr>
            <w:r>
              <w:rPr>
                <w:rFonts w:eastAsia="宋体" w:asciiTheme="minorAscii" w:hAnsiTheme="minorAscii"/>
                <w:color w:val="auto"/>
                <w:szCs w:val="21"/>
                <w:highlight w:val="none"/>
              </w:rPr>
              <w:t>2. 围挡材料可用彩色、定型钢板，砌块等墙体。</w:t>
            </w:r>
          </w:p>
        </w:tc>
      </w:tr>
      <w:tr w14:paraId="79B0E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C428C4D">
            <w:pPr>
              <w:rPr>
                <w:rFonts w:eastAsia="宋体" w:asciiTheme="minorAscii" w:hAnsiTheme="minorAscii"/>
                <w:color w:val="auto"/>
                <w:szCs w:val="21"/>
                <w:highlight w:val="none"/>
              </w:rPr>
            </w:pPr>
          </w:p>
        </w:tc>
        <w:tc>
          <w:tcPr>
            <w:tcW w:w="2070" w:type="dxa"/>
            <w:gridSpan w:val="2"/>
            <w:noWrap w:val="0"/>
            <w:vAlign w:val="center"/>
          </w:tcPr>
          <w:p w14:paraId="216D1730">
            <w:pPr>
              <w:rPr>
                <w:rFonts w:eastAsia="宋体" w:asciiTheme="minorAscii" w:hAnsiTheme="minorAscii"/>
                <w:color w:val="auto"/>
                <w:szCs w:val="21"/>
                <w:highlight w:val="none"/>
              </w:rPr>
            </w:pPr>
            <w:r>
              <w:rPr>
                <w:rFonts w:eastAsia="宋体" w:asciiTheme="minorAscii" w:hAnsiTheme="minorAscii"/>
                <w:color w:val="auto"/>
                <w:szCs w:val="21"/>
                <w:highlight w:val="none"/>
              </w:rPr>
              <w:t>七牌二图</w:t>
            </w:r>
          </w:p>
        </w:tc>
        <w:tc>
          <w:tcPr>
            <w:tcW w:w="6645" w:type="dxa"/>
            <w:noWrap w:val="0"/>
            <w:vAlign w:val="center"/>
          </w:tcPr>
          <w:p w14:paraId="2F7743FC">
            <w:pPr>
              <w:rPr>
                <w:rFonts w:eastAsia="宋体" w:asciiTheme="minorAscii" w:hAnsiTheme="minorAscii"/>
                <w:color w:val="auto"/>
                <w:szCs w:val="21"/>
                <w:highlight w:val="none"/>
              </w:rPr>
            </w:pPr>
            <w:r>
              <w:rPr>
                <w:rFonts w:eastAsia="宋体" w:asciiTheme="minorAscii" w:hAnsiTheme="minorAscii"/>
                <w:color w:val="auto"/>
                <w:szCs w:val="21"/>
                <w:highlight w:val="none"/>
              </w:rPr>
              <w:t>在进门处悬挂工程概况、现场出入制度、管理人员名单及监督电话、安全生产规定、文明施工、消防保卫、节能公示等七牌以及施工现场总平面图、工程效果图。</w:t>
            </w:r>
          </w:p>
        </w:tc>
      </w:tr>
      <w:tr w14:paraId="06C72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14:paraId="58787AAA">
            <w:pPr>
              <w:rPr>
                <w:rFonts w:eastAsia="宋体" w:asciiTheme="minorAscii" w:hAnsiTheme="minorAscii"/>
                <w:color w:val="auto"/>
                <w:szCs w:val="21"/>
                <w:highlight w:val="none"/>
              </w:rPr>
            </w:pPr>
          </w:p>
        </w:tc>
        <w:tc>
          <w:tcPr>
            <w:tcW w:w="2070" w:type="dxa"/>
            <w:gridSpan w:val="2"/>
            <w:noWrap w:val="0"/>
            <w:vAlign w:val="center"/>
          </w:tcPr>
          <w:p w14:paraId="2BF38F1A">
            <w:pPr>
              <w:rPr>
                <w:rFonts w:eastAsia="宋体" w:asciiTheme="minorAscii" w:hAnsiTheme="minorAscii"/>
                <w:color w:val="auto"/>
                <w:szCs w:val="21"/>
                <w:highlight w:val="none"/>
              </w:rPr>
            </w:pPr>
            <w:r>
              <w:rPr>
                <w:rFonts w:eastAsia="宋体" w:asciiTheme="minorAscii" w:hAnsiTheme="minorAscii"/>
                <w:color w:val="auto"/>
                <w:szCs w:val="21"/>
                <w:highlight w:val="none"/>
              </w:rPr>
              <w:t>企业标志</w:t>
            </w:r>
          </w:p>
        </w:tc>
        <w:tc>
          <w:tcPr>
            <w:tcW w:w="6645" w:type="dxa"/>
            <w:noWrap w:val="0"/>
            <w:vAlign w:val="center"/>
          </w:tcPr>
          <w:p w14:paraId="7173B7AB">
            <w:pPr>
              <w:rPr>
                <w:rFonts w:eastAsia="宋体" w:asciiTheme="minorAscii" w:hAnsiTheme="minorAscii"/>
                <w:color w:val="auto"/>
                <w:szCs w:val="21"/>
                <w:highlight w:val="none"/>
              </w:rPr>
            </w:pPr>
            <w:r>
              <w:rPr>
                <w:rFonts w:eastAsia="宋体" w:asciiTheme="minorAscii" w:hAnsiTheme="minorAscii"/>
                <w:color w:val="auto"/>
                <w:szCs w:val="21"/>
                <w:highlight w:val="none"/>
              </w:rPr>
              <w:t>现场出入的大门应设有本企业标志或企业标识。</w:t>
            </w:r>
          </w:p>
        </w:tc>
      </w:tr>
      <w:tr w14:paraId="2A8A8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B5AC1E4">
            <w:pPr>
              <w:rPr>
                <w:rFonts w:eastAsia="宋体" w:asciiTheme="minorAscii" w:hAnsiTheme="minorAscii"/>
                <w:color w:val="auto"/>
                <w:szCs w:val="21"/>
                <w:highlight w:val="none"/>
              </w:rPr>
            </w:pPr>
          </w:p>
        </w:tc>
        <w:tc>
          <w:tcPr>
            <w:tcW w:w="2070" w:type="dxa"/>
            <w:gridSpan w:val="2"/>
            <w:noWrap w:val="0"/>
            <w:vAlign w:val="center"/>
          </w:tcPr>
          <w:p w14:paraId="242BBF9D">
            <w:pPr>
              <w:rPr>
                <w:rFonts w:eastAsia="宋体" w:asciiTheme="minorAscii" w:hAnsiTheme="minorAscii"/>
                <w:color w:val="auto"/>
                <w:szCs w:val="21"/>
                <w:highlight w:val="none"/>
              </w:rPr>
            </w:pPr>
            <w:r>
              <w:rPr>
                <w:rFonts w:eastAsia="宋体" w:asciiTheme="minorAscii" w:hAnsiTheme="minorAscii"/>
                <w:color w:val="auto"/>
                <w:szCs w:val="21"/>
                <w:highlight w:val="none"/>
              </w:rPr>
              <w:t>场容场貌</w:t>
            </w:r>
          </w:p>
        </w:tc>
        <w:tc>
          <w:tcPr>
            <w:tcW w:w="6645" w:type="dxa"/>
            <w:noWrap w:val="0"/>
            <w:vAlign w:val="center"/>
          </w:tcPr>
          <w:p w14:paraId="5C4ECDE5">
            <w:pPr>
              <w:rPr>
                <w:rFonts w:eastAsia="宋体" w:asciiTheme="minorAscii" w:hAnsiTheme="minorAscii"/>
                <w:color w:val="auto"/>
                <w:szCs w:val="21"/>
                <w:highlight w:val="none"/>
              </w:rPr>
            </w:pPr>
            <w:r>
              <w:rPr>
                <w:rFonts w:eastAsia="宋体" w:asciiTheme="minorAscii" w:hAnsiTheme="minorAscii"/>
                <w:color w:val="auto"/>
                <w:szCs w:val="21"/>
                <w:highlight w:val="none"/>
              </w:rPr>
              <w:t>1. 道路畅通。</w:t>
            </w:r>
          </w:p>
          <w:p w14:paraId="53D25B1C">
            <w:pPr>
              <w:rPr>
                <w:rFonts w:eastAsia="宋体" w:asciiTheme="minorAscii" w:hAnsiTheme="minorAscii"/>
                <w:color w:val="auto"/>
                <w:szCs w:val="21"/>
                <w:highlight w:val="none"/>
              </w:rPr>
            </w:pPr>
            <w:r>
              <w:rPr>
                <w:rFonts w:eastAsia="宋体" w:asciiTheme="minorAscii" w:hAnsiTheme="minorAscii"/>
                <w:color w:val="auto"/>
                <w:szCs w:val="21"/>
                <w:highlight w:val="none"/>
              </w:rPr>
              <w:t>2. 排水设施齐全畅通。</w:t>
            </w:r>
          </w:p>
          <w:p w14:paraId="5CB15D5E">
            <w:pPr>
              <w:rPr>
                <w:rFonts w:eastAsia="宋体" w:asciiTheme="minorAscii" w:hAnsiTheme="minorAscii"/>
                <w:color w:val="auto"/>
                <w:szCs w:val="21"/>
                <w:highlight w:val="none"/>
              </w:rPr>
            </w:pPr>
            <w:r>
              <w:rPr>
                <w:rFonts w:eastAsia="宋体" w:asciiTheme="minorAscii" w:hAnsiTheme="minorAscii"/>
                <w:color w:val="auto"/>
                <w:szCs w:val="21"/>
                <w:highlight w:val="none"/>
              </w:rPr>
              <w:t>3. 工地地面硬化处理（办公区、生活区、现场道路、材料堆放、混凝土搅拌、砂浆搅拌、钢筋加工等场地和外脚手架基础等）。</w:t>
            </w:r>
          </w:p>
        </w:tc>
      </w:tr>
      <w:tr w14:paraId="56782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58440E8">
            <w:pPr>
              <w:rPr>
                <w:rFonts w:eastAsia="宋体" w:asciiTheme="minorAscii" w:hAnsiTheme="minorAscii"/>
                <w:color w:val="auto"/>
                <w:szCs w:val="21"/>
                <w:highlight w:val="none"/>
              </w:rPr>
            </w:pPr>
          </w:p>
        </w:tc>
        <w:tc>
          <w:tcPr>
            <w:tcW w:w="2070" w:type="dxa"/>
            <w:gridSpan w:val="2"/>
            <w:noWrap w:val="0"/>
            <w:vAlign w:val="center"/>
          </w:tcPr>
          <w:p w14:paraId="3BB71778">
            <w:pPr>
              <w:rPr>
                <w:rFonts w:eastAsia="宋体" w:asciiTheme="minorAscii" w:hAnsiTheme="minorAscii"/>
                <w:color w:val="auto"/>
                <w:szCs w:val="21"/>
                <w:highlight w:val="none"/>
              </w:rPr>
            </w:pPr>
            <w:r>
              <w:rPr>
                <w:rFonts w:eastAsia="宋体" w:asciiTheme="minorAscii" w:hAnsiTheme="minorAscii"/>
                <w:color w:val="auto"/>
                <w:szCs w:val="21"/>
                <w:highlight w:val="none"/>
              </w:rPr>
              <w:t>材料堆放</w:t>
            </w:r>
          </w:p>
        </w:tc>
        <w:tc>
          <w:tcPr>
            <w:tcW w:w="6645" w:type="dxa"/>
            <w:noWrap w:val="0"/>
            <w:vAlign w:val="center"/>
          </w:tcPr>
          <w:p w14:paraId="48640CBF">
            <w:pPr>
              <w:rPr>
                <w:rFonts w:eastAsia="宋体" w:asciiTheme="minorAscii" w:hAnsiTheme="minorAscii"/>
                <w:color w:val="auto"/>
                <w:szCs w:val="21"/>
                <w:highlight w:val="none"/>
              </w:rPr>
            </w:pPr>
            <w:r>
              <w:rPr>
                <w:rFonts w:eastAsia="宋体" w:asciiTheme="minorAscii" w:hAnsiTheme="minorAscii"/>
                <w:color w:val="auto"/>
                <w:szCs w:val="21"/>
                <w:highlight w:val="none"/>
              </w:rPr>
              <w:t>材料、构件、料具等堆放时，应有名称、品种、规格等标牌。</w:t>
            </w:r>
          </w:p>
          <w:p w14:paraId="4A9D466D">
            <w:pPr>
              <w:rPr>
                <w:rFonts w:eastAsia="宋体" w:asciiTheme="minorAscii" w:hAnsiTheme="minorAscii"/>
                <w:color w:val="auto"/>
                <w:szCs w:val="21"/>
                <w:highlight w:val="none"/>
              </w:rPr>
            </w:pPr>
            <w:r>
              <w:rPr>
                <w:rFonts w:eastAsia="宋体" w:asciiTheme="minorAscii" w:hAnsiTheme="minorAscii"/>
                <w:color w:val="auto"/>
                <w:szCs w:val="21"/>
                <w:highlight w:val="none"/>
              </w:rPr>
              <w:t>2. 水泥和其它易飞扬细颗粒建筑材料应封闭存放或采取覆盖等措施。</w:t>
            </w:r>
          </w:p>
          <w:p w14:paraId="51958410">
            <w:pPr>
              <w:rPr>
                <w:rFonts w:eastAsia="宋体" w:asciiTheme="minorAscii" w:hAnsiTheme="minorAscii"/>
                <w:color w:val="auto"/>
                <w:szCs w:val="21"/>
                <w:highlight w:val="none"/>
              </w:rPr>
            </w:pPr>
            <w:r>
              <w:rPr>
                <w:rFonts w:eastAsia="宋体" w:asciiTheme="minorAscii" w:hAnsiTheme="minorAscii"/>
                <w:color w:val="auto"/>
                <w:szCs w:val="21"/>
                <w:highlight w:val="none"/>
              </w:rPr>
              <w:t>3. 易燃、易爆和有毒有害物品分类存放。</w:t>
            </w:r>
          </w:p>
        </w:tc>
      </w:tr>
      <w:tr w14:paraId="5A068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68AFB055">
            <w:pPr>
              <w:rPr>
                <w:rFonts w:eastAsia="宋体" w:asciiTheme="minorAscii" w:hAnsiTheme="minorAscii"/>
                <w:color w:val="auto"/>
                <w:szCs w:val="21"/>
                <w:highlight w:val="none"/>
              </w:rPr>
            </w:pPr>
          </w:p>
        </w:tc>
        <w:tc>
          <w:tcPr>
            <w:tcW w:w="2070" w:type="dxa"/>
            <w:gridSpan w:val="2"/>
            <w:noWrap w:val="0"/>
            <w:vAlign w:val="center"/>
          </w:tcPr>
          <w:p w14:paraId="7AA244E9">
            <w:pPr>
              <w:rPr>
                <w:rFonts w:eastAsia="宋体" w:asciiTheme="minorAscii" w:hAnsiTheme="minorAscii"/>
                <w:color w:val="auto"/>
                <w:szCs w:val="21"/>
                <w:highlight w:val="none"/>
              </w:rPr>
            </w:pPr>
            <w:r>
              <w:rPr>
                <w:rFonts w:eastAsia="宋体" w:asciiTheme="minorAscii" w:hAnsiTheme="minorAscii"/>
                <w:color w:val="auto"/>
                <w:szCs w:val="21"/>
                <w:highlight w:val="none"/>
              </w:rPr>
              <w:t>现场防火</w:t>
            </w:r>
          </w:p>
        </w:tc>
        <w:tc>
          <w:tcPr>
            <w:tcW w:w="6645" w:type="dxa"/>
            <w:noWrap w:val="0"/>
            <w:vAlign w:val="center"/>
          </w:tcPr>
          <w:p w14:paraId="379504B6">
            <w:pPr>
              <w:rPr>
                <w:rFonts w:eastAsia="宋体" w:asciiTheme="minorAscii" w:hAnsiTheme="minorAscii"/>
                <w:color w:val="auto"/>
                <w:szCs w:val="21"/>
                <w:highlight w:val="none"/>
              </w:rPr>
            </w:pPr>
            <w:r>
              <w:rPr>
                <w:rFonts w:eastAsia="宋体" w:asciiTheme="minorAscii" w:hAnsiTheme="minorAscii"/>
                <w:color w:val="auto"/>
                <w:szCs w:val="21"/>
                <w:highlight w:val="none"/>
              </w:rPr>
              <w:t>消防器材配置合理，符合消防要求。</w:t>
            </w:r>
          </w:p>
        </w:tc>
      </w:tr>
      <w:tr w14:paraId="26947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5CF80F9">
            <w:pPr>
              <w:rPr>
                <w:rFonts w:eastAsia="宋体" w:asciiTheme="minorAscii" w:hAnsiTheme="minorAscii"/>
                <w:color w:val="auto"/>
                <w:szCs w:val="21"/>
                <w:highlight w:val="none"/>
              </w:rPr>
            </w:pPr>
          </w:p>
        </w:tc>
        <w:tc>
          <w:tcPr>
            <w:tcW w:w="2070" w:type="dxa"/>
            <w:gridSpan w:val="2"/>
            <w:noWrap w:val="0"/>
            <w:vAlign w:val="center"/>
          </w:tcPr>
          <w:p w14:paraId="48C07FF1">
            <w:pPr>
              <w:rPr>
                <w:rFonts w:eastAsia="宋体" w:asciiTheme="minorAscii" w:hAnsiTheme="minorAscii"/>
                <w:color w:val="auto"/>
                <w:szCs w:val="21"/>
                <w:highlight w:val="none"/>
              </w:rPr>
            </w:pPr>
            <w:r>
              <w:rPr>
                <w:rFonts w:eastAsia="宋体" w:asciiTheme="minorAscii" w:hAnsiTheme="minorAscii"/>
                <w:color w:val="auto"/>
                <w:szCs w:val="21"/>
                <w:highlight w:val="none"/>
              </w:rPr>
              <w:t>垃圾清运</w:t>
            </w:r>
          </w:p>
        </w:tc>
        <w:tc>
          <w:tcPr>
            <w:tcW w:w="6645" w:type="dxa"/>
            <w:noWrap w:val="0"/>
            <w:vAlign w:val="center"/>
          </w:tcPr>
          <w:p w14:paraId="067FFE5D">
            <w:pPr>
              <w:rPr>
                <w:rFonts w:eastAsia="宋体" w:asciiTheme="minorAscii" w:hAnsiTheme="minorAscii"/>
                <w:color w:val="auto"/>
                <w:szCs w:val="21"/>
                <w:highlight w:val="none"/>
              </w:rPr>
            </w:pPr>
            <w:r>
              <w:rPr>
                <w:rFonts w:eastAsia="宋体" w:asciiTheme="minorAscii" w:hAnsiTheme="minorAscii"/>
                <w:color w:val="auto"/>
                <w:szCs w:val="21"/>
                <w:highlight w:val="none"/>
              </w:rPr>
              <w:t>1. 施工现场应设置密闭式垃圾站，施工垃圾、生活垃圾应分类存放。</w:t>
            </w:r>
          </w:p>
          <w:p w14:paraId="3027F68A">
            <w:pPr>
              <w:rPr>
                <w:rFonts w:eastAsia="宋体" w:asciiTheme="minorAscii" w:hAnsiTheme="minorAscii"/>
                <w:color w:val="auto"/>
                <w:szCs w:val="21"/>
                <w:highlight w:val="none"/>
              </w:rPr>
            </w:pPr>
            <w:r>
              <w:rPr>
                <w:rFonts w:eastAsia="宋体" w:asciiTheme="minorAscii" w:hAnsiTheme="minorAscii"/>
                <w:color w:val="auto"/>
                <w:szCs w:val="21"/>
                <w:highlight w:val="none"/>
              </w:rPr>
              <w:t>2. 施工垃圾必须采用相应容器或管道运输。</w:t>
            </w:r>
          </w:p>
        </w:tc>
      </w:tr>
      <w:tr w14:paraId="3A8E2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513DAC7">
            <w:pPr>
              <w:rPr>
                <w:rFonts w:eastAsia="宋体" w:asciiTheme="minorAscii" w:hAnsiTheme="minorAscii"/>
                <w:color w:val="auto"/>
                <w:szCs w:val="21"/>
                <w:highlight w:val="none"/>
              </w:rPr>
            </w:pPr>
          </w:p>
        </w:tc>
        <w:tc>
          <w:tcPr>
            <w:tcW w:w="2070" w:type="dxa"/>
            <w:gridSpan w:val="2"/>
            <w:noWrap w:val="0"/>
            <w:vAlign w:val="center"/>
          </w:tcPr>
          <w:p w14:paraId="6ADEFED5">
            <w:pPr>
              <w:rPr>
                <w:rFonts w:eastAsia="宋体" w:asciiTheme="minorAscii" w:hAnsiTheme="minorAscii"/>
                <w:color w:val="auto"/>
                <w:szCs w:val="21"/>
                <w:highlight w:val="none"/>
              </w:rPr>
            </w:pPr>
            <w:r>
              <w:rPr>
                <w:rFonts w:eastAsia="宋体" w:asciiTheme="minorAscii" w:hAnsiTheme="minorAscii"/>
                <w:color w:val="auto"/>
                <w:szCs w:val="21"/>
                <w:highlight w:val="none"/>
              </w:rPr>
              <w:t>宣传栏、环保及不扰民措施</w:t>
            </w:r>
          </w:p>
        </w:tc>
        <w:tc>
          <w:tcPr>
            <w:tcW w:w="6645" w:type="dxa"/>
            <w:noWrap w:val="0"/>
            <w:vAlign w:val="center"/>
          </w:tcPr>
          <w:p w14:paraId="33A03EE2">
            <w:pPr>
              <w:rPr>
                <w:rFonts w:eastAsia="宋体" w:asciiTheme="minorAscii" w:hAnsiTheme="minorAscii"/>
                <w:color w:val="auto"/>
                <w:szCs w:val="21"/>
                <w:highlight w:val="none"/>
              </w:rPr>
            </w:pPr>
            <w:r>
              <w:rPr>
                <w:rFonts w:eastAsia="宋体" w:asciiTheme="minorAscii" w:hAnsiTheme="minorAscii"/>
                <w:color w:val="auto"/>
                <w:szCs w:val="21"/>
                <w:highlight w:val="none"/>
              </w:rPr>
              <w:t>宣传栏、安全宣传标语等，洗车（防止污染市区道路）、粉尘、噪声控制和排污（污水、废气）措施等。</w:t>
            </w:r>
          </w:p>
        </w:tc>
      </w:tr>
      <w:tr w14:paraId="1F8CF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04A0FA82">
            <w:pPr>
              <w:rPr>
                <w:rFonts w:eastAsia="宋体" w:asciiTheme="minorAscii" w:hAnsiTheme="minorAscii"/>
                <w:color w:val="auto"/>
                <w:szCs w:val="21"/>
                <w:highlight w:val="none"/>
              </w:rPr>
            </w:pPr>
            <w:r>
              <w:rPr>
                <w:rFonts w:eastAsia="宋体" w:asciiTheme="minorAscii" w:hAnsiTheme="minorAscii"/>
                <w:color w:val="auto"/>
                <w:szCs w:val="21"/>
                <w:highlight w:val="none"/>
              </w:rPr>
              <w:t>临时设施</w:t>
            </w:r>
          </w:p>
        </w:tc>
        <w:tc>
          <w:tcPr>
            <w:tcW w:w="2070" w:type="dxa"/>
            <w:gridSpan w:val="2"/>
            <w:noWrap w:val="0"/>
            <w:vAlign w:val="center"/>
          </w:tcPr>
          <w:p w14:paraId="0E18A87C">
            <w:pPr>
              <w:rPr>
                <w:rFonts w:eastAsia="宋体" w:asciiTheme="minorAscii" w:hAnsiTheme="minorAscii"/>
                <w:color w:val="auto"/>
                <w:szCs w:val="21"/>
                <w:highlight w:val="none"/>
              </w:rPr>
            </w:pPr>
            <w:r>
              <w:rPr>
                <w:rFonts w:eastAsia="宋体" w:asciiTheme="minorAscii" w:hAnsiTheme="minorAscii"/>
                <w:color w:val="auto"/>
                <w:szCs w:val="21"/>
                <w:highlight w:val="none"/>
              </w:rPr>
              <w:t>现场办公</w:t>
            </w:r>
          </w:p>
          <w:p w14:paraId="0F4E0294">
            <w:pPr>
              <w:rPr>
                <w:rFonts w:eastAsia="宋体" w:asciiTheme="minorAscii" w:hAnsiTheme="minorAscii"/>
                <w:color w:val="auto"/>
                <w:szCs w:val="21"/>
                <w:highlight w:val="none"/>
              </w:rPr>
            </w:pPr>
            <w:r>
              <w:rPr>
                <w:rFonts w:eastAsia="宋体" w:asciiTheme="minorAscii" w:hAnsiTheme="minorAscii"/>
                <w:color w:val="auto"/>
                <w:szCs w:val="21"/>
                <w:highlight w:val="none"/>
              </w:rPr>
              <w:t>生活设施</w:t>
            </w:r>
          </w:p>
        </w:tc>
        <w:tc>
          <w:tcPr>
            <w:tcW w:w="6645" w:type="dxa"/>
            <w:noWrap w:val="0"/>
            <w:vAlign w:val="center"/>
          </w:tcPr>
          <w:p w14:paraId="50916A75">
            <w:pPr>
              <w:rPr>
                <w:rFonts w:eastAsia="宋体" w:asciiTheme="minorAscii" w:hAnsiTheme="minorAscii"/>
                <w:color w:val="auto"/>
                <w:szCs w:val="21"/>
                <w:highlight w:val="none"/>
              </w:rPr>
            </w:pPr>
            <w:r>
              <w:rPr>
                <w:rFonts w:eastAsia="宋体" w:asciiTheme="minorAscii" w:hAnsiTheme="minorAscii"/>
                <w:color w:val="auto"/>
                <w:szCs w:val="21"/>
                <w:highlight w:val="none"/>
              </w:rPr>
              <w:t>1. 施工现场办公、生活区与作业区分开设置，保持安全距离。</w:t>
            </w:r>
          </w:p>
          <w:p w14:paraId="6F18D12A">
            <w:pPr>
              <w:rPr>
                <w:rFonts w:eastAsia="宋体" w:asciiTheme="minorAscii" w:hAnsiTheme="minorAscii"/>
                <w:color w:val="auto"/>
                <w:szCs w:val="21"/>
                <w:highlight w:val="none"/>
              </w:rPr>
            </w:pPr>
            <w:r>
              <w:rPr>
                <w:rFonts w:eastAsia="宋体" w:asciiTheme="minorAscii" w:hAnsiTheme="minorAscii"/>
                <w:color w:val="auto"/>
                <w:szCs w:val="21"/>
                <w:highlight w:val="none"/>
              </w:rPr>
              <w:t>2. 工地办公室、现场宿舍、食堂、厕所、饮水、沐浴、休息场所等符合卫生、消防安全要求。</w:t>
            </w:r>
          </w:p>
        </w:tc>
      </w:tr>
      <w:tr w14:paraId="2CC4A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7DF489A">
            <w:pPr>
              <w:rPr>
                <w:rFonts w:eastAsia="宋体" w:asciiTheme="minorAscii" w:hAnsiTheme="minorAscii"/>
                <w:color w:val="auto"/>
                <w:szCs w:val="21"/>
                <w:highlight w:val="none"/>
              </w:rPr>
            </w:pPr>
          </w:p>
        </w:tc>
        <w:tc>
          <w:tcPr>
            <w:tcW w:w="525" w:type="dxa"/>
            <w:vMerge w:val="restart"/>
            <w:noWrap w:val="0"/>
            <w:vAlign w:val="center"/>
          </w:tcPr>
          <w:p w14:paraId="58388567">
            <w:pPr>
              <w:rPr>
                <w:rFonts w:eastAsia="宋体" w:asciiTheme="minorAscii" w:hAnsiTheme="minorAscii"/>
                <w:color w:val="auto"/>
                <w:szCs w:val="21"/>
                <w:highlight w:val="none"/>
              </w:rPr>
            </w:pPr>
            <w:r>
              <w:rPr>
                <w:rFonts w:eastAsia="宋体" w:asciiTheme="minorAscii" w:hAnsiTheme="minorAscii"/>
                <w:color w:val="auto"/>
                <w:szCs w:val="21"/>
                <w:highlight w:val="none"/>
              </w:rPr>
              <w:t>施工现场</w:t>
            </w:r>
          </w:p>
          <w:p w14:paraId="1E95FE3F">
            <w:pPr>
              <w:rPr>
                <w:rFonts w:eastAsia="宋体" w:asciiTheme="minorAscii" w:hAnsiTheme="minorAscii"/>
                <w:color w:val="auto"/>
                <w:szCs w:val="21"/>
                <w:highlight w:val="none"/>
              </w:rPr>
            </w:pPr>
            <w:r>
              <w:rPr>
                <w:rFonts w:eastAsia="宋体" w:asciiTheme="minorAscii" w:hAnsiTheme="minorAscii"/>
                <w:color w:val="auto"/>
                <w:szCs w:val="21"/>
                <w:highlight w:val="none"/>
              </w:rPr>
              <w:t>临时用电</w:t>
            </w:r>
          </w:p>
        </w:tc>
        <w:tc>
          <w:tcPr>
            <w:tcW w:w="1545" w:type="dxa"/>
            <w:noWrap w:val="0"/>
            <w:vAlign w:val="center"/>
          </w:tcPr>
          <w:p w14:paraId="5C8579C5">
            <w:pPr>
              <w:rPr>
                <w:rFonts w:eastAsia="宋体" w:asciiTheme="minorAscii" w:hAnsiTheme="minorAscii"/>
                <w:color w:val="auto"/>
                <w:szCs w:val="21"/>
                <w:highlight w:val="none"/>
              </w:rPr>
            </w:pPr>
            <w:r>
              <w:rPr>
                <w:rFonts w:eastAsia="宋体" w:asciiTheme="minorAscii" w:hAnsiTheme="minorAscii"/>
                <w:color w:val="auto"/>
                <w:szCs w:val="21"/>
                <w:highlight w:val="none"/>
              </w:rPr>
              <w:t>配电线路</w:t>
            </w:r>
          </w:p>
        </w:tc>
        <w:tc>
          <w:tcPr>
            <w:tcW w:w="6645" w:type="dxa"/>
            <w:noWrap w:val="0"/>
            <w:vAlign w:val="center"/>
          </w:tcPr>
          <w:p w14:paraId="1243E36C">
            <w:pPr>
              <w:rPr>
                <w:rFonts w:eastAsia="宋体" w:asciiTheme="minorAscii" w:hAnsiTheme="minorAscii"/>
                <w:color w:val="auto"/>
                <w:szCs w:val="21"/>
                <w:highlight w:val="none"/>
              </w:rPr>
            </w:pPr>
            <w:r>
              <w:rPr>
                <w:rFonts w:eastAsia="宋体" w:asciiTheme="minorAscii" w:hAnsiTheme="minorAscii"/>
                <w:color w:val="auto"/>
                <w:szCs w:val="21"/>
                <w:highlight w:val="none"/>
              </w:rPr>
              <w:t>1. 按照TN-S系统要求配备五芯电缆、四芯电缆和三芯电缆。</w:t>
            </w:r>
          </w:p>
          <w:p w14:paraId="49C3F965">
            <w:pPr>
              <w:rPr>
                <w:rFonts w:eastAsia="宋体" w:asciiTheme="minorAscii" w:hAnsiTheme="minorAscii"/>
                <w:color w:val="auto"/>
                <w:szCs w:val="21"/>
                <w:highlight w:val="none"/>
              </w:rPr>
            </w:pPr>
            <w:r>
              <w:rPr>
                <w:rFonts w:eastAsia="宋体" w:asciiTheme="minorAscii" w:hAnsiTheme="minorAscii"/>
                <w:color w:val="auto"/>
                <w:szCs w:val="21"/>
                <w:highlight w:val="none"/>
              </w:rPr>
              <w:t>2. 按要求架设临时用电线路的电杆、横担、瓷夹、瓷瓶等，或电缆埋地的地沟。</w:t>
            </w:r>
          </w:p>
          <w:p w14:paraId="6165B4E0">
            <w:pPr>
              <w:rPr>
                <w:rFonts w:eastAsia="宋体" w:asciiTheme="minorAscii" w:hAnsiTheme="minorAscii"/>
                <w:color w:val="auto"/>
                <w:szCs w:val="21"/>
                <w:highlight w:val="none"/>
              </w:rPr>
            </w:pPr>
            <w:r>
              <w:rPr>
                <w:rFonts w:eastAsia="宋体" w:asciiTheme="minorAscii" w:hAnsiTheme="minorAscii"/>
                <w:color w:val="auto"/>
                <w:szCs w:val="21"/>
                <w:highlight w:val="none"/>
              </w:rPr>
              <w:t>3. 对靠近施工现场的外电线路，设置木质、塑料等绝缘体的防护设施。</w:t>
            </w:r>
          </w:p>
        </w:tc>
      </w:tr>
      <w:tr w14:paraId="1E3BB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8C14D40">
            <w:pPr>
              <w:rPr>
                <w:rFonts w:eastAsia="宋体" w:asciiTheme="minorAscii" w:hAnsiTheme="minorAscii"/>
                <w:color w:val="auto"/>
                <w:szCs w:val="21"/>
                <w:highlight w:val="none"/>
              </w:rPr>
            </w:pPr>
          </w:p>
        </w:tc>
        <w:tc>
          <w:tcPr>
            <w:tcW w:w="525" w:type="dxa"/>
            <w:vMerge w:val="continue"/>
            <w:noWrap w:val="0"/>
            <w:vAlign w:val="center"/>
          </w:tcPr>
          <w:p w14:paraId="405BE9D1">
            <w:pPr>
              <w:rPr>
                <w:rFonts w:eastAsia="宋体" w:asciiTheme="minorAscii" w:hAnsiTheme="minorAscii"/>
                <w:color w:val="auto"/>
                <w:szCs w:val="21"/>
                <w:highlight w:val="none"/>
              </w:rPr>
            </w:pPr>
          </w:p>
        </w:tc>
        <w:tc>
          <w:tcPr>
            <w:tcW w:w="1545" w:type="dxa"/>
            <w:noWrap w:val="0"/>
            <w:vAlign w:val="center"/>
          </w:tcPr>
          <w:p w14:paraId="0E4E3F80">
            <w:pPr>
              <w:rPr>
                <w:rFonts w:eastAsia="宋体" w:asciiTheme="minorAscii" w:hAnsiTheme="minorAscii"/>
                <w:color w:val="auto"/>
                <w:szCs w:val="21"/>
                <w:highlight w:val="none"/>
              </w:rPr>
            </w:pPr>
            <w:r>
              <w:rPr>
                <w:rFonts w:eastAsia="宋体" w:asciiTheme="minorAscii" w:hAnsiTheme="minorAscii"/>
                <w:color w:val="auto"/>
                <w:szCs w:val="21"/>
                <w:highlight w:val="none"/>
              </w:rPr>
              <w:t>配电箱</w:t>
            </w:r>
          </w:p>
          <w:p w14:paraId="11C8DF65">
            <w:pPr>
              <w:rPr>
                <w:rFonts w:eastAsia="宋体" w:asciiTheme="minorAscii" w:hAnsiTheme="minorAscii"/>
                <w:color w:val="auto"/>
                <w:szCs w:val="21"/>
                <w:highlight w:val="none"/>
              </w:rPr>
            </w:pPr>
            <w:r>
              <w:rPr>
                <w:rFonts w:eastAsia="宋体" w:asciiTheme="minorAscii" w:hAnsiTheme="minorAscii"/>
                <w:color w:val="auto"/>
                <w:szCs w:val="21"/>
                <w:highlight w:val="none"/>
              </w:rPr>
              <w:t>开关箱</w:t>
            </w:r>
          </w:p>
        </w:tc>
        <w:tc>
          <w:tcPr>
            <w:tcW w:w="6645" w:type="dxa"/>
            <w:noWrap w:val="0"/>
            <w:vAlign w:val="center"/>
          </w:tcPr>
          <w:p w14:paraId="4D56C32F">
            <w:pPr>
              <w:rPr>
                <w:rFonts w:eastAsia="宋体" w:asciiTheme="minorAscii" w:hAnsiTheme="minorAscii"/>
                <w:color w:val="auto"/>
                <w:szCs w:val="21"/>
                <w:highlight w:val="none"/>
              </w:rPr>
            </w:pPr>
            <w:r>
              <w:rPr>
                <w:rFonts w:eastAsia="宋体" w:asciiTheme="minorAscii" w:hAnsiTheme="minorAscii"/>
                <w:color w:val="auto"/>
                <w:szCs w:val="21"/>
                <w:highlight w:val="none"/>
              </w:rPr>
              <w:t>1. 按三级配电要求，配备总配电箱、分配电箱、开关箱三类（铁质）标准电箱，开关箱应符合“一机、一箱、一闸、一漏”，三类电箱中的各类电器应是合格品。</w:t>
            </w:r>
          </w:p>
          <w:p w14:paraId="15B21E03">
            <w:pPr>
              <w:rPr>
                <w:rFonts w:eastAsia="宋体" w:asciiTheme="minorAscii" w:hAnsiTheme="minorAscii"/>
                <w:color w:val="auto"/>
                <w:szCs w:val="21"/>
                <w:highlight w:val="none"/>
              </w:rPr>
            </w:pPr>
            <w:r>
              <w:rPr>
                <w:rFonts w:eastAsia="宋体" w:asciiTheme="minorAscii" w:hAnsiTheme="minorAscii"/>
                <w:color w:val="auto"/>
                <w:szCs w:val="21"/>
                <w:highlight w:val="none"/>
              </w:rPr>
              <w:t>2. 按两级保护的要求，选取符合容量要求和质量合格的总配电箱和开关箱中的漏电保护器。</w:t>
            </w:r>
          </w:p>
          <w:p w14:paraId="7B6CAFA7">
            <w:pPr>
              <w:rPr>
                <w:rFonts w:eastAsia="宋体" w:asciiTheme="minorAscii" w:hAnsiTheme="minorAscii"/>
                <w:color w:val="auto"/>
                <w:szCs w:val="21"/>
                <w:highlight w:val="none"/>
              </w:rPr>
            </w:pPr>
            <w:r>
              <w:rPr>
                <w:rFonts w:eastAsia="宋体" w:asciiTheme="minorAscii" w:hAnsiTheme="minorAscii"/>
                <w:color w:val="auto"/>
                <w:szCs w:val="21"/>
                <w:highlight w:val="none"/>
              </w:rPr>
              <w:t>3. 对大型、落地式分配电箱、开关箱设置防护棚和通透式围挡。</w:t>
            </w:r>
          </w:p>
        </w:tc>
      </w:tr>
      <w:tr w14:paraId="734AE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14:paraId="3600DCB2">
            <w:pPr>
              <w:rPr>
                <w:rFonts w:eastAsia="宋体" w:asciiTheme="minorAscii" w:hAnsiTheme="minorAscii"/>
                <w:color w:val="auto"/>
                <w:szCs w:val="21"/>
                <w:highlight w:val="none"/>
              </w:rPr>
            </w:pPr>
          </w:p>
        </w:tc>
        <w:tc>
          <w:tcPr>
            <w:tcW w:w="525" w:type="dxa"/>
            <w:vMerge w:val="continue"/>
            <w:noWrap w:val="0"/>
            <w:vAlign w:val="center"/>
          </w:tcPr>
          <w:p w14:paraId="0EB0BAD4">
            <w:pPr>
              <w:rPr>
                <w:rFonts w:eastAsia="宋体" w:asciiTheme="minorAscii" w:hAnsiTheme="minorAscii"/>
                <w:color w:val="auto"/>
                <w:szCs w:val="21"/>
                <w:highlight w:val="none"/>
              </w:rPr>
            </w:pPr>
          </w:p>
        </w:tc>
        <w:tc>
          <w:tcPr>
            <w:tcW w:w="1545" w:type="dxa"/>
            <w:noWrap w:val="0"/>
            <w:vAlign w:val="center"/>
          </w:tcPr>
          <w:p w14:paraId="706532EE">
            <w:pPr>
              <w:rPr>
                <w:rFonts w:eastAsia="宋体" w:asciiTheme="minorAscii" w:hAnsiTheme="minorAscii"/>
                <w:color w:val="auto"/>
                <w:szCs w:val="21"/>
                <w:highlight w:val="none"/>
              </w:rPr>
            </w:pPr>
            <w:r>
              <w:rPr>
                <w:rFonts w:eastAsia="宋体" w:asciiTheme="minorAscii" w:hAnsiTheme="minorAscii"/>
                <w:color w:val="auto"/>
                <w:szCs w:val="21"/>
                <w:highlight w:val="none"/>
              </w:rPr>
              <w:t>接地装置</w:t>
            </w:r>
          </w:p>
        </w:tc>
        <w:tc>
          <w:tcPr>
            <w:tcW w:w="6645" w:type="dxa"/>
            <w:noWrap w:val="0"/>
            <w:vAlign w:val="center"/>
          </w:tcPr>
          <w:p w14:paraId="414CE5B4">
            <w:pPr>
              <w:rPr>
                <w:rFonts w:eastAsia="宋体" w:asciiTheme="minorAscii" w:hAnsiTheme="minorAscii"/>
                <w:color w:val="auto"/>
                <w:szCs w:val="21"/>
                <w:highlight w:val="none"/>
              </w:rPr>
            </w:pPr>
            <w:r>
              <w:rPr>
                <w:rFonts w:eastAsia="宋体" w:asciiTheme="minorAscii" w:hAnsiTheme="minorAscii"/>
                <w:color w:val="auto"/>
                <w:szCs w:val="21"/>
                <w:highlight w:val="none"/>
              </w:rPr>
              <w:t>施工现场应设置不少于三处的重复接地装置。</w:t>
            </w:r>
          </w:p>
        </w:tc>
      </w:tr>
      <w:tr w14:paraId="54ABD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14:paraId="7326B4A8">
            <w:pPr>
              <w:rPr>
                <w:rFonts w:eastAsia="宋体" w:asciiTheme="minorAscii" w:hAnsiTheme="minorAscii"/>
                <w:color w:val="auto"/>
                <w:szCs w:val="21"/>
                <w:highlight w:val="none"/>
              </w:rPr>
            </w:pPr>
          </w:p>
        </w:tc>
        <w:tc>
          <w:tcPr>
            <w:tcW w:w="525" w:type="dxa"/>
            <w:vMerge w:val="continue"/>
            <w:noWrap w:val="0"/>
            <w:vAlign w:val="center"/>
          </w:tcPr>
          <w:p w14:paraId="48561BE7">
            <w:pPr>
              <w:rPr>
                <w:rFonts w:eastAsia="宋体" w:asciiTheme="minorAscii" w:hAnsiTheme="minorAscii"/>
                <w:color w:val="auto"/>
                <w:szCs w:val="21"/>
                <w:highlight w:val="none"/>
              </w:rPr>
            </w:pPr>
          </w:p>
        </w:tc>
        <w:tc>
          <w:tcPr>
            <w:tcW w:w="1545" w:type="dxa"/>
            <w:noWrap w:val="0"/>
            <w:vAlign w:val="center"/>
          </w:tcPr>
          <w:p w14:paraId="6234C238">
            <w:pPr>
              <w:rPr>
                <w:rFonts w:eastAsia="宋体" w:asciiTheme="minorAscii" w:hAnsiTheme="minorAscii"/>
                <w:color w:val="auto"/>
                <w:szCs w:val="21"/>
                <w:highlight w:val="none"/>
              </w:rPr>
            </w:pPr>
            <w:r>
              <w:rPr>
                <w:rFonts w:eastAsia="宋体" w:asciiTheme="minorAscii" w:hAnsiTheme="minorAscii"/>
                <w:color w:val="auto"/>
                <w:szCs w:val="21"/>
                <w:highlight w:val="none"/>
              </w:rPr>
              <w:t>现场变配电装置</w:t>
            </w:r>
          </w:p>
        </w:tc>
        <w:tc>
          <w:tcPr>
            <w:tcW w:w="6645" w:type="dxa"/>
            <w:noWrap w:val="0"/>
            <w:vAlign w:val="center"/>
          </w:tcPr>
          <w:p w14:paraId="2EC148E7">
            <w:pPr>
              <w:rPr>
                <w:rFonts w:eastAsia="宋体" w:asciiTheme="minorAscii" w:hAnsiTheme="minorAscii"/>
                <w:color w:val="auto"/>
                <w:szCs w:val="21"/>
                <w:highlight w:val="none"/>
              </w:rPr>
            </w:pPr>
            <w:r>
              <w:rPr>
                <w:rFonts w:eastAsia="宋体" w:asciiTheme="minorAscii" w:hAnsiTheme="minorAscii"/>
                <w:color w:val="auto"/>
                <w:szCs w:val="21"/>
                <w:highlight w:val="none"/>
              </w:rPr>
              <w:t>总配电房建筑材料必须达到消防防火要求，室内做硬地坪、电缆沟。</w:t>
            </w:r>
          </w:p>
        </w:tc>
      </w:tr>
      <w:tr w14:paraId="5BE8E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14:paraId="28CC2C08">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类别</w:t>
            </w:r>
          </w:p>
        </w:tc>
        <w:tc>
          <w:tcPr>
            <w:tcW w:w="2070" w:type="dxa"/>
            <w:gridSpan w:val="2"/>
            <w:noWrap w:val="0"/>
            <w:vAlign w:val="center"/>
          </w:tcPr>
          <w:p w14:paraId="19AFB7A8">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项目名称</w:t>
            </w:r>
          </w:p>
        </w:tc>
        <w:tc>
          <w:tcPr>
            <w:tcW w:w="6645" w:type="dxa"/>
            <w:noWrap w:val="0"/>
            <w:vAlign w:val="center"/>
          </w:tcPr>
          <w:p w14:paraId="14F9F0E9">
            <w:pPr>
              <w:rPr>
                <w:rFonts w:eastAsia="宋体" w:asciiTheme="minorAscii" w:hAnsiTheme="minorAscii"/>
                <w:b/>
                <w:bCs/>
                <w:color w:val="auto"/>
                <w:szCs w:val="21"/>
                <w:highlight w:val="none"/>
              </w:rPr>
            </w:pPr>
            <w:r>
              <w:rPr>
                <w:rFonts w:eastAsia="宋体" w:asciiTheme="minorAscii" w:hAnsiTheme="minorAscii"/>
                <w:b/>
                <w:bCs/>
                <w:color w:val="auto"/>
                <w:szCs w:val="21"/>
                <w:highlight w:val="none"/>
              </w:rPr>
              <w:t>主要内容和要求</w:t>
            </w:r>
          </w:p>
        </w:tc>
      </w:tr>
      <w:tr w14:paraId="58C05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1837371F">
            <w:pPr>
              <w:rPr>
                <w:rFonts w:eastAsia="宋体" w:asciiTheme="minorAscii" w:hAnsiTheme="minorAscii"/>
                <w:color w:val="auto"/>
                <w:szCs w:val="21"/>
                <w:highlight w:val="none"/>
              </w:rPr>
            </w:pPr>
            <w:r>
              <w:rPr>
                <w:rFonts w:eastAsia="宋体" w:asciiTheme="minorAscii" w:hAnsiTheme="minorAscii"/>
                <w:color w:val="auto"/>
                <w:szCs w:val="21"/>
                <w:highlight w:val="none"/>
              </w:rPr>
              <w:t>安全施工</w:t>
            </w:r>
          </w:p>
        </w:tc>
        <w:tc>
          <w:tcPr>
            <w:tcW w:w="525" w:type="dxa"/>
            <w:vMerge w:val="restart"/>
            <w:noWrap w:val="0"/>
            <w:vAlign w:val="center"/>
          </w:tcPr>
          <w:p w14:paraId="52DE0374">
            <w:pPr>
              <w:rPr>
                <w:rFonts w:eastAsia="宋体" w:asciiTheme="minorAscii" w:hAnsiTheme="minorAscii"/>
                <w:color w:val="auto"/>
                <w:szCs w:val="21"/>
                <w:highlight w:val="none"/>
              </w:rPr>
            </w:pPr>
            <w:r>
              <w:rPr>
                <w:rFonts w:eastAsia="宋体" w:asciiTheme="minorAscii" w:hAnsiTheme="minorAscii"/>
                <w:color w:val="auto"/>
                <w:szCs w:val="21"/>
                <w:highlight w:val="none"/>
              </w:rPr>
              <w:t>高处作业防护</w:t>
            </w:r>
          </w:p>
        </w:tc>
        <w:tc>
          <w:tcPr>
            <w:tcW w:w="1545" w:type="dxa"/>
            <w:noWrap w:val="0"/>
            <w:vAlign w:val="center"/>
          </w:tcPr>
          <w:p w14:paraId="2AB190BD">
            <w:pPr>
              <w:rPr>
                <w:rFonts w:eastAsia="宋体" w:asciiTheme="minorAscii" w:hAnsiTheme="minorAscii"/>
                <w:color w:val="auto"/>
                <w:szCs w:val="21"/>
                <w:highlight w:val="none"/>
              </w:rPr>
            </w:pPr>
            <w:r>
              <w:rPr>
                <w:rFonts w:eastAsia="宋体" w:asciiTheme="minorAscii" w:hAnsiTheme="minorAscii"/>
                <w:color w:val="auto"/>
                <w:szCs w:val="21"/>
                <w:highlight w:val="none"/>
              </w:rPr>
              <w:t>楼层、屋面、阳台等临边</w:t>
            </w:r>
          </w:p>
        </w:tc>
        <w:tc>
          <w:tcPr>
            <w:tcW w:w="6645" w:type="dxa"/>
            <w:noWrap w:val="0"/>
            <w:vAlign w:val="center"/>
          </w:tcPr>
          <w:p w14:paraId="66C4AFB9">
            <w:pPr>
              <w:rPr>
                <w:rFonts w:eastAsia="宋体" w:asciiTheme="minorAscii" w:hAnsiTheme="minorAscii"/>
                <w:color w:val="auto"/>
                <w:szCs w:val="21"/>
                <w:highlight w:val="none"/>
              </w:rPr>
            </w:pPr>
            <w:r>
              <w:rPr>
                <w:rFonts w:eastAsia="宋体" w:asciiTheme="minorAscii" w:hAnsiTheme="minorAscii"/>
                <w:color w:val="auto"/>
                <w:szCs w:val="21"/>
                <w:highlight w:val="none"/>
              </w:rPr>
              <w:t>设两道防护栏杆和18cm高的踢脚板，用密目式安全立网全封闭。</w:t>
            </w:r>
          </w:p>
        </w:tc>
      </w:tr>
      <w:tr w14:paraId="77540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8734555">
            <w:pPr>
              <w:rPr>
                <w:rFonts w:eastAsia="宋体" w:asciiTheme="minorAscii" w:hAnsiTheme="minorAscii"/>
                <w:color w:val="auto"/>
                <w:szCs w:val="21"/>
                <w:highlight w:val="none"/>
              </w:rPr>
            </w:pPr>
          </w:p>
        </w:tc>
        <w:tc>
          <w:tcPr>
            <w:tcW w:w="525" w:type="dxa"/>
            <w:vMerge w:val="continue"/>
            <w:noWrap w:val="0"/>
            <w:vAlign w:val="center"/>
          </w:tcPr>
          <w:p w14:paraId="7B137282">
            <w:pPr>
              <w:rPr>
                <w:rFonts w:eastAsia="宋体" w:asciiTheme="minorAscii" w:hAnsiTheme="minorAscii"/>
                <w:color w:val="auto"/>
                <w:szCs w:val="21"/>
                <w:highlight w:val="none"/>
              </w:rPr>
            </w:pPr>
          </w:p>
        </w:tc>
        <w:tc>
          <w:tcPr>
            <w:tcW w:w="1545" w:type="dxa"/>
            <w:noWrap w:val="0"/>
            <w:vAlign w:val="center"/>
          </w:tcPr>
          <w:p w14:paraId="62A6B0AA">
            <w:pPr>
              <w:rPr>
                <w:rFonts w:eastAsia="宋体" w:asciiTheme="minorAscii" w:hAnsiTheme="minorAscii"/>
                <w:color w:val="auto"/>
                <w:szCs w:val="21"/>
                <w:highlight w:val="none"/>
              </w:rPr>
            </w:pPr>
            <w:r>
              <w:rPr>
                <w:rFonts w:eastAsia="宋体" w:asciiTheme="minorAscii" w:hAnsiTheme="minorAscii"/>
                <w:color w:val="auto"/>
                <w:szCs w:val="21"/>
                <w:highlight w:val="none"/>
              </w:rPr>
              <w:t>通道口</w:t>
            </w:r>
          </w:p>
        </w:tc>
        <w:tc>
          <w:tcPr>
            <w:tcW w:w="6645" w:type="dxa"/>
            <w:noWrap w:val="0"/>
            <w:vAlign w:val="center"/>
          </w:tcPr>
          <w:p w14:paraId="5F63A2FA">
            <w:pPr>
              <w:rPr>
                <w:rFonts w:eastAsia="宋体" w:asciiTheme="minorAscii" w:hAnsiTheme="minorAscii"/>
                <w:color w:val="auto"/>
                <w:szCs w:val="21"/>
                <w:highlight w:val="none"/>
              </w:rPr>
            </w:pPr>
            <w:r>
              <w:rPr>
                <w:rFonts w:eastAsia="宋体" w:asciiTheme="minorAscii" w:hAnsiTheme="minorAscii"/>
                <w:color w:val="auto"/>
                <w:szCs w:val="21"/>
                <w:highlight w:val="none"/>
              </w:rPr>
              <w:t>设防护棚，防护棚应为不小于5cm厚的木板或两道相距50cm的竹笆。两侧应沿栏杆架用密目式安全网封闭。</w:t>
            </w:r>
          </w:p>
        </w:tc>
      </w:tr>
      <w:tr w14:paraId="73FF1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2128C13">
            <w:pPr>
              <w:rPr>
                <w:rFonts w:eastAsia="宋体" w:asciiTheme="minorAscii" w:hAnsiTheme="minorAscii"/>
                <w:color w:val="auto"/>
                <w:szCs w:val="21"/>
                <w:highlight w:val="none"/>
              </w:rPr>
            </w:pPr>
          </w:p>
        </w:tc>
        <w:tc>
          <w:tcPr>
            <w:tcW w:w="525" w:type="dxa"/>
            <w:vMerge w:val="continue"/>
            <w:noWrap w:val="0"/>
            <w:vAlign w:val="center"/>
          </w:tcPr>
          <w:p w14:paraId="7DB9161C">
            <w:pPr>
              <w:rPr>
                <w:rFonts w:eastAsia="宋体" w:asciiTheme="minorAscii" w:hAnsiTheme="minorAscii"/>
                <w:color w:val="auto"/>
                <w:szCs w:val="21"/>
                <w:highlight w:val="none"/>
              </w:rPr>
            </w:pPr>
          </w:p>
        </w:tc>
        <w:tc>
          <w:tcPr>
            <w:tcW w:w="1545" w:type="dxa"/>
            <w:noWrap w:val="0"/>
            <w:vAlign w:val="center"/>
          </w:tcPr>
          <w:p w14:paraId="0663658D">
            <w:pPr>
              <w:rPr>
                <w:rFonts w:eastAsia="宋体" w:asciiTheme="minorAscii" w:hAnsiTheme="minorAscii"/>
                <w:color w:val="auto"/>
                <w:szCs w:val="21"/>
                <w:highlight w:val="none"/>
              </w:rPr>
            </w:pPr>
            <w:r>
              <w:rPr>
                <w:rFonts w:eastAsia="宋体" w:asciiTheme="minorAscii" w:hAnsiTheme="minorAscii"/>
                <w:color w:val="auto"/>
                <w:szCs w:val="21"/>
                <w:highlight w:val="none"/>
              </w:rPr>
              <w:t>预留洞口</w:t>
            </w:r>
          </w:p>
        </w:tc>
        <w:tc>
          <w:tcPr>
            <w:tcW w:w="6645" w:type="dxa"/>
            <w:noWrap w:val="0"/>
            <w:vAlign w:val="center"/>
          </w:tcPr>
          <w:p w14:paraId="32776717">
            <w:pPr>
              <w:rPr>
                <w:rFonts w:eastAsia="宋体" w:asciiTheme="minorAscii" w:hAnsiTheme="minorAscii"/>
                <w:color w:val="auto"/>
                <w:szCs w:val="21"/>
                <w:highlight w:val="none"/>
              </w:rPr>
            </w:pPr>
            <w:r>
              <w:rPr>
                <w:rFonts w:eastAsia="宋体" w:asciiTheme="minorAscii" w:hAnsiTheme="minorAscii"/>
                <w:color w:val="auto"/>
                <w:szCs w:val="21"/>
                <w:highlight w:val="none"/>
              </w:rPr>
              <w:t>用硬质材料全封闭，短边超过1.5m长的洞口，除封闭外四周还应设有防护栏杆。</w:t>
            </w:r>
          </w:p>
        </w:tc>
      </w:tr>
      <w:tr w14:paraId="6A9AD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14:paraId="10A95706">
            <w:pPr>
              <w:rPr>
                <w:rFonts w:eastAsia="宋体" w:asciiTheme="minorAscii" w:hAnsiTheme="minorAscii"/>
                <w:color w:val="auto"/>
                <w:szCs w:val="21"/>
                <w:highlight w:val="none"/>
              </w:rPr>
            </w:pPr>
          </w:p>
        </w:tc>
        <w:tc>
          <w:tcPr>
            <w:tcW w:w="525" w:type="dxa"/>
            <w:vMerge w:val="continue"/>
            <w:noWrap w:val="0"/>
            <w:vAlign w:val="center"/>
          </w:tcPr>
          <w:p w14:paraId="27958336">
            <w:pPr>
              <w:rPr>
                <w:rFonts w:eastAsia="宋体" w:asciiTheme="minorAscii" w:hAnsiTheme="minorAscii"/>
                <w:color w:val="auto"/>
                <w:szCs w:val="21"/>
                <w:highlight w:val="none"/>
              </w:rPr>
            </w:pPr>
          </w:p>
        </w:tc>
        <w:tc>
          <w:tcPr>
            <w:tcW w:w="1545" w:type="dxa"/>
            <w:noWrap w:val="0"/>
            <w:vAlign w:val="center"/>
          </w:tcPr>
          <w:p w14:paraId="5F778958">
            <w:pPr>
              <w:rPr>
                <w:rFonts w:eastAsia="宋体" w:asciiTheme="minorAscii" w:hAnsiTheme="minorAscii"/>
                <w:color w:val="auto"/>
                <w:szCs w:val="21"/>
                <w:highlight w:val="none"/>
              </w:rPr>
            </w:pPr>
            <w:r>
              <w:rPr>
                <w:rFonts w:eastAsia="宋体" w:asciiTheme="minorAscii" w:hAnsiTheme="minorAscii"/>
                <w:color w:val="auto"/>
                <w:szCs w:val="21"/>
                <w:highlight w:val="none"/>
              </w:rPr>
              <w:t>电梯井口</w:t>
            </w:r>
          </w:p>
        </w:tc>
        <w:tc>
          <w:tcPr>
            <w:tcW w:w="6645" w:type="dxa"/>
            <w:noWrap w:val="0"/>
            <w:vAlign w:val="center"/>
          </w:tcPr>
          <w:p w14:paraId="09AF6B65">
            <w:pPr>
              <w:rPr>
                <w:rFonts w:eastAsia="宋体" w:asciiTheme="minorAscii" w:hAnsiTheme="minorAscii"/>
                <w:color w:val="auto"/>
                <w:szCs w:val="21"/>
                <w:highlight w:val="none"/>
              </w:rPr>
            </w:pPr>
            <w:r>
              <w:rPr>
                <w:rFonts w:eastAsia="宋体" w:asciiTheme="minorAscii" w:hAnsiTheme="minorAscii"/>
                <w:color w:val="auto"/>
                <w:szCs w:val="21"/>
                <w:highlight w:val="none"/>
              </w:rPr>
              <w:t>设置定型化、工具化的防护门，在电梯井内每隔2层（不大于10m）设置一道水平防护。</w:t>
            </w:r>
          </w:p>
        </w:tc>
      </w:tr>
      <w:tr w14:paraId="3FF9F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DD41B22">
            <w:pPr>
              <w:rPr>
                <w:rFonts w:eastAsia="宋体" w:asciiTheme="minorAscii" w:hAnsiTheme="minorAscii"/>
                <w:color w:val="auto"/>
                <w:szCs w:val="21"/>
                <w:highlight w:val="none"/>
              </w:rPr>
            </w:pPr>
          </w:p>
        </w:tc>
        <w:tc>
          <w:tcPr>
            <w:tcW w:w="525" w:type="dxa"/>
            <w:vMerge w:val="continue"/>
            <w:noWrap w:val="0"/>
            <w:vAlign w:val="center"/>
          </w:tcPr>
          <w:p w14:paraId="701BA11B">
            <w:pPr>
              <w:rPr>
                <w:rFonts w:eastAsia="宋体" w:asciiTheme="minorAscii" w:hAnsiTheme="minorAscii"/>
                <w:color w:val="auto"/>
                <w:szCs w:val="21"/>
                <w:highlight w:val="none"/>
              </w:rPr>
            </w:pPr>
          </w:p>
        </w:tc>
        <w:tc>
          <w:tcPr>
            <w:tcW w:w="1545" w:type="dxa"/>
            <w:noWrap w:val="0"/>
            <w:vAlign w:val="center"/>
          </w:tcPr>
          <w:p w14:paraId="5D9BA4B7">
            <w:pPr>
              <w:rPr>
                <w:rFonts w:eastAsia="宋体" w:asciiTheme="minorAscii" w:hAnsiTheme="minorAscii"/>
                <w:color w:val="auto"/>
                <w:szCs w:val="21"/>
                <w:highlight w:val="none"/>
              </w:rPr>
            </w:pPr>
            <w:r>
              <w:rPr>
                <w:rFonts w:eastAsia="宋体" w:asciiTheme="minorAscii" w:hAnsiTheme="minorAscii"/>
                <w:color w:val="auto"/>
                <w:szCs w:val="21"/>
                <w:highlight w:val="none"/>
              </w:rPr>
              <w:t>楼梯边</w:t>
            </w:r>
          </w:p>
        </w:tc>
        <w:tc>
          <w:tcPr>
            <w:tcW w:w="6645" w:type="dxa"/>
            <w:noWrap w:val="0"/>
            <w:vAlign w:val="center"/>
          </w:tcPr>
          <w:p w14:paraId="5D5D005D">
            <w:pPr>
              <w:rPr>
                <w:rFonts w:eastAsia="宋体" w:asciiTheme="minorAscii" w:hAnsiTheme="minorAscii"/>
                <w:color w:val="auto"/>
                <w:szCs w:val="21"/>
                <w:highlight w:val="none"/>
              </w:rPr>
            </w:pPr>
            <w:r>
              <w:rPr>
                <w:rFonts w:eastAsia="宋体" w:asciiTheme="minorAscii" w:hAnsiTheme="minorAscii"/>
                <w:color w:val="auto"/>
                <w:szCs w:val="21"/>
                <w:highlight w:val="none"/>
              </w:rPr>
              <w:t>设1.2m高的定型化、工具化的防护栏，18cm高的踢脚板。</w:t>
            </w:r>
          </w:p>
        </w:tc>
      </w:tr>
      <w:tr w14:paraId="5574D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C1FAF10">
            <w:pPr>
              <w:rPr>
                <w:rFonts w:eastAsia="宋体" w:asciiTheme="minorAscii" w:hAnsiTheme="minorAscii"/>
                <w:color w:val="auto"/>
                <w:szCs w:val="21"/>
                <w:highlight w:val="none"/>
              </w:rPr>
            </w:pPr>
          </w:p>
        </w:tc>
        <w:tc>
          <w:tcPr>
            <w:tcW w:w="525" w:type="dxa"/>
            <w:vMerge w:val="continue"/>
            <w:noWrap w:val="0"/>
            <w:vAlign w:val="center"/>
          </w:tcPr>
          <w:p w14:paraId="2F1EB94A">
            <w:pPr>
              <w:rPr>
                <w:rFonts w:eastAsia="宋体" w:asciiTheme="minorAscii" w:hAnsiTheme="minorAscii"/>
                <w:color w:val="auto"/>
                <w:szCs w:val="21"/>
                <w:highlight w:val="none"/>
              </w:rPr>
            </w:pPr>
          </w:p>
        </w:tc>
        <w:tc>
          <w:tcPr>
            <w:tcW w:w="1545" w:type="dxa"/>
            <w:noWrap w:val="0"/>
            <w:vAlign w:val="center"/>
          </w:tcPr>
          <w:p w14:paraId="24CEDB6F">
            <w:pPr>
              <w:rPr>
                <w:rFonts w:eastAsia="宋体" w:asciiTheme="minorAscii" w:hAnsiTheme="minorAscii"/>
                <w:color w:val="auto"/>
                <w:szCs w:val="21"/>
                <w:highlight w:val="none"/>
              </w:rPr>
            </w:pPr>
            <w:r>
              <w:rPr>
                <w:rFonts w:eastAsia="宋体" w:asciiTheme="minorAscii" w:hAnsiTheme="minorAscii"/>
                <w:color w:val="auto"/>
                <w:szCs w:val="21"/>
                <w:highlight w:val="none"/>
              </w:rPr>
              <w:t>垂直方向交叉作业</w:t>
            </w:r>
          </w:p>
        </w:tc>
        <w:tc>
          <w:tcPr>
            <w:tcW w:w="6645" w:type="dxa"/>
            <w:noWrap w:val="0"/>
            <w:vAlign w:val="center"/>
          </w:tcPr>
          <w:p w14:paraId="72526A8C">
            <w:pPr>
              <w:rPr>
                <w:rFonts w:eastAsia="宋体" w:asciiTheme="minorAscii" w:hAnsiTheme="minorAscii"/>
                <w:color w:val="auto"/>
                <w:szCs w:val="21"/>
                <w:highlight w:val="none"/>
              </w:rPr>
            </w:pPr>
            <w:r>
              <w:rPr>
                <w:rFonts w:eastAsia="宋体" w:asciiTheme="minorAscii" w:hAnsiTheme="minorAscii"/>
                <w:color w:val="auto"/>
                <w:szCs w:val="21"/>
                <w:highlight w:val="none"/>
              </w:rPr>
              <w:t>设置防护隔离棚或其它设施。</w:t>
            </w:r>
          </w:p>
        </w:tc>
      </w:tr>
      <w:tr w14:paraId="26DA5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78627EE">
            <w:pPr>
              <w:rPr>
                <w:rFonts w:eastAsia="宋体" w:asciiTheme="minorAscii" w:hAnsiTheme="minorAscii"/>
                <w:color w:val="auto"/>
                <w:szCs w:val="21"/>
                <w:highlight w:val="none"/>
              </w:rPr>
            </w:pPr>
          </w:p>
        </w:tc>
        <w:tc>
          <w:tcPr>
            <w:tcW w:w="525" w:type="dxa"/>
            <w:vMerge w:val="continue"/>
            <w:noWrap w:val="0"/>
            <w:vAlign w:val="center"/>
          </w:tcPr>
          <w:p w14:paraId="4FE142CB">
            <w:pPr>
              <w:rPr>
                <w:rFonts w:eastAsia="宋体" w:asciiTheme="minorAscii" w:hAnsiTheme="minorAscii"/>
                <w:color w:val="auto"/>
                <w:szCs w:val="21"/>
                <w:highlight w:val="none"/>
              </w:rPr>
            </w:pPr>
          </w:p>
        </w:tc>
        <w:tc>
          <w:tcPr>
            <w:tcW w:w="1545" w:type="dxa"/>
            <w:noWrap w:val="0"/>
            <w:vAlign w:val="center"/>
          </w:tcPr>
          <w:p w14:paraId="7F4FC32B">
            <w:pPr>
              <w:rPr>
                <w:rFonts w:eastAsia="宋体" w:asciiTheme="minorAscii" w:hAnsiTheme="minorAscii"/>
                <w:color w:val="auto"/>
                <w:szCs w:val="21"/>
                <w:highlight w:val="none"/>
              </w:rPr>
            </w:pPr>
            <w:r>
              <w:rPr>
                <w:rFonts w:eastAsia="宋体" w:asciiTheme="minorAscii" w:hAnsiTheme="minorAscii"/>
                <w:color w:val="auto"/>
                <w:szCs w:val="21"/>
                <w:highlight w:val="none"/>
              </w:rPr>
              <w:t>高处作业</w:t>
            </w:r>
          </w:p>
        </w:tc>
        <w:tc>
          <w:tcPr>
            <w:tcW w:w="6645" w:type="dxa"/>
            <w:noWrap w:val="0"/>
            <w:vAlign w:val="center"/>
          </w:tcPr>
          <w:p w14:paraId="0BC3308F">
            <w:pPr>
              <w:rPr>
                <w:rFonts w:eastAsia="宋体" w:asciiTheme="minorAscii" w:hAnsiTheme="minorAscii"/>
                <w:color w:val="auto"/>
                <w:szCs w:val="21"/>
                <w:highlight w:val="none"/>
              </w:rPr>
            </w:pPr>
            <w:r>
              <w:rPr>
                <w:rFonts w:eastAsia="宋体" w:asciiTheme="minorAscii" w:hAnsiTheme="minorAscii"/>
                <w:color w:val="auto"/>
                <w:szCs w:val="21"/>
                <w:highlight w:val="none"/>
              </w:rPr>
              <w:t>有悬挂安全带的悬索或其它设施，有操作平台，有上下的梯子或其它形式的通道。</w:t>
            </w:r>
          </w:p>
        </w:tc>
      </w:tr>
      <w:tr w14:paraId="4AC25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C634343">
            <w:pPr>
              <w:rPr>
                <w:rFonts w:eastAsia="宋体" w:asciiTheme="minorAscii" w:hAnsiTheme="minorAscii"/>
                <w:color w:val="auto"/>
                <w:szCs w:val="21"/>
                <w:highlight w:val="none"/>
              </w:rPr>
            </w:pPr>
          </w:p>
        </w:tc>
        <w:tc>
          <w:tcPr>
            <w:tcW w:w="525" w:type="dxa"/>
            <w:vMerge w:val="continue"/>
            <w:noWrap w:val="0"/>
            <w:vAlign w:val="center"/>
          </w:tcPr>
          <w:p w14:paraId="069DC9E0">
            <w:pPr>
              <w:rPr>
                <w:rFonts w:eastAsia="宋体" w:asciiTheme="minorAscii" w:hAnsiTheme="minorAscii"/>
                <w:color w:val="auto"/>
                <w:szCs w:val="21"/>
                <w:highlight w:val="none"/>
              </w:rPr>
            </w:pPr>
          </w:p>
        </w:tc>
        <w:tc>
          <w:tcPr>
            <w:tcW w:w="1545" w:type="dxa"/>
            <w:noWrap w:val="0"/>
            <w:vAlign w:val="center"/>
          </w:tcPr>
          <w:p w14:paraId="4A3D1C0B">
            <w:pPr>
              <w:rPr>
                <w:rFonts w:eastAsia="宋体" w:asciiTheme="minorAscii" w:hAnsiTheme="minorAscii"/>
                <w:color w:val="auto"/>
                <w:szCs w:val="21"/>
                <w:highlight w:val="none"/>
              </w:rPr>
            </w:pPr>
            <w:r>
              <w:rPr>
                <w:rFonts w:eastAsia="宋体" w:asciiTheme="minorAscii" w:hAnsiTheme="minorAscii"/>
                <w:color w:val="auto"/>
                <w:szCs w:val="21"/>
                <w:highlight w:val="none"/>
              </w:rPr>
              <w:t>基坑、物料平台</w:t>
            </w:r>
          </w:p>
        </w:tc>
        <w:tc>
          <w:tcPr>
            <w:tcW w:w="6645" w:type="dxa"/>
            <w:noWrap w:val="0"/>
            <w:vAlign w:val="center"/>
          </w:tcPr>
          <w:p w14:paraId="34634B52">
            <w:pPr>
              <w:rPr>
                <w:rFonts w:eastAsia="宋体" w:asciiTheme="minorAscii" w:hAnsiTheme="minorAscii"/>
                <w:color w:val="auto"/>
                <w:szCs w:val="21"/>
                <w:highlight w:val="none"/>
              </w:rPr>
            </w:pPr>
            <w:r>
              <w:rPr>
                <w:rFonts w:eastAsia="宋体" w:asciiTheme="minorAscii" w:hAnsiTheme="minorAscii"/>
                <w:color w:val="auto"/>
                <w:szCs w:val="21"/>
                <w:highlight w:val="none"/>
              </w:rPr>
              <w:t>设1.2m高标准化的防护栏，用密目式安全立网封闭，悬挂标识。</w:t>
            </w:r>
          </w:p>
        </w:tc>
      </w:tr>
      <w:tr w14:paraId="3B718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E419CA8">
            <w:pPr>
              <w:rPr>
                <w:rFonts w:eastAsia="宋体" w:asciiTheme="minorAscii" w:hAnsiTheme="minorAscii"/>
                <w:color w:val="auto"/>
                <w:szCs w:val="21"/>
                <w:highlight w:val="none"/>
              </w:rPr>
            </w:pPr>
          </w:p>
        </w:tc>
        <w:tc>
          <w:tcPr>
            <w:tcW w:w="2070" w:type="dxa"/>
            <w:gridSpan w:val="2"/>
            <w:noWrap w:val="0"/>
            <w:vAlign w:val="center"/>
          </w:tcPr>
          <w:p w14:paraId="164962F5">
            <w:pPr>
              <w:rPr>
                <w:rFonts w:eastAsia="宋体" w:asciiTheme="minorAscii" w:hAnsiTheme="minorAscii"/>
                <w:color w:val="auto"/>
                <w:szCs w:val="21"/>
                <w:highlight w:val="none"/>
              </w:rPr>
            </w:pPr>
            <w:r>
              <w:rPr>
                <w:rFonts w:eastAsia="宋体" w:asciiTheme="minorAscii" w:hAnsiTheme="minorAscii"/>
                <w:color w:val="auto"/>
                <w:szCs w:val="21"/>
                <w:highlight w:val="none"/>
              </w:rPr>
              <w:t>安全防护用品</w:t>
            </w:r>
          </w:p>
        </w:tc>
        <w:tc>
          <w:tcPr>
            <w:tcW w:w="6645" w:type="dxa"/>
            <w:noWrap w:val="0"/>
            <w:vAlign w:val="center"/>
          </w:tcPr>
          <w:p w14:paraId="538A7460">
            <w:pPr>
              <w:rPr>
                <w:rFonts w:eastAsia="宋体" w:asciiTheme="minorAscii" w:hAnsiTheme="minorAscii"/>
                <w:color w:val="auto"/>
                <w:szCs w:val="21"/>
                <w:highlight w:val="none"/>
              </w:rPr>
            </w:pPr>
            <w:r>
              <w:rPr>
                <w:rFonts w:eastAsia="宋体" w:asciiTheme="minorAscii" w:hAnsiTheme="minorAscii"/>
                <w:color w:val="auto"/>
                <w:szCs w:val="21"/>
                <w:highlight w:val="none"/>
              </w:rPr>
              <w:t>安全帽、安全带、特种作业人员（电工、焊工、架子工等）防护服装、用品等。</w:t>
            </w:r>
          </w:p>
        </w:tc>
      </w:tr>
      <w:tr w14:paraId="2FFB8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14:paraId="60BF5199">
            <w:pPr>
              <w:rPr>
                <w:rFonts w:eastAsia="宋体" w:asciiTheme="minorAscii" w:hAnsiTheme="minorAscii"/>
                <w:color w:val="auto"/>
                <w:szCs w:val="21"/>
                <w:highlight w:val="none"/>
              </w:rPr>
            </w:pPr>
            <w:r>
              <w:rPr>
                <w:rFonts w:eastAsia="宋体" w:asciiTheme="minorAscii" w:hAnsiTheme="minorAscii"/>
                <w:color w:val="auto"/>
                <w:szCs w:val="21"/>
                <w:highlight w:val="none"/>
              </w:rPr>
              <w:t>其它</w:t>
            </w:r>
          </w:p>
        </w:tc>
        <w:tc>
          <w:tcPr>
            <w:tcW w:w="525" w:type="dxa"/>
            <w:vMerge w:val="restart"/>
            <w:noWrap w:val="0"/>
            <w:vAlign w:val="center"/>
          </w:tcPr>
          <w:p w14:paraId="284631C0">
            <w:pPr>
              <w:rPr>
                <w:rFonts w:eastAsia="宋体" w:asciiTheme="minorAscii" w:hAnsiTheme="minorAscii"/>
                <w:color w:val="auto"/>
                <w:szCs w:val="21"/>
                <w:highlight w:val="none"/>
              </w:rPr>
            </w:pPr>
            <w:r>
              <w:rPr>
                <w:rFonts w:eastAsia="宋体" w:asciiTheme="minorAscii" w:hAnsiTheme="minorAscii"/>
                <w:color w:val="auto"/>
                <w:szCs w:val="21"/>
                <w:highlight w:val="none"/>
              </w:rPr>
              <w:t>机械设备防护</w:t>
            </w:r>
          </w:p>
        </w:tc>
        <w:tc>
          <w:tcPr>
            <w:tcW w:w="1545" w:type="dxa"/>
            <w:noWrap w:val="0"/>
            <w:vAlign w:val="center"/>
          </w:tcPr>
          <w:p w14:paraId="74D2D6F8">
            <w:pPr>
              <w:rPr>
                <w:rFonts w:eastAsia="宋体" w:asciiTheme="minorAscii" w:hAnsiTheme="minorAscii"/>
                <w:color w:val="auto"/>
                <w:szCs w:val="21"/>
                <w:highlight w:val="none"/>
              </w:rPr>
            </w:pPr>
            <w:r>
              <w:rPr>
                <w:rFonts w:eastAsia="宋体" w:asciiTheme="minorAscii" w:hAnsiTheme="minorAscii"/>
                <w:color w:val="auto"/>
                <w:szCs w:val="21"/>
                <w:highlight w:val="none"/>
              </w:rPr>
              <w:t>中小型机械</w:t>
            </w:r>
          </w:p>
        </w:tc>
        <w:tc>
          <w:tcPr>
            <w:tcW w:w="6645" w:type="dxa"/>
            <w:noWrap w:val="0"/>
            <w:vAlign w:val="center"/>
          </w:tcPr>
          <w:p w14:paraId="08E2FDC2">
            <w:pPr>
              <w:rPr>
                <w:rFonts w:eastAsia="宋体" w:asciiTheme="minorAscii" w:hAnsiTheme="minorAscii"/>
                <w:color w:val="auto"/>
                <w:szCs w:val="21"/>
                <w:highlight w:val="none"/>
              </w:rPr>
            </w:pPr>
            <w:r>
              <w:rPr>
                <w:rFonts w:eastAsia="宋体" w:asciiTheme="minorAscii" w:hAnsiTheme="minorAscii"/>
                <w:color w:val="auto"/>
                <w:szCs w:val="21"/>
                <w:highlight w:val="none"/>
              </w:rPr>
              <w:t>设防护棚（同通道口防护并有防雨措施）。</w:t>
            </w:r>
          </w:p>
        </w:tc>
      </w:tr>
      <w:tr w14:paraId="69855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BA89D3F">
            <w:pPr>
              <w:rPr>
                <w:rFonts w:eastAsia="宋体" w:asciiTheme="minorAscii" w:hAnsiTheme="minorAscii"/>
                <w:color w:val="auto"/>
                <w:szCs w:val="21"/>
                <w:highlight w:val="none"/>
              </w:rPr>
            </w:pPr>
          </w:p>
        </w:tc>
        <w:tc>
          <w:tcPr>
            <w:tcW w:w="525" w:type="dxa"/>
            <w:vMerge w:val="continue"/>
            <w:noWrap w:val="0"/>
            <w:vAlign w:val="center"/>
          </w:tcPr>
          <w:p w14:paraId="6E454E28">
            <w:pPr>
              <w:rPr>
                <w:rFonts w:eastAsia="宋体" w:asciiTheme="minorAscii" w:hAnsiTheme="minorAscii"/>
                <w:color w:val="auto"/>
                <w:szCs w:val="21"/>
                <w:highlight w:val="none"/>
              </w:rPr>
            </w:pPr>
          </w:p>
        </w:tc>
        <w:tc>
          <w:tcPr>
            <w:tcW w:w="1545" w:type="dxa"/>
            <w:noWrap w:val="0"/>
            <w:vAlign w:val="center"/>
          </w:tcPr>
          <w:p w14:paraId="4944C662">
            <w:pPr>
              <w:rPr>
                <w:rFonts w:eastAsia="宋体" w:asciiTheme="minorAscii" w:hAnsiTheme="minorAscii"/>
                <w:color w:val="auto"/>
                <w:szCs w:val="21"/>
                <w:highlight w:val="none"/>
              </w:rPr>
            </w:pPr>
            <w:r>
              <w:rPr>
                <w:rFonts w:eastAsia="宋体" w:asciiTheme="minorAscii" w:hAnsiTheme="minorAscii"/>
                <w:color w:val="auto"/>
                <w:szCs w:val="21"/>
                <w:highlight w:val="none"/>
              </w:rPr>
              <w:t>垂直运输设备</w:t>
            </w:r>
          </w:p>
        </w:tc>
        <w:tc>
          <w:tcPr>
            <w:tcW w:w="6645" w:type="dxa"/>
            <w:noWrap w:val="0"/>
            <w:vAlign w:val="center"/>
          </w:tcPr>
          <w:p w14:paraId="5CD73A76">
            <w:pPr>
              <w:rPr>
                <w:rFonts w:eastAsia="宋体" w:asciiTheme="minorAscii" w:hAnsiTheme="minorAscii"/>
                <w:color w:val="auto"/>
                <w:szCs w:val="21"/>
                <w:highlight w:val="none"/>
              </w:rPr>
            </w:pPr>
            <w:r>
              <w:rPr>
                <w:rFonts w:eastAsia="宋体" w:asciiTheme="minorAscii" w:hAnsiTheme="minorAscii"/>
                <w:color w:val="auto"/>
                <w:szCs w:val="21"/>
                <w:highlight w:val="none"/>
              </w:rPr>
              <w:t>1. 垂直运输设备检测、检验、日常维护、保养等。</w:t>
            </w:r>
          </w:p>
          <w:p w14:paraId="735EB027">
            <w:pPr>
              <w:rPr>
                <w:rFonts w:eastAsia="宋体" w:asciiTheme="minorAscii" w:hAnsiTheme="minorAscii"/>
                <w:color w:val="auto"/>
                <w:szCs w:val="21"/>
                <w:highlight w:val="none"/>
              </w:rPr>
            </w:pPr>
            <w:r>
              <w:rPr>
                <w:rFonts w:eastAsia="宋体" w:asciiTheme="minorAscii" w:hAnsiTheme="minorAscii"/>
                <w:color w:val="auto"/>
                <w:szCs w:val="21"/>
                <w:highlight w:val="none"/>
              </w:rPr>
              <w:t>2. 物料提升机、施工电梯等物料平台搭设、外侧用密目式安全立网全封闭，有安全通道、安全防护门、防护棚等。</w:t>
            </w:r>
          </w:p>
        </w:tc>
      </w:tr>
      <w:tr w14:paraId="6BE25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077CBD38">
            <w:pPr>
              <w:rPr>
                <w:rFonts w:eastAsia="宋体" w:asciiTheme="minorAscii" w:hAnsiTheme="minorAscii"/>
                <w:color w:val="auto"/>
                <w:szCs w:val="21"/>
                <w:highlight w:val="none"/>
              </w:rPr>
            </w:pPr>
          </w:p>
        </w:tc>
        <w:tc>
          <w:tcPr>
            <w:tcW w:w="2070" w:type="dxa"/>
            <w:gridSpan w:val="2"/>
            <w:noWrap w:val="0"/>
            <w:vAlign w:val="center"/>
          </w:tcPr>
          <w:p w14:paraId="7460EB7D">
            <w:pPr>
              <w:rPr>
                <w:rFonts w:eastAsia="宋体" w:asciiTheme="minorAscii" w:hAnsiTheme="minorAscii"/>
                <w:color w:val="auto"/>
                <w:szCs w:val="21"/>
                <w:highlight w:val="none"/>
              </w:rPr>
            </w:pPr>
            <w:r>
              <w:rPr>
                <w:rFonts w:eastAsia="宋体" w:asciiTheme="minorAscii" w:hAnsiTheme="minorAscii"/>
                <w:color w:val="auto"/>
                <w:szCs w:val="21"/>
                <w:highlight w:val="none"/>
              </w:rPr>
              <w:t>专家论证审查</w:t>
            </w:r>
          </w:p>
        </w:tc>
        <w:tc>
          <w:tcPr>
            <w:tcW w:w="6645" w:type="dxa"/>
            <w:noWrap w:val="0"/>
            <w:vAlign w:val="center"/>
          </w:tcPr>
          <w:p w14:paraId="341C36E6">
            <w:pPr>
              <w:rPr>
                <w:rFonts w:eastAsia="宋体" w:asciiTheme="minorAscii" w:hAnsiTheme="minorAscii"/>
                <w:color w:val="auto"/>
                <w:szCs w:val="21"/>
                <w:highlight w:val="none"/>
              </w:rPr>
            </w:pPr>
            <w:r>
              <w:rPr>
                <w:rFonts w:eastAsia="宋体" w:asciiTheme="minorAscii" w:hAnsiTheme="minorAscii"/>
                <w:color w:val="auto"/>
                <w:szCs w:val="21"/>
                <w:highlight w:val="none"/>
              </w:rPr>
              <w:t>超过一定规模的危险性较大分部分项工程专家论证审查。</w:t>
            </w:r>
          </w:p>
        </w:tc>
      </w:tr>
      <w:tr w14:paraId="57D0F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396942CD">
            <w:pPr>
              <w:rPr>
                <w:rFonts w:eastAsia="宋体" w:asciiTheme="minorAscii" w:hAnsiTheme="minorAscii"/>
                <w:color w:val="auto"/>
                <w:szCs w:val="21"/>
                <w:highlight w:val="none"/>
              </w:rPr>
            </w:pPr>
          </w:p>
        </w:tc>
        <w:tc>
          <w:tcPr>
            <w:tcW w:w="2070" w:type="dxa"/>
            <w:gridSpan w:val="2"/>
            <w:noWrap w:val="0"/>
            <w:vAlign w:val="center"/>
          </w:tcPr>
          <w:p w14:paraId="611DE668">
            <w:pPr>
              <w:rPr>
                <w:rFonts w:eastAsia="宋体" w:asciiTheme="minorAscii" w:hAnsiTheme="minorAscii"/>
                <w:color w:val="auto"/>
                <w:szCs w:val="21"/>
                <w:highlight w:val="none"/>
              </w:rPr>
            </w:pPr>
            <w:r>
              <w:rPr>
                <w:rFonts w:eastAsia="宋体" w:asciiTheme="minorAscii" w:hAnsiTheme="minorAscii"/>
                <w:color w:val="auto"/>
                <w:szCs w:val="21"/>
                <w:highlight w:val="none"/>
              </w:rPr>
              <w:t>应急救援预案</w:t>
            </w:r>
          </w:p>
        </w:tc>
        <w:tc>
          <w:tcPr>
            <w:tcW w:w="6645" w:type="dxa"/>
            <w:noWrap w:val="0"/>
            <w:vAlign w:val="center"/>
          </w:tcPr>
          <w:p w14:paraId="4912BCDB">
            <w:pPr>
              <w:rPr>
                <w:rFonts w:eastAsia="宋体" w:asciiTheme="minorAscii" w:hAnsiTheme="minorAscii"/>
                <w:color w:val="auto"/>
                <w:szCs w:val="21"/>
                <w:highlight w:val="none"/>
              </w:rPr>
            </w:pPr>
            <w:r>
              <w:rPr>
                <w:rFonts w:eastAsia="宋体" w:asciiTheme="minorAscii" w:hAnsiTheme="minorAscii"/>
                <w:color w:val="auto"/>
                <w:szCs w:val="21"/>
                <w:highlight w:val="none"/>
              </w:rPr>
              <w:t>救援器材准备及演练等。</w:t>
            </w:r>
          </w:p>
        </w:tc>
      </w:tr>
      <w:tr w14:paraId="2E7B0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14:paraId="77ADCECD">
            <w:pPr>
              <w:rPr>
                <w:rFonts w:eastAsia="宋体" w:asciiTheme="minorAscii" w:hAnsiTheme="minorAscii"/>
                <w:color w:val="auto"/>
                <w:szCs w:val="21"/>
                <w:highlight w:val="none"/>
              </w:rPr>
            </w:pPr>
          </w:p>
        </w:tc>
        <w:tc>
          <w:tcPr>
            <w:tcW w:w="2070" w:type="dxa"/>
            <w:gridSpan w:val="2"/>
            <w:tcBorders>
              <w:bottom w:val="single" w:color="auto" w:sz="12" w:space="0"/>
            </w:tcBorders>
            <w:noWrap w:val="0"/>
            <w:vAlign w:val="center"/>
          </w:tcPr>
          <w:p w14:paraId="41565C03">
            <w:pPr>
              <w:rPr>
                <w:rFonts w:eastAsia="宋体" w:asciiTheme="minorAscii" w:hAnsiTheme="minorAscii"/>
                <w:color w:val="auto"/>
                <w:szCs w:val="21"/>
                <w:highlight w:val="none"/>
              </w:rPr>
            </w:pPr>
            <w:r>
              <w:rPr>
                <w:rFonts w:eastAsia="宋体" w:asciiTheme="minorAscii" w:hAnsiTheme="minorAscii"/>
                <w:color w:val="auto"/>
                <w:szCs w:val="21"/>
                <w:highlight w:val="none"/>
              </w:rPr>
              <w:t>非正常情况施工</w:t>
            </w:r>
          </w:p>
        </w:tc>
        <w:tc>
          <w:tcPr>
            <w:tcW w:w="6645" w:type="dxa"/>
            <w:tcBorders>
              <w:bottom w:val="single" w:color="auto" w:sz="12" w:space="0"/>
            </w:tcBorders>
            <w:noWrap w:val="0"/>
            <w:vAlign w:val="center"/>
          </w:tcPr>
          <w:p w14:paraId="5F450568">
            <w:pPr>
              <w:rPr>
                <w:rFonts w:eastAsia="宋体" w:asciiTheme="minorAscii" w:hAnsiTheme="minorAscii"/>
                <w:color w:val="auto"/>
                <w:szCs w:val="21"/>
                <w:highlight w:val="none"/>
              </w:rPr>
            </w:pPr>
            <w:r>
              <w:rPr>
                <w:rFonts w:eastAsia="宋体" w:asciiTheme="minorAscii" w:hAnsiTheme="minorAscii"/>
                <w:color w:val="auto"/>
                <w:szCs w:val="21"/>
                <w:highlight w:val="none"/>
              </w:rPr>
              <w:t>其它特殊情况下的防护费用，如：城市主干道、人流密集、河边等处施工及文物、古建筑、古树保护等。</w:t>
            </w:r>
          </w:p>
        </w:tc>
      </w:tr>
    </w:tbl>
    <w:p w14:paraId="402842A4">
      <w:pPr>
        <w:rPr>
          <w:rFonts w:eastAsia="宋体" w:asciiTheme="minorAscii" w:hAnsiTheme="minorAscii"/>
          <w:b/>
          <w:bCs/>
          <w:color w:val="auto"/>
          <w:w w:val="90"/>
          <w:szCs w:val="21"/>
          <w:highlight w:val="none"/>
        </w:rPr>
      </w:pPr>
    </w:p>
    <w:p w14:paraId="4F5094C4">
      <w:pPr>
        <w:rPr>
          <w:rFonts w:eastAsia="宋体" w:asciiTheme="minorAscii" w:hAnsiTheme="minorAscii"/>
          <w:b/>
          <w:color w:val="auto"/>
          <w:szCs w:val="21"/>
          <w:highlight w:val="none"/>
        </w:rPr>
      </w:pPr>
      <w:r>
        <w:rPr>
          <w:rFonts w:eastAsia="宋体" w:asciiTheme="minorAscii" w:hAnsiTheme="minorAscii"/>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14:paraId="0A655920">
      <w:pP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70D38A7A">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15CA9465">
      <w:pPr>
        <w:spacing w:line="520" w:lineRule="exact"/>
        <w:rPr>
          <w:rFonts w:ascii="仿宋_GB2312" w:hAnsi="仿宋_GB2312" w:eastAsia="仿宋_GB2312" w:cs="仿宋_GB2312"/>
          <w:color w:val="auto"/>
          <w:sz w:val="32"/>
          <w:szCs w:val="32"/>
          <w:highlight w:val="none"/>
        </w:rPr>
      </w:pPr>
    </w:p>
    <w:p w14:paraId="28D63772">
      <w:pPr>
        <w:spacing w:line="360" w:lineRule="auto"/>
        <w:contextualSpacing/>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采购项目编号：</w:t>
      </w:r>
      <w:r>
        <w:rPr>
          <w:rFonts w:hint="eastAsia" w:ascii="宋体" w:hAnsi="宋体" w:eastAsia="宋体" w:cs="仿宋_GB2312"/>
          <w:color w:val="auto"/>
          <w:sz w:val="24"/>
          <w:szCs w:val="24"/>
          <w:highlight w:val="none"/>
          <w:u w:val="single"/>
        </w:rPr>
        <w:t xml:space="preserve">                 </w:t>
      </w:r>
    </w:p>
    <w:p w14:paraId="4D07044E">
      <w:pPr>
        <w:spacing w:line="360" w:lineRule="auto"/>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采购项目名称：</w:t>
      </w:r>
      <w:r>
        <w:rPr>
          <w:rFonts w:hint="eastAsia" w:ascii="宋体" w:hAnsi="宋体" w:eastAsia="宋体" w:cs="仿宋_GB2312"/>
          <w:color w:val="auto"/>
          <w:sz w:val="24"/>
          <w:szCs w:val="24"/>
          <w:highlight w:val="none"/>
          <w:u w:val="single"/>
        </w:rPr>
        <w:t xml:space="preserve">                 </w:t>
      </w:r>
    </w:p>
    <w:p w14:paraId="0298DA8E">
      <w:pPr>
        <w:spacing w:line="360" w:lineRule="auto"/>
        <w:contextualSpacing/>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分标号：</w:t>
      </w:r>
      <w:r>
        <w:rPr>
          <w:rFonts w:hint="eastAsia" w:ascii="宋体" w:hAnsi="宋体" w:eastAsia="宋体" w:cs="仿宋_GB2312"/>
          <w:color w:val="auto"/>
          <w:sz w:val="24"/>
          <w:szCs w:val="24"/>
          <w:highlight w:val="none"/>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1617"/>
        <w:gridCol w:w="2334"/>
        <w:gridCol w:w="2735"/>
        <w:gridCol w:w="1492"/>
      </w:tblGrid>
      <w:tr w14:paraId="28E14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3FBA1E5C">
            <w:pPr>
              <w:spacing w:line="360" w:lineRule="auto"/>
              <w:contextualSpacing/>
              <w:jc w:val="center"/>
              <w:rPr>
                <w:rFonts w:ascii="宋体" w:hAnsi="宋体" w:eastAsia="宋体" w:cs="仿宋_GB2312"/>
                <w:color w:val="auto"/>
                <w:sz w:val="24"/>
                <w:szCs w:val="24"/>
                <w:highlight w:val="none"/>
              </w:rPr>
            </w:pPr>
            <w:bookmarkStart w:id="97" w:name="_Toc383699906"/>
            <w:bookmarkStart w:id="98" w:name="_Toc297193185"/>
            <w:bookmarkStart w:id="99" w:name="_Toc373333689"/>
            <w:bookmarkStart w:id="100" w:name="_Toc254970588"/>
            <w:bookmarkStart w:id="101" w:name="_Toc173066401"/>
            <w:bookmarkStart w:id="102" w:name="_Toc173211900"/>
            <w:bookmarkStart w:id="103" w:name="_Toc254970729"/>
            <w:bookmarkStart w:id="104" w:name="_Toc295404981"/>
            <w:bookmarkStart w:id="105" w:name="_Toc301781611"/>
            <w:r>
              <w:rPr>
                <w:rFonts w:hint="eastAsia" w:ascii="宋体" w:hAnsi="宋体" w:eastAsia="宋体" w:cs="仿宋_GB2312"/>
                <w:color w:val="auto"/>
                <w:sz w:val="24"/>
                <w:szCs w:val="24"/>
                <w:highlight w:val="none"/>
              </w:rPr>
              <w:t>序号</w:t>
            </w:r>
            <w:bookmarkEnd w:id="97"/>
            <w:bookmarkEnd w:id="98"/>
            <w:bookmarkEnd w:id="99"/>
            <w:bookmarkEnd w:id="100"/>
            <w:bookmarkEnd w:id="101"/>
            <w:bookmarkEnd w:id="102"/>
            <w:bookmarkEnd w:id="103"/>
            <w:bookmarkEnd w:id="104"/>
            <w:bookmarkEnd w:id="105"/>
          </w:p>
        </w:tc>
        <w:tc>
          <w:tcPr>
            <w:tcW w:w="889" w:type="pct"/>
            <w:tcBorders>
              <w:right w:val="single" w:color="auto" w:sz="4" w:space="0"/>
            </w:tcBorders>
            <w:vAlign w:val="center"/>
          </w:tcPr>
          <w:p w14:paraId="69B0B72C">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标的的名称</w:t>
            </w:r>
          </w:p>
        </w:tc>
        <w:tc>
          <w:tcPr>
            <w:tcW w:w="1283" w:type="pct"/>
            <w:tcBorders>
              <w:left w:val="single" w:color="auto" w:sz="4" w:space="0"/>
            </w:tcBorders>
            <w:vAlign w:val="center"/>
          </w:tcPr>
          <w:p w14:paraId="103AD281">
            <w:pPr>
              <w:spacing w:line="360" w:lineRule="auto"/>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磋商文件技术要求</w:t>
            </w:r>
          </w:p>
        </w:tc>
        <w:tc>
          <w:tcPr>
            <w:tcW w:w="1503" w:type="pct"/>
            <w:vAlign w:val="center"/>
          </w:tcPr>
          <w:p w14:paraId="4D992939">
            <w:pPr>
              <w:spacing w:line="360" w:lineRule="auto"/>
              <w:contextualSpacing/>
              <w:jc w:val="center"/>
              <w:rPr>
                <w:rFonts w:ascii="宋体" w:hAnsi="宋体" w:eastAsia="宋体" w:cs="仿宋_GB2312"/>
                <w:color w:val="auto"/>
                <w:sz w:val="24"/>
                <w:szCs w:val="24"/>
                <w:highlight w:val="none"/>
              </w:rPr>
            </w:pPr>
            <w:bookmarkStart w:id="106" w:name="_Toc254970590"/>
            <w:bookmarkStart w:id="107" w:name="_Toc297193187"/>
            <w:bookmarkStart w:id="108" w:name="_Toc295404983"/>
            <w:bookmarkStart w:id="109" w:name="_Toc254970731"/>
            <w:bookmarkStart w:id="110" w:name="_Toc173066403"/>
            <w:bookmarkStart w:id="111" w:name="_Toc301781613"/>
            <w:bookmarkStart w:id="112" w:name="_Toc383699908"/>
            <w:bookmarkStart w:id="113" w:name="_Toc373333691"/>
            <w:bookmarkStart w:id="114" w:name="_Toc173211902"/>
            <w:r>
              <w:rPr>
                <w:rFonts w:hint="eastAsia" w:ascii="宋体" w:hAnsi="宋体" w:eastAsia="宋体" w:cs="仿宋_GB2312"/>
                <w:color w:val="auto"/>
                <w:sz w:val="24"/>
                <w:szCs w:val="24"/>
                <w:highlight w:val="none"/>
              </w:rPr>
              <w:t>竞标响应</w:t>
            </w:r>
            <w:bookmarkEnd w:id="106"/>
            <w:bookmarkEnd w:id="107"/>
            <w:bookmarkEnd w:id="108"/>
            <w:bookmarkEnd w:id="109"/>
            <w:bookmarkEnd w:id="110"/>
            <w:bookmarkEnd w:id="111"/>
            <w:bookmarkEnd w:id="112"/>
            <w:bookmarkEnd w:id="113"/>
            <w:bookmarkEnd w:id="114"/>
          </w:p>
        </w:tc>
        <w:tc>
          <w:tcPr>
            <w:tcW w:w="820" w:type="pct"/>
            <w:vAlign w:val="center"/>
          </w:tcPr>
          <w:p w14:paraId="5D67F2FF">
            <w:pPr>
              <w:spacing w:line="360" w:lineRule="auto"/>
              <w:contextualSpacing/>
              <w:jc w:val="center"/>
              <w:rPr>
                <w:rFonts w:ascii="宋体" w:hAnsi="宋体" w:eastAsia="宋体" w:cs="仿宋_GB2312"/>
                <w:color w:val="auto"/>
                <w:sz w:val="24"/>
                <w:szCs w:val="24"/>
                <w:highlight w:val="none"/>
              </w:rPr>
            </w:pPr>
            <w:bookmarkStart w:id="115" w:name="_Toc295404984"/>
            <w:bookmarkStart w:id="116" w:name="_Toc373333692"/>
            <w:bookmarkStart w:id="117" w:name="_Toc254970732"/>
            <w:bookmarkStart w:id="118" w:name="_Toc254970591"/>
            <w:bookmarkStart w:id="119" w:name="_Toc173066404"/>
            <w:bookmarkStart w:id="120" w:name="_Toc301781614"/>
            <w:bookmarkStart w:id="121" w:name="_Toc383699909"/>
            <w:bookmarkStart w:id="122" w:name="_Toc173211903"/>
            <w:bookmarkStart w:id="123" w:name="_Toc297193188"/>
            <w:r>
              <w:rPr>
                <w:rFonts w:hint="eastAsia" w:ascii="宋体" w:hAnsi="宋体" w:eastAsia="宋体" w:cs="仿宋_GB2312"/>
                <w:color w:val="auto"/>
                <w:sz w:val="24"/>
                <w:szCs w:val="24"/>
                <w:highlight w:val="none"/>
              </w:rPr>
              <w:t>偏离</w:t>
            </w:r>
            <w:bookmarkEnd w:id="115"/>
            <w:bookmarkEnd w:id="116"/>
            <w:bookmarkEnd w:id="117"/>
            <w:bookmarkEnd w:id="118"/>
            <w:bookmarkEnd w:id="119"/>
            <w:bookmarkEnd w:id="120"/>
            <w:bookmarkEnd w:id="121"/>
            <w:bookmarkEnd w:id="122"/>
            <w:bookmarkEnd w:id="123"/>
            <w:bookmarkStart w:id="124" w:name="_Toc373333693"/>
            <w:bookmarkStart w:id="125" w:name="_Toc173066405"/>
            <w:bookmarkStart w:id="126" w:name="_Toc295404985"/>
            <w:bookmarkStart w:id="127" w:name="_Toc173211904"/>
            <w:bookmarkStart w:id="128" w:name="_Toc254970592"/>
            <w:bookmarkStart w:id="129" w:name="_Toc297193189"/>
            <w:bookmarkStart w:id="130" w:name="_Toc383699910"/>
            <w:bookmarkStart w:id="131" w:name="_Toc254970733"/>
            <w:bookmarkStart w:id="132" w:name="_Toc301781615"/>
            <w:r>
              <w:rPr>
                <w:rFonts w:hint="eastAsia" w:ascii="宋体" w:hAnsi="宋体" w:eastAsia="宋体" w:cs="仿宋_GB2312"/>
                <w:color w:val="auto"/>
                <w:sz w:val="24"/>
                <w:szCs w:val="24"/>
                <w:highlight w:val="none"/>
              </w:rPr>
              <w:t>说明</w:t>
            </w:r>
            <w:bookmarkEnd w:id="124"/>
            <w:bookmarkEnd w:id="125"/>
            <w:bookmarkEnd w:id="126"/>
            <w:bookmarkEnd w:id="127"/>
            <w:bookmarkEnd w:id="128"/>
            <w:bookmarkEnd w:id="129"/>
            <w:bookmarkEnd w:id="130"/>
            <w:bookmarkEnd w:id="131"/>
            <w:bookmarkEnd w:id="132"/>
          </w:p>
        </w:tc>
      </w:tr>
      <w:tr w14:paraId="20AE5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7735A23F">
            <w:pPr>
              <w:spacing w:line="360" w:lineRule="auto"/>
              <w:contextualSpacing/>
              <w:jc w:val="center"/>
              <w:rPr>
                <w:rFonts w:ascii="宋体" w:hAnsi="宋体" w:eastAsia="宋体" w:cs="仿宋_GB2312"/>
                <w:color w:val="auto"/>
                <w:sz w:val="24"/>
                <w:szCs w:val="24"/>
                <w:highlight w:val="none"/>
              </w:rPr>
            </w:pPr>
            <w:bookmarkStart w:id="133" w:name="_Toc295404986"/>
            <w:bookmarkStart w:id="134" w:name="_Toc254970593"/>
            <w:bookmarkStart w:id="135" w:name="_Toc254970734"/>
            <w:bookmarkStart w:id="136" w:name="_Toc173211905"/>
            <w:bookmarkStart w:id="137" w:name="_Toc301781616"/>
            <w:bookmarkStart w:id="138" w:name="_Toc173066406"/>
            <w:bookmarkStart w:id="139" w:name="_Toc297193190"/>
            <w:bookmarkStart w:id="140" w:name="_Toc383699911"/>
            <w:bookmarkStart w:id="141" w:name="_Toc373333694"/>
            <w:r>
              <w:rPr>
                <w:rFonts w:hint="eastAsia" w:ascii="宋体" w:hAnsi="宋体" w:eastAsia="宋体" w:cs="仿宋_GB2312"/>
                <w:color w:val="auto"/>
                <w:sz w:val="24"/>
                <w:szCs w:val="24"/>
                <w:highlight w:val="none"/>
              </w:rPr>
              <w:t>1</w:t>
            </w:r>
            <w:bookmarkEnd w:id="133"/>
            <w:bookmarkEnd w:id="134"/>
            <w:bookmarkEnd w:id="135"/>
            <w:bookmarkEnd w:id="136"/>
            <w:bookmarkEnd w:id="137"/>
            <w:bookmarkEnd w:id="138"/>
            <w:bookmarkEnd w:id="139"/>
            <w:bookmarkEnd w:id="140"/>
            <w:bookmarkEnd w:id="141"/>
          </w:p>
        </w:tc>
        <w:tc>
          <w:tcPr>
            <w:tcW w:w="889" w:type="pct"/>
            <w:tcBorders>
              <w:right w:val="single" w:color="auto" w:sz="4" w:space="0"/>
            </w:tcBorders>
            <w:vAlign w:val="center"/>
          </w:tcPr>
          <w:p w14:paraId="4F90879B">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4408BB76">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39ECAA54">
            <w:pPr>
              <w:spacing w:line="360" w:lineRule="auto"/>
              <w:contextualSpacing/>
              <w:jc w:val="center"/>
              <w:rPr>
                <w:rFonts w:ascii="宋体" w:hAnsi="宋体" w:eastAsia="宋体" w:cs="仿宋_GB2312"/>
                <w:color w:val="auto"/>
                <w:sz w:val="24"/>
                <w:szCs w:val="24"/>
                <w:highlight w:val="none"/>
              </w:rPr>
            </w:pPr>
          </w:p>
        </w:tc>
        <w:tc>
          <w:tcPr>
            <w:tcW w:w="820" w:type="pct"/>
            <w:vAlign w:val="center"/>
          </w:tcPr>
          <w:p w14:paraId="685499BA">
            <w:pPr>
              <w:spacing w:line="360" w:lineRule="auto"/>
              <w:contextualSpacing/>
              <w:jc w:val="center"/>
              <w:rPr>
                <w:rFonts w:ascii="宋体" w:hAnsi="宋体" w:eastAsia="宋体" w:cs="仿宋_GB2312"/>
                <w:color w:val="auto"/>
                <w:sz w:val="24"/>
                <w:szCs w:val="24"/>
                <w:highlight w:val="none"/>
              </w:rPr>
            </w:pPr>
          </w:p>
        </w:tc>
      </w:tr>
      <w:tr w14:paraId="57FF67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2FBDF709">
            <w:pPr>
              <w:spacing w:line="360" w:lineRule="auto"/>
              <w:contextualSpacing/>
              <w:jc w:val="center"/>
              <w:rPr>
                <w:rFonts w:ascii="宋体" w:hAnsi="宋体" w:eastAsia="宋体" w:cs="仿宋_GB2312"/>
                <w:color w:val="auto"/>
                <w:sz w:val="24"/>
                <w:szCs w:val="24"/>
                <w:highlight w:val="none"/>
              </w:rPr>
            </w:pPr>
            <w:bookmarkStart w:id="142" w:name="_Toc173066407"/>
            <w:bookmarkStart w:id="143" w:name="_Toc373333695"/>
            <w:bookmarkStart w:id="144" w:name="_Toc254970594"/>
            <w:bookmarkStart w:id="145" w:name="_Toc173211906"/>
            <w:bookmarkStart w:id="146" w:name="_Toc301781617"/>
            <w:bookmarkStart w:id="147" w:name="_Toc383699912"/>
            <w:bookmarkStart w:id="148" w:name="_Toc254970735"/>
            <w:bookmarkStart w:id="149" w:name="_Toc295404987"/>
            <w:bookmarkStart w:id="150" w:name="_Toc297193191"/>
            <w:r>
              <w:rPr>
                <w:rFonts w:hint="eastAsia" w:ascii="宋体" w:hAnsi="宋体" w:eastAsia="宋体" w:cs="仿宋_GB2312"/>
                <w:color w:val="auto"/>
                <w:sz w:val="24"/>
                <w:szCs w:val="24"/>
                <w:highlight w:val="none"/>
              </w:rPr>
              <w:t>2</w:t>
            </w:r>
            <w:bookmarkEnd w:id="142"/>
            <w:bookmarkEnd w:id="143"/>
            <w:bookmarkEnd w:id="144"/>
            <w:bookmarkEnd w:id="145"/>
            <w:bookmarkEnd w:id="146"/>
            <w:bookmarkEnd w:id="147"/>
            <w:bookmarkEnd w:id="148"/>
            <w:bookmarkEnd w:id="149"/>
            <w:bookmarkEnd w:id="150"/>
          </w:p>
        </w:tc>
        <w:tc>
          <w:tcPr>
            <w:tcW w:w="889" w:type="pct"/>
            <w:tcBorders>
              <w:right w:val="single" w:color="auto" w:sz="4" w:space="0"/>
            </w:tcBorders>
            <w:vAlign w:val="center"/>
          </w:tcPr>
          <w:p w14:paraId="62C3F0F6">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0306E72E">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6CA86B76">
            <w:pPr>
              <w:spacing w:line="360" w:lineRule="auto"/>
              <w:contextualSpacing/>
              <w:jc w:val="center"/>
              <w:rPr>
                <w:rFonts w:ascii="宋体" w:hAnsi="宋体" w:eastAsia="宋体" w:cs="仿宋_GB2312"/>
                <w:color w:val="auto"/>
                <w:sz w:val="24"/>
                <w:szCs w:val="24"/>
                <w:highlight w:val="none"/>
              </w:rPr>
            </w:pPr>
          </w:p>
        </w:tc>
        <w:tc>
          <w:tcPr>
            <w:tcW w:w="820" w:type="pct"/>
            <w:vAlign w:val="center"/>
          </w:tcPr>
          <w:p w14:paraId="706F8D85">
            <w:pPr>
              <w:spacing w:line="360" w:lineRule="auto"/>
              <w:contextualSpacing/>
              <w:jc w:val="center"/>
              <w:rPr>
                <w:rFonts w:ascii="宋体" w:hAnsi="宋体" w:eastAsia="宋体" w:cs="仿宋_GB2312"/>
                <w:color w:val="auto"/>
                <w:sz w:val="24"/>
                <w:szCs w:val="24"/>
                <w:highlight w:val="none"/>
              </w:rPr>
            </w:pPr>
          </w:p>
        </w:tc>
      </w:tr>
      <w:tr w14:paraId="2256A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1818CA8E">
            <w:pPr>
              <w:spacing w:line="360" w:lineRule="auto"/>
              <w:contextualSpacing/>
              <w:jc w:val="center"/>
              <w:rPr>
                <w:rFonts w:ascii="宋体" w:hAnsi="宋体" w:eastAsia="宋体" w:cs="仿宋_GB2312"/>
                <w:color w:val="auto"/>
                <w:sz w:val="24"/>
                <w:szCs w:val="24"/>
                <w:highlight w:val="none"/>
              </w:rPr>
            </w:pPr>
            <w:bookmarkStart w:id="151" w:name="_Toc297193192"/>
            <w:bookmarkStart w:id="152" w:name="_Toc301781618"/>
            <w:bookmarkStart w:id="153" w:name="_Toc383699913"/>
            <w:bookmarkStart w:id="154" w:name="_Toc173066408"/>
            <w:bookmarkStart w:id="155" w:name="_Toc254970595"/>
            <w:bookmarkStart w:id="156" w:name="_Toc254970736"/>
            <w:bookmarkStart w:id="157" w:name="_Toc373333696"/>
            <w:bookmarkStart w:id="158" w:name="_Toc295404988"/>
            <w:bookmarkStart w:id="159" w:name="_Toc173211907"/>
            <w:r>
              <w:rPr>
                <w:rFonts w:hint="eastAsia" w:ascii="宋体" w:hAnsi="宋体" w:eastAsia="宋体" w:cs="仿宋_GB2312"/>
                <w:color w:val="auto"/>
                <w:sz w:val="24"/>
                <w:szCs w:val="24"/>
                <w:highlight w:val="none"/>
              </w:rPr>
              <w:t>3</w:t>
            </w:r>
            <w:bookmarkEnd w:id="151"/>
            <w:bookmarkEnd w:id="152"/>
            <w:bookmarkEnd w:id="153"/>
            <w:bookmarkEnd w:id="154"/>
            <w:bookmarkEnd w:id="155"/>
            <w:bookmarkEnd w:id="156"/>
            <w:bookmarkEnd w:id="157"/>
            <w:bookmarkEnd w:id="158"/>
            <w:bookmarkEnd w:id="159"/>
          </w:p>
        </w:tc>
        <w:tc>
          <w:tcPr>
            <w:tcW w:w="889" w:type="pct"/>
            <w:tcBorders>
              <w:right w:val="single" w:color="auto" w:sz="4" w:space="0"/>
            </w:tcBorders>
            <w:vAlign w:val="center"/>
          </w:tcPr>
          <w:p w14:paraId="3A036499">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258FE59D">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65184863">
            <w:pPr>
              <w:spacing w:line="360" w:lineRule="auto"/>
              <w:contextualSpacing/>
              <w:jc w:val="center"/>
              <w:rPr>
                <w:rFonts w:ascii="宋体" w:hAnsi="宋体" w:eastAsia="宋体" w:cs="仿宋_GB2312"/>
                <w:color w:val="auto"/>
                <w:sz w:val="24"/>
                <w:szCs w:val="24"/>
                <w:highlight w:val="none"/>
              </w:rPr>
            </w:pPr>
          </w:p>
        </w:tc>
        <w:tc>
          <w:tcPr>
            <w:tcW w:w="820" w:type="pct"/>
            <w:vAlign w:val="center"/>
          </w:tcPr>
          <w:p w14:paraId="000B7D05">
            <w:pPr>
              <w:spacing w:line="360" w:lineRule="auto"/>
              <w:contextualSpacing/>
              <w:jc w:val="center"/>
              <w:rPr>
                <w:rFonts w:ascii="宋体" w:hAnsi="宋体" w:eastAsia="宋体" w:cs="仿宋_GB2312"/>
                <w:color w:val="auto"/>
                <w:sz w:val="24"/>
                <w:szCs w:val="24"/>
                <w:highlight w:val="none"/>
              </w:rPr>
            </w:pPr>
          </w:p>
        </w:tc>
      </w:tr>
      <w:tr w14:paraId="524691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135A7F8A">
            <w:pPr>
              <w:spacing w:line="360" w:lineRule="auto"/>
              <w:contextualSpacing/>
              <w:jc w:val="center"/>
              <w:rPr>
                <w:rFonts w:ascii="宋体" w:hAnsi="宋体" w:eastAsia="宋体" w:cs="仿宋_GB2312"/>
                <w:color w:val="auto"/>
                <w:sz w:val="24"/>
                <w:szCs w:val="24"/>
                <w:highlight w:val="none"/>
              </w:rPr>
            </w:pPr>
            <w:bookmarkStart w:id="160" w:name="_Toc254970596"/>
            <w:bookmarkStart w:id="161" w:name="_Toc373333697"/>
            <w:bookmarkStart w:id="162" w:name="_Toc254970737"/>
            <w:bookmarkStart w:id="163" w:name="_Toc295404989"/>
            <w:bookmarkStart w:id="164" w:name="_Toc173066409"/>
            <w:bookmarkStart w:id="165" w:name="_Toc297193193"/>
            <w:bookmarkStart w:id="166" w:name="_Toc383699914"/>
            <w:bookmarkStart w:id="167" w:name="_Toc173211908"/>
            <w:bookmarkStart w:id="168" w:name="_Toc301781619"/>
            <w:r>
              <w:rPr>
                <w:rFonts w:hint="eastAsia" w:ascii="宋体" w:hAnsi="宋体" w:eastAsia="宋体" w:cs="仿宋_GB2312"/>
                <w:color w:val="auto"/>
                <w:sz w:val="24"/>
                <w:szCs w:val="24"/>
                <w:highlight w:val="none"/>
              </w:rPr>
              <w:t>4</w:t>
            </w:r>
            <w:bookmarkEnd w:id="160"/>
            <w:bookmarkEnd w:id="161"/>
            <w:bookmarkEnd w:id="162"/>
            <w:bookmarkEnd w:id="163"/>
            <w:bookmarkEnd w:id="164"/>
            <w:bookmarkEnd w:id="165"/>
            <w:bookmarkEnd w:id="166"/>
            <w:bookmarkEnd w:id="167"/>
            <w:bookmarkEnd w:id="168"/>
          </w:p>
        </w:tc>
        <w:tc>
          <w:tcPr>
            <w:tcW w:w="889" w:type="pct"/>
            <w:tcBorders>
              <w:right w:val="single" w:color="auto" w:sz="4" w:space="0"/>
            </w:tcBorders>
            <w:vAlign w:val="center"/>
          </w:tcPr>
          <w:p w14:paraId="1EA5A588">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710EBE06">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06F70384">
            <w:pPr>
              <w:spacing w:line="360" w:lineRule="auto"/>
              <w:contextualSpacing/>
              <w:jc w:val="center"/>
              <w:rPr>
                <w:rFonts w:ascii="宋体" w:hAnsi="宋体" w:eastAsia="宋体" w:cs="仿宋_GB2312"/>
                <w:color w:val="auto"/>
                <w:sz w:val="24"/>
                <w:szCs w:val="24"/>
                <w:highlight w:val="none"/>
              </w:rPr>
            </w:pPr>
          </w:p>
        </w:tc>
        <w:tc>
          <w:tcPr>
            <w:tcW w:w="820" w:type="pct"/>
            <w:vAlign w:val="center"/>
          </w:tcPr>
          <w:p w14:paraId="1B62A953">
            <w:pPr>
              <w:spacing w:line="360" w:lineRule="auto"/>
              <w:contextualSpacing/>
              <w:jc w:val="center"/>
              <w:rPr>
                <w:rFonts w:ascii="宋体" w:hAnsi="宋体" w:eastAsia="宋体" w:cs="仿宋_GB2312"/>
                <w:color w:val="auto"/>
                <w:sz w:val="24"/>
                <w:szCs w:val="24"/>
                <w:highlight w:val="none"/>
              </w:rPr>
            </w:pPr>
          </w:p>
        </w:tc>
      </w:tr>
      <w:tr w14:paraId="019D70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1BC3F201">
            <w:pPr>
              <w:spacing w:line="360" w:lineRule="auto"/>
              <w:contextualSpacing/>
              <w:jc w:val="center"/>
              <w:rPr>
                <w:rFonts w:ascii="宋体" w:hAnsi="宋体" w:eastAsia="宋体" w:cs="仿宋_GB2312"/>
                <w:color w:val="auto"/>
                <w:sz w:val="24"/>
                <w:szCs w:val="24"/>
                <w:highlight w:val="none"/>
              </w:rPr>
            </w:pPr>
            <w:bookmarkStart w:id="169" w:name="_Toc173066410"/>
            <w:bookmarkStart w:id="170" w:name="_Toc295404990"/>
            <w:bookmarkStart w:id="171" w:name="_Toc383699915"/>
            <w:bookmarkStart w:id="172" w:name="_Toc301781620"/>
            <w:bookmarkStart w:id="173" w:name="_Toc254970597"/>
            <w:bookmarkStart w:id="174" w:name="_Toc173211909"/>
            <w:bookmarkStart w:id="175" w:name="_Toc373333698"/>
            <w:bookmarkStart w:id="176" w:name="_Toc254970738"/>
            <w:bookmarkStart w:id="177" w:name="_Toc297193194"/>
            <w:r>
              <w:rPr>
                <w:rFonts w:hint="eastAsia" w:ascii="宋体" w:hAnsi="宋体" w:eastAsia="宋体" w:cs="仿宋_GB2312"/>
                <w:color w:val="auto"/>
                <w:sz w:val="24"/>
                <w:szCs w:val="24"/>
                <w:highlight w:val="none"/>
              </w:rPr>
              <w:t>5</w:t>
            </w:r>
            <w:bookmarkEnd w:id="169"/>
            <w:bookmarkEnd w:id="170"/>
            <w:bookmarkEnd w:id="171"/>
            <w:bookmarkEnd w:id="172"/>
            <w:bookmarkEnd w:id="173"/>
            <w:bookmarkEnd w:id="174"/>
            <w:bookmarkEnd w:id="175"/>
            <w:bookmarkEnd w:id="176"/>
            <w:bookmarkEnd w:id="177"/>
          </w:p>
        </w:tc>
        <w:tc>
          <w:tcPr>
            <w:tcW w:w="889" w:type="pct"/>
            <w:tcBorders>
              <w:right w:val="single" w:color="auto" w:sz="4" w:space="0"/>
            </w:tcBorders>
            <w:vAlign w:val="center"/>
          </w:tcPr>
          <w:p w14:paraId="6CDE0F00">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54590F90">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77AC5C94">
            <w:pPr>
              <w:spacing w:line="360" w:lineRule="auto"/>
              <w:contextualSpacing/>
              <w:jc w:val="center"/>
              <w:rPr>
                <w:rFonts w:ascii="宋体" w:hAnsi="宋体" w:eastAsia="宋体" w:cs="仿宋_GB2312"/>
                <w:color w:val="auto"/>
                <w:sz w:val="24"/>
                <w:szCs w:val="24"/>
                <w:highlight w:val="none"/>
              </w:rPr>
            </w:pPr>
          </w:p>
        </w:tc>
        <w:tc>
          <w:tcPr>
            <w:tcW w:w="820" w:type="pct"/>
            <w:vAlign w:val="center"/>
          </w:tcPr>
          <w:p w14:paraId="25F7C335">
            <w:pPr>
              <w:spacing w:line="360" w:lineRule="auto"/>
              <w:contextualSpacing/>
              <w:jc w:val="center"/>
              <w:rPr>
                <w:rFonts w:ascii="宋体" w:hAnsi="宋体" w:eastAsia="宋体" w:cs="仿宋_GB2312"/>
                <w:color w:val="auto"/>
                <w:sz w:val="24"/>
                <w:szCs w:val="24"/>
                <w:highlight w:val="none"/>
              </w:rPr>
            </w:pPr>
          </w:p>
        </w:tc>
      </w:tr>
      <w:tr w14:paraId="765D1B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3F79FAF2">
            <w:pPr>
              <w:spacing w:line="360" w:lineRule="auto"/>
              <w:contextualSpacing/>
              <w:jc w:val="center"/>
              <w:rPr>
                <w:rFonts w:ascii="宋体" w:hAnsi="宋体" w:eastAsia="宋体" w:cs="仿宋_GB2312"/>
                <w:color w:val="auto"/>
                <w:sz w:val="24"/>
                <w:szCs w:val="24"/>
                <w:highlight w:val="none"/>
              </w:rPr>
            </w:pPr>
            <w:bookmarkStart w:id="178" w:name="_Toc295404991"/>
            <w:bookmarkStart w:id="179" w:name="_Toc383699916"/>
            <w:bookmarkStart w:id="180" w:name="_Toc373333699"/>
            <w:bookmarkStart w:id="181" w:name="_Toc254970743"/>
            <w:bookmarkStart w:id="182" w:name="_Toc254970602"/>
            <w:bookmarkStart w:id="183" w:name="_Toc173066415"/>
            <w:bookmarkStart w:id="184" w:name="_Toc301781621"/>
            <w:bookmarkStart w:id="185" w:name="_Toc173211914"/>
            <w:bookmarkStart w:id="186" w:name="_Toc297193195"/>
            <w:r>
              <w:rPr>
                <w:rFonts w:hint="eastAsia" w:ascii="宋体" w:hAnsi="宋体" w:eastAsia="宋体" w:cs="仿宋_GB2312"/>
                <w:color w:val="auto"/>
                <w:sz w:val="24"/>
                <w:szCs w:val="24"/>
                <w:highlight w:val="none"/>
              </w:rPr>
              <w:t>…</w:t>
            </w:r>
            <w:bookmarkEnd w:id="178"/>
            <w:bookmarkEnd w:id="179"/>
            <w:bookmarkEnd w:id="180"/>
            <w:bookmarkEnd w:id="181"/>
            <w:bookmarkEnd w:id="182"/>
            <w:bookmarkEnd w:id="183"/>
            <w:bookmarkEnd w:id="184"/>
            <w:bookmarkEnd w:id="185"/>
            <w:bookmarkEnd w:id="186"/>
          </w:p>
        </w:tc>
        <w:tc>
          <w:tcPr>
            <w:tcW w:w="889" w:type="pct"/>
            <w:tcBorders>
              <w:right w:val="single" w:color="auto" w:sz="4" w:space="0"/>
            </w:tcBorders>
            <w:vAlign w:val="center"/>
          </w:tcPr>
          <w:p w14:paraId="0D0E5791">
            <w:pPr>
              <w:spacing w:line="360" w:lineRule="auto"/>
              <w:contextualSpacing/>
              <w:jc w:val="center"/>
              <w:rPr>
                <w:rFonts w:ascii="宋体" w:hAnsi="宋体" w:eastAsia="宋体" w:cs="仿宋_GB2312"/>
                <w:color w:val="auto"/>
                <w:sz w:val="24"/>
                <w:szCs w:val="24"/>
                <w:highlight w:val="none"/>
              </w:rPr>
            </w:pPr>
          </w:p>
        </w:tc>
        <w:tc>
          <w:tcPr>
            <w:tcW w:w="1283" w:type="pct"/>
            <w:tcBorders>
              <w:left w:val="single" w:color="auto" w:sz="4" w:space="0"/>
            </w:tcBorders>
            <w:vAlign w:val="center"/>
          </w:tcPr>
          <w:p w14:paraId="4FD5B8CA">
            <w:pPr>
              <w:spacing w:line="360" w:lineRule="auto"/>
              <w:contextualSpacing/>
              <w:jc w:val="center"/>
              <w:rPr>
                <w:rFonts w:ascii="宋体" w:hAnsi="宋体" w:eastAsia="宋体" w:cs="仿宋_GB2312"/>
                <w:color w:val="auto"/>
                <w:sz w:val="24"/>
                <w:szCs w:val="24"/>
                <w:highlight w:val="none"/>
              </w:rPr>
            </w:pPr>
          </w:p>
        </w:tc>
        <w:tc>
          <w:tcPr>
            <w:tcW w:w="1503" w:type="pct"/>
            <w:vAlign w:val="center"/>
          </w:tcPr>
          <w:p w14:paraId="1C101832">
            <w:pPr>
              <w:spacing w:line="360" w:lineRule="auto"/>
              <w:contextualSpacing/>
              <w:jc w:val="center"/>
              <w:rPr>
                <w:rFonts w:ascii="宋体" w:hAnsi="宋体" w:eastAsia="宋体" w:cs="仿宋_GB2312"/>
                <w:color w:val="auto"/>
                <w:sz w:val="24"/>
                <w:szCs w:val="24"/>
                <w:highlight w:val="none"/>
              </w:rPr>
            </w:pPr>
          </w:p>
        </w:tc>
        <w:tc>
          <w:tcPr>
            <w:tcW w:w="820" w:type="pct"/>
            <w:tcBorders>
              <w:right w:val="single" w:color="auto" w:sz="4" w:space="0"/>
            </w:tcBorders>
            <w:vAlign w:val="center"/>
          </w:tcPr>
          <w:p w14:paraId="3B92AD7C">
            <w:pPr>
              <w:spacing w:line="360" w:lineRule="auto"/>
              <w:contextualSpacing/>
              <w:jc w:val="center"/>
              <w:rPr>
                <w:rFonts w:ascii="宋体" w:hAnsi="宋体" w:eastAsia="宋体" w:cs="仿宋_GB2312"/>
                <w:color w:val="auto"/>
                <w:sz w:val="24"/>
                <w:szCs w:val="24"/>
                <w:highlight w:val="none"/>
              </w:rPr>
            </w:pPr>
          </w:p>
        </w:tc>
      </w:tr>
    </w:tbl>
    <w:p w14:paraId="60C8C6E5">
      <w:pPr>
        <w:adjustRightInd w:val="0"/>
        <w:spacing w:line="360" w:lineRule="auto"/>
        <w:contextualSpacing/>
        <w:rPr>
          <w:rFonts w:ascii="宋体" w:hAnsi="宋体" w:eastAsia="宋体" w:cs="仿宋_GB2312"/>
          <w:color w:val="auto"/>
          <w:sz w:val="24"/>
          <w:szCs w:val="24"/>
          <w:highlight w:val="none"/>
        </w:rPr>
      </w:pPr>
    </w:p>
    <w:p w14:paraId="42A13574">
      <w:pPr>
        <w:spacing w:line="360" w:lineRule="auto"/>
        <w:contextualSpacing/>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注：</w:t>
      </w:r>
    </w:p>
    <w:p w14:paraId="45502711">
      <w:pPr>
        <w:spacing w:line="360" w:lineRule="auto"/>
        <w:contextualSpacing/>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1. 说明：应对照磋商文件“第三章 采购需求”中的技术要求逐条作出明确响应，并作出偏离说明。</w:t>
      </w:r>
    </w:p>
    <w:p w14:paraId="589BDF10">
      <w:pPr>
        <w:spacing w:line="360" w:lineRule="auto"/>
        <w:contextualSpacing/>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2.供应商应根据自身的承诺，对照磋商文件要求，在“偏离说明”中注明“正偏离”、“负偏离”或者“无偏离”。既不属于“正偏离”也不属于“负偏离”即为“无偏离”。</w:t>
      </w:r>
    </w:p>
    <w:p w14:paraId="40108431">
      <w:pPr>
        <w:spacing w:line="360" w:lineRule="auto"/>
        <w:ind w:right="-801" w:rightChars="-389"/>
        <w:contextualSpacing/>
        <w:rPr>
          <w:rFonts w:ascii="宋体" w:hAnsi="宋体" w:eastAsia="宋体" w:cs="仿宋_GB2312"/>
          <w:color w:val="auto"/>
          <w:sz w:val="24"/>
          <w:szCs w:val="24"/>
          <w:highlight w:val="none"/>
        </w:rPr>
      </w:pPr>
    </w:p>
    <w:p w14:paraId="778525BF">
      <w:pPr>
        <w:spacing w:line="360" w:lineRule="auto"/>
        <w:ind w:right="-801" w:rightChars="-389" w:firstLine="3068" w:firstLineChars="1300"/>
        <w:contextualSpacing/>
        <w:jc w:val="both"/>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法定代表人或者委托代理人（签字或者电子签名）：</w:t>
      </w:r>
    </w:p>
    <w:p w14:paraId="28D06A83">
      <w:pPr>
        <w:spacing w:line="360" w:lineRule="auto"/>
        <w:ind w:right="-801" w:rightChars="-389"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供应商名称（电子签章）：</w:t>
      </w:r>
    </w:p>
    <w:p w14:paraId="44CE9445">
      <w:pPr>
        <w:spacing w:line="360" w:lineRule="auto"/>
        <w:ind w:right="-801" w:rightChars="-389" w:firstLine="3068" w:firstLineChars="13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期：   年   月   日</w:t>
      </w:r>
    </w:p>
    <w:p w14:paraId="5A133883">
      <w:pPr>
        <w:snapToGrid w:val="0"/>
        <w:spacing w:before="120" w:beforeLines="50" w:after="50"/>
        <w:ind w:left="142"/>
        <w:jc w:val="left"/>
        <w:rPr>
          <w:rFonts w:ascii="宋体" w:hAnsi="宋体" w:eastAsia="宋体" w:cs="Times New Roman"/>
          <w:b/>
          <w:color w:val="auto"/>
          <w:sz w:val="24"/>
          <w:szCs w:val="24"/>
          <w:highlight w:val="none"/>
        </w:rPr>
      </w:pPr>
      <w:r>
        <w:rPr>
          <w:rFonts w:ascii="宋体" w:hAnsi="宋体" w:eastAsia="宋体" w:cs="仿宋_GB2312"/>
          <w:color w:val="auto"/>
          <w:sz w:val="24"/>
          <w:szCs w:val="24"/>
          <w:highlight w:val="none"/>
        </w:rPr>
        <w:br w:type="page"/>
      </w:r>
      <w:r>
        <w:rPr>
          <w:rFonts w:hint="eastAsia" w:ascii="宋体" w:hAnsi="宋体" w:eastAsia="宋体" w:cs="Times New Roman"/>
          <w:b/>
          <w:color w:val="auto"/>
          <w:sz w:val="24"/>
          <w:szCs w:val="24"/>
          <w:highlight w:val="none"/>
        </w:rPr>
        <w:t>项目实施人员一览表格式</w:t>
      </w:r>
    </w:p>
    <w:p w14:paraId="2F4FA33E">
      <w:pPr>
        <w:snapToGrid w:val="0"/>
        <w:spacing w:before="120" w:beforeLines="50" w:after="50"/>
        <w:ind w:left="142"/>
        <w:jc w:val="left"/>
        <w:rPr>
          <w:rFonts w:ascii="宋体" w:hAnsi="宋体" w:eastAsia="宋体" w:cs="Times New Roman"/>
          <w:b/>
          <w:color w:val="auto"/>
          <w:sz w:val="24"/>
          <w:szCs w:val="24"/>
          <w:highlight w:val="none"/>
        </w:rPr>
      </w:pPr>
    </w:p>
    <w:p w14:paraId="08D8C283">
      <w:pPr>
        <w:spacing w:line="360" w:lineRule="auto"/>
        <w:ind w:left="142"/>
        <w:contextualSpacing/>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p>
    <w:p w14:paraId="5201645F">
      <w:pPr>
        <w:spacing w:line="360" w:lineRule="auto"/>
        <w:jc w:val="left"/>
        <w:rPr>
          <w:rFonts w:ascii="宋体" w:hAnsi="宋体" w:eastAsia="宋体" w:cs="宋体"/>
          <w:color w:val="auto"/>
          <w:highlight w:val="none"/>
        </w:rPr>
      </w:pPr>
      <w:r>
        <w:rPr>
          <w:rFonts w:hint="eastAsia" w:ascii="宋体" w:hAnsi="Courier New" w:eastAsia="宋体" w:cs="Times New Roman"/>
          <w:color w:val="auto"/>
          <w:kern w:val="0"/>
          <w:sz w:val="24"/>
          <w:szCs w:val="24"/>
          <w:highlight w:val="none"/>
        </w:rPr>
        <w:t>所竞分标：</w:t>
      </w:r>
      <w:r>
        <w:rPr>
          <w:rFonts w:hint="eastAsia" w:ascii="宋体" w:hAnsi="Courier New" w:eastAsia="宋体" w:cs="Times New Roman"/>
          <w:color w:val="auto"/>
          <w:kern w:val="0"/>
          <w:sz w:val="24"/>
          <w:szCs w:val="24"/>
          <w:highlight w:val="none"/>
          <w:u w:val="single"/>
        </w:rPr>
        <w:t xml:space="preserve">     </w:t>
      </w:r>
      <w:r>
        <w:rPr>
          <w:rFonts w:hint="eastAsia" w:ascii="宋体" w:hAnsi="Courier New" w:eastAsia="宋体" w:cs="Times New Roman"/>
          <w:color w:val="auto"/>
          <w:kern w:val="0"/>
          <w:sz w:val="24"/>
          <w:szCs w:val="24"/>
          <w:highlight w:val="none"/>
        </w:rPr>
        <w:t>分标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14:paraId="1EAC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333D891A">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829" w:type="dxa"/>
            <w:vMerge w:val="restart"/>
            <w:vAlign w:val="center"/>
          </w:tcPr>
          <w:p w14:paraId="47D9FD53">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16" w:type="dxa"/>
            <w:vMerge w:val="restart"/>
            <w:vAlign w:val="center"/>
          </w:tcPr>
          <w:p w14:paraId="28A51375">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592" w:type="dxa"/>
            <w:gridSpan w:val="4"/>
            <w:vAlign w:val="center"/>
          </w:tcPr>
          <w:p w14:paraId="6B46805E">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2529" w:type="dxa"/>
            <w:gridSpan w:val="2"/>
            <w:vAlign w:val="center"/>
          </w:tcPr>
          <w:p w14:paraId="43B1E554">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承担完工工程情况</w:t>
            </w:r>
          </w:p>
        </w:tc>
      </w:tr>
      <w:tr w14:paraId="2D17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EB8D80C">
            <w:pPr>
              <w:pStyle w:val="84"/>
              <w:ind w:left="223" w:hanging="218" w:hangingChars="106"/>
              <w:jc w:val="center"/>
              <w:rPr>
                <w:rFonts w:ascii="宋体" w:hAnsi="宋体" w:cs="宋体"/>
                <w:color w:val="auto"/>
                <w:szCs w:val="21"/>
                <w:highlight w:val="none"/>
              </w:rPr>
            </w:pPr>
          </w:p>
        </w:tc>
        <w:tc>
          <w:tcPr>
            <w:tcW w:w="829" w:type="dxa"/>
            <w:vMerge w:val="continue"/>
            <w:vAlign w:val="center"/>
          </w:tcPr>
          <w:p w14:paraId="4D62B1EE">
            <w:pPr>
              <w:pStyle w:val="84"/>
              <w:ind w:left="223" w:hanging="218" w:hangingChars="106"/>
              <w:jc w:val="center"/>
              <w:rPr>
                <w:rFonts w:ascii="宋体" w:hAnsi="宋体" w:cs="宋体"/>
                <w:color w:val="auto"/>
                <w:szCs w:val="21"/>
                <w:highlight w:val="none"/>
              </w:rPr>
            </w:pPr>
          </w:p>
        </w:tc>
        <w:tc>
          <w:tcPr>
            <w:tcW w:w="816" w:type="dxa"/>
            <w:vMerge w:val="continue"/>
            <w:vAlign w:val="center"/>
          </w:tcPr>
          <w:p w14:paraId="7080D634">
            <w:pPr>
              <w:pStyle w:val="84"/>
              <w:ind w:left="223" w:hanging="218" w:hangingChars="106"/>
              <w:jc w:val="center"/>
              <w:rPr>
                <w:rFonts w:ascii="宋体" w:hAnsi="宋体" w:cs="宋体"/>
                <w:color w:val="auto"/>
                <w:szCs w:val="21"/>
                <w:highlight w:val="none"/>
              </w:rPr>
            </w:pPr>
          </w:p>
        </w:tc>
        <w:tc>
          <w:tcPr>
            <w:tcW w:w="1148" w:type="dxa"/>
            <w:vAlign w:val="center"/>
          </w:tcPr>
          <w:p w14:paraId="4CE7ED5D">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1148" w:type="dxa"/>
            <w:vAlign w:val="center"/>
          </w:tcPr>
          <w:p w14:paraId="73F7007C">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148" w:type="dxa"/>
            <w:vAlign w:val="center"/>
          </w:tcPr>
          <w:p w14:paraId="70BA280B">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148" w:type="dxa"/>
            <w:vAlign w:val="center"/>
          </w:tcPr>
          <w:p w14:paraId="6DEEFCCB">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850" w:type="dxa"/>
            <w:vAlign w:val="center"/>
          </w:tcPr>
          <w:p w14:paraId="61452A07">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679" w:type="dxa"/>
            <w:vAlign w:val="center"/>
          </w:tcPr>
          <w:p w14:paraId="71552333">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主要项目</w:t>
            </w:r>
          </w:p>
          <w:p w14:paraId="0D236649">
            <w:pPr>
              <w:pStyle w:val="84"/>
              <w:ind w:left="223" w:hanging="218" w:hangingChars="106"/>
              <w:jc w:val="center"/>
              <w:rPr>
                <w:rFonts w:ascii="宋体" w:hAnsi="宋体" w:cs="宋体"/>
                <w:color w:val="auto"/>
                <w:szCs w:val="21"/>
                <w:highlight w:val="none"/>
              </w:rPr>
            </w:pPr>
            <w:r>
              <w:rPr>
                <w:rFonts w:hint="eastAsia" w:ascii="宋体" w:hAnsi="宋体" w:cs="宋体"/>
                <w:color w:val="auto"/>
                <w:szCs w:val="21"/>
                <w:highlight w:val="none"/>
              </w:rPr>
              <w:t>名称</w:t>
            </w:r>
          </w:p>
        </w:tc>
      </w:tr>
      <w:tr w14:paraId="14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FF7D330">
            <w:pPr>
              <w:pStyle w:val="84"/>
              <w:ind w:left="223" w:hanging="218" w:hangingChars="106"/>
              <w:jc w:val="center"/>
              <w:rPr>
                <w:rFonts w:ascii="宋体" w:hAnsi="宋体" w:cs="宋体"/>
                <w:color w:val="auto"/>
                <w:szCs w:val="21"/>
                <w:highlight w:val="none"/>
              </w:rPr>
            </w:pPr>
          </w:p>
        </w:tc>
        <w:tc>
          <w:tcPr>
            <w:tcW w:w="829" w:type="dxa"/>
            <w:vAlign w:val="center"/>
          </w:tcPr>
          <w:p w14:paraId="30A93E26">
            <w:pPr>
              <w:pStyle w:val="84"/>
              <w:ind w:left="223" w:hanging="218" w:hangingChars="106"/>
              <w:jc w:val="center"/>
              <w:rPr>
                <w:rFonts w:ascii="宋体" w:hAnsi="宋体" w:cs="宋体"/>
                <w:color w:val="auto"/>
                <w:szCs w:val="21"/>
                <w:highlight w:val="none"/>
              </w:rPr>
            </w:pPr>
          </w:p>
        </w:tc>
        <w:tc>
          <w:tcPr>
            <w:tcW w:w="816" w:type="dxa"/>
            <w:vAlign w:val="center"/>
          </w:tcPr>
          <w:p w14:paraId="471643D2">
            <w:pPr>
              <w:pStyle w:val="84"/>
              <w:ind w:left="223" w:hanging="218" w:hangingChars="106"/>
              <w:jc w:val="center"/>
              <w:rPr>
                <w:rFonts w:ascii="宋体" w:hAnsi="宋体" w:cs="宋体"/>
                <w:color w:val="auto"/>
                <w:szCs w:val="21"/>
                <w:highlight w:val="none"/>
              </w:rPr>
            </w:pPr>
          </w:p>
        </w:tc>
        <w:tc>
          <w:tcPr>
            <w:tcW w:w="1148" w:type="dxa"/>
            <w:vAlign w:val="center"/>
          </w:tcPr>
          <w:p w14:paraId="6174F435">
            <w:pPr>
              <w:pStyle w:val="84"/>
              <w:ind w:left="223" w:hanging="218" w:hangingChars="106"/>
              <w:jc w:val="center"/>
              <w:rPr>
                <w:rFonts w:ascii="宋体" w:hAnsi="宋体" w:cs="宋体"/>
                <w:color w:val="auto"/>
                <w:szCs w:val="21"/>
                <w:highlight w:val="none"/>
              </w:rPr>
            </w:pPr>
          </w:p>
        </w:tc>
        <w:tc>
          <w:tcPr>
            <w:tcW w:w="1148" w:type="dxa"/>
            <w:vAlign w:val="center"/>
          </w:tcPr>
          <w:p w14:paraId="53D082D8">
            <w:pPr>
              <w:pStyle w:val="84"/>
              <w:ind w:left="223" w:hanging="218" w:hangingChars="106"/>
              <w:jc w:val="center"/>
              <w:rPr>
                <w:rFonts w:ascii="宋体" w:hAnsi="宋体" w:cs="宋体"/>
                <w:color w:val="auto"/>
                <w:szCs w:val="21"/>
                <w:highlight w:val="none"/>
              </w:rPr>
            </w:pPr>
          </w:p>
        </w:tc>
        <w:tc>
          <w:tcPr>
            <w:tcW w:w="1148" w:type="dxa"/>
            <w:vAlign w:val="center"/>
          </w:tcPr>
          <w:p w14:paraId="3FAE8ED1">
            <w:pPr>
              <w:pStyle w:val="84"/>
              <w:ind w:left="223" w:hanging="218" w:hangingChars="106"/>
              <w:jc w:val="center"/>
              <w:rPr>
                <w:rFonts w:ascii="宋体" w:hAnsi="宋体" w:cs="宋体"/>
                <w:color w:val="auto"/>
                <w:szCs w:val="21"/>
                <w:highlight w:val="none"/>
              </w:rPr>
            </w:pPr>
          </w:p>
        </w:tc>
        <w:tc>
          <w:tcPr>
            <w:tcW w:w="1148" w:type="dxa"/>
            <w:vAlign w:val="center"/>
          </w:tcPr>
          <w:p w14:paraId="47ABA63B">
            <w:pPr>
              <w:pStyle w:val="84"/>
              <w:ind w:left="223" w:hanging="218" w:hangingChars="106"/>
              <w:jc w:val="center"/>
              <w:rPr>
                <w:rFonts w:ascii="宋体" w:hAnsi="宋体" w:cs="宋体"/>
                <w:color w:val="auto"/>
                <w:szCs w:val="21"/>
                <w:highlight w:val="none"/>
              </w:rPr>
            </w:pPr>
          </w:p>
        </w:tc>
        <w:tc>
          <w:tcPr>
            <w:tcW w:w="850" w:type="dxa"/>
            <w:vAlign w:val="center"/>
          </w:tcPr>
          <w:p w14:paraId="14D45F4B">
            <w:pPr>
              <w:pStyle w:val="84"/>
              <w:ind w:left="223" w:hanging="218" w:hangingChars="106"/>
              <w:jc w:val="center"/>
              <w:rPr>
                <w:rFonts w:ascii="宋体" w:hAnsi="宋体" w:cs="宋体"/>
                <w:color w:val="auto"/>
                <w:szCs w:val="21"/>
                <w:highlight w:val="none"/>
              </w:rPr>
            </w:pPr>
          </w:p>
        </w:tc>
        <w:tc>
          <w:tcPr>
            <w:tcW w:w="1679" w:type="dxa"/>
            <w:vAlign w:val="center"/>
          </w:tcPr>
          <w:p w14:paraId="7798E4B1">
            <w:pPr>
              <w:pStyle w:val="84"/>
              <w:ind w:left="223" w:hanging="218" w:hangingChars="106"/>
              <w:jc w:val="center"/>
              <w:rPr>
                <w:rFonts w:ascii="宋体" w:hAnsi="宋体" w:cs="宋体"/>
                <w:color w:val="auto"/>
                <w:szCs w:val="21"/>
                <w:highlight w:val="none"/>
              </w:rPr>
            </w:pPr>
          </w:p>
        </w:tc>
      </w:tr>
      <w:tr w14:paraId="74F5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B56ACE8">
            <w:pPr>
              <w:pStyle w:val="84"/>
              <w:ind w:left="223" w:hanging="218" w:hangingChars="106"/>
              <w:jc w:val="center"/>
              <w:rPr>
                <w:rFonts w:ascii="宋体" w:hAnsi="宋体" w:cs="宋体"/>
                <w:color w:val="auto"/>
                <w:szCs w:val="21"/>
                <w:highlight w:val="none"/>
              </w:rPr>
            </w:pPr>
          </w:p>
        </w:tc>
        <w:tc>
          <w:tcPr>
            <w:tcW w:w="829" w:type="dxa"/>
            <w:vAlign w:val="center"/>
          </w:tcPr>
          <w:p w14:paraId="09F4142C">
            <w:pPr>
              <w:pStyle w:val="84"/>
              <w:ind w:left="223" w:hanging="218" w:hangingChars="106"/>
              <w:jc w:val="center"/>
              <w:rPr>
                <w:rFonts w:ascii="宋体" w:hAnsi="宋体" w:cs="宋体"/>
                <w:color w:val="auto"/>
                <w:szCs w:val="21"/>
                <w:highlight w:val="none"/>
              </w:rPr>
            </w:pPr>
          </w:p>
        </w:tc>
        <w:tc>
          <w:tcPr>
            <w:tcW w:w="816" w:type="dxa"/>
            <w:vAlign w:val="center"/>
          </w:tcPr>
          <w:p w14:paraId="41638512">
            <w:pPr>
              <w:pStyle w:val="84"/>
              <w:ind w:left="223" w:hanging="218" w:hangingChars="106"/>
              <w:jc w:val="center"/>
              <w:rPr>
                <w:rFonts w:ascii="宋体" w:hAnsi="宋体" w:cs="宋体"/>
                <w:color w:val="auto"/>
                <w:szCs w:val="21"/>
                <w:highlight w:val="none"/>
              </w:rPr>
            </w:pPr>
          </w:p>
        </w:tc>
        <w:tc>
          <w:tcPr>
            <w:tcW w:w="1148" w:type="dxa"/>
            <w:vAlign w:val="center"/>
          </w:tcPr>
          <w:p w14:paraId="79C93BD9">
            <w:pPr>
              <w:pStyle w:val="84"/>
              <w:ind w:left="223" w:hanging="218" w:hangingChars="106"/>
              <w:jc w:val="center"/>
              <w:rPr>
                <w:rFonts w:ascii="宋体" w:hAnsi="宋体" w:cs="宋体"/>
                <w:color w:val="auto"/>
                <w:szCs w:val="21"/>
                <w:highlight w:val="none"/>
              </w:rPr>
            </w:pPr>
          </w:p>
        </w:tc>
        <w:tc>
          <w:tcPr>
            <w:tcW w:w="1148" w:type="dxa"/>
            <w:vAlign w:val="center"/>
          </w:tcPr>
          <w:p w14:paraId="007F2691">
            <w:pPr>
              <w:pStyle w:val="84"/>
              <w:ind w:left="223" w:hanging="218" w:hangingChars="106"/>
              <w:jc w:val="center"/>
              <w:rPr>
                <w:rFonts w:ascii="宋体" w:hAnsi="宋体" w:cs="宋体"/>
                <w:color w:val="auto"/>
                <w:szCs w:val="21"/>
                <w:highlight w:val="none"/>
              </w:rPr>
            </w:pPr>
          </w:p>
        </w:tc>
        <w:tc>
          <w:tcPr>
            <w:tcW w:w="1148" w:type="dxa"/>
            <w:vAlign w:val="center"/>
          </w:tcPr>
          <w:p w14:paraId="1C0C08A2">
            <w:pPr>
              <w:pStyle w:val="84"/>
              <w:ind w:left="223" w:hanging="218" w:hangingChars="106"/>
              <w:jc w:val="center"/>
              <w:rPr>
                <w:rFonts w:ascii="宋体" w:hAnsi="宋体" w:cs="宋体"/>
                <w:color w:val="auto"/>
                <w:szCs w:val="21"/>
                <w:highlight w:val="none"/>
              </w:rPr>
            </w:pPr>
          </w:p>
        </w:tc>
        <w:tc>
          <w:tcPr>
            <w:tcW w:w="1148" w:type="dxa"/>
            <w:vAlign w:val="center"/>
          </w:tcPr>
          <w:p w14:paraId="02674AC3">
            <w:pPr>
              <w:pStyle w:val="84"/>
              <w:ind w:left="223" w:hanging="218" w:hangingChars="106"/>
              <w:jc w:val="center"/>
              <w:rPr>
                <w:rFonts w:ascii="宋体" w:hAnsi="宋体" w:cs="宋体"/>
                <w:color w:val="auto"/>
                <w:szCs w:val="21"/>
                <w:highlight w:val="none"/>
              </w:rPr>
            </w:pPr>
          </w:p>
        </w:tc>
        <w:tc>
          <w:tcPr>
            <w:tcW w:w="850" w:type="dxa"/>
            <w:vAlign w:val="center"/>
          </w:tcPr>
          <w:p w14:paraId="297B31FE">
            <w:pPr>
              <w:pStyle w:val="84"/>
              <w:ind w:left="223" w:hanging="218" w:hangingChars="106"/>
              <w:jc w:val="center"/>
              <w:rPr>
                <w:rFonts w:ascii="宋体" w:hAnsi="宋体" w:cs="宋体"/>
                <w:color w:val="auto"/>
                <w:szCs w:val="21"/>
                <w:highlight w:val="none"/>
              </w:rPr>
            </w:pPr>
          </w:p>
        </w:tc>
        <w:tc>
          <w:tcPr>
            <w:tcW w:w="1679" w:type="dxa"/>
            <w:vAlign w:val="center"/>
          </w:tcPr>
          <w:p w14:paraId="275308AD">
            <w:pPr>
              <w:pStyle w:val="84"/>
              <w:ind w:left="223" w:hanging="218" w:hangingChars="106"/>
              <w:jc w:val="center"/>
              <w:rPr>
                <w:rFonts w:ascii="宋体" w:hAnsi="宋体" w:cs="宋体"/>
                <w:color w:val="auto"/>
                <w:szCs w:val="21"/>
                <w:highlight w:val="none"/>
              </w:rPr>
            </w:pPr>
          </w:p>
        </w:tc>
      </w:tr>
      <w:tr w14:paraId="31C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A7A3E07">
            <w:pPr>
              <w:pStyle w:val="84"/>
              <w:ind w:left="223" w:hanging="218" w:hangingChars="106"/>
              <w:jc w:val="center"/>
              <w:rPr>
                <w:rFonts w:ascii="宋体" w:hAnsi="宋体" w:cs="宋体"/>
                <w:color w:val="auto"/>
                <w:szCs w:val="21"/>
                <w:highlight w:val="none"/>
              </w:rPr>
            </w:pPr>
          </w:p>
        </w:tc>
        <w:tc>
          <w:tcPr>
            <w:tcW w:w="829" w:type="dxa"/>
            <w:vAlign w:val="center"/>
          </w:tcPr>
          <w:p w14:paraId="67574BFD">
            <w:pPr>
              <w:pStyle w:val="84"/>
              <w:ind w:left="223" w:hanging="218" w:hangingChars="106"/>
              <w:jc w:val="center"/>
              <w:rPr>
                <w:rFonts w:ascii="宋体" w:hAnsi="宋体" w:cs="宋体"/>
                <w:color w:val="auto"/>
                <w:szCs w:val="21"/>
                <w:highlight w:val="none"/>
              </w:rPr>
            </w:pPr>
          </w:p>
        </w:tc>
        <w:tc>
          <w:tcPr>
            <w:tcW w:w="816" w:type="dxa"/>
            <w:vAlign w:val="center"/>
          </w:tcPr>
          <w:p w14:paraId="2659567F">
            <w:pPr>
              <w:pStyle w:val="84"/>
              <w:ind w:left="223" w:hanging="218" w:hangingChars="106"/>
              <w:jc w:val="center"/>
              <w:rPr>
                <w:rFonts w:ascii="宋体" w:hAnsi="宋体" w:cs="宋体"/>
                <w:color w:val="auto"/>
                <w:szCs w:val="21"/>
                <w:highlight w:val="none"/>
              </w:rPr>
            </w:pPr>
          </w:p>
        </w:tc>
        <w:tc>
          <w:tcPr>
            <w:tcW w:w="1148" w:type="dxa"/>
            <w:vAlign w:val="center"/>
          </w:tcPr>
          <w:p w14:paraId="73B93C25">
            <w:pPr>
              <w:pStyle w:val="84"/>
              <w:ind w:left="223" w:hanging="218" w:hangingChars="106"/>
              <w:jc w:val="center"/>
              <w:rPr>
                <w:rFonts w:ascii="宋体" w:hAnsi="宋体" w:cs="宋体"/>
                <w:color w:val="auto"/>
                <w:szCs w:val="21"/>
                <w:highlight w:val="none"/>
              </w:rPr>
            </w:pPr>
          </w:p>
        </w:tc>
        <w:tc>
          <w:tcPr>
            <w:tcW w:w="1148" w:type="dxa"/>
            <w:vAlign w:val="center"/>
          </w:tcPr>
          <w:p w14:paraId="1133B83F">
            <w:pPr>
              <w:pStyle w:val="84"/>
              <w:ind w:left="223" w:hanging="218" w:hangingChars="106"/>
              <w:jc w:val="center"/>
              <w:rPr>
                <w:rFonts w:ascii="宋体" w:hAnsi="宋体" w:cs="宋体"/>
                <w:color w:val="auto"/>
                <w:szCs w:val="21"/>
                <w:highlight w:val="none"/>
              </w:rPr>
            </w:pPr>
          </w:p>
        </w:tc>
        <w:tc>
          <w:tcPr>
            <w:tcW w:w="1148" w:type="dxa"/>
            <w:vAlign w:val="center"/>
          </w:tcPr>
          <w:p w14:paraId="4CEBE535">
            <w:pPr>
              <w:pStyle w:val="84"/>
              <w:ind w:left="223" w:hanging="218" w:hangingChars="106"/>
              <w:jc w:val="center"/>
              <w:rPr>
                <w:rFonts w:ascii="宋体" w:hAnsi="宋体" w:cs="宋体"/>
                <w:color w:val="auto"/>
                <w:szCs w:val="21"/>
                <w:highlight w:val="none"/>
              </w:rPr>
            </w:pPr>
          </w:p>
        </w:tc>
        <w:tc>
          <w:tcPr>
            <w:tcW w:w="1148" w:type="dxa"/>
            <w:vAlign w:val="center"/>
          </w:tcPr>
          <w:p w14:paraId="57FC0105">
            <w:pPr>
              <w:pStyle w:val="84"/>
              <w:ind w:left="223" w:hanging="218" w:hangingChars="106"/>
              <w:jc w:val="center"/>
              <w:rPr>
                <w:rFonts w:ascii="宋体" w:hAnsi="宋体" w:cs="宋体"/>
                <w:color w:val="auto"/>
                <w:szCs w:val="21"/>
                <w:highlight w:val="none"/>
              </w:rPr>
            </w:pPr>
          </w:p>
        </w:tc>
        <w:tc>
          <w:tcPr>
            <w:tcW w:w="850" w:type="dxa"/>
            <w:vAlign w:val="center"/>
          </w:tcPr>
          <w:p w14:paraId="10D1D0A6">
            <w:pPr>
              <w:pStyle w:val="84"/>
              <w:ind w:left="223" w:hanging="218" w:hangingChars="106"/>
              <w:jc w:val="center"/>
              <w:rPr>
                <w:rFonts w:ascii="宋体" w:hAnsi="宋体" w:cs="宋体"/>
                <w:color w:val="auto"/>
                <w:szCs w:val="21"/>
                <w:highlight w:val="none"/>
              </w:rPr>
            </w:pPr>
          </w:p>
        </w:tc>
        <w:tc>
          <w:tcPr>
            <w:tcW w:w="1679" w:type="dxa"/>
            <w:vAlign w:val="center"/>
          </w:tcPr>
          <w:p w14:paraId="2AF864EE">
            <w:pPr>
              <w:pStyle w:val="84"/>
              <w:ind w:left="223" w:hanging="218" w:hangingChars="106"/>
              <w:jc w:val="center"/>
              <w:rPr>
                <w:rFonts w:ascii="宋体" w:hAnsi="宋体" w:cs="宋体"/>
                <w:color w:val="auto"/>
                <w:szCs w:val="21"/>
                <w:highlight w:val="none"/>
              </w:rPr>
            </w:pPr>
          </w:p>
        </w:tc>
      </w:tr>
      <w:tr w14:paraId="635B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B46AEC">
            <w:pPr>
              <w:pStyle w:val="84"/>
              <w:ind w:left="223" w:hanging="218" w:hangingChars="106"/>
              <w:jc w:val="center"/>
              <w:rPr>
                <w:rFonts w:ascii="宋体" w:hAnsi="宋体" w:cs="宋体"/>
                <w:color w:val="auto"/>
                <w:szCs w:val="21"/>
                <w:highlight w:val="none"/>
              </w:rPr>
            </w:pPr>
          </w:p>
        </w:tc>
        <w:tc>
          <w:tcPr>
            <w:tcW w:w="829" w:type="dxa"/>
            <w:vAlign w:val="center"/>
          </w:tcPr>
          <w:p w14:paraId="3373900C">
            <w:pPr>
              <w:pStyle w:val="84"/>
              <w:ind w:left="223" w:hanging="218" w:hangingChars="106"/>
              <w:jc w:val="center"/>
              <w:rPr>
                <w:rFonts w:ascii="宋体" w:hAnsi="宋体" w:cs="宋体"/>
                <w:color w:val="auto"/>
                <w:szCs w:val="21"/>
                <w:highlight w:val="none"/>
              </w:rPr>
            </w:pPr>
          </w:p>
        </w:tc>
        <w:tc>
          <w:tcPr>
            <w:tcW w:w="816" w:type="dxa"/>
            <w:vAlign w:val="center"/>
          </w:tcPr>
          <w:p w14:paraId="6D347F3F">
            <w:pPr>
              <w:pStyle w:val="84"/>
              <w:ind w:left="223" w:hanging="218" w:hangingChars="106"/>
              <w:jc w:val="center"/>
              <w:rPr>
                <w:rFonts w:ascii="宋体" w:hAnsi="宋体" w:cs="宋体"/>
                <w:color w:val="auto"/>
                <w:szCs w:val="21"/>
                <w:highlight w:val="none"/>
              </w:rPr>
            </w:pPr>
          </w:p>
        </w:tc>
        <w:tc>
          <w:tcPr>
            <w:tcW w:w="1148" w:type="dxa"/>
            <w:vAlign w:val="center"/>
          </w:tcPr>
          <w:p w14:paraId="300A8014">
            <w:pPr>
              <w:pStyle w:val="84"/>
              <w:ind w:left="223" w:hanging="218" w:hangingChars="106"/>
              <w:jc w:val="center"/>
              <w:rPr>
                <w:rFonts w:ascii="宋体" w:hAnsi="宋体" w:cs="宋体"/>
                <w:color w:val="auto"/>
                <w:szCs w:val="21"/>
                <w:highlight w:val="none"/>
              </w:rPr>
            </w:pPr>
          </w:p>
        </w:tc>
        <w:tc>
          <w:tcPr>
            <w:tcW w:w="1148" w:type="dxa"/>
            <w:vAlign w:val="center"/>
          </w:tcPr>
          <w:p w14:paraId="59AC2EF6">
            <w:pPr>
              <w:pStyle w:val="84"/>
              <w:ind w:left="223" w:hanging="218" w:hangingChars="106"/>
              <w:jc w:val="center"/>
              <w:rPr>
                <w:rFonts w:ascii="宋体" w:hAnsi="宋体" w:cs="宋体"/>
                <w:color w:val="auto"/>
                <w:szCs w:val="21"/>
                <w:highlight w:val="none"/>
              </w:rPr>
            </w:pPr>
          </w:p>
        </w:tc>
        <w:tc>
          <w:tcPr>
            <w:tcW w:w="1148" w:type="dxa"/>
            <w:vAlign w:val="center"/>
          </w:tcPr>
          <w:p w14:paraId="24B0BC44">
            <w:pPr>
              <w:pStyle w:val="84"/>
              <w:ind w:left="223" w:hanging="218" w:hangingChars="106"/>
              <w:jc w:val="center"/>
              <w:rPr>
                <w:rFonts w:ascii="宋体" w:hAnsi="宋体" w:cs="宋体"/>
                <w:color w:val="auto"/>
                <w:szCs w:val="21"/>
                <w:highlight w:val="none"/>
              </w:rPr>
            </w:pPr>
          </w:p>
        </w:tc>
        <w:tc>
          <w:tcPr>
            <w:tcW w:w="1148" w:type="dxa"/>
            <w:vAlign w:val="center"/>
          </w:tcPr>
          <w:p w14:paraId="71377EC8">
            <w:pPr>
              <w:pStyle w:val="84"/>
              <w:ind w:left="223" w:hanging="218" w:hangingChars="106"/>
              <w:jc w:val="center"/>
              <w:rPr>
                <w:rFonts w:ascii="宋体" w:hAnsi="宋体" w:cs="宋体"/>
                <w:color w:val="auto"/>
                <w:szCs w:val="21"/>
                <w:highlight w:val="none"/>
              </w:rPr>
            </w:pPr>
          </w:p>
        </w:tc>
        <w:tc>
          <w:tcPr>
            <w:tcW w:w="850" w:type="dxa"/>
            <w:vAlign w:val="center"/>
          </w:tcPr>
          <w:p w14:paraId="03F91C2A">
            <w:pPr>
              <w:pStyle w:val="84"/>
              <w:ind w:left="223" w:hanging="218" w:hangingChars="106"/>
              <w:jc w:val="center"/>
              <w:rPr>
                <w:rFonts w:ascii="宋体" w:hAnsi="宋体" w:cs="宋体"/>
                <w:color w:val="auto"/>
                <w:szCs w:val="21"/>
                <w:highlight w:val="none"/>
              </w:rPr>
            </w:pPr>
          </w:p>
        </w:tc>
        <w:tc>
          <w:tcPr>
            <w:tcW w:w="1679" w:type="dxa"/>
            <w:vAlign w:val="center"/>
          </w:tcPr>
          <w:p w14:paraId="4169B210">
            <w:pPr>
              <w:pStyle w:val="84"/>
              <w:ind w:left="223" w:hanging="218" w:hangingChars="106"/>
              <w:jc w:val="center"/>
              <w:rPr>
                <w:rFonts w:ascii="宋体" w:hAnsi="宋体" w:cs="宋体"/>
                <w:color w:val="auto"/>
                <w:szCs w:val="21"/>
                <w:highlight w:val="none"/>
              </w:rPr>
            </w:pPr>
          </w:p>
        </w:tc>
      </w:tr>
      <w:tr w14:paraId="00F5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16B045">
            <w:pPr>
              <w:pStyle w:val="84"/>
              <w:ind w:left="223" w:hanging="218" w:hangingChars="106"/>
              <w:jc w:val="center"/>
              <w:rPr>
                <w:rFonts w:ascii="宋体" w:hAnsi="宋体" w:cs="宋体"/>
                <w:color w:val="auto"/>
                <w:szCs w:val="21"/>
                <w:highlight w:val="none"/>
              </w:rPr>
            </w:pPr>
          </w:p>
        </w:tc>
        <w:tc>
          <w:tcPr>
            <w:tcW w:w="829" w:type="dxa"/>
            <w:vAlign w:val="center"/>
          </w:tcPr>
          <w:p w14:paraId="73A59CE7">
            <w:pPr>
              <w:pStyle w:val="84"/>
              <w:ind w:left="223" w:hanging="218" w:hangingChars="106"/>
              <w:jc w:val="center"/>
              <w:rPr>
                <w:rFonts w:ascii="宋体" w:hAnsi="宋体" w:cs="宋体"/>
                <w:color w:val="auto"/>
                <w:szCs w:val="21"/>
                <w:highlight w:val="none"/>
              </w:rPr>
            </w:pPr>
          </w:p>
        </w:tc>
        <w:tc>
          <w:tcPr>
            <w:tcW w:w="816" w:type="dxa"/>
            <w:vAlign w:val="center"/>
          </w:tcPr>
          <w:p w14:paraId="563A9064">
            <w:pPr>
              <w:pStyle w:val="84"/>
              <w:ind w:left="223" w:hanging="218" w:hangingChars="106"/>
              <w:jc w:val="center"/>
              <w:rPr>
                <w:rFonts w:ascii="宋体" w:hAnsi="宋体" w:cs="宋体"/>
                <w:color w:val="auto"/>
                <w:szCs w:val="21"/>
                <w:highlight w:val="none"/>
              </w:rPr>
            </w:pPr>
          </w:p>
        </w:tc>
        <w:tc>
          <w:tcPr>
            <w:tcW w:w="1148" w:type="dxa"/>
            <w:vAlign w:val="center"/>
          </w:tcPr>
          <w:p w14:paraId="7E601E10">
            <w:pPr>
              <w:pStyle w:val="84"/>
              <w:ind w:left="223" w:hanging="218" w:hangingChars="106"/>
              <w:jc w:val="center"/>
              <w:rPr>
                <w:rFonts w:ascii="宋体" w:hAnsi="宋体" w:cs="宋体"/>
                <w:color w:val="auto"/>
                <w:szCs w:val="21"/>
                <w:highlight w:val="none"/>
              </w:rPr>
            </w:pPr>
          </w:p>
        </w:tc>
        <w:tc>
          <w:tcPr>
            <w:tcW w:w="1148" w:type="dxa"/>
            <w:vAlign w:val="center"/>
          </w:tcPr>
          <w:p w14:paraId="4124D4F9">
            <w:pPr>
              <w:pStyle w:val="84"/>
              <w:ind w:left="223" w:hanging="218" w:hangingChars="106"/>
              <w:jc w:val="center"/>
              <w:rPr>
                <w:rFonts w:ascii="宋体" w:hAnsi="宋体" w:cs="宋体"/>
                <w:color w:val="auto"/>
                <w:szCs w:val="21"/>
                <w:highlight w:val="none"/>
              </w:rPr>
            </w:pPr>
          </w:p>
        </w:tc>
        <w:tc>
          <w:tcPr>
            <w:tcW w:w="1148" w:type="dxa"/>
            <w:vAlign w:val="center"/>
          </w:tcPr>
          <w:p w14:paraId="3D97A1FE">
            <w:pPr>
              <w:pStyle w:val="84"/>
              <w:ind w:left="223" w:hanging="218" w:hangingChars="106"/>
              <w:jc w:val="center"/>
              <w:rPr>
                <w:rFonts w:ascii="宋体" w:hAnsi="宋体" w:cs="宋体"/>
                <w:color w:val="auto"/>
                <w:szCs w:val="21"/>
                <w:highlight w:val="none"/>
              </w:rPr>
            </w:pPr>
          </w:p>
        </w:tc>
        <w:tc>
          <w:tcPr>
            <w:tcW w:w="1148" w:type="dxa"/>
            <w:vAlign w:val="center"/>
          </w:tcPr>
          <w:p w14:paraId="2E33FCE4">
            <w:pPr>
              <w:pStyle w:val="84"/>
              <w:ind w:left="223" w:hanging="218" w:hangingChars="106"/>
              <w:jc w:val="center"/>
              <w:rPr>
                <w:rFonts w:ascii="宋体" w:hAnsi="宋体" w:cs="宋体"/>
                <w:color w:val="auto"/>
                <w:szCs w:val="21"/>
                <w:highlight w:val="none"/>
              </w:rPr>
            </w:pPr>
          </w:p>
        </w:tc>
        <w:tc>
          <w:tcPr>
            <w:tcW w:w="850" w:type="dxa"/>
            <w:vAlign w:val="center"/>
          </w:tcPr>
          <w:p w14:paraId="4863CCDC">
            <w:pPr>
              <w:pStyle w:val="84"/>
              <w:ind w:left="223" w:hanging="218" w:hangingChars="106"/>
              <w:jc w:val="center"/>
              <w:rPr>
                <w:rFonts w:ascii="宋体" w:hAnsi="宋体" w:cs="宋体"/>
                <w:color w:val="auto"/>
                <w:szCs w:val="21"/>
                <w:highlight w:val="none"/>
              </w:rPr>
            </w:pPr>
          </w:p>
        </w:tc>
        <w:tc>
          <w:tcPr>
            <w:tcW w:w="1679" w:type="dxa"/>
            <w:vAlign w:val="center"/>
          </w:tcPr>
          <w:p w14:paraId="3D6A875F">
            <w:pPr>
              <w:pStyle w:val="84"/>
              <w:ind w:left="223" w:hanging="218" w:hangingChars="106"/>
              <w:jc w:val="center"/>
              <w:rPr>
                <w:rFonts w:ascii="宋体" w:hAnsi="宋体" w:cs="宋体"/>
                <w:color w:val="auto"/>
                <w:szCs w:val="21"/>
                <w:highlight w:val="none"/>
              </w:rPr>
            </w:pPr>
          </w:p>
        </w:tc>
      </w:tr>
      <w:tr w14:paraId="517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11EC4A3">
            <w:pPr>
              <w:pStyle w:val="84"/>
              <w:ind w:left="223" w:hanging="218" w:hangingChars="106"/>
              <w:jc w:val="center"/>
              <w:rPr>
                <w:rFonts w:ascii="宋体" w:hAnsi="宋体" w:cs="宋体"/>
                <w:color w:val="auto"/>
                <w:szCs w:val="21"/>
                <w:highlight w:val="none"/>
              </w:rPr>
            </w:pPr>
          </w:p>
        </w:tc>
        <w:tc>
          <w:tcPr>
            <w:tcW w:w="829" w:type="dxa"/>
            <w:vAlign w:val="center"/>
          </w:tcPr>
          <w:p w14:paraId="2BB25233">
            <w:pPr>
              <w:pStyle w:val="84"/>
              <w:ind w:left="223" w:hanging="218" w:hangingChars="106"/>
              <w:jc w:val="center"/>
              <w:rPr>
                <w:rFonts w:ascii="宋体" w:hAnsi="宋体" w:cs="宋体"/>
                <w:color w:val="auto"/>
                <w:szCs w:val="21"/>
                <w:highlight w:val="none"/>
              </w:rPr>
            </w:pPr>
          </w:p>
        </w:tc>
        <w:tc>
          <w:tcPr>
            <w:tcW w:w="816" w:type="dxa"/>
            <w:vAlign w:val="center"/>
          </w:tcPr>
          <w:p w14:paraId="0F43BF7B">
            <w:pPr>
              <w:pStyle w:val="84"/>
              <w:ind w:left="223" w:hanging="218" w:hangingChars="106"/>
              <w:jc w:val="center"/>
              <w:rPr>
                <w:rFonts w:ascii="宋体" w:hAnsi="宋体" w:cs="宋体"/>
                <w:color w:val="auto"/>
                <w:szCs w:val="21"/>
                <w:highlight w:val="none"/>
              </w:rPr>
            </w:pPr>
          </w:p>
        </w:tc>
        <w:tc>
          <w:tcPr>
            <w:tcW w:w="1148" w:type="dxa"/>
            <w:vAlign w:val="center"/>
          </w:tcPr>
          <w:p w14:paraId="5ABBF719">
            <w:pPr>
              <w:pStyle w:val="84"/>
              <w:ind w:left="223" w:hanging="218" w:hangingChars="106"/>
              <w:jc w:val="center"/>
              <w:rPr>
                <w:rFonts w:ascii="宋体" w:hAnsi="宋体" w:cs="宋体"/>
                <w:color w:val="auto"/>
                <w:szCs w:val="21"/>
                <w:highlight w:val="none"/>
              </w:rPr>
            </w:pPr>
          </w:p>
        </w:tc>
        <w:tc>
          <w:tcPr>
            <w:tcW w:w="1148" w:type="dxa"/>
            <w:vAlign w:val="center"/>
          </w:tcPr>
          <w:p w14:paraId="69B61B37">
            <w:pPr>
              <w:pStyle w:val="84"/>
              <w:ind w:left="223" w:hanging="218" w:hangingChars="106"/>
              <w:jc w:val="center"/>
              <w:rPr>
                <w:rFonts w:ascii="宋体" w:hAnsi="宋体" w:cs="宋体"/>
                <w:color w:val="auto"/>
                <w:szCs w:val="21"/>
                <w:highlight w:val="none"/>
              </w:rPr>
            </w:pPr>
          </w:p>
        </w:tc>
        <w:tc>
          <w:tcPr>
            <w:tcW w:w="1148" w:type="dxa"/>
            <w:vAlign w:val="center"/>
          </w:tcPr>
          <w:p w14:paraId="2079DCE9">
            <w:pPr>
              <w:pStyle w:val="84"/>
              <w:ind w:left="223" w:hanging="218" w:hangingChars="106"/>
              <w:jc w:val="center"/>
              <w:rPr>
                <w:rFonts w:ascii="宋体" w:hAnsi="宋体" w:cs="宋体"/>
                <w:color w:val="auto"/>
                <w:szCs w:val="21"/>
                <w:highlight w:val="none"/>
              </w:rPr>
            </w:pPr>
          </w:p>
        </w:tc>
        <w:tc>
          <w:tcPr>
            <w:tcW w:w="1148" w:type="dxa"/>
            <w:vAlign w:val="center"/>
          </w:tcPr>
          <w:p w14:paraId="3F9441E3">
            <w:pPr>
              <w:pStyle w:val="84"/>
              <w:ind w:left="223" w:hanging="218" w:hangingChars="106"/>
              <w:jc w:val="center"/>
              <w:rPr>
                <w:rFonts w:ascii="宋体" w:hAnsi="宋体" w:cs="宋体"/>
                <w:color w:val="auto"/>
                <w:szCs w:val="21"/>
                <w:highlight w:val="none"/>
              </w:rPr>
            </w:pPr>
          </w:p>
        </w:tc>
        <w:tc>
          <w:tcPr>
            <w:tcW w:w="850" w:type="dxa"/>
            <w:vAlign w:val="center"/>
          </w:tcPr>
          <w:p w14:paraId="7D19A7F6">
            <w:pPr>
              <w:pStyle w:val="84"/>
              <w:ind w:left="223" w:hanging="218" w:hangingChars="106"/>
              <w:jc w:val="center"/>
              <w:rPr>
                <w:rFonts w:ascii="宋体" w:hAnsi="宋体" w:cs="宋体"/>
                <w:color w:val="auto"/>
                <w:szCs w:val="21"/>
                <w:highlight w:val="none"/>
              </w:rPr>
            </w:pPr>
          </w:p>
        </w:tc>
        <w:tc>
          <w:tcPr>
            <w:tcW w:w="1679" w:type="dxa"/>
            <w:vAlign w:val="center"/>
          </w:tcPr>
          <w:p w14:paraId="5579F3F9">
            <w:pPr>
              <w:pStyle w:val="84"/>
              <w:ind w:left="223" w:hanging="218" w:hangingChars="106"/>
              <w:jc w:val="center"/>
              <w:rPr>
                <w:rFonts w:ascii="宋体" w:hAnsi="宋体" w:cs="宋体"/>
                <w:color w:val="auto"/>
                <w:szCs w:val="21"/>
                <w:highlight w:val="none"/>
              </w:rPr>
            </w:pPr>
          </w:p>
        </w:tc>
      </w:tr>
      <w:tr w14:paraId="49CF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5864F35">
            <w:pPr>
              <w:pStyle w:val="84"/>
              <w:ind w:left="223" w:hanging="218" w:hangingChars="106"/>
              <w:jc w:val="center"/>
              <w:rPr>
                <w:rFonts w:ascii="宋体" w:hAnsi="宋体" w:cs="宋体"/>
                <w:color w:val="auto"/>
                <w:szCs w:val="21"/>
                <w:highlight w:val="none"/>
              </w:rPr>
            </w:pPr>
          </w:p>
        </w:tc>
        <w:tc>
          <w:tcPr>
            <w:tcW w:w="829" w:type="dxa"/>
            <w:vAlign w:val="center"/>
          </w:tcPr>
          <w:p w14:paraId="195015E5">
            <w:pPr>
              <w:pStyle w:val="84"/>
              <w:ind w:left="223" w:hanging="218" w:hangingChars="106"/>
              <w:jc w:val="center"/>
              <w:rPr>
                <w:rFonts w:ascii="宋体" w:hAnsi="宋体" w:cs="宋体"/>
                <w:color w:val="auto"/>
                <w:szCs w:val="21"/>
                <w:highlight w:val="none"/>
              </w:rPr>
            </w:pPr>
          </w:p>
        </w:tc>
        <w:tc>
          <w:tcPr>
            <w:tcW w:w="816" w:type="dxa"/>
            <w:vAlign w:val="center"/>
          </w:tcPr>
          <w:p w14:paraId="6A0C05E9">
            <w:pPr>
              <w:pStyle w:val="84"/>
              <w:ind w:left="223" w:hanging="218" w:hangingChars="106"/>
              <w:jc w:val="center"/>
              <w:rPr>
                <w:rFonts w:ascii="宋体" w:hAnsi="宋体" w:cs="宋体"/>
                <w:color w:val="auto"/>
                <w:szCs w:val="21"/>
                <w:highlight w:val="none"/>
              </w:rPr>
            </w:pPr>
          </w:p>
        </w:tc>
        <w:tc>
          <w:tcPr>
            <w:tcW w:w="1148" w:type="dxa"/>
            <w:vAlign w:val="center"/>
          </w:tcPr>
          <w:p w14:paraId="7B6A89F0">
            <w:pPr>
              <w:pStyle w:val="84"/>
              <w:ind w:left="223" w:hanging="218" w:hangingChars="106"/>
              <w:jc w:val="center"/>
              <w:rPr>
                <w:rFonts w:ascii="宋体" w:hAnsi="宋体" w:cs="宋体"/>
                <w:color w:val="auto"/>
                <w:szCs w:val="21"/>
                <w:highlight w:val="none"/>
              </w:rPr>
            </w:pPr>
          </w:p>
        </w:tc>
        <w:tc>
          <w:tcPr>
            <w:tcW w:w="1148" w:type="dxa"/>
            <w:vAlign w:val="center"/>
          </w:tcPr>
          <w:p w14:paraId="7E64146C">
            <w:pPr>
              <w:pStyle w:val="84"/>
              <w:ind w:left="223" w:hanging="218" w:hangingChars="106"/>
              <w:jc w:val="center"/>
              <w:rPr>
                <w:rFonts w:ascii="宋体" w:hAnsi="宋体" w:cs="宋体"/>
                <w:color w:val="auto"/>
                <w:szCs w:val="21"/>
                <w:highlight w:val="none"/>
              </w:rPr>
            </w:pPr>
          </w:p>
        </w:tc>
        <w:tc>
          <w:tcPr>
            <w:tcW w:w="1148" w:type="dxa"/>
            <w:vAlign w:val="center"/>
          </w:tcPr>
          <w:p w14:paraId="75318A62">
            <w:pPr>
              <w:pStyle w:val="84"/>
              <w:ind w:left="223" w:hanging="218" w:hangingChars="106"/>
              <w:jc w:val="center"/>
              <w:rPr>
                <w:rFonts w:ascii="宋体" w:hAnsi="宋体" w:cs="宋体"/>
                <w:color w:val="auto"/>
                <w:szCs w:val="21"/>
                <w:highlight w:val="none"/>
              </w:rPr>
            </w:pPr>
          </w:p>
        </w:tc>
        <w:tc>
          <w:tcPr>
            <w:tcW w:w="1148" w:type="dxa"/>
            <w:vAlign w:val="center"/>
          </w:tcPr>
          <w:p w14:paraId="621727F4">
            <w:pPr>
              <w:pStyle w:val="84"/>
              <w:ind w:left="223" w:hanging="218" w:hangingChars="106"/>
              <w:jc w:val="center"/>
              <w:rPr>
                <w:rFonts w:ascii="宋体" w:hAnsi="宋体" w:cs="宋体"/>
                <w:color w:val="auto"/>
                <w:szCs w:val="21"/>
                <w:highlight w:val="none"/>
              </w:rPr>
            </w:pPr>
          </w:p>
        </w:tc>
        <w:tc>
          <w:tcPr>
            <w:tcW w:w="850" w:type="dxa"/>
            <w:vAlign w:val="center"/>
          </w:tcPr>
          <w:p w14:paraId="64DE83E1">
            <w:pPr>
              <w:pStyle w:val="84"/>
              <w:ind w:left="223" w:hanging="218" w:hangingChars="106"/>
              <w:jc w:val="center"/>
              <w:rPr>
                <w:rFonts w:ascii="宋体" w:hAnsi="宋体" w:cs="宋体"/>
                <w:color w:val="auto"/>
                <w:szCs w:val="21"/>
                <w:highlight w:val="none"/>
              </w:rPr>
            </w:pPr>
          </w:p>
        </w:tc>
        <w:tc>
          <w:tcPr>
            <w:tcW w:w="1679" w:type="dxa"/>
            <w:vAlign w:val="center"/>
          </w:tcPr>
          <w:p w14:paraId="15DFCF9E">
            <w:pPr>
              <w:pStyle w:val="84"/>
              <w:ind w:left="223" w:hanging="218" w:hangingChars="106"/>
              <w:jc w:val="center"/>
              <w:rPr>
                <w:rFonts w:ascii="宋体" w:hAnsi="宋体" w:cs="宋体"/>
                <w:color w:val="auto"/>
                <w:szCs w:val="21"/>
                <w:highlight w:val="none"/>
              </w:rPr>
            </w:pPr>
          </w:p>
        </w:tc>
      </w:tr>
      <w:tr w14:paraId="5E70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F388E31">
            <w:pPr>
              <w:pStyle w:val="84"/>
              <w:ind w:left="223" w:hanging="218" w:hangingChars="106"/>
              <w:jc w:val="center"/>
              <w:rPr>
                <w:rFonts w:ascii="宋体" w:hAnsi="宋体" w:cs="宋体"/>
                <w:color w:val="auto"/>
                <w:szCs w:val="21"/>
                <w:highlight w:val="none"/>
              </w:rPr>
            </w:pPr>
          </w:p>
        </w:tc>
        <w:tc>
          <w:tcPr>
            <w:tcW w:w="829" w:type="dxa"/>
            <w:vAlign w:val="center"/>
          </w:tcPr>
          <w:p w14:paraId="3027D63A">
            <w:pPr>
              <w:pStyle w:val="84"/>
              <w:ind w:left="223" w:hanging="218" w:hangingChars="106"/>
              <w:jc w:val="center"/>
              <w:rPr>
                <w:rFonts w:ascii="宋体" w:hAnsi="宋体" w:cs="宋体"/>
                <w:color w:val="auto"/>
                <w:szCs w:val="21"/>
                <w:highlight w:val="none"/>
              </w:rPr>
            </w:pPr>
          </w:p>
        </w:tc>
        <w:tc>
          <w:tcPr>
            <w:tcW w:w="816" w:type="dxa"/>
            <w:vAlign w:val="center"/>
          </w:tcPr>
          <w:p w14:paraId="012C7ADC">
            <w:pPr>
              <w:pStyle w:val="84"/>
              <w:ind w:left="223" w:hanging="218" w:hangingChars="106"/>
              <w:jc w:val="center"/>
              <w:rPr>
                <w:rFonts w:ascii="宋体" w:hAnsi="宋体" w:cs="宋体"/>
                <w:color w:val="auto"/>
                <w:szCs w:val="21"/>
                <w:highlight w:val="none"/>
              </w:rPr>
            </w:pPr>
          </w:p>
        </w:tc>
        <w:tc>
          <w:tcPr>
            <w:tcW w:w="1148" w:type="dxa"/>
            <w:vAlign w:val="center"/>
          </w:tcPr>
          <w:p w14:paraId="581EBAB5">
            <w:pPr>
              <w:pStyle w:val="84"/>
              <w:ind w:left="223" w:hanging="218" w:hangingChars="106"/>
              <w:jc w:val="center"/>
              <w:rPr>
                <w:rFonts w:ascii="宋体" w:hAnsi="宋体" w:cs="宋体"/>
                <w:color w:val="auto"/>
                <w:szCs w:val="21"/>
                <w:highlight w:val="none"/>
              </w:rPr>
            </w:pPr>
          </w:p>
        </w:tc>
        <w:tc>
          <w:tcPr>
            <w:tcW w:w="1148" w:type="dxa"/>
            <w:vAlign w:val="center"/>
          </w:tcPr>
          <w:p w14:paraId="502900C0">
            <w:pPr>
              <w:pStyle w:val="84"/>
              <w:ind w:left="223" w:hanging="218" w:hangingChars="106"/>
              <w:jc w:val="center"/>
              <w:rPr>
                <w:rFonts w:ascii="宋体" w:hAnsi="宋体" w:cs="宋体"/>
                <w:color w:val="auto"/>
                <w:szCs w:val="21"/>
                <w:highlight w:val="none"/>
              </w:rPr>
            </w:pPr>
          </w:p>
        </w:tc>
        <w:tc>
          <w:tcPr>
            <w:tcW w:w="1148" w:type="dxa"/>
            <w:vAlign w:val="center"/>
          </w:tcPr>
          <w:p w14:paraId="38A93701">
            <w:pPr>
              <w:pStyle w:val="84"/>
              <w:ind w:left="223" w:hanging="218" w:hangingChars="106"/>
              <w:jc w:val="center"/>
              <w:rPr>
                <w:rFonts w:ascii="宋体" w:hAnsi="宋体" w:cs="宋体"/>
                <w:color w:val="auto"/>
                <w:szCs w:val="21"/>
                <w:highlight w:val="none"/>
              </w:rPr>
            </w:pPr>
          </w:p>
        </w:tc>
        <w:tc>
          <w:tcPr>
            <w:tcW w:w="1148" w:type="dxa"/>
            <w:vAlign w:val="center"/>
          </w:tcPr>
          <w:p w14:paraId="35A0C3CF">
            <w:pPr>
              <w:pStyle w:val="84"/>
              <w:ind w:left="223" w:hanging="218" w:hangingChars="106"/>
              <w:jc w:val="center"/>
              <w:rPr>
                <w:rFonts w:ascii="宋体" w:hAnsi="宋体" w:cs="宋体"/>
                <w:color w:val="auto"/>
                <w:szCs w:val="21"/>
                <w:highlight w:val="none"/>
              </w:rPr>
            </w:pPr>
          </w:p>
        </w:tc>
        <w:tc>
          <w:tcPr>
            <w:tcW w:w="850" w:type="dxa"/>
            <w:vAlign w:val="center"/>
          </w:tcPr>
          <w:p w14:paraId="6A0B9B93">
            <w:pPr>
              <w:pStyle w:val="84"/>
              <w:ind w:left="223" w:hanging="218" w:hangingChars="106"/>
              <w:jc w:val="center"/>
              <w:rPr>
                <w:rFonts w:ascii="宋体" w:hAnsi="宋体" w:cs="宋体"/>
                <w:color w:val="auto"/>
                <w:szCs w:val="21"/>
                <w:highlight w:val="none"/>
              </w:rPr>
            </w:pPr>
          </w:p>
        </w:tc>
        <w:tc>
          <w:tcPr>
            <w:tcW w:w="1679" w:type="dxa"/>
            <w:vAlign w:val="center"/>
          </w:tcPr>
          <w:p w14:paraId="17CF4C9E">
            <w:pPr>
              <w:pStyle w:val="84"/>
              <w:ind w:left="223" w:hanging="218" w:hangingChars="106"/>
              <w:jc w:val="center"/>
              <w:rPr>
                <w:rFonts w:ascii="宋体" w:hAnsi="宋体" w:cs="宋体"/>
                <w:color w:val="auto"/>
                <w:szCs w:val="21"/>
                <w:highlight w:val="none"/>
              </w:rPr>
            </w:pPr>
          </w:p>
        </w:tc>
      </w:tr>
      <w:tr w14:paraId="25BF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858D1A3">
            <w:pPr>
              <w:pStyle w:val="84"/>
              <w:ind w:left="223" w:hanging="218" w:hangingChars="106"/>
              <w:jc w:val="center"/>
              <w:rPr>
                <w:rFonts w:ascii="宋体" w:hAnsi="宋体" w:cs="宋体"/>
                <w:color w:val="auto"/>
                <w:szCs w:val="21"/>
                <w:highlight w:val="none"/>
              </w:rPr>
            </w:pPr>
          </w:p>
        </w:tc>
        <w:tc>
          <w:tcPr>
            <w:tcW w:w="829" w:type="dxa"/>
            <w:vAlign w:val="center"/>
          </w:tcPr>
          <w:p w14:paraId="650CD864">
            <w:pPr>
              <w:pStyle w:val="84"/>
              <w:ind w:left="223" w:hanging="218" w:hangingChars="106"/>
              <w:jc w:val="center"/>
              <w:rPr>
                <w:rFonts w:ascii="宋体" w:hAnsi="宋体" w:cs="宋体"/>
                <w:color w:val="auto"/>
                <w:szCs w:val="21"/>
                <w:highlight w:val="none"/>
              </w:rPr>
            </w:pPr>
          </w:p>
        </w:tc>
        <w:tc>
          <w:tcPr>
            <w:tcW w:w="816" w:type="dxa"/>
            <w:vAlign w:val="center"/>
          </w:tcPr>
          <w:p w14:paraId="52606624">
            <w:pPr>
              <w:pStyle w:val="84"/>
              <w:ind w:left="223" w:hanging="218" w:hangingChars="106"/>
              <w:jc w:val="center"/>
              <w:rPr>
                <w:rFonts w:ascii="宋体" w:hAnsi="宋体" w:cs="宋体"/>
                <w:color w:val="auto"/>
                <w:szCs w:val="21"/>
                <w:highlight w:val="none"/>
              </w:rPr>
            </w:pPr>
          </w:p>
        </w:tc>
        <w:tc>
          <w:tcPr>
            <w:tcW w:w="1148" w:type="dxa"/>
            <w:vAlign w:val="center"/>
          </w:tcPr>
          <w:p w14:paraId="1E84556E">
            <w:pPr>
              <w:pStyle w:val="84"/>
              <w:ind w:left="223" w:hanging="218" w:hangingChars="106"/>
              <w:jc w:val="center"/>
              <w:rPr>
                <w:rFonts w:ascii="宋体" w:hAnsi="宋体" w:cs="宋体"/>
                <w:color w:val="auto"/>
                <w:szCs w:val="21"/>
                <w:highlight w:val="none"/>
              </w:rPr>
            </w:pPr>
          </w:p>
        </w:tc>
        <w:tc>
          <w:tcPr>
            <w:tcW w:w="1148" w:type="dxa"/>
            <w:vAlign w:val="center"/>
          </w:tcPr>
          <w:p w14:paraId="20496336">
            <w:pPr>
              <w:pStyle w:val="84"/>
              <w:ind w:left="223" w:hanging="218" w:hangingChars="106"/>
              <w:jc w:val="center"/>
              <w:rPr>
                <w:rFonts w:ascii="宋体" w:hAnsi="宋体" w:cs="宋体"/>
                <w:color w:val="auto"/>
                <w:szCs w:val="21"/>
                <w:highlight w:val="none"/>
              </w:rPr>
            </w:pPr>
          </w:p>
        </w:tc>
        <w:tc>
          <w:tcPr>
            <w:tcW w:w="1148" w:type="dxa"/>
            <w:vAlign w:val="center"/>
          </w:tcPr>
          <w:p w14:paraId="738FFEF1">
            <w:pPr>
              <w:pStyle w:val="84"/>
              <w:ind w:left="223" w:hanging="218" w:hangingChars="106"/>
              <w:jc w:val="center"/>
              <w:rPr>
                <w:rFonts w:ascii="宋体" w:hAnsi="宋体" w:cs="宋体"/>
                <w:color w:val="auto"/>
                <w:szCs w:val="21"/>
                <w:highlight w:val="none"/>
              </w:rPr>
            </w:pPr>
          </w:p>
        </w:tc>
        <w:tc>
          <w:tcPr>
            <w:tcW w:w="1148" w:type="dxa"/>
            <w:vAlign w:val="center"/>
          </w:tcPr>
          <w:p w14:paraId="01B7B7B2">
            <w:pPr>
              <w:pStyle w:val="84"/>
              <w:ind w:left="223" w:hanging="218" w:hangingChars="106"/>
              <w:jc w:val="center"/>
              <w:rPr>
                <w:rFonts w:ascii="宋体" w:hAnsi="宋体" w:cs="宋体"/>
                <w:color w:val="auto"/>
                <w:szCs w:val="21"/>
                <w:highlight w:val="none"/>
              </w:rPr>
            </w:pPr>
          </w:p>
        </w:tc>
        <w:tc>
          <w:tcPr>
            <w:tcW w:w="850" w:type="dxa"/>
            <w:vAlign w:val="center"/>
          </w:tcPr>
          <w:p w14:paraId="622EE4F6">
            <w:pPr>
              <w:pStyle w:val="84"/>
              <w:ind w:left="223" w:hanging="218" w:hangingChars="106"/>
              <w:jc w:val="center"/>
              <w:rPr>
                <w:rFonts w:ascii="宋体" w:hAnsi="宋体" w:cs="宋体"/>
                <w:color w:val="auto"/>
                <w:szCs w:val="21"/>
                <w:highlight w:val="none"/>
              </w:rPr>
            </w:pPr>
          </w:p>
        </w:tc>
        <w:tc>
          <w:tcPr>
            <w:tcW w:w="1679" w:type="dxa"/>
            <w:vAlign w:val="center"/>
          </w:tcPr>
          <w:p w14:paraId="33A7AD98">
            <w:pPr>
              <w:pStyle w:val="84"/>
              <w:ind w:left="223" w:hanging="218" w:hangingChars="106"/>
              <w:jc w:val="center"/>
              <w:rPr>
                <w:rFonts w:ascii="宋体" w:hAnsi="宋体" w:cs="宋体"/>
                <w:color w:val="auto"/>
                <w:szCs w:val="21"/>
                <w:highlight w:val="none"/>
              </w:rPr>
            </w:pPr>
          </w:p>
        </w:tc>
      </w:tr>
      <w:tr w14:paraId="71B5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36923F09">
            <w:pPr>
              <w:pStyle w:val="84"/>
              <w:spacing w:before="120" w:beforeLines="50" w:after="120" w:afterLines="50" w:line="360" w:lineRule="auto"/>
              <w:rPr>
                <w:rFonts w:ascii="宋体" w:hAnsi="宋体" w:cs="宋体"/>
                <w:color w:val="auto"/>
                <w:szCs w:val="21"/>
                <w:highlight w:val="none"/>
              </w:rPr>
            </w:pPr>
            <w:r>
              <w:rPr>
                <w:rFonts w:hint="eastAsia" w:ascii="宋体" w:hAnsi="宋体" w:cs="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773A59EB">
      <w:pPr>
        <w:tabs>
          <w:tab w:val="left" w:pos="0"/>
        </w:tabs>
        <w:spacing w:line="360" w:lineRule="auto"/>
        <w:ind w:right="-210"/>
        <w:rPr>
          <w:rFonts w:ascii="宋体" w:hAnsi="宋体" w:eastAsia="宋体" w:cs="宋体"/>
          <w:color w:val="auto"/>
          <w:highlight w:val="none"/>
        </w:rPr>
      </w:pPr>
      <w:r>
        <w:rPr>
          <w:rFonts w:hint="eastAsia" w:ascii="宋体" w:hAnsi="宋体" w:eastAsia="宋体" w:cs="宋体"/>
          <w:color w:val="auto"/>
          <w:highlight w:val="none"/>
        </w:rPr>
        <w:t>【备注：附各岗位人员资格证件（如有）等。以上扫描件均为原件的扫描件】</w:t>
      </w:r>
    </w:p>
    <w:p w14:paraId="028F2C95">
      <w:pPr>
        <w:autoSpaceDE w:val="0"/>
        <w:autoSpaceDN w:val="0"/>
        <w:spacing w:line="360" w:lineRule="auto"/>
        <w:ind w:left="4253" w:leftChars="1950" w:hanging="236" w:hangingChars="100"/>
        <w:rPr>
          <w:rFonts w:hint="eastAsia" w:ascii="宋体" w:hAnsi="宋体" w:eastAsia="宋体" w:cs="宋体"/>
          <w:color w:val="auto"/>
          <w:kern w:val="0"/>
          <w:sz w:val="24"/>
          <w:highlight w:val="none"/>
        </w:rPr>
      </w:pPr>
    </w:p>
    <w:p w14:paraId="5AD6854B">
      <w:pPr>
        <w:autoSpaceDE w:val="0"/>
        <w:autoSpaceDN w:val="0"/>
        <w:spacing w:line="360" w:lineRule="auto"/>
        <w:ind w:left="4253" w:leftChars="1950" w:hanging="236" w:hangingChars="1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E1757">
      <w:pPr>
        <w:adjustRightInd w:val="0"/>
        <w:snapToGrid w:val="0"/>
        <w:spacing w:line="520" w:lineRule="exact"/>
        <w:ind w:firstLine="4012" w:firstLineChars="17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期：  年  月   日</w:t>
      </w:r>
    </w:p>
    <w:p w14:paraId="400E2B47">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63EFD91C">
      <w:pPr>
        <w:snapToGrid w:val="0"/>
        <w:spacing w:before="156" w:beforeLines="50" w:after="50"/>
        <w:jc w:val="left"/>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其他文书、文件格式</w:t>
      </w:r>
    </w:p>
    <w:p w14:paraId="400D960A">
      <w:pPr>
        <w:spacing w:line="360" w:lineRule="auto"/>
        <w:jc w:val="center"/>
        <w:rPr>
          <w:rFonts w:ascii="宋体" w:hAnsi="宋体" w:eastAsia="宋体" w:cs="仿宋_GB2312"/>
          <w:color w:val="auto"/>
          <w:sz w:val="24"/>
          <w:szCs w:val="24"/>
          <w:highlight w:val="none"/>
        </w:rPr>
      </w:pPr>
    </w:p>
    <w:p w14:paraId="086789F2">
      <w:pPr>
        <w:spacing w:line="360" w:lineRule="auto"/>
        <w:jc w:val="center"/>
        <w:rPr>
          <w:rFonts w:ascii="宋体" w:hAnsi="宋体" w:eastAsia="宋体" w:cs="Times New Roman"/>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E99BCD1">
      <w:pPr>
        <w:spacing w:line="360" w:lineRule="auto"/>
        <w:ind w:firstLine="472" w:firstLineChars="200"/>
        <w:contextualSpacing/>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一、质疑供应商基本信息：</w:t>
      </w:r>
    </w:p>
    <w:p w14:paraId="3EFEA1FF">
      <w:pPr>
        <w:spacing w:line="360" w:lineRule="auto"/>
        <w:ind w:firstLine="472" w:firstLineChars="200"/>
        <w:contextualSpacing/>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质疑供应商：</w:t>
      </w:r>
      <w:r>
        <w:rPr>
          <w:rFonts w:hint="eastAsia" w:ascii="宋体" w:hAnsi="宋体" w:eastAsia="宋体" w:cs="Times New Roman"/>
          <w:bCs/>
          <w:color w:val="auto"/>
          <w:kern w:val="0"/>
          <w:sz w:val="24"/>
          <w:szCs w:val="24"/>
          <w:highlight w:val="none"/>
          <w:u w:val="single"/>
        </w:rPr>
        <w:t xml:space="preserve">                                       </w:t>
      </w:r>
    </w:p>
    <w:p w14:paraId="4686EAA6">
      <w:pPr>
        <w:spacing w:line="360" w:lineRule="auto"/>
        <w:ind w:firstLine="472" w:firstLineChars="200"/>
        <w:contextualSpacing/>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4B3D1CE1">
      <w:pPr>
        <w:spacing w:line="360" w:lineRule="auto"/>
        <w:ind w:firstLine="472" w:firstLineChars="200"/>
        <w:contextualSpacing/>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联系电话</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41C541F1">
      <w:pPr>
        <w:spacing w:line="360" w:lineRule="auto"/>
        <w:ind w:firstLine="472" w:firstLineChars="200"/>
        <w:contextualSpacing/>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授权代表：</w:t>
      </w:r>
      <w:r>
        <w:rPr>
          <w:rFonts w:hint="eastAsia" w:ascii="宋体" w:hAnsi="宋体" w:eastAsia="宋体" w:cs="Times New Roman"/>
          <w:bCs/>
          <w:color w:val="auto"/>
          <w:kern w:val="0"/>
          <w:sz w:val="24"/>
          <w:szCs w:val="24"/>
          <w:highlight w:val="none"/>
          <w:u w:val="single"/>
        </w:rPr>
        <w:t xml:space="preserve">                      </w:t>
      </w:r>
    </w:p>
    <w:p w14:paraId="179BA79D">
      <w:pPr>
        <w:spacing w:line="360" w:lineRule="auto"/>
        <w:ind w:firstLine="472" w:firstLineChars="200"/>
        <w:contextualSpacing/>
        <w:rPr>
          <w:rFonts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5EDBE403">
      <w:pPr>
        <w:spacing w:line="360" w:lineRule="auto"/>
        <w:ind w:firstLine="472" w:firstLineChars="200"/>
        <w:contextualSpacing/>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5B8C5466">
      <w:pPr>
        <w:spacing w:line="360" w:lineRule="auto"/>
        <w:ind w:firstLine="472" w:firstLineChars="200"/>
        <w:contextualSpacing/>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二、质疑项目基本情况：</w:t>
      </w:r>
    </w:p>
    <w:p w14:paraId="0FC2D38B">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质疑</w:t>
      </w:r>
      <w:r>
        <w:rPr>
          <w:rFonts w:hint="eastAsia" w:ascii="宋体" w:hAnsi="宋体" w:eastAsia="宋体" w:cs="Times New Roman"/>
          <w:color w:val="auto"/>
          <w:kern w:val="0"/>
          <w:sz w:val="24"/>
          <w:szCs w:val="24"/>
          <w:highlight w:val="none"/>
        </w:rPr>
        <w:t>项目的名称：</w:t>
      </w:r>
      <w:r>
        <w:rPr>
          <w:rFonts w:hint="eastAsia" w:ascii="宋体" w:hAnsi="宋体" w:eastAsia="宋体" w:cs="Times New Roman"/>
          <w:bCs/>
          <w:color w:val="auto"/>
          <w:kern w:val="0"/>
          <w:sz w:val="24"/>
          <w:szCs w:val="24"/>
          <w:highlight w:val="none"/>
          <w:u w:val="single"/>
        </w:rPr>
        <w:t xml:space="preserve">                                     </w:t>
      </w:r>
    </w:p>
    <w:p w14:paraId="0ABCF9FB">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质疑</w:t>
      </w:r>
      <w:r>
        <w:rPr>
          <w:rFonts w:hint="eastAsia" w:ascii="宋体" w:hAnsi="宋体" w:eastAsia="宋体" w:cs="Times New Roman"/>
          <w:color w:val="auto"/>
          <w:kern w:val="0"/>
          <w:sz w:val="24"/>
          <w:szCs w:val="24"/>
          <w:highlight w:val="none"/>
        </w:rPr>
        <w:t>项目的编号：</w:t>
      </w:r>
      <w:r>
        <w:rPr>
          <w:rFonts w:hint="eastAsia" w:ascii="宋体" w:hAnsi="宋体" w:eastAsia="宋体" w:cs="Times New Roman"/>
          <w:bCs/>
          <w:color w:val="auto"/>
          <w:kern w:val="0"/>
          <w:sz w:val="24"/>
          <w:szCs w:val="24"/>
          <w:highlight w:val="none"/>
          <w:u w:val="single"/>
        </w:rPr>
        <w:t xml:space="preserve">                                     </w:t>
      </w:r>
    </w:p>
    <w:p w14:paraId="3D66D779">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采购人名称：</w:t>
      </w:r>
      <w:r>
        <w:rPr>
          <w:rFonts w:hint="eastAsia" w:ascii="宋体" w:hAnsi="宋体" w:eastAsia="宋体" w:cs="Times New Roman"/>
          <w:bCs/>
          <w:color w:val="auto"/>
          <w:kern w:val="0"/>
          <w:sz w:val="24"/>
          <w:szCs w:val="24"/>
          <w:highlight w:val="none"/>
          <w:u w:val="single"/>
        </w:rPr>
        <w:t xml:space="preserve">                                         </w:t>
      </w:r>
    </w:p>
    <w:p w14:paraId="50543C6F">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w:t>
      </w:r>
    </w:p>
    <w:p w14:paraId="5183C342">
      <w:pPr>
        <w:spacing w:line="360" w:lineRule="auto"/>
        <w:ind w:left="24" w:leftChars="12" w:firstLine="347" w:firstLineChars="14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□采购文件   采购文件获取日期：</w:t>
      </w:r>
      <w:r>
        <w:rPr>
          <w:rFonts w:hint="eastAsia" w:ascii="宋体" w:hAnsi="宋体" w:eastAsia="宋体" w:cs="Times New Roman"/>
          <w:bCs/>
          <w:color w:val="auto"/>
          <w:kern w:val="0"/>
          <w:sz w:val="24"/>
          <w:szCs w:val="24"/>
          <w:highlight w:val="none"/>
          <w:u w:val="single"/>
        </w:rPr>
        <w:t xml:space="preserve">                                   </w:t>
      </w:r>
    </w:p>
    <w:p w14:paraId="574ADD9D">
      <w:pPr>
        <w:spacing w:line="360" w:lineRule="auto"/>
        <w:ind w:left="24" w:leftChars="12" w:firstLine="347" w:firstLineChars="14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□采购过程   </w:t>
      </w:r>
    </w:p>
    <w:p w14:paraId="1CDC80D9">
      <w:pPr>
        <w:spacing w:line="360" w:lineRule="auto"/>
        <w:ind w:left="24" w:leftChars="12" w:firstLine="347" w:firstLineChars="147"/>
        <w:contextualSpacing/>
        <w:rPr>
          <w:rFonts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□成交结果   </w:t>
      </w:r>
    </w:p>
    <w:p w14:paraId="70A9FB8D">
      <w:pPr>
        <w:spacing w:line="360" w:lineRule="auto"/>
        <w:ind w:left="24" w:leftChars="12" w:firstLine="463" w:firstLineChars="196"/>
        <w:contextualSpacing/>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三、质疑事项具体内容</w:t>
      </w:r>
    </w:p>
    <w:p w14:paraId="3AF11706">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质疑事项1：</w:t>
      </w:r>
      <w:r>
        <w:rPr>
          <w:rFonts w:hint="eastAsia" w:ascii="宋体" w:hAnsi="宋体" w:eastAsia="宋体" w:cs="Times New Roman"/>
          <w:bCs/>
          <w:color w:val="auto"/>
          <w:kern w:val="0"/>
          <w:sz w:val="24"/>
          <w:szCs w:val="24"/>
          <w:highlight w:val="none"/>
          <w:u w:val="single"/>
        </w:rPr>
        <w:t xml:space="preserve">                                                          </w:t>
      </w:r>
    </w:p>
    <w:p w14:paraId="043E1498">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事实依据：</w:t>
      </w:r>
      <w:r>
        <w:rPr>
          <w:rFonts w:hint="eastAsia" w:ascii="宋体" w:hAnsi="宋体" w:eastAsia="宋体" w:cs="Times New Roman"/>
          <w:bCs/>
          <w:color w:val="auto"/>
          <w:kern w:val="0"/>
          <w:sz w:val="24"/>
          <w:szCs w:val="24"/>
          <w:highlight w:val="none"/>
          <w:u w:val="single"/>
        </w:rPr>
        <w:t xml:space="preserve">                                                            </w:t>
      </w:r>
    </w:p>
    <w:p w14:paraId="1DCF87E6">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法律依据：</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rPr>
        <w:t xml:space="preserve">    </w:t>
      </w:r>
    </w:p>
    <w:p w14:paraId="07EF2568">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质疑事项2</w:t>
      </w:r>
    </w:p>
    <w:p w14:paraId="023ECEDB">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p>
    <w:p w14:paraId="2CD30169">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四、与质疑事项相关的质疑请求：</w:t>
      </w:r>
    </w:p>
    <w:p w14:paraId="701AE9C5">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请求：</w:t>
      </w:r>
      <w:r>
        <w:rPr>
          <w:rFonts w:hint="eastAsia" w:ascii="宋体" w:hAnsi="宋体" w:eastAsia="宋体" w:cs="Times New Roman"/>
          <w:bCs/>
          <w:color w:val="auto"/>
          <w:kern w:val="0"/>
          <w:sz w:val="24"/>
          <w:szCs w:val="24"/>
          <w:highlight w:val="none"/>
          <w:u w:val="single"/>
        </w:rPr>
        <w:t xml:space="preserve">                                                                </w:t>
      </w:r>
    </w:p>
    <w:p w14:paraId="34AE7E48">
      <w:pPr>
        <w:spacing w:line="360" w:lineRule="auto"/>
        <w:ind w:left="24" w:leftChars="12" w:firstLine="347" w:firstLineChars="147"/>
        <w:contextualSpacing/>
        <w:rPr>
          <w:rFonts w:ascii="宋体" w:hAnsi="宋体" w:eastAsia="宋体" w:cs="Times New Roman"/>
          <w:color w:val="auto"/>
          <w:kern w:val="0"/>
          <w:sz w:val="24"/>
          <w:szCs w:val="24"/>
          <w:highlight w:val="none"/>
        </w:rPr>
      </w:pPr>
    </w:p>
    <w:p w14:paraId="0500D54C">
      <w:pPr>
        <w:spacing w:line="360" w:lineRule="auto"/>
        <w:ind w:left="24" w:leftChars="12" w:firstLine="465" w:firstLineChars="197"/>
        <w:contextualSpacing/>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签字（签章）：                                       公章：</w:t>
      </w:r>
    </w:p>
    <w:p w14:paraId="2BCB2FB4">
      <w:pPr>
        <w:spacing w:line="360" w:lineRule="auto"/>
        <w:ind w:firstLine="472" w:firstLineChars="200"/>
        <w:contextualSpacing/>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日期：</w:t>
      </w:r>
    </w:p>
    <w:p w14:paraId="2E7F3273">
      <w:pPr>
        <w:spacing w:line="360" w:lineRule="auto"/>
        <w:contextualSpacing/>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说明：</w:t>
      </w:r>
    </w:p>
    <w:p w14:paraId="08F66038">
      <w:pPr>
        <w:spacing w:line="360" w:lineRule="auto"/>
        <w:ind w:left="24" w:leftChars="12" w:firstLine="347" w:firstLineChars="147"/>
        <w:contextualSpacing/>
        <w:rPr>
          <w:rFonts w:ascii="宋体" w:hAnsi="宋体" w:eastAsia="宋体" w:cs="Times New Roman"/>
          <w:b/>
          <w:bCs/>
          <w:color w:val="auto"/>
          <w:kern w:val="0"/>
          <w:sz w:val="24"/>
          <w:szCs w:val="24"/>
          <w:highlight w:val="none"/>
        </w:rPr>
      </w:pPr>
      <w:r>
        <w:rPr>
          <w:rFonts w:hint="eastAsia" w:ascii="宋体" w:hAnsi="宋体" w:eastAsia="宋体" w:cs="Times New Roman"/>
          <w:b/>
          <w:color w:val="auto"/>
          <w:kern w:val="0"/>
          <w:sz w:val="24"/>
          <w:szCs w:val="24"/>
          <w:highlight w:val="none"/>
        </w:rPr>
        <w:t>1.供应商提出质疑时，应提交质疑函和必要的证明材料</w:t>
      </w:r>
      <w:r>
        <w:rPr>
          <w:rFonts w:hint="eastAsia" w:ascii="宋体" w:hAnsi="宋体" w:eastAsia="宋体" w:cs="Times New Roman"/>
          <w:b/>
          <w:bCs/>
          <w:color w:val="auto"/>
          <w:kern w:val="0"/>
          <w:sz w:val="24"/>
          <w:szCs w:val="24"/>
          <w:highlight w:val="none"/>
        </w:rPr>
        <w:t>。</w:t>
      </w:r>
    </w:p>
    <w:p w14:paraId="602521C4">
      <w:pPr>
        <w:spacing w:line="360" w:lineRule="auto"/>
        <w:ind w:left="24" w:leftChars="12" w:firstLine="347" w:firstLineChars="147"/>
        <w:contextualSpacing/>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361FF8">
      <w:pPr>
        <w:spacing w:line="360" w:lineRule="auto"/>
        <w:ind w:left="24" w:leftChars="12" w:firstLine="347" w:firstLineChars="147"/>
        <w:contextualSpacing/>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3.质疑函的质疑事项应具体、明确，并有必要的事实依据和法律依据。</w:t>
      </w:r>
    </w:p>
    <w:p w14:paraId="03FE2B2A">
      <w:pPr>
        <w:spacing w:line="360" w:lineRule="auto"/>
        <w:ind w:left="24" w:leftChars="12" w:firstLine="347" w:firstLineChars="147"/>
        <w:contextualSpacing/>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4.质疑函的质疑请求应与质疑事项相关。</w:t>
      </w:r>
    </w:p>
    <w:p w14:paraId="43F53684">
      <w:pPr>
        <w:spacing w:line="360" w:lineRule="auto"/>
        <w:ind w:left="24" w:leftChars="12" w:firstLine="347" w:firstLineChars="147"/>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5.质疑供应商为法人或者其他组织的，质疑函应由法定代表人、主要负责人，或者其授权代表签字或者盖章，并加盖公章。</w:t>
      </w:r>
    </w:p>
    <w:p w14:paraId="42F9352C">
      <w:pPr>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br w:type="page"/>
      </w:r>
    </w:p>
    <w:p w14:paraId="65CFB703">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54A88F9">
      <w:pPr>
        <w:snapToGrid w:val="0"/>
        <w:spacing w:line="360" w:lineRule="auto"/>
        <w:ind w:firstLine="47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一、投诉相关主体基本情况：</w:t>
      </w:r>
    </w:p>
    <w:p w14:paraId="1CB71B45">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供应商：</w:t>
      </w:r>
      <w:r>
        <w:rPr>
          <w:rFonts w:hint="eastAsia" w:ascii="宋体" w:hAnsi="宋体" w:eastAsia="宋体" w:cs="Times New Roman"/>
          <w:bCs/>
          <w:color w:val="auto"/>
          <w:kern w:val="0"/>
          <w:sz w:val="24"/>
          <w:szCs w:val="24"/>
          <w:highlight w:val="none"/>
          <w:u w:val="single"/>
        </w:rPr>
        <w:t xml:space="preserve">                                                               </w:t>
      </w:r>
    </w:p>
    <w:p w14:paraId="12500F99">
      <w:pPr>
        <w:snapToGrid w:val="0"/>
        <w:spacing w:line="360" w:lineRule="auto"/>
        <w:ind w:firstLine="472" w:firstLineChars="200"/>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5AF25659">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法定代表人/主要负责人：</w:t>
      </w:r>
      <w:r>
        <w:rPr>
          <w:rFonts w:hint="eastAsia" w:ascii="宋体" w:hAnsi="宋体" w:eastAsia="宋体" w:cs="Times New Roman"/>
          <w:bCs/>
          <w:color w:val="auto"/>
          <w:kern w:val="0"/>
          <w:sz w:val="24"/>
          <w:szCs w:val="24"/>
          <w:highlight w:val="none"/>
          <w:u w:val="single"/>
        </w:rPr>
        <w:t xml:space="preserve">                                                </w:t>
      </w:r>
    </w:p>
    <w:p w14:paraId="32067270">
      <w:pPr>
        <w:snapToGrid w:val="0"/>
        <w:spacing w:line="360" w:lineRule="auto"/>
        <w:ind w:firstLine="472" w:firstLineChars="200"/>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联系电话</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27529828">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授权代表：</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0746BC03">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4A8DF93F">
      <w:pPr>
        <w:snapToGrid w:val="0"/>
        <w:spacing w:line="360" w:lineRule="auto"/>
        <w:ind w:firstLine="472" w:firstLineChars="200"/>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7DAF1058">
      <w:pPr>
        <w:snapToGrid w:val="0"/>
        <w:spacing w:line="360" w:lineRule="auto"/>
        <w:ind w:firstLine="472" w:firstLineChars="200"/>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被投诉人1：</w:t>
      </w:r>
    </w:p>
    <w:p w14:paraId="5E781FF8">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u w:val="single"/>
        </w:rPr>
        <w:t xml:space="preserve">                                                            </w:t>
      </w:r>
    </w:p>
    <w:p w14:paraId="2B9D2DA9">
      <w:pPr>
        <w:snapToGrid w:val="0"/>
        <w:spacing w:line="360" w:lineRule="auto"/>
        <w:ind w:firstLine="472" w:firstLineChars="200"/>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3BB65E57">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516003A1">
      <w:pPr>
        <w:snapToGrid w:val="0"/>
        <w:spacing w:line="360" w:lineRule="auto"/>
        <w:ind w:firstLine="472" w:firstLineChars="200"/>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被投诉人2：</w:t>
      </w:r>
    </w:p>
    <w:p w14:paraId="3B360448">
      <w:pPr>
        <w:snapToGrid w:val="0"/>
        <w:spacing w:line="360" w:lineRule="auto"/>
        <w:ind w:firstLine="472" w:firstLineChars="200"/>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w:t>
      </w:r>
    </w:p>
    <w:p w14:paraId="2C47A5AC">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相关供应商：</w:t>
      </w:r>
      <w:r>
        <w:rPr>
          <w:rFonts w:hint="eastAsia" w:ascii="宋体" w:hAnsi="宋体" w:eastAsia="宋体" w:cs="Times New Roman"/>
          <w:bCs/>
          <w:color w:val="auto"/>
          <w:kern w:val="0"/>
          <w:sz w:val="24"/>
          <w:szCs w:val="24"/>
          <w:highlight w:val="none"/>
          <w:u w:val="single"/>
        </w:rPr>
        <w:t xml:space="preserve">                                                           </w:t>
      </w:r>
    </w:p>
    <w:p w14:paraId="6CCC9423">
      <w:pPr>
        <w:snapToGrid w:val="0"/>
        <w:spacing w:line="360" w:lineRule="auto"/>
        <w:ind w:firstLine="472" w:firstLineChars="200"/>
        <w:rPr>
          <w:rFonts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01E6CEDE">
      <w:pPr>
        <w:snapToGrid w:val="0"/>
        <w:spacing w:line="360" w:lineRule="auto"/>
        <w:ind w:firstLine="472" w:firstLineChars="200"/>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1B1D0468">
      <w:pPr>
        <w:snapToGrid w:val="0"/>
        <w:spacing w:line="360" w:lineRule="auto"/>
        <w:ind w:firstLine="47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二、投诉项目基本情况：</w:t>
      </w:r>
    </w:p>
    <w:p w14:paraId="266869A8">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color w:val="auto"/>
          <w:kern w:val="0"/>
          <w:sz w:val="24"/>
          <w:szCs w:val="24"/>
          <w:highlight w:val="none"/>
        </w:rPr>
        <w:t>项目的名称：</w:t>
      </w:r>
      <w:r>
        <w:rPr>
          <w:rFonts w:hint="eastAsia" w:ascii="宋体" w:hAnsi="宋体" w:eastAsia="宋体" w:cs="Times New Roman"/>
          <w:bCs/>
          <w:color w:val="auto"/>
          <w:kern w:val="0"/>
          <w:sz w:val="24"/>
          <w:szCs w:val="24"/>
          <w:highlight w:val="none"/>
          <w:u w:val="single"/>
        </w:rPr>
        <w:t xml:space="preserve">                                                       </w:t>
      </w:r>
    </w:p>
    <w:p w14:paraId="0CCF35A7">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color w:val="auto"/>
          <w:kern w:val="0"/>
          <w:sz w:val="24"/>
          <w:szCs w:val="24"/>
          <w:highlight w:val="none"/>
        </w:rPr>
        <w:t>项目的编号：</w:t>
      </w:r>
      <w:r>
        <w:rPr>
          <w:rFonts w:hint="eastAsia" w:ascii="宋体" w:hAnsi="宋体" w:eastAsia="宋体" w:cs="Times New Roman"/>
          <w:bCs/>
          <w:color w:val="auto"/>
          <w:kern w:val="0"/>
          <w:sz w:val="24"/>
          <w:szCs w:val="24"/>
          <w:highlight w:val="none"/>
          <w:u w:val="single"/>
        </w:rPr>
        <w:t xml:space="preserve">                                          </w:t>
      </w:r>
    </w:p>
    <w:p w14:paraId="28B46DDC">
      <w:pPr>
        <w:spacing w:line="360" w:lineRule="auto"/>
        <w:ind w:left="24" w:leftChars="12" w:firstLine="465" w:firstLineChars="197"/>
        <w:rPr>
          <w:rFonts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采购人名称：</w:t>
      </w:r>
      <w:r>
        <w:rPr>
          <w:rFonts w:hint="eastAsia" w:ascii="宋体" w:hAnsi="宋体" w:eastAsia="宋体" w:cs="Times New Roman"/>
          <w:bCs/>
          <w:color w:val="auto"/>
          <w:kern w:val="0"/>
          <w:sz w:val="24"/>
          <w:szCs w:val="24"/>
          <w:highlight w:val="none"/>
          <w:u w:val="single"/>
        </w:rPr>
        <w:t xml:space="preserve">                                                           </w:t>
      </w:r>
    </w:p>
    <w:p w14:paraId="0F15EC32">
      <w:pPr>
        <w:spacing w:line="360" w:lineRule="auto"/>
        <w:ind w:left="24" w:leftChars="12" w:firstLine="465" w:firstLineChars="197"/>
        <w:rPr>
          <w:rFonts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代理机构名称：</w:t>
      </w:r>
      <w:r>
        <w:rPr>
          <w:rFonts w:hint="eastAsia" w:ascii="宋体" w:hAnsi="宋体" w:eastAsia="宋体" w:cs="Times New Roman"/>
          <w:bCs/>
          <w:color w:val="auto"/>
          <w:kern w:val="0"/>
          <w:sz w:val="24"/>
          <w:szCs w:val="24"/>
          <w:highlight w:val="none"/>
          <w:u w:val="single"/>
        </w:rPr>
        <w:t xml:space="preserve">                                                         </w:t>
      </w:r>
    </w:p>
    <w:p w14:paraId="6E702870">
      <w:pPr>
        <w:spacing w:line="360" w:lineRule="auto"/>
        <w:ind w:left="24" w:leftChars="12" w:firstLine="465" w:firstLineChars="197"/>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采购文件公告：</w:t>
      </w:r>
      <w:r>
        <w:rPr>
          <w:rFonts w:hint="eastAsia" w:ascii="宋体" w:hAnsi="宋体" w:eastAsia="宋体" w:cs="Times New Roman"/>
          <w:bCs/>
          <w:color w:val="auto"/>
          <w:kern w:val="0"/>
          <w:sz w:val="24"/>
          <w:szCs w:val="24"/>
          <w:highlight w:val="none"/>
          <w:u w:val="single"/>
        </w:rPr>
        <w:t>是/否</w:t>
      </w:r>
      <w:r>
        <w:rPr>
          <w:rFonts w:hint="eastAsia" w:ascii="宋体" w:hAnsi="宋体" w:eastAsia="宋体" w:cs="Times New Roman"/>
          <w:bCs/>
          <w:color w:val="auto"/>
          <w:kern w:val="0"/>
          <w:sz w:val="24"/>
          <w:szCs w:val="24"/>
          <w:highlight w:val="none"/>
        </w:rPr>
        <w:t>公告期限：</w:t>
      </w:r>
      <w:r>
        <w:rPr>
          <w:rFonts w:hint="eastAsia" w:ascii="宋体" w:hAnsi="宋体" w:eastAsia="宋体" w:cs="Times New Roman"/>
          <w:bCs/>
          <w:color w:val="auto"/>
          <w:kern w:val="0"/>
          <w:sz w:val="24"/>
          <w:szCs w:val="24"/>
          <w:highlight w:val="none"/>
          <w:u w:val="single"/>
        </w:rPr>
        <w:t xml:space="preserve">                                          </w:t>
      </w:r>
    </w:p>
    <w:p w14:paraId="0F69460B">
      <w:pPr>
        <w:spacing w:line="360" w:lineRule="auto"/>
        <w:ind w:left="24" w:leftChars="12" w:firstLine="465" w:firstLineChars="197"/>
        <w:rPr>
          <w:rFonts w:ascii="宋体" w:hAnsi="宋体" w:eastAsia="宋体" w:cs="Times New Roman"/>
          <w:b/>
          <w:color w:val="auto"/>
          <w:kern w:val="0"/>
          <w:sz w:val="24"/>
          <w:szCs w:val="24"/>
          <w:highlight w:val="none"/>
        </w:rPr>
      </w:pPr>
      <w:r>
        <w:rPr>
          <w:rFonts w:hint="eastAsia" w:ascii="宋体" w:hAnsi="宋体" w:eastAsia="宋体" w:cs="Times New Roman"/>
          <w:bCs/>
          <w:color w:val="auto"/>
          <w:kern w:val="0"/>
          <w:sz w:val="24"/>
          <w:szCs w:val="24"/>
          <w:highlight w:val="none"/>
        </w:rPr>
        <w:t>采购结果公告：</w:t>
      </w:r>
      <w:r>
        <w:rPr>
          <w:rFonts w:hint="eastAsia" w:ascii="宋体" w:hAnsi="宋体" w:eastAsia="宋体" w:cs="Times New Roman"/>
          <w:bCs/>
          <w:color w:val="auto"/>
          <w:kern w:val="0"/>
          <w:sz w:val="24"/>
          <w:szCs w:val="24"/>
          <w:highlight w:val="none"/>
          <w:u w:val="single"/>
        </w:rPr>
        <w:t>是/否</w:t>
      </w:r>
      <w:r>
        <w:rPr>
          <w:rFonts w:hint="eastAsia" w:ascii="宋体" w:hAnsi="宋体" w:eastAsia="宋体" w:cs="Times New Roman"/>
          <w:bCs/>
          <w:color w:val="auto"/>
          <w:kern w:val="0"/>
          <w:sz w:val="24"/>
          <w:szCs w:val="24"/>
          <w:highlight w:val="none"/>
        </w:rPr>
        <w:t>公告期限：</w:t>
      </w:r>
      <w:r>
        <w:rPr>
          <w:rFonts w:hint="eastAsia" w:ascii="宋体" w:hAnsi="宋体" w:eastAsia="宋体" w:cs="Times New Roman"/>
          <w:bCs/>
          <w:color w:val="auto"/>
          <w:kern w:val="0"/>
          <w:sz w:val="24"/>
          <w:szCs w:val="24"/>
          <w:highlight w:val="none"/>
          <w:u w:val="single"/>
        </w:rPr>
        <w:t xml:space="preserve">                                          </w:t>
      </w:r>
    </w:p>
    <w:p w14:paraId="41D17909">
      <w:pPr>
        <w:spacing w:line="360" w:lineRule="auto"/>
        <w:ind w:left="24" w:leftChars="12" w:firstLine="463" w:firstLineChars="196"/>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三、质疑基本情况</w:t>
      </w:r>
    </w:p>
    <w:p w14:paraId="5EAEDB70">
      <w:pPr>
        <w:spacing w:line="360" w:lineRule="auto"/>
        <w:ind w:firstLine="472"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投诉人于</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年</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月</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日，向</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提出质疑，质疑事项为：</w:t>
      </w:r>
    </w:p>
    <w:p w14:paraId="442E42DD">
      <w:pPr>
        <w:spacing w:line="360" w:lineRule="auto"/>
        <w:ind w:firstLine="241"/>
        <w:rPr>
          <w:rFonts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34998F1B">
      <w:pPr>
        <w:spacing w:line="360" w:lineRule="auto"/>
        <w:ind w:firstLine="241"/>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0EFEA742">
      <w:pPr>
        <w:spacing w:line="360" w:lineRule="auto"/>
        <w:ind w:firstLine="472" w:firstLineChars="200"/>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u w:val="single"/>
        </w:rPr>
        <w:t>采购人/代理机构</w:t>
      </w:r>
      <w:r>
        <w:rPr>
          <w:rFonts w:hint="eastAsia" w:ascii="宋体" w:hAnsi="宋体" w:eastAsia="宋体" w:cs="Times New Roman"/>
          <w:bCs/>
          <w:color w:val="auto"/>
          <w:kern w:val="0"/>
          <w:sz w:val="24"/>
          <w:szCs w:val="24"/>
          <w:highlight w:val="none"/>
        </w:rPr>
        <w:t>于</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年</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月</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日，</w:t>
      </w:r>
      <w:r>
        <w:rPr>
          <w:rFonts w:hint="eastAsia" w:ascii="宋体" w:hAnsi="宋体" w:eastAsia="宋体" w:cs="Times New Roman"/>
          <w:bCs/>
          <w:color w:val="auto"/>
          <w:kern w:val="0"/>
          <w:sz w:val="24"/>
          <w:szCs w:val="24"/>
          <w:highlight w:val="none"/>
        </w:rPr>
        <w:t xml:space="preserve">就质疑事项作出了答复/没有在法定期限内作出答复。                                                                                             </w:t>
      </w:r>
    </w:p>
    <w:p w14:paraId="5F0FC744">
      <w:pPr>
        <w:spacing w:line="360" w:lineRule="auto"/>
        <w:ind w:left="24" w:leftChars="12" w:firstLine="463" w:firstLineChars="196"/>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四、投诉事项具体内容</w:t>
      </w:r>
    </w:p>
    <w:p w14:paraId="35DB2024">
      <w:pPr>
        <w:spacing w:line="360" w:lineRule="auto"/>
        <w:ind w:left="24" w:leftChars="12" w:firstLine="465" w:firstLineChars="197"/>
        <w:rPr>
          <w:rFonts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投诉事项1：</w:t>
      </w:r>
      <w:r>
        <w:rPr>
          <w:rFonts w:hint="eastAsia" w:ascii="宋体" w:hAnsi="宋体" w:eastAsia="宋体" w:cs="Times New Roman"/>
          <w:bCs/>
          <w:color w:val="auto"/>
          <w:kern w:val="0"/>
          <w:sz w:val="24"/>
          <w:szCs w:val="24"/>
          <w:highlight w:val="none"/>
          <w:u w:val="single"/>
        </w:rPr>
        <w:t xml:space="preserve">                                                           </w:t>
      </w:r>
    </w:p>
    <w:p w14:paraId="248AD3D2">
      <w:pPr>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事实依据：</w:t>
      </w: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7A05776F">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u w:val="single"/>
        </w:rPr>
        <w:t xml:space="preserve">                                                                       </w:t>
      </w:r>
    </w:p>
    <w:p w14:paraId="18C78853">
      <w:pPr>
        <w:spacing w:line="360" w:lineRule="auto"/>
        <w:ind w:firstLine="472" w:firstLineChars="200"/>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法律依据：</w:t>
      </w: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7136E770">
      <w:pPr>
        <w:spacing w:line="360" w:lineRule="auto"/>
        <w:ind w:left="24" w:leftChars="12" w:firstLine="347" w:firstLineChars="147"/>
        <w:rPr>
          <w:rFonts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74B03B56">
      <w:pPr>
        <w:spacing w:line="360" w:lineRule="auto"/>
        <w:ind w:left="24" w:leftChars="12" w:firstLine="465" w:firstLineChars="197"/>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投诉事项2  </w:t>
      </w:r>
      <w:r>
        <w:rPr>
          <w:rFonts w:hint="eastAsia" w:ascii="宋体" w:hAnsi="宋体" w:eastAsia="宋体" w:cs="Times New Roman"/>
          <w:bCs/>
          <w:color w:val="auto"/>
          <w:kern w:val="0"/>
          <w:sz w:val="24"/>
          <w:szCs w:val="24"/>
          <w:highlight w:val="none"/>
        </w:rPr>
        <w:t xml:space="preserve">   </w:t>
      </w:r>
    </w:p>
    <w:p w14:paraId="249DB6BF">
      <w:pPr>
        <w:spacing w:line="360" w:lineRule="auto"/>
        <w:ind w:left="24" w:leftChars="12" w:firstLine="465" w:firstLineChars="197"/>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w:t>
      </w:r>
    </w:p>
    <w:p w14:paraId="30B39A8F">
      <w:pPr>
        <w:spacing w:line="360" w:lineRule="auto"/>
        <w:ind w:left="24" w:leftChars="12" w:firstLine="463" w:firstLineChars="196"/>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五、与投诉事项相关的投诉请求：</w:t>
      </w:r>
    </w:p>
    <w:p w14:paraId="51682242">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请求：</w:t>
      </w:r>
      <w:r>
        <w:rPr>
          <w:rFonts w:hint="eastAsia" w:ascii="宋体" w:hAnsi="宋体" w:eastAsia="宋体" w:cs="Times New Roman"/>
          <w:bCs/>
          <w:color w:val="auto"/>
          <w:kern w:val="0"/>
          <w:sz w:val="24"/>
          <w:szCs w:val="24"/>
          <w:highlight w:val="none"/>
          <w:u w:val="single"/>
        </w:rPr>
        <w:t xml:space="preserve">                                                                 </w:t>
      </w:r>
    </w:p>
    <w:p w14:paraId="701B8735">
      <w:pPr>
        <w:spacing w:line="360" w:lineRule="auto"/>
        <w:rPr>
          <w:rFonts w:ascii="宋体" w:hAnsi="宋体" w:eastAsia="宋体" w:cs="Times New Roman"/>
          <w:color w:val="auto"/>
          <w:kern w:val="0"/>
          <w:sz w:val="24"/>
          <w:szCs w:val="24"/>
          <w:highlight w:val="none"/>
        </w:rPr>
      </w:pPr>
    </w:p>
    <w:p w14:paraId="2583D96A">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签字（签章）：                            公章：</w:t>
      </w:r>
    </w:p>
    <w:p w14:paraId="60F9D446">
      <w:pPr>
        <w:spacing w:line="360" w:lineRule="auto"/>
        <w:rPr>
          <w:rFonts w:ascii="宋体" w:hAnsi="宋体" w:eastAsia="宋体" w:cs="Times New Roman"/>
          <w:color w:val="auto"/>
          <w:kern w:val="0"/>
          <w:sz w:val="24"/>
          <w:szCs w:val="24"/>
          <w:highlight w:val="none"/>
        </w:rPr>
      </w:pPr>
    </w:p>
    <w:p w14:paraId="38945E92">
      <w:pPr>
        <w:spacing w:line="360" w:lineRule="auto"/>
        <w:ind w:left="24" w:leftChars="12" w:firstLine="465" w:firstLineChars="197"/>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日期：</w:t>
      </w:r>
    </w:p>
    <w:p w14:paraId="28F07B24">
      <w:pPr>
        <w:spacing w:line="360" w:lineRule="auto"/>
        <w:rPr>
          <w:rFonts w:ascii="宋体" w:hAnsi="宋体" w:eastAsia="宋体" w:cs="Times New Roman"/>
          <w:b/>
          <w:color w:val="auto"/>
          <w:kern w:val="0"/>
          <w:sz w:val="24"/>
          <w:szCs w:val="24"/>
          <w:highlight w:val="none"/>
        </w:rPr>
      </w:pPr>
    </w:p>
    <w:p w14:paraId="73A195D3">
      <w:pPr>
        <w:snapToGrid w:val="0"/>
        <w:spacing w:line="360" w:lineRule="auto"/>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说明：</w:t>
      </w:r>
    </w:p>
    <w:p w14:paraId="74B6DDBB">
      <w:pPr>
        <w:spacing w:line="360" w:lineRule="auto"/>
        <w:ind w:left="24" w:leftChars="12" w:firstLine="347" w:firstLineChars="147"/>
        <w:rPr>
          <w:rFonts w:ascii="宋体" w:hAnsi="宋体" w:eastAsia="宋体" w:cs="Times New Roman"/>
          <w:b/>
          <w:bCs/>
          <w:color w:val="auto"/>
          <w:kern w:val="0"/>
          <w:sz w:val="24"/>
          <w:szCs w:val="24"/>
          <w:highlight w:val="none"/>
        </w:rPr>
      </w:pPr>
      <w:r>
        <w:rPr>
          <w:rFonts w:hint="eastAsia" w:ascii="宋体" w:hAnsi="宋体" w:eastAsia="宋体" w:cs="Times New Roman"/>
          <w:b/>
          <w:color w:val="auto"/>
          <w:kern w:val="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rPr>
        <w:t>。</w:t>
      </w:r>
    </w:p>
    <w:p w14:paraId="1B7877E9">
      <w:pPr>
        <w:spacing w:line="360" w:lineRule="auto"/>
        <w:ind w:left="24" w:leftChars="12" w:firstLine="347" w:firstLineChars="147"/>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F9B0E9">
      <w:pPr>
        <w:spacing w:line="360" w:lineRule="auto"/>
        <w:ind w:left="24" w:leftChars="12" w:firstLine="347" w:firstLineChars="147"/>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3.投诉书应简要列明质疑事项，质疑函、质疑答复等作为附件材料提供。</w:t>
      </w:r>
    </w:p>
    <w:p w14:paraId="66BE73C9">
      <w:pPr>
        <w:spacing w:line="360" w:lineRule="auto"/>
        <w:ind w:left="24" w:leftChars="12" w:firstLine="347" w:firstLineChars="147"/>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4.投诉书的投诉事项应具体、明确，并有必要的事实依据和法律依据。</w:t>
      </w:r>
    </w:p>
    <w:p w14:paraId="55106FF6">
      <w:pPr>
        <w:spacing w:line="360" w:lineRule="auto"/>
        <w:ind w:left="24" w:leftChars="12" w:firstLine="347" w:firstLineChars="147"/>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5.投诉书的投诉请求应与投诉事项相关。</w:t>
      </w:r>
    </w:p>
    <w:p w14:paraId="6E615A8C">
      <w:pPr>
        <w:spacing w:line="360" w:lineRule="auto"/>
        <w:ind w:left="24" w:leftChars="12" w:firstLine="347"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6.投诉人为法人或者其他组织的，投诉书应由法定代表人、主要负责人，或者其授权代表签字或者盖章，并加盖公章。</w:t>
      </w:r>
    </w:p>
    <w:p w14:paraId="5DC9DFF3">
      <w:pPr>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br w:type="page"/>
      </w:r>
    </w:p>
    <w:p w14:paraId="6E7B5E23">
      <w:pPr>
        <w:spacing w:line="360" w:lineRule="auto"/>
        <w:ind w:left="24" w:leftChars="12" w:firstLine="347" w:firstLineChars="147"/>
        <w:rPr>
          <w:rFonts w:ascii="宋体" w:hAnsi="宋体" w:eastAsia="宋体" w:cs="Times New Roman"/>
          <w:b/>
          <w:color w:val="auto"/>
          <w:kern w:val="0"/>
          <w:sz w:val="24"/>
          <w:szCs w:val="24"/>
          <w:highlight w:val="none"/>
        </w:rPr>
      </w:pPr>
    </w:p>
    <w:p w14:paraId="139E8559">
      <w:pPr>
        <w:spacing w:line="360" w:lineRule="auto"/>
        <w:ind w:left="24" w:leftChars="12" w:firstLine="347" w:firstLineChars="147"/>
        <w:rPr>
          <w:rFonts w:ascii="宋体" w:hAnsi="宋体" w:eastAsia="宋体" w:cs="Times New Roman"/>
          <w:b/>
          <w:color w:val="auto"/>
          <w:kern w:val="0"/>
          <w:sz w:val="24"/>
          <w:szCs w:val="24"/>
          <w:highlight w:val="none"/>
        </w:rPr>
      </w:pPr>
    </w:p>
    <w:p w14:paraId="089C0CB5">
      <w:pPr>
        <w:spacing w:line="360" w:lineRule="auto"/>
        <w:ind w:left="24" w:leftChars="12" w:firstLine="347" w:firstLineChars="147"/>
        <w:rPr>
          <w:rFonts w:ascii="宋体" w:hAnsi="宋体" w:eastAsia="宋体" w:cs="Times New Roman"/>
          <w:b/>
          <w:color w:val="auto"/>
          <w:kern w:val="0"/>
          <w:sz w:val="24"/>
          <w:szCs w:val="24"/>
          <w:highlight w:val="none"/>
        </w:rPr>
      </w:pPr>
    </w:p>
    <w:p w14:paraId="74E53EBF">
      <w:pPr>
        <w:spacing w:line="360" w:lineRule="auto"/>
        <w:ind w:left="24" w:leftChars="12" w:firstLine="347" w:firstLineChars="147"/>
        <w:rPr>
          <w:rFonts w:ascii="宋体" w:hAnsi="宋体" w:eastAsia="宋体" w:cs="Times New Roman"/>
          <w:b/>
          <w:color w:val="auto"/>
          <w:kern w:val="0"/>
          <w:sz w:val="24"/>
          <w:szCs w:val="24"/>
          <w:highlight w:val="none"/>
        </w:rPr>
      </w:pPr>
    </w:p>
    <w:p w14:paraId="61468706">
      <w:pPr>
        <w:spacing w:line="360" w:lineRule="auto"/>
        <w:ind w:left="24" w:leftChars="12" w:firstLine="347" w:firstLineChars="147"/>
        <w:rPr>
          <w:rFonts w:ascii="宋体" w:hAnsi="宋体" w:eastAsia="宋体" w:cs="Times New Roman"/>
          <w:b/>
          <w:color w:val="auto"/>
          <w:kern w:val="0"/>
          <w:sz w:val="24"/>
          <w:szCs w:val="24"/>
          <w:highlight w:val="none"/>
        </w:rPr>
      </w:pPr>
    </w:p>
    <w:p w14:paraId="461F3085">
      <w:pPr>
        <w:spacing w:line="360" w:lineRule="auto"/>
        <w:ind w:left="24" w:leftChars="12" w:firstLine="347" w:firstLineChars="147"/>
        <w:rPr>
          <w:rFonts w:ascii="宋体" w:hAnsi="宋体" w:eastAsia="宋体" w:cs="Times New Roman"/>
          <w:b/>
          <w:color w:val="auto"/>
          <w:kern w:val="0"/>
          <w:sz w:val="24"/>
          <w:szCs w:val="24"/>
          <w:highlight w:val="none"/>
        </w:rPr>
      </w:pPr>
    </w:p>
    <w:p w14:paraId="755D31F7">
      <w:pPr>
        <w:spacing w:line="360" w:lineRule="auto"/>
        <w:ind w:left="24" w:leftChars="12" w:firstLine="289" w:firstLineChars="147"/>
        <w:rPr>
          <w:rFonts w:ascii="宋体" w:hAnsi="宋体" w:eastAsia="宋体" w:cs="Times New Roman"/>
          <w:b/>
          <w:color w:val="auto"/>
          <w:kern w:val="0"/>
          <w:sz w:val="20"/>
          <w:szCs w:val="21"/>
          <w:highlight w:val="none"/>
        </w:rPr>
      </w:pPr>
    </w:p>
    <w:p w14:paraId="05A4B4E4">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rPr>
      </w:pPr>
      <w:bookmarkStart w:id="187" w:name="_Toc74323461"/>
      <w:bookmarkStart w:id="188" w:name="_Toc13815"/>
      <w:r>
        <w:rPr>
          <w:rFonts w:hint="eastAsia" w:ascii="Times New Roman" w:hAnsi="Times New Roman" w:eastAsia="宋体" w:cs="Times New Roman"/>
          <w:b/>
          <w:bCs/>
          <w:color w:val="auto"/>
          <w:kern w:val="44"/>
          <w:sz w:val="44"/>
          <w:szCs w:val="44"/>
          <w:highlight w:val="none"/>
        </w:rPr>
        <w:t>第六章 合同文本</w:t>
      </w:r>
      <w:bookmarkEnd w:id="187"/>
      <w:bookmarkEnd w:id="188"/>
    </w:p>
    <w:p w14:paraId="41C9B449">
      <w:pPr>
        <w:spacing w:line="360" w:lineRule="auto"/>
        <w:ind w:right="30" w:firstLine="357"/>
        <w:contextualSpacing/>
        <w:jc w:val="center"/>
        <w:rPr>
          <w:rFonts w:ascii="宋体" w:hAnsi="宋体" w:eastAsia="宋体" w:cs="Times New Roman"/>
          <w:b/>
          <w:bCs/>
          <w:color w:val="auto"/>
          <w:sz w:val="36"/>
          <w:szCs w:val="36"/>
          <w:highlight w:val="none"/>
        </w:rPr>
      </w:pPr>
      <w:r>
        <w:rPr>
          <w:rFonts w:ascii="宋体" w:hAnsi="宋体" w:eastAsia="宋体" w:cs="Courier New"/>
          <w:b/>
          <w:color w:val="auto"/>
          <w:sz w:val="32"/>
          <w:szCs w:val="32"/>
          <w:highlight w:val="none"/>
        </w:rPr>
        <w:br w:type="page"/>
      </w:r>
      <w:r>
        <w:rPr>
          <w:rFonts w:hint="eastAsia" w:ascii="宋体" w:hAnsi="宋体" w:eastAsia="宋体" w:cs="Times New Roman"/>
          <w:b/>
          <w:bCs/>
          <w:color w:val="auto"/>
          <w:sz w:val="36"/>
          <w:szCs w:val="36"/>
          <w:highlight w:val="none"/>
        </w:rPr>
        <w:t>广西壮族自治区政府采购合同</w:t>
      </w:r>
    </w:p>
    <w:p w14:paraId="6814815D">
      <w:pPr>
        <w:jc w:val="center"/>
        <w:rPr>
          <w:rFonts w:ascii="宋体" w:hAnsi="宋体" w:eastAsia="宋体" w:cs="宋体"/>
          <w:bCs/>
          <w:color w:val="auto"/>
          <w:kern w:val="28"/>
          <w:sz w:val="22"/>
          <w:highlight w:val="none"/>
        </w:rPr>
      </w:pPr>
    </w:p>
    <w:p w14:paraId="452069F2">
      <w:pPr>
        <w:wordWrap/>
        <w:spacing w:line="400" w:lineRule="exact"/>
        <w:ind w:right="60" w:firstLine="4645" w:firstLineChars="1968"/>
        <w:contextualSpacing/>
        <w:jc w:val="both"/>
        <w:rPr>
          <w:rFonts w:ascii="宋体" w:hAnsi="宋体" w:eastAsia="宋体" w:cs="宋体"/>
          <w:bCs/>
          <w:color w:val="auto"/>
          <w:kern w:val="28"/>
          <w:sz w:val="24"/>
          <w:szCs w:val="24"/>
          <w:highlight w:val="none"/>
          <w:u w:val="single"/>
        </w:rPr>
      </w:pPr>
      <w:r>
        <w:rPr>
          <w:rFonts w:hint="eastAsia" w:ascii="宋体" w:hAnsi="宋体" w:eastAsia="宋体" w:cs="宋体"/>
          <w:bCs/>
          <w:color w:val="auto"/>
          <w:kern w:val="28"/>
          <w:sz w:val="24"/>
          <w:szCs w:val="24"/>
          <w:highlight w:val="none"/>
        </w:rPr>
        <w:t xml:space="preserve">采购计划备案文号: </w:t>
      </w:r>
      <w:r>
        <w:rPr>
          <w:rFonts w:hint="eastAsia" w:ascii="宋体" w:hAnsi="宋体" w:eastAsia="宋体" w:cs="宋体"/>
          <w:bCs/>
          <w:color w:val="auto"/>
          <w:kern w:val="28"/>
          <w:sz w:val="24"/>
          <w:szCs w:val="24"/>
          <w:highlight w:val="none"/>
          <w:u w:val="single"/>
        </w:rPr>
        <w:t xml:space="preserve">                 </w:t>
      </w:r>
    </w:p>
    <w:p w14:paraId="7664E1AA">
      <w:pPr>
        <w:wordWrap/>
        <w:spacing w:line="400" w:lineRule="exact"/>
        <w:ind w:right="30" w:firstLine="4645" w:firstLineChars="1968"/>
        <w:contextualSpacing/>
        <w:jc w:val="both"/>
        <w:rPr>
          <w:rFonts w:ascii="宋体" w:hAnsi="宋体" w:eastAsia="宋体" w:cs="宋体"/>
          <w:bCs/>
          <w:color w:val="auto"/>
          <w:kern w:val="0"/>
          <w:sz w:val="24"/>
          <w:szCs w:val="24"/>
          <w:highlight w:val="none"/>
        </w:rPr>
      </w:pPr>
      <w:r>
        <w:rPr>
          <w:rFonts w:hint="eastAsia" w:ascii="宋体" w:hAnsi="宋体" w:eastAsia="宋体" w:cs="宋体"/>
          <w:bCs/>
          <w:color w:val="auto"/>
          <w:kern w:val="28"/>
          <w:sz w:val="24"/>
          <w:szCs w:val="24"/>
          <w:highlight w:val="none"/>
        </w:rPr>
        <w:t>合同编号：</w:t>
      </w:r>
      <w:r>
        <w:rPr>
          <w:rFonts w:hint="eastAsia" w:ascii="宋体" w:hAnsi="宋体" w:eastAsia="宋体" w:cs="宋体"/>
          <w:bCs/>
          <w:color w:val="auto"/>
          <w:kern w:val="28"/>
          <w:sz w:val="24"/>
          <w:szCs w:val="24"/>
          <w:highlight w:val="none"/>
          <w:u w:val="single"/>
        </w:rPr>
        <w:t xml:space="preserve">                         </w:t>
      </w:r>
    </w:p>
    <w:p w14:paraId="2F4DCC2A">
      <w:pPr>
        <w:spacing w:line="360" w:lineRule="auto"/>
        <w:jc w:val="both"/>
        <w:rPr>
          <w:rFonts w:ascii="宋体" w:hAnsi="宋体" w:eastAsia="宋体" w:cs="宋体"/>
          <w:b/>
          <w:bCs/>
          <w:color w:val="auto"/>
          <w:sz w:val="44"/>
          <w:highlight w:val="none"/>
        </w:rPr>
      </w:pPr>
    </w:p>
    <w:p w14:paraId="67E2E46B">
      <w:pPr>
        <w:spacing w:line="360" w:lineRule="auto"/>
        <w:jc w:val="both"/>
        <w:rPr>
          <w:rFonts w:ascii="宋体" w:hAnsi="宋体" w:eastAsia="宋体" w:cs="宋体"/>
          <w:b/>
          <w:bCs/>
          <w:color w:val="auto"/>
          <w:sz w:val="44"/>
          <w:highlight w:val="none"/>
        </w:rPr>
      </w:pPr>
    </w:p>
    <w:p w14:paraId="4D992185">
      <w:pPr>
        <w:spacing w:line="360" w:lineRule="auto"/>
        <w:jc w:val="center"/>
        <w:rPr>
          <w:rFonts w:hint="eastAsia" w:ascii="宋体" w:hAnsi="宋体" w:eastAsia="宋体" w:cs="宋体"/>
          <w:b/>
          <w:bCs/>
          <w:color w:val="auto"/>
          <w:sz w:val="44"/>
          <w:highlight w:val="none"/>
          <w:u w:val="single"/>
          <w:lang w:eastAsia="zh-CN"/>
        </w:rPr>
      </w:pPr>
      <w:r>
        <w:rPr>
          <w:rFonts w:hint="eastAsia" w:ascii="宋体" w:hAnsi="宋体" w:eastAsia="宋体" w:cs="宋体"/>
          <w:b/>
          <w:bCs/>
          <w:color w:val="auto"/>
          <w:sz w:val="44"/>
          <w:highlight w:val="none"/>
          <w:u w:val="single"/>
          <w:lang w:eastAsia="zh-CN"/>
        </w:rPr>
        <w:t>广西党风廉政教育基地(柳州监狱)工程施工</w:t>
      </w:r>
    </w:p>
    <w:p w14:paraId="14AC2FEE">
      <w:pPr>
        <w:spacing w:line="360" w:lineRule="auto"/>
        <w:jc w:val="center"/>
        <w:rPr>
          <w:rFonts w:ascii="宋体" w:hAnsi="宋体" w:eastAsia="宋体" w:cs="宋体"/>
          <w:b/>
          <w:bCs/>
          <w:color w:val="auto"/>
          <w:sz w:val="44"/>
          <w:highlight w:val="none"/>
        </w:rPr>
      </w:pPr>
      <w:r>
        <w:rPr>
          <w:rFonts w:hint="eastAsia" w:ascii="宋体" w:hAnsi="宋体" w:eastAsia="宋体" w:cs="宋体"/>
          <w:b/>
          <w:bCs/>
          <w:color w:val="auto"/>
          <w:sz w:val="44"/>
          <w:highlight w:val="none"/>
        </w:rPr>
        <w:t>合同</w:t>
      </w:r>
    </w:p>
    <w:p w14:paraId="2A531A17">
      <w:pPr>
        <w:spacing w:line="360" w:lineRule="auto"/>
        <w:jc w:val="both"/>
        <w:rPr>
          <w:rFonts w:ascii="宋体" w:hAnsi="宋体" w:eastAsia="宋体" w:cs="宋体"/>
          <w:b/>
          <w:bCs/>
          <w:color w:val="auto"/>
          <w:sz w:val="44"/>
          <w:highlight w:val="none"/>
        </w:rPr>
      </w:pPr>
    </w:p>
    <w:p w14:paraId="4B11C80F">
      <w:pPr>
        <w:spacing w:line="360" w:lineRule="auto"/>
        <w:rPr>
          <w:rFonts w:ascii="宋体" w:hAnsi="宋体" w:eastAsia="宋体" w:cs="宋体"/>
          <w:b/>
          <w:bCs/>
          <w:color w:val="auto"/>
          <w:sz w:val="44"/>
          <w:highlight w:val="none"/>
        </w:rPr>
      </w:pPr>
    </w:p>
    <w:p w14:paraId="15D5176F">
      <w:pPr>
        <w:spacing w:line="360" w:lineRule="auto"/>
        <w:rPr>
          <w:rFonts w:ascii="宋体" w:hAnsi="宋体" w:eastAsia="宋体" w:cs="宋体"/>
          <w:b/>
          <w:bCs/>
          <w:color w:val="auto"/>
          <w:sz w:val="44"/>
          <w:highlight w:val="none"/>
        </w:rPr>
      </w:pPr>
    </w:p>
    <w:p w14:paraId="5F3C950B">
      <w:pPr>
        <w:ind w:firstLine="1424" w:firstLineChars="40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rPr>
        <w:t xml:space="preserve">                   </w:t>
      </w:r>
    </w:p>
    <w:p w14:paraId="7BAE7812">
      <w:pPr>
        <w:ind w:firstLine="1424" w:firstLineChars="40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6E6BAAB2">
      <w:pPr>
        <w:rPr>
          <w:rFonts w:ascii="宋体" w:hAnsi="宋体" w:eastAsia="宋体" w:cs="宋体"/>
          <w:color w:val="auto"/>
          <w:sz w:val="24"/>
          <w:highlight w:val="none"/>
        </w:rPr>
      </w:pPr>
    </w:p>
    <w:p w14:paraId="3AB22367">
      <w:pPr>
        <w:rPr>
          <w:rFonts w:ascii="宋体" w:hAnsi="宋体" w:eastAsia="宋体" w:cs="宋体"/>
          <w:b/>
          <w:color w:val="auto"/>
          <w:sz w:val="36"/>
          <w:szCs w:val="36"/>
          <w:highlight w:val="none"/>
          <w:u w:val="single"/>
        </w:rPr>
      </w:pPr>
    </w:p>
    <w:p w14:paraId="790CC5E6">
      <w:pPr>
        <w:rPr>
          <w:rFonts w:ascii="宋体" w:hAnsi="宋体" w:eastAsia="宋体" w:cs="宋体"/>
          <w:b/>
          <w:color w:val="auto"/>
          <w:sz w:val="36"/>
          <w:szCs w:val="36"/>
          <w:highlight w:val="none"/>
          <w:u w:val="single"/>
        </w:rPr>
      </w:pPr>
    </w:p>
    <w:p w14:paraId="552F136E">
      <w:pPr>
        <w:tabs>
          <w:tab w:val="left" w:pos="7200"/>
        </w:tabs>
        <w:spacing w:line="360" w:lineRule="auto"/>
        <w:ind w:firstLine="1424" w:firstLineChars="400"/>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eastAsia="宋体" w:cs="宋体"/>
          <w:b/>
          <w:color w:val="auto"/>
          <w:sz w:val="36"/>
          <w:szCs w:val="36"/>
          <w:highlight w:val="none"/>
          <w:u w:val="single"/>
          <w:lang w:eastAsia="zh-CN"/>
        </w:rPr>
        <w:t>广西壮族自治区柳州监狱</w:t>
      </w:r>
    </w:p>
    <w:p w14:paraId="336B10BC">
      <w:pPr>
        <w:tabs>
          <w:tab w:val="left" w:pos="7380"/>
        </w:tabs>
        <w:spacing w:line="360" w:lineRule="auto"/>
        <w:ind w:firstLine="1424" w:firstLineChars="400"/>
        <w:rPr>
          <w:rFonts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715B8C8F">
      <w:pPr>
        <w:tabs>
          <w:tab w:val="left" w:pos="7380"/>
        </w:tabs>
        <w:spacing w:line="360" w:lineRule="auto"/>
        <w:rPr>
          <w:rFonts w:ascii="宋体" w:hAnsi="宋体" w:eastAsia="宋体" w:cs="宋体"/>
          <w:b/>
          <w:bCs/>
          <w:color w:val="auto"/>
          <w:sz w:val="44"/>
          <w:highlight w:val="none"/>
        </w:rPr>
      </w:pPr>
    </w:p>
    <w:p w14:paraId="5DEC0B52">
      <w:pPr>
        <w:tabs>
          <w:tab w:val="left" w:pos="7380"/>
        </w:tabs>
        <w:spacing w:line="360" w:lineRule="auto"/>
        <w:ind w:firstLine="0" w:firstLineChars="0"/>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6618CEEA">
      <w:pPr>
        <w:tabs>
          <w:tab w:val="left" w:pos="7380"/>
        </w:tabs>
        <w:spacing w:line="360" w:lineRule="auto"/>
        <w:rPr>
          <w:rFonts w:ascii="仿宋_GB2312" w:hAnsi="楷体" w:eastAsia="仿宋_GB2312"/>
          <w:color w:val="auto"/>
          <w:sz w:val="24"/>
          <w:highlight w:val="none"/>
          <w:lang w:val="zh-CN"/>
        </w:rPr>
      </w:pPr>
    </w:p>
    <w:p w14:paraId="08666E8F">
      <w:pPr>
        <w:pStyle w:val="2"/>
        <w:jc w:val="center"/>
        <w:rPr>
          <w:rFonts w:ascii="宋体" w:hAnsi="宋体" w:cs="宋体"/>
          <w:color w:val="auto"/>
          <w:szCs w:val="36"/>
          <w:highlight w:val="none"/>
        </w:rPr>
      </w:pPr>
      <w:r>
        <w:rPr>
          <w:rFonts w:hint="eastAsia" w:ascii="宋体"/>
          <w:b w:val="0"/>
          <w:bCs w:val="0"/>
          <w:color w:val="auto"/>
          <w:highlight w:val="none"/>
        </w:rPr>
        <w:br w:type="page"/>
      </w:r>
      <w:bookmarkStart w:id="189" w:name="_Toc19194613"/>
      <w:bookmarkStart w:id="190" w:name="_Toc373478199"/>
      <w:bookmarkStart w:id="191" w:name="_Toc351203480"/>
      <w:bookmarkStart w:id="192" w:name="_Toc373227552"/>
      <w:bookmarkStart w:id="193" w:name="_Toc389065255"/>
      <w:bookmarkStart w:id="194" w:name="_Toc296890982"/>
      <w:bookmarkStart w:id="195" w:name="_Toc7390"/>
      <w:bookmarkStart w:id="196" w:name="_Toc490833203"/>
      <w:bookmarkStart w:id="197" w:name="_Toc30230"/>
      <w:bookmarkStart w:id="198" w:name="_Toc57884178"/>
      <w:bookmarkStart w:id="199" w:name="_Toc296503025"/>
      <w:bookmarkStart w:id="200" w:name="_Toc24123"/>
      <w:bookmarkStart w:id="201" w:name="_Toc23105"/>
      <w:bookmarkStart w:id="202" w:name="_Toc11772"/>
      <w:r>
        <w:rPr>
          <w:rFonts w:hint="eastAsia" w:ascii="宋体" w:hAnsi="宋体" w:cs="宋体"/>
          <w:color w:val="auto"/>
          <w:szCs w:val="36"/>
          <w:highlight w:val="none"/>
        </w:rPr>
        <w:t>第一部分 合同协议书</w:t>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cs="宋体"/>
          <w:color w:val="auto"/>
          <w:szCs w:val="36"/>
          <w:highlight w:val="none"/>
        </w:rPr>
        <w:t>（格式）</w:t>
      </w:r>
      <w:bookmarkEnd w:id="200"/>
      <w:bookmarkEnd w:id="201"/>
      <w:bookmarkEnd w:id="202"/>
    </w:p>
    <w:p w14:paraId="45766469">
      <w:pPr>
        <w:autoSpaceDE w:val="0"/>
        <w:autoSpaceDN w:val="0"/>
        <w:adjustRightInd w:val="0"/>
        <w:spacing w:line="360" w:lineRule="auto"/>
        <w:jc w:val="left"/>
        <w:rPr>
          <w:rFonts w:hint="eastAsia" w:ascii="宋体" w:hAnsi="宋体" w:eastAsia="宋体" w:cs="宋体"/>
          <w:color w:val="auto"/>
          <w:szCs w:val="21"/>
          <w:highlight w:val="none"/>
        </w:rPr>
      </w:pPr>
    </w:p>
    <w:p w14:paraId="3C5EFA8B">
      <w:pPr>
        <w:autoSpaceDE w:val="0"/>
        <w:autoSpaceDN w:val="0"/>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发包人（全称）：广西壮族自治区</w:t>
      </w:r>
      <w:r>
        <w:rPr>
          <w:rFonts w:hint="eastAsia" w:ascii="宋体" w:hAnsi="宋体" w:eastAsia="宋体" w:cs="宋体"/>
          <w:color w:val="auto"/>
          <w:szCs w:val="21"/>
          <w:highlight w:val="none"/>
          <w:lang w:eastAsia="zh-CN"/>
        </w:rPr>
        <w:t>柳州监狱</w:t>
      </w:r>
    </w:p>
    <w:p w14:paraId="62C9A062">
      <w:pPr>
        <w:autoSpaceDE w:val="0"/>
        <w:autoSpaceDN w:val="0"/>
        <w:adjustRightIn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199D3551">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eastAsia="宋体" w:cs="宋体"/>
          <w:color w:val="auto"/>
          <w:szCs w:val="21"/>
          <w:highlight w:val="none"/>
          <w:u w:val="single"/>
          <w:lang w:eastAsia="zh-CN"/>
        </w:rPr>
        <w:t>广西党风廉政教育基地(柳州监狱)工程</w:t>
      </w:r>
      <w:r>
        <w:rPr>
          <w:rFonts w:hint="eastAsia" w:ascii="宋体" w:hAnsi="宋体" w:eastAsia="宋体" w:cs="宋体"/>
          <w:color w:val="auto"/>
          <w:szCs w:val="21"/>
          <w:highlight w:val="none"/>
        </w:rPr>
        <w:t>施工及有关事项协商一致，共同达成如下协议：</w:t>
      </w:r>
      <w:bookmarkStart w:id="203" w:name="_Toc351203481"/>
    </w:p>
    <w:p w14:paraId="2DB58663">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04" w:name="_Toc19194614"/>
      <w:bookmarkStart w:id="205" w:name="_Toc19777"/>
      <w:bookmarkStart w:id="206" w:name="_Toc21058"/>
      <w:bookmarkStart w:id="207" w:name="_Toc57884179"/>
      <w:bookmarkStart w:id="208" w:name="_Toc18001"/>
      <w:bookmarkStart w:id="209" w:name="_Toc2212"/>
      <w:bookmarkStart w:id="210" w:name="_Toc655"/>
      <w:r>
        <w:rPr>
          <w:rFonts w:hint="eastAsia" w:ascii="宋体" w:hAnsi="宋体" w:eastAsia="宋体" w:cs="宋体"/>
          <w:b/>
          <w:bCs/>
          <w:color w:val="auto"/>
          <w:szCs w:val="21"/>
          <w:highlight w:val="none"/>
        </w:rPr>
        <w:t>一、工程概况</w:t>
      </w:r>
      <w:bookmarkEnd w:id="203"/>
      <w:bookmarkEnd w:id="204"/>
      <w:bookmarkEnd w:id="205"/>
      <w:bookmarkEnd w:id="206"/>
      <w:bookmarkEnd w:id="207"/>
      <w:bookmarkEnd w:id="208"/>
      <w:bookmarkEnd w:id="209"/>
      <w:bookmarkEnd w:id="210"/>
    </w:p>
    <w:p w14:paraId="649E93D4">
      <w:pPr>
        <w:autoSpaceDE w:val="0"/>
        <w:autoSpaceDN w:val="0"/>
        <w:adjustRightInd w:val="0"/>
        <w:spacing w:line="360" w:lineRule="auto"/>
        <w:ind w:firstLine="404" w:firstLineChars="196"/>
        <w:jc w:val="left"/>
        <w:rPr>
          <w:rFonts w:hint="eastAsia" w:ascii="宋体" w:hAnsi="宋体" w:eastAsia="宋体" w:cs="宋体"/>
          <w:color w:val="auto"/>
          <w:szCs w:val="21"/>
          <w:highlight w:val="none"/>
          <w:u w:val="single"/>
          <w:lang w:val="zh-CN" w:eastAsia="zh-CN"/>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广西党风廉政教育基地(柳州监狱)工程</w:t>
      </w:r>
    </w:p>
    <w:p w14:paraId="46DF4DC8">
      <w:pPr>
        <w:autoSpaceDE w:val="0"/>
        <w:autoSpaceDN w:val="0"/>
        <w:adjustRightInd w:val="0"/>
        <w:spacing w:line="360" w:lineRule="auto"/>
        <w:ind w:firstLine="404" w:firstLineChars="19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bCs/>
          <w:color w:val="auto"/>
          <w:szCs w:val="21"/>
          <w:highlight w:val="none"/>
          <w:u w:val="single"/>
        </w:rPr>
        <w:t>广西壮族自治区柳州市柳南区洛满镇露塘</w:t>
      </w:r>
    </w:p>
    <w:p w14:paraId="4DBA5507">
      <w:pPr>
        <w:autoSpaceDE w:val="0"/>
        <w:autoSpaceDN w:val="0"/>
        <w:adjustRightInd w:val="0"/>
        <w:spacing w:line="360" w:lineRule="auto"/>
        <w:ind w:firstLine="404" w:firstLineChars="19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p>
    <w:p w14:paraId="5A4F4080">
      <w:pPr>
        <w:autoSpaceDE w:val="0"/>
        <w:autoSpaceDN w:val="0"/>
        <w:adjustRightInd w:val="0"/>
        <w:spacing w:line="360" w:lineRule="auto"/>
        <w:ind w:firstLine="404" w:firstLineChars="19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财政性</w:t>
      </w:r>
      <w:r>
        <w:rPr>
          <w:rFonts w:hint="eastAsia" w:ascii="宋体" w:hAnsi="宋体" w:eastAsia="宋体" w:cs="宋体"/>
          <w:bCs/>
          <w:color w:val="auto"/>
          <w:szCs w:val="21"/>
          <w:highlight w:val="none"/>
          <w:u w:val="single"/>
        </w:rPr>
        <w:t xml:space="preserve">资金  </w:t>
      </w:r>
      <w:r>
        <w:rPr>
          <w:rFonts w:hint="eastAsia" w:ascii="宋体" w:hAnsi="宋体" w:eastAsia="宋体" w:cs="宋体"/>
          <w:color w:val="auto"/>
          <w:szCs w:val="21"/>
          <w:highlight w:val="none"/>
        </w:rPr>
        <w:t>。</w:t>
      </w:r>
    </w:p>
    <w:p w14:paraId="28922C1D">
      <w:pPr>
        <w:spacing w:line="360" w:lineRule="auto"/>
        <w:ind w:firstLine="412"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工程承包范围：</w:t>
      </w:r>
      <w:r>
        <w:rPr>
          <w:rFonts w:hint="eastAsia" w:ascii="宋体" w:hAnsi="宋体" w:eastAsia="宋体" w:cs="宋体"/>
          <w:bCs/>
          <w:color w:val="auto"/>
          <w:szCs w:val="21"/>
          <w:highlight w:val="none"/>
          <w:u w:val="single"/>
          <w:lang w:eastAsia="zh-CN"/>
        </w:rPr>
        <w:t xml:space="preserve"> 本项目为广西党风廉政教育基地(柳州监狱)工程，位于广西壮族自治区柳州市柳南区洛满镇露塘，对廉政教育基地1栋进行改造，工作内容包含拆除原报告厅内墙面、地面、吊顶、所有门窗、窗帘、防盗网、主席台、屋面防水和保温层；重新刷内墙面、外墙刷漆、地面贴瓷砖、更换吊顶、更换所有门窗、更换防盗网、新建主席台、重新做屋面防水层和保温层；安装PVC-U塑料雨水管、照明配电、消防应急配电、屋面防雷、弱电管线；道路混凝土硬化、车位划等。以及装修改</w:t>
      </w:r>
      <w:r>
        <w:rPr>
          <w:rFonts w:hint="eastAsia" w:ascii="宋体" w:hAnsi="宋体" w:eastAsia="宋体" w:cs="宋体"/>
          <w:bCs/>
          <w:color w:val="auto"/>
          <w:szCs w:val="21"/>
          <w:highlight w:val="none"/>
          <w:u w:val="single"/>
          <w:lang w:eastAsia="zh-CN"/>
        </w:rPr>
        <w:t>造广西廉政教育基地2楼三号展厅，工作内容包含拆除部分墙体、PVC地胶地面、吊顶；新建轻钢龙骨石膏板墙、PVC地胶地面、石膏板吊顶、金属网吊顶、铝塑板墙面、金属网墙面装饰等；安装照明配电、设备电源、智能设备系统、设备布线敷设，采购智能化设备等。</w:t>
      </w:r>
      <w:r>
        <w:rPr>
          <w:rFonts w:hint="eastAsia" w:ascii="宋体" w:hAnsi="宋体" w:eastAsia="宋体" w:cs="宋体"/>
          <w:color w:val="auto"/>
          <w:highlight w:val="none"/>
          <w:u w:val="single"/>
          <w:lang w:val="en-US" w:eastAsia="zh-CN"/>
        </w:rPr>
        <w:t>同时负责提供</w:t>
      </w:r>
      <w:r>
        <w:rPr>
          <w:rFonts w:hint="eastAsia" w:ascii="宋体" w:hAnsi="宋体" w:eastAsia="宋体" w:cs="宋体"/>
          <w:color w:val="auto"/>
          <w:highlight w:val="none"/>
          <w:u w:val="single"/>
          <w:lang w:eastAsia="zh-CN"/>
        </w:rPr>
        <w:t>基地</w:t>
      </w:r>
      <w:r>
        <w:rPr>
          <w:rFonts w:hint="eastAsia" w:ascii="宋体" w:hAnsi="宋体" w:eastAsia="宋体" w:cs="宋体"/>
          <w:color w:val="auto"/>
          <w:highlight w:val="none"/>
          <w:u w:val="single"/>
          <w:lang w:val="en-US" w:eastAsia="zh-CN"/>
        </w:rPr>
        <w:t>教育</w:t>
      </w:r>
      <w:r>
        <w:rPr>
          <w:rFonts w:hint="eastAsia" w:ascii="宋体" w:hAnsi="宋体" w:eastAsia="宋体" w:cs="宋体"/>
          <w:color w:val="auto"/>
          <w:highlight w:val="none"/>
          <w:u w:val="single"/>
          <w:lang w:eastAsia="zh-CN"/>
        </w:rPr>
        <w:t>内容</w:t>
      </w:r>
      <w:r>
        <w:rPr>
          <w:rFonts w:hint="eastAsia" w:ascii="宋体" w:hAnsi="宋体" w:eastAsia="宋体" w:cs="宋体"/>
          <w:color w:val="auto"/>
          <w:highlight w:val="none"/>
          <w:u w:val="single"/>
          <w:lang w:val="en-US" w:eastAsia="zh-CN"/>
        </w:rPr>
        <w:t>展示方案，在工程施工时，承包人必须将经发包人审核认可的基地教育</w:t>
      </w:r>
      <w:r>
        <w:rPr>
          <w:rFonts w:hint="eastAsia" w:ascii="宋体" w:hAnsi="宋体" w:eastAsia="宋体" w:cs="宋体"/>
          <w:color w:val="auto"/>
          <w:highlight w:val="none"/>
          <w:u w:val="single"/>
          <w:lang w:eastAsia="zh-CN"/>
        </w:rPr>
        <w:t>内容</w:t>
      </w:r>
      <w:r>
        <w:rPr>
          <w:rFonts w:hint="eastAsia" w:ascii="宋体" w:hAnsi="宋体" w:eastAsia="宋体" w:cs="宋体"/>
          <w:color w:val="auto"/>
          <w:highlight w:val="none"/>
          <w:u w:val="single"/>
          <w:lang w:val="en-US" w:eastAsia="zh-CN"/>
        </w:rPr>
        <w:t>展示方案融入硬件中</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硬件与软件相结合，使得</w:t>
      </w:r>
      <w:r>
        <w:rPr>
          <w:rFonts w:hint="eastAsia" w:ascii="宋体" w:hAnsi="宋体" w:eastAsia="宋体" w:cs="宋体"/>
          <w:color w:val="auto"/>
          <w:highlight w:val="none"/>
          <w:u w:val="single"/>
          <w:lang w:eastAsia="zh-CN"/>
        </w:rPr>
        <w:t>廉政教育基地能够成为一个兼具教育性、示范性与艺术性的场所。</w:t>
      </w:r>
    </w:p>
    <w:p w14:paraId="7AFB0B88">
      <w:pPr>
        <w:autoSpaceDE w:val="0"/>
        <w:autoSpaceDN w:val="0"/>
        <w:adjustRightInd w:val="0"/>
        <w:spacing w:line="360" w:lineRule="auto"/>
        <w:ind w:firstLine="398" w:firstLineChars="193"/>
        <w:jc w:val="left"/>
        <w:outlineLvl w:val="0"/>
        <w:rPr>
          <w:rFonts w:hint="eastAsia" w:ascii="宋体" w:hAnsi="宋体" w:eastAsia="宋体" w:cs="宋体"/>
          <w:b/>
          <w:bCs/>
          <w:color w:val="auto"/>
          <w:szCs w:val="21"/>
          <w:highlight w:val="none"/>
        </w:rPr>
      </w:pPr>
      <w:bookmarkStart w:id="211" w:name="_Toc57884180"/>
      <w:bookmarkStart w:id="212" w:name="_Toc27576"/>
      <w:bookmarkStart w:id="213" w:name="_Toc8346"/>
      <w:bookmarkStart w:id="214" w:name="_Toc19194615"/>
      <w:bookmarkStart w:id="215" w:name="_Toc28176"/>
      <w:bookmarkStart w:id="216" w:name="_Toc3819"/>
      <w:bookmarkStart w:id="217" w:name="_Toc351203482"/>
      <w:bookmarkStart w:id="218" w:name="_Toc6312"/>
      <w:r>
        <w:rPr>
          <w:rFonts w:hint="eastAsia" w:ascii="宋体" w:hAnsi="宋体" w:eastAsia="宋体" w:cs="宋体"/>
          <w:b/>
          <w:bCs/>
          <w:color w:val="auto"/>
          <w:szCs w:val="21"/>
          <w:highlight w:val="none"/>
        </w:rPr>
        <w:t>二、合同工期</w:t>
      </w:r>
      <w:bookmarkEnd w:id="211"/>
      <w:bookmarkEnd w:id="212"/>
      <w:bookmarkEnd w:id="213"/>
      <w:bookmarkEnd w:id="214"/>
      <w:bookmarkEnd w:id="215"/>
      <w:bookmarkEnd w:id="216"/>
      <w:bookmarkEnd w:id="217"/>
      <w:bookmarkEnd w:id="218"/>
    </w:p>
    <w:p w14:paraId="1CC7E18B">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74D4376">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D4673C1">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日历天。</w:t>
      </w:r>
    </w:p>
    <w:p w14:paraId="06647248">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68CB9F6F">
      <w:pPr>
        <w:autoSpaceDE w:val="0"/>
        <w:autoSpaceDN w:val="0"/>
        <w:adjustRightInd w:val="0"/>
        <w:spacing w:line="360" w:lineRule="auto"/>
        <w:ind w:firstLine="459"/>
        <w:jc w:val="left"/>
        <w:outlineLvl w:val="0"/>
        <w:rPr>
          <w:rFonts w:hint="eastAsia" w:ascii="宋体" w:hAnsi="宋体" w:eastAsia="宋体" w:cs="宋体"/>
          <w:b/>
          <w:bCs/>
          <w:color w:val="auto"/>
          <w:szCs w:val="21"/>
          <w:highlight w:val="none"/>
        </w:rPr>
      </w:pPr>
      <w:bookmarkStart w:id="219" w:name="_Toc4540"/>
      <w:bookmarkStart w:id="220" w:name="_Toc351203483"/>
      <w:bookmarkStart w:id="221" w:name="_Toc16001"/>
      <w:bookmarkStart w:id="222" w:name="_Toc57884181"/>
      <w:bookmarkStart w:id="223" w:name="_Toc17124"/>
      <w:bookmarkStart w:id="224" w:name="_Toc387"/>
      <w:bookmarkStart w:id="225" w:name="_Toc32561"/>
      <w:bookmarkStart w:id="226" w:name="_Toc19194616"/>
      <w:r>
        <w:rPr>
          <w:rFonts w:hint="eastAsia" w:ascii="宋体" w:hAnsi="宋体" w:eastAsia="宋体" w:cs="宋体"/>
          <w:b/>
          <w:bCs/>
          <w:color w:val="auto"/>
          <w:szCs w:val="21"/>
          <w:highlight w:val="none"/>
        </w:rPr>
        <w:t>三、质量标准</w:t>
      </w:r>
      <w:bookmarkEnd w:id="219"/>
      <w:bookmarkEnd w:id="220"/>
      <w:bookmarkEnd w:id="221"/>
      <w:bookmarkEnd w:id="222"/>
      <w:bookmarkEnd w:id="223"/>
      <w:bookmarkEnd w:id="224"/>
      <w:bookmarkEnd w:id="225"/>
      <w:bookmarkEnd w:id="226"/>
    </w:p>
    <w:p w14:paraId="18309664">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r>
        <w:rPr>
          <w:rFonts w:hint="eastAsia" w:ascii="宋体" w:hAnsi="宋体" w:eastAsia="宋体" w:cs="宋体"/>
          <w:bCs/>
          <w:color w:val="auto"/>
          <w:szCs w:val="21"/>
          <w:highlight w:val="none"/>
        </w:rPr>
        <w:t>达到</w:t>
      </w:r>
      <w:r>
        <w:rPr>
          <w:rFonts w:hint="eastAsia" w:ascii="宋体" w:hAnsi="宋体" w:eastAsia="宋体" w:cs="宋体"/>
          <w:bCs/>
          <w:color w:val="auto"/>
          <w:szCs w:val="21"/>
          <w:highlight w:val="none"/>
          <w:u w:val="single"/>
        </w:rPr>
        <w:t xml:space="preserve">  国家施工验收规范合格  </w:t>
      </w:r>
      <w:r>
        <w:rPr>
          <w:rFonts w:hint="eastAsia" w:ascii="宋体" w:hAnsi="宋体" w:eastAsia="宋体" w:cs="宋体"/>
          <w:bCs/>
          <w:color w:val="auto"/>
          <w:szCs w:val="21"/>
          <w:highlight w:val="none"/>
        </w:rPr>
        <w:t>标准</w:t>
      </w:r>
      <w:r>
        <w:rPr>
          <w:rFonts w:hint="eastAsia" w:ascii="宋体" w:hAnsi="宋体" w:eastAsia="宋体" w:cs="宋体"/>
          <w:color w:val="auto"/>
          <w:szCs w:val="21"/>
          <w:highlight w:val="none"/>
        </w:rPr>
        <w:t>。</w:t>
      </w:r>
    </w:p>
    <w:p w14:paraId="19607451">
      <w:pPr>
        <w:autoSpaceDE w:val="0"/>
        <w:autoSpaceDN w:val="0"/>
        <w:adjustRightInd w:val="0"/>
        <w:spacing w:line="360" w:lineRule="auto"/>
        <w:ind w:firstLine="459"/>
        <w:jc w:val="left"/>
        <w:outlineLvl w:val="0"/>
        <w:rPr>
          <w:rFonts w:hint="eastAsia" w:ascii="宋体" w:hAnsi="宋体" w:eastAsia="宋体" w:cs="宋体"/>
          <w:b/>
          <w:bCs/>
          <w:color w:val="auto"/>
          <w:szCs w:val="21"/>
          <w:highlight w:val="none"/>
        </w:rPr>
      </w:pPr>
      <w:bookmarkStart w:id="227" w:name="_Toc17048"/>
      <w:bookmarkStart w:id="228" w:name="_Toc351203484"/>
      <w:bookmarkStart w:id="229" w:name="_Toc5368"/>
      <w:bookmarkStart w:id="230" w:name="_Toc10199"/>
      <w:bookmarkStart w:id="231" w:name="_Toc19194617"/>
      <w:bookmarkStart w:id="232" w:name="_Toc112"/>
      <w:bookmarkStart w:id="233" w:name="_Toc57884182"/>
      <w:bookmarkStart w:id="234" w:name="_Toc3217"/>
      <w:r>
        <w:rPr>
          <w:rFonts w:hint="eastAsia" w:ascii="宋体" w:hAnsi="宋体" w:eastAsia="宋体" w:cs="宋体"/>
          <w:b/>
          <w:bCs/>
          <w:color w:val="auto"/>
          <w:szCs w:val="21"/>
          <w:highlight w:val="none"/>
        </w:rPr>
        <w:t>四、签约合同价与合同价格形式</w:t>
      </w:r>
      <w:bookmarkEnd w:id="227"/>
      <w:bookmarkEnd w:id="228"/>
      <w:bookmarkEnd w:id="229"/>
      <w:bookmarkEnd w:id="230"/>
      <w:bookmarkEnd w:id="231"/>
      <w:bookmarkEnd w:id="232"/>
      <w:bookmarkEnd w:id="233"/>
      <w:bookmarkEnd w:id="234"/>
    </w:p>
    <w:p w14:paraId="4F2847AD">
      <w:pPr>
        <w:autoSpaceDE w:val="0"/>
        <w:autoSpaceDN w:val="0"/>
        <w:adjustRightInd w:val="0"/>
        <w:spacing w:line="360" w:lineRule="auto"/>
        <w:ind w:firstLine="4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14:paraId="727C7008">
      <w:pPr>
        <w:autoSpaceDE w:val="0"/>
        <w:autoSpaceDN w:val="0"/>
        <w:adjustRightInd w:val="0"/>
        <w:spacing w:line="360" w:lineRule="auto"/>
        <w:ind w:firstLine="51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6A2A4E14">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合同价格形式：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C1C0AB1">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35" w:name="_Toc351203485"/>
      <w:bookmarkStart w:id="236" w:name="_Toc31007"/>
      <w:bookmarkStart w:id="237" w:name="_Toc21612"/>
      <w:bookmarkStart w:id="238" w:name="_Toc30787"/>
      <w:bookmarkStart w:id="239" w:name="_Toc13786"/>
      <w:bookmarkStart w:id="240" w:name="_Toc57884183"/>
      <w:bookmarkStart w:id="241" w:name="_Toc19194618"/>
      <w:bookmarkStart w:id="242" w:name="_Toc26588"/>
      <w:r>
        <w:rPr>
          <w:rFonts w:hint="eastAsia" w:ascii="宋体" w:hAnsi="宋体" w:eastAsia="宋体" w:cs="宋体"/>
          <w:b/>
          <w:bCs/>
          <w:color w:val="auto"/>
          <w:szCs w:val="21"/>
          <w:highlight w:val="none"/>
        </w:rPr>
        <w:t>五、</w:t>
      </w:r>
      <w:bookmarkEnd w:id="235"/>
      <w:r>
        <w:rPr>
          <w:rFonts w:hint="eastAsia" w:ascii="宋体" w:hAnsi="宋体" w:eastAsia="宋体" w:cs="宋体"/>
          <w:b/>
          <w:bCs/>
          <w:color w:val="auto"/>
          <w:szCs w:val="21"/>
          <w:highlight w:val="none"/>
        </w:rPr>
        <w:t>项目经理</w:t>
      </w:r>
      <w:bookmarkEnd w:id="236"/>
      <w:bookmarkEnd w:id="237"/>
      <w:bookmarkEnd w:id="238"/>
      <w:bookmarkEnd w:id="239"/>
      <w:bookmarkEnd w:id="240"/>
      <w:bookmarkEnd w:id="241"/>
      <w:bookmarkEnd w:id="242"/>
    </w:p>
    <w:p w14:paraId="49E7C59E">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8A8A49D">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43" w:name="_Toc7745"/>
      <w:bookmarkStart w:id="244" w:name="_Toc351203486"/>
      <w:bookmarkStart w:id="245" w:name="_Toc57884184"/>
      <w:bookmarkStart w:id="246" w:name="_Toc5362"/>
      <w:bookmarkStart w:id="247" w:name="_Toc1613"/>
      <w:bookmarkStart w:id="248" w:name="_Toc21187"/>
      <w:bookmarkStart w:id="249" w:name="_Toc19748"/>
      <w:bookmarkStart w:id="250" w:name="_Toc19194619"/>
      <w:r>
        <w:rPr>
          <w:rFonts w:hint="eastAsia" w:ascii="宋体" w:hAnsi="宋体" w:eastAsia="宋体" w:cs="宋体"/>
          <w:b/>
          <w:bCs/>
          <w:color w:val="auto"/>
          <w:szCs w:val="21"/>
          <w:highlight w:val="none"/>
        </w:rPr>
        <w:t>六、合同文件构成</w:t>
      </w:r>
      <w:bookmarkEnd w:id="243"/>
      <w:bookmarkEnd w:id="244"/>
      <w:bookmarkEnd w:id="245"/>
      <w:bookmarkEnd w:id="246"/>
      <w:bookmarkEnd w:id="247"/>
      <w:bookmarkEnd w:id="248"/>
      <w:bookmarkEnd w:id="249"/>
      <w:bookmarkEnd w:id="250"/>
    </w:p>
    <w:p w14:paraId="5EED4D94">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14:paraId="1FE10194">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64B36173">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（2）谈判函及其附录； </w:t>
      </w:r>
    </w:p>
    <w:p w14:paraId="2F9721B4">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（3）通用合同条款；</w:t>
      </w:r>
    </w:p>
    <w:p w14:paraId="0A1BDCD7">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（4）技术标准和要求；</w:t>
      </w:r>
    </w:p>
    <w:p w14:paraId="34916B60">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（5）已标价工程量清单； </w:t>
      </w:r>
    </w:p>
    <w:p w14:paraId="4B26091A">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（6）其他合同文件。</w:t>
      </w:r>
    </w:p>
    <w:p w14:paraId="6B633A2F">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786A8FB5">
      <w:pPr>
        <w:autoSpaceDE w:val="0"/>
        <w:autoSpaceDN w:val="0"/>
        <w:adjustRightInd w:val="0"/>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AACF848">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51" w:name="_Toc29603"/>
      <w:bookmarkStart w:id="252" w:name="_Toc10701"/>
      <w:bookmarkStart w:id="253" w:name="_Toc351203487"/>
      <w:bookmarkStart w:id="254" w:name="_Toc2413"/>
      <w:bookmarkStart w:id="255" w:name="_Toc57884185"/>
      <w:bookmarkStart w:id="256" w:name="_Toc28888"/>
      <w:bookmarkStart w:id="257" w:name="_Toc19194620"/>
      <w:bookmarkStart w:id="258" w:name="_Toc30039"/>
      <w:r>
        <w:rPr>
          <w:rFonts w:hint="eastAsia" w:ascii="宋体" w:hAnsi="宋体" w:eastAsia="宋体" w:cs="宋体"/>
          <w:b/>
          <w:bCs/>
          <w:color w:val="auto"/>
          <w:szCs w:val="21"/>
          <w:highlight w:val="none"/>
        </w:rPr>
        <w:t>七、承诺</w:t>
      </w:r>
      <w:bookmarkEnd w:id="251"/>
      <w:bookmarkEnd w:id="252"/>
      <w:bookmarkEnd w:id="253"/>
      <w:bookmarkEnd w:id="254"/>
      <w:bookmarkEnd w:id="255"/>
      <w:bookmarkEnd w:id="256"/>
      <w:bookmarkEnd w:id="257"/>
      <w:bookmarkEnd w:id="258"/>
    </w:p>
    <w:p w14:paraId="2C40E297">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14:paraId="50EA5D9B">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15100541">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259" w:name="_Toc351203488"/>
    </w:p>
    <w:p w14:paraId="4763B7D6">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60" w:name="_Toc25905"/>
      <w:bookmarkStart w:id="261" w:name="_Toc10475"/>
      <w:bookmarkStart w:id="262" w:name="_Toc57884186"/>
      <w:bookmarkStart w:id="263" w:name="_Toc20173"/>
      <w:bookmarkStart w:id="264" w:name="_Toc31772"/>
      <w:bookmarkStart w:id="265" w:name="_Toc19194621"/>
      <w:bookmarkStart w:id="266" w:name="_Toc1110"/>
      <w:r>
        <w:rPr>
          <w:rFonts w:hint="eastAsia" w:ascii="宋体" w:hAnsi="宋体" w:eastAsia="宋体" w:cs="宋体"/>
          <w:b/>
          <w:bCs/>
          <w:color w:val="auto"/>
          <w:szCs w:val="21"/>
          <w:highlight w:val="none"/>
        </w:rPr>
        <w:t>八、词语含义</w:t>
      </w:r>
      <w:bookmarkEnd w:id="259"/>
      <w:bookmarkEnd w:id="260"/>
      <w:bookmarkEnd w:id="261"/>
      <w:bookmarkEnd w:id="262"/>
      <w:bookmarkEnd w:id="263"/>
      <w:bookmarkEnd w:id="264"/>
      <w:bookmarkEnd w:id="265"/>
      <w:bookmarkEnd w:id="266"/>
    </w:p>
    <w:p w14:paraId="25B38E0D">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14:paraId="1B51B560">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67" w:name="_Toc1632"/>
      <w:bookmarkStart w:id="268" w:name="_Toc2417"/>
      <w:bookmarkStart w:id="269" w:name="_Toc57884187"/>
      <w:bookmarkStart w:id="270" w:name="_Toc32571"/>
      <w:bookmarkStart w:id="271" w:name="_Toc19194622"/>
      <w:bookmarkStart w:id="272" w:name="_Toc31984"/>
      <w:bookmarkStart w:id="273" w:name="_Toc15176"/>
      <w:bookmarkStart w:id="274" w:name="_Toc351203489"/>
      <w:bookmarkStart w:id="275" w:name="_Toc8478"/>
      <w:r>
        <w:rPr>
          <w:rFonts w:hint="eastAsia" w:ascii="宋体" w:hAnsi="宋体" w:eastAsia="宋体" w:cs="宋体"/>
          <w:b/>
          <w:bCs/>
          <w:color w:val="auto"/>
          <w:szCs w:val="21"/>
          <w:highlight w:val="none"/>
        </w:rPr>
        <w:t>九、签订时间</w:t>
      </w:r>
      <w:bookmarkEnd w:id="267"/>
      <w:bookmarkEnd w:id="268"/>
      <w:bookmarkEnd w:id="269"/>
      <w:bookmarkEnd w:id="270"/>
      <w:bookmarkEnd w:id="271"/>
      <w:bookmarkEnd w:id="272"/>
      <w:bookmarkEnd w:id="273"/>
      <w:bookmarkEnd w:id="274"/>
      <w:bookmarkEnd w:id="275"/>
    </w:p>
    <w:p w14:paraId="63B19C5D">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14:paraId="50AEB867">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76" w:name="_Toc12945"/>
      <w:bookmarkStart w:id="277" w:name="_Toc57884188"/>
      <w:bookmarkStart w:id="278" w:name="_Toc29291"/>
      <w:bookmarkStart w:id="279" w:name="_Toc6892"/>
      <w:bookmarkStart w:id="280" w:name="_Toc12847"/>
      <w:bookmarkStart w:id="281" w:name="_Toc351203490"/>
      <w:bookmarkStart w:id="282" w:name="_Toc30159"/>
      <w:bookmarkStart w:id="283" w:name="_Toc19194623"/>
      <w:bookmarkStart w:id="284" w:name="_Toc7824"/>
      <w:r>
        <w:rPr>
          <w:rFonts w:hint="eastAsia" w:ascii="宋体" w:hAnsi="宋体" w:eastAsia="宋体" w:cs="宋体"/>
          <w:b/>
          <w:bCs/>
          <w:color w:val="auto"/>
          <w:szCs w:val="21"/>
          <w:highlight w:val="none"/>
        </w:rPr>
        <w:t>十、签订地点</w:t>
      </w:r>
      <w:bookmarkEnd w:id="276"/>
      <w:bookmarkEnd w:id="277"/>
      <w:bookmarkEnd w:id="278"/>
      <w:bookmarkEnd w:id="279"/>
      <w:bookmarkEnd w:id="280"/>
      <w:bookmarkEnd w:id="281"/>
      <w:bookmarkEnd w:id="282"/>
      <w:bookmarkEnd w:id="283"/>
      <w:bookmarkEnd w:id="284"/>
    </w:p>
    <w:p w14:paraId="244783C9">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14:paraId="337A8B77">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85" w:name="_Toc351203491"/>
      <w:bookmarkStart w:id="286" w:name="_Toc57884189"/>
      <w:bookmarkStart w:id="287" w:name="_Toc9591"/>
      <w:bookmarkStart w:id="288" w:name="_Toc24584"/>
      <w:bookmarkStart w:id="289" w:name="_Toc29473"/>
      <w:bookmarkStart w:id="290" w:name="_Toc19194624"/>
      <w:bookmarkStart w:id="291" w:name="_Toc32513"/>
      <w:bookmarkStart w:id="292" w:name="_Toc13241"/>
      <w:bookmarkStart w:id="293" w:name="_Toc24851"/>
      <w:r>
        <w:rPr>
          <w:rFonts w:hint="eastAsia" w:ascii="宋体" w:hAnsi="宋体" w:eastAsia="宋体" w:cs="宋体"/>
          <w:b/>
          <w:bCs/>
          <w:color w:val="auto"/>
          <w:szCs w:val="21"/>
          <w:highlight w:val="none"/>
        </w:rPr>
        <w:t>十一、补充协议</w:t>
      </w:r>
      <w:bookmarkEnd w:id="285"/>
      <w:bookmarkEnd w:id="286"/>
      <w:bookmarkEnd w:id="287"/>
      <w:bookmarkEnd w:id="288"/>
      <w:bookmarkEnd w:id="289"/>
      <w:bookmarkEnd w:id="290"/>
      <w:bookmarkEnd w:id="291"/>
      <w:bookmarkEnd w:id="292"/>
      <w:bookmarkEnd w:id="293"/>
    </w:p>
    <w:p w14:paraId="7462DCEF">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0816C092">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294" w:name="_Toc351203492"/>
      <w:bookmarkStart w:id="295" w:name="_Toc17111"/>
      <w:bookmarkStart w:id="296" w:name="_Toc57884190"/>
      <w:bookmarkStart w:id="297" w:name="_Toc19194625"/>
      <w:bookmarkStart w:id="298" w:name="_Toc3753"/>
      <w:bookmarkStart w:id="299" w:name="_Toc32596"/>
      <w:bookmarkStart w:id="300" w:name="_Toc5724"/>
      <w:bookmarkStart w:id="301" w:name="_Toc9231"/>
      <w:bookmarkStart w:id="302" w:name="_Toc31245"/>
      <w:r>
        <w:rPr>
          <w:rFonts w:hint="eastAsia" w:ascii="宋体" w:hAnsi="宋体" w:eastAsia="宋体" w:cs="宋体"/>
          <w:b/>
          <w:bCs/>
          <w:color w:val="auto"/>
          <w:szCs w:val="21"/>
          <w:highlight w:val="none"/>
        </w:rPr>
        <w:t>十二、合同生效</w:t>
      </w:r>
      <w:bookmarkEnd w:id="294"/>
      <w:bookmarkEnd w:id="295"/>
      <w:bookmarkEnd w:id="296"/>
      <w:bookmarkEnd w:id="297"/>
      <w:bookmarkEnd w:id="298"/>
      <w:bookmarkEnd w:id="299"/>
      <w:bookmarkEnd w:id="300"/>
      <w:bookmarkEnd w:id="301"/>
      <w:bookmarkEnd w:id="302"/>
    </w:p>
    <w:p w14:paraId="5C64333B">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14:paraId="16CA6EF5">
      <w:pPr>
        <w:autoSpaceDE w:val="0"/>
        <w:autoSpaceDN w:val="0"/>
        <w:adjustRightInd w:val="0"/>
        <w:spacing w:line="360" w:lineRule="auto"/>
        <w:ind w:firstLine="412" w:firstLineChars="200"/>
        <w:jc w:val="left"/>
        <w:outlineLvl w:val="0"/>
        <w:rPr>
          <w:rFonts w:hint="eastAsia" w:ascii="宋体" w:hAnsi="宋体" w:eastAsia="宋体" w:cs="宋体"/>
          <w:b/>
          <w:bCs/>
          <w:color w:val="auto"/>
          <w:szCs w:val="21"/>
          <w:highlight w:val="none"/>
        </w:rPr>
      </w:pPr>
      <w:bookmarkStart w:id="303" w:name="_Toc18827"/>
      <w:bookmarkStart w:id="304" w:name="_Toc351203493"/>
      <w:bookmarkStart w:id="305" w:name="_Toc57884191"/>
      <w:bookmarkStart w:id="306" w:name="_Toc18134"/>
      <w:bookmarkStart w:id="307" w:name="_Toc19194626"/>
      <w:bookmarkStart w:id="308" w:name="_Toc29287"/>
      <w:bookmarkStart w:id="309" w:name="_Toc2140"/>
      <w:bookmarkStart w:id="310" w:name="_Toc19238"/>
      <w:bookmarkStart w:id="311" w:name="_Toc8688"/>
      <w:r>
        <w:rPr>
          <w:rFonts w:hint="eastAsia" w:ascii="宋体" w:hAnsi="宋体" w:eastAsia="宋体" w:cs="宋体"/>
          <w:b/>
          <w:bCs/>
          <w:color w:val="auto"/>
          <w:szCs w:val="21"/>
          <w:highlight w:val="none"/>
        </w:rPr>
        <w:t>十三、合同份数</w:t>
      </w:r>
      <w:bookmarkEnd w:id="303"/>
      <w:bookmarkEnd w:id="304"/>
      <w:bookmarkEnd w:id="305"/>
      <w:bookmarkEnd w:id="306"/>
      <w:bookmarkEnd w:id="307"/>
      <w:bookmarkEnd w:id="308"/>
      <w:bookmarkEnd w:id="309"/>
      <w:bookmarkEnd w:id="310"/>
      <w:bookmarkEnd w:id="311"/>
    </w:p>
    <w:p w14:paraId="3CF58C71">
      <w:pPr>
        <w:autoSpaceDE w:val="0"/>
        <w:autoSpaceDN w:val="0"/>
        <w:adjustRightInd w:val="0"/>
        <w:spacing w:line="360" w:lineRule="auto"/>
        <w:ind w:firstLine="412"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陆</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贰</w:t>
      </w:r>
      <w:r>
        <w:rPr>
          <w:rFonts w:hint="eastAsia" w:ascii="宋体" w:hAnsi="宋体" w:eastAsia="宋体" w:cs="宋体"/>
          <w:bCs/>
          <w:color w:val="auto"/>
          <w:szCs w:val="21"/>
          <w:highlight w:val="none"/>
        </w:rPr>
        <w:t>份，代理机构</w:t>
      </w:r>
      <w:r>
        <w:rPr>
          <w:rFonts w:hint="eastAsia" w:ascii="宋体" w:hAnsi="宋体" w:eastAsia="宋体" w:cs="宋体"/>
          <w:bCs/>
          <w:color w:val="auto"/>
          <w:szCs w:val="21"/>
          <w:highlight w:val="none"/>
          <w:u w:val="single"/>
        </w:rPr>
        <w:t>壹</w:t>
      </w:r>
      <w:r>
        <w:rPr>
          <w:rFonts w:hint="eastAsia" w:ascii="宋体" w:hAnsi="宋体" w:eastAsia="宋体" w:cs="宋体"/>
          <w:bCs/>
          <w:color w:val="auto"/>
          <w:szCs w:val="21"/>
          <w:highlight w:val="none"/>
        </w:rPr>
        <w:t>份。</w:t>
      </w:r>
    </w:p>
    <w:p w14:paraId="12B9F695">
      <w:pPr>
        <w:autoSpaceDE w:val="0"/>
        <w:autoSpaceDN w:val="0"/>
        <w:adjustRightInd w:val="0"/>
        <w:spacing w:line="360" w:lineRule="auto"/>
        <w:jc w:val="left"/>
        <w:rPr>
          <w:rFonts w:hint="eastAsia" w:ascii="宋体" w:hAnsi="宋体" w:eastAsia="宋体" w:cs="宋体"/>
          <w:bCs/>
          <w:color w:val="auto"/>
          <w:szCs w:val="21"/>
          <w:highlight w:val="none"/>
        </w:rPr>
      </w:pPr>
    </w:p>
    <w:p w14:paraId="045AD258">
      <w:pPr>
        <w:autoSpaceDE w:val="0"/>
        <w:autoSpaceDN w:val="0"/>
        <w:adjustRightInd w:val="0"/>
        <w:spacing w:line="360" w:lineRule="auto"/>
        <w:jc w:val="left"/>
        <w:rPr>
          <w:rFonts w:hint="eastAsia" w:ascii="宋体" w:hAnsi="宋体" w:eastAsia="宋体" w:cs="宋体"/>
          <w:color w:val="auto"/>
          <w:szCs w:val="21"/>
          <w:highlight w:val="none"/>
        </w:rPr>
      </w:pPr>
    </w:p>
    <w:p w14:paraId="0FF2D149">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14:paraId="1B2CC153">
      <w:pPr>
        <w:autoSpaceDE w:val="0"/>
        <w:autoSpaceDN w:val="0"/>
        <w:adjustRightIn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72914E7E">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F9E8D44">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2922CE18">
      <w:pPr>
        <w:autoSpaceDE w:val="0"/>
        <w:autoSpaceDN w:val="0"/>
        <w:adjustRightInd w:val="0"/>
        <w:spacing w:line="360" w:lineRule="auto"/>
        <w:jc w:val="left"/>
        <w:rPr>
          <w:rFonts w:hint="eastAsia" w:ascii="宋体" w:hAnsi="宋体" w:eastAsia="宋体" w:cs="宋体"/>
          <w:color w:val="auto"/>
          <w:szCs w:val="21"/>
          <w:highlight w:val="none"/>
          <w:u w:val="single"/>
        </w:rPr>
      </w:pPr>
    </w:p>
    <w:p w14:paraId="35501A2A">
      <w:pPr>
        <w:tabs>
          <w:tab w:val="left" w:pos="4410"/>
        </w:tabs>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570C8C4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                                      地  址：</w:t>
      </w:r>
    </w:p>
    <w:p w14:paraId="22C6AD16">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750431DC">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1B083E74">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115CE2A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5EBE8C53">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0E53D9AE">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5C6ED4E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F872C02">
      <w:pPr>
        <w:autoSpaceDE w:val="0"/>
        <w:autoSpaceDN w:val="0"/>
        <w:adjustRightIn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账  号：                                      账  号：</w:t>
      </w:r>
    </w:p>
    <w:p w14:paraId="419285A6">
      <w:pPr>
        <w:widowControl/>
        <w:autoSpaceDE w:val="0"/>
        <w:autoSpaceDN w:val="0"/>
        <w:adjustRightInd w:val="0"/>
        <w:spacing w:line="360" w:lineRule="auto"/>
        <w:jc w:val="center"/>
        <w:rPr>
          <w:rFonts w:hint="eastAsia" w:ascii="宋体" w:hAnsi="宋体" w:eastAsia="宋体" w:cs="宋体"/>
          <w:color w:val="auto"/>
          <w:kern w:val="0"/>
          <w:sz w:val="30"/>
          <w:szCs w:val="30"/>
          <w:highlight w:val="none"/>
          <w:lang w:val="en-US" w:eastAsia="zh-CN" w:bidi="ar-SA"/>
        </w:rPr>
      </w:pPr>
      <w:r>
        <w:rPr>
          <w:rFonts w:hint="eastAsia" w:ascii="宋体" w:hAnsi="宋体" w:cs="宋体"/>
          <w:color w:val="auto"/>
          <w:szCs w:val="21"/>
          <w:highlight w:val="none"/>
        </w:rPr>
        <w:br w:type="page"/>
      </w:r>
      <w:bookmarkStart w:id="312" w:name="_Toc11882"/>
      <w:bookmarkStart w:id="313" w:name="_Toc19194627"/>
      <w:bookmarkStart w:id="314" w:name="_Toc57884192"/>
      <w:bookmarkStart w:id="315" w:name="_Toc26496"/>
      <w:bookmarkStart w:id="316" w:name="_Toc389065256"/>
      <w:bookmarkStart w:id="317" w:name="_Toc28326"/>
      <w:bookmarkStart w:id="318" w:name="_Toc490833204"/>
      <w:bookmarkStart w:id="319" w:name="_Toc351203632"/>
      <w:bookmarkStart w:id="320" w:name="_Toc373478338"/>
      <w:bookmarkStart w:id="321" w:name="_Toc373227691"/>
      <w:r>
        <w:rPr>
          <w:rFonts w:hint="eastAsia" w:ascii="宋体" w:hAnsi="宋体" w:eastAsia="宋体" w:cs="宋体"/>
          <w:color w:val="auto"/>
          <w:kern w:val="0"/>
          <w:sz w:val="30"/>
          <w:szCs w:val="30"/>
          <w:highlight w:val="none"/>
          <w:lang w:val="en-US" w:eastAsia="zh-CN" w:bidi="ar-SA"/>
        </w:rPr>
        <w:t>第二部分 通用合同条款</w:t>
      </w:r>
      <w:bookmarkEnd w:id="312"/>
      <w:bookmarkEnd w:id="313"/>
      <w:bookmarkEnd w:id="314"/>
      <w:bookmarkEnd w:id="315"/>
      <w:bookmarkEnd w:id="316"/>
      <w:bookmarkEnd w:id="317"/>
      <w:bookmarkEnd w:id="318"/>
    </w:p>
    <w:p w14:paraId="0317753A">
      <w:pPr>
        <w:autoSpaceDE w:val="0"/>
        <w:autoSpaceDN w:val="0"/>
        <w:adjustRightInd w:val="0"/>
        <w:spacing w:line="360" w:lineRule="auto"/>
        <w:ind w:firstLine="412" w:firstLineChars="200"/>
        <w:jc w:val="left"/>
        <w:rPr>
          <w:rFonts w:hint="eastAsia" w:ascii="宋体" w:hAnsi="宋体" w:eastAsia="宋体" w:cs="宋体"/>
          <w:color w:val="auto"/>
          <w:kern w:val="0"/>
          <w:szCs w:val="21"/>
          <w:highlight w:val="none"/>
        </w:rPr>
      </w:pPr>
    </w:p>
    <w:p w14:paraId="590C36BC">
      <w:pPr>
        <w:autoSpaceDE w:val="0"/>
        <w:autoSpaceDN w:val="0"/>
        <w:adjustRightInd w:val="0"/>
        <w:spacing w:line="360" w:lineRule="auto"/>
        <w:ind w:firstLine="41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采用《建设工程施工合同（示范文本）》（GF—2017—0201）。</w:t>
      </w:r>
    </w:p>
    <w:p w14:paraId="18FD7084">
      <w:pPr>
        <w:pStyle w:val="2"/>
        <w:keepNext w:val="0"/>
        <w:autoSpaceDE w:val="0"/>
        <w:autoSpaceDN w:val="0"/>
        <w:adjustRightInd w:val="0"/>
        <w:spacing w:line="360" w:lineRule="auto"/>
        <w:jc w:val="left"/>
        <w:rPr>
          <w:rFonts w:hint="eastAsia" w:ascii="宋体" w:hAnsi="宋体" w:eastAsia="宋体" w:cs="宋体"/>
          <w:color w:val="auto"/>
          <w:sz w:val="21"/>
          <w:szCs w:val="21"/>
          <w:highlight w:val="none"/>
        </w:rPr>
      </w:pPr>
    </w:p>
    <w:p w14:paraId="75DB3C68">
      <w:pPr>
        <w:pStyle w:val="2"/>
        <w:keepNext w:val="0"/>
        <w:autoSpaceDE w:val="0"/>
        <w:autoSpaceDN w:val="0"/>
        <w:adjustRightInd w:val="0"/>
        <w:spacing w:line="360" w:lineRule="auto"/>
        <w:jc w:val="center"/>
        <w:rPr>
          <w:rFonts w:hint="eastAsia" w:ascii="宋体" w:hAnsi="宋体" w:eastAsia="宋体" w:cs="宋体"/>
          <w:color w:val="auto"/>
          <w:sz w:val="30"/>
          <w:szCs w:val="30"/>
          <w:highlight w:val="none"/>
        </w:rPr>
      </w:pPr>
      <w:bookmarkStart w:id="322" w:name="_Toc389065257"/>
      <w:bookmarkStart w:id="323" w:name="_Toc16676"/>
      <w:bookmarkStart w:id="324" w:name="_Toc22267"/>
      <w:bookmarkStart w:id="325" w:name="_Toc25605"/>
      <w:bookmarkStart w:id="326" w:name="_Toc490833205"/>
      <w:bookmarkStart w:id="327" w:name="_Toc32128"/>
      <w:bookmarkStart w:id="328" w:name="_Toc13309"/>
      <w:bookmarkStart w:id="329" w:name="_Toc4982"/>
      <w:bookmarkStart w:id="330" w:name="_Toc57884193"/>
      <w:bookmarkStart w:id="331" w:name="_Toc19194628"/>
      <w:r>
        <w:rPr>
          <w:rFonts w:hint="eastAsia" w:ascii="宋体" w:hAnsi="宋体" w:eastAsia="宋体" w:cs="宋体"/>
          <w:color w:val="auto"/>
          <w:sz w:val="30"/>
          <w:szCs w:val="30"/>
          <w:highlight w:val="none"/>
        </w:rPr>
        <w:t>第三部分 专用合同条款</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3092F66A">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1.1.1 合同</w:t>
      </w:r>
    </w:p>
    <w:p w14:paraId="2EC2FD31">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kern w:val="0"/>
          <w:highlight w:val="none"/>
        </w:rPr>
        <w:t>1.1.1.10 其他合同文件包括：</w:t>
      </w:r>
      <w:r>
        <w:rPr>
          <w:rFonts w:hint="eastAsia" w:ascii="宋体" w:hAnsi="宋体" w:cs="宋体"/>
          <w:color w:val="auto"/>
          <w:highlight w:val="none"/>
          <w:u w:val="single"/>
        </w:rPr>
        <w:t>①发包人、承包人双方确认工程报价单或预算书；②发包人、承包人、监理单位会签的工程签证单；③发包人、承包人双方就本工程及有关合同文件进行协商、洽谈、变更、解除等所形成的补充协议等书面资料。谈判文件及附件（含所有补充通知）；招标控制价。</w:t>
      </w:r>
    </w:p>
    <w:p w14:paraId="0EE583E0">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68F09DCB">
      <w:pPr>
        <w:pStyle w:val="78"/>
        <w:spacing w:line="360" w:lineRule="auto"/>
        <w:ind w:firstLine="412" w:firstLineChars="200"/>
        <w:outlineLvl w:val="0"/>
        <w:rPr>
          <w:rFonts w:ascii="宋体" w:hAnsi="宋体" w:cs="宋体"/>
          <w:color w:val="auto"/>
          <w:highlight w:val="none"/>
        </w:rPr>
      </w:pPr>
      <w:bookmarkStart w:id="332" w:name="_Toc13571"/>
      <w:bookmarkStart w:id="333" w:name="_Toc12629"/>
      <w:bookmarkStart w:id="334" w:name="_Toc20619"/>
      <w:bookmarkStart w:id="335" w:name="_Toc21321"/>
      <w:r>
        <w:rPr>
          <w:rFonts w:hint="eastAsia" w:ascii="宋体" w:hAnsi="宋体" w:cs="宋体"/>
          <w:color w:val="auto"/>
          <w:highlight w:val="none"/>
        </w:rPr>
        <w:t>1.1.2.4 监理人：</w:t>
      </w:r>
      <w:bookmarkEnd w:id="332"/>
      <w:bookmarkEnd w:id="333"/>
      <w:bookmarkEnd w:id="334"/>
      <w:bookmarkEnd w:id="335"/>
    </w:p>
    <w:p w14:paraId="2406AC0B">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A8042D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736220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118F33C">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4CD8C40">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888A073">
      <w:pPr>
        <w:pStyle w:val="78"/>
        <w:spacing w:line="360" w:lineRule="auto"/>
        <w:ind w:firstLine="412" w:firstLineChars="200"/>
        <w:outlineLvl w:val="0"/>
        <w:rPr>
          <w:rFonts w:ascii="宋体" w:hAnsi="宋体" w:cs="宋体"/>
          <w:color w:val="auto"/>
          <w:highlight w:val="none"/>
        </w:rPr>
      </w:pPr>
      <w:bookmarkStart w:id="336" w:name="_Toc27881"/>
      <w:bookmarkStart w:id="337" w:name="_Toc32711"/>
      <w:bookmarkStart w:id="338" w:name="_Toc10095"/>
      <w:bookmarkStart w:id="339" w:name="_Toc27889"/>
      <w:r>
        <w:rPr>
          <w:rFonts w:hint="eastAsia" w:ascii="宋体" w:hAnsi="宋体" w:cs="宋体"/>
          <w:color w:val="auto"/>
          <w:highlight w:val="none"/>
        </w:rPr>
        <w:t>1.1.2.5 设计人：</w:t>
      </w:r>
      <w:bookmarkEnd w:id="336"/>
      <w:bookmarkEnd w:id="337"/>
      <w:bookmarkEnd w:id="338"/>
      <w:bookmarkEnd w:id="339"/>
    </w:p>
    <w:p w14:paraId="3E028488">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712F645">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7E8DFD5">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F97C46B">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F3598FF">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2F27A45">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1.1.3 工程和设备</w:t>
      </w:r>
    </w:p>
    <w:p w14:paraId="3A65470C">
      <w:pPr>
        <w:pStyle w:val="79"/>
        <w:spacing w:line="360" w:lineRule="auto"/>
        <w:ind w:firstLine="412" w:firstLineChars="200"/>
        <w:outlineLvl w:val="0"/>
        <w:rPr>
          <w:rFonts w:ascii="宋体" w:hAnsi="宋体" w:cs="宋体"/>
          <w:color w:val="auto"/>
          <w:szCs w:val="21"/>
          <w:highlight w:val="none"/>
        </w:rPr>
      </w:pPr>
      <w:bookmarkStart w:id="340" w:name="_Toc8739"/>
      <w:bookmarkStart w:id="341" w:name="_Toc32065"/>
      <w:bookmarkStart w:id="342" w:name="_Toc27277"/>
      <w:bookmarkStart w:id="343" w:name="_Toc24231"/>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按通用条款</w:t>
      </w:r>
      <w:r>
        <w:rPr>
          <w:rFonts w:hint="eastAsia" w:ascii="宋体" w:hAnsi="宋体" w:cs="宋体"/>
          <w:color w:val="auto"/>
          <w:szCs w:val="21"/>
          <w:highlight w:val="none"/>
        </w:rPr>
        <w:t>。</w:t>
      </w:r>
      <w:bookmarkEnd w:id="340"/>
      <w:bookmarkEnd w:id="341"/>
      <w:bookmarkEnd w:id="342"/>
      <w:bookmarkEnd w:id="343"/>
    </w:p>
    <w:p w14:paraId="6487C664">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依据设计图纸确定</w:t>
      </w:r>
      <w:r>
        <w:rPr>
          <w:rFonts w:hint="eastAsia" w:ascii="宋体" w:hAnsi="宋体" w:cs="宋体"/>
          <w:color w:val="auto"/>
          <w:kern w:val="0"/>
          <w:szCs w:val="21"/>
          <w:highlight w:val="none"/>
        </w:rPr>
        <w:t>。</w:t>
      </w:r>
    </w:p>
    <w:p w14:paraId="64EDDE2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双方在合同履行过程中确定</w:t>
      </w:r>
      <w:r>
        <w:rPr>
          <w:rFonts w:hint="eastAsia" w:ascii="宋体" w:hAnsi="宋体" w:cs="宋体"/>
          <w:color w:val="auto"/>
          <w:kern w:val="0"/>
          <w:highlight w:val="none"/>
        </w:rPr>
        <w:t>。</w:t>
      </w:r>
    </w:p>
    <w:p w14:paraId="4880AF20">
      <w:pPr>
        <w:pStyle w:val="93"/>
        <w:rPr>
          <w:rFonts w:ascii="宋体" w:hAnsi="宋体" w:cs="宋体"/>
          <w:color w:val="auto"/>
          <w:highlight w:val="none"/>
        </w:rPr>
      </w:pPr>
      <w:bookmarkStart w:id="344" w:name="_Toc373227694"/>
      <w:bookmarkStart w:id="345" w:name="_Toc407135196"/>
      <w:bookmarkStart w:id="346" w:name="_Toc8713"/>
      <w:bookmarkStart w:id="347" w:name="_Toc4729"/>
      <w:bookmarkStart w:id="348" w:name="_Toc373478341"/>
      <w:bookmarkStart w:id="349" w:name="_Toc389065260"/>
      <w:bookmarkStart w:id="350" w:name="_Toc432"/>
      <w:bookmarkStart w:id="351" w:name="_Toc114058833"/>
      <w:bookmarkStart w:id="352" w:name="_Toc78449782"/>
      <w:r>
        <w:rPr>
          <w:rFonts w:hint="eastAsia" w:ascii="宋体" w:hAnsi="宋体" w:cs="宋体"/>
          <w:color w:val="auto"/>
          <w:highlight w:val="none"/>
        </w:rPr>
        <w:t>1.3 法律</w:t>
      </w:r>
      <w:bookmarkEnd w:id="344"/>
      <w:bookmarkEnd w:id="345"/>
      <w:bookmarkEnd w:id="346"/>
      <w:bookmarkEnd w:id="347"/>
      <w:bookmarkEnd w:id="348"/>
      <w:bookmarkEnd w:id="349"/>
      <w:bookmarkEnd w:id="350"/>
      <w:bookmarkEnd w:id="351"/>
      <w:bookmarkEnd w:id="352"/>
    </w:p>
    <w:p w14:paraId="28D43548">
      <w:pPr>
        <w:pStyle w:val="78"/>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国家、地方、行政主管部门对建设工程项目的有关规范性文件</w:t>
      </w:r>
      <w:r>
        <w:rPr>
          <w:rFonts w:hint="eastAsia" w:ascii="宋体" w:hAnsi="宋体" w:cs="宋体"/>
          <w:color w:val="auto"/>
          <w:highlight w:val="none"/>
        </w:rPr>
        <w:t>。</w:t>
      </w:r>
    </w:p>
    <w:p w14:paraId="5FE53E27">
      <w:pPr>
        <w:pStyle w:val="93"/>
        <w:rPr>
          <w:rFonts w:ascii="宋体" w:hAnsi="宋体" w:cs="宋体"/>
          <w:color w:val="auto"/>
          <w:highlight w:val="none"/>
        </w:rPr>
      </w:pPr>
      <w:bookmarkStart w:id="353" w:name="_Toc114058834"/>
      <w:bookmarkStart w:id="354" w:name="_Toc373478342"/>
      <w:bookmarkStart w:id="355" w:name="_Toc389065261"/>
      <w:bookmarkStart w:id="356" w:name="_Toc7107"/>
      <w:bookmarkStart w:id="357" w:name="_Toc407135197"/>
      <w:bookmarkStart w:id="358" w:name="_Toc31378"/>
      <w:bookmarkStart w:id="359" w:name="_Toc14"/>
      <w:bookmarkStart w:id="360" w:name="_Toc373227695"/>
      <w:bookmarkStart w:id="361" w:name="_Toc78449783"/>
      <w:r>
        <w:rPr>
          <w:rFonts w:hint="eastAsia" w:ascii="宋体" w:hAnsi="宋体" w:cs="宋体"/>
          <w:color w:val="auto"/>
          <w:highlight w:val="none"/>
        </w:rPr>
        <w:t>1.4 标准和规范</w:t>
      </w:r>
      <w:bookmarkEnd w:id="353"/>
      <w:bookmarkEnd w:id="354"/>
      <w:bookmarkEnd w:id="355"/>
      <w:bookmarkEnd w:id="356"/>
      <w:bookmarkEnd w:id="357"/>
      <w:bookmarkEnd w:id="358"/>
      <w:bookmarkEnd w:id="359"/>
      <w:bookmarkEnd w:id="360"/>
      <w:bookmarkEnd w:id="361"/>
    </w:p>
    <w:p w14:paraId="6BD92D18">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color w:val="auto"/>
          <w:szCs w:val="21"/>
          <w:highlight w:val="none"/>
          <w:u w:val="single"/>
        </w:rPr>
        <w:t>经审查的设计施工图规定的各类国标标准和规范，且不仅限于此</w:t>
      </w:r>
      <w:r>
        <w:rPr>
          <w:rFonts w:hint="eastAsia" w:ascii="宋体" w:hAnsi="宋体" w:cs="宋体"/>
          <w:color w:val="auto"/>
          <w:szCs w:val="21"/>
          <w:highlight w:val="none"/>
        </w:rPr>
        <w:t>。</w:t>
      </w:r>
    </w:p>
    <w:p w14:paraId="10FF6658">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44B4C089">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68C12332">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5041CFEC">
      <w:pPr>
        <w:pStyle w:val="78"/>
        <w:spacing w:line="360" w:lineRule="auto"/>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  无</w:t>
      </w:r>
      <w:r>
        <w:rPr>
          <w:rFonts w:hint="eastAsia" w:ascii="宋体" w:hAnsi="宋体" w:cs="宋体"/>
          <w:color w:val="auto"/>
          <w:highlight w:val="none"/>
        </w:rPr>
        <w:t>。</w:t>
      </w:r>
    </w:p>
    <w:p w14:paraId="40C6179B">
      <w:pPr>
        <w:pStyle w:val="93"/>
        <w:rPr>
          <w:rFonts w:ascii="宋体" w:hAnsi="宋体" w:cs="宋体"/>
          <w:color w:val="auto"/>
          <w:highlight w:val="none"/>
        </w:rPr>
      </w:pPr>
      <w:bookmarkStart w:id="362" w:name="_Toc879"/>
      <w:bookmarkStart w:id="363" w:name="_Toc114058835"/>
      <w:bookmarkStart w:id="364" w:name="_Toc78449784"/>
      <w:bookmarkStart w:id="365" w:name="_Toc373478343"/>
      <w:bookmarkStart w:id="366" w:name="_Toc389065262"/>
      <w:bookmarkStart w:id="367" w:name="_Toc373227696"/>
      <w:bookmarkStart w:id="368" w:name="_Toc7830"/>
      <w:bookmarkStart w:id="369" w:name="_Toc407135198"/>
      <w:bookmarkStart w:id="370" w:name="_Toc15892"/>
      <w:r>
        <w:rPr>
          <w:rFonts w:hint="eastAsia" w:ascii="宋体" w:hAnsi="宋体" w:cs="宋体"/>
          <w:color w:val="auto"/>
          <w:highlight w:val="none"/>
        </w:rPr>
        <w:t>1.5 合同文件的优先顺序</w:t>
      </w:r>
      <w:bookmarkEnd w:id="362"/>
      <w:bookmarkEnd w:id="363"/>
      <w:bookmarkEnd w:id="364"/>
      <w:bookmarkEnd w:id="365"/>
      <w:bookmarkEnd w:id="366"/>
      <w:bookmarkEnd w:id="367"/>
      <w:bookmarkEnd w:id="368"/>
      <w:bookmarkEnd w:id="369"/>
      <w:bookmarkEnd w:id="370"/>
    </w:p>
    <w:p w14:paraId="2F3C492B">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highlight w:val="none"/>
        </w:rPr>
        <w:t>合同文件组成及优先顺序为：</w:t>
      </w:r>
    </w:p>
    <w:p w14:paraId="2C02732C">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（1）合同协议书；</w:t>
      </w:r>
    </w:p>
    <w:p w14:paraId="7D565BF2">
      <w:pPr>
        <w:pStyle w:val="78"/>
        <w:spacing w:line="360" w:lineRule="auto"/>
        <w:ind w:firstLine="412" w:firstLineChars="200"/>
        <w:rPr>
          <w:rFonts w:ascii="宋体" w:hAnsi="宋体" w:cs="宋体"/>
          <w:color w:val="auto"/>
          <w:kern w:val="0"/>
          <w:highlight w:val="none"/>
        </w:rPr>
      </w:pPr>
      <w:bookmarkStart w:id="371" w:name="bookmark916"/>
      <w:bookmarkEnd w:id="371"/>
      <w:r>
        <w:rPr>
          <w:rFonts w:hint="eastAsia" w:ascii="宋体" w:hAnsi="宋体" w:cs="宋体"/>
          <w:color w:val="auto"/>
          <w:kern w:val="0"/>
          <w:highlight w:val="none"/>
        </w:rPr>
        <w:t>（2）成交通知书；</w:t>
      </w:r>
    </w:p>
    <w:p w14:paraId="3F32DDB2">
      <w:pPr>
        <w:pStyle w:val="78"/>
        <w:spacing w:line="360" w:lineRule="auto"/>
        <w:ind w:firstLine="412" w:firstLineChars="200"/>
        <w:rPr>
          <w:rFonts w:ascii="宋体" w:hAnsi="宋体" w:cs="宋体"/>
          <w:color w:val="auto"/>
          <w:kern w:val="0"/>
          <w:highlight w:val="none"/>
        </w:rPr>
      </w:pPr>
      <w:bookmarkStart w:id="372" w:name="bookmark917"/>
      <w:bookmarkEnd w:id="372"/>
      <w:r>
        <w:rPr>
          <w:rFonts w:hint="eastAsia" w:ascii="宋体" w:hAnsi="宋体" w:cs="宋体"/>
          <w:color w:val="auto"/>
          <w:kern w:val="0"/>
          <w:highlight w:val="none"/>
        </w:rPr>
        <w:t>（3）谈判函及谈判函附录；</w:t>
      </w:r>
    </w:p>
    <w:p w14:paraId="5D2AB757">
      <w:pPr>
        <w:pStyle w:val="78"/>
        <w:spacing w:line="360" w:lineRule="auto"/>
        <w:ind w:firstLine="412" w:firstLineChars="200"/>
        <w:rPr>
          <w:rFonts w:ascii="宋体" w:hAnsi="宋体" w:cs="宋体"/>
          <w:color w:val="auto"/>
          <w:kern w:val="0"/>
          <w:highlight w:val="none"/>
        </w:rPr>
      </w:pPr>
      <w:bookmarkStart w:id="373" w:name="bookmark918"/>
      <w:bookmarkEnd w:id="373"/>
      <w:r>
        <w:rPr>
          <w:rFonts w:hint="eastAsia" w:ascii="宋体" w:hAnsi="宋体" w:cs="宋体"/>
          <w:color w:val="auto"/>
          <w:kern w:val="0"/>
          <w:highlight w:val="none"/>
        </w:rPr>
        <w:t>（4）专用合同条款；</w:t>
      </w:r>
    </w:p>
    <w:p w14:paraId="77B903FA">
      <w:pPr>
        <w:pStyle w:val="78"/>
        <w:spacing w:line="360" w:lineRule="auto"/>
        <w:ind w:firstLine="412" w:firstLineChars="200"/>
        <w:rPr>
          <w:rFonts w:ascii="宋体" w:hAnsi="宋体" w:cs="宋体"/>
          <w:color w:val="auto"/>
          <w:kern w:val="0"/>
          <w:highlight w:val="none"/>
        </w:rPr>
      </w:pPr>
      <w:bookmarkStart w:id="374" w:name="bookmark919"/>
      <w:bookmarkEnd w:id="374"/>
      <w:r>
        <w:rPr>
          <w:rFonts w:hint="eastAsia" w:ascii="宋体" w:hAnsi="宋体" w:cs="宋体"/>
          <w:color w:val="auto"/>
          <w:kern w:val="0"/>
          <w:highlight w:val="none"/>
        </w:rPr>
        <w:t>（5）通用合同条款；</w:t>
      </w:r>
    </w:p>
    <w:p w14:paraId="45B94F25">
      <w:pPr>
        <w:pStyle w:val="78"/>
        <w:spacing w:line="360" w:lineRule="auto"/>
        <w:ind w:firstLine="412" w:firstLineChars="200"/>
        <w:rPr>
          <w:rFonts w:ascii="宋体" w:hAnsi="宋体" w:cs="宋体"/>
          <w:color w:val="auto"/>
          <w:kern w:val="0"/>
          <w:highlight w:val="none"/>
        </w:rPr>
      </w:pPr>
      <w:bookmarkStart w:id="375" w:name="bookmark920"/>
      <w:bookmarkEnd w:id="375"/>
      <w:r>
        <w:rPr>
          <w:rFonts w:hint="eastAsia" w:ascii="宋体" w:hAnsi="宋体" w:cs="宋体"/>
          <w:color w:val="auto"/>
          <w:kern w:val="0"/>
          <w:highlight w:val="none"/>
        </w:rPr>
        <w:t>（6）技术标准和要求；</w:t>
      </w:r>
    </w:p>
    <w:p w14:paraId="57B52A25">
      <w:pPr>
        <w:pStyle w:val="78"/>
        <w:spacing w:line="360" w:lineRule="auto"/>
        <w:ind w:firstLine="412" w:firstLineChars="200"/>
        <w:rPr>
          <w:rFonts w:ascii="宋体" w:hAnsi="宋体" w:cs="宋体"/>
          <w:color w:val="auto"/>
          <w:kern w:val="0"/>
          <w:highlight w:val="none"/>
        </w:rPr>
      </w:pPr>
      <w:bookmarkStart w:id="376" w:name="bookmark921"/>
      <w:bookmarkEnd w:id="376"/>
      <w:r>
        <w:rPr>
          <w:rFonts w:hint="eastAsia" w:ascii="宋体" w:hAnsi="宋体" w:cs="宋体"/>
          <w:color w:val="auto"/>
          <w:kern w:val="0"/>
          <w:highlight w:val="none"/>
        </w:rPr>
        <w:t>（7）图纸；</w:t>
      </w:r>
    </w:p>
    <w:p w14:paraId="762911D8">
      <w:pPr>
        <w:pStyle w:val="78"/>
        <w:spacing w:line="360" w:lineRule="auto"/>
        <w:ind w:firstLine="412" w:firstLineChars="200"/>
        <w:rPr>
          <w:rFonts w:ascii="宋体" w:hAnsi="宋体" w:cs="宋体"/>
          <w:color w:val="auto"/>
          <w:kern w:val="0"/>
          <w:highlight w:val="none"/>
        </w:rPr>
      </w:pPr>
      <w:bookmarkStart w:id="377" w:name="bookmark922"/>
      <w:bookmarkEnd w:id="377"/>
      <w:r>
        <w:rPr>
          <w:rFonts w:hint="eastAsia" w:ascii="宋体" w:hAnsi="宋体" w:cs="宋体"/>
          <w:color w:val="auto"/>
          <w:kern w:val="0"/>
          <w:highlight w:val="none"/>
        </w:rPr>
        <w:t>（8）已标价工程量清单；</w:t>
      </w:r>
    </w:p>
    <w:p w14:paraId="02F7973F">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（9）其他合同文件：</w:t>
      </w:r>
    </w:p>
    <w:p w14:paraId="34A417B6">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上述各项合同文件包括合同当事人就该项合同文件所作出的补充和修改，属于同一类内容的文件，应以最新签署的为准（违反谈判文件实质性内容的约定除外）。专用合同条款及其附件须经合同当事人签字或盖章。</w:t>
      </w:r>
    </w:p>
    <w:p w14:paraId="7D6FFC53">
      <w:pPr>
        <w:pStyle w:val="93"/>
        <w:rPr>
          <w:rFonts w:ascii="宋体" w:hAnsi="宋体" w:cs="宋体"/>
          <w:color w:val="auto"/>
          <w:highlight w:val="none"/>
        </w:rPr>
      </w:pPr>
      <w:bookmarkStart w:id="378" w:name="_Toc17181"/>
      <w:bookmarkStart w:id="379" w:name="_Toc9936"/>
      <w:bookmarkStart w:id="380" w:name="_Toc407135199"/>
      <w:bookmarkStart w:id="381" w:name="_Toc389065263"/>
      <w:bookmarkStart w:id="382" w:name="_Toc373227697"/>
      <w:bookmarkStart w:id="383" w:name="_Toc78449785"/>
      <w:bookmarkStart w:id="384" w:name="_Toc373478344"/>
      <w:bookmarkStart w:id="385" w:name="_Toc114058836"/>
      <w:bookmarkStart w:id="386" w:name="_Toc22341"/>
      <w:r>
        <w:rPr>
          <w:rFonts w:hint="eastAsia" w:ascii="宋体" w:hAnsi="宋体" w:cs="宋体"/>
          <w:color w:val="auto"/>
          <w:highlight w:val="none"/>
        </w:rPr>
        <w:t>1.6 图纸和承包人文件</w:t>
      </w:r>
      <w:bookmarkEnd w:id="378"/>
      <w:bookmarkEnd w:id="379"/>
      <w:bookmarkEnd w:id="380"/>
      <w:bookmarkEnd w:id="381"/>
      <w:bookmarkEnd w:id="382"/>
      <w:bookmarkEnd w:id="383"/>
      <w:bookmarkEnd w:id="384"/>
      <w:bookmarkEnd w:id="385"/>
      <w:bookmarkEnd w:id="386"/>
      <w:r>
        <w:rPr>
          <w:rFonts w:hint="eastAsia" w:ascii="宋体" w:hAnsi="宋体" w:cs="宋体"/>
          <w:color w:val="auto"/>
          <w:highlight w:val="none"/>
        </w:rPr>
        <w:tab/>
      </w:r>
    </w:p>
    <w:p w14:paraId="09EEC158">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1.6.1 图纸的提供</w:t>
      </w:r>
    </w:p>
    <w:p w14:paraId="537F8221">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合同签订之日起7个工作日内</w:t>
      </w:r>
      <w:r>
        <w:rPr>
          <w:rFonts w:hint="eastAsia" w:ascii="宋体" w:hAnsi="宋体" w:cs="宋体"/>
          <w:color w:val="auto"/>
          <w:highlight w:val="none"/>
        </w:rPr>
        <w:t>；</w:t>
      </w:r>
    </w:p>
    <w:p w14:paraId="1934E6A4">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 xml:space="preserve"> 贰  </w:t>
      </w:r>
      <w:r>
        <w:rPr>
          <w:rFonts w:hint="eastAsia" w:ascii="宋体" w:hAnsi="宋体" w:cs="宋体"/>
          <w:color w:val="auto"/>
          <w:highlight w:val="none"/>
        </w:rPr>
        <w:t>套（承包人需要增加图纸套数的，发包人应代为复制，复制费用由承包人承担）；</w:t>
      </w:r>
    </w:p>
    <w:p w14:paraId="1508234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本合同发包内容中的全部图纸（含设计变更）</w:t>
      </w:r>
      <w:r>
        <w:rPr>
          <w:rFonts w:hint="eastAsia" w:ascii="宋体" w:hAnsi="宋体" w:cs="宋体"/>
          <w:color w:val="auto"/>
          <w:highlight w:val="none"/>
        </w:rPr>
        <w:t>。</w:t>
      </w:r>
    </w:p>
    <w:p w14:paraId="5363A5B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1.6.4 承包人文件</w:t>
      </w:r>
    </w:p>
    <w:p w14:paraId="0EB0EB5C">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bCs/>
          <w:color w:val="auto"/>
          <w:szCs w:val="21"/>
          <w:highlight w:val="none"/>
          <w:u w:val="single"/>
        </w:rPr>
        <w:t>实施性施工组织设计及方案 ；建设项目竣工验收前，承包人应根据合同工作内容要求，分别整理竣工验收资料（含竣工图），汇总为完整的建设项目竣工资料报发包人（费用由承包人负责）</w:t>
      </w:r>
      <w:r>
        <w:rPr>
          <w:rFonts w:hint="eastAsia" w:ascii="宋体" w:hAnsi="宋体" w:cs="宋体"/>
          <w:color w:val="auto"/>
          <w:szCs w:val="21"/>
          <w:highlight w:val="none"/>
        </w:rPr>
        <w:t>；</w:t>
      </w:r>
    </w:p>
    <w:p w14:paraId="74A630E0">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开工前及</w:t>
      </w:r>
      <w:r>
        <w:rPr>
          <w:rFonts w:hint="eastAsia" w:ascii="宋体" w:hAnsi="宋体" w:cs="宋体"/>
          <w:bCs/>
          <w:color w:val="auto"/>
          <w:szCs w:val="21"/>
          <w:highlight w:val="none"/>
          <w:u w:val="single"/>
        </w:rPr>
        <w:t>竣工验收正式通过后15天</w:t>
      </w:r>
      <w:r>
        <w:rPr>
          <w:rFonts w:hint="eastAsia" w:ascii="宋体" w:hAnsi="宋体" w:cs="宋体"/>
          <w:color w:val="auto"/>
          <w:szCs w:val="21"/>
          <w:highlight w:val="none"/>
        </w:rPr>
        <w:t>；</w:t>
      </w:r>
    </w:p>
    <w:p w14:paraId="25113083">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提供6套</w:t>
      </w:r>
      <w:r>
        <w:rPr>
          <w:rFonts w:hint="eastAsia" w:ascii="宋体" w:hAnsi="宋体" w:cs="宋体"/>
          <w:color w:val="auto"/>
          <w:szCs w:val="21"/>
          <w:highlight w:val="none"/>
        </w:rPr>
        <w:t>；</w:t>
      </w:r>
    </w:p>
    <w:p w14:paraId="31BF6FFD">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书面形式和电子版</w:t>
      </w:r>
      <w:r>
        <w:rPr>
          <w:rFonts w:hint="eastAsia" w:ascii="宋体" w:hAnsi="宋体" w:cs="宋体"/>
          <w:color w:val="auto"/>
          <w:szCs w:val="21"/>
          <w:highlight w:val="none"/>
        </w:rPr>
        <w:t>；</w:t>
      </w:r>
    </w:p>
    <w:p w14:paraId="08D0B24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提交文件后14个工作日内</w:t>
      </w:r>
      <w:r>
        <w:rPr>
          <w:rFonts w:hint="eastAsia" w:ascii="宋体" w:hAnsi="宋体" w:cs="宋体"/>
          <w:color w:val="auto"/>
          <w:highlight w:val="none"/>
        </w:rPr>
        <w:t>。</w:t>
      </w:r>
    </w:p>
    <w:p w14:paraId="4773CE1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1.6.5 现场图纸准备</w:t>
      </w:r>
    </w:p>
    <w:p w14:paraId="22840486">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承包人在施工现场保留一套完整图纸和承包人文件，供发包人及有关人员进行工程检查时使用</w:t>
      </w:r>
      <w:r>
        <w:rPr>
          <w:rFonts w:hint="eastAsia" w:ascii="宋体" w:hAnsi="宋体" w:cs="宋体"/>
          <w:color w:val="auto"/>
          <w:highlight w:val="none"/>
        </w:rPr>
        <w:t>。</w:t>
      </w:r>
    </w:p>
    <w:p w14:paraId="172BBE7B">
      <w:pPr>
        <w:pStyle w:val="93"/>
        <w:rPr>
          <w:rFonts w:ascii="宋体" w:hAnsi="宋体" w:cs="宋体"/>
          <w:color w:val="auto"/>
          <w:highlight w:val="none"/>
        </w:rPr>
      </w:pPr>
      <w:bookmarkStart w:id="387" w:name="_Toc373478345"/>
      <w:bookmarkStart w:id="388" w:name="_Toc407135200"/>
      <w:bookmarkStart w:id="389" w:name="_Toc662"/>
      <w:bookmarkStart w:id="390" w:name="_Toc114058837"/>
      <w:bookmarkStart w:id="391" w:name="_Toc373227698"/>
      <w:bookmarkStart w:id="392" w:name="_Toc389065264"/>
      <w:bookmarkStart w:id="393" w:name="_Toc78449786"/>
      <w:bookmarkStart w:id="394" w:name="_Toc6969"/>
      <w:bookmarkStart w:id="395" w:name="_Toc50"/>
      <w:r>
        <w:rPr>
          <w:rFonts w:hint="eastAsia" w:ascii="宋体" w:hAnsi="宋体" w:cs="宋体"/>
          <w:color w:val="auto"/>
          <w:highlight w:val="none"/>
        </w:rPr>
        <w:t>1.7 联络</w:t>
      </w:r>
      <w:bookmarkEnd w:id="387"/>
      <w:bookmarkEnd w:id="388"/>
      <w:bookmarkEnd w:id="389"/>
      <w:bookmarkEnd w:id="390"/>
      <w:bookmarkEnd w:id="391"/>
      <w:bookmarkEnd w:id="392"/>
      <w:bookmarkEnd w:id="393"/>
      <w:bookmarkEnd w:id="394"/>
      <w:bookmarkEnd w:id="395"/>
    </w:p>
    <w:p w14:paraId="7EDA7AB0">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color w:val="auto"/>
          <w:highlight w:val="none"/>
          <w:u w:val="single"/>
        </w:rPr>
        <w:t>7日历</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25ADCC7E">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施工现场发包人办公室</w:t>
      </w:r>
      <w:r>
        <w:rPr>
          <w:rFonts w:hint="eastAsia" w:ascii="宋体" w:hAnsi="宋体" w:cs="宋体"/>
          <w:color w:val="auto"/>
          <w:kern w:val="0"/>
          <w:szCs w:val="21"/>
          <w:highlight w:val="none"/>
        </w:rPr>
        <w:t>；</w:t>
      </w:r>
    </w:p>
    <w:p w14:paraId="63BDE7B1">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业主代表（现场）</w:t>
      </w:r>
      <w:r>
        <w:rPr>
          <w:rFonts w:hint="eastAsia" w:ascii="宋体" w:hAnsi="宋体" w:cs="宋体"/>
          <w:color w:val="auto"/>
          <w:kern w:val="0"/>
          <w:szCs w:val="21"/>
          <w:highlight w:val="none"/>
        </w:rPr>
        <w:t>。</w:t>
      </w:r>
    </w:p>
    <w:p w14:paraId="7247E1CE">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施工现场承包人办公室</w:t>
      </w:r>
      <w:r>
        <w:rPr>
          <w:rFonts w:hint="eastAsia" w:ascii="宋体" w:hAnsi="宋体" w:cs="宋体"/>
          <w:color w:val="auto"/>
          <w:kern w:val="0"/>
          <w:szCs w:val="21"/>
          <w:highlight w:val="none"/>
        </w:rPr>
        <w:t>；</w:t>
      </w:r>
    </w:p>
    <w:p w14:paraId="6F141921">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承包人项目经理</w:t>
      </w:r>
      <w:r>
        <w:rPr>
          <w:rFonts w:hint="eastAsia" w:ascii="宋体" w:hAnsi="宋体" w:cs="宋体"/>
          <w:color w:val="auto"/>
          <w:kern w:val="0"/>
          <w:szCs w:val="21"/>
          <w:highlight w:val="none"/>
        </w:rPr>
        <w:t>。</w:t>
      </w:r>
    </w:p>
    <w:p w14:paraId="2F67922F">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CA88D3F">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C93F390">
      <w:pPr>
        <w:pStyle w:val="93"/>
        <w:rPr>
          <w:rFonts w:ascii="宋体" w:hAnsi="宋体" w:cs="宋体"/>
          <w:color w:val="auto"/>
          <w:highlight w:val="none"/>
        </w:rPr>
      </w:pPr>
      <w:bookmarkStart w:id="396" w:name="_Toc114058838"/>
      <w:bookmarkStart w:id="397" w:name="_Toc12537"/>
      <w:bookmarkStart w:id="398" w:name="_Toc10881"/>
      <w:bookmarkStart w:id="399" w:name="_Toc389065265"/>
      <w:bookmarkStart w:id="400" w:name="_Toc373478346"/>
      <w:bookmarkStart w:id="401" w:name="_Toc78449787"/>
      <w:bookmarkStart w:id="402" w:name="_Toc373227699"/>
      <w:bookmarkStart w:id="403" w:name="_Toc29639"/>
      <w:bookmarkStart w:id="404" w:name="_Toc407135201"/>
      <w:r>
        <w:rPr>
          <w:rFonts w:hint="eastAsia" w:ascii="宋体" w:hAnsi="宋体" w:cs="宋体"/>
          <w:color w:val="auto"/>
          <w:highlight w:val="none"/>
        </w:rPr>
        <w:t>1.10 交通运输</w:t>
      </w:r>
      <w:bookmarkEnd w:id="396"/>
      <w:bookmarkEnd w:id="397"/>
      <w:bookmarkEnd w:id="398"/>
      <w:bookmarkEnd w:id="399"/>
      <w:bookmarkEnd w:id="400"/>
      <w:bookmarkEnd w:id="401"/>
      <w:bookmarkEnd w:id="402"/>
      <w:bookmarkEnd w:id="403"/>
      <w:bookmarkEnd w:id="404"/>
    </w:p>
    <w:p w14:paraId="5381082C">
      <w:pPr>
        <w:pStyle w:val="79"/>
        <w:spacing w:line="360" w:lineRule="auto"/>
        <w:ind w:firstLine="412" w:firstLineChars="200"/>
        <w:rPr>
          <w:rFonts w:ascii="宋体" w:hAnsi="宋体" w:cs="宋体"/>
          <w:color w:val="auto"/>
          <w:szCs w:val="21"/>
          <w:highlight w:val="none"/>
        </w:rPr>
      </w:pPr>
      <w:bookmarkStart w:id="405" w:name="_Toc318581157"/>
      <w:r>
        <w:rPr>
          <w:rFonts w:hint="eastAsia" w:ascii="宋体" w:hAnsi="宋体" w:cs="宋体"/>
          <w:color w:val="auto"/>
          <w:szCs w:val="21"/>
          <w:highlight w:val="none"/>
        </w:rPr>
        <w:t>1</w:t>
      </w:r>
      <w:bookmarkStart w:id="406" w:name="_Toc303539100"/>
      <w:bookmarkStart w:id="407" w:name="_Toc318581155"/>
      <w:bookmarkStart w:id="408" w:name="_Toc300934943"/>
      <w:bookmarkStart w:id="409" w:name="_Toc304295521"/>
      <w:bookmarkStart w:id="410" w:name="_Toc312677986"/>
      <w:r>
        <w:rPr>
          <w:rFonts w:hint="eastAsia" w:ascii="宋体" w:hAnsi="宋体" w:cs="宋体"/>
          <w:color w:val="auto"/>
          <w:szCs w:val="21"/>
          <w:highlight w:val="none"/>
        </w:rPr>
        <w:t>.10.1 出入现场的权利</w:t>
      </w:r>
    </w:p>
    <w:p w14:paraId="66B2E3AA">
      <w:pPr>
        <w:pStyle w:val="79"/>
        <w:spacing w:line="360" w:lineRule="auto"/>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承包人根据工程建设需要，负责施工场地范围内的照明、砖砌围墙设施、临时给排水敷设、施工道路硬化、施工场地硬化施工，并承担因此而发生的费用，同时负责安全保卫工作。发包人有权无偿使用承包人修建的临时道路和交通设施，不需要缴纳任何费用</w:t>
      </w:r>
      <w:r>
        <w:rPr>
          <w:rFonts w:hint="eastAsia" w:ascii="宋体" w:hAnsi="宋体" w:cs="宋体"/>
          <w:color w:val="auto"/>
          <w:szCs w:val="21"/>
          <w:highlight w:val="none"/>
        </w:rPr>
        <w:t>。</w:t>
      </w:r>
    </w:p>
    <w:bookmarkEnd w:id="406"/>
    <w:bookmarkEnd w:id="407"/>
    <w:bookmarkEnd w:id="408"/>
    <w:bookmarkEnd w:id="409"/>
    <w:bookmarkEnd w:id="410"/>
    <w:p w14:paraId="4F555BC3">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411" w:name="_Toc304295522"/>
      <w:bookmarkStart w:id="412" w:name="_Toc318581156"/>
      <w:bookmarkStart w:id="413" w:name="_Toc312677987"/>
      <w:bookmarkStart w:id="414" w:name="_Toc300934944"/>
      <w:bookmarkStart w:id="415" w:name="_Toc303539101"/>
      <w:r>
        <w:rPr>
          <w:rFonts w:hint="eastAsia" w:ascii="宋体" w:hAnsi="宋体" w:cs="宋体"/>
          <w:color w:val="auto"/>
          <w:szCs w:val="21"/>
          <w:highlight w:val="none"/>
        </w:rPr>
        <w:t>.10.3 场内交通</w:t>
      </w:r>
    </w:p>
    <w:p w14:paraId="30A79DC6">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Cs/>
          <w:color w:val="auto"/>
          <w:szCs w:val="21"/>
          <w:highlight w:val="none"/>
          <w:u w:val="single"/>
        </w:rPr>
        <w:t>以工程用地红线界定</w:t>
      </w:r>
      <w:r>
        <w:rPr>
          <w:rFonts w:hint="eastAsia" w:ascii="宋体" w:hAnsi="宋体" w:cs="宋体"/>
          <w:color w:val="auto"/>
          <w:szCs w:val="21"/>
          <w:highlight w:val="none"/>
        </w:rPr>
        <w:t>。</w:t>
      </w:r>
    </w:p>
    <w:p w14:paraId="7CD16ADB">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由承包人根据现场实际自行考虑，费用自理</w:t>
      </w:r>
      <w:r>
        <w:rPr>
          <w:rFonts w:hint="eastAsia" w:ascii="宋体" w:hAnsi="宋体" w:cs="宋体"/>
          <w:color w:val="auto"/>
          <w:szCs w:val="21"/>
          <w:highlight w:val="none"/>
        </w:rPr>
        <w:t>。</w:t>
      </w:r>
      <w:bookmarkEnd w:id="411"/>
      <w:bookmarkEnd w:id="412"/>
      <w:bookmarkEnd w:id="413"/>
      <w:bookmarkEnd w:id="414"/>
      <w:bookmarkEnd w:id="415"/>
    </w:p>
    <w:p w14:paraId="0A7B129B">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1E8938BD">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405"/>
    <w:p w14:paraId="22FA3B93">
      <w:pPr>
        <w:pStyle w:val="93"/>
        <w:rPr>
          <w:rFonts w:ascii="宋体" w:hAnsi="宋体" w:cs="宋体"/>
          <w:color w:val="auto"/>
          <w:highlight w:val="none"/>
        </w:rPr>
      </w:pPr>
      <w:bookmarkStart w:id="416" w:name="_Toc114058839"/>
      <w:bookmarkStart w:id="417" w:name="_Toc407135202"/>
      <w:bookmarkStart w:id="418" w:name="_Toc373478347"/>
      <w:bookmarkStart w:id="419" w:name="_Toc373227700"/>
      <w:bookmarkStart w:id="420" w:name="_Toc78449788"/>
      <w:bookmarkStart w:id="421" w:name="_Toc18937"/>
      <w:bookmarkStart w:id="422" w:name="_Toc389065266"/>
      <w:bookmarkStart w:id="423" w:name="_Toc23120"/>
      <w:bookmarkStart w:id="424" w:name="_Toc31479"/>
      <w:r>
        <w:rPr>
          <w:rFonts w:hint="eastAsia" w:ascii="宋体" w:hAnsi="宋体" w:cs="宋体"/>
          <w:color w:val="auto"/>
          <w:highlight w:val="none"/>
        </w:rPr>
        <w:t>1.11 知识产权</w:t>
      </w:r>
      <w:bookmarkEnd w:id="416"/>
      <w:bookmarkEnd w:id="417"/>
      <w:bookmarkEnd w:id="418"/>
      <w:bookmarkEnd w:id="419"/>
      <w:bookmarkEnd w:id="420"/>
      <w:bookmarkEnd w:id="421"/>
      <w:bookmarkEnd w:id="422"/>
      <w:bookmarkEnd w:id="423"/>
      <w:bookmarkEnd w:id="424"/>
    </w:p>
    <w:p w14:paraId="152396E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按通用条款</w:t>
      </w:r>
      <w:r>
        <w:rPr>
          <w:rFonts w:hint="eastAsia" w:ascii="宋体" w:hAnsi="宋体" w:cs="宋体"/>
          <w:color w:val="auto"/>
          <w:highlight w:val="none"/>
        </w:rPr>
        <w:t>。</w:t>
      </w:r>
    </w:p>
    <w:p w14:paraId="420BFFD5">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仅限该项工程</w:t>
      </w:r>
      <w:r>
        <w:rPr>
          <w:rFonts w:hint="eastAsia" w:ascii="宋体" w:hAnsi="宋体" w:cs="宋体"/>
          <w:color w:val="auto"/>
          <w:highlight w:val="none"/>
        </w:rPr>
        <w:t>。</w:t>
      </w:r>
    </w:p>
    <w:p w14:paraId="4A81D2E8">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按通用条款</w:t>
      </w:r>
      <w:r>
        <w:rPr>
          <w:rFonts w:hint="eastAsia" w:ascii="宋体" w:hAnsi="宋体" w:cs="宋体"/>
          <w:color w:val="auto"/>
          <w:highlight w:val="none"/>
        </w:rPr>
        <w:t>。</w:t>
      </w:r>
    </w:p>
    <w:p w14:paraId="1016F922">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按通用条款</w:t>
      </w:r>
      <w:r>
        <w:rPr>
          <w:rFonts w:hint="eastAsia" w:ascii="宋体" w:hAnsi="宋体" w:cs="宋体"/>
          <w:color w:val="auto"/>
          <w:highlight w:val="none"/>
        </w:rPr>
        <w:t>。</w:t>
      </w:r>
    </w:p>
    <w:p w14:paraId="382A443F">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p>
    <w:p w14:paraId="17648542">
      <w:pPr>
        <w:pStyle w:val="78"/>
        <w:spacing w:line="360" w:lineRule="auto"/>
        <w:rPr>
          <w:rFonts w:ascii="宋体" w:hAnsi="宋体" w:cs="宋体"/>
          <w:color w:val="auto"/>
          <w:kern w:val="0"/>
          <w:highlight w:val="none"/>
        </w:rPr>
      </w:pPr>
      <w:r>
        <w:rPr>
          <w:rFonts w:hint="eastAsia" w:ascii="宋体" w:hAnsi="宋体" w:cs="宋体"/>
          <w:color w:val="auto"/>
          <w:highlight w:val="none"/>
          <w:u w:val="single"/>
        </w:rPr>
        <w:t xml:space="preserve">由承包人负责 </w:t>
      </w:r>
      <w:r>
        <w:rPr>
          <w:rFonts w:hint="eastAsia" w:ascii="宋体" w:hAnsi="宋体" w:cs="宋体"/>
          <w:color w:val="auto"/>
          <w:kern w:val="0"/>
          <w:highlight w:val="none"/>
        </w:rPr>
        <w:t>。</w:t>
      </w:r>
    </w:p>
    <w:p w14:paraId="79A0D3C4">
      <w:pPr>
        <w:pStyle w:val="93"/>
        <w:rPr>
          <w:rFonts w:ascii="宋体" w:hAnsi="宋体" w:cs="宋体"/>
          <w:color w:val="auto"/>
          <w:highlight w:val="none"/>
          <w:u w:val="single"/>
        </w:rPr>
      </w:pPr>
      <w:bookmarkStart w:id="425" w:name="_Toc2842"/>
      <w:bookmarkStart w:id="426" w:name="_Toc373478348"/>
      <w:bookmarkStart w:id="427" w:name="_Toc12338"/>
      <w:bookmarkStart w:id="428" w:name="_Toc373227701"/>
      <w:bookmarkStart w:id="429" w:name="_Toc114058840"/>
      <w:bookmarkStart w:id="430" w:name="_Toc389065267"/>
      <w:bookmarkStart w:id="431" w:name="_Toc407135203"/>
      <w:bookmarkStart w:id="432" w:name="_Toc22605"/>
      <w:bookmarkStart w:id="433" w:name="_Toc78449789"/>
      <w:r>
        <w:rPr>
          <w:rFonts w:hint="eastAsia" w:ascii="宋体" w:hAnsi="宋体" w:cs="宋体"/>
          <w:color w:val="auto"/>
          <w:highlight w:val="none"/>
        </w:rPr>
        <w:t>1.13工程量清单错误的修正</w:t>
      </w:r>
      <w:bookmarkEnd w:id="425"/>
      <w:bookmarkEnd w:id="426"/>
      <w:bookmarkEnd w:id="427"/>
      <w:bookmarkEnd w:id="428"/>
      <w:bookmarkEnd w:id="429"/>
      <w:bookmarkEnd w:id="430"/>
      <w:bookmarkEnd w:id="431"/>
      <w:bookmarkEnd w:id="432"/>
      <w:bookmarkEnd w:id="433"/>
    </w:p>
    <w:p w14:paraId="09E51EE2">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出现工程量清单错误时，是否调整清单综合单价：</w:t>
      </w:r>
      <w:r>
        <w:rPr>
          <w:rFonts w:hint="eastAsia" w:ascii="宋体" w:hAnsi="宋体" w:cs="宋体"/>
          <w:color w:val="auto"/>
          <w:highlight w:val="none"/>
          <w:u w:val="single"/>
        </w:rPr>
        <w:t>合同履行期间，由于招标工程量清单缺项、漏项，新增分部分项工程清单项目的，按照以下规定确定单价，并调整清单综合单价：（1）合同中已有相同子目的，按合同该子目价格进行计算；（2）合同中只有类似子目的，参照该类似子目价格进行计算；（3）合同中没有适用或类似子目的价格计算方法</w:t>
      </w:r>
      <w:r>
        <w:rPr>
          <w:rFonts w:hint="eastAsia" w:ascii="宋体" w:hAnsi="宋体" w:cs="宋体"/>
          <w:color w:val="auto"/>
          <w:highlight w:val="none"/>
          <w:u w:val="single"/>
        </w:rPr>
        <w:t>：有定额的套定额，并乘以下浮系数（成交价/经采购人审定的工程招标控制价）计算，其中材料价格按施工期间的《</w:t>
      </w:r>
      <w:r>
        <w:rPr>
          <w:rFonts w:hint="eastAsia" w:ascii="宋体" w:hAnsi="宋体" w:cs="宋体"/>
          <w:color w:val="auto"/>
          <w:highlight w:val="none"/>
          <w:u w:val="single"/>
          <w:lang w:val="en-US" w:eastAsia="zh-CN"/>
        </w:rPr>
        <w:t>柳州</w:t>
      </w:r>
      <w:r>
        <w:rPr>
          <w:rFonts w:hint="eastAsia" w:ascii="宋体" w:hAnsi="宋体" w:cs="宋体"/>
          <w:color w:val="auto"/>
          <w:highlight w:val="none"/>
          <w:u w:val="single"/>
          <w:lang w:eastAsia="zh-CN"/>
        </w:rPr>
        <w:t>市</w:t>
      </w:r>
      <w:r>
        <w:rPr>
          <w:rFonts w:hint="eastAsia" w:ascii="宋体" w:hAnsi="宋体" w:cs="宋体"/>
          <w:color w:val="auto"/>
          <w:highlight w:val="none"/>
          <w:u w:val="single"/>
        </w:rPr>
        <w:t>建设工程造价信息》相应价格信息计算；《</w:t>
      </w:r>
      <w:r>
        <w:rPr>
          <w:rFonts w:hint="eastAsia" w:ascii="宋体" w:hAnsi="宋体" w:cs="宋体"/>
          <w:color w:val="auto"/>
          <w:highlight w:val="none"/>
          <w:u w:val="single"/>
          <w:lang w:val="en-US" w:eastAsia="zh-CN"/>
        </w:rPr>
        <w:t>柳州</w:t>
      </w:r>
      <w:r>
        <w:rPr>
          <w:rFonts w:hint="eastAsia" w:ascii="宋体" w:hAnsi="宋体" w:cs="宋体"/>
          <w:color w:val="auto"/>
          <w:highlight w:val="none"/>
          <w:u w:val="single"/>
          <w:lang w:eastAsia="zh-CN"/>
        </w:rPr>
        <w:t>市</w:t>
      </w:r>
      <w:r>
        <w:rPr>
          <w:rFonts w:hint="eastAsia" w:ascii="宋体" w:hAnsi="宋体" w:cs="宋体"/>
          <w:color w:val="auto"/>
          <w:highlight w:val="none"/>
          <w:u w:val="single"/>
        </w:rPr>
        <w:t>建设工程造价信息》没有相应价格信息的按市场价计算；无定额可套的，根据市场价格协商确定综合价格；新增项目的单价必须</w:t>
      </w:r>
      <w:r>
        <w:rPr>
          <w:rFonts w:hint="eastAsia" w:ascii="宋体" w:hAnsi="宋体" w:cs="宋体"/>
          <w:color w:val="auto"/>
          <w:highlight w:val="none"/>
          <w:u w:val="single"/>
        </w:rPr>
        <w:t>事前经采购人审定。除以上情况之外出现工程量清单错误的，不调整清单综合单价。</w:t>
      </w:r>
    </w:p>
    <w:p w14:paraId="2C35BB9A">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出现工程量清单工程量偏差时，是否调整合同价格：</w:t>
      </w:r>
      <w:bookmarkStart w:id="434" w:name="EB1f93129355be46c6996b1c2295eb9b9b_0"/>
      <w:r>
        <w:rPr>
          <w:rFonts w:hint="eastAsia" w:ascii="MS Mincho" w:hAnsi="MS Mincho" w:eastAsia="MS Mincho" w:cs="MS Mincho"/>
          <w:color w:val="auto"/>
          <w:highlight w:val="none"/>
        </w:rPr>
        <w:t>☑</w:t>
      </w:r>
      <w:bookmarkEnd w:id="434"/>
      <w:r>
        <w:rPr>
          <w:rFonts w:hint="eastAsia" w:ascii="宋体" w:hAnsi="宋体" w:cs="宋体"/>
          <w:color w:val="auto"/>
          <w:highlight w:val="none"/>
          <w:u w:val="single"/>
        </w:rPr>
        <w:t>是  □否</w:t>
      </w:r>
      <w:r>
        <w:rPr>
          <w:rFonts w:hint="eastAsia" w:ascii="宋体" w:hAnsi="宋体" w:cs="宋体"/>
          <w:color w:val="auto"/>
          <w:kern w:val="0"/>
          <w:highlight w:val="none"/>
        </w:rPr>
        <w:t>。</w:t>
      </w:r>
    </w:p>
    <w:p w14:paraId="18E74AF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允许调整合同价格的工程量偏差范围及其调整办法：</w:t>
      </w:r>
    </w:p>
    <w:p w14:paraId="71B6BC94">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除严重不平衡报价外，无论分部分项工程量清单项目中的工程量变化多少均不调整</w:t>
      </w:r>
      <w:r>
        <w:rPr>
          <w:rFonts w:hint="eastAsia" w:ascii="宋体" w:hAnsi="宋体" w:cs="宋体"/>
          <w:color w:val="auto"/>
          <w:kern w:val="0"/>
          <w:highlight w:val="none"/>
        </w:rPr>
        <w:t>。</w:t>
      </w:r>
    </w:p>
    <w:p w14:paraId="1C6FA886">
      <w:pPr>
        <w:pStyle w:val="78"/>
        <w:spacing w:line="360" w:lineRule="auto"/>
        <w:ind w:firstLine="412" w:firstLineChars="200"/>
        <w:rPr>
          <w:rFonts w:ascii="宋体" w:hAnsi="宋体" w:cs="宋体"/>
          <w:color w:val="auto"/>
          <w:highlight w:val="none"/>
          <w:u w:val="single"/>
        </w:rPr>
      </w:pPr>
      <w:r>
        <w:rPr>
          <w:rFonts w:hint="eastAsia" w:ascii="MS Mincho" w:hAnsi="MS Mincho" w:eastAsia="MS Mincho" w:cs="MS Mincho"/>
          <w:color w:val="auto"/>
          <w:highlight w:val="none"/>
        </w:rPr>
        <w:t>☑</w:t>
      </w:r>
      <w:r>
        <w:rPr>
          <w:rFonts w:hint="eastAsia" w:ascii="宋体" w:hAnsi="宋体" w:cs="宋体"/>
          <w:color w:val="auto"/>
          <w:highlight w:val="none"/>
          <w:u w:val="single"/>
        </w:rPr>
        <w:t>承包人实际完成的某单项清单项目工程量与招标工程量清单工程量偏差超过 15 %且该单项清单造价超过合同总价 1 %以上的，超过后增加部分工程量或减少后剩余部分工程量的综合单价按以下方法调整：</w:t>
      </w:r>
      <w:r>
        <w:rPr>
          <w:rFonts w:hint="eastAsia" w:ascii="宋体" w:hAnsi="宋体" w:cs="宋体"/>
          <w:color w:val="auto"/>
          <w:highlight w:val="none"/>
        </w:rPr>
        <w:t>有定额的套定额计算，执行本谈判文件工程计价参考依据，</w:t>
      </w:r>
      <w:r>
        <w:rPr>
          <w:rFonts w:hint="eastAsia" w:ascii="宋体" w:hAnsi="宋体" w:cs="宋体"/>
          <w:color w:val="auto"/>
          <w:highlight w:val="none"/>
          <w:u w:val="single"/>
        </w:rPr>
        <w:t>并乘以下浮系数（成交价/经审定的工程招标控制价）结算，</w:t>
      </w:r>
      <w:r>
        <w:rPr>
          <w:rFonts w:hint="eastAsia" w:ascii="宋体" w:hAnsi="宋体" w:cs="宋体"/>
          <w:color w:val="auto"/>
          <w:highlight w:val="none"/>
        </w:rPr>
        <w:t>其中材料价格有信息价的按施工期间信息价的平均价计取，无信息价的由发包人及承包人根据市场价格协商议定。</w:t>
      </w:r>
    </w:p>
    <w:p w14:paraId="6DC3D928">
      <w:pPr>
        <w:pStyle w:val="94"/>
        <w:rPr>
          <w:rFonts w:ascii="宋体" w:hAnsi="宋体" w:eastAsia="宋体" w:cs="宋体"/>
          <w:color w:val="auto"/>
          <w:highlight w:val="none"/>
        </w:rPr>
      </w:pPr>
      <w:bookmarkStart w:id="435" w:name="_Toc17356"/>
      <w:bookmarkStart w:id="436" w:name="_Toc351203634"/>
      <w:bookmarkStart w:id="437" w:name="_Toc31116"/>
      <w:bookmarkStart w:id="438" w:name="_Toc389065268"/>
      <w:bookmarkStart w:id="439" w:name="_Toc23949"/>
      <w:bookmarkStart w:id="440" w:name="_Toc407135204"/>
      <w:bookmarkStart w:id="441" w:name="_Toc373227702"/>
      <w:bookmarkStart w:id="442" w:name="_Toc78449790"/>
      <w:bookmarkStart w:id="443" w:name="_Toc373478349"/>
      <w:bookmarkStart w:id="444" w:name="_Toc114058841"/>
      <w:r>
        <w:rPr>
          <w:rFonts w:hint="eastAsia" w:ascii="宋体" w:hAnsi="宋体" w:eastAsia="宋体" w:cs="宋体"/>
          <w:color w:val="auto"/>
          <w:highlight w:val="none"/>
        </w:rPr>
        <w:t>2</w:t>
      </w:r>
      <w:bookmarkStart w:id="445" w:name="_Toc296503157"/>
      <w:bookmarkStart w:id="446" w:name="_Toc296891197"/>
      <w:bookmarkStart w:id="447" w:name="_Toc296944496"/>
      <w:bookmarkStart w:id="448" w:name="_Toc297048343"/>
      <w:bookmarkStart w:id="449" w:name="_Toc292559867"/>
      <w:bookmarkStart w:id="450" w:name="_Toc296346658"/>
      <w:bookmarkStart w:id="451" w:name="_Toc297120457"/>
      <w:bookmarkStart w:id="452" w:name="_Toc292559362"/>
      <w:bookmarkStart w:id="453" w:name="_Toc296347156"/>
      <w:bookmarkStart w:id="454" w:name="_Toc296890985"/>
      <w:r>
        <w:rPr>
          <w:rFonts w:hint="eastAsia" w:ascii="宋体" w:hAnsi="宋体" w:eastAsia="宋体" w:cs="宋体"/>
          <w:color w:val="auto"/>
          <w:highlight w:val="none"/>
        </w:rPr>
        <w:t>. 发包人</w:t>
      </w:r>
      <w:bookmarkEnd w:id="435"/>
      <w:bookmarkEnd w:id="436"/>
      <w:bookmarkEnd w:id="437"/>
      <w:bookmarkEnd w:id="438"/>
      <w:bookmarkEnd w:id="439"/>
      <w:bookmarkEnd w:id="440"/>
      <w:bookmarkEnd w:id="441"/>
      <w:bookmarkEnd w:id="442"/>
      <w:bookmarkEnd w:id="443"/>
      <w:bookmarkEnd w:id="444"/>
    </w:p>
    <w:bookmarkEnd w:id="445"/>
    <w:bookmarkEnd w:id="446"/>
    <w:bookmarkEnd w:id="447"/>
    <w:bookmarkEnd w:id="448"/>
    <w:bookmarkEnd w:id="449"/>
    <w:bookmarkEnd w:id="450"/>
    <w:bookmarkEnd w:id="451"/>
    <w:bookmarkEnd w:id="452"/>
    <w:bookmarkEnd w:id="453"/>
    <w:bookmarkEnd w:id="454"/>
    <w:p w14:paraId="42A93B9C">
      <w:pPr>
        <w:pStyle w:val="93"/>
        <w:rPr>
          <w:rFonts w:ascii="宋体" w:hAnsi="宋体" w:cs="宋体"/>
          <w:color w:val="auto"/>
          <w:highlight w:val="none"/>
        </w:rPr>
      </w:pPr>
      <w:bookmarkStart w:id="455" w:name="_Toc114058842"/>
      <w:bookmarkStart w:id="456" w:name="_Toc373227703"/>
      <w:bookmarkStart w:id="457" w:name="_Toc78449791"/>
      <w:bookmarkStart w:id="458" w:name="_Toc21559"/>
      <w:bookmarkStart w:id="459" w:name="_Toc10090"/>
      <w:bookmarkStart w:id="460" w:name="_Toc389065269"/>
      <w:bookmarkStart w:id="461" w:name="_Toc26739"/>
      <w:bookmarkStart w:id="462" w:name="_Toc407135205"/>
      <w:bookmarkStart w:id="463" w:name="_Toc373478350"/>
      <w:r>
        <w:rPr>
          <w:rFonts w:hint="eastAsia" w:ascii="宋体" w:hAnsi="宋体" w:cs="宋体"/>
          <w:color w:val="auto"/>
          <w:highlight w:val="none"/>
        </w:rPr>
        <w:t>2.2 发包人代表</w:t>
      </w:r>
      <w:bookmarkEnd w:id="455"/>
      <w:bookmarkEnd w:id="456"/>
      <w:bookmarkEnd w:id="457"/>
      <w:bookmarkEnd w:id="458"/>
      <w:bookmarkEnd w:id="459"/>
      <w:bookmarkEnd w:id="460"/>
      <w:bookmarkEnd w:id="461"/>
      <w:bookmarkEnd w:id="462"/>
      <w:bookmarkEnd w:id="463"/>
    </w:p>
    <w:p w14:paraId="1BD8FB64">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发包人代表：</w:t>
      </w:r>
    </w:p>
    <w:p w14:paraId="320D738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14:paraId="0ADDE3EC">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14:paraId="05670658">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14:paraId="19ABF910">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 </w:t>
      </w:r>
      <w:r>
        <w:rPr>
          <w:rFonts w:hint="eastAsia" w:ascii="宋体" w:hAnsi="宋体" w:cs="宋体"/>
          <w:color w:val="auto"/>
          <w:highlight w:val="none"/>
        </w:rPr>
        <w:t>；</w:t>
      </w:r>
    </w:p>
    <w:p w14:paraId="33A48BFF">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  </w:t>
      </w:r>
      <w:r>
        <w:rPr>
          <w:rFonts w:hint="eastAsia" w:ascii="宋体" w:hAnsi="宋体" w:cs="宋体"/>
          <w:color w:val="auto"/>
          <w:highlight w:val="none"/>
        </w:rPr>
        <w:t>；</w:t>
      </w:r>
    </w:p>
    <w:p w14:paraId="438FA137">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0EC4B5B6">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代表发包人协调与本工程有关的事宜，并行使合同约定的发包人权利，履行合同约定发包人的职责。协调施工现场各方面的关系，协调工程质量，进度和安全文明施工中存在的问题，解决有关设计和技术签证，办理、签认现场经济技术签证，审核工程进度报表</w:t>
      </w:r>
      <w:r>
        <w:rPr>
          <w:rFonts w:hint="eastAsia" w:ascii="宋体" w:hAnsi="宋体" w:cs="宋体"/>
          <w:color w:val="auto"/>
          <w:highlight w:val="none"/>
        </w:rPr>
        <w:t>。</w:t>
      </w:r>
    </w:p>
    <w:p w14:paraId="6C4FF9A6">
      <w:pPr>
        <w:pStyle w:val="93"/>
        <w:rPr>
          <w:rFonts w:ascii="宋体" w:hAnsi="宋体" w:cs="宋体"/>
          <w:color w:val="auto"/>
          <w:highlight w:val="none"/>
        </w:rPr>
      </w:pPr>
      <w:bookmarkStart w:id="464" w:name="_Toc78449792"/>
      <w:bookmarkStart w:id="465" w:name="_Toc373478351"/>
      <w:bookmarkStart w:id="466" w:name="_Toc16012"/>
      <w:bookmarkStart w:id="467" w:name="_Toc373227704"/>
      <w:bookmarkStart w:id="468" w:name="_Toc114058843"/>
      <w:bookmarkStart w:id="469" w:name="_Toc389065270"/>
      <w:bookmarkStart w:id="470" w:name="_Toc407135206"/>
      <w:bookmarkStart w:id="471" w:name="_Toc616"/>
      <w:bookmarkStart w:id="472" w:name="_Toc17954"/>
      <w:r>
        <w:rPr>
          <w:rFonts w:hint="eastAsia" w:ascii="宋体" w:hAnsi="宋体" w:cs="宋体"/>
          <w:color w:val="auto"/>
          <w:highlight w:val="none"/>
        </w:rPr>
        <w:t>2.4 施工现场、施工条件和基础资料的提供</w:t>
      </w:r>
      <w:bookmarkEnd w:id="464"/>
      <w:bookmarkEnd w:id="465"/>
      <w:bookmarkEnd w:id="466"/>
      <w:bookmarkEnd w:id="467"/>
      <w:bookmarkEnd w:id="468"/>
      <w:bookmarkEnd w:id="469"/>
      <w:bookmarkEnd w:id="470"/>
      <w:bookmarkEnd w:id="471"/>
      <w:bookmarkEnd w:id="472"/>
    </w:p>
    <w:p w14:paraId="6F971DBA">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A72B129">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开工前7天，满足工程进展要求。施工场地内的道路由承包人自行完成，施工场地内的道路及与市政道路接口路段的日常清洁与维护由承包人承担，费用由承包人承担</w:t>
      </w:r>
      <w:r>
        <w:rPr>
          <w:rFonts w:hint="eastAsia" w:ascii="宋体" w:hAnsi="宋体" w:cs="宋体"/>
          <w:color w:val="auto"/>
          <w:szCs w:val="21"/>
          <w:highlight w:val="none"/>
        </w:rPr>
        <w:t>。</w:t>
      </w:r>
    </w:p>
    <w:p w14:paraId="54A1765A">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4B3BDA81">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施工所需电接入点和水接入点由发包人确定，由承包人负责接至施工现场并安装计量表，根据水电收费部门核定的费用、支付时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w:t>
      </w:r>
      <w:r>
        <w:rPr>
          <w:rFonts w:hint="eastAsia" w:ascii="宋体" w:hAnsi="宋体" w:cs="宋体"/>
          <w:color w:val="auto"/>
          <w:szCs w:val="21"/>
          <w:highlight w:val="none"/>
        </w:rPr>
        <w:t>。</w:t>
      </w:r>
    </w:p>
    <w:p w14:paraId="3B9F93A3">
      <w:pPr>
        <w:pStyle w:val="79"/>
        <w:spacing w:line="360" w:lineRule="auto"/>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工程地质和地下管线资料的提供时间：</w:t>
      </w:r>
      <w:r>
        <w:rPr>
          <w:rFonts w:hint="eastAsia" w:ascii="宋体" w:hAnsi="宋体" w:cs="宋体"/>
          <w:color w:val="auto"/>
          <w:szCs w:val="21"/>
          <w:highlight w:val="none"/>
          <w:u w:val="single"/>
        </w:rPr>
        <w:t>由发包人在开工前7天提供。</w:t>
      </w:r>
    </w:p>
    <w:p w14:paraId="1D0164A8">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 xml:space="preserve">水准点与座标控制点交验要求： </w:t>
      </w:r>
      <w:r>
        <w:rPr>
          <w:rFonts w:hint="eastAsia" w:ascii="宋体" w:hAnsi="宋体" w:cs="宋体"/>
          <w:color w:val="auto"/>
          <w:highlight w:val="none"/>
          <w:u w:val="single"/>
        </w:rPr>
        <w:t>于开工前3日内现场交验，双方做好签认工作。</w:t>
      </w:r>
    </w:p>
    <w:p w14:paraId="4A47FCD8">
      <w:pPr>
        <w:pStyle w:val="93"/>
        <w:rPr>
          <w:rFonts w:ascii="宋体" w:hAnsi="宋体" w:cs="宋体"/>
          <w:color w:val="auto"/>
          <w:highlight w:val="none"/>
        </w:rPr>
      </w:pPr>
      <w:bookmarkStart w:id="473" w:name="_Toc2245"/>
      <w:bookmarkStart w:id="474" w:name="_Toc4342"/>
      <w:bookmarkStart w:id="475" w:name="_Toc373478352"/>
      <w:bookmarkStart w:id="476" w:name="_Toc373227705"/>
      <w:bookmarkStart w:id="477" w:name="_Toc407135207"/>
      <w:bookmarkStart w:id="478" w:name="_Toc389065271"/>
      <w:bookmarkStart w:id="479" w:name="_Toc30001"/>
      <w:bookmarkStart w:id="480" w:name="_Toc114058844"/>
      <w:bookmarkStart w:id="481" w:name="_Toc78449793"/>
      <w:r>
        <w:rPr>
          <w:rFonts w:hint="eastAsia" w:ascii="宋体" w:hAnsi="宋体" w:cs="宋体"/>
          <w:color w:val="auto"/>
          <w:highlight w:val="none"/>
        </w:rPr>
        <w:t>2.5 资金来源证明及支付担保</w:t>
      </w:r>
      <w:bookmarkEnd w:id="473"/>
      <w:bookmarkEnd w:id="474"/>
      <w:bookmarkEnd w:id="475"/>
      <w:bookmarkEnd w:id="476"/>
      <w:bookmarkEnd w:id="477"/>
      <w:bookmarkEnd w:id="478"/>
      <w:bookmarkEnd w:id="479"/>
      <w:bookmarkEnd w:id="480"/>
      <w:bookmarkEnd w:id="481"/>
    </w:p>
    <w:p w14:paraId="188F045B">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DA3E5B6">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发包人是否提供支付担保：无 。【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投资项目，由建设单位提供落实财政资金来源的证明文件。】</w:t>
      </w:r>
    </w:p>
    <w:p w14:paraId="35A6FE73">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发包人提供支付担保的形式：可以是银行转账、电汇或网上支付、保函（银行保函、电子保函、保证保险保函、工程担保保函）等形式。</w:t>
      </w:r>
    </w:p>
    <w:p w14:paraId="1845FA30">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发包人提供的支付担保格式见合同附件9。</w:t>
      </w:r>
    </w:p>
    <w:p w14:paraId="1718145D">
      <w:pPr>
        <w:pStyle w:val="94"/>
        <w:rPr>
          <w:rFonts w:ascii="宋体" w:hAnsi="宋体" w:eastAsia="宋体" w:cs="宋体"/>
          <w:color w:val="auto"/>
          <w:highlight w:val="none"/>
        </w:rPr>
      </w:pPr>
      <w:bookmarkStart w:id="482" w:name="_Toc31186"/>
      <w:bookmarkStart w:id="483" w:name="_Toc78449794"/>
      <w:bookmarkStart w:id="484" w:name="_Toc373478353"/>
      <w:bookmarkStart w:id="485" w:name="_Toc389065272"/>
      <w:bookmarkStart w:id="486" w:name="_Toc14974"/>
      <w:bookmarkStart w:id="487" w:name="_Toc407135208"/>
      <w:bookmarkStart w:id="488" w:name="_Toc114058845"/>
      <w:bookmarkStart w:id="489" w:name="_Toc373227706"/>
      <w:bookmarkStart w:id="490" w:name="_Toc27357"/>
      <w:bookmarkStart w:id="491" w:name="_Toc351203635"/>
      <w:r>
        <w:rPr>
          <w:rFonts w:hint="eastAsia" w:ascii="宋体" w:hAnsi="宋体" w:eastAsia="宋体" w:cs="宋体"/>
          <w:color w:val="auto"/>
          <w:highlight w:val="none"/>
        </w:rPr>
        <w:t>3</w:t>
      </w:r>
      <w:bookmarkStart w:id="492" w:name="_Toc296944497"/>
      <w:bookmarkStart w:id="493" w:name="_Toc297048344"/>
      <w:bookmarkStart w:id="494" w:name="_Toc296346659"/>
      <w:bookmarkStart w:id="495" w:name="_Toc296347157"/>
      <w:bookmarkStart w:id="496" w:name="_Toc296891198"/>
      <w:bookmarkStart w:id="497" w:name="_Toc297120458"/>
      <w:bookmarkStart w:id="498" w:name="_Toc296890986"/>
      <w:bookmarkStart w:id="499" w:name="_Toc296503158"/>
      <w:bookmarkStart w:id="500" w:name="_Toc292559868"/>
      <w:bookmarkStart w:id="501" w:name="_Toc292559363"/>
      <w:r>
        <w:rPr>
          <w:rFonts w:hint="eastAsia" w:ascii="宋体" w:hAnsi="宋体" w:eastAsia="宋体" w:cs="宋体"/>
          <w:color w:val="auto"/>
          <w:highlight w:val="none"/>
        </w:rPr>
        <w:t>. 承包人</w:t>
      </w:r>
      <w:bookmarkEnd w:id="482"/>
      <w:bookmarkEnd w:id="483"/>
      <w:bookmarkEnd w:id="484"/>
      <w:bookmarkEnd w:id="485"/>
      <w:bookmarkEnd w:id="486"/>
      <w:bookmarkEnd w:id="487"/>
      <w:bookmarkEnd w:id="488"/>
      <w:bookmarkEnd w:id="489"/>
      <w:bookmarkEnd w:id="490"/>
      <w:bookmarkEnd w:id="491"/>
    </w:p>
    <w:bookmarkEnd w:id="492"/>
    <w:bookmarkEnd w:id="493"/>
    <w:bookmarkEnd w:id="494"/>
    <w:bookmarkEnd w:id="495"/>
    <w:bookmarkEnd w:id="496"/>
    <w:bookmarkEnd w:id="497"/>
    <w:bookmarkEnd w:id="498"/>
    <w:bookmarkEnd w:id="499"/>
    <w:bookmarkEnd w:id="500"/>
    <w:bookmarkEnd w:id="501"/>
    <w:p w14:paraId="19899A9A">
      <w:pPr>
        <w:pStyle w:val="93"/>
        <w:rPr>
          <w:rFonts w:ascii="宋体" w:hAnsi="宋体" w:cs="宋体"/>
          <w:color w:val="auto"/>
          <w:highlight w:val="none"/>
        </w:rPr>
      </w:pPr>
      <w:bookmarkStart w:id="502" w:name="_Toc6564"/>
      <w:bookmarkStart w:id="503" w:name="_Toc407135209"/>
      <w:bookmarkStart w:id="504" w:name="_Toc23606"/>
      <w:bookmarkStart w:id="505" w:name="_Toc373478354"/>
      <w:bookmarkStart w:id="506" w:name="_Toc78449795"/>
      <w:bookmarkStart w:id="507" w:name="_Toc21085"/>
      <w:bookmarkStart w:id="508" w:name="_Toc389065273"/>
      <w:bookmarkStart w:id="509" w:name="_Toc114058846"/>
      <w:bookmarkStart w:id="510" w:name="_Toc373227707"/>
      <w:r>
        <w:rPr>
          <w:rFonts w:hint="eastAsia" w:ascii="宋体" w:hAnsi="宋体" w:cs="宋体"/>
          <w:color w:val="auto"/>
          <w:highlight w:val="none"/>
        </w:rPr>
        <w:t>3.1 承包人的一般义务</w:t>
      </w:r>
      <w:bookmarkEnd w:id="502"/>
      <w:bookmarkEnd w:id="503"/>
      <w:bookmarkEnd w:id="504"/>
      <w:bookmarkEnd w:id="505"/>
      <w:bookmarkEnd w:id="506"/>
      <w:bookmarkEnd w:id="507"/>
      <w:bookmarkEnd w:id="508"/>
      <w:bookmarkEnd w:id="509"/>
      <w:bookmarkEnd w:id="510"/>
    </w:p>
    <w:p w14:paraId="391F9573">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p>
    <w:p w14:paraId="0BC71B89">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按国家规范工程竣工验收有关规定，向发包人提供完整的（含现场隐蔽工程照片、录像）竣工资料一式陆套及竣工验收报告</w:t>
      </w:r>
      <w:r>
        <w:rPr>
          <w:rFonts w:hint="eastAsia" w:ascii="宋体" w:hAnsi="宋体" w:cs="宋体"/>
          <w:color w:val="auto"/>
          <w:szCs w:val="21"/>
          <w:highlight w:val="none"/>
        </w:rPr>
        <w:t>。</w:t>
      </w:r>
    </w:p>
    <w:p w14:paraId="5C613B27">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一式陆套</w:t>
      </w:r>
      <w:r>
        <w:rPr>
          <w:rFonts w:hint="eastAsia" w:ascii="宋体" w:hAnsi="宋体" w:cs="宋体"/>
          <w:color w:val="auto"/>
          <w:szCs w:val="21"/>
          <w:highlight w:val="none"/>
        </w:rPr>
        <w:t>。</w:t>
      </w:r>
    </w:p>
    <w:p w14:paraId="6B52CFAC">
      <w:pPr>
        <w:pStyle w:val="79"/>
        <w:spacing w:line="360" w:lineRule="auto"/>
        <w:ind w:left="416"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费用由承包人承担</w:t>
      </w:r>
      <w:r>
        <w:rPr>
          <w:rFonts w:hint="eastAsia" w:ascii="宋体" w:hAnsi="宋体" w:cs="宋体"/>
          <w:color w:val="auto"/>
          <w:szCs w:val="21"/>
          <w:highlight w:val="none"/>
        </w:rPr>
        <w:t>。</w:t>
      </w:r>
    </w:p>
    <w:p w14:paraId="54EF8AE5">
      <w:pPr>
        <w:pStyle w:val="79"/>
        <w:spacing w:line="360" w:lineRule="auto"/>
        <w:ind w:left="416"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竣工验收整改完成后15日内</w:t>
      </w:r>
      <w:r>
        <w:rPr>
          <w:rFonts w:hint="eastAsia" w:ascii="宋体" w:hAnsi="宋体" w:cs="宋体"/>
          <w:color w:val="auto"/>
          <w:szCs w:val="21"/>
          <w:highlight w:val="none"/>
        </w:rPr>
        <w:t>。</w:t>
      </w:r>
    </w:p>
    <w:p w14:paraId="7382C315">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按南宁建设行政主管部门和城市建设档案管理机构的相关要求</w:t>
      </w:r>
      <w:r>
        <w:rPr>
          <w:rFonts w:hint="eastAsia" w:ascii="宋体" w:hAnsi="宋体" w:cs="宋体"/>
          <w:color w:val="auto"/>
          <w:szCs w:val="21"/>
          <w:highlight w:val="none"/>
        </w:rPr>
        <w:t>。</w:t>
      </w:r>
    </w:p>
    <w:p w14:paraId="494D947F">
      <w:pPr>
        <w:pStyle w:val="78"/>
        <w:numPr>
          <w:ilvl w:val="0"/>
          <w:numId w:val="5"/>
        </w:numPr>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承包人应履行的其他义务：</w:t>
      </w:r>
    </w:p>
    <w:p w14:paraId="6C6FD095">
      <w:pPr>
        <w:pStyle w:val="78"/>
        <w:spacing w:line="360" w:lineRule="auto"/>
        <w:ind w:firstLine="412" w:firstLineChars="200"/>
        <w:rPr>
          <w:rFonts w:ascii="宋体" w:hAnsi="宋体" w:cs="宋体"/>
          <w:color w:val="auto"/>
          <w:kern w:val="0"/>
          <w:highlight w:val="none"/>
          <w:u w:val="single"/>
        </w:rPr>
      </w:pPr>
      <w:r>
        <w:rPr>
          <w:rFonts w:hint="eastAsia" w:ascii="宋体" w:hAnsi="宋体" w:cs="宋体"/>
          <w:color w:val="auto"/>
          <w:kern w:val="0"/>
          <w:highlight w:val="none"/>
        </w:rPr>
        <w:t>1）</w:t>
      </w:r>
      <w:r>
        <w:rPr>
          <w:rFonts w:hint="eastAsia" w:ascii="宋体" w:hAnsi="宋体" w:cs="宋体"/>
          <w:color w:val="auto"/>
          <w:kern w:val="0"/>
          <w:highlight w:val="none"/>
          <w:u w:val="single"/>
        </w:rPr>
        <w:t>对开工的项目，须组建项目工会。</w:t>
      </w:r>
    </w:p>
    <w:p w14:paraId="42BA043A">
      <w:pPr>
        <w:pStyle w:val="79"/>
        <w:spacing w:line="360" w:lineRule="auto"/>
        <w:ind w:firstLine="41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rPr>
        <w:t>2）施工场地周围地下管线和邻近建筑物、构筑物（含文物保护建筑）、古树名木的保护要求及费用承担：</w:t>
      </w:r>
      <w:r>
        <w:rPr>
          <w:rFonts w:hint="eastAsia" w:ascii="宋体" w:hAnsi="宋体" w:cs="宋体"/>
          <w:b/>
          <w:bCs/>
          <w:color w:val="auto"/>
          <w:kern w:val="0"/>
          <w:szCs w:val="21"/>
          <w:highlight w:val="none"/>
          <w:u w:val="single"/>
        </w:rPr>
        <w:t>承包人施工时应探明并负责保护且承包费用，施工时如属承包人自身原因损坏地下管线、邻近建筑物、构筑物，所发生费用由承包人承担。</w:t>
      </w:r>
    </w:p>
    <w:p w14:paraId="0DD8C653">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取土场及弃土场由承包人自行解决，但不得违反相关管理规定，并承担相关费用。</w:t>
      </w:r>
    </w:p>
    <w:p w14:paraId="1DCD18AC">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4）承包人的临时占地（含项目部驻地等）租用费（含拆迁补偿）、临时用地的环保、恢复及所有临时性占地的青苗补偿及地面附着物发生的费用均由承包人负责。</w:t>
      </w:r>
    </w:p>
    <w:p w14:paraId="5FC3C115">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5）承包人负责拆除、清理已征用土地上的零星拆迁垃圾、杂物以及场地中的树根等并承担相关费用。</w:t>
      </w:r>
    </w:p>
    <w:p w14:paraId="29C701CB">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6）各合同承包人应允许本工程其他承包人在本合同承包人施工场地上架设施工用电线路，线路走向由各有关合同承包人共同协商确定。</w:t>
      </w:r>
    </w:p>
    <w:p w14:paraId="1356BAC3">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7）承包人应充分理解有一些设施（如施工道路）将会由一个以上的承包人使用，如果在使用过程中发生干扰时，应立即通知发包人并服从监服从的决定。</w:t>
      </w:r>
    </w:p>
    <w:p w14:paraId="1F68A5F7">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8）凡属于需要承包人交付给其他承包人的工作面以及与其他承包人交叉作业的工作面，承包人必须服从发包人的决定，按规定的完工日期完成并将清理好的工作面移交给发包人。</w:t>
      </w:r>
    </w:p>
    <w:p w14:paraId="4A79EE00">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9）承包人应为发包人现场代表对施工现场的检查监督提供必要的配合，并对这种配合对施工的影响应有充分的考虑。</w:t>
      </w:r>
    </w:p>
    <w:p w14:paraId="108B79C5">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10）配合发包人作好安全文明宣传、领导检查宣传等工作，相关费用由承包人承担。</w:t>
      </w:r>
    </w:p>
    <w:p w14:paraId="2AA59819">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11）承包人须自行承担本工程水电报装（含变压器、设备、电等）、使用、维护、拆除、恢复等工作，并负责相关费用。</w:t>
      </w:r>
    </w:p>
    <w:p w14:paraId="42CCDBA3">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12）对上述2）～11）项工作，费用已包括在有关单价和总价中，发包人不再另行支付由此所发生的一切费用。</w:t>
      </w:r>
    </w:p>
    <w:p w14:paraId="7ADD0786">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13）经过城市道路的施工车辆，必须按交警、城管、环保、环卫等部门规定通行。施工车辆的营运手续办理、清洗等一切费用由承包人承担。由于车辆带泥或洒漏造成的道路、环境等污染，其责任和费用均由承包人承担。</w:t>
      </w:r>
    </w:p>
    <w:p w14:paraId="4678D737">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14）土料场由承包人自行解决。</w:t>
      </w:r>
    </w:p>
    <w:p w14:paraId="095CFC7C">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15）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14:paraId="678C1C0C">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16）承包人修建的临时道路和交通设施，应免费提供给发包人和其他合同段的承包人使用。</w:t>
      </w:r>
    </w:p>
    <w:p w14:paraId="7DAB053A">
      <w:pPr>
        <w:pStyle w:val="79"/>
        <w:spacing w:line="360" w:lineRule="auto"/>
        <w:ind w:firstLine="433" w:firstLineChars="210"/>
        <w:rPr>
          <w:rFonts w:ascii="宋体" w:hAnsi="宋体" w:cs="宋体"/>
          <w:color w:val="auto"/>
          <w:szCs w:val="21"/>
          <w:highlight w:val="none"/>
        </w:rPr>
      </w:pPr>
      <w:r>
        <w:rPr>
          <w:rFonts w:hint="eastAsia" w:ascii="宋体" w:hAnsi="宋体" w:cs="宋体"/>
          <w:color w:val="auto"/>
          <w:szCs w:val="21"/>
          <w:highlight w:val="none"/>
        </w:rPr>
        <w:t>17）承包人在施工期间应协调好与邻近相关单位（含居民、农民）的关系，应避免发生矛盾与冲突，否则，由此造成的一切后果由承包人承担。</w:t>
      </w:r>
    </w:p>
    <w:p w14:paraId="1D808F01">
      <w:pPr>
        <w:pStyle w:val="79"/>
        <w:spacing w:line="360" w:lineRule="auto"/>
        <w:ind w:firstLine="412"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18）由</w:t>
      </w:r>
      <w:r>
        <w:rPr>
          <w:rFonts w:hint="eastAsia" w:ascii="宋体" w:hAnsi="宋体" w:cs="宋体"/>
          <w:b/>
          <w:bCs/>
          <w:color w:val="auto"/>
          <w:kern w:val="0"/>
          <w:szCs w:val="21"/>
          <w:highlight w:val="none"/>
        </w:rPr>
        <w:t>承包人按</w:t>
      </w:r>
      <w:r>
        <w:rPr>
          <w:rFonts w:hint="eastAsia" w:ascii="宋体" w:hAnsi="宋体" w:cs="宋体"/>
          <w:color w:val="auto"/>
          <w:kern w:val="0"/>
          <w:szCs w:val="21"/>
          <w:highlight w:val="none"/>
        </w:rPr>
        <w:t>国家和自治区有关征收、管理和使用</w:t>
      </w:r>
      <w:r>
        <w:rPr>
          <w:rFonts w:hint="eastAsia" w:ascii="宋体" w:hAnsi="宋体" w:cs="宋体"/>
          <w:b/>
          <w:bCs/>
          <w:color w:val="auto"/>
          <w:kern w:val="0"/>
          <w:szCs w:val="21"/>
          <w:highlight w:val="none"/>
        </w:rPr>
        <w:t>新型墙体材料专项基金、散装水泥专项基金</w:t>
      </w:r>
      <w:r>
        <w:rPr>
          <w:rFonts w:hint="eastAsia" w:ascii="宋体" w:hAnsi="宋体" w:cs="宋体"/>
          <w:color w:val="auto"/>
          <w:kern w:val="0"/>
          <w:szCs w:val="21"/>
          <w:highlight w:val="none"/>
        </w:rPr>
        <w:t>的有关规定</w:t>
      </w:r>
      <w:r>
        <w:rPr>
          <w:rFonts w:hint="eastAsia" w:ascii="宋体" w:hAnsi="宋体" w:cs="宋体"/>
          <w:b/>
          <w:bCs/>
          <w:color w:val="auto"/>
          <w:kern w:val="0"/>
          <w:szCs w:val="21"/>
          <w:highlight w:val="none"/>
        </w:rPr>
        <w:t>向管理部门缴纳新型墙体材料专项基金、散装水泥专项基金。</w:t>
      </w:r>
    </w:p>
    <w:p w14:paraId="3C468A3D">
      <w:pPr>
        <w:pStyle w:val="79"/>
        <w:spacing w:line="360" w:lineRule="auto"/>
        <w:ind w:firstLine="412" w:firstLineChars="200"/>
        <w:jc w:val="left"/>
        <w:rPr>
          <w:rFonts w:ascii="宋体" w:hAnsi="宋体" w:cs="宋体"/>
          <w:color w:val="auto"/>
          <w:szCs w:val="21"/>
          <w:highlight w:val="none"/>
        </w:rPr>
      </w:pPr>
      <w:r>
        <w:rPr>
          <w:rFonts w:hint="eastAsia" w:ascii="宋体" w:hAnsi="宋体" w:cs="宋体"/>
          <w:b/>
          <w:bCs/>
          <w:color w:val="auto"/>
          <w:kern w:val="0"/>
          <w:szCs w:val="21"/>
          <w:highlight w:val="none"/>
        </w:rPr>
        <w:t>19)</w:t>
      </w:r>
      <w:r>
        <w:rPr>
          <w:rFonts w:hint="eastAsia" w:ascii="宋体" w:hAnsi="宋体" w:cs="宋体"/>
          <w:color w:val="auto"/>
          <w:szCs w:val="21"/>
          <w:highlight w:val="none"/>
        </w:rPr>
        <w:t xml:space="preserve"> 积极协助与配合第三方审计机构开展跟踪审计工作，保障审计工作顺利进行。</w:t>
      </w:r>
    </w:p>
    <w:p w14:paraId="7B89BB33">
      <w:pPr>
        <w:pStyle w:val="79"/>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szCs w:val="21"/>
          <w:highlight w:val="none"/>
        </w:rPr>
        <w:t>20）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56DE68A7">
      <w:pPr>
        <w:pStyle w:val="93"/>
        <w:rPr>
          <w:rFonts w:ascii="宋体" w:hAnsi="宋体" w:cs="宋体"/>
          <w:color w:val="auto"/>
          <w:highlight w:val="none"/>
        </w:rPr>
      </w:pPr>
      <w:bookmarkStart w:id="511" w:name="_Toc407135210"/>
      <w:bookmarkStart w:id="512" w:name="_Toc114058847"/>
      <w:bookmarkStart w:id="513" w:name="_Toc12365"/>
      <w:bookmarkStart w:id="514" w:name="_Toc373478355"/>
      <w:bookmarkStart w:id="515" w:name="_Toc78449796"/>
      <w:bookmarkStart w:id="516" w:name="_Toc10512"/>
      <w:bookmarkStart w:id="517" w:name="_Toc373227708"/>
      <w:bookmarkStart w:id="518" w:name="_Toc389065274"/>
      <w:bookmarkStart w:id="519" w:name="_Toc13093"/>
      <w:r>
        <w:rPr>
          <w:rFonts w:hint="eastAsia" w:ascii="宋体" w:hAnsi="宋体" w:cs="宋体"/>
          <w:color w:val="auto"/>
          <w:highlight w:val="none"/>
        </w:rPr>
        <w:t>3.2 项目经理</w:t>
      </w:r>
      <w:bookmarkEnd w:id="511"/>
      <w:bookmarkEnd w:id="512"/>
      <w:bookmarkEnd w:id="513"/>
      <w:bookmarkEnd w:id="514"/>
      <w:bookmarkEnd w:id="515"/>
      <w:bookmarkEnd w:id="516"/>
      <w:bookmarkEnd w:id="517"/>
      <w:bookmarkEnd w:id="518"/>
      <w:bookmarkEnd w:id="519"/>
    </w:p>
    <w:p w14:paraId="10F9CBEA">
      <w:pPr>
        <w:pStyle w:val="78"/>
        <w:spacing w:line="360" w:lineRule="auto"/>
        <w:ind w:firstLine="412"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559E03E0">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14:paraId="5BB1DC2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14:paraId="2D947EE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 </w:t>
      </w:r>
      <w:r>
        <w:rPr>
          <w:rFonts w:hint="eastAsia" w:ascii="宋体" w:hAnsi="宋体" w:cs="宋体"/>
          <w:color w:val="auto"/>
          <w:highlight w:val="none"/>
        </w:rPr>
        <w:t>；</w:t>
      </w:r>
    </w:p>
    <w:p w14:paraId="40015EB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14:paraId="49E2C79A">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14:paraId="5848CDC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14:paraId="23330973">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604202B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09EEE2D1">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 xml:space="preserve">承包人对项目经理的授权范围如下：  </w:t>
      </w:r>
      <w:r>
        <w:rPr>
          <w:rFonts w:hint="eastAsia" w:ascii="宋体" w:hAnsi="宋体" w:cs="宋体"/>
          <w:color w:val="auto"/>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cs="宋体"/>
          <w:color w:val="auto"/>
          <w:highlight w:val="none"/>
        </w:rPr>
        <w:t>。</w:t>
      </w:r>
    </w:p>
    <w:p w14:paraId="27BF500B">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关于项目经理每月在施工现场的时间要求：发</w:t>
      </w:r>
      <w:r>
        <w:rPr>
          <w:rFonts w:hint="eastAsia" w:ascii="宋体" w:hAnsi="宋体" w:cs="宋体"/>
          <w:color w:val="auto"/>
          <w:highlight w:val="none"/>
          <w:u w:val="single"/>
        </w:rPr>
        <w:t>包人对项目经理、项目总工、安全员等主要管理人员进行考勤，以上人员每月出勤必须在21天以上，每缺勤一日，应向发包人支付违约金</w:t>
      </w:r>
      <w:r>
        <w:rPr>
          <w:rFonts w:ascii="宋体" w:hAnsi="宋体" w:cs="宋体"/>
          <w:b/>
          <w:bCs/>
          <w:color w:val="auto"/>
          <w:highlight w:val="none"/>
          <w:u w:val="single"/>
        </w:rPr>
        <w:t>2000</w:t>
      </w:r>
      <w:r>
        <w:rPr>
          <w:rFonts w:hint="eastAsia" w:ascii="宋体" w:hAnsi="宋体" w:cs="宋体"/>
          <w:b/>
          <w:bCs/>
          <w:color w:val="auto"/>
          <w:highlight w:val="none"/>
          <w:u w:val="single"/>
        </w:rPr>
        <w:t>元/人(人民币)</w:t>
      </w:r>
      <w:r>
        <w:rPr>
          <w:rFonts w:hint="eastAsia" w:ascii="宋体" w:hAnsi="宋体" w:cs="宋体"/>
          <w:color w:val="auto"/>
          <w:highlight w:val="none"/>
        </w:rPr>
        <w:t>。</w:t>
      </w:r>
    </w:p>
    <w:p w14:paraId="09C80F95">
      <w:pPr>
        <w:pStyle w:val="78"/>
        <w:spacing w:line="360" w:lineRule="auto"/>
        <w:ind w:firstLine="412"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视为承包人未能按照合同要求委派合格的项目经理并承担相应的违约责任</w:t>
      </w:r>
      <w:r>
        <w:rPr>
          <w:rFonts w:hint="eastAsia" w:ascii="宋体" w:hAnsi="宋体" w:cs="宋体"/>
          <w:color w:val="auto"/>
          <w:highlight w:val="none"/>
        </w:rPr>
        <w:t>。</w:t>
      </w:r>
    </w:p>
    <w:p w14:paraId="7E52BDEF">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cs="宋体"/>
          <w:color w:val="auto"/>
          <w:highlight w:val="none"/>
        </w:rPr>
        <w:t>。</w:t>
      </w:r>
    </w:p>
    <w:p w14:paraId="0DD078BB">
      <w:pPr>
        <w:pStyle w:val="78"/>
        <w:adjustRightInd w:val="0"/>
        <w:snapToGrid w:val="0"/>
        <w:spacing w:line="460" w:lineRule="exact"/>
        <w:ind w:firstLine="412" w:firstLineChars="200"/>
        <w:jc w:val="left"/>
        <w:rPr>
          <w:rFonts w:ascii="宋体" w:hAnsi="宋体" w:cs="宋体"/>
          <w:color w:val="auto"/>
          <w:highlight w:val="non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承包人项目经理必须与承包人</w:t>
      </w:r>
      <w:r>
        <w:rPr>
          <w:rFonts w:hint="eastAsia" w:ascii="宋体" w:hAnsi="宋体" w:cs="宋体"/>
          <w:color w:val="auto"/>
          <w:kern w:val="0"/>
          <w:highlight w:val="none"/>
          <w:u w:val="single"/>
        </w:rPr>
        <w:t>谈判</w:t>
      </w:r>
      <w:r>
        <w:rPr>
          <w:rFonts w:hint="eastAsia" w:ascii="宋体" w:hAnsi="宋体" w:cs="宋体"/>
          <w:color w:val="auto"/>
          <w:highlight w:val="none"/>
          <w:u w:val="single"/>
        </w:rPr>
        <w:t>时所承诺的人员一致，并在  （开工日期）  前到</w:t>
      </w:r>
      <w:r>
        <w:rPr>
          <w:rFonts w:hint="eastAsia" w:ascii="宋体" w:hAnsi="宋体" w:cs="宋体"/>
          <w:color w:val="auto"/>
          <w:highlight w:val="none"/>
        </w:rPr>
        <w:t>任。项目经理不得同时兼任其他任何项目的项目经理（符合《广西壮族自治区建筑市场诚信卡管理暂行办法》第十六条第一款及桂建管﹝2016﹞70号、桂建管〔2020〕11号文除外）</w:t>
      </w:r>
      <w:r>
        <w:rPr>
          <w:rFonts w:hint="eastAsia" w:ascii="宋体" w:hAnsi="宋体" w:cs="宋体"/>
          <w:color w:val="auto"/>
          <w:kern w:val="0"/>
          <w:highlight w:val="none"/>
          <w:u w:val="single"/>
        </w:rPr>
        <w:t>及</w:t>
      </w:r>
      <w:r>
        <w:rPr>
          <w:rFonts w:hint="eastAsia" w:ascii="宋体" w:hAnsi="宋体" w:cs="宋体"/>
          <w:b/>
          <w:bCs/>
          <w:color w:val="auto"/>
          <w:highlight w:val="none"/>
          <w:u w:val="single"/>
        </w:rPr>
        <w:t>除非是拟派项目经理出现以下情形：①因自身原因导致工程质量出现重大质量、安全事故；②有违法、违纪、被暂定或吊销项目经理资格证的；③发包人同意更换的；④严重疾病需要休养，时间超过工期一半以上，由区级医院出具病重说明的。否则，承包人不得以项目经理离职、岗位调动等理由更换项目经理，</w:t>
      </w:r>
      <w:r>
        <w:rPr>
          <w:rFonts w:hint="eastAsia" w:ascii="宋体" w:hAnsi="宋体" w:cs="宋体"/>
          <w:color w:val="auto"/>
          <w:highlight w:val="none"/>
        </w:rPr>
        <w:t>未经发包人书面同意，承包人擅自更换项目经理的视为违约，违约金处</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5000</w:t>
      </w:r>
      <w:r>
        <w:rPr>
          <w:rFonts w:hint="eastAsia" w:ascii="宋体" w:hAnsi="宋体" w:cs="宋体"/>
          <w:color w:val="auto"/>
          <w:highlight w:val="none"/>
          <w:u w:val="single"/>
        </w:rPr>
        <w:t xml:space="preserve"> </w:t>
      </w:r>
      <w:r>
        <w:rPr>
          <w:rFonts w:hint="eastAsia" w:ascii="宋体" w:hAnsi="宋体" w:cs="宋体"/>
          <w:color w:val="auto"/>
          <w:highlight w:val="none"/>
        </w:rPr>
        <w:t>元/人•次（人民币）。</w:t>
      </w:r>
    </w:p>
    <w:p w14:paraId="7E8B2ED6">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cs="宋体"/>
          <w:color w:val="auto"/>
          <w:highlight w:val="none"/>
        </w:rPr>
        <w:t>。</w:t>
      </w:r>
    </w:p>
    <w:p w14:paraId="6A5E851E">
      <w:pPr>
        <w:pStyle w:val="93"/>
        <w:rPr>
          <w:rFonts w:ascii="宋体" w:hAnsi="宋体" w:cs="宋体"/>
          <w:color w:val="auto"/>
          <w:highlight w:val="none"/>
        </w:rPr>
      </w:pPr>
      <w:bookmarkStart w:id="520" w:name="_Toc1845"/>
      <w:bookmarkStart w:id="521" w:name="_Toc407135211"/>
      <w:bookmarkStart w:id="522" w:name="_Toc373227709"/>
      <w:bookmarkStart w:id="523" w:name="_Toc14856"/>
      <w:bookmarkStart w:id="524" w:name="_Toc78449797"/>
      <w:bookmarkStart w:id="525" w:name="_Toc6583"/>
      <w:bookmarkStart w:id="526" w:name="_Toc114058848"/>
      <w:bookmarkStart w:id="527" w:name="_Toc373478356"/>
      <w:bookmarkStart w:id="528" w:name="_Toc389065275"/>
      <w:r>
        <w:rPr>
          <w:rFonts w:hint="eastAsia" w:ascii="宋体" w:hAnsi="宋体" w:cs="宋体"/>
          <w:color w:val="auto"/>
          <w:highlight w:val="none"/>
        </w:rPr>
        <w:t>3.3 承包人人员</w:t>
      </w:r>
      <w:bookmarkEnd w:id="520"/>
      <w:bookmarkEnd w:id="521"/>
      <w:bookmarkEnd w:id="522"/>
      <w:bookmarkEnd w:id="523"/>
      <w:bookmarkEnd w:id="524"/>
      <w:bookmarkEnd w:id="525"/>
      <w:bookmarkEnd w:id="526"/>
      <w:bookmarkEnd w:id="527"/>
      <w:bookmarkEnd w:id="528"/>
    </w:p>
    <w:p w14:paraId="5EE35BB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承包人提交项目管理机构及施工现场管理人员安排报告（格式见合同附件5）的期限：</w:t>
      </w:r>
    </w:p>
    <w:p w14:paraId="14ABCE65">
      <w:pPr>
        <w:pStyle w:val="78"/>
        <w:spacing w:line="360" w:lineRule="auto"/>
        <w:rPr>
          <w:rFonts w:ascii="宋体" w:hAnsi="宋体" w:cs="宋体"/>
          <w:color w:val="auto"/>
          <w:highlight w:val="none"/>
        </w:rPr>
      </w:pPr>
      <w:r>
        <w:rPr>
          <w:rFonts w:hint="eastAsia" w:ascii="宋体" w:hAnsi="宋体" w:cs="宋体"/>
          <w:color w:val="auto"/>
          <w:highlight w:val="none"/>
          <w:u w:val="single"/>
        </w:rPr>
        <w:t>工程开工前7天内</w:t>
      </w:r>
      <w:r>
        <w:rPr>
          <w:rFonts w:hint="eastAsia" w:ascii="宋体" w:hAnsi="宋体" w:cs="宋体"/>
          <w:color w:val="auto"/>
          <w:highlight w:val="none"/>
        </w:rPr>
        <w:t>。</w:t>
      </w:r>
    </w:p>
    <w:p w14:paraId="140629FF">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highlight w:val="none"/>
        </w:rPr>
        <w:t>。</w:t>
      </w:r>
    </w:p>
    <w:p w14:paraId="3A2AC968">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向发包人提出申请，并提供相关证明材料，须经现场发包负责人同意后离开</w:t>
      </w:r>
      <w:r>
        <w:rPr>
          <w:rFonts w:hint="eastAsia" w:ascii="宋体" w:hAnsi="宋体" w:cs="宋体"/>
          <w:color w:val="auto"/>
          <w:highlight w:val="none"/>
        </w:rPr>
        <w:t>。</w:t>
      </w:r>
    </w:p>
    <w:p w14:paraId="13D4012D">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3.3.5 承包人擅自更换主要施工管理人员的违约责任：</w:t>
      </w:r>
      <w:r>
        <w:rPr>
          <w:rFonts w:hint="eastAsia" w:ascii="宋体" w:hAnsi="宋体" w:cs="宋体"/>
          <w:color w:val="auto"/>
          <w:highlight w:val="none"/>
          <w:u w:val="single"/>
        </w:rPr>
        <w:t>项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2000元/人•次（人民币）违约金</w:t>
      </w:r>
      <w:r>
        <w:rPr>
          <w:rFonts w:hint="eastAsia" w:ascii="宋体" w:hAnsi="宋体" w:cs="宋体"/>
          <w:color w:val="auto"/>
          <w:highlight w:val="none"/>
        </w:rPr>
        <w:t>。</w:t>
      </w:r>
    </w:p>
    <w:p w14:paraId="130FE381">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w:t>
      </w:r>
      <w:r>
        <w:rPr>
          <w:rFonts w:hint="eastAsia" w:ascii="宋体" w:hAnsi="宋体" w:cs="宋体"/>
          <w:b/>
          <w:bCs/>
          <w:color w:val="auto"/>
          <w:highlight w:val="none"/>
          <w:u w:val="single"/>
        </w:rPr>
        <w:t>（每个月连续缺勤7天，累计15天视为擅自离岗）</w:t>
      </w:r>
      <w:r>
        <w:rPr>
          <w:rFonts w:hint="eastAsia" w:ascii="宋体" w:hAnsi="宋体" w:cs="宋体"/>
          <w:color w:val="auto"/>
          <w:highlight w:val="none"/>
          <w:u w:val="single"/>
        </w:rPr>
        <w:t>的，视为承包人违约，发包人有权处违约金5000元/人•次（人民币）；未经发包人同意，专职安全员擅自离岗</w:t>
      </w:r>
      <w:r>
        <w:rPr>
          <w:rFonts w:hint="eastAsia" w:ascii="宋体" w:hAnsi="宋体" w:cs="宋体"/>
          <w:b/>
          <w:bCs/>
          <w:color w:val="auto"/>
          <w:highlight w:val="none"/>
          <w:u w:val="single"/>
        </w:rPr>
        <w:t>（每个月连续缺勤7天，累计15天视为擅自离岗）</w:t>
      </w:r>
      <w:r>
        <w:rPr>
          <w:rFonts w:hint="eastAsia" w:ascii="宋体" w:hAnsi="宋体" w:cs="宋体"/>
          <w:color w:val="auto"/>
          <w:highlight w:val="none"/>
          <w:u w:val="single"/>
        </w:rPr>
        <w:t>的，视为承包人违约，发包人有权处违约金3000元/人•次（人民币）；其它在场管理人员擅自离岗</w:t>
      </w:r>
      <w:r>
        <w:rPr>
          <w:rFonts w:hint="eastAsia" w:ascii="宋体" w:hAnsi="宋体" w:cs="宋体"/>
          <w:b/>
          <w:bCs/>
          <w:color w:val="auto"/>
          <w:highlight w:val="none"/>
          <w:u w:val="single"/>
        </w:rPr>
        <w:t>（每个月连续缺勤7天，累计15天视为擅自离岗）</w:t>
      </w:r>
      <w:r>
        <w:rPr>
          <w:rFonts w:hint="eastAsia" w:ascii="宋体" w:hAnsi="宋体" w:cs="宋体"/>
          <w:color w:val="auto"/>
          <w:highlight w:val="none"/>
          <w:u w:val="single"/>
        </w:rPr>
        <w:t>的，视为承包人违约，发包人有权处违约金2000元/人•次（人民币）</w:t>
      </w:r>
      <w:r>
        <w:rPr>
          <w:rFonts w:hint="eastAsia" w:ascii="宋体" w:hAnsi="宋体" w:cs="宋体"/>
          <w:color w:val="auto"/>
          <w:highlight w:val="none"/>
        </w:rPr>
        <w:t>。</w:t>
      </w:r>
    </w:p>
    <w:p w14:paraId="78E45413">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3.3.6工程例会要求：承包人项目经理、项目技术负责人、水电负责人、质量员、安全员必须参加由每周工程例会，因故不能参加的应提前4小时向发包人提出书面申请并在获得总监批准后方可缺席（最多只能1人缺席），否则承包人须向发包人支付违约金 300元/人•次,迟到的承包人须向发包人支付违约金 200元/人•次。</w:t>
      </w:r>
    </w:p>
    <w:p w14:paraId="5A9355DD">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3.3.7对承包人工作人员的要求：对于下列承包人工作人员，发包人有权要求及时更换，承包人在收到书面通知后必须在24小时内将其调离本工程范围，否则承包人支付违约金 500元/人•次；同时，承包人应在48 小时内用发包人批准的合格的人员代替上述调离的人员。</w:t>
      </w:r>
    </w:p>
    <w:p w14:paraId="48376F70">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（1）分部分项工程经两次验收仍不能满足要求的主要责任者（指施工员、班组长、质量员、工长）；</w:t>
      </w:r>
    </w:p>
    <w:p w14:paraId="5734F262">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（2）专业水平达不到岗位要求、工作责任心不强的施工人员；</w:t>
      </w:r>
    </w:p>
    <w:p w14:paraId="362C931B">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（3）不能积极配合发包人的管理的工作人员；</w:t>
      </w:r>
    </w:p>
    <w:p w14:paraId="1C25B0F4">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（4）违反发包人或承包人工地现场管理规定者；</w:t>
      </w:r>
    </w:p>
    <w:p w14:paraId="244A3CC7">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（5）高空抛弃建筑垃圾者及随地大小便者；</w:t>
      </w:r>
    </w:p>
    <w:p w14:paraId="72E78923">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（6）无证上岗者；</w:t>
      </w:r>
    </w:p>
    <w:p w14:paraId="57B93FDB">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（7）与响应文件及本合同规定名册不符者；</w:t>
      </w:r>
    </w:p>
    <w:p w14:paraId="1F67E5EA">
      <w:pPr>
        <w:pStyle w:val="78"/>
        <w:spacing w:line="360" w:lineRule="auto"/>
        <w:ind w:firstLine="412" w:firstLineChars="200"/>
        <w:rPr>
          <w:rFonts w:ascii="宋体" w:hAnsi="宋体" w:cs="宋体"/>
          <w:color w:val="auto"/>
          <w:highlight w:val="none"/>
        </w:rPr>
      </w:pPr>
      <w:r>
        <w:rPr>
          <w:rFonts w:hint="eastAsia" w:ascii="宋体" w:hAnsi="宋体" w:cs="宋体"/>
          <w:b/>
          <w:bCs/>
          <w:color w:val="auto"/>
          <w:highlight w:val="none"/>
        </w:rPr>
        <w:t>（8）与本工程施工无关及对本工程产生不良影响的其他人员。</w:t>
      </w:r>
    </w:p>
    <w:p w14:paraId="0A917853">
      <w:pPr>
        <w:pStyle w:val="93"/>
        <w:rPr>
          <w:rFonts w:ascii="宋体" w:hAnsi="宋体" w:cs="宋体"/>
          <w:color w:val="auto"/>
          <w:highlight w:val="none"/>
        </w:rPr>
      </w:pPr>
      <w:bookmarkStart w:id="529" w:name="_Toc373227710"/>
      <w:bookmarkStart w:id="530" w:name="_Toc18136"/>
      <w:bookmarkStart w:id="531" w:name="_Toc14963"/>
      <w:bookmarkStart w:id="532" w:name="_Toc78449798"/>
      <w:bookmarkStart w:id="533" w:name="_Toc20388"/>
      <w:bookmarkStart w:id="534" w:name="_Toc373478357"/>
      <w:bookmarkStart w:id="535" w:name="_Toc389065276"/>
      <w:bookmarkStart w:id="536" w:name="_Toc407135212"/>
      <w:bookmarkStart w:id="537" w:name="_Toc114058849"/>
      <w:r>
        <w:rPr>
          <w:rFonts w:hint="eastAsia" w:ascii="宋体" w:hAnsi="宋体" w:cs="宋体"/>
          <w:color w:val="auto"/>
          <w:highlight w:val="none"/>
        </w:rPr>
        <w:t>3</w:t>
      </w:r>
      <w:bookmarkStart w:id="538" w:name="_Toc297123492"/>
      <w:bookmarkStart w:id="539" w:name="_Toc296347158"/>
      <w:bookmarkStart w:id="540" w:name="_Toc312677988"/>
      <w:bookmarkStart w:id="541" w:name="_Toc297120459"/>
      <w:bookmarkStart w:id="542" w:name="_Toc300934945"/>
      <w:bookmarkStart w:id="543" w:name="_Toc296890987"/>
      <w:bookmarkStart w:id="544" w:name="_Toc296944498"/>
      <w:bookmarkStart w:id="545" w:name="_Toc297216151"/>
      <w:bookmarkStart w:id="546" w:name="_Toc296891199"/>
      <w:bookmarkStart w:id="547" w:name="_Toc292559869"/>
      <w:bookmarkStart w:id="548" w:name="_Toc304295523"/>
      <w:bookmarkStart w:id="549" w:name="_Toc297048345"/>
      <w:bookmarkStart w:id="550" w:name="_Toc292559364"/>
      <w:bookmarkStart w:id="551" w:name="_Toc296503159"/>
      <w:bookmarkStart w:id="552" w:name="_Toc303539102"/>
      <w:bookmarkStart w:id="553" w:name="_Toc296346660"/>
      <w:r>
        <w:rPr>
          <w:rFonts w:hint="eastAsia" w:ascii="宋体" w:hAnsi="宋体" w:cs="宋体"/>
          <w:color w:val="auto"/>
          <w:highlight w:val="none"/>
        </w:rPr>
        <w:t>.5 分包</w:t>
      </w:r>
      <w:bookmarkEnd w:id="529"/>
      <w:bookmarkEnd w:id="530"/>
      <w:bookmarkEnd w:id="531"/>
      <w:bookmarkEnd w:id="532"/>
      <w:bookmarkEnd w:id="533"/>
      <w:bookmarkEnd w:id="534"/>
      <w:bookmarkEnd w:id="535"/>
      <w:bookmarkEnd w:id="536"/>
      <w:bookmarkEnd w:id="537"/>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659E31A5">
      <w:pPr>
        <w:pStyle w:val="79"/>
        <w:spacing w:line="360" w:lineRule="auto"/>
        <w:ind w:firstLine="412" w:firstLineChars="200"/>
        <w:rPr>
          <w:rFonts w:ascii="宋体" w:hAnsi="宋体" w:cs="宋体"/>
          <w:color w:val="auto"/>
          <w:szCs w:val="21"/>
          <w:highlight w:val="none"/>
        </w:rPr>
      </w:pPr>
      <w:bookmarkStart w:id="554" w:name="_Toc312677990"/>
      <w:bookmarkStart w:id="555" w:name="_Toc318581159"/>
      <w:r>
        <w:rPr>
          <w:rFonts w:hint="eastAsia" w:ascii="宋体" w:hAnsi="宋体" w:cs="宋体"/>
          <w:color w:val="auto"/>
          <w:szCs w:val="21"/>
          <w:highlight w:val="none"/>
        </w:rPr>
        <w:t>3</w:t>
      </w:r>
      <w:bookmarkStart w:id="556" w:name="_Toc296891200"/>
      <w:bookmarkStart w:id="557" w:name="_Toc296890988"/>
      <w:bookmarkStart w:id="558" w:name="_Toc292559365"/>
      <w:bookmarkStart w:id="559" w:name="_Toc296347159"/>
      <w:bookmarkStart w:id="560" w:name="_Toc318581158"/>
      <w:bookmarkStart w:id="561" w:name="_Toc303539103"/>
      <w:bookmarkStart w:id="562" w:name="_Toc292559870"/>
      <w:bookmarkStart w:id="563" w:name="_Toc304295524"/>
      <w:bookmarkStart w:id="564" w:name="_Toc300934946"/>
      <w:bookmarkStart w:id="565" w:name="_Toc296944499"/>
      <w:bookmarkStart w:id="566" w:name="_Toc297048346"/>
      <w:bookmarkStart w:id="567" w:name="_Toc312677989"/>
      <w:bookmarkStart w:id="568" w:name="_Toc296503160"/>
      <w:bookmarkStart w:id="569" w:name="_Toc297123493"/>
      <w:bookmarkStart w:id="570" w:name="_Toc297216152"/>
      <w:bookmarkStart w:id="571" w:name="_Toc296346661"/>
      <w:bookmarkStart w:id="572" w:name="_Toc297120460"/>
      <w:r>
        <w:rPr>
          <w:rFonts w:hint="eastAsia" w:ascii="宋体" w:hAnsi="宋体" w:cs="宋体"/>
          <w:color w:val="auto"/>
          <w:szCs w:val="21"/>
          <w:highlight w:val="none"/>
        </w:rPr>
        <w:t>.5.1 分包的一般约定</w:t>
      </w:r>
    </w:p>
    <w:p w14:paraId="02213547">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按通用条款</w:t>
      </w:r>
      <w:r>
        <w:rPr>
          <w:rFonts w:hint="eastAsia" w:ascii="宋体" w:hAnsi="宋体" w:cs="宋体"/>
          <w:color w:val="auto"/>
          <w:szCs w:val="21"/>
          <w:highlight w:val="none"/>
        </w:rPr>
        <w:t>。</w:t>
      </w:r>
    </w:p>
    <w:p w14:paraId="333C24AB">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项目采购清单所列范围</w:t>
      </w:r>
      <w:r>
        <w:rPr>
          <w:rFonts w:hint="eastAsia" w:ascii="宋体" w:hAnsi="宋体" w:cs="宋体"/>
          <w:color w:val="auto"/>
          <w:szCs w:val="21"/>
          <w:highlight w:val="none"/>
        </w:rPr>
        <w:t>。</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1A8653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3.5.2分包的确定</w:t>
      </w:r>
    </w:p>
    <w:p w14:paraId="24AA8FEE">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无</w:t>
      </w:r>
      <w:r>
        <w:rPr>
          <w:rFonts w:hint="eastAsia" w:ascii="宋体" w:hAnsi="宋体" w:cs="宋体"/>
          <w:color w:val="auto"/>
          <w:highlight w:val="none"/>
        </w:rPr>
        <w:t>。</w:t>
      </w:r>
    </w:p>
    <w:p w14:paraId="2FE117F4">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其他关于分包的约定：</w:t>
      </w:r>
    </w:p>
    <w:p w14:paraId="787903D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1）除前款约定的分包内容外，经过发包人同意，承包人可以将其他非主体、非关键性工作分包给第三人，但分包人应当经过发包人审批。发包人和监理人有权拒绝承包人的分包请求和承包人选择的分包人。本项目分包人主要施工管理人员名单详见合同附件6。</w:t>
      </w:r>
    </w:p>
    <w:p w14:paraId="55E1470B">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（2）在相关分包合同签订并报送有关建设行政主管部门备案后7天内，承包人应保障分包工作不得再次分包。</w:t>
      </w:r>
    </w:p>
    <w:p w14:paraId="3336C8E1">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（3）未经承包人审批同意的分包工程和分包人，承包人有权拒绝验收分包工程和支付相应款项，由此引起的发包人费用增加和(或)延误的工期由发包人承担。</w:t>
      </w:r>
    </w:p>
    <w:p w14:paraId="19A009A8">
      <w:pPr>
        <w:pStyle w:val="95"/>
        <w:spacing w:line="360" w:lineRule="auto"/>
        <w:ind w:firstLine="412" w:firstLineChars="200"/>
        <w:rPr>
          <w:rFonts w:hAnsi="宋体" w:cs="宋体"/>
          <w:color w:val="auto"/>
          <w:szCs w:val="21"/>
          <w:highlight w:val="none"/>
        </w:rPr>
      </w:pPr>
      <w:r>
        <w:rPr>
          <w:rFonts w:hint="eastAsia" w:hAnsi="宋体" w:cs="宋体"/>
          <w:color w:val="auto"/>
          <w:szCs w:val="21"/>
          <w:highlight w:val="none"/>
        </w:rPr>
        <w:t>（4）承包人有以下情况之一者，发包人有权解除合同，并视情况扣除其履约保证金：</w:t>
      </w:r>
    </w:p>
    <w:p w14:paraId="1A9D5938">
      <w:pPr>
        <w:pStyle w:val="95"/>
        <w:spacing w:line="360" w:lineRule="auto"/>
        <w:ind w:firstLine="433" w:firstLineChars="210"/>
        <w:rPr>
          <w:rFonts w:hAnsi="宋体" w:cs="宋体"/>
          <w:color w:val="auto"/>
          <w:szCs w:val="21"/>
          <w:highlight w:val="none"/>
        </w:rPr>
      </w:pPr>
      <w:r>
        <w:rPr>
          <w:rFonts w:hint="eastAsia" w:hAnsi="宋体" w:cs="宋体"/>
          <w:color w:val="auto"/>
          <w:szCs w:val="21"/>
          <w:highlight w:val="none"/>
        </w:rPr>
        <w:t>①个人承包工程，包括本人单位及外单位人员承包，发包人不承认其个人拥有任何资质等级及营业许可资格。没收全部履约保证金。</w:t>
      </w:r>
    </w:p>
    <w:p w14:paraId="5BFF06CC">
      <w:pPr>
        <w:pStyle w:val="95"/>
        <w:spacing w:line="360" w:lineRule="auto"/>
        <w:ind w:firstLine="433" w:firstLineChars="210"/>
        <w:rPr>
          <w:rFonts w:hAnsi="宋体" w:cs="宋体"/>
          <w:color w:val="auto"/>
          <w:szCs w:val="21"/>
          <w:highlight w:val="none"/>
        </w:rPr>
      </w:pPr>
      <w:r>
        <w:rPr>
          <w:rFonts w:hint="eastAsia" w:hAnsi="宋体" w:cs="宋体"/>
          <w:color w:val="auto"/>
          <w:szCs w:val="21"/>
          <w:highlight w:val="none"/>
        </w:rPr>
        <w:t>②几个人联合承包工程，就地组织暗分包队伍，不具备完成本工程的技术、机械能力，被发包人判定为没有能力履行的承包人。没收全部履约保证金。</w:t>
      </w:r>
    </w:p>
    <w:p w14:paraId="0B686608">
      <w:pPr>
        <w:pStyle w:val="95"/>
        <w:spacing w:line="360" w:lineRule="auto"/>
        <w:ind w:firstLine="433" w:firstLineChars="210"/>
        <w:rPr>
          <w:rFonts w:hAnsi="宋体" w:cs="宋体"/>
          <w:color w:val="auto"/>
          <w:szCs w:val="21"/>
          <w:highlight w:val="none"/>
        </w:rPr>
      </w:pPr>
      <w:r>
        <w:rPr>
          <w:rFonts w:hint="eastAsia" w:hAnsi="宋体" w:cs="宋体"/>
          <w:color w:val="auto"/>
          <w:szCs w:val="21"/>
          <w:highlight w:val="none"/>
        </w:rPr>
        <w:t>③就地转包全部的工程，以谋取高额转让费、管理费的承包人。没收全部履约保证金。</w:t>
      </w:r>
    </w:p>
    <w:p w14:paraId="4C6CA598">
      <w:pPr>
        <w:pStyle w:val="78"/>
        <w:spacing w:line="360" w:lineRule="auto"/>
        <w:ind w:firstLine="412" w:firstLineChars="200"/>
        <w:rPr>
          <w:rFonts w:ascii="宋体" w:hAnsi="宋体" w:cs="宋体"/>
          <w:color w:val="auto"/>
          <w:highlight w:val="none"/>
          <w:u w:val="single"/>
        </w:rPr>
      </w:pPr>
      <w:r>
        <w:rPr>
          <w:rFonts w:hint="eastAsia" w:ascii="宋体"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7DD62DA8">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3.5.4 分包合同价款</w:t>
      </w:r>
    </w:p>
    <w:bookmarkEnd w:id="554"/>
    <w:bookmarkEnd w:id="555"/>
    <w:p w14:paraId="46B6E0F4">
      <w:pPr>
        <w:pStyle w:val="78"/>
        <w:spacing w:line="360" w:lineRule="auto"/>
        <w:ind w:firstLine="412" w:firstLineChars="200"/>
        <w:rPr>
          <w:rFonts w:ascii="宋体" w:hAnsi="宋体" w:cs="宋体"/>
          <w:color w:val="auto"/>
          <w:highlight w:val="none"/>
        </w:rPr>
      </w:pPr>
      <w:bookmarkStart w:id="573" w:name="_Toc373478358"/>
      <w:bookmarkStart w:id="574" w:name="_Toc373227711"/>
      <w:bookmarkStart w:id="575" w:name="_Toc389065277"/>
      <w:r>
        <w:rPr>
          <w:rFonts w:hint="eastAsia" w:ascii="宋体" w:hAnsi="宋体" w:cs="宋体"/>
          <w:color w:val="auto"/>
          <w:highlight w:val="none"/>
        </w:rPr>
        <w:t>关于分包合同价款支付的约定：</w:t>
      </w:r>
      <w:r>
        <w:rPr>
          <w:rFonts w:hint="eastAsia" w:ascii="宋体" w:hAnsi="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B7F7879">
      <w:pPr>
        <w:pStyle w:val="93"/>
        <w:rPr>
          <w:rFonts w:ascii="宋体" w:hAnsi="宋体" w:cs="宋体"/>
          <w:color w:val="auto"/>
          <w:highlight w:val="none"/>
        </w:rPr>
      </w:pPr>
      <w:bookmarkStart w:id="576" w:name="_Toc78449799"/>
      <w:bookmarkStart w:id="577" w:name="_Toc407135213"/>
      <w:bookmarkStart w:id="578" w:name="_Toc114058850"/>
      <w:bookmarkStart w:id="579" w:name="_Toc16677"/>
      <w:bookmarkStart w:id="580" w:name="_Toc19801"/>
      <w:bookmarkStart w:id="581" w:name="_Toc25238"/>
      <w:r>
        <w:rPr>
          <w:rFonts w:hint="eastAsia" w:ascii="宋体" w:hAnsi="宋体" w:cs="宋体"/>
          <w:color w:val="auto"/>
          <w:highlight w:val="none"/>
        </w:rPr>
        <w:t>3.6 工程照管与成品、半成品保护</w:t>
      </w:r>
      <w:bookmarkEnd w:id="573"/>
      <w:bookmarkEnd w:id="574"/>
      <w:bookmarkEnd w:id="575"/>
      <w:bookmarkEnd w:id="576"/>
      <w:bookmarkEnd w:id="577"/>
      <w:bookmarkEnd w:id="578"/>
      <w:bookmarkEnd w:id="579"/>
      <w:bookmarkEnd w:id="580"/>
      <w:bookmarkEnd w:id="581"/>
    </w:p>
    <w:p w14:paraId="1E62D93B">
      <w:pPr>
        <w:pStyle w:val="78"/>
        <w:spacing w:line="360" w:lineRule="auto"/>
        <w:ind w:firstLine="412" w:firstLineChars="200"/>
        <w:rPr>
          <w:rFonts w:ascii="宋体" w:hAnsi="宋体" w:cs="宋体"/>
          <w:color w:val="auto"/>
          <w:kern w:val="0"/>
          <w:highlight w:val="none"/>
          <w:u w:val="singl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color w:val="auto"/>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ascii="宋体" w:hAnsi="宋体" w:cs="宋体"/>
          <w:color w:val="auto"/>
          <w:kern w:val="0"/>
          <w:highlight w:val="none"/>
        </w:rPr>
        <w:t>。</w:t>
      </w:r>
    </w:p>
    <w:p w14:paraId="65777257">
      <w:pPr>
        <w:pStyle w:val="93"/>
        <w:rPr>
          <w:rFonts w:ascii="宋体" w:hAnsi="宋体" w:cs="宋体"/>
          <w:color w:val="auto"/>
          <w:highlight w:val="none"/>
        </w:rPr>
      </w:pPr>
      <w:bookmarkStart w:id="582" w:name="_Toc389065278"/>
      <w:bookmarkStart w:id="583" w:name="_Toc373478359"/>
      <w:bookmarkStart w:id="584" w:name="_Toc373227712"/>
      <w:bookmarkStart w:id="585" w:name="_Toc407135214"/>
      <w:bookmarkStart w:id="586" w:name="_Toc10712"/>
      <w:bookmarkStart w:id="587" w:name="_Toc78449800"/>
      <w:bookmarkStart w:id="588" w:name="_Toc114058851"/>
      <w:bookmarkStart w:id="589" w:name="_Toc3525"/>
      <w:bookmarkStart w:id="590" w:name="_Toc8334"/>
      <w:r>
        <w:rPr>
          <w:rFonts w:hint="eastAsia" w:ascii="宋体" w:hAnsi="宋体" w:cs="宋体"/>
          <w:color w:val="auto"/>
          <w:highlight w:val="none"/>
        </w:rPr>
        <w:t>3.7 履约</w:t>
      </w:r>
      <w:bookmarkEnd w:id="582"/>
      <w:bookmarkEnd w:id="583"/>
      <w:bookmarkEnd w:id="584"/>
      <w:r>
        <w:rPr>
          <w:rFonts w:hint="eastAsia" w:ascii="宋体" w:hAnsi="宋体" w:cs="宋体"/>
          <w:color w:val="auto"/>
          <w:highlight w:val="none"/>
        </w:rPr>
        <w:t>保证金</w:t>
      </w:r>
      <w:bookmarkEnd w:id="585"/>
      <w:bookmarkEnd w:id="586"/>
      <w:bookmarkEnd w:id="587"/>
      <w:bookmarkEnd w:id="588"/>
      <w:bookmarkEnd w:id="589"/>
      <w:bookmarkEnd w:id="590"/>
    </w:p>
    <w:p w14:paraId="0FC5062C">
      <w:pPr>
        <w:pStyle w:val="79"/>
        <w:spacing w:line="360" w:lineRule="auto"/>
        <w:ind w:firstLine="412" w:firstLineChars="200"/>
        <w:jc w:val="left"/>
        <w:rPr>
          <w:rFonts w:ascii="宋体" w:hAnsi="宋体" w:cs="宋体"/>
          <w:color w:val="auto"/>
          <w:szCs w:val="21"/>
          <w:highlight w:val="none"/>
          <w:u w:val="single"/>
        </w:rPr>
      </w:pPr>
      <w:bookmarkStart w:id="591" w:name="_Toc351203636"/>
      <w:bookmarkStart w:id="592" w:name="_Toc373227713"/>
      <w:bookmarkStart w:id="593" w:name="_Toc373478360"/>
      <w:bookmarkStart w:id="594" w:name="_Toc389065279"/>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7C95AF">
      <w:pPr>
        <w:pStyle w:val="79"/>
        <w:spacing w:line="360" w:lineRule="auto"/>
        <w:ind w:firstLine="412"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履约保证金的形式：</w:t>
      </w:r>
      <w:r>
        <w:rPr>
          <w:rFonts w:hint="eastAsia" w:ascii="宋体" w:hAnsi="宋体" w:cs="宋体"/>
          <w:color w:val="auto"/>
          <w:szCs w:val="21"/>
          <w:highlight w:val="none"/>
          <w:u w:val="single"/>
        </w:rPr>
        <w:t>履约保证金金额：按成交金额的 2 %【如为中型企业，按合同总金额的2%收取，如为小微企业的，免收履约保证金】。</w:t>
      </w:r>
    </w:p>
    <w:p w14:paraId="001C7FF3">
      <w:pPr>
        <w:pStyle w:val="79"/>
        <w:spacing w:line="360" w:lineRule="auto"/>
        <w:ind w:firstLine="412"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履约保证金提交方式：银行转账、支票、汇票、本票或者金融、担保机构出具的保函等非现金方式（参照竞标保证金）。</w:t>
      </w:r>
    </w:p>
    <w:p w14:paraId="74432C40">
      <w:pPr>
        <w:pStyle w:val="79"/>
        <w:spacing w:line="360" w:lineRule="auto"/>
        <w:ind w:firstLine="412"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履约保证金退付方式、时间及条件：如有，将依照采购文件第五章拟签订的合同文本约定。</w:t>
      </w:r>
    </w:p>
    <w:p w14:paraId="40ED7008">
      <w:pPr>
        <w:pStyle w:val="79"/>
        <w:spacing w:line="360" w:lineRule="auto"/>
        <w:ind w:firstLine="412"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如：由</w:t>
      </w:r>
      <w:r>
        <w:rPr>
          <w:rFonts w:hint="eastAsia" w:ascii="宋体" w:hAnsi="宋体" w:cs="宋体"/>
          <w:color w:val="auto"/>
          <w:szCs w:val="21"/>
          <w:highlight w:val="none"/>
          <w:u w:val="single"/>
          <w:lang w:eastAsia="zh-CN"/>
        </w:rPr>
        <w:t>乙方</w:t>
      </w:r>
      <w:r>
        <w:rPr>
          <w:rFonts w:hint="eastAsia" w:ascii="宋体" w:hAnsi="宋体" w:cs="宋体"/>
          <w:color w:val="auto"/>
          <w:szCs w:val="21"/>
          <w:highlight w:val="none"/>
          <w:u w:val="single"/>
        </w:rPr>
        <w:t>向履约保证金收取单位提供《广西壮族自治区政府采购项目合同验收书》及《政府采购项目履约保证金退付意见书》，保证金收取单位在收到合格材料后5个工作日内办理退还手续（不计利息）。</w:t>
      </w:r>
    </w:p>
    <w:p w14:paraId="710B032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u w:val="single"/>
        </w:rPr>
        <w:t>履约保证金指定账户：成交后由</w:t>
      </w:r>
      <w:r>
        <w:rPr>
          <w:rFonts w:hint="eastAsia" w:ascii="宋体" w:hAnsi="宋体" w:cs="宋体"/>
          <w:color w:val="auto"/>
          <w:szCs w:val="21"/>
          <w:highlight w:val="none"/>
          <w:u w:val="single"/>
          <w:lang w:eastAsia="zh-CN"/>
        </w:rPr>
        <w:t>甲方</w:t>
      </w:r>
      <w:r>
        <w:rPr>
          <w:rFonts w:hint="eastAsia" w:ascii="宋体" w:hAnsi="宋体" w:cs="宋体"/>
          <w:color w:val="auto"/>
          <w:szCs w:val="21"/>
          <w:highlight w:val="none"/>
          <w:u w:val="single"/>
        </w:rPr>
        <w:t>提供。</w:t>
      </w:r>
    </w:p>
    <w:p w14:paraId="4904A89E">
      <w:pPr>
        <w:pStyle w:val="94"/>
        <w:rPr>
          <w:rFonts w:ascii="宋体" w:hAnsi="宋体" w:eastAsia="宋体" w:cs="宋体"/>
          <w:color w:val="auto"/>
          <w:highlight w:val="none"/>
        </w:rPr>
      </w:pPr>
      <w:bookmarkStart w:id="595" w:name="_Toc6103"/>
      <w:bookmarkStart w:id="596" w:name="_Toc27032"/>
      <w:bookmarkStart w:id="597" w:name="_Toc78449801"/>
      <w:bookmarkStart w:id="598" w:name="_Toc8572"/>
      <w:bookmarkStart w:id="599" w:name="_Toc114058852"/>
      <w:bookmarkStart w:id="600" w:name="_Toc407135215"/>
      <w:r>
        <w:rPr>
          <w:rFonts w:hint="eastAsia" w:ascii="宋体" w:hAnsi="宋体" w:eastAsia="宋体" w:cs="宋体"/>
          <w:color w:val="auto"/>
          <w:highlight w:val="none"/>
        </w:rPr>
        <w:t>4</w:t>
      </w:r>
      <w:bookmarkStart w:id="601" w:name="_Toc292559871"/>
      <w:bookmarkStart w:id="602" w:name="_Toc296890990"/>
      <w:bookmarkStart w:id="603" w:name="_Toc296347161"/>
      <w:bookmarkStart w:id="604" w:name="_Toc292559366"/>
      <w:bookmarkStart w:id="605" w:name="_Toc296503162"/>
      <w:bookmarkStart w:id="606" w:name="_Toc267251413"/>
      <w:bookmarkStart w:id="607" w:name="_Toc296346663"/>
      <w:bookmarkStart w:id="608" w:name="_Toc297120462"/>
      <w:bookmarkStart w:id="609" w:name="_Toc296891202"/>
      <w:bookmarkStart w:id="610" w:name="_Toc296944501"/>
      <w:bookmarkStart w:id="611" w:name="_Toc297048348"/>
      <w:r>
        <w:rPr>
          <w:rFonts w:hint="eastAsia" w:ascii="宋体" w:hAnsi="宋体" w:eastAsia="宋体" w:cs="宋体"/>
          <w:color w:val="auto"/>
          <w:highlight w:val="none"/>
        </w:rPr>
        <w:t>. 监</w:t>
      </w:r>
      <w:bookmarkEnd w:id="601"/>
      <w:bookmarkEnd w:id="602"/>
      <w:bookmarkEnd w:id="603"/>
      <w:bookmarkEnd w:id="604"/>
      <w:bookmarkEnd w:id="605"/>
      <w:bookmarkEnd w:id="606"/>
      <w:bookmarkEnd w:id="607"/>
      <w:bookmarkEnd w:id="608"/>
      <w:bookmarkEnd w:id="609"/>
      <w:bookmarkEnd w:id="610"/>
      <w:bookmarkEnd w:id="611"/>
      <w:r>
        <w:rPr>
          <w:rFonts w:hint="eastAsia" w:ascii="宋体" w:hAnsi="宋体" w:eastAsia="宋体" w:cs="宋体"/>
          <w:color w:val="auto"/>
          <w:highlight w:val="none"/>
        </w:rPr>
        <w:t>理人</w:t>
      </w:r>
      <w:bookmarkEnd w:id="591"/>
      <w:bookmarkEnd w:id="592"/>
      <w:bookmarkEnd w:id="593"/>
      <w:bookmarkEnd w:id="594"/>
      <w:bookmarkEnd w:id="595"/>
      <w:bookmarkEnd w:id="596"/>
      <w:bookmarkEnd w:id="597"/>
      <w:bookmarkEnd w:id="598"/>
      <w:bookmarkEnd w:id="599"/>
      <w:bookmarkEnd w:id="600"/>
    </w:p>
    <w:p w14:paraId="3E2252F1">
      <w:pPr>
        <w:pStyle w:val="93"/>
        <w:rPr>
          <w:rFonts w:ascii="宋体" w:hAnsi="宋体" w:cs="宋体"/>
          <w:color w:val="auto"/>
          <w:highlight w:val="none"/>
        </w:rPr>
      </w:pPr>
      <w:bookmarkStart w:id="612" w:name="_Toc407135216"/>
      <w:bookmarkStart w:id="613" w:name="_Toc78449802"/>
      <w:bookmarkStart w:id="614" w:name="_Toc114058853"/>
      <w:bookmarkStart w:id="615" w:name="_Toc373227714"/>
      <w:bookmarkStart w:id="616" w:name="_Toc8734"/>
      <w:bookmarkStart w:id="617" w:name="_Toc10567"/>
      <w:bookmarkStart w:id="618" w:name="_Toc13198"/>
      <w:bookmarkStart w:id="619" w:name="_Toc389065280"/>
      <w:bookmarkStart w:id="620" w:name="_Toc373478361"/>
      <w:r>
        <w:rPr>
          <w:rFonts w:hint="eastAsia" w:ascii="宋体" w:hAnsi="宋体" w:cs="宋体"/>
          <w:color w:val="auto"/>
          <w:highlight w:val="none"/>
        </w:rPr>
        <w:t>4.1 监理人的一般规定</w:t>
      </w:r>
      <w:bookmarkEnd w:id="612"/>
      <w:bookmarkEnd w:id="613"/>
      <w:bookmarkEnd w:id="614"/>
      <w:bookmarkEnd w:id="615"/>
      <w:bookmarkEnd w:id="616"/>
      <w:bookmarkEnd w:id="617"/>
      <w:bookmarkEnd w:id="618"/>
      <w:bookmarkEnd w:id="619"/>
      <w:bookmarkEnd w:id="620"/>
    </w:p>
    <w:p w14:paraId="03D94C4C">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无。</w:t>
      </w:r>
    </w:p>
    <w:p w14:paraId="4AC1DFE7">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无。  </w:t>
      </w:r>
    </w:p>
    <w:p w14:paraId="771C87A7">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无</w:t>
      </w:r>
      <w:r>
        <w:rPr>
          <w:rFonts w:hint="eastAsia" w:ascii="宋体" w:hAnsi="宋体" w:cs="宋体"/>
          <w:color w:val="auto"/>
          <w:highlight w:val="none"/>
        </w:rPr>
        <w:t>。</w:t>
      </w:r>
    </w:p>
    <w:p w14:paraId="5D4C18E6">
      <w:pPr>
        <w:pStyle w:val="93"/>
        <w:rPr>
          <w:rFonts w:ascii="宋体" w:hAnsi="宋体" w:cs="宋体"/>
          <w:color w:val="auto"/>
          <w:highlight w:val="none"/>
        </w:rPr>
      </w:pPr>
      <w:bookmarkStart w:id="621" w:name="_Toc407135217"/>
      <w:bookmarkStart w:id="622" w:name="_Toc7890"/>
      <w:bookmarkStart w:id="623" w:name="_Toc373478362"/>
      <w:bookmarkStart w:id="624" w:name="_Toc389065281"/>
      <w:bookmarkStart w:id="625" w:name="_Toc114058854"/>
      <w:bookmarkStart w:id="626" w:name="_Toc8525"/>
      <w:bookmarkStart w:id="627" w:name="_Toc373227715"/>
      <w:bookmarkStart w:id="628" w:name="_Toc78449803"/>
      <w:bookmarkStart w:id="629" w:name="_Toc245"/>
      <w:r>
        <w:rPr>
          <w:rFonts w:hint="eastAsia" w:ascii="宋体" w:hAnsi="宋体" w:cs="宋体"/>
          <w:color w:val="auto"/>
          <w:highlight w:val="none"/>
        </w:rPr>
        <w:t>4.2 监理人员</w:t>
      </w:r>
      <w:bookmarkEnd w:id="621"/>
      <w:bookmarkEnd w:id="622"/>
      <w:bookmarkEnd w:id="623"/>
      <w:bookmarkEnd w:id="624"/>
      <w:bookmarkEnd w:id="625"/>
      <w:bookmarkEnd w:id="626"/>
      <w:bookmarkEnd w:id="627"/>
      <w:bookmarkEnd w:id="628"/>
      <w:bookmarkEnd w:id="629"/>
    </w:p>
    <w:p w14:paraId="70DC0393">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总监理工程师：</w:t>
      </w:r>
    </w:p>
    <w:p w14:paraId="33BA6925">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r>
        <w:rPr>
          <w:rFonts w:hint="eastAsia" w:ascii="宋体" w:hAnsi="宋体" w:cs="宋体"/>
          <w:color w:val="auto"/>
          <w:highlight w:val="none"/>
        </w:rPr>
        <w:t>；</w:t>
      </w:r>
    </w:p>
    <w:p w14:paraId="75383959">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w:t>
      </w:r>
      <w:r>
        <w:rPr>
          <w:rFonts w:hint="eastAsia" w:ascii="宋体" w:hAnsi="宋体" w:cs="宋体"/>
          <w:color w:val="auto"/>
          <w:highlight w:val="none"/>
        </w:rPr>
        <w:t>；</w:t>
      </w:r>
    </w:p>
    <w:p w14:paraId="12D95283">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监理工程师注册证书号：</w:t>
      </w:r>
      <w:r>
        <w:rPr>
          <w:rFonts w:hint="eastAsia" w:ascii="宋体" w:hAnsi="宋体" w:cs="宋体"/>
          <w:color w:val="auto"/>
          <w:highlight w:val="none"/>
          <w:u w:val="single"/>
        </w:rPr>
        <w:t>/</w:t>
      </w:r>
      <w:r>
        <w:rPr>
          <w:rFonts w:hint="eastAsia" w:ascii="宋体" w:hAnsi="宋体" w:cs="宋体"/>
          <w:color w:val="auto"/>
          <w:highlight w:val="none"/>
        </w:rPr>
        <w:t>；</w:t>
      </w:r>
    </w:p>
    <w:p w14:paraId="008B9A3B">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r>
        <w:rPr>
          <w:rFonts w:hint="eastAsia" w:ascii="宋体" w:hAnsi="宋体" w:cs="宋体"/>
          <w:color w:val="auto"/>
          <w:highlight w:val="none"/>
        </w:rPr>
        <w:t>；</w:t>
      </w:r>
    </w:p>
    <w:p w14:paraId="4F708EF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w:t>
      </w:r>
      <w:r>
        <w:rPr>
          <w:rFonts w:hint="eastAsia" w:ascii="宋体" w:hAnsi="宋体" w:cs="宋体"/>
          <w:color w:val="auto"/>
          <w:highlight w:val="none"/>
        </w:rPr>
        <w:t>；</w:t>
      </w:r>
    </w:p>
    <w:p w14:paraId="2372FD14">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w:t>
      </w:r>
      <w:r>
        <w:rPr>
          <w:rFonts w:hint="eastAsia" w:ascii="宋体" w:hAnsi="宋体" w:cs="宋体"/>
          <w:color w:val="auto"/>
          <w:highlight w:val="none"/>
        </w:rPr>
        <w:t>；</w:t>
      </w:r>
    </w:p>
    <w:p w14:paraId="3DCC01A8">
      <w:pPr>
        <w:pStyle w:val="79"/>
        <w:spacing w:line="360" w:lineRule="auto"/>
        <w:ind w:firstLine="309" w:firstLineChars="150"/>
        <w:rPr>
          <w:rFonts w:ascii="宋体" w:hAnsi="宋体" w:cs="宋体"/>
          <w:color w:val="auto"/>
          <w:szCs w:val="21"/>
          <w:highlight w:val="none"/>
        </w:rPr>
      </w:pPr>
      <w:r>
        <w:rPr>
          <w:rFonts w:hint="eastAsia" w:ascii="宋体" w:hAnsi="宋体" w:cs="宋体"/>
          <w:color w:val="auto"/>
          <w:highlight w:val="none"/>
        </w:rPr>
        <w:t>关于监理人的其他约定：</w:t>
      </w:r>
      <w:bookmarkStart w:id="630" w:name="_Toc386547068"/>
      <w:r>
        <w:rPr>
          <w:rFonts w:hint="eastAsia" w:ascii="宋体" w:hAnsi="宋体" w:cs="宋体"/>
          <w:color w:val="auto"/>
          <w:szCs w:val="21"/>
          <w:highlight w:val="none"/>
        </w:rPr>
        <w:t>工程监理在执行下列职责前应事先得到</w:t>
      </w:r>
      <w:bookmarkEnd w:id="630"/>
      <w:r>
        <w:rPr>
          <w:rFonts w:hint="eastAsia" w:ascii="宋体" w:hAnsi="宋体" w:cs="宋体"/>
          <w:color w:val="auto"/>
          <w:szCs w:val="21"/>
          <w:highlight w:val="none"/>
        </w:rPr>
        <w:t>发包人的特别认可：</w:t>
      </w:r>
    </w:p>
    <w:p w14:paraId="122381E7">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下达开工、停工指令或通知；</w:t>
      </w:r>
    </w:p>
    <w:p w14:paraId="7530810D">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认可工程任何部分的分包及确认或同意分包人；</w:t>
      </w:r>
    </w:p>
    <w:p w14:paraId="35B2A28A">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批准任何工期顺延；</w:t>
      </w:r>
    </w:p>
    <w:p w14:paraId="3D7E269E">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对工期、工程造价有任何影响的变更指示；</w:t>
      </w:r>
    </w:p>
    <w:p w14:paraId="7E6DEB8B">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确定变更估价；</w:t>
      </w:r>
    </w:p>
    <w:p w14:paraId="14341819">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决定暂定金额、暂定项目、选择项目的使用或不使用；</w:t>
      </w:r>
    </w:p>
    <w:p w14:paraId="1ADF6819">
      <w:pPr>
        <w:pStyle w:val="79"/>
        <w:numPr>
          <w:ilvl w:val="0"/>
          <w:numId w:val="6"/>
        </w:numPr>
        <w:tabs>
          <w:tab w:val="left" w:pos="1050"/>
        </w:tabs>
        <w:spacing w:line="360" w:lineRule="auto"/>
        <w:rPr>
          <w:rFonts w:ascii="宋体" w:hAnsi="宋体" w:cs="宋体"/>
          <w:color w:val="auto"/>
          <w:szCs w:val="21"/>
          <w:highlight w:val="none"/>
        </w:rPr>
      </w:pPr>
      <w:r>
        <w:rPr>
          <w:rFonts w:hint="eastAsia" w:ascii="宋体" w:hAnsi="宋体" w:cs="宋体"/>
          <w:color w:val="auto"/>
          <w:szCs w:val="21"/>
          <w:highlight w:val="none"/>
        </w:rPr>
        <w:t>发出接收证书或通过工程竣工验收；</w:t>
      </w:r>
    </w:p>
    <w:p w14:paraId="4C1B7EE1">
      <w:pPr>
        <w:pStyle w:val="79"/>
        <w:numPr>
          <w:ilvl w:val="0"/>
          <w:numId w:val="6"/>
        </w:numPr>
        <w:tabs>
          <w:tab w:val="left" w:pos="1050"/>
        </w:tabs>
        <w:spacing w:line="360" w:lineRule="auto"/>
        <w:rPr>
          <w:rFonts w:ascii="宋体" w:hAnsi="宋体" w:cs="宋体"/>
          <w:color w:val="auto"/>
          <w:highlight w:val="none"/>
        </w:rPr>
      </w:pPr>
      <w:r>
        <w:rPr>
          <w:rFonts w:hint="eastAsia" w:ascii="宋体" w:hAnsi="宋体" w:cs="宋体"/>
          <w:color w:val="auto"/>
          <w:highlight w:val="none"/>
        </w:rPr>
        <w:t>认可承包人的任何费用索赔。</w:t>
      </w:r>
    </w:p>
    <w:p w14:paraId="7BF89F19">
      <w:pPr>
        <w:pStyle w:val="79"/>
        <w:spacing w:line="360" w:lineRule="auto"/>
        <w:rPr>
          <w:rFonts w:ascii="宋体" w:hAnsi="宋体" w:cs="宋体"/>
          <w:color w:val="auto"/>
          <w:highlight w:val="none"/>
        </w:rPr>
      </w:pPr>
      <w:r>
        <w:rPr>
          <w:rFonts w:hint="eastAsia" w:ascii="宋体" w:hAnsi="宋体" w:cs="宋体"/>
          <w:color w:val="auto"/>
          <w:highlight w:val="none"/>
        </w:rPr>
        <w:t xml:space="preserve">    一切有关上述事宜而没有发包人签认的指令或行动将被视作无效。</w:t>
      </w:r>
    </w:p>
    <w:p w14:paraId="01FEBB82">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尽管有如上述需征求特别许可的义务，但如果工程监理认为事故的发生会影响人员生命、工程或附近财产的安全，工程监理可以在不减轻承包人任何合同规定的责任和义务的情况下，指示承包人采取工程监理认为必要有效的措施及办法以排除及减低危险。尽管没有得到发包人的认可,承包人应立即执行该等有关的指令，此类指令承包人必须在发出后24小时内得到发包人的认可。除上述的紧急指令外，承包人因遵守须经发包人特别认可的而又未经发包人认可的指令而引致的索赔都不会获得接受。</w:t>
      </w:r>
    </w:p>
    <w:p w14:paraId="77C8EA5A">
      <w:pPr>
        <w:pStyle w:val="93"/>
        <w:rPr>
          <w:rFonts w:ascii="宋体" w:hAnsi="宋体" w:cs="宋体"/>
          <w:color w:val="auto"/>
          <w:highlight w:val="none"/>
        </w:rPr>
      </w:pPr>
      <w:bookmarkStart w:id="631" w:name="_Toc15143"/>
      <w:bookmarkStart w:id="632" w:name="_Toc407135218"/>
      <w:bookmarkStart w:id="633" w:name="_Toc373478363"/>
      <w:bookmarkStart w:id="634" w:name="_Toc389065282"/>
      <w:bookmarkStart w:id="635" w:name="_Toc78449804"/>
      <w:bookmarkStart w:id="636" w:name="_Toc114058855"/>
      <w:bookmarkStart w:id="637" w:name="_Toc7487"/>
      <w:bookmarkStart w:id="638" w:name="_Toc15983"/>
      <w:bookmarkStart w:id="639" w:name="_Toc373227716"/>
      <w:r>
        <w:rPr>
          <w:rFonts w:hint="eastAsia" w:ascii="宋体" w:hAnsi="宋体" w:cs="宋体"/>
          <w:color w:val="auto"/>
          <w:highlight w:val="none"/>
        </w:rPr>
        <w:t>4.4 商定或确定</w:t>
      </w:r>
      <w:bookmarkEnd w:id="631"/>
      <w:bookmarkEnd w:id="632"/>
      <w:bookmarkEnd w:id="633"/>
      <w:bookmarkEnd w:id="634"/>
      <w:bookmarkEnd w:id="635"/>
      <w:bookmarkEnd w:id="636"/>
      <w:bookmarkEnd w:id="637"/>
      <w:bookmarkEnd w:id="638"/>
      <w:bookmarkEnd w:id="639"/>
    </w:p>
    <w:p w14:paraId="4FCBB437">
      <w:pPr>
        <w:pStyle w:val="78"/>
        <w:spacing w:line="360" w:lineRule="auto"/>
        <w:ind w:firstLine="412" w:firstLineChars="200"/>
        <w:rPr>
          <w:rFonts w:ascii="宋体" w:hAnsi="宋体" w:cs="宋体"/>
          <w:color w:val="auto"/>
          <w:highlight w:val="none"/>
        </w:rPr>
      </w:pPr>
      <w:bookmarkStart w:id="640" w:name="_Toc267251418"/>
      <w:r>
        <w:rPr>
          <w:rFonts w:hint="eastAsia" w:ascii="宋体" w:hAnsi="宋体" w:cs="宋体"/>
          <w:color w:val="auto"/>
          <w:highlight w:val="none"/>
        </w:rPr>
        <w:t>在发包人和承包人不能通过协商达成一致意见时，发包人授权监理人对以下事项进行确定：</w:t>
      </w:r>
    </w:p>
    <w:p w14:paraId="5A4D3B42">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对隐蔽工程及中间部位的验收工作</w:t>
      </w:r>
      <w:r>
        <w:rPr>
          <w:rFonts w:hint="eastAsia" w:ascii="宋体" w:hAnsi="宋体" w:cs="宋体"/>
          <w:color w:val="auto"/>
          <w:highlight w:val="none"/>
        </w:rPr>
        <w:t>；</w:t>
      </w:r>
    </w:p>
    <w:p w14:paraId="469F2148">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BD610E9">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B91BB75">
      <w:pPr>
        <w:pStyle w:val="94"/>
        <w:rPr>
          <w:rFonts w:ascii="宋体" w:hAnsi="宋体" w:eastAsia="宋体" w:cs="宋体"/>
          <w:color w:val="auto"/>
          <w:highlight w:val="none"/>
        </w:rPr>
      </w:pPr>
      <w:bookmarkStart w:id="641" w:name="_Toc6189"/>
      <w:bookmarkStart w:id="642" w:name="_Toc12032"/>
      <w:bookmarkStart w:id="643" w:name="_Toc78449805"/>
      <w:bookmarkStart w:id="644" w:name="_Toc389065283"/>
      <w:bookmarkStart w:id="645" w:name="_Toc114058856"/>
      <w:bookmarkStart w:id="646" w:name="_Toc407135219"/>
      <w:bookmarkStart w:id="647" w:name="_Toc373227717"/>
      <w:bookmarkStart w:id="648" w:name="_Toc351203637"/>
      <w:bookmarkStart w:id="649" w:name="_Toc373478364"/>
      <w:bookmarkStart w:id="650" w:name="_Toc23945"/>
      <w:r>
        <w:rPr>
          <w:rFonts w:hint="eastAsia" w:ascii="宋体" w:hAnsi="宋体" w:eastAsia="宋体" w:cs="宋体"/>
          <w:color w:val="auto"/>
          <w:highlight w:val="none"/>
        </w:rPr>
        <w:t>5</w:t>
      </w:r>
      <w:bookmarkEnd w:id="640"/>
      <w:bookmarkStart w:id="651" w:name="_Toc296347162"/>
      <w:bookmarkStart w:id="652" w:name="_Toc297048349"/>
      <w:bookmarkStart w:id="653" w:name="_Toc292559872"/>
      <w:bookmarkStart w:id="654" w:name="_Toc292559367"/>
      <w:bookmarkStart w:id="655" w:name="_Toc296346664"/>
      <w:bookmarkStart w:id="656" w:name="_Toc296891203"/>
      <w:bookmarkStart w:id="657" w:name="_Toc296890991"/>
      <w:bookmarkStart w:id="658" w:name="_Toc297120463"/>
      <w:bookmarkStart w:id="659" w:name="_Toc296503163"/>
      <w:bookmarkStart w:id="660" w:name="_Toc296944502"/>
      <w:r>
        <w:rPr>
          <w:rFonts w:hint="eastAsia" w:ascii="宋体" w:hAnsi="宋体" w:eastAsia="宋体" w:cs="宋体"/>
          <w:color w:val="auto"/>
          <w:highlight w:val="none"/>
        </w:rPr>
        <w:t>. 工程质量</w:t>
      </w:r>
      <w:bookmarkEnd w:id="641"/>
      <w:bookmarkEnd w:id="642"/>
      <w:bookmarkEnd w:id="643"/>
      <w:bookmarkEnd w:id="644"/>
      <w:bookmarkEnd w:id="645"/>
      <w:bookmarkEnd w:id="646"/>
      <w:bookmarkEnd w:id="647"/>
      <w:bookmarkEnd w:id="648"/>
      <w:bookmarkEnd w:id="649"/>
      <w:bookmarkEnd w:id="650"/>
    </w:p>
    <w:p w14:paraId="7773E1C3">
      <w:pPr>
        <w:pStyle w:val="93"/>
        <w:rPr>
          <w:rFonts w:ascii="宋体" w:hAnsi="宋体" w:cs="宋体"/>
          <w:color w:val="auto"/>
          <w:highlight w:val="none"/>
        </w:rPr>
      </w:pPr>
      <w:bookmarkStart w:id="661" w:name="_Toc1389"/>
      <w:bookmarkStart w:id="662" w:name="_Toc10642"/>
      <w:bookmarkStart w:id="663" w:name="_Toc13300"/>
      <w:bookmarkStart w:id="664" w:name="_Toc389065284"/>
      <w:bookmarkStart w:id="665" w:name="_Toc78449806"/>
      <w:bookmarkStart w:id="666" w:name="_Toc407135220"/>
      <w:bookmarkStart w:id="667" w:name="_Toc114058857"/>
      <w:bookmarkStart w:id="668" w:name="_Toc373478365"/>
      <w:bookmarkStart w:id="669" w:name="_Toc373227718"/>
      <w:r>
        <w:rPr>
          <w:rFonts w:hint="eastAsia" w:ascii="宋体" w:hAnsi="宋体" w:cs="宋体"/>
          <w:color w:val="auto"/>
          <w:highlight w:val="none"/>
        </w:rPr>
        <w:t>5.1 质量要求</w:t>
      </w:r>
      <w:bookmarkEnd w:id="661"/>
      <w:bookmarkEnd w:id="662"/>
      <w:bookmarkEnd w:id="663"/>
      <w:bookmarkEnd w:id="664"/>
      <w:bookmarkEnd w:id="665"/>
      <w:bookmarkEnd w:id="666"/>
      <w:bookmarkEnd w:id="667"/>
      <w:bookmarkEnd w:id="668"/>
      <w:bookmarkEnd w:id="669"/>
    </w:p>
    <w:p w14:paraId="0BB4D311">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5</w:t>
      </w:r>
      <w:bookmarkStart w:id="670" w:name="_Toc297216155"/>
      <w:bookmarkStart w:id="671" w:name="_Toc312677997"/>
      <w:bookmarkStart w:id="672" w:name="_Toc304295527"/>
      <w:bookmarkStart w:id="673" w:name="_Toc300934949"/>
      <w:bookmarkStart w:id="674" w:name="_Toc297123496"/>
      <w:bookmarkStart w:id="675" w:name="_Toc318581164"/>
      <w:bookmarkStart w:id="676" w:name="_Toc303539106"/>
      <w:r>
        <w:rPr>
          <w:rFonts w:hint="eastAsia" w:ascii="宋体" w:hAnsi="宋体" w:cs="宋体"/>
          <w:color w:val="auto"/>
          <w:highlight w:val="none"/>
        </w:rPr>
        <w:t>.1.1 特殊质量标准和要求：</w:t>
      </w:r>
      <w:r>
        <w:rPr>
          <w:rFonts w:hint="eastAsia" w:ascii="宋体" w:hAnsi="宋体" w:cs="宋体"/>
          <w:color w:val="auto"/>
          <w:highlight w:val="none"/>
          <w:u w:val="single"/>
        </w:rPr>
        <w:t>严格执行广西壮族自治区住房和城乡建设厅《关于严格实行房屋建筑和市政基础设施工程质量终身责任承诺、永久性质量责任标牌、终身责任信息档案等制度的通知》落实建设工程质量终身责任</w:t>
      </w:r>
      <w:r>
        <w:rPr>
          <w:rFonts w:hint="eastAsia" w:ascii="宋体" w:hAnsi="宋体" w:cs="宋体"/>
          <w:color w:val="auto"/>
          <w:highlight w:val="none"/>
        </w:rPr>
        <w:t>。</w:t>
      </w:r>
    </w:p>
    <w:p w14:paraId="43175438">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关于工程奖项的约定： 无</w:t>
      </w:r>
    </w:p>
    <w:p w14:paraId="1F25EB21">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5.3 隐蔽工程检查</w:t>
      </w:r>
    </w:p>
    <w:p w14:paraId="431F052F">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5.3.2承包人提前通知发包人隐蔽工程检查的期限的约定：工程隐蔽或中间验收前12小时以书面形式通知发包人验收的内容、时间、地点，承包人准备验收记录单（最好是印制的表格）由双方签证。验收合格，承包人可进行隐蔽和继续施工；验收不合格，双方商订时限内修改后按上述循序重新验收。</w:t>
      </w:r>
    </w:p>
    <w:p w14:paraId="3849D3CB">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发包人不能按时进行检查时，应提前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36C01D2E">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w:t>
      </w:r>
    </w:p>
    <w:p w14:paraId="6E3DCCEA">
      <w:pPr>
        <w:pStyle w:val="94"/>
        <w:rPr>
          <w:rFonts w:ascii="宋体" w:hAnsi="宋体" w:eastAsia="宋体" w:cs="宋体"/>
          <w:color w:val="auto"/>
          <w:highlight w:val="none"/>
        </w:rPr>
      </w:pPr>
      <w:bookmarkStart w:id="677" w:name="_Toc351203638"/>
      <w:bookmarkStart w:id="678" w:name="_Toc389065285"/>
      <w:bookmarkStart w:id="679" w:name="_Toc373227719"/>
      <w:bookmarkStart w:id="680" w:name="_Toc407135221"/>
      <w:bookmarkStart w:id="681" w:name="_Toc6871"/>
      <w:bookmarkStart w:id="682" w:name="_Toc25996"/>
      <w:bookmarkStart w:id="683" w:name="_Toc28743"/>
      <w:bookmarkStart w:id="684" w:name="_Toc78449807"/>
      <w:bookmarkStart w:id="685" w:name="_Toc373478366"/>
      <w:bookmarkStart w:id="686" w:name="_Toc114058858"/>
      <w:r>
        <w:rPr>
          <w:rFonts w:hint="eastAsia" w:ascii="宋体" w:hAnsi="宋体" w:eastAsia="宋体" w:cs="宋体"/>
          <w:color w:val="auto"/>
          <w:highlight w:val="none"/>
        </w:rPr>
        <w:t>6. 安全文明施工与环境保护</w:t>
      </w:r>
      <w:bookmarkEnd w:id="677"/>
      <w:bookmarkEnd w:id="678"/>
      <w:bookmarkEnd w:id="679"/>
      <w:bookmarkEnd w:id="680"/>
      <w:bookmarkEnd w:id="681"/>
      <w:bookmarkEnd w:id="682"/>
      <w:bookmarkEnd w:id="683"/>
      <w:bookmarkEnd w:id="684"/>
      <w:bookmarkEnd w:id="685"/>
      <w:bookmarkEnd w:id="686"/>
    </w:p>
    <w:p w14:paraId="5F532F55">
      <w:pPr>
        <w:pStyle w:val="93"/>
        <w:rPr>
          <w:rFonts w:ascii="宋体" w:hAnsi="宋体" w:cs="宋体"/>
          <w:color w:val="auto"/>
          <w:highlight w:val="none"/>
        </w:rPr>
      </w:pPr>
      <w:bookmarkStart w:id="687" w:name="_Toc389065286"/>
      <w:bookmarkStart w:id="688" w:name="_Toc17607"/>
      <w:bookmarkStart w:id="689" w:name="_Toc11337"/>
      <w:bookmarkStart w:id="690" w:name="_Toc407135222"/>
      <w:bookmarkStart w:id="691" w:name="_Toc78449808"/>
      <w:bookmarkStart w:id="692" w:name="_Toc114058859"/>
      <w:bookmarkStart w:id="693" w:name="_Toc373478367"/>
      <w:bookmarkStart w:id="694" w:name="_Toc373227720"/>
      <w:bookmarkStart w:id="695" w:name="_Toc15610"/>
      <w:r>
        <w:rPr>
          <w:rFonts w:hint="eastAsia" w:ascii="宋体" w:hAnsi="宋体" w:cs="宋体"/>
          <w:color w:val="auto"/>
          <w:highlight w:val="none"/>
        </w:rPr>
        <w:t>6.1 安全文明施工</w:t>
      </w:r>
      <w:bookmarkEnd w:id="687"/>
      <w:bookmarkEnd w:id="688"/>
      <w:bookmarkEnd w:id="689"/>
      <w:bookmarkEnd w:id="690"/>
      <w:bookmarkEnd w:id="691"/>
      <w:bookmarkEnd w:id="692"/>
      <w:bookmarkEnd w:id="693"/>
      <w:bookmarkEnd w:id="694"/>
      <w:bookmarkEnd w:id="695"/>
    </w:p>
    <w:p w14:paraId="454AF4C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 承包人负责 ，所发生费用由承包人承担。承包人的施工安全防护和文明施工措施，应执行《中华人民共和国安全生产法》的有关要求，施工中必须遵守国家颁布的《建设工程安全生产管理条件》、广西壮族自治区及崇左市关于安全施工的法律法规和有关标准和规范。要求达到《建筑施工安全检查标准》（JGJ59-2011）的标准和符合《广西安全文明施工费使用管理细则》桂建质[2015]16号文的要求 </w:t>
      </w:r>
      <w:r>
        <w:rPr>
          <w:rFonts w:hint="eastAsia" w:ascii="宋体" w:hAnsi="宋体" w:cs="宋体"/>
          <w:color w:val="auto"/>
          <w:highlight w:val="none"/>
        </w:rPr>
        <w:t>。</w:t>
      </w:r>
    </w:p>
    <w:p w14:paraId="246F9F0B">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关于安全文明施工奖项的约定：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3DC41388">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E70361E">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承包人负责 ，所发生费用由承包人承担.。承包人于开工前提供施工场地治安管理计划 </w:t>
      </w:r>
      <w:r>
        <w:rPr>
          <w:rFonts w:hint="eastAsia" w:ascii="宋体" w:hAnsi="宋体" w:cs="宋体"/>
          <w:color w:val="auto"/>
          <w:highlight w:val="none"/>
        </w:rPr>
        <w:t>。</w:t>
      </w:r>
    </w:p>
    <w:p w14:paraId="3C7BACAD">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6.1.5 文明施工</w:t>
      </w:r>
    </w:p>
    <w:p w14:paraId="698B20E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r>
        <w:rPr>
          <w:rFonts w:hint="eastAsia" w:ascii="宋体" w:hAnsi="宋体" w:cs="宋体"/>
          <w:bCs/>
          <w:color w:val="auto"/>
          <w:highlight w:val="none"/>
        </w:rPr>
        <w:t>严格执行《大气污染防治法》（主席令第三十一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cs="宋体"/>
          <w:color w:val="auto"/>
          <w:highlight w:val="none"/>
        </w:rPr>
        <w:t>。</w:t>
      </w:r>
    </w:p>
    <w:p w14:paraId="47E90EB9">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6.1.6</w:t>
      </w:r>
      <w:r>
        <w:rPr>
          <w:rFonts w:hint="eastAsia" w:ascii="宋体" w:hAnsi="宋体" w:cs="宋体"/>
          <w:color w:val="auto"/>
          <w:kern w:val="0"/>
          <w:highlight w:val="none"/>
        </w:rPr>
        <w:t>关于安全生产费总额、支付比例、支付期限、转入和结余收回的约定：</w:t>
      </w:r>
    </w:p>
    <w:p w14:paraId="3F228BBA">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（1）本合同价款已包含安全文明施工费</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元。</w:t>
      </w:r>
    </w:p>
    <w:p w14:paraId="1A49D77D">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（2）使用要求：专款专用。具体按</w:t>
      </w:r>
      <w:r>
        <w:rPr>
          <w:rFonts w:hint="eastAsia" w:ascii="宋体" w:hAnsi="宋体" w:cs="宋体"/>
          <w:color w:val="auto"/>
          <w:kern w:val="0"/>
          <w:highlight w:val="none"/>
          <w:u w:val="single"/>
        </w:rPr>
        <w:t>《广西壮族自治区建设工程安全文明施工费使用管理细则》（桂建质〔2015〕16号）</w:t>
      </w:r>
      <w:r>
        <w:rPr>
          <w:rFonts w:hint="eastAsia" w:ascii="宋体" w:hAnsi="宋体" w:cs="宋体"/>
          <w:color w:val="auto"/>
          <w:kern w:val="0"/>
          <w:highlight w:val="none"/>
        </w:rPr>
        <w:t>和</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eastAsia="zh-CN"/>
        </w:rPr>
        <w:t>南宁</w:t>
      </w:r>
      <w:r>
        <w:rPr>
          <w:rFonts w:hint="eastAsia" w:ascii="宋体" w:hAnsi="宋体" w:cs="宋体"/>
          <w:color w:val="auto"/>
          <w:kern w:val="0"/>
          <w:highlight w:val="none"/>
        </w:rPr>
        <w:t>市相关规定执行。</w:t>
      </w:r>
    </w:p>
    <w:p w14:paraId="42E1B386">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（3）支付约定：与进度款同期支付。</w:t>
      </w:r>
    </w:p>
    <w:p w14:paraId="1D59880C">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（4）建设单位按规定将安全生产费用转入施工单位设立的安全生产费用专户。</w:t>
      </w:r>
    </w:p>
    <w:p w14:paraId="4A5752F6">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（5）工程施工完成后安全生产费用尚有结余的，结余部分由建设单位收回。</w:t>
      </w:r>
    </w:p>
    <w:p w14:paraId="08174AA9">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（6）施工单位将安全生产费用使用情况定期报告建设单位，并提供相应的材料接受建设行政主管部门对此事项监管。</w:t>
      </w:r>
    </w:p>
    <w:p w14:paraId="365CF34D">
      <w:pPr>
        <w:pStyle w:val="93"/>
        <w:rPr>
          <w:rFonts w:ascii="宋体" w:hAnsi="宋体" w:cs="宋体"/>
          <w:color w:val="auto"/>
          <w:highlight w:val="none"/>
        </w:rPr>
      </w:pPr>
      <w:bookmarkStart w:id="696" w:name="_Toc1410"/>
      <w:bookmarkStart w:id="697" w:name="_Toc373478368"/>
      <w:bookmarkStart w:id="698" w:name="_Toc389065287"/>
      <w:bookmarkStart w:id="699" w:name="_Toc78449809"/>
      <w:bookmarkStart w:id="700" w:name="_Toc5147"/>
      <w:bookmarkStart w:id="701" w:name="_Toc10568"/>
      <w:bookmarkStart w:id="702" w:name="_Toc373227721"/>
      <w:bookmarkStart w:id="703" w:name="_Toc114058860"/>
      <w:bookmarkStart w:id="704" w:name="_Toc407135223"/>
      <w:r>
        <w:rPr>
          <w:rFonts w:hint="eastAsia" w:ascii="宋体" w:hAnsi="宋体" w:cs="宋体"/>
          <w:color w:val="auto"/>
          <w:highlight w:val="none"/>
        </w:rPr>
        <w:t>6.3 环境保护</w:t>
      </w:r>
      <w:bookmarkEnd w:id="696"/>
      <w:bookmarkEnd w:id="697"/>
      <w:bookmarkEnd w:id="698"/>
      <w:bookmarkEnd w:id="699"/>
      <w:bookmarkEnd w:id="700"/>
      <w:bookmarkEnd w:id="701"/>
      <w:bookmarkEnd w:id="702"/>
      <w:bookmarkEnd w:id="703"/>
      <w:bookmarkEnd w:id="704"/>
    </w:p>
    <w:p w14:paraId="3588D5E6">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u w:val="single"/>
        </w:rPr>
        <w:t>因施工需要，经发包人批准，由承包人办理有关施工场地交通、环卫和施工噪音管理等手续，费用由承包人负责。</w:t>
      </w:r>
    </w:p>
    <w:p w14:paraId="10FCB054">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670"/>
    <w:bookmarkEnd w:id="671"/>
    <w:bookmarkEnd w:id="672"/>
    <w:bookmarkEnd w:id="673"/>
    <w:bookmarkEnd w:id="674"/>
    <w:bookmarkEnd w:id="675"/>
    <w:bookmarkEnd w:id="676"/>
    <w:p w14:paraId="080CED65">
      <w:pPr>
        <w:pStyle w:val="94"/>
        <w:rPr>
          <w:rFonts w:ascii="宋体" w:hAnsi="宋体" w:eastAsia="宋体" w:cs="宋体"/>
          <w:color w:val="auto"/>
          <w:highlight w:val="none"/>
        </w:rPr>
      </w:pPr>
      <w:bookmarkStart w:id="705" w:name="_Toc351203639"/>
      <w:bookmarkStart w:id="706" w:name="_Toc389065288"/>
      <w:bookmarkStart w:id="707" w:name="_Toc29061"/>
      <w:bookmarkStart w:id="708" w:name="_Toc3719"/>
      <w:bookmarkStart w:id="709" w:name="_Toc407135224"/>
      <w:bookmarkStart w:id="710" w:name="_Toc373227722"/>
      <w:bookmarkStart w:id="711" w:name="_Toc373478369"/>
      <w:bookmarkStart w:id="712" w:name="_Toc23464"/>
      <w:bookmarkStart w:id="713" w:name="_Toc114058861"/>
      <w:bookmarkStart w:id="714" w:name="_Toc78449810"/>
      <w:r>
        <w:rPr>
          <w:rFonts w:hint="eastAsia" w:ascii="宋体" w:hAnsi="宋体" w:eastAsia="宋体" w:cs="宋体"/>
          <w:color w:val="auto"/>
          <w:highlight w:val="none"/>
        </w:rPr>
        <w:t>7. 工期和进度</w:t>
      </w:r>
      <w:bookmarkEnd w:id="705"/>
      <w:bookmarkEnd w:id="706"/>
      <w:bookmarkEnd w:id="707"/>
      <w:bookmarkEnd w:id="708"/>
      <w:bookmarkEnd w:id="709"/>
      <w:bookmarkEnd w:id="710"/>
      <w:bookmarkEnd w:id="711"/>
      <w:bookmarkEnd w:id="712"/>
      <w:bookmarkEnd w:id="713"/>
      <w:bookmarkEnd w:id="714"/>
    </w:p>
    <w:p w14:paraId="444936FD">
      <w:pPr>
        <w:pStyle w:val="93"/>
        <w:rPr>
          <w:rFonts w:ascii="宋体" w:hAnsi="宋体" w:cs="宋体"/>
          <w:color w:val="auto"/>
          <w:highlight w:val="none"/>
        </w:rPr>
      </w:pPr>
      <w:bookmarkStart w:id="715" w:name="_Toc78449811"/>
      <w:bookmarkStart w:id="716" w:name="_Toc6784"/>
      <w:bookmarkStart w:id="717" w:name="_Toc373227723"/>
      <w:bookmarkStart w:id="718" w:name="_Toc389065289"/>
      <w:bookmarkStart w:id="719" w:name="_Toc373478370"/>
      <w:bookmarkStart w:id="720" w:name="_Toc19863"/>
      <w:bookmarkStart w:id="721" w:name="_Toc10280"/>
      <w:bookmarkStart w:id="722" w:name="_Toc407135225"/>
      <w:bookmarkStart w:id="723" w:name="_Toc114058862"/>
      <w:r>
        <w:rPr>
          <w:rFonts w:hint="eastAsia" w:ascii="宋体" w:hAnsi="宋体" w:cs="宋体"/>
          <w:color w:val="auto"/>
          <w:highlight w:val="none"/>
        </w:rPr>
        <w:t>7.1 施工组织设计</w:t>
      </w:r>
      <w:bookmarkEnd w:id="715"/>
      <w:bookmarkEnd w:id="716"/>
      <w:bookmarkEnd w:id="717"/>
      <w:bookmarkEnd w:id="718"/>
      <w:bookmarkEnd w:id="719"/>
      <w:bookmarkEnd w:id="720"/>
      <w:bookmarkEnd w:id="721"/>
      <w:bookmarkEnd w:id="722"/>
      <w:bookmarkEnd w:id="723"/>
    </w:p>
    <w:p w14:paraId="39A8EA56">
      <w:pPr>
        <w:pStyle w:val="79"/>
        <w:autoSpaceDE w:val="0"/>
        <w:autoSpaceDN w:val="0"/>
        <w:adjustRightInd w:val="0"/>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施工进度计划包括总进度计划、分阶段和分项进度计划、设备材料人员进场计划；施工方案说明包括分部、分项工程或工程部位的名称及施工顺序和方法。</w:t>
      </w:r>
    </w:p>
    <w:p w14:paraId="58F52BD7">
      <w:pPr>
        <w:pStyle w:val="79"/>
        <w:autoSpaceDE w:val="0"/>
        <w:autoSpaceDN w:val="0"/>
        <w:adjustRightInd w:val="0"/>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60B9CF00">
      <w:pPr>
        <w:pStyle w:val="79"/>
        <w:autoSpaceDE w:val="0"/>
        <w:autoSpaceDN w:val="0"/>
        <w:adjustRightInd w:val="0"/>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承包人应在开工前7日内，提交详细的施工组织设计，并报送发包人</w:t>
      </w:r>
      <w:r>
        <w:rPr>
          <w:rFonts w:hint="eastAsia" w:ascii="宋体" w:hAnsi="宋体" w:cs="宋体"/>
          <w:color w:val="auto"/>
          <w:szCs w:val="21"/>
          <w:highlight w:val="none"/>
        </w:rPr>
        <w:t>。</w:t>
      </w:r>
    </w:p>
    <w:p w14:paraId="1E3B3F0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发包人在收到详细的施工组织设计后确认或提出修改意见的期限：</w:t>
      </w:r>
      <w:r>
        <w:rPr>
          <w:rFonts w:hint="eastAsia" w:ascii="宋体" w:hAnsi="宋体" w:cs="宋体"/>
          <w:color w:val="auto"/>
          <w:highlight w:val="none"/>
          <w:u w:val="single"/>
        </w:rPr>
        <w:t>收到详细施工组织设计后14天内确定或提出修改意见。对发包人提出合理意见和要求，承包人应自行修改完善</w:t>
      </w:r>
      <w:r>
        <w:rPr>
          <w:rFonts w:hint="eastAsia" w:ascii="宋体" w:hAnsi="宋体" w:cs="宋体"/>
          <w:color w:val="auto"/>
          <w:highlight w:val="none"/>
        </w:rPr>
        <w:t>。</w:t>
      </w:r>
    </w:p>
    <w:p w14:paraId="41589570">
      <w:pPr>
        <w:pStyle w:val="93"/>
        <w:rPr>
          <w:rFonts w:ascii="宋体" w:hAnsi="宋体" w:cs="宋体"/>
          <w:color w:val="auto"/>
          <w:highlight w:val="none"/>
        </w:rPr>
      </w:pPr>
      <w:bookmarkStart w:id="724" w:name="_Toc407135226"/>
      <w:bookmarkStart w:id="725" w:name="_Toc373478371"/>
      <w:bookmarkStart w:id="726" w:name="_Toc114058863"/>
      <w:bookmarkStart w:id="727" w:name="_Toc21732"/>
      <w:bookmarkStart w:id="728" w:name="_Toc389065290"/>
      <w:bookmarkStart w:id="729" w:name="_Toc8823"/>
      <w:bookmarkStart w:id="730" w:name="_Toc78449812"/>
      <w:bookmarkStart w:id="731" w:name="_Toc373227724"/>
      <w:bookmarkStart w:id="732" w:name="_Toc12080"/>
      <w:r>
        <w:rPr>
          <w:rFonts w:hint="eastAsia" w:ascii="宋体" w:hAnsi="宋体" w:cs="宋体"/>
          <w:color w:val="auto"/>
          <w:highlight w:val="none"/>
        </w:rPr>
        <w:t>7</w:t>
      </w:r>
      <w:bookmarkStart w:id="733" w:name="_Toc297216173"/>
      <w:bookmarkStart w:id="734" w:name="_Toc300934966"/>
      <w:bookmarkStart w:id="735" w:name="_Toc303539123"/>
      <w:bookmarkStart w:id="736" w:name="_Toc297123514"/>
      <w:bookmarkStart w:id="737" w:name="_Toc304295541"/>
      <w:bookmarkStart w:id="738" w:name="_Toc312678005"/>
      <w:bookmarkStart w:id="739" w:name="_Toc312677479"/>
      <w:r>
        <w:rPr>
          <w:rFonts w:hint="eastAsia" w:ascii="宋体" w:hAnsi="宋体" w:cs="宋体"/>
          <w:color w:val="auto"/>
          <w:highlight w:val="none"/>
        </w:rPr>
        <w:t>.2 施工进度计划</w:t>
      </w:r>
      <w:bookmarkEnd w:id="724"/>
      <w:bookmarkEnd w:id="725"/>
      <w:bookmarkEnd w:id="726"/>
      <w:bookmarkEnd w:id="727"/>
      <w:bookmarkEnd w:id="728"/>
      <w:bookmarkEnd w:id="729"/>
      <w:bookmarkEnd w:id="730"/>
      <w:bookmarkEnd w:id="731"/>
      <w:bookmarkEnd w:id="732"/>
    </w:p>
    <w:p w14:paraId="433B0369">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6117BF77">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highlight w:val="none"/>
        </w:rPr>
        <w:t>发包人在收到修订的施工进度计划后确认或提出修改意见的期限：</w:t>
      </w:r>
      <w:r>
        <w:rPr>
          <w:rFonts w:hint="eastAsia" w:ascii="宋体" w:hAnsi="宋体" w:cs="宋体"/>
          <w:color w:val="auto"/>
          <w:szCs w:val="21"/>
          <w:highlight w:val="none"/>
          <w:u w:val="single"/>
        </w:rPr>
        <w:t>承包人应在 开工前7日 编制详细的施工进度计划和施工方案说明报送发包人，其内容包括： 施工组织设计、专项方案、项目人员配备表等 。发包人应在14天内批复或提出修改意见，否则该进度计划视为已得到批准。经发包人批准的施工进度计划称施工进度计划，是控制合同工程进度的依据。承包人还应根据合同进度计划，编制更为详细的分阶段或分项进度计划，报发包人审批</w:t>
      </w:r>
      <w:r>
        <w:rPr>
          <w:rFonts w:hint="eastAsia" w:ascii="宋体" w:hAnsi="宋体" w:cs="宋体"/>
          <w:color w:val="auto"/>
          <w:szCs w:val="21"/>
          <w:highlight w:val="none"/>
        </w:rPr>
        <w:t>。</w:t>
      </w:r>
    </w:p>
    <w:p w14:paraId="75DFE547">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7.2.3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确认后，承包人应在每月的25日，向发包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明确要求需要提交时，承包人应在接到通知5日内按发包人的要求，将最新的施工总进度计划予以提交。</w:t>
      </w:r>
    </w:p>
    <w:p w14:paraId="2C26E54F">
      <w:pPr>
        <w:pStyle w:val="79"/>
        <w:spacing w:line="360" w:lineRule="auto"/>
        <w:ind w:firstLine="412" w:firstLineChars="200"/>
        <w:jc w:val="left"/>
        <w:rPr>
          <w:rFonts w:ascii="宋体" w:hAnsi="宋体" w:cs="宋体"/>
          <w:color w:val="auto"/>
          <w:highlight w:val="none"/>
        </w:rPr>
      </w:pPr>
      <w:r>
        <w:rPr>
          <w:rFonts w:hint="eastAsia" w:ascii="宋体" w:hAnsi="宋体" w:cs="宋体"/>
          <w:b/>
          <w:bCs/>
          <w:color w:val="auto"/>
          <w:szCs w:val="21"/>
          <w:highlight w:val="none"/>
        </w:rPr>
        <w:t>7.2.4承包人应按照经及发包人批准的施工组织设计中提供的施工进度计划按时完成工程进度。发包人每月考核一次，如承包人在考核期内未能完成当月工程进度，则每逾期一天，应向发包人支付违约金人民币1000元（该罚款与总工期延期罚款不冲突），并在当月进度款中抵扣。</w:t>
      </w:r>
    </w:p>
    <w:p w14:paraId="4244223C">
      <w:pPr>
        <w:pStyle w:val="93"/>
        <w:rPr>
          <w:rFonts w:ascii="宋体" w:hAnsi="宋体" w:cs="宋体"/>
          <w:color w:val="auto"/>
          <w:highlight w:val="none"/>
        </w:rPr>
      </w:pPr>
      <w:bookmarkStart w:id="740" w:name="_Toc2160"/>
      <w:bookmarkStart w:id="741" w:name="_Toc373227725"/>
      <w:bookmarkStart w:id="742" w:name="_Toc5755"/>
      <w:bookmarkStart w:id="743" w:name="_Toc373478372"/>
      <w:bookmarkStart w:id="744" w:name="_Toc22145"/>
      <w:bookmarkStart w:id="745" w:name="_Toc78449813"/>
      <w:bookmarkStart w:id="746" w:name="_Toc389065291"/>
      <w:bookmarkStart w:id="747" w:name="_Toc407135227"/>
      <w:bookmarkStart w:id="748" w:name="_Toc114058864"/>
      <w:r>
        <w:rPr>
          <w:rFonts w:hint="eastAsia" w:ascii="宋体" w:hAnsi="宋体" w:cs="宋体"/>
          <w:color w:val="auto"/>
          <w:highlight w:val="none"/>
        </w:rPr>
        <w:t>7.3 开工</w:t>
      </w:r>
      <w:bookmarkEnd w:id="740"/>
      <w:bookmarkEnd w:id="741"/>
      <w:bookmarkEnd w:id="742"/>
      <w:bookmarkEnd w:id="743"/>
      <w:bookmarkEnd w:id="744"/>
      <w:bookmarkEnd w:id="745"/>
      <w:bookmarkEnd w:id="746"/>
      <w:bookmarkEnd w:id="747"/>
      <w:bookmarkEnd w:id="748"/>
    </w:p>
    <w:p w14:paraId="1D2B0CC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7.3.1 开工准备</w:t>
      </w:r>
    </w:p>
    <w:p w14:paraId="743D915D">
      <w:pPr>
        <w:pStyle w:val="79"/>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按审批的施工组织设计约定的期限</w:t>
      </w:r>
      <w:r>
        <w:rPr>
          <w:rFonts w:hint="eastAsia" w:ascii="宋体" w:hAnsi="宋体" w:cs="宋体"/>
          <w:color w:val="auto"/>
          <w:szCs w:val="21"/>
          <w:highlight w:val="none"/>
        </w:rPr>
        <w:t>。</w:t>
      </w:r>
    </w:p>
    <w:p w14:paraId="1E069EAC">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①开工前14天完成施工现场 “三通一平 ”工作，并满足施工要求；②开工前7天内发包人确定施工用水、用电接入点； ③按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Pr>
          <w:rFonts w:hint="eastAsia" w:ascii="宋体" w:hAnsi="宋体" w:cs="宋体"/>
          <w:color w:val="auto"/>
          <w:szCs w:val="21"/>
          <w:highlight w:val="none"/>
        </w:rPr>
        <w:t>。</w:t>
      </w:r>
    </w:p>
    <w:p w14:paraId="540F98CE">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开工前7天</w:t>
      </w:r>
      <w:r>
        <w:rPr>
          <w:rFonts w:hint="eastAsia" w:ascii="宋体" w:hAnsi="宋体" w:cs="宋体"/>
          <w:color w:val="auto"/>
          <w:highlight w:val="none"/>
        </w:rPr>
        <w:t>。</w:t>
      </w:r>
    </w:p>
    <w:p w14:paraId="3C6771AF">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7.3.2 开工通知</w:t>
      </w:r>
    </w:p>
    <w:p w14:paraId="1336430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因发包人原因造成未能在计划开工日期之日起</w:t>
      </w:r>
      <w:r>
        <w:rPr>
          <w:rFonts w:hint="eastAsia" w:ascii="宋体" w:hAnsi="宋体" w:cs="宋体"/>
          <w:color w:val="auto"/>
          <w:highlight w:val="none"/>
          <w:u w:val="single"/>
        </w:rPr>
        <w:t>180</w:t>
      </w:r>
      <w:r>
        <w:rPr>
          <w:rFonts w:hint="eastAsia" w:ascii="宋体" w:hAnsi="宋体" w:cs="宋体"/>
          <w:color w:val="auto"/>
          <w:highlight w:val="none"/>
        </w:rPr>
        <w:t>天内发出开工通知的，承包人有权提出价格调整要求，或者解除合同。</w:t>
      </w:r>
    </w:p>
    <w:bookmarkEnd w:id="733"/>
    <w:bookmarkEnd w:id="734"/>
    <w:bookmarkEnd w:id="735"/>
    <w:bookmarkEnd w:id="736"/>
    <w:bookmarkEnd w:id="737"/>
    <w:bookmarkEnd w:id="738"/>
    <w:bookmarkEnd w:id="739"/>
    <w:p w14:paraId="582D9F9B">
      <w:pPr>
        <w:pStyle w:val="93"/>
        <w:rPr>
          <w:rFonts w:ascii="宋体" w:hAnsi="宋体" w:cs="宋体"/>
          <w:color w:val="auto"/>
          <w:highlight w:val="none"/>
        </w:rPr>
      </w:pPr>
      <w:bookmarkStart w:id="749" w:name="_Toc407135228"/>
      <w:bookmarkStart w:id="750" w:name="_Toc19031"/>
      <w:bookmarkStart w:id="751" w:name="_Toc373478373"/>
      <w:bookmarkStart w:id="752" w:name="_Toc114058865"/>
      <w:bookmarkStart w:id="753" w:name="_Toc373227726"/>
      <w:bookmarkStart w:id="754" w:name="_Toc389065292"/>
      <w:bookmarkStart w:id="755" w:name="_Toc9235"/>
      <w:bookmarkStart w:id="756" w:name="_Toc7264"/>
      <w:bookmarkStart w:id="757" w:name="_Toc78449814"/>
      <w:r>
        <w:rPr>
          <w:rFonts w:hint="eastAsia" w:ascii="宋体" w:hAnsi="宋体" w:cs="宋体"/>
          <w:color w:val="auto"/>
          <w:highlight w:val="none"/>
        </w:rPr>
        <w:t>7.4 测量放线</w:t>
      </w:r>
      <w:bookmarkEnd w:id="749"/>
      <w:bookmarkEnd w:id="750"/>
      <w:bookmarkEnd w:id="751"/>
      <w:bookmarkEnd w:id="752"/>
      <w:bookmarkEnd w:id="753"/>
      <w:bookmarkEnd w:id="754"/>
      <w:bookmarkEnd w:id="755"/>
      <w:bookmarkEnd w:id="756"/>
      <w:bookmarkEnd w:id="757"/>
    </w:p>
    <w:p w14:paraId="3E085288">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7.4.1发包人向承包人提供测量基准点、基准线和水准点及其书面资料的期限：</w:t>
      </w:r>
    </w:p>
    <w:p w14:paraId="25BA88D8">
      <w:pPr>
        <w:pStyle w:val="78"/>
        <w:spacing w:line="360" w:lineRule="auto"/>
        <w:jc w:val="left"/>
        <w:rPr>
          <w:rFonts w:ascii="宋体" w:hAnsi="宋体" w:cs="宋体"/>
          <w:color w:val="auto"/>
          <w:highlight w:val="none"/>
          <w:u w:val="single"/>
        </w:rPr>
      </w:pPr>
      <w:r>
        <w:rPr>
          <w:rFonts w:hint="eastAsia" w:ascii="宋体" w:hAnsi="宋体" w:cs="宋体"/>
          <w:color w:val="auto"/>
          <w:highlight w:val="none"/>
          <w:u w:val="single"/>
        </w:rPr>
        <w:t>/</w:t>
      </w:r>
      <w:r>
        <w:rPr>
          <w:rFonts w:hint="eastAsia" w:ascii="宋体" w:hAnsi="宋体" w:cs="宋体"/>
          <w:color w:val="auto"/>
          <w:highlight w:val="none"/>
        </w:rPr>
        <w:t>。</w:t>
      </w:r>
    </w:p>
    <w:p w14:paraId="04BBAD96">
      <w:pPr>
        <w:pStyle w:val="93"/>
        <w:rPr>
          <w:rFonts w:ascii="宋体" w:hAnsi="宋体" w:cs="宋体"/>
          <w:color w:val="auto"/>
          <w:highlight w:val="none"/>
        </w:rPr>
      </w:pPr>
      <w:bookmarkStart w:id="758" w:name="_Toc5096"/>
      <w:bookmarkStart w:id="759" w:name="_Toc373227727"/>
      <w:bookmarkStart w:id="760" w:name="_Toc1831"/>
      <w:bookmarkStart w:id="761" w:name="_Toc373478374"/>
      <w:bookmarkStart w:id="762" w:name="_Toc78449815"/>
      <w:bookmarkStart w:id="763" w:name="_Toc17330"/>
      <w:bookmarkStart w:id="764" w:name="_Toc407135229"/>
      <w:bookmarkStart w:id="765" w:name="_Toc389065293"/>
      <w:bookmarkStart w:id="766" w:name="_Toc114058866"/>
      <w:r>
        <w:rPr>
          <w:rFonts w:hint="eastAsia" w:ascii="宋体" w:hAnsi="宋体" w:cs="宋体"/>
          <w:color w:val="auto"/>
          <w:highlight w:val="none"/>
        </w:rPr>
        <w:t>7</w:t>
      </w:r>
      <w:bookmarkStart w:id="767" w:name="_Toc304295546"/>
      <w:bookmarkStart w:id="768" w:name="_Toc297123516"/>
      <w:bookmarkStart w:id="769" w:name="_Toc300934968"/>
      <w:bookmarkStart w:id="770" w:name="_Toc312678010"/>
      <w:bookmarkStart w:id="771" w:name="_Toc312677484"/>
      <w:bookmarkStart w:id="772" w:name="_Toc297216175"/>
      <w:bookmarkStart w:id="773" w:name="_Toc303539125"/>
      <w:r>
        <w:rPr>
          <w:rFonts w:hint="eastAsia" w:ascii="宋体" w:hAnsi="宋体" w:cs="宋体"/>
          <w:color w:val="auto"/>
          <w:highlight w:val="none"/>
        </w:rPr>
        <w:t>.5 工期延误</w:t>
      </w:r>
      <w:bookmarkEnd w:id="758"/>
      <w:bookmarkEnd w:id="759"/>
      <w:bookmarkEnd w:id="760"/>
      <w:bookmarkEnd w:id="761"/>
      <w:bookmarkEnd w:id="762"/>
      <w:bookmarkEnd w:id="763"/>
      <w:bookmarkEnd w:id="764"/>
      <w:bookmarkEnd w:id="765"/>
      <w:bookmarkEnd w:id="766"/>
    </w:p>
    <w:bookmarkEnd w:id="767"/>
    <w:bookmarkEnd w:id="768"/>
    <w:bookmarkEnd w:id="769"/>
    <w:bookmarkEnd w:id="770"/>
    <w:bookmarkEnd w:id="771"/>
    <w:bookmarkEnd w:id="772"/>
    <w:bookmarkEnd w:id="773"/>
    <w:p w14:paraId="1F0CE499">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4E02FB44">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设计变更而影响施工进度，工程变更和工程量增加的；②发包人未能按合同要求配合施工或因发包人原因造成的延误、故障、人为阻止施工导致停工时；③下雨天日降雨量达60mm以上持续4小时及以上的大雨的，且经发包人确认确实影响到施工的情形，可顺延一天，依次累推；④每日非承包人原因停水停电，累计超过4小时可顺延一日；或一周内，非承包人原因停水、停电累计超过8个小时可顺延一日；⑤非承包人责任而造成的停工和工期延误及工程师同意或承包人有证据证明可顺延工期的其他情形，且经发包人确认确实影响到施工的情形；发生专用条款第7.7项约定的异常恶劣的气候条件的情形并对工程进度产生影响的；⑥其余工期顺延的情况按本合同《通用条款》第7.5.1条第（1）～（6）款的规定执行；⑦按施工条件规定，发包人不能提供“三通一平”影响进场施工；⑧未按协议规定拨付工程进度款而影响施工；⑨发包人发出错误的施工指令导致工期延误；⑩政府指令性停工（除高考、中考、东盟、春节休假以外）、或不可抗力因素而延误工期。</w:t>
      </w:r>
    </w:p>
    <w:p w14:paraId="15B67C1B">
      <w:pPr>
        <w:pStyle w:val="78"/>
        <w:spacing w:line="360" w:lineRule="auto"/>
        <w:ind w:firstLine="412" w:firstLineChars="200"/>
        <w:jc w:val="left"/>
        <w:rPr>
          <w:rFonts w:ascii="宋体" w:hAnsi="宋体" w:cs="宋体"/>
          <w:color w:val="auto"/>
          <w:highlight w:val="none"/>
        </w:rPr>
      </w:pPr>
      <w:r>
        <w:rPr>
          <w:rFonts w:hint="eastAsia" w:ascii="宋体" w:hAnsi="宋体" w:cs="宋体"/>
          <w:b/>
          <w:bCs/>
          <w:color w:val="auto"/>
          <w:highlight w:val="none"/>
        </w:rPr>
        <w:t>以上延误工期情况发生后十四日内，承包人应向发包人提出书面申请。若承包人不提出或逾期提出，则视为承包人放弃此权利。若发包人14日内未回复，是为默认承包人工期延误。</w:t>
      </w:r>
    </w:p>
    <w:p w14:paraId="3B13D3F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w:t>
      </w:r>
      <w:bookmarkStart w:id="774" w:name="_Toc300934970"/>
      <w:bookmarkStart w:id="775" w:name="_Toc304295548"/>
      <w:bookmarkStart w:id="776" w:name="_Toc312678012"/>
      <w:bookmarkStart w:id="777" w:name="_Toc318581169"/>
      <w:bookmarkStart w:id="778" w:name="_Toc297216177"/>
      <w:bookmarkStart w:id="779" w:name="_Toc297123518"/>
      <w:bookmarkStart w:id="780" w:name="_Toc312677486"/>
      <w:bookmarkStart w:id="781" w:name="_Toc303539127"/>
      <w:r>
        <w:rPr>
          <w:rFonts w:hint="eastAsia" w:ascii="宋体" w:hAnsi="宋体" w:cs="宋体"/>
          <w:color w:val="auto"/>
          <w:highlight w:val="none"/>
        </w:rPr>
        <w:t>.5.2 因承包人原因导致工期延误</w:t>
      </w:r>
    </w:p>
    <w:bookmarkEnd w:id="774"/>
    <w:bookmarkEnd w:id="775"/>
    <w:bookmarkEnd w:id="776"/>
    <w:bookmarkEnd w:id="777"/>
    <w:bookmarkEnd w:id="778"/>
    <w:bookmarkEnd w:id="779"/>
    <w:bookmarkEnd w:id="780"/>
    <w:bookmarkEnd w:id="781"/>
    <w:p w14:paraId="06FAFE5D">
      <w:pPr>
        <w:pStyle w:val="79"/>
        <w:spacing w:line="360" w:lineRule="auto"/>
        <w:ind w:firstLine="412" w:firstLineChars="200"/>
        <w:jc w:val="left"/>
        <w:rPr>
          <w:rFonts w:ascii="宋体" w:hAnsi="宋体" w:cs="宋体"/>
          <w:color w:val="auto"/>
          <w:szCs w:val="21"/>
          <w:highlight w:val="none"/>
        </w:rPr>
      </w:pPr>
      <w:bookmarkStart w:id="782" w:name="_Toc312678014"/>
      <w:bookmarkStart w:id="783" w:name="_Toc318581171"/>
      <w:r>
        <w:rPr>
          <w:rFonts w:hint="eastAsia" w:ascii="宋体" w:hAnsi="宋体" w:cs="宋体"/>
          <w:color w:val="auto"/>
          <w:szCs w:val="21"/>
          <w:highlight w:val="none"/>
        </w:rPr>
        <w:t>双方约定经确认，工期相应顺延的情况：</w:t>
      </w:r>
      <w:r>
        <w:rPr>
          <w:rFonts w:hint="eastAsia" w:ascii="宋体" w:hAnsi="宋体" w:cs="宋体"/>
          <w:color w:val="auto"/>
          <w:szCs w:val="21"/>
          <w:highlight w:val="none"/>
          <w:u w:val="single"/>
        </w:rPr>
        <w:t>不可抗力的原因</w:t>
      </w:r>
      <w:r>
        <w:rPr>
          <w:rFonts w:hint="eastAsia" w:ascii="宋体" w:hAnsi="宋体" w:cs="宋体"/>
          <w:color w:val="auto"/>
          <w:szCs w:val="21"/>
          <w:highlight w:val="none"/>
        </w:rPr>
        <w:t>。</w:t>
      </w:r>
    </w:p>
    <w:p w14:paraId="5CC29CA7">
      <w:pPr>
        <w:pStyle w:val="79"/>
        <w:spacing w:line="360" w:lineRule="auto"/>
        <w:ind w:firstLine="309" w:firstLineChars="15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784" w:name="_Toc312678013"/>
      <w:bookmarkStart w:id="785" w:name="_Toc312677487"/>
      <w:bookmarkStart w:id="786" w:name="_Toc318581170"/>
      <w:r>
        <w:rPr>
          <w:rFonts w:hint="eastAsia" w:ascii="宋体" w:hAnsi="宋体" w:cs="宋体"/>
          <w:color w:val="auto"/>
          <w:szCs w:val="21"/>
          <w:highlight w:val="none"/>
        </w:rPr>
        <w:t>承包人原因造成工期延误，逾期竣工违约金的计算方法为：</w:t>
      </w:r>
      <w:bookmarkEnd w:id="784"/>
      <w:bookmarkEnd w:id="785"/>
      <w:bookmarkEnd w:id="786"/>
      <w:r>
        <w:rPr>
          <w:rFonts w:hint="eastAsia" w:ascii="宋体" w:hAnsi="宋体" w:cs="宋体"/>
          <w:color w:val="auto"/>
          <w:szCs w:val="21"/>
          <w:highlight w:val="none"/>
          <w:u w:val="single"/>
        </w:rPr>
        <w:t>非上述原因，承包人不能按合同约定的时间竣工，承包人应承担违约责任。应向发包人支付误期赔偿费（赔偿金额为2</w:t>
      </w:r>
      <w:r>
        <w:rPr>
          <w:rFonts w:ascii="宋体" w:hAnsi="宋体" w:cs="宋体"/>
          <w:color w:val="auto"/>
          <w:szCs w:val="21"/>
          <w:highlight w:val="none"/>
          <w:u w:val="single"/>
        </w:rPr>
        <w:t>000</w:t>
      </w:r>
      <w:r>
        <w:rPr>
          <w:rFonts w:hint="eastAsia" w:ascii="宋体" w:hAnsi="宋体" w:cs="宋体"/>
          <w:color w:val="auto"/>
          <w:szCs w:val="21"/>
          <w:highlight w:val="none"/>
          <w:u w:val="single"/>
        </w:rPr>
        <w:t>元/天）并承担因逾期竣工对发包人造成的其他损失，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152E67AD">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因承包人原因造成工期延误，逾期竣工违约金的上限：逾期竣工违约金不设上限。</w:t>
      </w:r>
    </w:p>
    <w:bookmarkEnd w:id="782"/>
    <w:bookmarkEnd w:id="783"/>
    <w:p w14:paraId="5B666D72">
      <w:pPr>
        <w:pStyle w:val="93"/>
        <w:rPr>
          <w:rFonts w:ascii="宋体" w:hAnsi="宋体" w:cs="宋体"/>
          <w:color w:val="auto"/>
          <w:highlight w:val="none"/>
        </w:rPr>
      </w:pPr>
      <w:bookmarkStart w:id="787" w:name="_Toc373478375"/>
      <w:bookmarkStart w:id="788" w:name="_Toc114058867"/>
      <w:bookmarkStart w:id="789" w:name="_Toc373227728"/>
      <w:bookmarkStart w:id="790" w:name="_Toc5660"/>
      <w:bookmarkStart w:id="791" w:name="_Toc407135230"/>
      <w:bookmarkStart w:id="792" w:name="_Toc389065294"/>
      <w:bookmarkStart w:id="793" w:name="_Toc78449816"/>
      <w:bookmarkStart w:id="794" w:name="_Toc4907"/>
      <w:bookmarkStart w:id="795" w:name="_Toc28462"/>
      <w:r>
        <w:rPr>
          <w:rFonts w:hint="eastAsia" w:ascii="宋体" w:hAnsi="宋体" w:cs="宋体"/>
          <w:color w:val="auto"/>
          <w:highlight w:val="none"/>
        </w:rPr>
        <w:t>7</w:t>
      </w:r>
      <w:bookmarkStart w:id="796" w:name="_Toc303539128"/>
      <w:bookmarkStart w:id="797" w:name="_Toc312678015"/>
      <w:bookmarkStart w:id="798" w:name="_Toc304295549"/>
      <w:bookmarkStart w:id="799" w:name="_Toc297123519"/>
      <w:bookmarkStart w:id="800" w:name="_Toc297216178"/>
      <w:bookmarkStart w:id="801" w:name="_Toc300934971"/>
      <w:r>
        <w:rPr>
          <w:rFonts w:hint="eastAsia" w:ascii="宋体" w:hAnsi="宋体" w:cs="宋体"/>
          <w:color w:val="auto"/>
          <w:highlight w:val="none"/>
        </w:rPr>
        <w:t>.6 不</w:t>
      </w:r>
      <w:bookmarkEnd w:id="796"/>
      <w:bookmarkEnd w:id="797"/>
      <w:bookmarkEnd w:id="798"/>
      <w:bookmarkEnd w:id="799"/>
      <w:bookmarkEnd w:id="800"/>
      <w:bookmarkEnd w:id="801"/>
      <w:r>
        <w:rPr>
          <w:rFonts w:hint="eastAsia" w:ascii="宋体" w:hAnsi="宋体" w:cs="宋体"/>
          <w:color w:val="auto"/>
          <w:highlight w:val="none"/>
        </w:rPr>
        <w:t>利物质条件</w:t>
      </w:r>
      <w:bookmarkEnd w:id="787"/>
      <w:bookmarkEnd w:id="788"/>
      <w:bookmarkEnd w:id="789"/>
      <w:bookmarkEnd w:id="790"/>
      <w:bookmarkEnd w:id="791"/>
      <w:bookmarkEnd w:id="792"/>
      <w:bookmarkEnd w:id="793"/>
      <w:bookmarkEnd w:id="794"/>
      <w:bookmarkEnd w:id="795"/>
    </w:p>
    <w:p w14:paraId="473D9C86">
      <w:pPr>
        <w:pStyle w:val="78"/>
        <w:spacing w:line="360" w:lineRule="auto"/>
        <w:ind w:firstLine="412" w:firstLineChars="200"/>
        <w:jc w:val="left"/>
        <w:rPr>
          <w:rFonts w:ascii="宋体" w:hAnsi="宋体" w:cs="宋体"/>
          <w:color w:val="auto"/>
          <w:highlight w:val="none"/>
          <w:u w:val="single"/>
        </w:rPr>
      </w:pPr>
      <w:bookmarkStart w:id="802" w:name="_Toc303539129"/>
      <w:bookmarkStart w:id="803" w:name="_Toc297123520"/>
      <w:bookmarkStart w:id="804" w:name="_Toc318581172"/>
      <w:bookmarkStart w:id="805" w:name="_Toc304295550"/>
      <w:bookmarkStart w:id="806" w:name="_Toc297216179"/>
      <w:bookmarkStart w:id="807" w:name="_Toc312678016"/>
      <w:bookmarkStart w:id="808" w:name="_Toc300934972"/>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因不利物质条件的原因导致承包人暂停施工的，由发包人确认是否给予工期顺延或费用补偿</w:t>
      </w:r>
      <w:r>
        <w:rPr>
          <w:rFonts w:hint="eastAsia" w:ascii="宋体" w:hAnsi="宋体" w:cs="宋体"/>
          <w:color w:val="auto"/>
          <w:highlight w:val="none"/>
        </w:rPr>
        <w:t>。</w:t>
      </w:r>
    </w:p>
    <w:bookmarkEnd w:id="802"/>
    <w:bookmarkEnd w:id="803"/>
    <w:bookmarkEnd w:id="804"/>
    <w:bookmarkEnd w:id="805"/>
    <w:bookmarkEnd w:id="806"/>
    <w:bookmarkEnd w:id="807"/>
    <w:bookmarkEnd w:id="808"/>
    <w:p w14:paraId="6444515E">
      <w:pPr>
        <w:pStyle w:val="93"/>
        <w:rPr>
          <w:rFonts w:ascii="宋体" w:hAnsi="宋体" w:cs="宋体"/>
          <w:color w:val="auto"/>
          <w:highlight w:val="none"/>
        </w:rPr>
      </w:pPr>
      <w:bookmarkStart w:id="809" w:name="_Toc373227729"/>
      <w:bookmarkStart w:id="810" w:name="_Toc407135231"/>
      <w:bookmarkStart w:id="811" w:name="_Toc25957"/>
      <w:bookmarkStart w:id="812" w:name="_Toc114058868"/>
      <w:bookmarkStart w:id="813" w:name="_Toc18416"/>
      <w:bookmarkStart w:id="814" w:name="_Toc78449817"/>
      <w:bookmarkStart w:id="815" w:name="_Toc389065295"/>
      <w:bookmarkStart w:id="816" w:name="_Toc1992"/>
      <w:bookmarkStart w:id="817" w:name="_Toc373478376"/>
      <w:r>
        <w:rPr>
          <w:rFonts w:hint="eastAsia" w:ascii="宋体" w:hAnsi="宋体" w:cs="宋体"/>
          <w:color w:val="auto"/>
          <w:highlight w:val="none"/>
        </w:rPr>
        <w:t>7</w:t>
      </w:r>
      <w:bookmarkStart w:id="818" w:name="_Toc297123521"/>
      <w:bookmarkStart w:id="819" w:name="_Toc300934973"/>
      <w:bookmarkStart w:id="820" w:name="_Toc312678017"/>
      <w:bookmarkStart w:id="821" w:name="_Toc297216180"/>
      <w:bookmarkStart w:id="822" w:name="_Toc304295551"/>
      <w:bookmarkStart w:id="823" w:name="_Toc303539130"/>
      <w:r>
        <w:rPr>
          <w:rFonts w:hint="eastAsia" w:ascii="宋体" w:hAnsi="宋体" w:cs="宋体"/>
          <w:color w:val="auto"/>
          <w:highlight w:val="none"/>
        </w:rPr>
        <w:t>.7 异常恶劣的气候条件</w:t>
      </w:r>
      <w:bookmarkEnd w:id="809"/>
      <w:bookmarkEnd w:id="810"/>
      <w:bookmarkEnd w:id="811"/>
      <w:bookmarkEnd w:id="812"/>
      <w:bookmarkEnd w:id="813"/>
      <w:bookmarkEnd w:id="814"/>
      <w:bookmarkEnd w:id="815"/>
      <w:bookmarkEnd w:id="816"/>
      <w:bookmarkEnd w:id="817"/>
    </w:p>
    <w:bookmarkEnd w:id="818"/>
    <w:bookmarkEnd w:id="819"/>
    <w:bookmarkEnd w:id="820"/>
    <w:bookmarkEnd w:id="821"/>
    <w:bookmarkEnd w:id="822"/>
    <w:bookmarkEnd w:id="823"/>
    <w:p w14:paraId="6BD4C302">
      <w:pPr>
        <w:pStyle w:val="79"/>
        <w:spacing w:line="420" w:lineRule="exact"/>
        <w:ind w:right="-328" w:firstLine="309" w:firstLineChars="15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5</w:t>
      </w:r>
      <w:r>
        <w:rPr>
          <w:rFonts w:hint="eastAsia" w:ascii="宋体" w:hAnsi="宋体" w:cs="宋体"/>
          <w:b/>
          <w:bCs/>
          <w:color w:val="auto"/>
          <w:szCs w:val="21"/>
          <w:highlight w:val="none"/>
          <w:u w:val="single"/>
        </w:rPr>
        <w:t>级</w:t>
      </w:r>
      <w:r>
        <w:rPr>
          <w:rFonts w:hint="eastAsia" w:ascii="宋体" w:hAnsi="宋体" w:cs="宋体"/>
          <w:color w:val="auto"/>
          <w:szCs w:val="21"/>
          <w:highlight w:val="none"/>
          <w:u w:val="single"/>
        </w:rPr>
        <w:t>以上的地震；</w:t>
      </w:r>
    </w:p>
    <w:p w14:paraId="63EB68C0">
      <w:pPr>
        <w:pStyle w:val="79"/>
        <w:spacing w:line="420" w:lineRule="exact"/>
        <w:ind w:right="-328" w:firstLine="1"/>
        <w:rPr>
          <w:rFonts w:ascii="宋体" w:hAnsi="宋体" w:cs="宋体"/>
          <w:color w:val="auto"/>
          <w:szCs w:val="21"/>
          <w:highlight w:val="none"/>
          <w:u w:val="singl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u w:val="single"/>
        </w:rPr>
        <w:t>6</w:t>
      </w:r>
      <w:r>
        <w:rPr>
          <w:rFonts w:hint="eastAsia" w:ascii="宋体" w:hAnsi="宋体" w:cs="宋体"/>
          <w:color w:val="auto"/>
          <w:szCs w:val="21"/>
          <w:highlight w:val="none"/>
          <w:u w:val="single"/>
        </w:rPr>
        <w:t>级以上的大风；</w:t>
      </w:r>
    </w:p>
    <w:p w14:paraId="5C08CF5C">
      <w:pPr>
        <w:pStyle w:val="79"/>
        <w:spacing w:line="420" w:lineRule="exact"/>
        <w:ind w:right="-328" w:firstLine="1"/>
        <w:rPr>
          <w:rFonts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u w:val="single"/>
        </w:rPr>
        <w:t>60mm以上持续4小时及以上的大雨；</w:t>
      </w:r>
    </w:p>
    <w:p w14:paraId="39FA5652">
      <w:pPr>
        <w:pStyle w:val="79"/>
        <w:spacing w:line="420" w:lineRule="exact"/>
        <w:ind w:right="-328" w:firstLine="1"/>
        <w:rPr>
          <w:rFonts w:ascii="宋体" w:hAnsi="宋体" w:cs="宋体"/>
          <w:color w:val="auto"/>
          <w:szCs w:val="21"/>
          <w:highlight w:val="none"/>
          <w:u w:val="single"/>
        </w:rPr>
      </w:pPr>
      <w:r>
        <w:rPr>
          <w:rFonts w:hint="eastAsia" w:ascii="宋体" w:hAnsi="宋体" w:cs="宋体"/>
          <w:color w:val="auto"/>
          <w:szCs w:val="21"/>
          <w:highlight w:val="none"/>
        </w:rPr>
        <w:t xml:space="preserve">   （4）</w:t>
      </w:r>
      <w:r>
        <w:rPr>
          <w:rFonts w:hint="eastAsia" w:ascii="宋体" w:hAnsi="宋体" w:cs="宋体"/>
          <w:color w:val="auto"/>
          <w:szCs w:val="21"/>
          <w:highlight w:val="none"/>
          <w:u w:val="single"/>
        </w:rPr>
        <w:t>日最高温度40℃以上的高温天气；</w:t>
      </w:r>
    </w:p>
    <w:p w14:paraId="067DB06B">
      <w:pPr>
        <w:pStyle w:val="79"/>
        <w:spacing w:line="420" w:lineRule="exact"/>
        <w:ind w:right="-328" w:firstLine="1"/>
        <w:rPr>
          <w:rFonts w:ascii="宋体" w:hAnsi="宋体" w:cs="宋体"/>
          <w:color w:val="auto"/>
          <w:szCs w:val="21"/>
          <w:highlight w:val="none"/>
          <w:u w:val="single"/>
        </w:rPr>
      </w:pPr>
      <w:r>
        <w:rPr>
          <w:rFonts w:hint="eastAsia" w:ascii="宋体" w:hAnsi="宋体" w:cs="宋体"/>
          <w:color w:val="auto"/>
          <w:szCs w:val="21"/>
          <w:highlight w:val="none"/>
        </w:rPr>
        <w:t xml:space="preserve">   （5）</w:t>
      </w:r>
      <w:r>
        <w:rPr>
          <w:rFonts w:hint="eastAsia" w:ascii="宋体" w:hAnsi="宋体" w:cs="宋体"/>
          <w:color w:val="auto"/>
          <w:szCs w:val="21"/>
          <w:highlight w:val="none"/>
          <w:u w:val="single"/>
        </w:rPr>
        <w:t>50年以上未发生过的严寒天气；</w:t>
      </w:r>
    </w:p>
    <w:p w14:paraId="03D03D15">
      <w:pPr>
        <w:pStyle w:val="79"/>
        <w:spacing w:line="420" w:lineRule="exact"/>
        <w:ind w:firstLine="309" w:firstLineChars="15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bCs/>
          <w:color w:val="auto"/>
          <w:szCs w:val="21"/>
          <w:highlight w:val="none"/>
          <w:u w:val="single"/>
        </w:rPr>
        <w:t>50年</w:t>
      </w:r>
      <w:r>
        <w:rPr>
          <w:rFonts w:hint="eastAsia" w:ascii="宋体" w:hAnsi="宋体" w:cs="宋体"/>
          <w:color w:val="auto"/>
          <w:szCs w:val="21"/>
          <w:highlight w:val="none"/>
          <w:u w:val="single"/>
        </w:rPr>
        <w:t>以上未发生过的洪水。</w:t>
      </w:r>
    </w:p>
    <w:p w14:paraId="68F27965">
      <w:pPr>
        <w:pStyle w:val="78"/>
        <w:spacing w:line="360" w:lineRule="auto"/>
        <w:jc w:val="left"/>
        <w:rPr>
          <w:rFonts w:ascii="宋体" w:hAnsi="宋体" w:cs="宋体"/>
          <w:color w:val="auto"/>
          <w:highlight w:val="none"/>
        </w:rPr>
      </w:pPr>
    </w:p>
    <w:p w14:paraId="37D9B22D">
      <w:pPr>
        <w:pStyle w:val="93"/>
        <w:rPr>
          <w:rFonts w:ascii="宋体" w:hAnsi="宋体" w:cs="宋体"/>
          <w:color w:val="auto"/>
          <w:highlight w:val="none"/>
        </w:rPr>
      </w:pPr>
      <w:bookmarkStart w:id="824" w:name="_Toc29146"/>
      <w:bookmarkStart w:id="825" w:name="_Toc373227730"/>
      <w:bookmarkStart w:id="826" w:name="_Toc389065296"/>
      <w:bookmarkStart w:id="827" w:name="_Toc373478377"/>
      <w:bookmarkStart w:id="828" w:name="_Toc407135232"/>
      <w:bookmarkStart w:id="829" w:name="_Toc78449818"/>
      <w:bookmarkStart w:id="830" w:name="_Toc30084"/>
      <w:bookmarkStart w:id="831" w:name="_Toc114058869"/>
      <w:bookmarkStart w:id="832" w:name="_Toc6859"/>
      <w:r>
        <w:rPr>
          <w:rFonts w:hint="eastAsia" w:ascii="宋体" w:hAnsi="宋体" w:cs="宋体"/>
          <w:color w:val="auto"/>
          <w:highlight w:val="none"/>
        </w:rPr>
        <w:t>7.9 提前竣工</w:t>
      </w:r>
      <w:bookmarkEnd w:id="824"/>
      <w:bookmarkEnd w:id="825"/>
      <w:bookmarkEnd w:id="826"/>
      <w:bookmarkEnd w:id="827"/>
      <w:bookmarkEnd w:id="828"/>
      <w:bookmarkEnd w:id="829"/>
      <w:bookmarkEnd w:id="830"/>
      <w:bookmarkEnd w:id="831"/>
      <w:bookmarkEnd w:id="832"/>
    </w:p>
    <w:p w14:paraId="73F6E4B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7.9.2提前竣工（赶工）增加费的计算方法：</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C9E3355">
      <w:pPr>
        <w:pStyle w:val="94"/>
        <w:rPr>
          <w:rFonts w:ascii="宋体" w:hAnsi="宋体" w:eastAsia="宋体" w:cs="宋体"/>
          <w:color w:val="auto"/>
          <w:highlight w:val="none"/>
        </w:rPr>
      </w:pPr>
      <w:bookmarkStart w:id="833" w:name="_Toc407135233"/>
      <w:bookmarkStart w:id="834" w:name="_Toc16022"/>
      <w:bookmarkStart w:id="835" w:name="_Toc373227731"/>
      <w:bookmarkStart w:id="836" w:name="_Toc2471"/>
      <w:bookmarkStart w:id="837" w:name="_Toc78449819"/>
      <w:bookmarkStart w:id="838" w:name="_Toc373478378"/>
      <w:bookmarkStart w:id="839" w:name="_Toc114058870"/>
      <w:bookmarkStart w:id="840" w:name="_Toc389065297"/>
      <w:bookmarkStart w:id="841" w:name="_Toc10444"/>
      <w:bookmarkStart w:id="842" w:name="_Toc351203640"/>
      <w:r>
        <w:rPr>
          <w:rFonts w:hint="eastAsia" w:ascii="宋体" w:hAnsi="宋体" w:eastAsia="宋体" w:cs="宋体"/>
          <w:color w:val="auto"/>
          <w:highlight w:val="none"/>
        </w:rPr>
        <w:t>8. 材料与设备</w:t>
      </w:r>
      <w:bookmarkEnd w:id="833"/>
      <w:bookmarkEnd w:id="834"/>
      <w:bookmarkEnd w:id="835"/>
      <w:bookmarkEnd w:id="836"/>
      <w:bookmarkEnd w:id="837"/>
      <w:bookmarkEnd w:id="838"/>
      <w:bookmarkEnd w:id="839"/>
      <w:bookmarkEnd w:id="840"/>
      <w:bookmarkEnd w:id="841"/>
      <w:bookmarkEnd w:id="842"/>
    </w:p>
    <w:bookmarkEnd w:id="651"/>
    <w:bookmarkEnd w:id="652"/>
    <w:bookmarkEnd w:id="653"/>
    <w:bookmarkEnd w:id="654"/>
    <w:bookmarkEnd w:id="655"/>
    <w:bookmarkEnd w:id="656"/>
    <w:bookmarkEnd w:id="657"/>
    <w:bookmarkEnd w:id="658"/>
    <w:bookmarkEnd w:id="659"/>
    <w:bookmarkEnd w:id="660"/>
    <w:p w14:paraId="1B5DC653">
      <w:pPr>
        <w:pStyle w:val="93"/>
        <w:rPr>
          <w:rFonts w:ascii="宋体" w:hAnsi="宋体" w:cs="宋体"/>
          <w:color w:val="auto"/>
          <w:highlight w:val="none"/>
        </w:rPr>
      </w:pPr>
      <w:bookmarkStart w:id="843" w:name="_Toc7930"/>
      <w:bookmarkStart w:id="844" w:name="_Toc114058871"/>
      <w:bookmarkStart w:id="845" w:name="_Toc19039"/>
      <w:bookmarkStart w:id="846" w:name="_Toc407135234"/>
      <w:bookmarkStart w:id="847" w:name="_Toc15322"/>
      <w:bookmarkStart w:id="848" w:name="_Toc373227732"/>
      <w:bookmarkStart w:id="849" w:name="_Toc389065298"/>
      <w:bookmarkStart w:id="850" w:name="_Toc373478379"/>
      <w:bookmarkStart w:id="851" w:name="_Toc78449820"/>
      <w:r>
        <w:rPr>
          <w:rFonts w:hint="eastAsia" w:ascii="宋体" w:hAnsi="宋体" w:cs="宋体"/>
          <w:color w:val="auto"/>
          <w:highlight w:val="none"/>
        </w:rPr>
        <w:t>8.2 承包人采购材料与工程设备</w:t>
      </w:r>
      <w:bookmarkEnd w:id="843"/>
      <w:bookmarkEnd w:id="844"/>
      <w:bookmarkEnd w:id="845"/>
      <w:bookmarkEnd w:id="846"/>
      <w:bookmarkEnd w:id="847"/>
      <w:bookmarkEnd w:id="848"/>
      <w:bookmarkEnd w:id="849"/>
      <w:bookmarkEnd w:id="850"/>
      <w:bookmarkEnd w:id="851"/>
    </w:p>
    <w:p w14:paraId="2644DBB5">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除已标价工程量清单《发包人提供主要材料和工程设备一览表》（表-21）中明确的材料、工程设备外，由承包人负责材料和工程设备的采购、运输和保管。</w:t>
      </w:r>
      <w:bookmarkStart w:id="852" w:name="_Toc389065299"/>
      <w:bookmarkStart w:id="853" w:name="_Toc373478380"/>
      <w:bookmarkStart w:id="854" w:name="_Toc373227733"/>
    </w:p>
    <w:p w14:paraId="7DA7711C">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对发包人在采购时有“参照或相当于</w:t>
      </w:r>
      <w:r>
        <w:rPr>
          <w:rFonts w:hint="eastAsia" w:ascii="宋体" w:hAnsi="宋体" w:cs="宋体"/>
          <w:color w:val="auto"/>
          <w:highlight w:val="none"/>
          <w:lang w:val="en-US" w:eastAsia="zh-CN"/>
        </w:rPr>
        <w:t xml:space="preserve">  </w:t>
      </w:r>
      <w:r>
        <w:rPr>
          <w:rFonts w:hint="eastAsia" w:ascii="宋体" w:hAnsi="宋体" w:cs="宋体"/>
          <w:color w:val="auto"/>
          <w:highlight w:val="none"/>
        </w:rPr>
        <w:t>品牌、级别”约定的材料或设备，承包人采购时必须按类似于或优于所约定品牌、等级进行采购，施工期间该部分材料或设备如未超过招标约定的风险幅度的或</w:t>
      </w:r>
      <w:r>
        <w:rPr>
          <w:rFonts w:hint="eastAsia" w:ascii="宋体" w:hAnsi="宋体" w:cs="宋体"/>
          <w:b/>
          <w:bCs/>
          <w:color w:val="auto"/>
          <w:highlight w:val="none"/>
        </w:rPr>
        <w:t>当发包人与承包人对谈判文件所约定的材料有争议时，发包人有权要求承包人按谈判文件有“参照或相当于”标明材料品牌的材料进行采购，</w:t>
      </w:r>
      <w:r>
        <w:rPr>
          <w:rFonts w:hint="eastAsia" w:ascii="宋体" w:hAnsi="宋体" w:cs="宋体"/>
          <w:color w:val="auto"/>
          <w:highlight w:val="none"/>
        </w:rPr>
        <w:t>结算时按谈判响应单价支付，不得调整。</w:t>
      </w:r>
    </w:p>
    <w:p w14:paraId="57C32FFF">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对发包人在采购时，没有明确约定参照或相当于**品牌、档次的材料和设备，或双方对材料和设备选择有争议的，发包人有权要求承包人按不低于招标控制价相同细目的材料或设备价格进行采购，结算时按</w:t>
      </w:r>
      <w:r>
        <w:rPr>
          <w:rFonts w:hint="eastAsia" w:ascii="宋体" w:hAnsi="宋体" w:cs="宋体"/>
          <w:color w:val="auto"/>
          <w:highlight w:val="none"/>
        </w:rPr>
        <w:t>谈判响应</w:t>
      </w:r>
      <w:r>
        <w:rPr>
          <w:rFonts w:hint="eastAsia" w:ascii="宋体" w:hAnsi="宋体" w:cs="宋体"/>
          <w:color w:val="auto"/>
          <w:kern w:val="0"/>
          <w:highlight w:val="none"/>
        </w:rPr>
        <w:t>单价支付，不得调整。</w:t>
      </w:r>
    </w:p>
    <w:p w14:paraId="04747FA7">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禁止使用松木、松木包装材料设备、种子、苗木、花卉及繁殖材料。</w:t>
      </w:r>
    </w:p>
    <w:p w14:paraId="4053B21D">
      <w:pPr>
        <w:pStyle w:val="78"/>
        <w:autoSpaceDE w:val="0"/>
        <w:autoSpaceDN w:val="0"/>
        <w:adjustRightInd w:val="0"/>
        <w:spacing w:line="360" w:lineRule="auto"/>
        <w:ind w:firstLine="412" w:firstLineChars="200"/>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8.2.1 由承包人采购、供应的材料，承包人需提前三天向监理人及发包人报验并提供详细进货清单，进货清单应含有所进货物的品牌、规格、型号、数量及质量等级等内容，待发包人回复同意后方可进货，若承包人材料进场前未报验、进场材料与报验材料不符及进场材料为假冒伪劣材料的，每发生一例，承包人应向发包人支付违约金30000元。该款项直接从工程进度款或履约保证金中扣除，无需经承包人同意，承包人还应无条件负责将材料退场，并承担由此产生的一切费用及责任，由此延误的工期不予顺延。</w:t>
      </w:r>
    </w:p>
    <w:p w14:paraId="6A8C5624">
      <w:pPr>
        <w:pStyle w:val="78"/>
        <w:autoSpaceDE w:val="0"/>
        <w:autoSpaceDN w:val="0"/>
        <w:adjustRightInd w:val="0"/>
        <w:spacing w:line="360" w:lineRule="auto"/>
        <w:ind w:firstLine="412" w:firstLineChars="200"/>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8.2.2 承包人采购材料进场同时，需提供与报验相同的产品合格证及相关检测报告，若不能提供的，该批材料按不合格产品清退出场，并按8.2.1条处理。</w:t>
      </w:r>
    </w:p>
    <w:p w14:paraId="44F3447E">
      <w:pPr>
        <w:pStyle w:val="78"/>
        <w:autoSpaceDE w:val="0"/>
        <w:autoSpaceDN w:val="0"/>
        <w:adjustRightInd w:val="0"/>
        <w:spacing w:line="360" w:lineRule="auto"/>
        <w:ind w:firstLine="412" w:firstLineChars="200"/>
        <w:jc w:val="left"/>
        <w:rPr>
          <w:rFonts w:ascii="宋体" w:hAnsi="宋体" w:cs="宋体"/>
          <w:color w:val="auto"/>
          <w:highlight w:val="none"/>
        </w:rPr>
      </w:pPr>
    </w:p>
    <w:p w14:paraId="6A8A1A42">
      <w:pPr>
        <w:pStyle w:val="93"/>
        <w:rPr>
          <w:rFonts w:ascii="宋体" w:hAnsi="宋体" w:cs="宋体"/>
          <w:color w:val="auto"/>
          <w:highlight w:val="none"/>
        </w:rPr>
      </w:pPr>
      <w:bookmarkStart w:id="855" w:name="_Toc30375"/>
      <w:bookmarkStart w:id="856" w:name="_Toc28930"/>
      <w:bookmarkStart w:id="857" w:name="_Toc6448"/>
      <w:bookmarkStart w:id="858" w:name="_Toc78449821"/>
      <w:bookmarkStart w:id="859" w:name="_Toc407135235"/>
      <w:bookmarkStart w:id="860" w:name="_Toc114058872"/>
      <w:r>
        <w:rPr>
          <w:rFonts w:hint="eastAsia" w:ascii="宋体" w:hAnsi="宋体" w:cs="宋体"/>
          <w:color w:val="auto"/>
          <w:highlight w:val="none"/>
        </w:rPr>
        <w:t>8</w:t>
      </w:r>
      <w:bookmarkStart w:id="861" w:name="_Toc312678019"/>
      <w:bookmarkStart w:id="862" w:name="_Toc297123527"/>
      <w:bookmarkStart w:id="863" w:name="_Toc296890995"/>
      <w:bookmarkStart w:id="864" w:name="_Toc297120467"/>
      <w:bookmarkStart w:id="865" w:name="_Toc296347166"/>
      <w:bookmarkStart w:id="866" w:name="_Toc296503167"/>
      <w:bookmarkStart w:id="867" w:name="_Toc312677493"/>
      <w:bookmarkStart w:id="868" w:name="_Toc292559372"/>
      <w:bookmarkStart w:id="869" w:name="_Toc303539136"/>
      <w:bookmarkStart w:id="870" w:name="_Toc304295556"/>
      <w:bookmarkStart w:id="871" w:name="_Toc300934979"/>
      <w:bookmarkStart w:id="872" w:name="_Toc280868654"/>
      <w:bookmarkStart w:id="873" w:name="_Toc297048353"/>
      <w:bookmarkStart w:id="874" w:name="_Toc296944506"/>
      <w:bookmarkStart w:id="875" w:name="_Toc296891207"/>
      <w:bookmarkStart w:id="876" w:name="_Toc297216186"/>
      <w:bookmarkStart w:id="877" w:name="_Toc292559877"/>
      <w:bookmarkStart w:id="878" w:name="_Toc296346668"/>
      <w:bookmarkStart w:id="879" w:name="_Toc267251424"/>
      <w:bookmarkStart w:id="880" w:name="_Toc280868656"/>
      <w:bookmarkStart w:id="881" w:name="_Toc280868655"/>
      <w:r>
        <w:rPr>
          <w:rFonts w:hint="eastAsia" w:ascii="宋体" w:hAnsi="宋体" w:cs="宋体"/>
          <w:color w:val="auto"/>
          <w:highlight w:val="none"/>
        </w:rPr>
        <w:t>.4 材料与工程设备的保管与使用</w:t>
      </w:r>
      <w:bookmarkEnd w:id="852"/>
      <w:bookmarkEnd w:id="853"/>
      <w:bookmarkEnd w:id="854"/>
      <w:bookmarkEnd w:id="855"/>
      <w:bookmarkEnd w:id="856"/>
      <w:bookmarkEnd w:id="857"/>
      <w:bookmarkEnd w:id="858"/>
      <w:bookmarkEnd w:id="859"/>
      <w:bookmarkEnd w:id="860"/>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6502669C">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8</w:t>
      </w:r>
      <w:bookmarkStart w:id="882" w:name="_Toc292559373"/>
      <w:bookmarkStart w:id="883" w:name="_Toc292559878"/>
      <w:bookmarkStart w:id="884" w:name="_Toc300934980"/>
      <w:bookmarkStart w:id="885" w:name="_Toc318581173"/>
      <w:bookmarkStart w:id="886" w:name="_Toc297120468"/>
      <w:bookmarkStart w:id="887" w:name="_Toc296891208"/>
      <w:bookmarkStart w:id="888" w:name="_Toc303539137"/>
      <w:bookmarkStart w:id="889" w:name="_Toc297123528"/>
      <w:bookmarkStart w:id="890" w:name="_Toc296346669"/>
      <w:bookmarkStart w:id="891" w:name="_Toc304295557"/>
      <w:bookmarkStart w:id="892" w:name="_Toc296503168"/>
      <w:bookmarkStart w:id="893" w:name="_Toc297216187"/>
      <w:bookmarkStart w:id="894" w:name="_Toc312678020"/>
      <w:bookmarkStart w:id="895" w:name="_Toc296347167"/>
      <w:bookmarkStart w:id="896" w:name="_Toc312677494"/>
      <w:bookmarkStart w:id="897" w:name="_Toc296890996"/>
      <w:bookmarkStart w:id="898" w:name="_Toc297048354"/>
      <w:bookmarkStart w:id="899" w:name="_Toc296944507"/>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由发包人供应给承包人施工使用的材料、设备，保管费由承包人承担</w:t>
      </w:r>
      <w:r>
        <w:rPr>
          <w:rFonts w:hint="eastAsia" w:ascii="宋体" w:hAnsi="宋体" w:cs="宋体"/>
          <w:color w:val="auto"/>
          <w:highlight w:val="none"/>
        </w:rPr>
        <w:t>。</w:t>
      </w:r>
    </w:p>
    <w:bookmarkEnd w:id="882"/>
    <w:bookmarkEnd w:id="883"/>
    <w:p w14:paraId="4AACDFFC">
      <w:pPr>
        <w:pStyle w:val="93"/>
        <w:rPr>
          <w:rFonts w:ascii="宋体" w:hAnsi="宋体" w:cs="宋体"/>
          <w:color w:val="auto"/>
          <w:highlight w:val="none"/>
        </w:rPr>
      </w:pPr>
      <w:bookmarkStart w:id="900" w:name="_Toc373227734"/>
      <w:bookmarkStart w:id="901" w:name="_Toc9758"/>
      <w:bookmarkStart w:id="902" w:name="_Toc393"/>
      <w:bookmarkStart w:id="903" w:name="_Toc373478381"/>
      <w:bookmarkStart w:id="904" w:name="_Toc389065300"/>
      <w:bookmarkStart w:id="905" w:name="_Toc20648"/>
      <w:bookmarkStart w:id="906" w:name="_Toc114058873"/>
      <w:bookmarkStart w:id="907" w:name="_Toc407135236"/>
      <w:bookmarkStart w:id="908" w:name="_Toc78449822"/>
      <w:r>
        <w:rPr>
          <w:rFonts w:hint="eastAsia" w:ascii="宋体" w:hAnsi="宋体" w:cs="宋体"/>
          <w:color w:val="auto"/>
          <w:highlight w:val="none"/>
        </w:rPr>
        <w:t>8.6 样品</w:t>
      </w:r>
      <w:bookmarkEnd w:id="900"/>
      <w:bookmarkEnd w:id="901"/>
      <w:bookmarkEnd w:id="902"/>
      <w:bookmarkEnd w:id="903"/>
      <w:bookmarkEnd w:id="904"/>
      <w:bookmarkEnd w:id="905"/>
      <w:bookmarkEnd w:id="906"/>
      <w:bookmarkEnd w:id="907"/>
      <w:bookmarkEnd w:id="908"/>
    </w:p>
    <w:p w14:paraId="44965092">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8.6.1 样品的报送与封存</w:t>
      </w:r>
    </w:p>
    <w:p w14:paraId="5EBFE849">
      <w:pPr>
        <w:pStyle w:val="78"/>
        <w:autoSpaceDE w:val="0"/>
        <w:autoSpaceDN w:val="0"/>
        <w:adjustRightInd w:val="0"/>
        <w:spacing w:line="276" w:lineRule="auto"/>
        <w:ind w:firstLine="412"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w:t>
      </w:r>
      <w:r>
        <w:rPr>
          <w:rFonts w:hint="eastAsia" w:ascii="宋体" w:hAnsi="宋体" w:cs="宋体"/>
          <w:color w:val="auto"/>
          <w:szCs w:val="21"/>
          <w:highlight w:val="none"/>
        </w:rPr>
        <w:t>拟选用</w:t>
      </w:r>
      <w:r>
        <w:rPr>
          <w:rFonts w:hint="eastAsia" w:ascii="宋体" w:hAnsi="宋体" w:cs="宋体"/>
          <w:color w:val="auto"/>
          <w:szCs w:val="21"/>
          <w:highlight w:val="none"/>
          <w:u w:val="single"/>
        </w:rPr>
        <w:t>合格的材料样品送发包人选定。</w:t>
      </w:r>
      <w:r>
        <w:rPr>
          <w:rFonts w:hint="eastAsia" w:ascii="宋体" w:hAnsi="宋体" w:cs="宋体"/>
          <w:color w:val="auto"/>
          <w:szCs w:val="21"/>
          <w:highlight w:val="none"/>
        </w:rPr>
        <w:t>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14:paraId="1572472E">
      <w:pPr>
        <w:pStyle w:val="93"/>
        <w:rPr>
          <w:rFonts w:ascii="宋体" w:hAnsi="宋体" w:cs="宋体"/>
          <w:color w:val="auto"/>
          <w:highlight w:val="none"/>
        </w:rPr>
      </w:pPr>
      <w:bookmarkStart w:id="909" w:name="_Toc19766"/>
      <w:bookmarkStart w:id="910" w:name="_Toc114058874"/>
      <w:bookmarkStart w:id="911" w:name="_Toc389065301"/>
      <w:bookmarkStart w:id="912" w:name="_Toc78449823"/>
      <w:bookmarkStart w:id="913" w:name="_Toc373227735"/>
      <w:bookmarkStart w:id="914" w:name="_Toc407135237"/>
      <w:bookmarkStart w:id="915" w:name="_Toc5936"/>
      <w:bookmarkStart w:id="916" w:name="_Toc373478382"/>
      <w:bookmarkStart w:id="917" w:name="_Toc8271"/>
      <w:r>
        <w:rPr>
          <w:rFonts w:hint="eastAsia" w:ascii="宋体" w:hAnsi="宋体" w:cs="宋体"/>
          <w:color w:val="auto"/>
          <w:highlight w:val="none"/>
        </w:rPr>
        <w:t>8.8 施工设备和临时设施</w:t>
      </w:r>
      <w:bookmarkEnd w:id="909"/>
      <w:bookmarkEnd w:id="910"/>
      <w:bookmarkEnd w:id="911"/>
      <w:bookmarkEnd w:id="912"/>
      <w:bookmarkEnd w:id="913"/>
      <w:bookmarkEnd w:id="914"/>
      <w:bookmarkEnd w:id="915"/>
      <w:bookmarkEnd w:id="916"/>
      <w:bookmarkEnd w:id="917"/>
    </w:p>
    <w:p w14:paraId="59F74DD5">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592835AE">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除专用合同条款另有约定的其他独立承包人指示的他人提供条件外，承包人运入施工场地的所有施工设备以及在施工场地建设的临时设施仅限于用于合同工程。承包人用于本工程的主要机械设备清单见合同附件4。</w:t>
      </w:r>
    </w:p>
    <w:p w14:paraId="001F0B68">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关于修建临时设施费用承担的约定：</w:t>
      </w:r>
    </w:p>
    <w:p w14:paraId="549F9EE5">
      <w:pPr>
        <w:pStyle w:val="78"/>
        <w:numPr>
          <w:ilvl w:val="0"/>
          <w:numId w:val="7"/>
        </w:numPr>
        <w:autoSpaceDE w:val="0"/>
        <w:autoSpaceDN w:val="0"/>
        <w:adjustRightInd w:val="0"/>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u w:val="single"/>
        </w:rPr>
        <w:t>除专用合同条款另有约定外， 承包人的临时用地（含项目部驻地等）租用费（含拆迁补偿）、临时用地的环保、恢复、临时用地的青苗补偿及地面附着物拆除等费用均由承包人负责 ，费用在谈判报价中综合考虑。</w:t>
      </w:r>
    </w:p>
    <w:p w14:paraId="5DC21AA0">
      <w:pPr>
        <w:pStyle w:val="79"/>
        <w:autoSpaceDE w:val="0"/>
        <w:autoSpaceDN w:val="0"/>
        <w:adjustRightInd w:val="0"/>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（2）承包人负责合同实施期间其合同段内临时交通道路（含场内外连接公共交通道路）和交通设施的修建、维修、养护和交通管理工作，并承担一切费用。</w:t>
      </w:r>
    </w:p>
    <w:p w14:paraId="756B15FE">
      <w:pPr>
        <w:pStyle w:val="78"/>
        <w:autoSpaceDE w:val="0"/>
        <w:autoSpaceDN w:val="0"/>
        <w:adjustRightInd w:val="0"/>
        <w:spacing w:line="360" w:lineRule="auto"/>
        <w:jc w:val="left"/>
        <w:rPr>
          <w:rFonts w:ascii="宋体" w:hAnsi="宋体" w:cs="宋体"/>
          <w:color w:val="auto"/>
          <w:highlight w:val="none"/>
          <w:u w:val="single"/>
        </w:rPr>
      </w:pPr>
      <w:r>
        <w:rPr>
          <w:rFonts w:hint="eastAsia" w:ascii="宋体" w:hAnsi="宋体" w:cs="宋体"/>
          <w:color w:val="auto"/>
          <w:highlight w:val="none"/>
          <w:u w:val="single"/>
        </w:rPr>
        <w:t>（3）承包人修建的临时道路和交通设施，应免费提供给发包人和其他合同段的承包人使用，如共同使用的路基损坏严重，发包人将负责通知有关承包人共同出资修复，若使用频率相差悬殊，则按比例分摊</w:t>
      </w:r>
      <w:r>
        <w:rPr>
          <w:rFonts w:hint="eastAsia" w:ascii="宋体" w:hAnsi="宋体" w:cs="宋体"/>
          <w:color w:val="auto"/>
          <w:highlight w:val="none"/>
        </w:rPr>
        <w:t>。</w:t>
      </w:r>
    </w:p>
    <w:p w14:paraId="2947A179">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8.8.2 发包人提供的施工设备和临时设施</w:t>
      </w:r>
    </w:p>
    <w:p w14:paraId="47FF5916">
      <w:pPr>
        <w:pStyle w:val="79"/>
        <w:autoSpaceDE w:val="0"/>
        <w:autoSpaceDN w:val="0"/>
        <w:adjustRightInd w:val="0"/>
        <w:spacing w:line="360" w:lineRule="auto"/>
        <w:ind w:firstLine="412" w:firstLineChars="200"/>
        <w:jc w:val="left"/>
        <w:rPr>
          <w:rFonts w:ascii="宋体" w:hAnsi="宋体" w:cs="宋体"/>
          <w:color w:val="auto"/>
          <w:szCs w:val="21"/>
          <w:highlight w:val="none"/>
        </w:rPr>
      </w:pPr>
      <w:r>
        <w:rPr>
          <w:rFonts w:hint="eastAsia" w:ascii="宋体" w:hAnsi="宋体" w:cs="宋体"/>
          <w:color w:val="auto"/>
          <w:highlight w:val="none"/>
        </w:rPr>
        <w:t>发包人提供的施工设备和临时设施：</w:t>
      </w:r>
      <w:r>
        <w:rPr>
          <w:rFonts w:hint="eastAsia" w:ascii="宋体" w:hAnsi="宋体" w:cs="宋体"/>
          <w:b/>
          <w:bCs/>
          <w:color w:val="auto"/>
          <w:szCs w:val="21"/>
          <w:highlight w:val="none"/>
          <w:u w:val="single"/>
        </w:rPr>
        <w:t>除专用合同条款另有约定的其他独立承包人指示的他人提供条件外，承包人运入施工场地的所有施工设备以及在施工场地建设的临时设施仅限于用本合同工程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塔吊和井架免费提供给发包人用于本工程项目相关配套工程</w:t>
      </w:r>
      <w:r>
        <w:rPr>
          <w:rFonts w:hint="eastAsia" w:ascii="宋体" w:hAnsi="宋体" w:cs="宋体"/>
          <w:color w:val="auto"/>
          <w:szCs w:val="21"/>
          <w:highlight w:val="none"/>
        </w:rPr>
        <w:t>。</w:t>
      </w:r>
    </w:p>
    <w:p w14:paraId="653D84E3">
      <w:pPr>
        <w:pStyle w:val="78"/>
        <w:autoSpaceDE w:val="0"/>
        <w:autoSpaceDN w:val="0"/>
        <w:adjustRightInd w:val="0"/>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承包人</w:t>
      </w:r>
      <w:r>
        <w:rPr>
          <w:rFonts w:hint="eastAsia" w:ascii="宋体" w:hAnsi="宋体" w:cs="宋体"/>
          <w:color w:val="auto"/>
          <w:highlight w:val="none"/>
        </w:rPr>
        <w:t>。</w:t>
      </w:r>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14:paraId="5D7D6E95">
      <w:pPr>
        <w:pStyle w:val="94"/>
        <w:rPr>
          <w:rFonts w:ascii="宋体" w:hAnsi="宋体" w:eastAsia="宋体" w:cs="宋体"/>
          <w:color w:val="auto"/>
          <w:highlight w:val="none"/>
        </w:rPr>
      </w:pPr>
      <w:bookmarkStart w:id="918" w:name="_Toc114058875"/>
      <w:bookmarkStart w:id="919" w:name="_Toc10331"/>
      <w:bookmarkStart w:id="920" w:name="_Toc389065302"/>
      <w:bookmarkStart w:id="921" w:name="_Toc373478383"/>
      <w:bookmarkStart w:id="922" w:name="_Toc5737"/>
      <w:bookmarkStart w:id="923" w:name="_Toc351203641"/>
      <w:bookmarkStart w:id="924" w:name="_Toc407135238"/>
      <w:bookmarkStart w:id="925" w:name="_Toc635"/>
      <w:bookmarkStart w:id="926" w:name="_Toc78449824"/>
      <w:bookmarkStart w:id="927" w:name="_Toc373227736"/>
      <w:r>
        <w:rPr>
          <w:rFonts w:hint="eastAsia" w:ascii="宋体" w:hAnsi="宋体" w:eastAsia="宋体" w:cs="宋体"/>
          <w:color w:val="auto"/>
          <w:highlight w:val="none"/>
        </w:rPr>
        <w:t>9</w:t>
      </w:r>
      <w:bookmarkEnd w:id="879"/>
      <w:bookmarkEnd w:id="880"/>
      <w:bookmarkEnd w:id="881"/>
      <w:bookmarkStart w:id="928" w:name="_Toc297123533"/>
      <w:bookmarkStart w:id="929" w:name="_Toc312678021"/>
      <w:bookmarkStart w:id="930" w:name="_Toc300934982"/>
      <w:bookmarkStart w:id="931" w:name="_Toc312677495"/>
      <w:bookmarkStart w:id="932" w:name="_Toc304295559"/>
      <w:bookmarkStart w:id="933" w:name="_Toc303539139"/>
      <w:bookmarkStart w:id="934" w:name="_Toc297216192"/>
      <w:bookmarkStart w:id="935" w:name="_Toc267251428"/>
      <w:bookmarkStart w:id="936" w:name="_Toc296347172"/>
      <w:bookmarkStart w:id="937" w:name="_Toc296944512"/>
      <w:bookmarkStart w:id="938" w:name="_Toc292559378"/>
      <w:bookmarkStart w:id="939" w:name="_Toc292559883"/>
      <w:bookmarkStart w:id="940" w:name="_Toc296891213"/>
      <w:bookmarkStart w:id="941" w:name="_Toc296346674"/>
      <w:bookmarkStart w:id="942" w:name="_Toc296891001"/>
      <w:bookmarkStart w:id="943" w:name="_Toc297120473"/>
      <w:bookmarkStart w:id="944" w:name="_Toc296503173"/>
      <w:bookmarkStart w:id="945" w:name="_Toc297048359"/>
      <w:bookmarkStart w:id="946" w:name="_Toc267251427"/>
      <w:r>
        <w:rPr>
          <w:rFonts w:hint="eastAsia" w:ascii="宋体" w:hAnsi="宋体" w:eastAsia="宋体" w:cs="宋体"/>
          <w:color w:val="auto"/>
          <w:highlight w:val="none"/>
        </w:rPr>
        <w:t>. 试验与检验</w:t>
      </w:r>
      <w:bookmarkEnd w:id="918"/>
      <w:bookmarkEnd w:id="919"/>
      <w:bookmarkEnd w:id="920"/>
      <w:bookmarkEnd w:id="921"/>
      <w:bookmarkEnd w:id="922"/>
      <w:bookmarkEnd w:id="923"/>
      <w:bookmarkEnd w:id="924"/>
      <w:bookmarkEnd w:id="925"/>
      <w:bookmarkEnd w:id="926"/>
      <w:bookmarkEnd w:id="927"/>
    </w:p>
    <w:bookmarkEnd w:id="928"/>
    <w:bookmarkEnd w:id="929"/>
    <w:bookmarkEnd w:id="930"/>
    <w:bookmarkEnd w:id="931"/>
    <w:bookmarkEnd w:id="932"/>
    <w:bookmarkEnd w:id="933"/>
    <w:bookmarkEnd w:id="934"/>
    <w:p w14:paraId="5848DE8A">
      <w:pPr>
        <w:pStyle w:val="93"/>
        <w:rPr>
          <w:rFonts w:ascii="宋体" w:hAnsi="宋体" w:cs="宋体"/>
          <w:color w:val="auto"/>
          <w:highlight w:val="none"/>
        </w:rPr>
      </w:pPr>
      <w:bookmarkStart w:id="947" w:name="_Toc114058876"/>
      <w:bookmarkStart w:id="948" w:name="_Toc373227737"/>
      <w:bookmarkStart w:id="949" w:name="_Toc407135239"/>
      <w:bookmarkStart w:id="950" w:name="_Toc373478384"/>
      <w:bookmarkStart w:id="951" w:name="_Toc78449825"/>
      <w:bookmarkStart w:id="952" w:name="_Toc19148"/>
      <w:bookmarkStart w:id="953" w:name="_Toc389065303"/>
      <w:bookmarkStart w:id="954" w:name="_Toc10641"/>
      <w:bookmarkStart w:id="955" w:name="_Toc999"/>
      <w:r>
        <w:rPr>
          <w:rFonts w:hint="eastAsia" w:ascii="宋体" w:hAnsi="宋体" w:cs="宋体"/>
          <w:color w:val="auto"/>
          <w:highlight w:val="none"/>
        </w:rPr>
        <w:t>9</w:t>
      </w:r>
      <w:bookmarkStart w:id="956" w:name="_Toc312678022"/>
      <w:bookmarkStart w:id="957" w:name="_Toc312677496"/>
      <w:bookmarkStart w:id="958" w:name="_Toc304295560"/>
      <w:bookmarkStart w:id="959" w:name="_Toc303539140"/>
      <w:bookmarkStart w:id="960" w:name="_Toc297123534"/>
      <w:bookmarkStart w:id="961" w:name="_Toc300934983"/>
      <w:bookmarkStart w:id="962" w:name="_Toc297216193"/>
      <w:r>
        <w:rPr>
          <w:rFonts w:hint="eastAsia" w:ascii="宋体" w:hAnsi="宋体" w:cs="宋体"/>
          <w:color w:val="auto"/>
          <w:highlight w:val="none"/>
        </w:rPr>
        <w:t>.1 试验设备与试验人员</w:t>
      </w:r>
      <w:bookmarkEnd w:id="947"/>
      <w:bookmarkEnd w:id="948"/>
      <w:bookmarkEnd w:id="949"/>
      <w:bookmarkEnd w:id="950"/>
      <w:bookmarkEnd w:id="951"/>
      <w:bookmarkEnd w:id="952"/>
      <w:bookmarkEnd w:id="953"/>
      <w:bookmarkEnd w:id="954"/>
      <w:bookmarkEnd w:id="955"/>
    </w:p>
    <w:bookmarkEnd w:id="956"/>
    <w:bookmarkEnd w:id="957"/>
    <w:bookmarkEnd w:id="958"/>
    <w:bookmarkEnd w:id="959"/>
    <w:bookmarkEnd w:id="960"/>
    <w:bookmarkEnd w:id="961"/>
    <w:bookmarkEnd w:id="962"/>
    <w:p w14:paraId="0C992B5C">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9</w:t>
      </w:r>
      <w:bookmarkStart w:id="963" w:name="_Toc297123535"/>
      <w:bookmarkStart w:id="964" w:name="_Toc312678023"/>
      <w:bookmarkStart w:id="965" w:name="_Toc312677497"/>
      <w:bookmarkStart w:id="966" w:name="_Toc297216194"/>
      <w:bookmarkStart w:id="967" w:name="_Toc303539141"/>
      <w:bookmarkStart w:id="968" w:name="_Toc304295561"/>
      <w:bookmarkStart w:id="969" w:name="_Toc300934984"/>
      <w:bookmarkStart w:id="970" w:name="_Toc318581174"/>
      <w:r>
        <w:rPr>
          <w:rFonts w:hint="eastAsia" w:ascii="宋体" w:hAnsi="宋体" w:cs="宋体"/>
          <w:color w:val="auto"/>
          <w:highlight w:val="none"/>
        </w:rPr>
        <w:t>.1.2 试验设备</w:t>
      </w:r>
    </w:p>
    <w:bookmarkEnd w:id="963"/>
    <w:bookmarkEnd w:id="964"/>
    <w:bookmarkEnd w:id="965"/>
    <w:bookmarkEnd w:id="966"/>
    <w:bookmarkEnd w:id="967"/>
    <w:bookmarkEnd w:id="968"/>
    <w:bookmarkEnd w:id="969"/>
    <w:p w14:paraId="5A1D8F5C">
      <w:pPr>
        <w:pStyle w:val="79"/>
        <w:spacing w:line="360" w:lineRule="auto"/>
        <w:ind w:firstLine="412" w:firstLineChars="200"/>
        <w:jc w:val="left"/>
        <w:rPr>
          <w:rFonts w:ascii="宋体" w:hAnsi="宋体" w:cs="宋体"/>
          <w:color w:val="auto"/>
          <w:szCs w:val="21"/>
          <w:highlight w:val="none"/>
          <w:u w:val="single"/>
        </w:rPr>
      </w:pPr>
      <w:bookmarkStart w:id="971" w:name="_Toc312677498"/>
      <w:bookmarkStart w:id="972" w:name="_Toc297123536"/>
      <w:bookmarkStart w:id="973" w:name="_Toc312678024"/>
      <w:bookmarkStart w:id="974" w:name="_Toc300934985"/>
      <w:bookmarkStart w:id="975" w:name="_Toc304295562"/>
      <w:bookmarkStart w:id="976" w:name="_Toc297216195"/>
      <w:bookmarkStart w:id="977" w:name="_Toc303539142"/>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按有关规定执行，其余均按本合同《通用条款》第 9.1.2款规定执行</w:t>
      </w:r>
      <w:r>
        <w:rPr>
          <w:rFonts w:hint="eastAsia" w:ascii="宋体" w:hAnsi="宋体" w:cs="宋体"/>
          <w:color w:val="auto"/>
          <w:szCs w:val="21"/>
          <w:highlight w:val="none"/>
        </w:rPr>
        <w:t>。</w:t>
      </w:r>
    </w:p>
    <w:p w14:paraId="46F53FDD">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按有关规定执行，其余均按本合同《通用条款》第 9.1.2款规定执行</w:t>
      </w:r>
      <w:r>
        <w:rPr>
          <w:rFonts w:hint="eastAsia" w:ascii="宋体" w:hAnsi="宋体" w:cs="宋体"/>
          <w:color w:val="auto"/>
          <w:szCs w:val="21"/>
          <w:highlight w:val="none"/>
        </w:rPr>
        <w:t>。</w:t>
      </w:r>
    </w:p>
    <w:p w14:paraId="4770F18F">
      <w:pPr>
        <w:pStyle w:val="79"/>
        <w:spacing w:line="360" w:lineRule="auto"/>
        <w:ind w:firstLine="412" w:firstLineChars="200"/>
        <w:jc w:val="left"/>
        <w:rPr>
          <w:rFonts w:ascii="宋体" w:hAnsi="宋体" w:cs="宋体"/>
          <w:color w:val="auto"/>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按有关规定执行，其余均按本合同《通用条款》第 9.1.2款规定执行</w:t>
      </w:r>
      <w:r>
        <w:rPr>
          <w:rFonts w:hint="eastAsia" w:ascii="宋体" w:hAnsi="宋体" w:cs="宋体"/>
          <w:color w:val="auto"/>
          <w:szCs w:val="21"/>
          <w:highlight w:val="none"/>
        </w:rPr>
        <w:t>。</w:t>
      </w:r>
    </w:p>
    <w:p w14:paraId="3F6EFADB">
      <w:pPr>
        <w:pStyle w:val="93"/>
        <w:rPr>
          <w:rFonts w:ascii="宋体" w:hAnsi="宋体" w:cs="宋体"/>
          <w:color w:val="auto"/>
          <w:highlight w:val="none"/>
        </w:rPr>
      </w:pPr>
      <w:bookmarkStart w:id="978" w:name="_Toc18574"/>
      <w:bookmarkStart w:id="979" w:name="_Toc32706"/>
      <w:bookmarkStart w:id="980" w:name="_Toc78449826"/>
      <w:bookmarkStart w:id="981" w:name="_Toc389065304"/>
      <w:bookmarkStart w:id="982" w:name="_Toc114058877"/>
      <w:bookmarkStart w:id="983" w:name="_Toc373227738"/>
      <w:bookmarkStart w:id="984" w:name="_Toc407135240"/>
      <w:bookmarkStart w:id="985" w:name="_Toc373478385"/>
      <w:bookmarkStart w:id="986" w:name="_Toc20367"/>
      <w:r>
        <w:rPr>
          <w:rFonts w:hint="eastAsia" w:ascii="宋体" w:hAnsi="宋体" w:cs="宋体"/>
          <w:color w:val="auto"/>
          <w:highlight w:val="none"/>
        </w:rPr>
        <w:t>9.4 现场工艺试验</w:t>
      </w:r>
      <w:bookmarkEnd w:id="978"/>
      <w:bookmarkEnd w:id="979"/>
      <w:bookmarkEnd w:id="980"/>
      <w:bookmarkEnd w:id="981"/>
      <w:bookmarkEnd w:id="982"/>
      <w:bookmarkEnd w:id="983"/>
      <w:bookmarkEnd w:id="984"/>
      <w:bookmarkEnd w:id="985"/>
      <w:bookmarkEnd w:id="986"/>
      <w:r>
        <w:rPr>
          <w:rFonts w:hint="eastAsia" w:ascii="宋体" w:hAnsi="宋体" w:cs="宋体"/>
          <w:color w:val="auto"/>
          <w:highlight w:val="none"/>
        </w:rPr>
        <w:t xml:space="preserve"> </w:t>
      </w:r>
    </w:p>
    <w:p w14:paraId="3C392BE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按照通用条款执行</w:t>
      </w:r>
      <w:r>
        <w:rPr>
          <w:rFonts w:hint="eastAsia" w:ascii="宋体" w:hAnsi="宋体" w:cs="宋体"/>
          <w:color w:val="auto"/>
          <w:highlight w:val="none"/>
        </w:rPr>
        <w:t>。</w:t>
      </w:r>
    </w:p>
    <w:p w14:paraId="1562471E">
      <w:pPr>
        <w:pStyle w:val="93"/>
        <w:rPr>
          <w:rFonts w:ascii="宋体" w:hAnsi="宋体" w:cs="宋体"/>
          <w:color w:val="auto"/>
          <w:highlight w:val="none"/>
        </w:rPr>
      </w:pPr>
      <w:bookmarkStart w:id="987" w:name="_Toc78449827"/>
      <w:bookmarkStart w:id="988" w:name="_Toc26606"/>
      <w:bookmarkStart w:id="989" w:name="_Toc28516"/>
      <w:bookmarkStart w:id="990" w:name="_Toc407135241"/>
      <w:bookmarkStart w:id="991" w:name="_Toc13320"/>
      <w:bookmarkStart w:id="992" w:name="_Toc114058878"/>
      <w:bookmarkStart w:id="993" w:name="OLE_LINK1"/>
      <w:r>
        <w:rPr>
          <w:rFonts w:hint="eastAsia" w:ascii="宋体" w:hAnsi="宋体" w:cs="宋体"/>
          <w:color w:val="auto"/>
          <w:highlight w:val="none"/>
        </w:rPr>
        <w:t>9.5 检验费用</w:t>
      </w:r>
      <w:bookmarkEnd w:id="987"/>
      <w:bookmarkEnd w:id="988"/>
      <w:bookmarkEnd w:id="989"/>
      <w:bookmarkEnd w:id="990"/>
      <w:bookmarkEnd w:id="991"/>
      <w:bookmarkEnd w:id="992"/>
    </w:p>
    <w:p w14:paraId="0F91F4B4">
      <w:pPr>
        <w:pStyle w:val="78"/>
        <w:spacing w:line="360" w:lineRule="auto"/>
        <w:ind w:firstLine="404" w:firstLineChars="196"/>
        <w:rPr>
          <w:rFonts w:ascii="宋体" w:hAnsi="宋体" w:cs="宋体"/>
          <w:color w:val="auto"/>
          <w:highlight w:val="none"/>
        </w:rPr>
      </w:pPr>
      <w:r>
        <w:rPr>
          <w:rFonts w:hint="eastAsia" w:ascii="宋体" w:hAnsi="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970"/>
    <w:bookmarkEnd w:id="971"/>
    <w:bookmarkEnd w:id="972"/>
    <w:bookmarkEnd w:id="973"/>
    <w:bookmarkEnd w:id="974"/>
    <w:bookmarkEnd w:id="975"/>
    <w:bookmarkEnd w:id="976"/>
    <w:bookmarkEnd w:id="977"/>
    <w:bookmarkEnd w:id="993"/>
    <w:p w14:paraId="1F9B2664">
      <w:pPr>
        <w:pStyle w:val="94"/>
        <w:rPr>
          <w:rFonts w:ascii="宋体" w:hAnsi="宋体" w:eastAsia="宋体" w:cs="宋体"/>
          <w:color w:val="auto"/>
          <w:highlight w:val="none"/>
        </w:rPr>
      </w:pPr>
      <w:bookmarkStart w:id="994" w:name="_Toc114058879"/>
      <w:bookmarkStart w:id="995" w:name="_Toc351203642"/>
      <w:bookmarkStart w:id="996" w:name="_Toc28269"/>
      <w:bookmarkStart w:id="997" w:name="_Toc18616"/>
      <w:bookmarkStart w:id="998" w:name="_Toc78449828"/>
      <w:bookmarkStart w:id="999" w:name="_Toc25073"/>
      <w:bookmarkStart w:id="1000" w:name="_Toc373478386"/>
      <w:bookmarkStart w:id="1001" w:name="_Toc389065305"/>
      <w:bookmarkStart w:id="1002" w:name="_Toc373227739"/>
      <w:bookmarkStart w:id="1003" w:name="_Toc407135242"/>
      <w:r>
        <w:rPr>
          <w:rFonts w:hint="eastAsia" w:ascii="宋体" w:hAnsi="宋体" w:eastAsia="宋体" w:cs="宋体"/>
          <w:color w:val="auto"/>
          <w:highlight w:val="none"/>
        </w:rPr>
        <w:t>1</w:t>
      </w:r>
      <w:bookmarkEnd w:id="935"/>
      <w:bookmarkEnd w:id="936"/>
      <w:bookmarkEnd w:id="937"/>
      <w:bookmarkEnd w:id="938"/>
      <w:bookmarkEnd w:id="939"/>
      <w:bookmarkEnd w:id="940"/>
      <w:bookmarkEnd w:id="941"/>
      <w:bookmarkEnd w:id="942"/>
      <w:bookmarkEnd w:id="943"/>
      <w:bookmarkEnd w:id="944"/>
      <w:bookmarkEnd w:id="945"/>
      <w:bookmarkEnd w:id="946"/>
      <w:bookmarkStart w:id="1004" w:name="_Toc292559903"/>
      <w:bookmarkStart w:id="1005" w:name="_Toc297216199"/>
      <w:bookmarkStart w:id="1006" w:name="_Toc296503193"/>
      <w:bookmarkStart w:id="1007" w:name="_Toc296944532"/>
      <w:bookmarkStart w:id="1008" w:name="_Toc304295566"/>
      <w:bookmarkStart w:id="1009" w:name="_Toc296891233"/>
      <w:bookmarkStart w:id="1010" w:name="_Toc300934989"/>
      <w:bookmarkStart w:id="1011" w:name="_Toc292559398"/>
      <w:bookmarkStart w:id="1012" w:name="_Toc296346694"/>
      <w:bookmarkStart w:id="1013" w:name="_Toc297120493"/>
      <w:bookmarkStart w:id="1014" w:name="_Toc297123540"/>
      <w:bookmarkStart w:id="1015" w:name="_Toc303539146"/>
      <w:bookmarkStart w:id="1016" w:name="_Toc296347192"/>
      <w:bookmarkStart w:id="1017" w:name="_Toc297048379"/>
      <w:bookmarkStart w:id="1018" w:name="_Toc296891021"/>
      <w:bookmarkStart w:id="1019" w:name="_Toc312677499"/>
      <w:bookmarkStart w:id="1020" w:name="_Toc312678025"/>
      <w:bookmarkStart w:id="1021" w:name="_Toc267251433"/>
      <w:bookmarkStart w:id="1022" w:name="_Toc267251441"/>
      <w:bookmarkStart w:id="1023" w:name="_Toc267251439"/>
      <w:bookmarkStart w:id="1024" w:name="_Toc267251437"/>
      <w:bookmarkStart w:id="1025" w:name="_Toc267251435"/>
      <w:bookmarkStart w:id="1026" w:name="_Toc267251440"/>
      <w:bookmarkStart w:id="1027" w:name="_Toc267251442"/>
      <w:r>
        <w:rPr>
          <w:rFonts w:hint="eastAsia" w:ascii="宋体" w:hAnsi="宋体" w:eastAsia="宋体" w:cs="宋体"/>
          <w:color w:val="auto"/>
          <w:highlight w:val="none"/>
        </w:rPr>
        <w:t>0. 变更</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bookmarkEnd w:id="1019"/>
    <w:bookmarkEnd w:id="1020"/>
    <w:p w14:paraId="5465EB22">
      <w:pPr>
        <w:pStyle w:val="93"/>
        <w:rPr>
          <w:rFonts w:ascii="宋体" w:hAnsi="宋体" w:cs="宋体"/>
          <w:color w:val="auto"/>
          <w:highlight w:val="none"/>
        </w:rPr>
      </w:pPr>
      <w:bookmarkStart w:id="1028" w:name="_Toc114058880"/>
      <w:bookmarkStart w:id="1029" w:name="_Toc17736"/>
      <w:bookmarkStart w:id="1030" w:name="_Toc373478387"/>
      <w:bookmarkStart w:id="1031" w:name="_Toc373227740"/>
      <w:bookmarkStart w:id="1032" w:name="_Toc13316"/>
      <w:bookmarkStart w:id="1033" w:name="_Toc407135243"/>
      <w:bookmarkStart w:id="1034" w:name="_Toc389065306"/>
      <w:bookmarkStart w:id="1035" w:name="_Toc24805"/>
      <w:bookmarkStart w:id="1036" w:name="_Toc78449829"/>
      <w:r>
        <w:rPr>
          <w:rFonts w:hint="eastAsia" w:ascii="宋体" w:hAnsi="宋体" w:cs="宋体"/>
          <w:color w:val="auto"/>
          <w:highlight w:val="none"/>
        </w:rPr>
        <w:t>1</w:t>
      </w:r>
      <w:bookmarkStart w:id="1037" w:name="_Toc300934990"/>
      <w:bookmarkStart w:id="1038" w:name="_Toc312678026"/>
      <w:bookmarkStart w:id="1039" w:name="_Toc297120494"/>
      <w:bookmarkStart w:id="1040" w:name="_Toc296346695"/>
      <w:bookmarkStart w:id="1041" w:name="_Toc312677500"/>
      <w:bookmarkStart w:id="1042" w:name="_Toc304295567"/>
      <w:bookmarkStart w:id="1043" w:name="_Toc297216200"/>
      <w:bookmarkStart w:id="1044" w:name="_Toc296347193"/>
      <w:bookmarkStart w:id="1045" w:name="_Toc297048380"/>
      <w:bookmarkStart w:id="1046" w:name="_Toc296503194"/>
      <w:bookmarkStart w:id="1047" w:name="_Toc296891022"/>
      <w:bookmarkStart w:id="1048" w:name="_Toc296891234"/>
      <w:bookmarkStart w:id="1049" w:name="_Toc292559399"/>
      <w:bookmarkStart w:id="1050" w:name="_Toc303539147"/>
      <w:bookmarkStart w:id="1051" w:name="_Toc292559904"/>
      <w:bookmarkStart w:id="1052" w:name="_Toc297123541"/>
      <w:bookmarkStart w:id="1053" w:name="_Toc296944533"/>
      <w:r>
        <w:rPr>
          <w:rFonts w:hint="eastAsia" w:ascii="宋体" w:hAnsi="宋体" w:cs="宋体"/>
          <w:color w:val="auto"/>
          <w:highlight w:val="none"/>
        </w:rPr>
        <w:t>0.1 变更的范围</w:t>
      </w:r>
      <w:bookmarkEnd w:id="1028"/>
      <w:bookmarkEnd w:id="1029"/>
      <w:bookmarkEnd w:id="1030"/>
      <w:bookmarkEnd w:id="1031"/>
      <w:bookmarkEnd w:id="1032"/>
      <w:bookmarkEnd w:id="1033"/>
      <w:bookmarkEnd w:id="1034"/>
      <w:bookmarkEnd w:id="1035"/>
      <w:bookmarkEnd w:id="1036"/>
    </w:p>
    <w:p w14:paraId="247AE206">
      <w:pPr>
        <w:pStyle w:val="78"/>
        <w:spacing w:line="360" w:lineRule="auto"/>
        <w:ind w:firstLine="426"/>
        <w:jc w:val="left"/>
        <w:rPr>
          <w:rFonts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按照通用条款执行</w:t>
      </w:r>
      <w:r>
        <w:rPr>
          <w:rFonts w:hint="eastAsia" w:ascii="宋体" w:hAnsi="宋体" w:cs="宋体"/>
          <w:color w:val="auto"/>
          <w:highlight w:val="none"/>
        </w:rPr>
        <w:t>。</w:t>
      </w:r>
    </w:p>
    <w:p w14:paraId="3ECAEA2D">
      <w:pPr>
        <w:pStyle w:val="93"/>
        <w:rPr>
          <w:rFonts w:ascii="宋体" w:hAnsi="宋体" w:cs="宋体"/>
          <w:color w:val="auto"/>
          <w:highlight w:val="none"/>
        </w:rPr>
      </w:pPr>
      <w:bookmarkStart w:id="1054" w:name="_Toc10745"/>
      <w:bookmarkStart w:id="1055" w:name="_Toc22832"/>
      <w:bookmarkStart w:id="1056" w:name="_Toc78449830"/>
      <w:bookmarkStart w:id="1057" w:name="_Toc11348"/>
      <w:bookmarkStart w:id="1058" w:name="_Toc373227741"/>
      <w:bookmarkStart w:id="1059" w:name="_Toc114058881"/>
      <w:bookmarkStart w:id="1060" w:name="_Toc389065307"/>
      <w:bookmarkStart w:id="1061" w:name="_Toc407135244"/>
      <w:bookmarkStart w:id="1062" w:name="_Toc373478388"/>
      <w:r>
        <w:rPr>
          <w:rFonts w:hint="eastAsia" w:ascii="宋体" w:hAnsi="宋体" w:cs="宋体"/>
          <w:color w:val="auto"/>
          <w:highlight w:val="none"/>
        </w:rPr>
        <w:t>10.3 变更程序</w:t>
      </w:r>
      <w:bookmarkEnd w:id="1054"/>
      <w:bookmarkEnd w:id="1055"/>
      <w:bookmarkEnd w:id="1056"/>
      <w:bookmarkEnd w:id="1057"/>
      <w:bookmarkEnd w:id="1058"/>
      <w:bookmarkEnd w:id="1059"/>
      <w:bookmarkEnd w:id="1060"/>
      <w:bookmarkEnd w:id="1061"/>
      <w:bookmarkEnd w:id="1062"/>
    </w:p>
    <w:p w14:paraId="038B062F">
      <w:pPr>
        <w:pStyle w:val="95"/>
        <w:spacing w:line="360" w:lineRule="auto"/>
        <w:ind w:firstLine="433" w:firstLineChars="210"/>
        <w:rPr>
          <w:rFonts w:hAnsi="宋体" w:cs="宋体"/>
          <w:color w:val="auto"/>
          <w:szCs w:val="21"/>
          <w:highlight w:val="none"/>
        </w:rPr>
      </w:pPr>
      <w:r>
        <w:rPr>
          <w:rFonts w:hint="eastAsia" w:hAnsi="宋体" w:cs="宋体"/>
          <w:color w:val="auto"/>
          <w:szCs w:val="21"/>
          <w:highlight w:val="none"/>
        </w:rPr>
        <w:t>10.3.1国有投资项目：</w:t>
      </w:r>
    </w:p>
    <w:p w14:paraId="2141DB60">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10.3.1变更的提出</w:t>
      </w:r>
    </w:p>
    <w:p w14:paraId="142FDD43">
      <w:pPr>
        <w:pStyle w:val="79"/>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(1）在合同履行过程中，可能发生第10.1 款约定情形的。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发包人人按第10.3.2 项约定发出变更指示。</w:t>
      </w:r>
    </w:p>
    <w:p w14:paraId="41C40DA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(2）在合同履行过程中，发生第10.1 款约定情形的，发包人人应按照第10.3.2  项约定向承包人发出变更指示。</w:t>
      </w:r>
    </w:p>
    <w:p w14:paraId="55D22B30">
      <w:pPr>
        <w:pStyle w:val="79"/>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(3）承包人收到发包人按合同约定发出的图纸和文件，经检查认为其中存在第10.1 款约定情形的，可向监理人提出书面变更建议。变更建议应阐明要求变更的依据，并附必要的图纸和说明。发包人收到承包人书面建议后，应与发包人共同研究，确认存在变更的，应在收到承包人书面建议后的14 天内作出变更指示。经研究后不同意作为变更的，应由发包人书面答复承包人。</w:t>
      </w:r>
    </w:p>
    <w:p w14:paraId="00BDF756">
      <w:pPr>
        <w:pStyle w:val="79"/>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(4）若承包人收到发包人的变更意向书后认为难以实施此项变更，应立即通知发包人，说明原因并附详细依据。承包人和发包人协商后确定撤销、改变或不改变原变更意向书。</w:t>
      </w:r>
    </w:p>
    <w:p w14:paraId="51C20D94">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10.3.2 变更指示</w:t>
      </w:r>
    </w:p>
    <w:p w14:paraId="681ABE6D">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(l）变更指示只能由以包人发出。</w:t>
      </w:r>
    </w:p>
    <w:p w14:paraId="750EB4F4">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(2）变更指示应说明变更的目的、范围、变更内容以及变更的工程量及其进度和技术要求，并附有关图纸和文件。承包人收到变更指示后，应按变更指示进行变更工作。</w:t>
      </w:r>
    </w:p>
    <w:p w14:paraId="01A7B66F">
      <w:pPr>
        <w:pStyle w:val="79"/>
        <w:keepNext/>
        <w:keepLines/>
        <w:spacing w:line="360" w:lineRule="auto"/>
        <w:outlineLvl w:val="0"/>
        <w:rPr>
          <w:rFonts w:ascii="宋体" w:hAnsi="宋体" w:cs="宋体"/>
          <w:b/>
          <w:bCs/>
          <w:color w:val="auto"/>
          <w:kern w:val="44"/>
          <w:szCs w:val="21"/>
          <w:highlight w:val="none"/>
          <w:lang w:val="zh-CN"/>
        </w:rPr>
      </w:pPr>
      <w:bookmarkStart w:id="1063" w:name="_Toc29803"/>
      <w:bookmarkStart w:id="1064" w:name="_Toc1651"/>
      <w:bookmarkStart w:id="1065" w:name="_Toc26091"/>
      <w:bookmarkStart w:id="1066" w:name="_Toc17592"/>
      <w:r>
        <w:rPr>
          <w:rFonts w:hint="eastAsia" w:ascii="宋体" w:hAnsi="宋体" w:cs="宋体"/>
          <w:b/>
          <w:bCs/>
          <w:color w:val="auto"/>
          <w:kern w:val="44"/>
          <w:szCs w:val="21"/>
          <w:highlight w:val="none"/>
          <w:lang w:val="zh-CN"/>
        </w:rPr>
        <w:t>10.3.3变更执行</w:t>
      </w:r>
      <w:bookmarkEnd w:id="1063"/>
      <w:bookmarkEnd w:id="1064"/>
      <w:bookmarkEnd w:id="1065"/>
      <w:bookmarkEnd w:id="1066"/>
    </w:p>
    <w:p w14:paraId="0F836912">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（1） 工程设计变更和签证工程发生后10个工作日内，由承包人将有关变更文件、签证单审批件、工程联系单、预算书等工程资料送作为进度款支付、事后抽查和工程结算的主要依据。</w:t>
      </w:r>
    </w:p>
    <w:p w14:paraId="081D4577">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（2） 建设单位在实施项目过程中，若发生单价变动，由建设单位与施工单位共同商定并签字确认。</w:t>
      </w:r>
    </w:p>
    <w:p w14:paraId="369C8B82">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（3）发包人在工程设计变更和工程签证过程中必须认真负责、实事求是，不得弄虚作假，凡因上述问题所造成的损失，相应等额扣除建设单位项目管理费或其他财政拨款。</w:t>
      </w:r>
    </w:p>
    <w:p w14:paraId="1CACBD8F">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（4） 承包人应当在设计变更和工程签证发生后14天内，将调整原因、金额以书面形式向发包人申报，经发包人按第（1）（2）（3）（4）（5）条款的要求初步确认调整金额后将其作为追加合同价款，按不高于70%的比例与工程进度款同期支付，调整金额待工程单项结算或结算时，符合必须送财厅审核结算条件的由自治区财政部门最终审定的结算为准。</w:t>
      </w:r>
    </w:p>
    <w:p w14:paraId="63DAB37E">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（5）当设计变更和工程签证需要调整合同价款的调整情况发生后，承包人未在上述规定时间内申报的，视为承包人已放弃此项权利。</w:t>
      </w:r>
    </w:p>
    <w:p w14:paraId="53044477">
      <w:pPr>
        <w:pStyle w:val="79"/>
        <w:spacing w:line="360" w:lineRule="auto"/>
        <w:ind w:firstLine="412" w:firstLineChars="200"/>
        <w:rPr>
          <w:rFonts w:ascii="宋体" w:hAnsi="宋体" w:cs="宋体"/>
          <w:b/>
          <w:bCs/>
          <w:color w:val="auto"/>
          <w:szCs w:val="21"/>
          <w:highlight w:val="none"/>
        </w:rPr>
      </w:pPr>
      <w:r>
        <w:rPr>
          <w:rFonts w:hint="eastAsia" w:ascii="宋体" w:hAnsi="宋体" w:cs="宋体"/>
          <w:b/>
          <w:bCs/>
          <w:color w:val="auto"/>
          <w:szCs w:val="21"/>
          <w:highlight w:val="none"/>
        </w:rPr>
        <w:t>（6）承包人所整理的变更签证资料应含有：工程联系单或变更通知、工程签证单、原始测量记录及现场图片。承包人在原始测量记录上签字的人员应具有承包人的委托，否则原始测量记录无效。</w:t>
      </w:r>
    </w:p>
    <w:p w14:paraId="4B6C709B">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（7）工程变更的其他规定：</w:t>
      </w:r>
    </w:p>
    <w:p w14:paraId="15DFFCB1">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1)已办理施工图备案并且正在施工的项目不得擅自提高设计标准和安全储备进行工程变</w:t>
      </w:r>
      <w:r>
        <w:rPr>
          <w:rFonts w:hint="eastAsia" w:ascii="宋体" w:hAnsi="宋体" w:cs="宋体"/>
          <w:b/>
          <w:bCs/>
          <w:color w:val="auto"/>
          <w:szCs w:val="21"/>
          <w:highlight w:val="none"/>
        </w:rPr>
        <w:t>更</w:t>
      </w:r>
      <w:r>
        <w:rPr>
          <w:rFonts w:hint="eastAsia" w:ascii="宋体" w:hAnsi="宋体" w:cs="宋体"/>
          <w:color w:val="auto"/>
          <w:szCs w:val="21"/>
          <w:highlight w:val="none"/>
        </w:rPr>
        <w:t>；</w:t>
      </w:r>
    </w:p>
    <w:p w14:paraId="4C5E3FD5">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2)因施工组织设计不合理引起的工程变化不得进行工程变更；</w:t>
      </w:r>
    </w:p>
    <w:p w14:paraId="2C1B2251">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3)由于施工现场排水组织不畅造成的软土处理，积水排放不得进行工程变更；</w:t>
      </w:r>
    </w:p>
    <w:p w14:paraId="306E5E7D">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4)涉及到不平衡报价的工程变量，应对合同单价进行调整，确定合理单价后方能进行工程变量；</w:t>
      </w:r>
    </w:p>
    <w:p w14:paraId="0CF5C0C4">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5)因征地拆迁原因引起的工程变量，需县（区）、开发区（管委会）提供不能按要求完成征地拆迁任务的书面证明材料，并经市政府或其授权的机构同意才能进行工程变量。</w:t>
      </w:r>
    </w:p>
    <w:p w14:paraId="3ABCCE82">
      <w:pPr>
        <w:pStyle w:val="79"/>
        <w:spacing w:line="360" w:lineRule="auto"/>
        <w:ind w:firstLine="420"/>
        <w:rPr>
          <w:rFonts w:ascii="宋体" w:hAnsi="宋体" w:cs="宋体"/>
          <w:b/>
          <w:bCs/>
          <w:color w:val="auto"/>
          <w:kern w:val="0"/>
          <w:szCs w:val="21"/>
          <w:highlight w:val="none"/>
        </w:rPr>
      </w:pPr>
      <w:r>
        <w:rPr>
          <w:rFonts w:hint="eastAsia" w:ascii="宋体" w:hAnsi="宋体" w:cs="宋体"/>
          <w:b/>
          <w:bCs/>
          <w:color w:val="auto"/>
          <w:kern w:val="0"/>
          <w:szCs w:val="21"/>
          <w:highlight w:val="none"/>
        </w:rPr>
        <w:t>6)工程项目征地红线范围内施工或检测便道由承包人负责修建，费用由承包人在合同价款中考虑，不得以此进行工程变更；</w:t>
      </w:r>
    </w:p>
    <w:p w14:paraId="12B461EF">
      <w:pPr>
        <w:pStyle w:val="79"/>
        <w:spacing w:line="360" w:lineRule="auto"/>
        <w:ind w:firstLine="420"/>
        <w:rPr>
          <w:rFonts w:ascii="宋体" w:hAnsi="宋体" w:cs="宋体"/>
          <w:b/>
          <w:bCs/>
          <w:color w:val="auto"/>
          <w:kern w:val="0"/>
          <w:szCs w:val="21"/>
          <w:highlight w:val="none"/>
        </w:rPr>
      </w:pPr>
      <w:r>
        <w:rPr>
          <w:rFonts w:hint="eastAsia" w:ascii="宋体" w:hAnsi="宋体" w:cs="宋体"/>
          <w:b/>
          <w:bCs/>
          <w:color w:val="auto"/>
          <w:kern w:val="0"/>
          <w:szCs w:val="21"/>
          <w:highlight w:val="none"/>
        </w:rPr>
        <w:t>7)谈判文件工程量清单中有土石方综合报价的，土石成分比例不得进行工程变更</w:t>
      </w:r>
    </w:p>
    <w:p w14:paraId="37528957">
      <w:pPr>
        <w:pStyle w:val="79"/>
        <w:spacing w:line="360" w:lineRule="auto"/>
        <w:ind w:firstLine="420"/>
        <w:rPr>
          <w:rFonts w:ascii="宋体" w:hAnsi="宋体" w:cs="宋体"/>
          <w:color w:val="auto"/>
          <w:kern w:val="0"/>
          <w:sz w:val="20"/>
          <w:szCs w:val="20"/>
          <w:highlight w:val="none"/>
        </w:rPr>
      </w:pPr>
      <w:r>
        <w:rPr>
          <w:rFonts w:hint="eastAsia" w:ascii="宋体" w:hAnsi="宋体" w:cs="宋体"/>
          <w:b/>
          <w:bCs/>
          <w:color w:val="auto"/>
          <w:kern w:val="0"/>
          <w:szCs w:val="21"/>
          <w:highlight w:val="none"/>
        </w:rPr>
        <w:t>8)成交后，桩基的成孔方式、施工工艺、施工方案等不得进行工程变更；</w:t>
      </w:r>
    </w:p>
    <w:p w14:paraId="3AF510A7">
      <w:pPr>
        <w:pStyle w:val="79"/>
        <w:spacing w:line="360" w:lineRule="auto"/>
        <w:ind w:firstLine="412"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10.3.4 非国有投资项目： </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w:t>
      </w:r>
    </w:p>
    <w:p w14:paraId="217D84AE">
      <w:pPr>
        <w:pStyle w:val="93"/>
        <w:rPr>
          <w:rFonts w:ascii="宋体" w:hAnsi="宋体" w:cs="宋体"/>
          <w:color w:val="auto"/>
          <w:highlight w:val="none"/>
        </w:rPr>
      </w:pPr>
      <w:bookmarkStart w:id="1067" w:name="_Toc28886"/>
      <w:bookmarkStart w:id="1068" w:name="_Toc373478389"/>
      <w:bookmarkStart w:id="1069" w:name="_Toc21009"/>
      <w:bookmarkStart w:id="1070" w:name="_Toc389065308"/>
      <w:bookmarkStart w:id="1071" w:name="_Toc373227742"/>
      <w:bookmarkStart w:id="1072" w:name="_Toc21283"/>
      <w:bookmarkStart w:id="1073" w:name="_Toc407135245"/>
      <w:bookmarkStart w:id="1074" w:name="_Toc78449831"/>
      <w:bookmarkStart w:id="1075" w:name="_Toc114058882"/>
      <w:r>
        <w:rPr>
          <w:rFonts w:hint="eastAsia" w:ascii="宋体" w:hAnsi="宋体" w:cs="宋体"/>
          <w:color w:val="auto"/>
          <w:highlight w:val="none"/>
        </w:rPr>
        <w:t>10.4 变更估价</w:t>
      </w:r>
      <w:bookmarkEnd w:id="1067"/>
      <w:bookmarkEnd w:id="1068"/>
      <w:bookmarkEnd w:id="1069"/>
      <w:bookmarkEnd w:id="1070"/>
      <w:bookmarkEnd w:id="1071"/>
      <w:bookmarkEnd w:id="1072"/>
      <w:bookmarkEnd w:id="1073"/>
      <w:bookmarkEnd w:id="1074"/>
      <w:bookmarkEnd w:id="1075"/>
    </w:p>
    <w:p w14:paraId="0A5562D4">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7794DD48">
      <w:pPr>
        <w:pStyle w:val="79"/>
        <w:spacing w:line="360" w:lineRule="auto"/>
        <w:ind w:firstLine="412" w:firstLineChars="200"/>
        <w:jc w:val="left"/>
        <w:rPr>
          <w:rFonts w:ascii="宋体" w:hAnsi="宋体" w:cs="宋体"/>
          <w:color w:val="auto"/>
          <w:highlight w:val="none"/>
        </w:rPr>
      </w:pPr>
      <w:bookmarkStart w:id="1076" w:name="_Toc251051742"/>
      <w:r>
        <w:rPr>
          <w:rFonts w:hint="eastAsia" w:ascii="宋体" w:hAnsi="宋体" w:cs="宋体"/>
          <w:color w:val="auto"/>
          <w:highlight w:val="none"/>
        </w:rPr>
        <w:t xml:space="preserve">关于变更估价的约定: </w:t>
      </w:r>
      <w:r>
        <w:rPr>
          <w:rFonts w:hint="eastAsia" w:ascii="宋体" w:hAnsi="宋体" w:cs="宋体"/>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MS Mincho" w:hAnsi="MS Mincho" w:cs="MS Mincho"/>
          <w:color w:val="auto"/>
          <w:highlight w:val="none"/>
        </w:rPr>
        <w:t>□</w:t>
      </w:r>
      <w:r>
        <w:rPr>
          <w:rFonts w:hint="eastAsia" w:ascii="宋体" w:hAnsi="宋体" w:cs="宋体"/>
          <w:color w:val="auto"/>
          <w:highlight w:val="none"/>
          <w:u w:val="single"/>
        </w:rPr>
        <w:t>乘以下浮系数      %，</w:t>
      </w:r>
      <w:r>
        <w:rPr>
          <w:rFonts w:hint="eastAsia" w:ascii="宋体" w:hAnsi="宋体" w:cs="宋体"/>
          <w:color w:val="auto"/>
          <w:szCs w:val="21"/>
          <w:highlight w:val="none"/>
        </w:rPr>
        <w:t>□</w:t>
      </w:r>
      <w:r>
        <w:rPr>
          <w:rFonts w:hint="eastAsia" w:ascii="宋体" w:hAnsi="宋体" w:cs="宋体"/>
          <w:color w:val="auto"/>
          <w:highlight w:val="none"/>
          <w:u w:val="single"/>
        </w:rPr>
        <w:t>不乘下浮系数）计算，其中：材料设备价格按施工期间的《</w:t>
      </w:r>
      <w:r>
        <w:rPr>
          <w:rFonts w:hint="eastAsia" w:ascii="宋体" w:hAnsi="宋体" w:cs="宋体"/>
          <w:color w:val="auto"/>
          <w:highlight w:val="none"/>
          <w:u w:val="single"/>
          <w:lang w:eastAsia="zh-CN"/>
        </w:rPr>
        <w:t>柳州市</w:t>
      </w:r>
      <w:r>
        <w:rPr>
          <w:rFonts w:hint="eastAsia" w:ascii="宋体" w:hAnsi="宋体" w:cs="宋体"/>
          <w:color w:val="auto"/>
          <w:highlight w:val="none"/>
          <w:u w:val="single"/>
        </w:rPr>
        <w:t>建设工程造价信息》相应信息价的平均值计算，《柳州市建设工程造价信息》没有相应信息价的，由建设单位、施工单位、造价咨询单位根据市场行情协商确定；无定额可套的，由建设单位、施工单位、监理单位或造价咨询单位根据市场行情协商确定包含除税金以外所有费用的税前综合价格</w:t>
      </w:r>
      <w:r>
        <w:rPr>
          <w:rFonts w:hint="eastAsia" w:ascii="宋体" w:hAnsi="宋体" w:cs="宋体"/>
          <w:color w:val="auto"/>
          <w:highlight w:val="none"/>
        </w:rPr>
        <w:t>。以上约定同时适用于招标工程量清单缺项以及工程量清单项目特征与图纸不符时的价款确定。</w:t>
      </w:r>
      <w:r>
        <w:rPr>
          <w:rFonts w:hint="eastAsia" w:ascii="宋体" w:hAnsi="宋体" w:cs="宋体"/>
          <w:bCs/>
          <w:color w:val="auto"/>
          <w:szCs w:val="21"/>
          <w:highlight w:val="none"/>
          <w:u w:val="single"/>
        </w:rPr>
        <w:t>对于政府及国有资金投资的项目，新增项目的单价必须经</w:t>
      </w:r>
      <w:r>
        <w:rPr>
          <w:rFonts w:hint="eastAsia" w:ascii="宋体" w:hAnsi="宋体" w:cs="宋体"/>
          <w:color w:val="auto"/>
          <w:sz w:val="24"/>
          <w:highlight w:val="none"/>
          <w:u w:val="single"/>
        </w:rPr>
        <w:t xml:space="preserve">发包人 </w:t>
      </w:r>
      <w:r>
        <w:rPr>
          <w:rFonts w:hint="eastAsia" w:ascii="宋体" w:hAnsi="宋体" w:cs="宋体"/>
          <w:bCs/>
          <w:color w:val="auto"/>
          <w:szCs w:val="21"/>
          <w:highlight w:val="none"/>
          <w:u w:val="single"/>
        </w:rPr>
        <w:t>审定</w:t>
      </w:r>
      <w:bookmarkEnd w:id="1076"/>
      <w:r>
        <w:rPr>
          <w:rFonts w:hint="eastAsia" w:ascii="宋体" w:hAnsi="宋体" w:cs="宋体"/>
          <w:color w:val="auto"/>
          <w:szCs w:val="21"/>
          <w:highlight w:val="none"/>
        </w:rPr>
        <w:t>。</w:t>
      </w:r>
    </w:p>
    <w:p w14:paraId="6B91D98F">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u w:val="single"/>
        </w:rPr>
        <w:t>工程变更导致实际完成的变更工程量与已标价清单或预算书中列明的该项目工程量有偏差时，其综合单价的确定按专用条款“1.13工程量清单错误的修正”执行。</w:t>
      </w:r>
    </w:p>
    <w:p w14:paraId="38BB41D2">
      <w:pPr>
        <w:pStyle w:val="79"/>
        <w:spacing w:line="360" w:lineRule="auto"/>
        <w:ind w:firstLine="412" w:firstLineChars="200"/>
        <w:jc w:val="left"/>
        <w:rPr>
          <w:rFonts w:ascii="宋体" w:hAnsi="宋体" w:cs="宋体"/>
          <w:color w:val="auto"/>
          <w:szCs w:val="21"/>
          <w:highlight w:val="none"/>
        </w:rPr>
      </w:pPr>
      <w:bookmarkStart w:id="1077" w:name="_Toc389065309"/>
      <w:bookmarkStart w:id="1078" w:name="_Toc114058883"/>
      <w:bookmarkStart w:id="1079" w:name="_Toc373478390"/>
      <w:bookmarkStart w:id="1080" w:name="_Toc407135246"/>
      <w:bookmarkStart w:id="1081" w:name="_Toc78449832"/>
      <w:bookmarkStart w:id="1082" w:name="_Toc373227743"/>
      <w:r>
        <w:rPr>
          <w:rFonts w:hint="eastAsia" w:ascii="宋体" w:hAnsi="宋体" w:cs="宋体"/>
          <w:color w:val="auto"/>
          <w:highlight w:val="none"/>
        </w:rPr>
        <w:t>1</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Start w:id="1083" w:name="_Toc297123544"/>
      <w:bookmarkStart w:id="1084" w:name="_Toc300934993"/>
      <w:bookmarkStart w:id="1085" w:name="_Toc296891025"/>
      <w:bookmarkStart w:id="1086" w:name="_Toc296347196"/>
      <w:bookmarkStart w:id="1087" w:name="_Toc292559907"/>
      <w:bookmarkStart w:id="1088" w:name="_Toc297120497"/>
      <w:bookmarkStart w:id="1089" w:name="_Toc296891237"/>
      <w:bookmarkStart w:id="1090" w:name="_Toc297216203"/>
      <w:bookmarkStart w:id="1091" w:name="_Toc297048383"/>
      <w:bookmarkStart w:id="1092" w:name="_Toc296944536"/>
      <w:bookmarkStart w:id="1093" w:name="_Toc296503197"/>
      <w:bookmarkStart w:id="1094" w:name="_Toc296346698"/>
      <w:bookmarkStart w:id="1095" w:name="_Toc303539150"/>
      <w:bookmarkStart w:id="1096" w:name="_Toc292559402"/>
      <w:bookmarkStart w:id="1097" w:name="_Toc312678029"/>
      <w:bookmarkStart w:id="1098" w:name="_Toc312677503"/>
      <w:bookmarkStart w:id="1099" w:name="_Toc304295570"/>
      <w:r>
        <w:rPr>
          <w:rFonts w:hint="eastAsia" w:ascii="宋体" w:hAnsi="宋体" w:cs="宋体"/>
          <w:color w:val="auto"/>
          <w:highlight w:val="none"/>
        </w:rPr>
        <w:t>0.5 承</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Start w:id="1100" w:name="_Toc297048389"/>
      <w:bookmarkStart w:id="1101" w:name="_Toc296503203"/>
      <w:bookmarkStart w:id="1102" w:name="_Toc296346704"/>
      <w:bookmarkStart w:id="1103" w:name="_Toc296347202"/>
      <w:bookmarkStart w:id="1104" w:name="_Toc297123545"/>
      <w:bookmarkStart w:id="1105" w:name="_Toc296891031"/>
      <w:bookmarkStart w:id="1106" w:name="_Toc296891243"/>
      <w:bookmarkStart w:id="1107" w:name="_Toc296944542"/>
      <w:bookmarkStart w:id="1108" w:name="_Toc292559913"/>
      <w:bookmarkStart w:id="1109" w:name="_Toc300934994"/>
      <w:bookmarkStart w:id="1110" w:name="_Toc292559408"/>
      <w:bookmarkStart w:id="1111" w:name="_Toc297216204"/>
      <w:bookmarkStart w:id="1112" w:name="_Toc297120503"/>
      <w:bookmarkStart w:id="1113" w:name="_Toc303539151"/>
      <w:r>
        <w:rPr>
          <w:rFonts w:hint="eastAsia" w:ascii="宋体" w:hAnsi="宋体" w:cs="宋体"/>
          <w:color w:val="auto"/>
          <w:highlight w:val="none"/>
        </w:rPr>
        <w:t>包人的合理化建议</w:t>
      </w:r>
      <w:bookmarkEnd w:id="1077"/>
      <w:bookmarkEnd w:id="1078"/>
      <w:bookmarkEnd w:id="1079"/>
      <w:bookmarkEnd w:id="1080"/>
      <w:bookmarkEnd w:id="1081"/>
      <w:bookmarkEnd w:id="1082"/>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Start w:id="1114" w:name="_Toc318581175"/>
      <w:bookmarkStart w:id="1115" w:name="_Toc296891032"/>
      <w:bookmarkStart w:id="1116" w:name="_Toc297123546"/>
      <w:bookmarkStart w:id="1117" w:name="_Toc304295571"/>
      <w:bookmarkStart w:id="1118" w:name="_Toc297216205"/>
      <w:bookmarkStart w:id="1119" w:name="_Toc292559409"/>
      <w:bookmarkStart w:id="1120" w:name="_Toc297120504"/>
      <w:bookmarkStart w:id="1121" w:name="_Toc296347203"/>
      <w:bookmarkStart w:id="1122" w:name="_Toc300934995"/>
      <w:bookmarkStart w:id="1123" w:name="_Toc296346705"/>
      <w:bookmarkStart w:id="1124" w:name="_Toc297048390"/>
      <w:bookmarkStart w:id="1125" w:name="_Toc296891244"/>
      <w:bookmarkStart w:id="1126" w:name="_Toc296503204"/>
      <w:bookmarkStart w:id="1127" w:name="_Toc312678030"/>
      <w:bookmarkStart w:id="1128" w:name="_Toc312677504"/>
      <w:bookmarkStart w:id="1129" w:name="_Toc292559914"/>
      <w:bookmarkStart w:id="1130" w:name="_Toc296944543"/>
      <w:bookmarkStart w:id="1131" w:name="_Toc303539152"/>
      <w:r>
        <w:rPr>
          <w:rFonts w:hint="eastAsia" w:ascii="宋体" w:hAnsi="宋体" w:cs="宋体"/>
          <w:color w:val="auto"/>
          <w:highlight w:val="none"/>
          <w:u w:val="single"/>
        </w:rPr>
        <w:t xml:space="preserve">  /  </w:t>
      </w:r>
      <w:r>
        <w:rPr>
          <w:rFonts w:hint="eastAsia" w:ascii="宋体" w:hAnsi="宋体" w:cs="宋体"/>
          <w:color w:val="auto"/>
          <w:szCs w:val="21"/>
          <w:highlight w:val="none"/>
        </w:rPr>
        <w:t>。</w:t>
      </w:r>
    </w:p>
    <w:p w14:paraId="1A3D87C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9AE5300">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承包人提出的合理化建议降低了合同价格或者提高了工程经济效益的奖励的方法和金额为：</w:t>
      </w:r>
      <w:r>
        <w:rPr>
          <w:rFonts w:hint="eastAsia" w:ascii="宋体" w:hAnsi="宋体" w:cs="宋体"/>
          <w:color w:val="auto"/>
          <w:highlight w:val="none"/>
          <w:u w:val="single"/>
        </w:rPr>
        <w:t xml:space="preserve">无 </w:t>
      </w:r>
      <w:r>
        <w:rPr>
          <w:rFonts w:hint="eastAsia" w:ascii="宋体" w:hAnsi="宋体" w:cs="宋体"/>
          <w:color w:val="auto"/>
          <w:highlight w:val="none"/>
        </w:rPr>
        <w:t>。</w:t>
      </w:r>
    </w:p>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14:paraId="426E099A">
      <w:pPr>
        <w:pStyle w:val="93"/>
        <w:rPr>
          <w:rFonts w:ascii="宋体" w:hAnsi="宋体" w:cs="宋体"/>
          <w:color w:val="auto"/>
          <w:highlight w:val="none"/>
        </w:rPr>
      </w:pPr>
      <w:bookmarkStart w:id="1132" w:name="_Toc17910"/>
      <w:bookmarkStart w:id="1133" w:name="_Toc407135247"/>
      <w:bookmarkStart w:id="1134" w:name="_Toc389065310"/>
      <w:bookmarkStart w:id="1135" w:name="_Toc114058884"/>
      <w:bookmarkStart w:id="1136" w:name="_Toc373478391"/>
      <w:bookmarkStart w:id="1137" w:name="_Toc22263"/>
      <w:bookmarkStart w:id="1138" w:name="_Toc18158"/>
      <w:bookmarkStart w:id="1139" w:name="_Toc373227744"/>
      <w:bookmarkStart w:id="1140" w:name="_Toc78449833"/>
      <w:r>
        <w:rPr>
          <w:rFonts w:hint="eastAsia" w:ascii="宋体" w:hAnsi="宋体" w:cs="宋体"/>
          <w:color w:val="auto"/>
          <w:highlight w:val="none"/>
        </w:rPr>
        <w:t>1</w:t>
      </w:r>
      <w:bookmarkStart w:id="1141" w:name="_Toc296944538"/>
      <w:bookmarkStart w:id="1142" w:name="_Toc296891027"/>
      <w:bookmarkStart w:id="1143" w:name="_Toc296503199"/>
      <w:bookmarkStart w:id="1144" w:name="_Toc292559404"/>
      <w:bookmarkStart w:id="1145" w:name="_Toc296347198"/>
      <w:bookmarkStart w:id="1146" w:name="_Toc300934997"/>
      <w:bookmarkStart w:id="1147" w:name="_Toc296891239"/>
      <w:bookmarkStart w:id="1148" w:name="_Toc297216207"/>
      <w:bookmarkStart w:id="1149" w:name="_Toc312677507"/>
      <w:bookmarkStart w:id="1150" w:name="_Toc312678033"/>
      <w:bookmarkStart w:id="1151" w:name="_Toc297048385"/>
      <w:bookmarkStart w:id="1152" w:name="_Toc297120499"/>
      <w:bookmarkStart w:id="1153" w:name="_Toc297123548"/>
      <w:bookmarkStart w:id="1154" w:name="_Toc292559909"/>
      <w:bookmarkStart w:id="1155" w:name="_Toc304295574"/>
      <w:bookmarkStart w:id="1156" w:name="_Toc296346700"/>
      <w:bookmarkStart w:id="1157" w:name="_Toc303539154"/>
      <w:r>
        <w:rPr>
          <w:rFonts w:hint="eastAsia" w:ascii="宋体" w:hAnsi="宋体" w:cs="宋体"/>
          <w:color w:val="auto"/>
          <w:highlight w:val="none"/>
        </w:rPr>
        <w:t>0.7 暂估价</w:t>
      </w:r>
      <w:bookmarkEnd w:id="1132"/>
      <w:bookmarkEnd w:id="1133"/>
      <w:bookmarkEnd w:id="1134"/>
      <w:bookmarkEnd w:id="1135"/>
      <w:bookmarkEnd w:id="1136"/>
      <w:bookmarkEnd w:id="1137"/>
      <w:bookmarkEnd w:id="1138"/>
      <w:bookmarkEnd w:id="1139"/>
      <w:bookmarkEnd w:id="1140"/>
    </w:p>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14:paraId="59CF434D">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暂</w:t>
      </w:r>
      <w:bookmarkStart w:id="1158" w:name="_Toc318581176"/>
      <w:bookmarkStart w:id="1159" w:name="_Toc312677508"/>
      <w:bookmarkStart w:id="1160" w:name="_Toc312678034"/>
      <w:r>
        <w:rPr>
          <w:rFonts w:hint="eastAsia" w:ascii="宋体" w:hAnsi="宋体" w:cs="宋体"/>
          <w:color w:val="auto"/>
          <w:kern w:val="0"/>
          <w:highlight w:val="none"/>
        </w:rPr>
        <w:t>估价材料和工程设备的明细详见已标价工程量清单《</w:t>
      </w:r>
      <w:r>
        <w:rPr>
          <w:rFonts w:hint="eastAsia" w:ascii="宋体" w:hAnsi="宋体" w:cs="宋体"/>
          <w:color w:val="auto"/>
          <w:highlight w:val="none"/>
        </w:rPr>
        <w:t>材料（工程设备）暂估价格及调整表》</w:t>
      </w:r>
      <w:r>
        <w:rPr>
          <w:rFonts w:hint="eastAsia" w:ascii="宋体" w:hAnsi="宋体" w:cs="宋体"/>
          <w:color w:val="auto"/>
          <w:kern w:val="0"/>
          <w:highlight w:val="none"/>
        </w:rPr>
        <w:t>（表12-2）和《</w:t>
      </w:r>
      <w:r>
        <w:rPr>
          <w:rFonts w:hint="eastAsia" w:ascii="宋体" w:hAnsi="宋体" w:cs="宋体"/>
          <w:color w:val="auto"/>
          <w:highlight w:val="none"/>
        </w:rPr>
        <w:t>专业工程暂估价表》（</w:t>
      </w:r>
      <w:r>
        <w:rPr>
          <w:rFonts w:hint="eastAsia" w:ascii="宋体" w:hAnsi="宋体" w:cs="宋体"/>
          <w:color w:val="auto"/>
          <w:kern w:val="0"/>
          <w:highlight w:val="none"/>
        </w:rPr>
        <w:t>表12-3）。</w:t>
      </w:r>
    </w:p>
    <w:bookmarkEnd w:id="1158"/>
    <w:bookmarkEnd w:id="1159"/>
    <w:bookmarkEnd w:id="1160"/>
    <w:p w14:paraId="3053950F">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w:t>
      </w:r>
      <w:bookmarkStart w:id="1161" w:name="_Toc318581177"/>
      <w:bookmarkStart w:id="1162" w:name="_Toc312677509"/>
      <w:bookmarkStart w:id="1163" w:name="_Toc312678035"/>
      <w:r>
        <w:rPr>
          <w:rFonts w:hint="eastAsia" w:ascii="宋体" w:hAnsi="宋体" w:cs="宋体"/>
          <w:color w:val="auto"/>
          <w:highlight w:val="none"/>
        </w:rPr>
        <w:t>0.7.1 依法必须招标的暂估价项目</w:t>
      </w:r>
    </w:p>
    <w:bookmarkEnd w:id="1161"/>
    <w:bookmarkEnd w:id="1162"/>
    <w:bookmarkEnd w:id="1163"/>
    <w:p w14:paraId="756206F0">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1  </w:t>
      </w:r>
      <w:r>
        <w:rPr>
          <w:rFonts w:hint="eastAsia" w:ascii="宋体" w:hAnsi="宋体" w:cs="宋体"/>
          <w:color w:val="auto"/>
          <w:highlight w:val="none"/>
        </w:rPr>
        <w:t>种方式确定。</w:t>
      </w:r>
    </w:p>
    <w:p w14:paraId="3FD2AA9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71F1BCF1">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1  </w:t>
      </w:r>
      <w:r>
        <w:rPr>
          <w:rFonts w:hint="eastAsia" w:ascii="宋体" w:hAnsi="宋体" w:cs="宋体"/>
          <w:color w:val="auto"/>
          <w:highlight w:val="none"/>
        </w:rPr>
        <w:t xml:space="preserve"> 种方式确定。</w:t>
      </w:r>
    </w:p>
    <w:p w14:paraId="2FC5E08D">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093E95ED">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2205DFF">
      <w:pPr>
        <w:pStyle w:val="93"/>
        <w:rPr>
          <w:rFonts w:ascii="宋体" w:hAnsi="宋体" w:cs="宋体"/>
          <w:color w:val="auto"/>
          <w:highlight w:val="none"/>
        </w:rPr>
      </w:pPr>
      <w:bookmarkStart w:id="1164" w:name="_Toc12390"/>
      <w:bookmarkStart w:id="1165" w:name="_Toc373227745"/>
      <w:bookmarkStart w:id="1166" w:name="_Toc78449834"/>
      <w:bookmarkStart w:id="1167" w:name="_Toc114058885"/>
      <w:bookmarkStart w:id="1168" w:name="_Toc394"/>
      <w:bookmarkStart w:id="1169" w:name="_Toc25787"/>
      <w:bookmarkStart w:id="1170" w:name="_Toc373478392"/>
      <w:bookmarkStart w:id="1171" w:name="_Toc389065311"/>
      <w:bookmarkStart w:id="1172" w:name="_Toc407135248"/>
      <w:r>
        <w:rPr>
          <w:rFonts w:hint="eastAsia" w:ascii="宋体" w:hAnsi="宋体" w:cs="宋体"/>
          <w:color w:val="auto"/>
          <w:highlight w:val="none"/>
        </w:rPr>
        <w:t>10.8 暂列金额</w:t>
      </w:r>
      <w:bookmarkEnd w:id="1164"/>
      <w:bookmarkEnd w:id="1165"/>
      <w:bookmarkEnd w:id="1166"/>
      <w:bookmarkEnd w:id="1167"/>
      <w:bookmarkEnd w:id="1168"/>
      <w:bookmarkEnd w:id="1169"/>
      <w:bookmarkEnd w:id="1170"/>
      <w:bookmarkEnd w:id="1171"/>
      <w:bookmarkEnd w:id="1172"/>
    </w:p>
    <w:p w14:paraId="0D82A0BF">
      <w:pPr>
        <w:pStyle w:val="78"/>
        <w:autoSpaceDE w:val="0"/>
        <w:autoSpaceDN w:val="0"/>
        <w:adjustRightInd w:val="0"/>
        <w:spacing w:line="360" w:lineRule="auto"/>
        <w:ind w:firstLine="412" w:firstLineChars="200"/>
        <w:jc w:val="left"/>
        <w:rPr>
          <w:rFonts w:ascii="宋体" w:hAnsi="宋体" w:cs="宋体"/>
          <w:color w:val="auto"/>
          <w:highlight w:val="none"/>
          <w:u w:val="single"/>
        </w:rPr>
      </w:pPr>
      <w:r>
        <w:rPr>
          <w:rFonts w:hint="eastAsia" w:ascii="宋体" w:hAnsi="宋体" w:cs="宋体"/>
          <w:color w:val="auto"/>
          <w:kern w:val="0"/>
          <w:highlight w:val="none"/>
        </w:rPr>
        <w:t>合同当事人关于暂列金额使用的约定：</w:t>
      </w:r>
      <w:r>
        <w:rPr>
          <w:rFonts w:hint="eastAsia" w:ascii="宋体" w:hAnsi="宋体" w:cs="宋体"/>
          <w:color w:val="auto"/>
          <w:highlight w:val="none"/>
          <w:u w:val="single"/>
        </w:rPr>
        <w:t xml:space="preserve">   无  </w:t>
      </w:r>
      <w:r>
        <w:rPr>
          <w:rFonts w:hint="eastAsia" w:ascii="宋体" w:hAnsi="宋体" w:cs="宋体"/>
          <w:color w:val="auto"/>
          <w:kern w:val="0"/>
          <w:highlight w:val="none"/>
        </w:rPr>
        <w:t>。</w:t>
      </w:r>
    </w:p>
    <w:p w14:paraId="1D5A9229">
      <w:pPr>
        <w:pStyle w:val="94"/>
        <w:numPr>
          <w:ilvl w:val="0"/>
          <w:numId w:val="8"/>
        </w:numPr>
        <w:rPr>
          <w:rFonts w:ascii="宋体" w:hAnsi="宋体" w:eastAsia="宋体" w:cs="宋体"/>
          <w:color w:val="auto"/>
          <w:highlight w:val="none"/>
        </w:rPr>
      </w:pPr>
      <w:bookmarkStart w:id="1173" w:name="_Toc373478393"/>
      <w:bookmarkStart w:id="1174" w:name="_Toc351203643"/>
      <w:bookmarkStart w:id="1175" w:name="_Toc389065312"/>
      <w:bookmarkStart w:id="1176" w:name="_Toc30242"/>
      <w:bookmarkStart w:id="1177" w:name="_Toc407135249"/>
      <w:bookmarkStart w:id="1178" w:name="_Toc24288"/>
      <w:bookmarkStart w:id="1179" w:name="_Toc30396"/>
      <w:bookmarkStart w:id="1180" w:name="_Toc114058886"/>
      <w:bookmarkStart w:id="1181" w:name="_Toc78449835"/>
      <w:bookmarkStart w:id="1182" w:name="_Toc373227746"/>
      <w:r>
        <w:rPr>
          <w:rFonts w:hint="eastAsia" w:ascii="宋体" w:hAnsi="宋体" w:eastAsia="宋体" w:cs="宋体"/>
          <w:color w:val="auto"/>
          <w:highlight w:val="none"/>
        </w:rPr>
        <w:t>价格调整</w:t>
      </w:r>
      <w:bookmarkEnd w:id="1173"/>
      <w:bookmarkEnd w:id="1174"/>
      <w:bookmarkEnd w:id="1175"/>
      <w:bookmarkEnd w:id="1176"/>
      <w:bookmarkEnd w:id="1177"/>
      <w:bookmarkEnd w:id="1178"/>
      <w:bookmarkEnd w:id="1179"/>
      <w:bookmarkEnd w:id="1180"/>
      <w:bookmarkEnd w:id="1181"/>
      <w:bookmarkEnd w:id="1182"/>
    </w:p>
    <w:p w14:paraId="07C01DC1">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①法律变化引起的调整；</w:t>
      </w:r>
    </w:p>
    <w:p w14:paraId="17980735">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②工程变更、项目特征不符、工程量清单缺项、工程量偏差引起的调整；</w:t>
      </w:r>
    </w:p>
    <w:p w14:paraId="19D95B59">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③计日工引起的调整。</w:t>
      </w:r>
    </w:p>
    <w:p w14:paraId="483E0278">
      <w:pPr>
        <w:pStyle w:val="78"/>
        <w:rPr>
          <w:rFonts w:ascii="宋体" w:hAnsi="宋体" w:cs="宋体"/>
          <w:color w:val="auto"/>
          <w:highlight w:val="none"/>
        </w:rPr>
      </w:pPr>
    </w:p>
    <w:p w14:paraId="0D735D74">
      <w:pPr>
        <w:pStyle w:val="93"/>
        <w:rPr>
          <w:rFonts w:ascii="宋体" w:hAnsi="宋体" w:cs="宋体"/>
          <w:color w:val="auto"/>
          <w:highlight w:val="none"/>
        </w:rPr>
      </w:pPr>
      <w:bookmarkStart w:id="1183" w:name="_Toc2445"/>
      <w:bookmarkStart w:id="1184" w:name="_Toc389065313"/>
      <w:bookmarkStart w:id="1185" w:name="_Toc373227747"/>
      <w:bookmarkStart w:id="1186" w:name="_Toc78449836"/>
      <w:bookmarkStart w:id="1187" w:name="_Toc407135250"/>
      <w:bookmarkStart w:id="1188" w:name="_Toc15995"/>
      <w:bookmarkStart w:id="1189" w:name="_Toc21763"/>
      <w:bookmarkStart w:id="1190" w:name="_Toc373478394"/>
      <w:bookmarkStart w:id="1191" w:name="_Toc114058887"/>
      <w:bookmarkStart w:id="1192" w:name="_Toc304295577"/>
      <w:bookmarkStart w:id="1193" w:name="_Toc296346702"/>
      <w:bookmarkStart w:id="1194" w:name="_Toc297120501"/>
      <w:bookmarkStart w:id="1195" w:name="_Toc312678039"/>
      <w:bookmarkStart w:id="1196" w:name="_Toc296944540"/>
      <w:bookmarkStart w:id="1197" w:name="_Toc296503201"/>
      <w:bookmarkStart w:id="1198" w:name="_Toc292559911"/>
      <w:bookmarkStart w:id="1199" w:name="_Toc297216209"/>
      <w:bookmarkStart w:id="1200" w:name="_Toc300935000"/>
      <w:bookmarkStart w:id="1201" w:name="_Toc297123550"/>
      <w:bookmarkStart w:id="1202" w:name="_Toc297048387"/>
      <w:bookmarkStart w:id="1203" w:name="_Toc296891029"/>
      <w:bookmarkStart w:id="1204" w:name="_Toc296347200"/>
      <w:bookmarkStart w:id="1205" w:name="_Toc296891241"/>
      <w:bookmarkStart w:id="1206" w:name="_Toc292559406"/>
      <w:bookmarkStart w:id="1207" w:name="_Toc303539157"/>
      <w:r>
        <w:rPr>
          <w:rFonts w:hint="eastAsia" w:ascii="宋体" w:hAnsi="宋体" w:cs="宋体"/>
          <w:color w:val="auto"/>
          <w:highlight w:val="none"/>
        </w:rPr>
        <w:t>11.1 市场价格波动引起的调整</w:t>
      </w:r>
      <w:bookmarkEnd w:id="1183"/>
      <w:bookmarkEnd w:id="1184"/>
      <w:bookmarkEnd w:id="1185"/>
      <w:bookmarkEnd w:id="1186"/>
      <w:bookmarkEnd w:id="1187"/>
      <w:bookmarkEnd w:id="1188"/>
      <w:bookmarkEnd w:id="1189"/>
      <w:bookmarkEnd w:id="1190"/>
      <w:bookmarkEnd w:id="1191"/>
    </w:p>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14:paraId="024428C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否</w:t>
      </w:r>
      <w:r>
        <w:rPr>
          <w:rFonts w:hint="eastAsia" w:ascii="宋体" w:hAnsi="宋体" w:cs="宋体"/>
          <w:color w:val="auto"/>
          <w:highlight w:val="none"/>
        </w:rPr>
        <w:t>。</w:t>
      </w:r>
    </w:p>
    <w:p w14:paraId="0F17B637">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14E8C2EF">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6381DE91">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60C9CD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3440B7F0">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（1）允许调整主要材料和工程设备、基期价格、风险系数、谈判报价详见《允许调整主要材料和工程设备一览表》</w:t>
      </w:r>
      <w:r>
        <w:rPr>
          <w:rFonts w:hint="eastAsia" w:ascii="宋体" w:hAnsi="宋体" w:cs="宋体"/>
          <w:color w:val="auto"/>
          <w:kern w:val="0"/>
          <w:sz w:val="20"/>
          <w:highlight w:val="none"/>
        </w:rPr>
        <w:t>（表-22）</w:t>
      </w:r>
      <w:r>
        <w:rPr>
          <w:rFonts w:hint="eastAsia" w:ascii="宋体" w:hAnsi="宋体" w:cs="宋体"/>
          <w:color w:val="auto"/>
          <w:highlight w:val="none"/>
        </w:rPr>
        <w:t>,价差调整部分仅计算税金，除此表列明的材料、设备外，其余材料设备价差原则上不予调整。</w:t>
      </w:r>
    </w:p>
    <w:p w14:paraId="55B3856C">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（2）主要材料和工程设备确认价：</w:t>
      </w:r>
    </w:p>
    <w:p w14:paraId="69DEBA43">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按施工期间《</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柳州</w:t>
      </w:r>
      <w:r>
        <w:rPr>
          <w:rFonts w:hint="eastAsia" w:ascii="宋体" w:hAnsi="宋体" w:cs="宋体"/>
          <w:color w:val="auto"/>
          <w:highlight w:val="none"/>
          <w:u w:val="single"/>
        </w:rPr>
        <w:t xml:space="preserve"> </w:t>
      </w:r>
      <w:r>
        <w:rPr>
          <w:rFonts w:hint="eastAsia" w:ascii="宋体" w:hAnsi="宋体" w:cs="宋体"/>
          <w:color w:val="auto"/>
          <w:highlight w:val="none"/>
        </w:rPr>
        <w:t>市建设工程造价信息》材料信息价的加权平均价计算，信息价没有的按通用条款规定确定。</w:t>
      </w:r>
    </w:p>
    <w:p w14:paraId="269481F7">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（3）价差计算方法：</w:t>
      </w:r>
    </w:p>
    <w:p w14:paraId="60356F68">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①《允许调整主要材料和工程设备一览表》中载明的材料和设备谈判报价低于基准价格的：合同履行期间材料和设备单价涨幅以基准价格为基础超过约定的风险范围时，或材料和设备单价跌幅以谈判报价为基础超过约定的风险范围时，对其超过部分进行价差调整，价差计算公式：价格上涨价差=确认价-基准价*（1+风险系数），价格下跌价差=确认价-谈判报价*（1+风险系数）。</w:t>
      </w:r>
    </w:p>
    <w:p w14:paraId="01EAFA0D">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②承包人在《允许调整主要材料和工程设备一览表》中载明的材料和设备谈判报价高于基准价格的：合同履行期间材料和设备单价跌幅以基准价格为基础超过约定的风险范围时，或材料和设备单价涨幅以谈判报价为基础超过约定的风险范围时，对其超过部分进行价差调整。价差计算公式：价格上涨价差=确认价-谈判报价*（1+风险系数），价格下跌价差=确认价-基准价*（1+风险系数。）</w:t>
      </w:r>
    </w:p>
    <w:p w14:paraId="748C101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③承包人在《允许调整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5AAC8E92">
      <w:pPr>
        <w:pStyle w:val="78"/>
        <w:spacing w:line="360" w:lineRule="auto"/>
        <w:ind w:firstLine="645"/>
        <w:jc w:val="left"/>
        <w:rPr>
          <w:rFonts w:ascii="宋体" w:hAnsi="宋体" w:cs="宋体"/>
          <w:color w:val="auto"/>
          <w:highlight w:val="none"/>
        </w:rPr>
      </w:pPr>
      <w:r>
        <w:rPr>
          <w:rFonts w:hint="eastAsia" w:ascii="宋体" w:hAnsi="宋体" w:cs="宋体"/>
          <w:color w:val="auto"/>
          <w:highlight w:val="none"/>
        </w:rPr>
        <w:t>第3种方式：</w:t>
      </w:r>
      <w:r>
        <w:rPr>
          <w:rFonts w:hint="eastAsia" w:ascii="宋体" w:hAnsi="宋体" w:cs="宋体"/>
          <w:color w:val="auto"/>
          <w:highlight w:val="none"/>
          <w:u w:val="single"/>
        </w:rPr>
        <w:t xml:space="preserve">除有政策性文件要求调整的材料外，其余材料设备一律不给调整 </w:t>
      </w:r>
      <w:r>
        <w:rPr>
          <w:rFonts w:hint="eastAsia" w:ascii="宋体" w:hAnsi="宋体" w:cs="宋体"/>
          <w:color w:val="auto"/>
          <w:highlight w:val="none"/>
        </w:rPr>
        <w:t xml:space="preserve"> 。</w:t>
      </w:r>
    </w:p>
    <w:bookmarkEnd w:id="1021"/>
    <w:bookmarkEnd w:id="1022"/>
    <w:bookmarkEnd w:id="1023"/>
    <w:bookmarkEnd w:id="1024"/>
    <w:bookmarkEnd w:id="1025"/>
    <w:bookmarkEnd w:id="1026"/>
    <w:p w14:paraId="13156C18">
      <w:pPr>
        <w:pStyle w:val="94"/>
        <w:rPr>
          <w:rFonts w:ascii="宋体" w:hAnsi="宋体" w:eastAsia="宋体" w:cs="宋体"/>
          <w:color w:val="auto"/>
          <w:highlight w:val="none"/>
        </w:rPr>
      </w:pPr>
      <w:bookmarkStart w:id="1208" w:name="_Toc296503205"/>
      <w:bookmarkStart w:id="1209" w:name="_Toc296347204"/>
      <w:bookmarkStart w:id="1210" w:name="_Toc296944544"/>
      <w:bookmarkStart w:id="1211" w:name="_Toc296891033"/>
      <w:bookmarkStart w:id="1212" w:name="_Toc292559410"/>
      <w:bookmarkStart w:id="1213" w:name="_Toc297048391"/>
      <w:bookmarkStart w:id="1214" w:name="_Toc297120505"/>
      <w:bookmarkStart w:id="1215" w:name="_Toc296346706"/>
      <w:bookmarkStart w:id="1216" w:name="_Toc292559915"/>
      <w:bookmarkStart w:id="1217" w:name="_Toc296891245"/>
      <w:bookmarkStart w:id="1218" w:name="_Toc14792"/>
      <w:bookmarkStart w:id="1219" w:name="_Toc24244"/>
      <w:bookmarkStart w:id="1220" w:name="_Toc373227748"/>
      <w:bookmarkStart w:id="1221" w:name="_Toc351203644"/>
      <w:bookmarkStart w:id="1222" w:name="_Toc29668"/>
      <w:bookmarkStart w:id="1223" w:name="_Toc407135251"/>
      <w:bookmarkStart w:id="1224" w:name="_Toc78449837"/>
      <w:bookmarkStart w:id="1225" w:name="_Toc373478395"/>
      <w:bookmarkStart w:id="1226" w:name="_Toc114058888"/>
      <w:bookmarkStart w:id="1227" w:name="_Toc303539159"/>
      <w:bookmarkStart w:id="1228" w:name="_Toc304295579"/>
      <w:bookmarkStart w:id="1229" w:name="_Toc297123552"/>
      <w:bookmarkStart w:id="1230" w:name="_Toc300935002"/>
      <w:bookmarkStart w:id="1231" w:name="_Toc297216211"/>
      <w:bookmarkStart w:id="1232" w:name="_Toc312678040"/>
      <w:r>
        <w:rPr>
          <w:rFonts w:hint="eastAsia" w:ascii="宋体" w:hAnsi="宋体" w:eastAsia="宋体" w:cs="宋体"/>
          <w:color w:val="auto"/>
          <w:highlight w:val="none"/>
        </w:rPr>
        <w:t xml:space="preserve">12. </w:t>
      </w:r>
      <w:bookmarkEnd w:id="1208"/>
      <w:bookmarkEnd w:id="1209"/>
      <w:bookmarkEnd w:id="1210"/>
      <w:bookmarkEnd w:id="1211"/>
      <w:bookmarkEnd w:id="1212"/>
      <w:bookmarkEnd w:id="1213"/>
      <w:bookmarkEnd w:id="1214"/>
      <w:bookmarkEnd w:id="1215"/>
      <w:bookmarkEnd w:id="1216"/>
      <w:bookmarkEnd w:id="1217"/>
      <w:r>
        <w:rPr>
          <w:rFonts w:hint="eastAsia" w:ascii="宋体" w:hAnsi="宋体" w:eastAsia="宋体" w:cs="宋体"/>
          <w:color w:val="auto"/>
          <w:highlight w:val="none"/>
        </w:rPr>
        <w:t>合同价格、计量与支付</w:t>
      </w:r>
      <w:bookmarkEnd w:id="1218"/>
      <w:bookmarkEnd w:id="1219"/>
      <w:bookmarkEnd w:id="1220"/>
      <w:bookmarkEnd w:id="1221"/>
      <w:bookmarkEnd w:id="1222"/>
      <w:bookmarkEnd w:id="1223"/>
      <w:bookmarkEnd w:id="1224"/>
      <w:bookmarkEnd w:id="1225"/>
      <w:bookmarkEnd w:id="1226"/>
    </w:p>
    <w:bookmarkEnd w:id="1227"/>
    <w:bookmarkEnd w:id="1228"/>
    <w:bookmarkEnd w:id="1229"/>
    <w:bookmarkEnd w:id="1230"/>
    <w:bookmarkEnd w:id="1231"/>
    <w:bookmarkEnd w:id="1232"/>
    <w:p w14:paraId="4A14836D">
      <w:pPr>
        <w:pStyle w:val="93"/>
        <w:rPr>
          <w:rFonts w:ascii="宋体" w:hAnsi="宋体" w:cs="宋体"/>
          <w:color w:val="auto"/>
          <w:highlight w:val="none"/>
        </w:rPr>
      </w:pPr>
      <w:bookmarkStart w:id="1233" w:name="_Toc292559916"/>
      <w:bookmarkStart w:id="1234" w:name="_Toc267251461"/>
      <w:bookmarkStart w:id="1235" w:name="_Toc292559411"/>
      <w:bookmarkStart w:id="1236" w:name="_Toc296503206"/>
      <w:bookmarkStart w:id="1237" w:name="_Toc296347205"/>
      <w:bookmarkStart w:id="1238" w:name="_Toc297048392"/>
      <w:bookmarkStart w:id="1239" w:name="_Toc297120506"/>
      <w:bookmarkStart w:id="1240" w:name="_Toc296944545"/>
      <w:bookmarkStart w:id="1241" w:name="_Toc296891034"/>
      <w:bookmarkStart w:id="1242" w:name="_Toc296346707"/>
      <w:bookmarkStart w:id="1243" w:name="_Toc296891246"/>
      <w:bookmarkStart w:id="1244" w:name="_Toc407135252"/>
      <w:bookmarkStart w:id="1245" w:name="_Toc4024"/>
      <w:bookmarkStart w:id="1246" w:name="_Toc373478396"/>
      <w:bookmarkStart w:id="1247" w:name="_Toc389065314"/>
      <w:bookmarkStart w:id="1248" w:name="_Toc8474"/>
      <w:bookmarkStart w:id="1249" w:name="_Toc373227749"/>
      <w:bookmarkStart w:id="1250" w:name="_Toc114058889"/>
      <w:bookmarkStart w:id="1251" w:name="_Toc78449838"/>
      <w:bookmarkStart w:id="1252" w:name="_Toc24955"/>
      <w:bookmarkStart w:id="1253" w:name="_Toc312678041"/>
      <w:bookmarkStart w:id="1254" w:name="_Toc300935003"/>
      <w:bookmarkStart w:id="1255" w:name="_Toc297216212"/>
      <w:bookmarkStart w:id="1256" w:name="_Toc303539160"/>
      <w:bookmarkStart w:id="1257" w:name="_Toc304295580"/>
      <w:bookmarkStart w:id="1258" w:name="_Toc297123553"/>
      <w:r>
        <w:rPr>
          <w:rFonts w:hint="eastAsia" w:ascii="宋体" w:hAnsi="宋体" w:cs="宋体"/>
          <w:color w:val="auto"/>
          <w:highlight w:val="none"/>
        </w:rPr>
        <w:t>12.1 合</w:t>
      </w:r>
      <w:bookmarkEnd w:id="1233"/>
      <w:bookmarkEnd w:id="1234"/>
      <w:bookmarkEnd w:id="1235"/>
      <w:r>
        <w:rPr>
          <w:rFonts w:hint="eastAsia" w:ascii="宋体" w:hAnsi="宋体" w:cs="宋体"/>
          <w:color w:val="auto"/>
          <w:highlight w:val="none"/>
        </w:rPr>
        <w:t>同价</w:t>
      </w:r>
      <w:bookmarkEnd w:id="1236"/>
      <w:bookmarkEnd w:id="1237"/>
      <w:bookmarkEnd w:id="1238"/>
      <w:bookmarkEnd w:id="1239"/>
      <w:bookmarkEnd w:id="1240"/>
      <w:bookmarkEnd w:id="1241"/>
      <w:bookmarkEnd w:id="1242"/>
      <w:bookmarkEnd w:id="1243"/>
      <w:r>
        <w:rPr>
          <w:rFonts w:hint="eastAsia" w:ascii="宋体" w:hAnsi="宋体" w:cs="宋体"/>
          <w:color w:val="auto"/>
          <w:highlight w:val="none"/>
        </w:rPr>
        <w:t>格形式</w:t>
      </w:r>
      <w:bookmarkEnd w:id="1244"/>
      <w:bookmarkEnd w:id="1245"/>
      <w:bookmarkEnd w:id="1246"/>
      <w:bookmarkEnd w:id="1247"/>
      <w:bookmarkEnd w:id="1248"/>
      <w:bookmarkEnd w:id="1249"/>
      <w:bookmarkEnd w:id="1250"/>
      <w:bookmarkEnd w:id="1251"/>
      <w:bookmarkEnd w:id="1252"/>
    </w:p>
    <w:bookmarkEnd w:id="1253"/>
    <w:bookmarkEnd w:id="1254"/>
    <w:bookmarkEnd w:id="1255"/>
    <w:bookmarkEnd w:id="1256"/>
    <w:bookmarkEnd w:id="1257"/>
    <w:bookmarkEnd w:id="1258"/>
    <w:p w14:paraId="4D0F52D8">
      <w:pPr>
        <w:pStyle w:val="79"/>
        <w:spacing w:line="360" w:lineRule="auto"/>
        <w:ind w:firstLine="412" w:firstLineChars="200"/>
        <w:jc w:val="left"/>
        <w:rPr>
          <w:rFonts w:ascii="宋体" w:hAnsi="宋体" w:cs="宋体"/>
          <w:color w:val="auto"/>
          <w:szCs w:val="21"/>
          <w:highlight w:val="none"/>
        </w:rPr>
      </w:pPr>
      <w:bookmarkStart w:id="1259" w:name="_Toc373478397"/>
      <w:bookmarkStart w:id="1260" w:name="_Toc373227750"/>
      <w:bookmarkStart w:id="1261" w:name="_Toc389065315"/>
      <w:bookmarkStart w:id="1262" w:name="_Toc303539161"/>
      <w:bookmarkStart w:id="1263" w:name="_Toc300935004"/>
      <w:bookmarkStart w:id="1264" w:name="_Toc312678042"/>
      <w:bookmarkStart w:id="1265" w:name="_Toc304295581"/>
      <w:bookmarkStart w:id="1266" w:name="_Toc297216213"/>
      <w:bookmarkStart w:id="1267" w:name="_Toc297123554"/>
      <w:bookmarkStart w:id="1268" w:name="_Toc296503207"/>
      <w:bookmarkStart w:id="1269" w:name="_Toc296944546"/>
      <w:bookmarkStart w:id="1270" w:name="_Toc297120507"/>
      <w:bookmarkStart w:id="1271" w:name="_Toc296891247"/>
      <w:bookmarkStart w:id="1272" w:name="_Toc297048393"/>
      <w:bookmarkStart w:id="1273" w:name="_Toc292559917"/>
      <w:bookmarkStart w:id="1274" w:name="_Toc296347206"/>
      <w:bookmarkStart w:id="1275" w:name="_Toc296346708"/>
      <w:bookmarkStart w:id="1276" w:name="_Toc292559412"/>
      <w:bookmarkStart w:id="1277" w:name="_Toc296891035"/>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r>
        <w:rPr>
          <w:rFonts w:hint="eastAsia" w:ascii="宋体" w:hAnsi="宋体" w:cs="宋体"/>
          <w:color w:val="auto"/>
          <w:highlight w:val="none"/>
        </w:rPr>
        <w:t>，合同价格包含增值税，本工程计价时采用的增值税计税方法为：</w:t>
      </w:r>
      <w:r>
        <w:rPr>
          <w:rFonts w:hint="eastAsia" w:ascii="MS Mincho" w:hAnsi="MS Mincho" w:eastAsia="MS Mincho" w:cs="MS Mincho"/>
          <w:color w:val="auto"/>
          <w:highlight w:val="none"/>
        </w:rPr>
        <w:t>☑</w:t>
      </w:r>
      <w:r>
        <w:rPr>
          <w:rFonts w:hint="eastAsia" w:ascii="宋体" w:hAnsi="宋体" w:cs="宋体"/>
          <w:color w:val="auto"/>
          <w:highlight w:val="none"/>
        </w:rPr>
        <w:t>一般计税法   □简易计税法</w:t>
      </w:r>
      <w:r>
        <w:rPr>
          <w:rFonts w:hint="eastAsia" w:ascii="宋体" w:hAnsi="宋体" w:cs="宋体"/>
          <w:color w:val="auto"/>
          <w:szCs w:val="21"/>
          <w:highlight w:val="none"/>
        </w:rPr>
        <w:t>。</w:t>
      </w:r>
    </w:p>
    <w:p w14:paraId="52EF5D46">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4C479386">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采用综合单价合同方式时，</w:t>
      </w:r>
      <w:r>
        <w:rPr>
          <w:rFonts w:hint="eastAsia" w:ascii="宋体" w:hAnsi="宋体" w:cs="宋体"/>
          <w:color w:val="auto"/>
          <w:szCs w:val="21"/>
          <w:highlight w:val="none"/>
        </w:rPr>
        <w:t>工程量按建设单位、监理单位、施工单位三方确认的与实际相符的竣工图结算。如发现竣工图与实际不符，按不利于施工单位的原则结算</w:t>
      </w:r>
      <w:r>
        <w:rPr>
          <w:rFonts w:hint="eastAsia" w:ascii="宋体" w:hAnsi="宋体" w:cs="宋体"/>
          <w:color w:val="auto"/>
          <w:highlight w:val="none"/>
        </w:rPr>
        <w:t>。</w:t>
      </w:r>
    </w:p>
    <w:p w14:paraId="6E5B148A">
      <w:pPr>
        <w:pStyle w:val="79"/>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3FC10614">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风险费用的计算方法：单价采用固定综合单价，风险费用已综合考虑在单价中。</w:t>
      </w:r>
    </w:p>
    <w:p w14:paraId="670FD41F">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2D4A7C76">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color w:val="auto"/>
          <w:szCs w:val="21"/>
          <w:highlight w:val="none"/>
        </w:rPr>
        <w:t>①</w:t>
      </w:r>
      <w:r>
        <w:rPr>
          <w:rFonts w:hint="eastAsia" w:ascii="宋体" w:hAnsi="宋体" w:cs="宋体"/>
          <w:b/>
          <w:bCs/>
          <w:color w:val="auto"/>
          <w:szCs w:val="21"/>
          <w:highlight w:val="none"/>
        </w:rPr>
        <w:t>本合同实施期间因工程变更、项目特征不符、工程量清单缺项引起工程项目、工程量变化的，其工程量按实际发生并发包人确认，变更合同价款按下列方法进行：工程量清单中有相同细目的按供应商谈判时的成交单价进行结算，工程量清单中有类似细目的参考类似成交单价结算；工程量清单中没有适用或类似于变更工程的价格，则有定额的套定额计算，执行本谈判文件工程计价参考依据，并乘以下浮系数（成交价</w:t>
      </w:r>
      <w:r>
        <w:rPr>
          <w:rFonts w:ascii="宋体" w:hAnsi="宋体" w:cs="宋体"/>
          <w:b/>
          <w:bCs/>
          <w:color w:val="auto"/>
          <w:szCs w:val="21"/>
          <w:highlight w:val="none"/>
        </w:rPr>
        <w:t>/经审定的工程招标控制价）结算，其中材料价格有信息价的按施工期间信息价的平均价计取，无信息价的由发包人、承包人根据市场价格协商议定；新增项目无定额可套的，由发包人、承包人根据市场协商确定；新增结算单价=综合单价×（成交价/经审定的工程招标控制价）。</w:t>
      </w:r>
    </w:p>
    <w:p w14:paraId="4D10C4CA">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②工程量偏差：如果承包人实际完成工程量与招标工程量偏差超过</w:t>
      </w:r>
      <w:r>
        <w:rPr>
          <w:rFonts w:ascii="宋体" w:hAnsi="宋体" w:cs="宋体"/>
          <w:b/>
          <w:bCs/>
          <w:color w:val="auto"/>
          <w:szCs w:val="21"/>
          <w:highlight w:val="none"/>
        </w:rPr>
        <w:t>15%以上且该单项造价超过合同总价1%以上的，则超过15%以上增加部分工程量或减少后剩余部分工程量的综合单价按以下方法计算：有定额的套定额计算，执行本</w:t>
      </w:r>
      <w:r>
        <w:rPr>
          <w:rFonts w:hint="eastAsia" w:ascii="宋体" w:hAnsi="宋体" w:cs="宋体"/>
          <w:b/>
          <w:bCs/>
          <w:color w:val="auto"/>
          <w:szCs w:val="21"/>
          <w:highlight w:val="none"/>
        </w:rPr>
        <w:t>谈判</w:t>
      </w:r>
      <w:r>
        <w:rPr>
          <w:rFonts w:ascii="宋体" w:hAnsi="宋体" w:cs="宋体"/>
          <w:b/>
          <w:bCs/>
          <w:color w:val="auto"/>
          <w:szCs w:val="21"/>
          <w:highlight w:val="none"/>
        </w:rPr>
        <w:t>文件工程计价参考依据，并乘以下浮系数（成交价/经审定的工程招标控制价）结算，其中材料价格有信息价的按施工期间信息价的平均价计取，无信息价的由发包人、承包人根据市场价格协商议定。</w:t>
      </w:r>
    </w:p>
    <w:p w14:paraId="02A78185">
      <w:pPr>
        <w:pStyle w:val="79"/>
        <w:spacing w:line="360" w:lineRule="auto"/>
        <w:ind w:firstLine="412" w:firstLineChars="200"/>
        <w:jc w:val="left"/>
        <w:rPr>
          <w:rFonts w:ascii="宋体" w:hAnsi="宋体" w:cs="宋体"/>
          <w:color w:val="auto"/>
          <w:szCs w:val="21"/>
          <w:highlight w:val="none"/>
        </w:rPr>
      </w:pPr>
      <w:r>
        <w:rPr>
          <w:rFonts w:hint="eastAsia" w:ascii="宋体" w:hAnsi="宋体" w:cs="宋体"/>
          <w:b/>
          <w:bCs/>
          <w:color w:val="auto"/>
          <w:szCs w:val="21"/>
          <w:highlight w:val="none"/>
        </w:rPr>
        <w:t>③政策性调整：</w:t>
      </w:r>
      <w:r>
        <w:rPr>
          <w:rFonts w:hint="eastAsia" w:ascii="宋体" w:hAnsi="宋体" w:cs="宋体"/>
          <w:color w:val="auto"/>
          <w:szCs w:val="21"/>
          <w:highlight w:val="none"/>
        </w:rPr>
        <w:t>按自治区住房城乡建设厅或工程所在地住房城乡建设主管部门颁布的文件执行。</w:t>
      </w:r>
    </w:p>
    <w:p w14:paraId="350A8AF1">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④材料及设备价格价格风险：无</w:t>
      </w:r>
    </w:p>
    <w:p w14:paraId="7B821DDA">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材料及设备风险的约定：无</w:t>
      </w:r>
    </w:p>
    <w:p w14:paraId="1FC509A1">
      <w:pPr>
        <w:pStyle w:val="79"/>
        <w:spacing w:line="360" w:lineRule="auto"/>
        <w:ind w:firstLine="41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⑤其它：措施项目费调整原则按《(GB50500-2013)建设工程工程量清单计价规范-广西壮族自治区实施细则》第9.3.2款执行。无约定的参照我区现行《建设工程工程量清单计价规范》相关规定执行。</w:t>
      </w:r>
    </w:p>
    <w:p w14:paraId="69E98EA9">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本工程最终结算如果符合送财厅送审条件的以自治区财政部门审定为准。</w:t>
      </w:r>
    </w:p>
    <w:p w14:paraId="16962AA7">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3501CC12">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总价包含的风险范围：包含除工程变更、政策性调整、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7AC0974">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5E68670C">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①工程变更：按10.4.1变更估价原则的约定调整。</w:t>
      </w:r>
    </w:p>
    <w:p w14:paraId="2CAFEF66">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②政策性调整：按自治区住房城乡建设厅或工程所在地住房城乡建设主管部门颁布的文件执行。</w:t>
      </w:r>
    </w:p>
    <w:p w14:paraId="35C3BB90">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③材料价格风险：按11.1的约定调整。</w:t>
      </w:r>
    </w:p>
    <w:p w14:paraId="16139213">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4 \* GB3</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t>其它：</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C268E5">
      <w:pPr>
        <w:pStyle w:val="79"/>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330DE6">
      <w:pPr>
        <w:pStyle w:val="93"/>
        <w:rPr>
          <w:rFonts w:ascii="宋体" w:hAnsi="宋体" w:cs="宋体"/>
          <w:color w:val="auto"/>
          <w:highlight w:val="none"/>
        </w:rPr>
      </w:pPr>
      <w:bookmarkStart w:id="1278" w:name="_Toc114058890"/>
      <w:bookmarkStart w:id="1279" w:name="_Toc7656"/>
      <w:bookmarkStart w:id="1280" w:name="_Toc407135253"/>
      <w:bookmarkStart w:id="1281" w:name="_Toc11507"/>
      <w:bookmarkStart w:id="1282" w:name="_Toc26962"/>
      <w:bookmarkStart w:id="1283" w:name="_Toc78449839"/>
      <w:r>
        <w:rPr>
          <w:rFonts w:hint="eastAsia" w:ascii="宋体" w:hAnsi="宋体" w:cs="宋体"/>
          <w:color w:val="auto"/>
          <w:highlight w:val="none"/>
        </w:rPr>
        <w:t>12.2 预付款</w:t>
      </w:r>
      <w:bookmarkEnd w:id="1259"/>
      <w:bookmarkEnd w:id="1260"/>
      <w:bookmarkEnd w:id="1261"/>
      <w:bookmarkEnd w:id="1278"/>
      <w:bookmarkEnd w:id="1279"/>
      <w:bookmarkEnd w:id="1280"/>
      <w:bookmarkEnd w:id="1281"/>
      <w:bookmarkEnd w:id="1282"/>
      <w:bookmarkEnd w:id="1283"/>
    </w:p>
    <w:bookmarkEnd w:id="1262"/>
    <w:bookmarkEnd w:id="1263"/>
    <w:bookmarkEnd w:id="1264"/>
    <w:bookmarkEnd w:id="1265"/>
    <w:bookmarkEnd w:id="1266"/>
    <w:bookmarkEnd w:id="1267"/>
    <w:p w14:paraId="57319B17">
      <w:pPr>
        <w:pStyle w:val="78"/>
        <w:spacing w:line="360" w:lineRule="auto"/>
        <w:ind w:firstLine="412"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12.2.1 预付款的支付：</w:t>
      </w:r>
      <w:r>
        <w:rPr>
          <w:rFonts w:hint="eastAsia" w:ascii="宋体" w:hAnsi="宋体" w:cs="宋体"/>
          <w:color w:val="auto"/>
          <w:highlight w:val="none"/>
          <w:u w:val="single"/>
        </w:rPr>
        <w:t>签订合同价（扣除暂列金额）的</w:t>
      </w:r>
      <w:r>
        <w:rPr>
          <w:rFonts w:hint="eastAsia" w:ascii="宋体" w:hAnsi="宋体" w:cs="宋体"/>
          <w:color w:val="auto"/>
          <w:highlight w:val="none"/>
          <w:u w:val="single"/>
          <w:lang w:val="en-US" w:eastAsia="zh-CN"/>
        </w:rPr>
        <w:t xml:space="preserve"> 30</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。【备注：政府投资项目应严格执行工程预付款制度，工程预付款应不低于合同总价（扣除暂列金额）的10%（最高不超过30%，并与工程进度款分期按约定比例抵扣）】</w:t>
      </w:r>
      <w:r>
        <w:rPr>
          <w:rFonts w:hint="eastAsia" w:ascii="宋体" w:hAnsi="宋体" w:cs="宋体"/>
          <w:color w:val="auto"/>
          <w:highlight w:val="none"/>
          <w:u w:val="single"/>
          <w:lang w:eastAsia="zh-CN"/>
        </w:rPr>
        <w:t>。</w:t>
      </w:r>
    </w:p>
    <w:bookmarkEnd w:id="1268"/>
    <w:bookmarkEnd w:id="1269"/>
    <w:bookmarkEnd w:id="1270"/>
    <w:bookmarkEnd w:id="1271"/>
    <w:bookmarkEnd w:id="1272"/>
    <w:bookmarkEnd w:id="1273"/>
    <w:bookmarkEnd w:id="1274"/>
    <w:bookmarkEnd w:id="1275"/>
    <w:bookmarkEnd w:id="1276"/>
    <w:bookmarkEnd w:id="1277"/>
    <w:p w14:paraId="4758817B">
      <w:pPr>
        <w:pStyle w:val="93"/>
        <w:rPr>
          <w:rFonts w:ascii="宋体" w:hAnsi="宋体" w:cs="宋体"/>
          <w:color w:val="auto"/>
          <w:highlight w:val="none"/>
        </w:rPr>
      </w:pPr>
      <w:bookmarkStart w:id="1284" w:name="_Toc6085"/>
      <w:bookmarkStart w:id="1285" w:name="_Toc407135254"/>
      <w:bookmarkStart w:id="1286" w:name="_Toc14277"/>
      <w:bookmarkStart w:id="1287" w:name="_Toc373227751"/>
      <w:bookmarkStart w:id="1288" w:name="_Toc373478398"/>
      <w:bookmarkStart w:id="1289" w:name="_Toc78449840"/>
      <w:bookmarkStart w:id="1290" w:name="_Toc114058891"/>
      <w:bookmarkStart w:id="1291" w:name="_Toc31727"/>
      <w:bookmarkStart w:id="1292" w:name="_Toc389065316"/>
      <w:r>
        <w:rPr>
          <w:rFonts w:hint="eastAsia" w:ascii="宋体" w:hAnsi="宋体" w:cs="宋体"/>
          <w:color w:val="auto"/>
          <w:highlight w:val="none"/>
        </w:rPr>
        <w:t>12.3 计量</w:t>
      </w:r>
      <w:bookmarkEnd w:id="1284"/>
      <w:bookmarkEnd w:id="1285"/>
      <w:bookmarkEnd w:id="1286"/>
      <w:bookmarkEnd w:id="1287"/>
      <w:bookmarkEnd w:id="1288"/>
      <w:bookmarkEnd w:id="1289"/>
      <w:bookmarkEnd w:id="1290"/>
      <w:bookmarkEnd w:id="1291"/>
      <w:bookmarkEnd w:id="1292"/>
    </w:p>
    <w:p w14:paraId="531BD22E">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12.3.1 计量原则</w:t>
      </w:r>
    </w:p>
    <w:p w14:paraId="20727E3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0184E00F">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12.3.2 计量周期</w:t>
      </w:r>
    </w:p>
    <w:p w14:paraId="1B2C1524">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95FBFA">
      <w:pPr>
        <w:pStyle w:val="78"/>
        <w:spacing w:line="360" w:lineRule="auto"/>
        <w:ind w:firstLine="412" w:firstLineChars="200"/>
        <w:jc w:val="left"/>
        <w:outlineLvl w:val="0"/>
        <w:rPr>
          <w:rFonts w:ascii="宋体" w:hAnsi="宋体" w:cs="宋体"/>
          <w:color w:val="auto"/>
          <w:highlight w:val="none"/>
        </w:rPr>
      </w:pPr>
      <w:bookmarkStart w:id="1293" w:name="_Toc15461"/>
      <w:bookmarkStart w:id="1294" w:name="_Toc20371"/>
      <w:bookmarkStart w:id="1295" w:name="_Toc8342"/>
      <w:bookmarkStart w:id="1296" w:name="_Toc11448"/>
      <w:r>
        <w:rPr>
          <w:rFonts w:hint="eastAsia" w:ascii="宋体" w:hAnsi="宋体" w:cs="宋体"/>
          <w:color w:val="auto"/>
          <w:highlight w:val="none"/>
        </w:rPr>
        <w:t>12.3.3 单价合同的计量</w:t>
      </w:r>
      <w:bookmarkEnd w:id="1293"/>
      <w:bookmarkEnd w:id="1294"/>
      <w:bookmarkEnd w:id="1295"/>
      <w:bookmarkEnd w:id="1296"/>
    </w:p>
    <w:p w14:paraId="1DDA398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关于单价合同计量的约定：</w:t>
      </w:r>
    </w:p>
    <w:p w14:paraId="315E0848">
      <w:pPr>
        <w:pStyle w:val="78"/>
        <w:spacing w:line="360" w:lineRule="auto"/>
        <w:ind w:firstLine="433" w:firstLineChars="210"/>
        <w:rPr>
          <w:rFonts w:ascii="宋体" w:hAnsi="宋体" w:cs="宋体"/>
          <w:color w:val="auto"/>
          <w:highlight w:val="none"/>
        </w:rPr>
      </w:pPr>
      <w:r>
        <w:rPr>
          <w:rFonts w:hint="eastAsia" w:ascii="宋体" w:hAnsi="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6E6CB7FB">
      <w:pPr>
        <w:pStyle w:val="78"/>
        <w:spacing w:line="360" w:lineRule="auto"/>
        <w:ind w:firstLine="433" w:firstLineChars="210"/>
        <w:rPr>
          <w:rFonts w:ascii="宋体" w:hAnsi="宋体" w:cs="宋体"/>
          <w:color w:val="auto"/>
          <w:highlight w:val="none"/>
        </w:rPr>
      </w:pPr>
      <w:r>
        <w:rPr>
          <w:rFonts w:hint="eastAsia" w:ascii="宋体" w:hAnsi="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291A8DA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44418901">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（1）总价合同计量约定：进度款按支付分解表支付</w:t>
      </w:r>
      <w:r>
        <w:rPr>
          <w:rFonts w:hint="eastAsia" w:ascii="宋体" w:hAnsi="宋体" w:cs="宋体"/>
          <w:color w:val="auto"/>
          <w:kern w:val="0"/>
          <w:highlight w:val="none"/>
        </w:rPr>
        <w:t>，</w:t>
      </w:r>
      <w:r>
        <w:rPr>
          <w:rFonts w:hint="eastAsia" w:ascii="宋体" w:hAnsi="宋体" w:cs="宋体"/>
          <w:color w:val="auto"/>
          <w:highlight w:val="none"/>
        </w:rPr>
        <w:t>支付分解表在采购完成后签合同之前制定，具体详见本专用合同条款12.4.6。</w:t>
      </w:r>
    </w:p>
    <w:p w14:paraId="0B6E911E">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649276BD">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3C5DE2E">
      <w:pPr>
        <w:pStyle w:val="93"/>
        <w:rPr>
          <w:rFonts w:ascii="宋体" w:hAnsi="宋体" w:cs="宋体"/>
          <w:color w:val="auto"/>
          <w:highlight w:val="none"/>
        </w:rPr>
      </w:pPr>
      <w:bookmarkStart w:id="1297" w:name="_Toc389065317"/>
      <w:bookmarkStart w:id="1298" w:name="_Toc407135255"/>
      <w:bookmarkStart w:id="1299" w:name="_Toc30317"/>
      <w:bookmarkStart w:id="1300" w:name="_Toc373478399"/>
      <w:bookmarkStart w:id="1301" w:name="_Toc30681"/>
      <w:bookmarkStart w:id="1302" w:name="_Toc2641"/>
      <w:bookmarkStart w:id="1303" w:name="_Toc373227752"/>
      <w:bookmarkStart w:id="1304" w:name="_Toc78449841"/>
      <w:bookmarkStart w:id="1305" w:name="_Toc114058892"/>
      <w:r>
        <w:rPr>
          <w:rFonts w:hint="eastAsia" w:ascii="宋体" w:hAnsi="宋体" w:cs="宋体"/>
          <w:color w:val="auto"/>
          <w:highlight w:val="none"/>
        </w:rPr>
        <w:t>12.4 工程进度款支付</w:t>
      </w:r>
      <w:bookmarkEnd w:id="1297"/>
      <w:bookmarkEnd w:id="1298"/>
      <w:bookmarkEnd w:id="1299"/>
      <w:bookmarkEnd w:id="1300"/>
      <w:bookmarkEnd w:id="1301"/>
      <w:bookmarkEnd w:id="1302"/>
      <w:bookmarkEnd w:id="1303"/>
      <w:bookmarkEnd w:id="1304"/>
      <w:bookmarkEnd w:id="1305"/>
    </w:p>
    <w:p w14:paraId="7AC87C67">
      <w:pPr>
        <w:pStyle w:val="79"/>
        <w:spacing w:line="360" w:lineRule="auto"/>
        <w:ind w:firstLine="432" w:firstLineChars="200"/>
        <w:jc w:val="left"/>
        <w:rPr>
          <w:rFonts w:ascii="宋体" w:hAnsi="宋体" w:cs="宋体"/>
          <w:color w:val="auto"/>
          <w:szCs w:val="21"/>
          <w:highlight w:val="none"/>
        </w:rPr>
      </w:pPr>
      <w:bookmarkStart w:id="1306" w:name="_Toc297120511"/>
      <w:bookmarkStart w:id="1307" w:name="_Toc296891039"/>
      <w:bookmarkStart w:id="1308" w:name="_Toc303539163"/>
      <w:bookmarkStart w:id="1309" w:name="_Toc296503211"/>
      <w:bookmarkStart w:id="1310" w:name="_Toc300935006"/>
      <w:bookmarkStart w:id="1311" w:name="_Toc296944550"/>
      <w:bookmarkStart w:id="1312" w:name="_Toc292559921"/>
      <w:bookmarkStart w:id="1313" w:name="_Toc292559416"/>
      <w:bookmarkStart w:id="1314" w:name="_Toc297216215"/>
      <w:bookmarkStart w:id="1315" w:name="_Toc296346712"/>
      <w:bookmarkStart w:id="1316" w:name="_Toc297048397"/>
      <w:bookmarkStart w:id="1317" w:name="_Toc297123556"/>
      <w:bookmarkStart w:id="1318" w:name="_Toc296891251"/>
      <w:bookmarkStart w:id="1319" w:name="_Toc296347210"/>
      <w:r>
        <w:rPr>
          <w:rFonts w:hint="eastAsia" w:ascii="宋体" w:hAnsi="宋体" w:cs="宋体"/>
          <w:color w:val="auto"/>
          <w:kern w:val="0"/>
          <w:sz w:val="22"/>
          <w:highlight w:val="none"/>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w:t>
      </w:r>
      <w:r>
        <w:rPr>
          <w:rFonts w:hint="eastAsia" w:ascii="宋体" w:hAnsi="宋体" w:cs="宋体"/>
          <w:color w:val="auto"/>
          <w:kern w:val="0"/>
          <w:sz w:val="22"/>
          <w:highlight w:val="none"/>
        </w:rPr>
        <w:t>结算后30日内向发包单位返还多收到的工程进度款。</w:t>
      </w:r>
    </w:p>
    <w:p w14:paraId="17CEAF30">
      <w:pPr>
        <w:pStyle w:val="79"/>
        <w:spacing w:line="360" w:lineRule="auto"/>
        <w:ind w:firstLine="412"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12.4.1 付款周期</w:t>
      </w:r>
    </w:p>
    <w:p w14:paraId="2E293CFB">
      <w:pPr>
        <w:pStyle w:val="7"/>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（1）工程进度完成工程量的60%以上，通过甲方组织的进度验收后支付支合同总价的50%；</w:t>
      </w:r>
    </w:p>
    <w:p w14:paraId="4339EF0F">
      <w:pPr>
        <w:pStyle w:val="7"/>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（2）工程竣工验收合格后支付至合同总价的80%，结算审核后支付至结算总价的100%；</w:t>
      </w:r>
    </w:p>
    <w:p w14:paraId="7DC513D2">
      <w:pPr>
        <w:pStyle w:val="7"/>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（3）每一次付款前，乙方需开具同等额度的正式发票。</w:t>
      </w:r>
    </w:p>
    <w:p w14:paraId="6890DACF">
      <w:pPr>
        <w:pStyle w:val="7"/>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（4）本合同执行中相关的税费均由乙方承担。</w:t>
      </w:r>
    </w:p>
    <w:p w14:paraId="588293EC">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4D36CCDD">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w:t>
      </w:r>
      <w:r>
        <w:rPr>
          <w:rFonts w:hint="eastAsia" w:ascii="宋体" w:hAnsi="宋体" w:cs="宋体"/>
          <w:color w:val="auto"/>
          <w:szCs w:val="21"/>
          <w:highlight w:val="none"/>
        </w:rPr>
        <w:t>定：</w:t>
      </w:r>
      <w:r>
        <w:rPr>
          <w:rFonts w:hint="eastAsia" w:ascii="宋体" w:hAnsi="宋体" w:cs="宋体"/>
          <w:color w:val="auto"/>
          <w:szCs w:val="21"/>
          <w:highlight w:val="none"/>
          <w:u w:val="single"/>
        </w:rPr>
        <w:t>按发包人提供的工程款进度付款申请材料格式和内容填报</w:t>
      </w:r>
      <w:r>
        <w:rPr>
          <w:rFonts w:hint="eastAsia" w:ascii="宋体" w:hAnsi="宋体" w:cs="宋体"/>
          <w:color w:val="auto"/>
          <w:szCs w:val="21"/>
          <w:highlight w:val="none"/>
        </w:rPr>
        <w:t>。</w:t>
      </w:r>
    </w:p>
    <w:p w14:paraId="12758CD3">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Pr>
          <w:rFonts w:hint="eastAsia" w:ascii="宋体" w:hAnsi="宋体" w:cs="宋体"/>
          <w:color w:val="auto"/>
          <w:szCs w:val="21"/>
          <w:highlight w:val="none"/>
        </w:rPr>
        <w:t>2.4.3 进度付款申请单的提交</w:t>
      </w:r>
    </w:p>
    <w:p w14:paraId="5FD5DD0B">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bCs/>
          <w:color w:val="auto"/>
          <w:szCs w:val="21"/>
          <w:highlight w:val="none"/>
          <w:u w:val="single"/>
        </w:rPr>
        <w:t>申请工程进度款时，承包人应配合发包人提供以下资料①《工程用款支付证书》；②已完工程量计算书；③其他需要补充说明的材料；④若乙方帐户变动；则须提交账户变更信息</w:t>
      </w:r>
      <w:r>
        <w:rPr>
          <w:rFonts w:hint="eastAsia" w:ascii="宋体" w:hAnsi="宋体" w:cs="宋体"/>
          <w:color w:val="auto"/>
          <w:szCs w:val="21"/>
          <w:highlight w:val="none"/>
        </w:rPr>
        <w:t>。</w:t>
      </w:r>
    </w:p>
    <w:p w14:paraId="1197C71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79390AE">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p>
    <w:p w14:paraId="672934A0">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2B0A3AF">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AD523E6">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进度款的支付按本专用条款12.4.1的约定支付</w:t>
      </w:r>
      <w:r>
        <w:rPr>
          <w:rFonts w:hint="eastAsia" w:ascii="宋体" w:hAnsi="宋体" w:cs="宋体"/>
          <w:color w:val="auto"/>
          <w:szCs w:val="21"/>
          <w:highlight w:val="none"/>
        </w:rPr>
        <w:t>。</w:t>
      </w:r>
    </w:p>
    <w:p w14:paraId="0D14B8A9">
      <w:pPr>
        <w:pStyle w:val="79"/>
        <w:spacing w:line="360" w:lineRule="auto"/>
        <w:ind w:firstLine="51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75ED6B2A">
      <w:pPr>
        <w:pStyle w:val="79"/>
        <w:spacing w:line="360" w:lineRule="auto"/>
        <w:ind w:firstLine="51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。承包人申请进度款之前需提供合法合规的本次申请款项额度的发票。</w:t>
      </w:r>
    </w:p>
    <w:p w14:paraId="483A26EB">
      <w:pPr>
        <w:pStyle w:val="78"/>
        <w:spacing w:line="360" w:lineRule="auto"/>
        <w:ind w:firstLine="515" w:firstLineChars="250"/>
        <w:jc w:val="left"/>
        <w:rPr>
          <w:rFonts w:ascii="宋体" w:hAnsi="宋体" w:cs="宋体"/>
          <w:color w:val="auto"/>
          <w:highlight w:val="none"/>
        </w:rPr>
      </w:pPr>
      <w:r>
        <w:rPr>
          <w:rFonts w:hint="eastAsia" w:ascii="宋体" w:hAnsi="宋体" w:cs="宋体"/>
          <w:color w:val="auto"/>
          <w:highlight w:val="none"/>
        </w:rPr>
        <w:t>（3） 农民工工资支付</w:t>
      </w:r>
    </w:p>
    <w:p w14:paraId="67B69B0A">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198605A0">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发包人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0FE35CA">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3）发包人依据工程进度，审核承包人申报的工程进度款，按照与承包人约定的人工费支付比例 15%（房建项目不少于20%，市政项目不少于15%），将人工费及时足额拨付至承包人的农民工工资专用账户，其余工程进度款项由发包人支付到承包人的单位基本户。</w:t>
      </w:r>
    </w:p>
    <w:p w14:paraId="03AB29C2">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81A5CB1">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5）凡未向付款单位提供农民工工资专用账户的，或者请款单位在申请工程进度款时未将人工费单列的，付款单位有权拒绝支付工程进度款。</w:t>
      </w:r>
    </w:p>
    <w:p w14:paraId="6F5E32EE">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6）人工费使用要求：专款专用，除发放农民工工资外，不得用于其他用途。</w:t>
      </w:r>
    </w:p>
    <w:p w14:paraId="01BFBC54">
      <w:pPr>
        <w:pStyle w:val="78"/>
        <w:spacing w:line="360" w:lineRule="auto"/>
        <w:ind w:firstLine="515" w:firstLineChars="250"/>
        <w:jc w:val="left"/>
        <w:rPr>
          <w:rFonts w:ascii="宋体" w:hAnsi="宋体" w:cs="宋体"/>
          <w:color w:val="auto"/>
          <w:kern w:val="0"/>
          <w:highlight w:val="none"/>
        </w:rPr>
      </w:pPr>
      <w:r>
        <w:rPr>
          <w:rFonts w:hint="eastAsia" w:ascii="宋体" w:hAnsi="宋体" w:cs="宋体"/>
          <w:color w:val="auto"/>
          <w:kern w:val="0"/>
          <w:highlight w:val="none"/>
        </w:rPr>
        <w:t>7）承包人将人工费支付情况定期报告发包人，并提供相应的材料接受建设行政主管部门和劳动保障行政主管部门对此事项监管。</w:t>
      </w:r>
    </w:p>
    <w:p w14:paraId="3CE11588">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8）人工费支付专用账户：××××公司农民工工资支付专用账户。账号：</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BB2FACD">
      <w:pPr>
        <w:pStyle w:val="78"/>
        <w:spacing w:line="360" w:lineRule="auto"/>
        <w:ind w:firstLine="515" w:firstLineChars="250"/>
        <w:jc w:val="left"/>
        <w:rPr>
          <w:rFonts w:ascii="宋体" w:hAnsi="宋体" w:cs="宋体"/>
          <w:color w:val="auto"/>
          <w:highlight w:val="none"/>
        </w:rPr>
      </w:pPr>
      <w:r>
        <w:rPr>
          <w:rFonts w:hint="eastAsia" w:ascii="宋体" w:hAnsi="宋体" w:cs="宋体"/>
          <w:color w:val="auto"/>
          <w:highlight w:val="none"/>
        </w:rPr>
        <w:t>12.4.6 支付分解表的编制</w:t>
      </w:r>
    </w:p>
    <w:p w14:paraId="38540B7A">
      <w:pPr>
        <w:pStyle w:val="78"/>
        <w:spacing w:line="360" w:lineRule="auto"/>
        <w:ind w:firstLine="515" w:firstLineChars="250"/>
        <w:jc w:val="left"/>
        <w:rPr>
          <w:rFonts w:ascii="宋体" w:hAnsi="宋体" w:cs="宋体"/>
          <w:color w:val="auto"/>
          <w:highlight w:val="none"/>
          <w:u w:val="single"/>
        </w:rPr>
      </w:pPr>
      <w:r>
        <w:rPr>
          <w:rFonts w:hint="eastAsia" w:ascii="宋体" w:hAnsi="宋体" w:cs="宋体"/>
          <w:color w:val="auto"/>
          <w:highlight w:val="none"/>
        </w:rPr>
        <w:t>（1） 总价合同支付分解表的编制与审批：</w:t>
      </w:r>
      <w:r>
        <w:rPr>
          <w:rFonts w:hint="eastAsia" w:ascii="宋体" w:hAnsi="宋体" w:cs="宋体"/>
          <w:color w:val="auto"/>
          <w:highlight w:val="none"/>
          <w:u w:val="single"/>
        </w:rPr>
        <w:t xml:space="preserve">  总价合同支付分分解表在采购完成后由发包人和承包人共同编制，发包人审批，并作为本合同内容，具体详见合同附件14。</w:t>
      </w:r>
    </w:p>
    <w:p w14:paraId="4E2447AA">
      <w:pPr>
        <w:pStyle w:val="78"/>
        <w:spacing w:line="360" w:lineRule="auto"/>
        <w:ind w:firstLine="515" w:firstLineChars="250"/>
        <w:jc w:val="left"/>
        <w:rPr>
          <w:rFonts w:ascii="宋体" w:hAnsi="宋体" w:cs="宋体"/>
          <w:color w:val="auto"/>
          <w:highlight w:val="none"/>
          <w:u w:val="single"/>
        </w:rPr>
      </w:pPr>
      <w:r>
        <w:rPr>
          <w:rFonts w:hint="eastAsia" w:ascii="宋体" w:hAnsi="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1027"/>
    <w:p w14:paraId="5BD1B125">
      <w:pPr>
        <w:pStyle w:val="94"/>
        <w:rPr>
          <w:rFonts w:ascii="宋体" w:hAnsi="宋体" w:eastAsia="宋体" w:cs="宋体"/>
          <w:color w:val="auto"/>
          <w:highlight w:val="none"/>
        </w:rPr>
      </w:pPr>
      <w:bookmarkStart w:id="1320" w:name="_Toc373478400"/>
      <w:bookmarkStart w:id="1321" w:name="_Toc351203645"/>
      <w:bookmarkStart w:id="1322" w:name="_Toc407135256"/>
      <w:bookmarkStart w:id="1323" w:name="_Toc114058893"/>
      <w:bookmarkStart w:id="1324" w:name="_Toc373227753"/>
      <w:bookmarkStart w:id="1325" w:name="_Toc853"/>
      <w:bookmarkStart w:id="1326" w:name="_Toc389065318"/>
      <w:bookmarkStart w:id="1327" w:name="_Toc4807"/>
      <w:bookmarkStart w:id="1328" w:name="_Toc78449842"/>
      <w:bookmarkStart w:id="1329" w:name="_Toc24091"/>
      <w:bookmarkStart w:id="1330" w:name="_Toc296891047"/>
      <w:bookmarkStart w:id="1331" w:name="_Toc292559424"/>
      <w:bookmarkStart w:id="1332" w:name="_Toc296346720"/>
      <w:bookmarkStart w:id="1333" w:name="_Toc296891259"/>
      <w:bookmarkStart w:id="1334" w:name="_Toc292559929"/>
      <w:bookmarkStart w:id="1335" w:name="_Toc297120519"/>
      <w:bookmarkStart w:id="1336" w:name="_Toc297123564"/>
      <w:bookmarkStart w:id="1337" w:name="_Toc296347218"/>
      <w:bookmarkStart w:id="1338" w:name="_Toc312678053"/>
      <w:bookmarkStart w:id="1339" w:name="_Toc304295593"/>
      <w:bookmarkStart w:id="1340" w:name="_Toc303539172"/>
      <w:bookmarkStart w:id="1341" w:name="_Toc300935015"/>
      <w:bookmarkStart w:id="1342" w:name="_Toc297048405"/>
      <w:bookmarkStart w:id="1343" w:name="_Toc296503219"/>
      <w:bookmarkStart w:id="1344" w:name="_Toc297216223"/>
      <w:bookmarkStart w:id="1345" w:name="_Toc296944558"/>
      <w:r>
        <w:rPr>
          <w:rFonts w:hint="eastAsia" w:ascii="宋体" w:hAnsi="宋体" w:eastAsia="宋体" w:cs="宋体"/>
          <w:color w:val="auto"/>
          <w:highlight w:val="none"/>
        </w:rPr>
        <w:t>13. 验收和工程试车</w:t>
      </w:r>
      <w:bookmarkEnd w:id="1320"/>
      <w:bookmarkEnd w:id="1321"/>
      <w:bookmarkEnd w:id="1322"/>
      <w:bookmarkEnd w:id="1323"/>
      <w:bookmarkEnd w:id="1324"/>
      <w:bookmarkEnd w:id="1325"/>
      <w:bookmarkEnd w:id="1326"/>
      <w:bookmarkEnd w:id="1327"/>
      <w:bookmarkEnd w:id="1328"/>
      <w:bookmarkEnd w:id="1329"/>
    </w:p>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73BDAA7B">
      <w:pPr>
        <w:pStyle w:val="93"/>
        <w:rPr>
          <w:rFonts w:ascii="宋体" w:hAnsi="宋体" w:cs="宋体"/>
          <w:color w:val="auto"/>
          <w:highlight w:val="none"/>
        </w:rPr>
      </w:pPr>
      <w:bookmarkStart w:id="1346" w:name="_Toc78449843"/>
      <w:bookmarkStart w:id="1347" w:name="_Toc582"/>
      <w:bookmarkStart w:id="1348" w:name="_Toc373478401"/>
      <w:bookmarkStart w:id="1349" w:name="_Toc407135257"/>
      <w:bookmarkStart w:id="1350" w:name="_Toc17312"/>
      <w:bookmarkStart w:id="1351" w:name="_Toc114058894"/>
      <w:bookmarkStart w:id="1352" w:name="_Toc389065319"/>
      <w:bookmarkStart w:id="1353" w:name="_Toc21364"/>
      <w:bookmarkStart w:id="1354" w:name="_Toc373227754"/>
      <w:r>
        <w:rPr>
          <w:rFonts w:hint="eastAsia" w:ascii="宋体" w:hAnsi="宋体" w:cs="宋体"/>
          <w:color w:val="auto"/>
          <w:highlight w:val="none"/>
        </w:rPr>
        <w:t>13.1 分部分项工程验收</w:t>
      </w:r>
      <w:bookmarkEnd w:id="1346"/>
      <w:bookmarkEnd w:id="1347"/>
      <w:bookmarkEnd w:id="1348"/>
      <w:bookmarkEnd w:id="1349"/>
      <w:bookmarkEnd w:id="1350"/>
      <w:bookmarkEnd w:id="1351"/>
      <w:bookmarkEnd w:id="1352"/>
      <w:bookmarkEnd w:id="1353"/>
      <w:bookmarkEnd w:id="1354"/>
    </w:p>
    <w:p w14:paraId="7234874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7CF0FD7F">
      <w:pPr>
        <w:pStyle w:val="78"/>
        <w:spacing w:line="360" w:lineRule="auto"/>
        <w:ind w:firstLine="412"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14:paraId="72FBE2DC">
      <w:pPr>
        <w:pStyle w:val="93"/>
        <w:rPr>
          <w:rFonts w:ascii="宋体" w:hAnsi="宋体" w:cs="宋体"/>
          <w:color w:val="auto"/>
          <w:highlight w:val="none"/>
        </w:rPr>
      </w:pPr>
      <w:bookmarkStart w:id="1355" w:name="_Toc407135258"/>
      <w:bookmarkStart w:id="1356" w:name="_Toc373227755"/>
      <w:bookmarkStart w:id="1357" w:name="_Toc29920"/>
      <w:bookmarkStart w:id="1358" w:name="_Toc114058895"/>
      <w:bookmarkStart w:id="1359" w:name="_Toc16473"/>
      <w:bookmarkStart w:id="1360" w:name="_Toc8131"/>
      <w:bookmarkStart w:id="1361" w:name="_Toc373478402"/>
      <w:bookmarkStart w:id="1362" w:name="_Toc78449844"/>
      <w:bookmarkStart w:id="1363" w:name="_Toc389065320"/>
      <w:bookmarkStart w:id="1364" w:name="_Toc300935016"/>
      <w:bookmarkStart w:id="1365" w:name="_Toc303539173"/>
      <w:bookmarkStart w:id="1366" w:name="_Toc296347222"/>
      <w:bookmarkStart w:id="1367" w:name="_Toc312678056"/>
      <w:bookmarkStart w:id="1368" w:name="_Toc296346724"/>
      <w:bookmarkStart w:id="1369" w:name="_Toc296891263"/>
      <w:bookmarkStart w:id="1370" w:name="_Toc297123565"/>
      <w:bookmarkStart w:id="1371" w:name="_Toc304295596"/>
      <w:bookmarkStart w:id="1372" w:name="_Toc292559428"/>
      <w:bookmarkStart w:id="1373" w:name="_Toc297216224"/>
      <w:bookmarkStart w:id="1374" w:name="_Toc297120523"/>
      <w:bookmarkStart w:id="1375" w:name="_Toc292559933"/>
      <w:bookmarkStart w:id="1376" w:name="_Toc296503223"/>
      <w:bookmarkStart w:id="1377" w:name="_Toc296944562"/>
      <w:bookmarkStart w:id="1378" w:name="_Toc297048409"/>
      <w:bookmarkStart w:id="1379" w:name="_Toc296891051"/>
      <w:bookmarkStart w:id="1380" w:name="_Toc267251470"/>
      <w:bookmarkStart w:id="1381" w:name="_Toc267251476"/>
      <w:bookmarkStart w:id="1382" w:name="_Toc267251473"/>
      <w:bookmarkStart w:id="1383" w:name="_Toc267251472"/>
      <w:bookmarkStart w:id="1384" w:name="_Toc267251471"/>
      <w:bookmarkStart w:id="1385" w:name="_Toc267251474"/>
      <w:bookmarkStart w:id="1386" w:name="_Toc267251475"/>
      <w:r>
        <w:rPr>
          <w:rFonts w:hint="eastAsia" w:ascii="宋体" w:hAnsi="宋体" w:cs="宋体"/>
          <w:color w:val="auto"/>
          <w:highlight w:val="none"/>
        </w:rPr>
        <w:t>13.2 竣工验收</w:t>
      </w:r>
      <w:bookmarkEnd w:id="1355"/>
      <w:bookmarkEnd w:id="1356"/>
      <w:bookmarkEnd w:id="1357"/>
      <w:bookmarkEnd w:id="1358"/>
      <w:bookmarkEnd w:id="1359"/>
      <w:bookmarkEnd w:id="1360"/>
      <w:bookmarkEnd w:id="1361"/>
      <w:bookmarkEnd w:id="1362"/>
      <w:bookmarkEnd w:id="1363"/>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14:paraId="0AB3B6A7">
      <w:pPr>
        <w:pStyle w:val="78"/>
        <w:spacing w:line="360" w:lineRule="auto"/>
        <w:ind w:firstLine="412" w:firstLineChars="200"/>
        <w:jc w:val="left"/>
        <w:rPr>
          <w:rFonts w:ascii="宋体" w:hAnsi="宋体" w:cs="宋体"/>
          <w:color w:val="auto"/>
          <w:highlight w:val="none"/>
        </w:rPr>
      </w:pPr>
      <w:bookmarkStart w:id="1387" w:name="_Toc280868704"/>
      <w:bookmarkStart w:id="1388" w:name="_Toc280868705"/>
      <w:bookmarkStart w:id="1389" w:name="_Toc280868706"/>
      <w:bookmarkStart w:id="1390" w:name="_Toc280868707"/>
      <w:bookmarkStart w:id="1391" w:name="_Toc280868708"/>
      <w:bookmarkStart w:id="1392" w:name="_Toc280868709"/>
      <w:r>
        <w:rPr>
          <w:rFonts w:hint="eastAsia" w:ascii="宋体" w:hAnsi="宋体" w:cs="宋体"/>
          <w:color w:val="auto"/>
          <w:highlight w:val="none"/>
        </w:rPr>
        <w:t>13.2.1竣工验收条件</w:t>
      </w:r>
    </w:p>
    <w:p w14:paraId="4351D6CB">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highlight w:val="none"/>
          <w:u w:val="single"/>
        </w:rPr>
        <w:t xml:space="preserve">  提供完整的（含现场照片、录像）竣工资料 </w:t>
      </w:r>
      <w:r>
        <w:rPr>
          <w:rFonts w:hint="eastAsia" w:ascii="宋体" w:hAnsi="宋体" w:cs="宋体"/>
          <w:color w:val="auto"/>
          <w:highlight w:val="none"/>
        </w:rPr>
        <w:t>。</w:t>
      </w:r>
    </w:p>
    <w:p w14:paraId="6580022E">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竣工验收资料的份数：</w:t>
      </w:r>
      <w:r>
        <w:rPr>
          <w:rFonts w:hint="eastAsia" w:ascii="宋体" w:hAnsi="宋体" w:cs="宋体"/>
          <w:color w:val="auto"/>
          <w:highlight w:val="none"/>
          <w:u w:val="single"/>
        </w:rPr>
        <w:t>一式陆份及竣工验收报告</w:t>
      </w:r>
      <w:r>
        <w:rPr>
          <w:rFonts w:hint="eastAsia" w:ascii="宋体" w:hAnsi="宋体" w:cs="宋体"/>
          <w:color w:val="auto"/>
          <w:highlight w:val="none"/>
        </w:rPr>
        <w:t>。</w:t>
      </w:r>
    </w:p>
    <w:p w14:paraId="46BF5469">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承包人提供竣工图的约定：</w:t>
      </w:r>
      <w:r>
        <w:rPr>
          <w:rFonts w:hint="eastAsia" w:ascii="宋体" w:hAnsi="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732F466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13.2.2竣工验收程序</w:t>
      </w:r>
    </w:p>
    <w:bookmarkEnd w:id="1387"/>
    <w:p w14:paraId="580C8EB0">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关于竣工验收程序的约定：</w:t>
      </w:r>
      <w:r>
        <w:rPr>
          <w:rFonts w:hint="eastAsia" w:ascii="宋体" w:hAnsi="宋体" w:cs="宋体"/>
          <w:color w:val="auto"/>
          <w:highlight w:val="none"/>
          <w:u w:val="single"/>
        </w:rPr>
        <w:t xml:space="preserve">（1）发包人收到竣工验收报告后尽快协调有关部门组织有关单位验收，并在验收后14天内给予认可或提出修改意见。承包人按要求修改，并承担由自身原因造成修改的费用 </w:t>
      </w:r>
      <w:r>
        <w:rPr>
          <w:rFonts w:hint="eastAsia" w:ascii="宋体" w:hAnsi="宋体" w:cs="宋体"/>
          <w:color w:val="auto"/>
          <w:highlight w:val="none"/>
        </w:rPr>
        <w:t>。</w:t>
      </w:r>
    </w:p>
    <w:p w14:paraId="62FCC5CB">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（2）发包人收到承包人送交的竣工验收报告后无特殊情况不组织验收，或验收后14天内不提出修改意见，视为竣工验收报告已被认可。</w:t>
      </w:r>
    </w:p>
    <w:p w14:paraId="4DF8834D">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（3）发包人收到承包人竣工验收报告后至组织验收移交前工程保管及一切意外责任仍由承包人负责</w:t>
      </w:r>
      <w:r>
        <w:rPr>
          <w:rFonts w:hint="eastAsia" w:ascii="宋体" w:hAnsi="宋体" w:cs="宋体"/>
          <w:color w:val="auto"/>
          <w:szCs w:val="21"/>
          <w:highlight w:val="none"/>
        </w:rPr>
        <w:t>。</w:t>
      </w:r>
    </w:p>
    <w:p w14:paraId="681F2FDA">
      <w:pPr>
        <w:pStyle w:val="78"/>
        <w:spacing w:line="360" w:lineRule="auto"/>
        <w:ind w:firstLine="412" w:firstLineChars="200"/>
        <w:jc w:val="left"/>
        <w:rPr>
          <w:rFonts w:ascii="宋体" w:hAnsi="宋体" w:cs="宋体"/>
          <w:color w:val="auto"/>
          <w:highlight w:val="none"/>
        </w:rPr>
      </w:pPr>
    </w:p>
    <w:p w14:paraId="3C693B9D">
      <w:pPr>
        <w:pStyle w:val="78"/>
        <w:spacing w:line="360" w:lineRule="auto"/>
        <w:jc w:val="left"/>
        <w:rPr>
          <w:rFonts w:ascii="宋体" w:hAnsi="宋体" w:cs="宋体"/>
          <w:color w:val="auto"/>
          <w:highlight w:val="non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 xml:space="preserve">无 </w:t>
      </w:r>
      <w:r>
        <w:rPr>
          <w:rFonts w:hint="eastAsia" w:ascii="宋体" w:hAnsi="宋体" w:cs="宋体"/>
          <w:color w:val="auto"/>
          <w:highlight w:val="none"/>
        </w:rPr>
        <w:t>。</w:t>
      </w:r>
    </w:p>
    <w:bookmarkEnd w:id="1388"/>
    <w:p w14:paraId="6818400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bookmarkEnd w:id="1389"/>
    <w:p w14:paraId="1F898FD0">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承包人向发包人移交工程的期限：</w:t>
      </w:r>
      <w:r>
        <w:rPr>
          <w:rFonts w:hint="eastAsia" w:ascii="宋体" w:hAnsi="宋体" w:cs="宋体"/>
          <w:color w:val="auto"/>
          <w:kern w:val="0"/>
          <w:highlight w:val="none"/>
          <w:u w:val="single"/>
        </w:rPr>
        <w:t>在工程竣工保修期满并对验收发现的问题完成整改后</w:t>
      </w:r>
      <w:r>
        <w:rPr>
          <w:rFonts w:hint="eastAsia" w:ascii="宋体" w:hAnsi="宋体" w:cs="宋体"/>
          <w:color w:val="auto"/>
          <w:highlight w:val="none"/>
        </w:rPr>
        <w:t>。</w:t>
      </w:r>
    </w:p>
    <w:p w14:paraId="30AA31A0">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 xml:space="preserve">  无  </w:t>
      </w:r>
      <w:r>
        <w:rPr>
          <w:rFonts w:hint="eastAsia" w:ascii="宋体" w:hAnsi="宋体" w:cs="宋体"/>
          <w:color w:val="auto"/>
          <w:highlight w:val="none"/>
        </w:rPr>
        <w:t>。</w:t>
      </w:r>
    </w:p>
    <w:bookmarkEnd w:id="1390"/>
    <w:p w14:paraId="47813A20">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 xml:space="preserve">按专用条款7.5.2执行 </w:t>
      </w:r>
      <w:r>
        <w:rPr>
          <w:rFonts w:hint="eastAsia" w:ascii="宋体" w:hAnsi="宋体" w:cs="宋体"/>
          <w:color w:val="auto"/>
          <w:highlight w:val="none"/>
        </w:rPr>
        <w:t>。</w:t>
      </w:r>
    </w:p>
    <w:p w14:paraId="6AF468D4">
      <w:pPr>
        <w:pStyle w:val="93"/>
        <w:rPr>
          <w:rFonts w:ascii="宋体" w:hAnsi="宋体" w:cs="宋体"/>
          <w:color w:val="auto"/>
          <w:highlight w:val="none"/>
        </w:rPr>
      </w:pPr>
      <w:bookmarkStart w:id="1393" w:name="_Toc407135259"/>
      <w:bookmarkStart w:id="1394" w:name="_Toc24897"/>
      <w:bookmarkStart w:id="1395" w:name="_Toc31652"/>
      <w:bookmarkStart w:id="1396" w:name="_Toc114058896"/>
      <w:bookmarkStart w:id="1397" w:name="_Toc373478403"/>
      <w:bookmarkStart w:id="1398" w:name="_Toc373227756"/>
      <w:bookmarkStart w:id="1399" w:name="_Toc389065321"/>
      <w:bookmarkStart w:id="1400" w:name="_Toc10975"/>
      <w:bookmarkStart w:id="1401" w:name="_Toc78449845"/>
      <w:r>
        <w:rPr>
          <w:rFonts w:hint="eastAsia" w:ascii="宋体" w:hAnsi="宋体" w:cs="宋体"/>
          <w:color w:val="auto"/>
          <w:highlight w:val="none"/>
        </w:rPr>
        <w:t>13.3 工程试车</w:t>
      </w:r>
      <w:bookmarkEnd w:id="1393"/>
      <w:bookmarkEnd w:id="1394"/>
      <w:bookmarkEnd w:id="1395"/>
      <w:bookmarkEnd w:id="1396"/>
      <w:bookmarkEnd w:id="1397"/>
      <w:bookmarkEnd w:id="1398"/>
      <w:bookmarkEnd w:id="1399"/>
      <w:bookmarkEnd w:id="1400"/>
      <w:bookmarkEnd w:id="1401"/>
    </w:p>
    <w:bookmarkEnd w:id="1391"/>
    <w:p w14:paraId="451C4FE4">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5E808884">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按通用条款</w:t>
      </w:r>
      <w:r>
        <w:rPr>
          <w:rFonts w:hint="eastAsia" w:ascii="宋体" w:hAnsi="宋体" w:cs="宋体"/>
          <w:color w:val="auto"/>
          <w:szCs w:val="21"/>
          <w:highlight w:val="none"/>
        </w:rPr>
        <w:t>。</w:t>
      </w:r>
    </w:p>
    <w:p w14:paraId="55628305">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承包人</w:t>
      </w:r>
      <w:r>
        <w:rPr>
          <w:rFonts w:hint="eastAsia" w:ascii="宋体" w:hAnsi="宋体" w:cs="宋体"/>
          <w:color w:val="auto"/>
          <w:kern w:val="0"/>
          <w:szCs w:val="21"/>
          <w:highlight w:val="none"/>
        </w:rPr>
        <w:t>承担；</w:t>
      </w:r>
    </w:p>
    <w:p w14:paraId="5FA25883">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承包人</w:t>
      </w:r>
      <w:r>
        <w:rPr>
          <w:rFonts w:hint="eastAsia" w:ascii="宋体" w:hAnsi="宋体" w:cs="宋体"/>
          <w:color w:val="auto"/>
          <w:kern w:val="0"/>
          <w:highlight w:val="none"/>
        </w:rPr>
        <w:t>承担。</w:t>
      </w:r>
    </w:p>
    <w:p w14:paraId="0749D19B">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3934AF4D">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按通用条款 </w:t>
      </w:r>
      <w:r>
        <w:rPr>
          <w:rFonts w:hint="eastAsia" w:ascii="宋体" w:hAnsi="宋体" w:cs="宋体"/>
          <w:color w:val="auto"/>
          <w:highlight w:val="none"/>
        </w:rPr>
        <w:t>。</w:t>
      </w:r>
    </w:p>
    <w:p w14:paraId="4EB201D4">
      <w:pPr>
        <w:pStyle w:val="93"/>
        <w:rPr>
          <w:rFonts w:ascii="宋体" w:hAnsi="宋体" w:cs="宋体"/>
          <w:color w:val="auto"/>
          <w:highlight w:val="none"/>
        </w:rPr>
      </w:pPr>
      <w:bookmarkStart w:id="1402" w:name="_Toc23996"/>
      <w:bookmarkStart w:id="1403" w:name="_Toc407135260"/>
      <w:bookmarkStart w:id="1404" w:name="_Toc373227757"/>
      <w:bookmarkStart w:id="1405" w:name="_Toc21558"/>
      <w:bookmarkStart w:id="1406" w:name="_Toc78449846"/>
      <w:bookmarkStart w:id="1407" w:name="_Toc114058897"/>
      <w:bookmarkStart w:id="1408" w:name="_Toc373478404"/>
      <w:bookmarkStart w:id="1409" w:name="_Toc389065322"/>
      <w:bookmarkStart w:id="1410" w:name="_Toc6144"/>
      <w:r>
        <w:rPr>
          <w:rFonts w:hint="eastAsia" w:ascii="宋体" w:hAnsi="宋体" w:cs="宋体"/>
          <w:color w:val="auto"/>
          <w:highlight w:val="none"/>
        </w:rPr>
        <w:t>13.6 竣工退场</w:t>
      </w:r>
      <w:bookmarkEnd w:id="1402"/>
      <w:bookmarkEnd w:id="1403"/>
      <w:bookmarkEnd w:id="1404"/>
      <w:bookmarkEnd w:id="1405"/>
      <w:bookmarkEnd w:id="1406"/>
      <w:bookmarkEnd w:id="1407"/>
      <w:bookmarkEnd w:id="1408"/>
      <w:bookmarkEnd w:id="1409"/>
      <w:bookmarkEnd w:id="1410"/>
    </w:p>
    <w:p w14:paraId="656E5F0E">
      <w:pPr>
        <w:pStyle w:val="78"/>
        <w:spacing w:line="360" w:lineRule="auto"/>
        <w:ind w:firstLine="412" w:firstLineChars="200"/>
        <w:jc w:val="left"/>
        <w:outlineLvl w:val="0"/>
        <w:rPr>
          <w:rFonts w:ascii="宋体" w:hAnsi="宋体" w:cs="宋体"/>
          <w:color w:val="auto"/>
          <w:kern w:val="0"/>
          <w:highlight w:val="none"/>
        </w:rPr>
      </w:pPr>
      <w:bookmarkStart w:id="1411" w:name="_Toc25258"/>
      <w:bookmarkStart w:id="1412" w:name="_Toc28770"/>
      <w:bookmarkStart w:id="1413" w:name="_Toc3017"/>
      <w:bookmarkStart w:id="1414" w:name="_Toc5370"/>
      <w:r>
        <w:rPr>
          <w:rFonts w:hint="eastAsia" w:ascii="宋体" w:hAnsi="宋体" w:cs="宋体"/>
          <w:color w:val="auto"/>
          <w:kern w:val="0"/>
          <w:highlight w:val="none"/>
        </w:rPr>
        <w:t>13.6.1 竣工退场</w:t>
      </w:r>
      <w:bookmarkEnd w:id="1411"/>
      <w:bookmarkEnd w:id="1412"/>
      <w:bookmarkEnd w:id="1413"/>
      <w:bookmarkEnd w:id="1414"/>
    </w:p>
    <w:p w14:paraId="4D0EEFF6">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highlight w:val="none"/>
          <w:u w:val="single"/>
        </w:rPr>
        <w:t>承包人负责按照通用条款本项约定的要求对施工场地进行清理并承担相关费用，直至发包人检验合格为止。承包人的人员逾期撤除施工场地的，按每人每天500元支付违约金给发包人</w:t>
      </w:r>
      <w:r>
        <w:rPr>
          <w:rFonts w:hint="eastAsia" w:ascii="宋体" w:hAnsi="宋体" w:cs="宋体"/>
          <w:color w:val="auto"/>
          <w:kern w:val="0"/>
          <w:highlight w:val="none"/>
          <w:u w:val="single"/>
        </w:rPr>
        <w:t>。</w:t>
      </w:r>
      <w:r>
        <w:rPr>
          <w:rFonts w:hint="eastAsia" w:ascii="宋体" w:hAnsi="宋体" w:cs="宋体"/>
          <w:color w:val="auto"/>
          <w:highlight w:val="none"/>
          <w:u w:val="single"/>
        </w:rPr>
        <w:t>机械设备和其他财产逾期撤离施工现场的，视为承包人放弃所有权，任由发包人处置，处置所得收益归发包人所有</w:t>
      </w:r>
      <w:r>
        <w:rPr>
          <w:rFonts w:hint="eastAsia" w:ascii="宋体" w:hAnsi="宋体" w:cs="宋体"/>
          <w:color w:val="auto"/>
          <w:kern w:val="0"/>
          <w:highlight w:val="none"/>
        </w:rPr>
        <w:t>。</w:t>
      </w:r>
    </w:p>
    <w:p w14:paraId="2D520E5A">
      <w:pPr>
        <w:pStyle w:val="94"/>
        <w:rPr>
          <w:rFonts w:ascii="宋体" w:hAnsi="宋体" w:eastAsia="宋体" w:cs="宋体"/>
          <w:color w:val="auto"/>
          <w:highlight w:val="none"/>
        </w:rPr>
      </w:pPr>
      <w:bookmarkStart w:id="1415" w:name="_Toc373478405"/>
      <w:bookmarkStart w:id="1416" w:name="_Toc5094"/>
      <w:bookmarkStart w:id="1417" w:name="_Toc114058898"/>
      <w:bookmarkStart w:id="1418" w:name="_Toc78449847"/>
      <w:bookmarkStart w:id="1419" w:name="_Toc389065323"/>
      <w:bookmarkStart w:id="1420" w:name="_Toc351203646"/>
      <w:bookmarkStart w:id="1421" w:name="_Toc407135261"/>
      <w:bookmarkStart w:id="1422" w:name="_Toc1526"/>
      <w:bookmarkStart w:id="1423" w:name="_Toc373227758"/>
      <w:bookmarkStart w:id="1424" w:name="_Toc24718"/>
      <w:r>
        <w:rPr>
          <w:rFonts w:hint="eastAsia" w:ascii="宋体" w:hAnsi="宋体" w:eastAsia="宋体" w:cs="宋体"/>
          <w:color w:val="auto"/>
          <w:highlight w:val="none"/>
        </w:rPr>
        <w:t>14. 竣工结算</w:t>
      </w:r>
      <w:bookmarkEnd w:id="1415"/>
      <w:bookmarkEnd w:id="1416"/>
      <w:bookmarkEnd w:id="1417"/>
      <w:bookmarkEnd w:id="1418"/>
      <w:bookmarkEnd w:id="1419"/>
      <w:bookmarkEnd w:id="1420"/>
      <w:bookmarkEnd w:id="1421"/>
      <w:bookmarkEnd w:id="1422"/>
      <w:bookmarkEnd w:id="1423"/>
      <w:bookmarkEnd w:id="1424"/>
    </w:p>
    <w:p w14:paraId="64CD2424">
      <w:pPr>
        <w:pStyle w:val="93"/>
        <w:rPr>
          <w:rFonts w:ascii="宋体" w:hAnsi="宋体" w:cs="宋体"/>
          <w:color w:val="auto"/>
          <w:highlight w:val="none"/>
        </w:rPr>
      </w:pPr>
      <w:bookmarkStart w:id="1425" w:name="_Toc373227759"/>
      <w:bookmarkStart w:id="1426" w:name="_Toc78449848"/>
      <w:bookmarkStart w:id="1427" w:name="_Toc22681"/>
      <w:bookmarkStart w:id="1428" w:name="_Toc21041"/>
      <w:bookmarkStart w:id="1429" w:name="_Toc389065324"/>
      <w:bookmarkStart w:id="1430" w:name="_Toc373478406"/>
      <w:bookmarkStart w:id="1431" w:name="_Toc114058899"/>
      <w:bookmarkStart w:id="1432" w:name="_Toc24323"/>
      <w:bookmarkStart w:id="1433" w:name="_Toc407135262"/>
      <w:r>
        <w:rPr>
          <w:rFonts w:hint="eastAsia" w:ascii="宋体" w:hAnsi="宋体" w:cs="宋体"/>
          <w:color w:val="auto"/>
          <w:highlight w:val="none"/>
        </w:rPr>
        <w:t>14.1 竣工付款申请</w:t>
      </w:r>
      <w:bookmarkEnd w:id="1425"/>
      <w:bookmarkEnd w:id="1426"/>
      <w:bookmarkEnd w:id="1427"/>
      <w:bookmarkEnd w:id="1428"/>
      <w:bookmarkEnd w:id="1429"/>
      <w:bookmarkEnd w:id="1430"/>
      <w:bookmarkEnd w:id="1431"/>
      <w:bookmarkEnd w:id="1432"/>
      <w:bookmarkEnd w:id="1433"/>
    </w:p>
    <w:p w14:paraId="23F52535">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color w:val="auto"/>
          <w:highlight w:val="none"/>
          <w:u w:val="single"/>
        </w:rPr>
        <w:t xml:space="preserve"> 工程竣工验收合格后42天内</w:t>
      </w:r>
      <w:r>
        <w:rPr>
          <w:rFonts w:hint="eastAsia" w:ascii="宋体" w:hAnsi="宋体" w:cs="宋体"/>
          <w:color w:val="auto"/>
          <w:highlight w:val="none"/>
        </w:rPr>
        <w:t>。</w:t>
      </w:r>
    </w:p>
    <w:p w14:paraId="7C249238">
      <w:pPr>
        <w:pStyle w:val="79"/>
        <w:spacing w:line="400" w:lineRule="exact"/>
        <w:ind w:firstLine="600"/>
        <w:rPr>
          <w:rFonts w:ascii="宋体" w:hAnsi="宋体" w:cs="宋体"/>
          <w:color w:val="auto"/>
          <w:highlight w:val="none"/>
        </w:rPr>
      </w:pPr>
      <w:r>
        <w:rPr>
          <w:rFonts w:hint="eastAsia" w:ascii="宋体" w:hAnsi="宋体" w:cs="宋体"/>
          <w:color w:val="auto"/>
          <w:szCs w:val="21"/>
          <w:highlight w:val="none"/>
        </w:rPr>
        <w:t>竣工结算申请的资料清单和份数：</w:t>
      </w:r>
      <w:r>
        <w:rPr>
          <w:rFonts w:hint="eastAsia" w:ascii="宋体" w:hAnsi="宋体" w:cs="宋体"/>
          <w:color w:val="auto"/>
          <w:szCs w:val="21"/>
          <w:highlight w:val="none"/>
          <w:u w:val="single"/>
        </w:rPr>
        <w:t>竣工验收资料的份数：承包人应在竣工验收合格后30天内按照建设行政主管部门及发包人的要求提供有关竣工资料，其套数除满足各政府部门存档案需要外还需另提供两套原件及完整电子文档一份由发包人存档备用。</w:t>
      </w:r>
    </w:p>
    <w:p w14:paraId="5FA3DA21">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竣工付款申请单应包括的内容：</w:t>
      </w:r>
      <w:r>
        <w:rPr>
          <w:rFonts w:hint="eastAsia" w:ascii="宋体" w:hAnsi="宋体" w:cs="宋体"/>
          <w:color w:val="auto"/>
          <w:highlight w:val="none"/>
          <w:u w:val="single"/>
        </w:rPr>
        <w:t xml:space="preserve"> 按发包人结算送审表的要求</w:t>
      </w:r>
      <w:r>
        <w:rPr>
          <w:rFonts w:hint="eastAsia" w:ascii="宋体" w:hAnsi="宋体" w:cs="宋体"/>
          <w:color w:val="auto"/>
          <w:highlight w:val="none"/>
        </w:rPr>
        <w:t>。竣工结算款支付申请（核准）表见合同附件12。</w:t>
      </w:r>
    </w:p>
    <w:p w14:paraId="44AC37A2">
      <w:pPr>
        <w:pStyle w:val="93"/>
        <w:rPr>
          <w:rFonts w:ascii="宋体" w:hAnsi="宋体" w:cs="宋体"/>
          <w:color w:val="auto"/>
          <w:highlight w:val="none"/>
        </w:rPr>
      </w:pPr>
      <w:bookmarkStart w:id="1434" w:name="_Toc78449849"/>
      <w:bookmarkStart w:id="1435" w:name="_Toc11033"/>
      <w:bookmarkStart w:id="1436" w:name="_Toc1511"/>
      <w:bookmarkStart w:id="1437" w:name="_Toc373227760"/>
      <w:bookmarkStart w:id="1438" w:name="_Toc389065325"/>
      <w:bookmarkStart w:id="1439" w:name="_Toc114058900"/>
      <w:bookmarkStart w:id="1440" w:name="_Toc407135263"/>
      <w:bookmarkStart w:id="1441" w:name="_Toc373478407"/>
      <w:bookmarkStart w:id="1442" w:name="_Toc29089"/>
      <w:r>
        <w:rPr>
          <w:rFonts w:hint="eastAsia" w:ascii="宋体" w:hAnsi="宋体" w:cs="宋体"/>
          <w:color w:val="auto"/>
          <w:highlight w:val="none"/>
        </w:rPr>
        <w:t>14.2 竣工结算审核</w:t>
      </w:r>
      <w:bookmarkEnd w:id="1434"/>
      <w:bookmarkEnd w:id="1435"/>
      <w:bookmarkEnd w:id="1436"/>
      <w:bookmarkEnd w:id="1437"/>
      <w:bookmarkEnd w:id="1438"/>
      <w:bookmarkEnd w:id="1439"/>
      <w:bookmarkEnd w:id="1440"/>
      <w:bookmarkEnd w:id="1441"/>
      <w:bookmarkEnd w:id="1442"/>
    </w:p>
    <w:p w14:paraId="5965542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发包人审批竣工付款申请单的期限：</w:t>
      </w:r>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221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B5E7382">
            <w:pPr>
              <w:pStyle w:val="78"/>
              <w:spacing w:line="360" w:lineRule="auto"/>
              <w:rPr>
                <w:rFonts w:ascii="宋体" w:hAnsi="宋体" w:cs="宋体"/>
                <w:color w:val="auto"/>
                <w:highlight w:val="none"/>
              </w:rPr>
            </w:pPr>
          </w:p>
        </w:tc>
        <w:tc>
          <w:tcPr>
            <w:tcW w:w="2466" w:type="dxa"/>
            <w:noWrap w:val="0"/>
            <w:vAlign w:val="center"/>
          </w:tcPr>
          <w:p w14:paraId="081BDD78">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工程竣工结算报告金额</w:t>
            </w:r>
          </w:p>
        </w:tc>
        <w:tc>
          <w:tcPr>
            <w:tcW w:w="5967" w:type="dxa"/>
            <w:noWrap w:val="0"/>
            <w:vAlign w:val="center"/>
          </w:tcPr>
          <w:p w14:paraId="3B764304">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发包人审查时间</w:t>
            </w:r>
          </w:p>
        </w:tc>
      </w:tr>
      <w:tr w14:paraId="1CCC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FB3992D">
            <w:pPr>
              <w:pStyle w:val="78"/>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466" w:type="dxa"/>
            <w:noWrap w:val="0"/>
            <w:vAlign w:val="center"/>
          </w:tcPr>
          <w:p w14:paraId="75C66C59">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500万元以下</w:t>
            </w:r>
          </w:p>
        </w:tc>
        <w:tc>
          <w:tcPr>
            <w:tcW w:w="5967" w:type="dxa"/>
            <w:noWrap w:val="0"/>
            <w:vAlign w:val="center"/>
          </w:tcPr>
          <w:p w14:paraId="308AE719">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从接到竣工结算报告和完整的竣工结算资料之日起20天</w:t>
            </w:r>
          </w:p>
        </w:tc>
      </w:tr>
      <w:tr w14:paraId="14FF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0763285">
            <w:pPr>
              <w:pStyle w:val="78"/>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466" w:type="dxa"/>
            <w:noWrap w:val="0"/>
            <w:vAlign w:val="center"/>
          </w:tcPr>
          <w:p w14:paraId="1FF70661">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500万元-2000万元</w:t>
            </w:r>
          </w:p>
        </w:tc>
        <w:tc>
          <w:tcPr>
            <w:tcW w:w="5967" w:type="dxa"/>
            <w:noWrap w:val="0"/>
            <w:vAlign w:val="center"/>
          </w:tcPr>
          <w:p w14:paraId="32E61156">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从接到竣工结算报告和完整的竣工结算资料之日起30天</w:t>
            </w:r>
          </w:p>
        </w:tc>
      </w:tr>
      <w:tr w14:paraId="7916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5190003">
            <w:pPr>
              <w:pStyle w:val="78"/>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466" w:type="dxa"/>
            <w:noWrap w:val="0"/>
            <w:vAlign w:val="center"/>
          </w:tcPr>
          <w:p w14:paraId="60C0DFA6">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2000万元-5000万元</w:t>
            </w:r>
          </w:p>
        </w:tc>
        <w:tc>
          <w:tcPr>
            <w:tcW w:w="5967" w:type="dxa"/>
            <w:noWrap w:val="0"/>
            <w:vAlign w:val="center"/>
          </w:tcPr>
          <w:p w14:paraId="003B400A">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从接到竣工结算报告和完整的竣工结算资料之日起45天</w:t>
            </w:r>
          </w:p>
        </w:tc>
      </w:tr>
      <w:tr w14:paraId="16C5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9E1233E">
            <w:pPr>
              <w:pStyle w:val="78"/>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466" w:type="dxa"/>
            <w:noWrap w:val="0"/>
            <w:vAlign w:val="center"/>
          </w:tcPr>
          <w:p w14:paraId="2D99A47A">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5000万元以上</w:t>
            </w:r>
          </w:p>
        </w:tc>
        <w:tc>
          <w:tcPr>
            <w:tcW w:w="5967" w:type="dxa"/>
            <w:noWrap w:val="0"/>
            <w:vAlign w:val="center"/>
          </w:tcPr>
          <w:p w14:paraId="3632990F">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从接到竣工结算报告和完整的竣工结算资料之日起60天</w:t>
            </w:r>
          </w:p>
        </w:tc>
      </w:tr>
      <w:tr w14:paraId="41F4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4BFD78C">
            <w:pPr>
              <w:pStyle w:val="78"/>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2466" w:type="dxa"/>
            <w:noWrap w:val="0"/>
            <w:vAlign w:val="center"/>
          </w:tcPr>
          <w:p w14:paraId="52428812">
            <w:pPr>
              <w:pStyle w:val="78"/>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5000万以上每增加0.5亿(不足0.5亿不增加)</w:t>
            </w:r>
          </w:p>
        </w:tc>
        <w:tc>
          <w:tcPr>
            <w:tcW w:w="5967" w:type="dxa"/>
            <w:noWrap w:val="0"/>
            <w:vAlign w:val="center"/>
          </w:tcPr>
          <w:p w14:paraId="543A463F">
            <w:pPr>
              <w:pStyle w:val="78"/>
              <w:spacing w:line="360" w:lineRule="auto"/>
              <w:ind w:firstLine="433" w:firstLineChars="210"/>
              <w:jc w:val="center"/>
              <w:rPr>
                <w:rFonts w:ascii="宋体" w:hAnsi="宋体" w:cs="宋体"/>
                <w:color w:val="auto"/>
                <w:highlight w:val="none"/>
              </w:rPr>
            </w:pPr>
            <w:r>
              <w:rPr>
                <w:rFonts w:hint="eastAsia" w:ascii="宋体" w:hAnsi="宋体" w:cs="宋体"/>
                <w:color w:val="auto"/>
                <w:highlight w:val="none"/>
              </w:rPr>
              <w:t>增加10天</w:t>
            </w:r>
          </w:p>
        </w:tc>
      </w:tr>
    </w:tbl>
    <w:p w14:paraId="541468C3">
      <w:pPr>
        <w:pStyle w:val="79"/>
        <w:spacing w:line="360" w:lineRule="auto"/>
        <w:ind w:firstLine="412"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509566A7">
      <w:pPr>
        <w:pStyle w:val="79"/>
        <w:spacing w:line="400" w:lineRule="exact"/>
        <w:ind w:firstLine="404" w:firstLineChars="196"/>
        <w:rPr>
          <w:rFonts w:ascii="宋体" w:hAnsi="宋体" w:cs="宋体"/>
          <w:bCs/>
          <w:color w:val="auto"/>
          <w:szCs w:val="21"/>
          <w:highlight w:val="none"/>
        </w:rPr>
      </w:pPr>
      <w:r>
        <w:rPr>
          <w:rFonts w:hint="eastAsia" w:ascii="宋体" w:hAnsi="宋体" w:cs="宋体"/>
          <w:color w:val="auto"/>
          <w:highlight w:val="none"/>
        </w:rPr>
        <w:t>竣工</w:t>
      </w:r>
      <w:r>
        <w:rPr>
          <w:rFonts w:hint="eastAsia" w:ascii="宋体" w:hAnsi="宋体" w:cs="宋体"/>
          <w:bCs/>
          <w:color w:val="auto"/>
          <w:szCs w:val="21"/>
          <w:highlight w:val="none"/>
        </w:rPr>
        <w:t>结算审核约定：</w:t>
      </w:r>
    </w:p>
    <w:p w14:paraId="684D213D">
      <w:pPr>
        <w:pStyle w:val="79"/>
        <w:spacing w:line="400" w:lineRule="exact"/>
        <w:ind w:firstLine="404" w:firstLineChars="196"/>
        <w:rPr>
          <w:rFonts w:ascii="宋体" w:hAnsi="宋体" w:cs="宋体"/>
          <w:bCs/>
          <w:color w:val="auto"/>
          <w:szCs w:val="21"/>
          <w:highlight w:val="none"/>
        </w:rPr>
      </w:pPr>
      <w:r>
        <w:rPr>
          <w:rFonts w:hint="eastAsia" w:ascii="宋体" w:hAnsi="宋体" w:cs="宋体"/>
          <w:bCs/>
          <w:color w:val="auto"/>
          <w:szCs w:val="21"/>
          <w:highlight w:val="none"/>
        </w:rPr>
        <w:t>国有投资项目：</w:t>
      </w:r>
    </w:p>
    <w:p w14:paraId="602A962B">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1.自竣工结算完毕之日起 15  工作日内，经承包人申请发包人按审定后的竣工结算价款，通知经办银行向承包人支付结算价款。</w:t>
      </w:r>
    </w:p>
    <w:p w14:paraId="2A44C496">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2.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14:paraId="3D3A8D4B">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3.如承包人报送的工程结算总价过高，造成该结算审减率超过6%以上的，则超出6%以上部分的审核费由承包人承担，费用由发包人从承包人工程结算款中扣除。计算公式如下：</w:t>
      </w:r>
    </w:p>
    <w:p w14:paraId="2EA96879">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审减率=（送审造价-审定造价）/送审造价*100%；当审减率大于6%时，承包人应承担的审核费=（净审减额-送审额*6%）*3.5%”。</w:t>
      </w:r>
    </w:p>
    <w:p w14:paraId="34895CD0">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4.工程竣工验收报告经发包人认可后30天内，承包人应向发包人递交竣工验收合格资料及完整的结算资料和报告，双方按照本工程合同约定的价格形式及价款调整办法进行工程竣工结算。</w:t>
      </w:r>
    </w:p>
    <w:p w14:paraId="4647BC04">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5.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14:paraId="5F7D39D9">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6.承包人必须提供完整、真实的隐蔽工程原始施工、验收记录。如发现施工单位提供的隐蔽工程资料与实际不符时，按不利于施工单位原则结算。</w:t>
      </w:r>
    </w:p>
    <w:p w14:paraId="199F9D36">
      <w:pPr>
        <w:pStyle w:val="79"/>
        <w:spacing w:line="400" w:lineRule="exact"/>
        <w:ind w:firstLine="404" w:firstLineChars="196"/>
        <w:rPr>
          <w:rFonts w:ascii="宋体" w:hAnsi="宋体" w:cs="宋体"/>
          <w:bCs/>
          <w:color w:val="auto"/>
          <w:szCs w:val="21"/>
          <w:highlight w:val="none"/>
        </w:rPr>
      </w:pPr>
    </w:p>
    <w:p w14:paraId="618F720D">
      <w:pPr>
        <w:pStyle w:val="79"/>
        <w:spacing w:line="400" w:lineRule="exact"/>
        <w:ind w:firstLine="404" w:firstLineChars="196"/>
        <w:rPr>
          <w:rFonts w:ascii="宋体" w:hAnsi="宋体" w:cs="宋体"/>
          <w:bCs/>
          <w:color w:val="auto"/>
          <w:szCs w:val="21"/>
          <w:highlight w:val="none"/>
          <w:u w:val="single"/>
        </w:rPr>
      </w:pPr>
      <w:r>
        <w:rPr>
          <w:rFonts w:hint="eastAsia" w:ascii="宋体" w:hAnsi="宋体" w:cs="宋体"/>
          <w:bCs/>
          <w:color w:val="auto"/>
          <w:szCs w:val="21"/>
          <w:highlight w:val="none"/>
        </w:rPr>
        <w:t>非国有投资项目：</w:t>
      </w:r>
      <w:r>
        <w:rPr>
          <w:rFonts w:hint="eastAsia" w:ascii="宋体" w:hAnsi="宋体" w:cs="宋体"/>
          <w:bCs/>
          <w:color w:val="auto"/>
          <w:szCs w:val="21"/>
          <w:highlight w:val="none"/>
          <w:u w:val="single"/>
        </w:rPr>
        <w:t>1、工程竣工验收报告经发包人认可后天内，承包人向发包人递交竣工验收合格资料及完整的结算资料和报告，双方按照协议书约定的合同价款及专用条款约定的合同价调整内容，进行工程竣工结算。2、发包人收到承包人递交的竣工结算报告及结算资料之日起天内进行审核，给予确认或者提出初审意见。发包人逾期不予审定结算的视为发包人已同意上述竣工结算报告及结算资料，并以此作为最终结算的依据。发包人初审竣工结算完毕之日起天内，按审定后的结算价款，通知经办银行向承包人支付工程竣工结算价款。承包人应根据发包人的需要随时将竣工工程交付发包人。</w:t>
      </w:r>
    </w:p>
    <w:p w14:paraId="4349593B">
      <w:pPr>
        <w:pStyle w:val="79"/>
        <w:spacing w:line="40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按本专用条款12.4.1的约定支付</w:t>
      </w:r>
      <w:r>
        <w:rPr>
          <w:rFonts w:hint="eastAsia" w:ascii="宋体" w:hAnsi="宋体" w:cs="宋体"/>
          <w:color w:val="auto"/>
          <w:szCs w:val="21"/>
          <w:highlight w:val="none"/>
        </w:rPr>
        <w:t>。</w:t>
      </w:r>
    </w:p>
    <w:p w14:paraId="2D5B4955">
      <w:pPr>
        <w:pStyle w:val="79"/>
        <w:spacing w:line="400" w:lineRule="exact"/>
        <w:ind w:firstLine="404" w:firstLineChars="196"/>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DEA9705">
      <w:pPr>
        <w:pStyle w:val="78"/>
        <w:spacing w:line="360" w:lineRule="auto"/>
        <w:ind w:firstLine="412" w:firstLineChars="200"/>
        <w:jc w:val="left"/>
        <w:rPr>
          <w:rFonts w:ascii="宋体" w:hAnsi="宋体" w:cs="宋体"/>
          <w:color w:val="auto"/>
          <w:highlight w:val="none"/>
          <w:u w:val="single"/>
        </w:rPr>
      </w:pPr>
    </w:p>
    <w:p w14:paraId="78C1E72E">
      <w:pPr>
        <w:pStyle w:val="93"/>
        <w:rPr>
          <w:rFonts w:ascii="宋体" w:hAnsi="宋体" w:cs="宋体"/>
          <w:color w:val="auto"/>
          <w:highlight w:val="none"/>
        </w:rPr>
      </w:pPr>
      <w:bookmarkStart w:id="1443" w:name="_Toc389065326"/>
      <w:bookmarkStart w:id="1444" w:name="_Toc114058901"/>
      <w:bookmarkStart w:id="1445" w:name="_Toc24052"/>
      <w:bookmarkStart w:id="1446" w:name="_Toc15589"/>
      <w:bookmarkStart w:id="1447" w:name="_Toc373478408"/>
      <w:bookmarkStart w:id="1448" w:name="_Toc407135264"/>
      <w:bookmarkStart w:id="1449" w:name="_Toc78449850"/>
      <w:bookmarkStart w:id="1450" w:name="_Toc373227761"/>
      <w:bookmarkStart w:id="1451" w:name="_Toc11938"/>
      <w:r>
        <w:rPr>
          <w:rFonts w:hint="eastAsia" w:ascii="宋体" w:hAnsi="宋体" w:cs="宋体"/>
          <w:color w:val="auto"/>
          <w:highlight w:val="none"/>
        </w:rPr>
        <w:t>14.4 最终结清</w:t>
      </w:r>
      <w:bookmarkEnd w:id="1443"/>
      <w:bookmarkEnd w:id="1444"/>
      <w:bookmarkEnd w:id="1445"/>
      <w:bookmarkEnd w:id="1446"/>
      <w:bookmarkEnd w:id="1447"/>
      <w:bookmarkEnd w:id="1448"/>
      <w:bookmarkEnd w:id="1449"/>
      <w:bookmarkEnd w:id="1450"/>
      <w:bookmarkEnd w:id="1451"/>
    </w:p>
    <w:p w14:paraId="4617949B">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4E5724CF">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一式陆份</w:t>
      </w:r>
      <w:r>
        <w:rPr>
          <w:rFonts w:hint="eastAsia" w:ascii="宋体" w:hAnsi="宋体" w:cs="宋体"/>
          <w:color w:val="auto"/>
          <w:szCs w:val="21"/>
          <w:highlight w:val="none"/>
        </w:rPr>
        <w:t>。</w:t>
      </w:r>
    </w:p>
    <w:p w14:paraId="09AF097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highlight w:val="none"/>
          <w:u w:val="single"/>
        </w:rPr>
        <w:t>缺陷责任期终止证书签发后14天内</w:t>
      </w:r>
      <w:r>
        <w:rPr>
          <w:rFonts w:hint="eastAsia" w:ascii="宋体" w:hAnsi="宋体" w:cs="宋体"/>
          <w:color w:val="auto"/>
          <w:highlight w:val="none"/>
        </w:rPr>
        <w:t xml:space="preserve">。 </w:t>
      </w:r>
    </w:p>
    <w:p w14:paraId="5484BBA3">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最终结算款支付申请（核准）表见合同附件13。</w:t>
      </w:r>
    </w:p>
    <w:p w14:paraId="1D6D2CEB">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2938A145">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收到该申请28天内</w:t>
      </w:r>
      <w:r>
        <w:rPr>
          <w:rFonts w:hint="eastAsia" w:ascii="宋体" w:hAnsi="宋体" w:cs="宋体"/>
          <w:color w:val="auto"/>
          <w:szCs w:val="21"/>
          <w:highlight w:val="none"/>
        </w:rPr>
        <w:t>。</w:t>
      </w:r>
    </w:p>
    <w:p w14:paraId="154BD9AA">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按本专用条款12.4.1的约定支付</w:t>
      </w:r>
      <w:r>
        <w:rPr>
          <w:rFonts w:hint="eastAsia" w:ascii="宋体" w:hAnsi="宋体" w:cs="宋体"/>
          <w:color w:val="auto"/>
          <w:highlight w:val="none"/>
        </w:rPr>
        <w:t>。</w:t>
      </w:r>
    </w:p>
    <w:bookmarkEnd w:id="1380"/>
    <w:bookmarkEnd w:id="1381"/>
    <w:bookmarkEnd w:id="1382"/>
    <w:bookmarkEnd w:id="1383"/>
    <w:bookmarkEnd w:id="1384"/>
    <w:bookmarkEnd w:id="1385"/>
    <w:bookmarkEnd w:id="1386"/>
    <w:bookmarkEnd w:id="1392"/>
    <w:p w14:paraId="2C5E6C06">
      <w:pPr>
        <w:pStyle w:val="94"/>
        <w:rPr>
          <w:rFonts w:ascii="宋体" w:hAnsi="宋体" w:eastAsia="宋体" w:cs="宋体"/>
          <w:color w:val="auto"/>
          <w:highlight w:val="none"/>
        </w:rPr>
      </w:pPr>
      <w:bookmarkStart w:id="1452" w:name="_Toc407135265"/>
      <w:bookmarkStart w:id="1453" w:name="_Toc114058902"/>
      <w:bookmarkStart w:id="1454" w:name="_Toc78449851"/>
      <w:bookmarkStart w:id="1455" w:name="_Toc373227762"/>
      <w:bookmarkStart w:id="1456" w:name="_Toc7580"/>
      <w:bookmarkStart w:id="1457" w:name="_Toc351203647"/>
      <w:bookmarkStart w:id="1458" w:name="_Toc25050"/>
      <w:bookmarkStart w:id="1459" w:name="_Toc28288"/>
      <w:bookmarkStart w:id="1460" w:name="_Toc389065327"/>
      <w:bookmarkStart w:id="1461" w:name="_Toc373478409"/>
      <w:bookmarkStart w:id="1462" w:name="_Toc267251483"/>
      <w:bookmarkStart w:id="1463" w:name="_Toc267251482"/>
      <w:bookmarkStart w:id="1464" w:name="_Toc267251484"/>
      <w:bookmarkStart w:id="1465" w:name="_Toc267251485"/>
      <w:bookmarkStart w:id="1466" w:name="_Toc267251490"/>
      <w:bookmarkStart w:id="1467" w:name="_Toc267251488"/>
      <w:bookmarkStart w:id="1468" w:name="_Toc267251489"/>
      <w:bookmarkStart w:id="1469" w:name="_Toc267251486"/>
      <w:bookmarkStart w:id="1470" w:name="_Toc267251501"/>
      <w:bookmarkStart w:id="1471" w:name="_Toc267251503"/>
      <w:bookmarkStart w:id="1472" w:name="_Toc267251497"/>
      <w:bookmarkStart w:id="1473" w:name="_Toc267251494"/>
      <w:bookmarkStart w:id="1474" w:name="_Toc267251491"/>
      <w:bookmarkStart w:id="1475" w:name="_Toc267251495"/>
      <w:bookmarkStart w:id="1476" w:name="_Toc267251499"/>
      <w:bookmarkStart w:id="1477" w:name="_Toc267251493"/>
      <w:bookmarkStart w:id="1478" w:name="_Toc267251498"/>
      <w:bookmarkStart w:id="1479" w:name="_Toc267251502"/>
      <w:bookmarkStart w:id="1480" w:name="_Toc267251496"/>
      <w:bookmarkStart w:id="1481" w:name="_Toc267251492"/>
      <w:bookmarkStart w:id="1482" w:name="_Toc267251506"/>
      <w:bookmarkStart w:id="1483" w:name="_Toc267251504"/>
      <w:bookmarkStart w:id="1484" w:name="_Toc267251507"/>
      <w:bookmarkStart w:id="1485" w:name="_Toc267251508"/>
      <w:bookmarkStart w:id="1486" w:name="_Toc267251515"/>
      <w:bookmarkStart w:id="1487" w:name="_Toc267251514"/>
      <w:bookmarkStart w:id="1488" w:name="_Toc267251510"/>
      <w:bookmarkStart w:id="1489" w:name="_Toc267251511"/>
      <w:bookmarkStart w:id="1490" w:name="_Toc267251513"/>
      <w:bookmarkStart w:id="1491" w:name="_Toc267251509"/>
      <w:r>
        <w:rPr>
          <w:rFonts w:hint="eastAsia" w:ascii="宋体" w:hAnsi="宋体" w:eastAsia="宋体" w:cs="宋体"/>
          <w:color w:val="auto"/>
          <w:highlight w:val="none"/>
        </w:rPr>
        <w:t>15. 缺陷责任期与保修</w:t>
      </w:r>
      <w:bookmarkEnd w:id="1452"/>
      <w:bookmarkEnd w:id="1453"/>
      <w:bookmarkEnd w:id="1454"/>
      <w:bookmarkEnd w:id="1455"/>
      <w:bookmarkEnd w:id="1456"/>
      <w:bookmarkEnd w:id="1457"/>
      <w:bookmarkEnd w:id="1458"/>
      <w:bookmarkEnd w:id="1459"/>
      <w:bookmarkEnd w:id="1460"/>
      <w:bookmarkEnd w:id="1461"/>
    </w:p>
    <w:p w14:paraId="5B9133C9">
      <w:pPr>
        <w:pStyle w:val="93"/>
        <w:rPr>
          <w:rFonts w:ascii="宋体" w:hAnsi="宋体" w:cs="宋体"/>
          <w:color w:val="auto"/>
          <w:highlight w:val="none"/>
        </w:rPr>
      </w:pPr>
      <w:bookmarkStart w:id="1492" w:name="_Toc4180"/>
      <w:bookmarkStart w:id="1493" w:name="_Toc389065328"/>
      <w:bookmarkStart w:id="1494" w:name="_Toc114058903"/>
      <w:bookmarkStart w:id="1495" w:name="_Toc78449852"/>
      <w:bookmarkStart w:id="1496" w:name="_Toc16696"/>
      <w:bookmarkStart w:id="1497" w:name="_Toc407135266"/>
      <w:bookmarkStart w:id="1498" w:name="_Toc23728"/>
      <w:bookmarkStart w:id="1499" w:name="_Toc373227763"/>
      <w:bookmarkStart w:id="1500" w:name="_Toc373478410"/>
      <w:r>
        <w:rPr>
          <w:rFonts w:hint="eastAsia" w:ascii="宋体" w:hAnsi="宋体" w:cs="宋体"/>
          <w:color w:val="auto"/>
          <w:highlight w:val="none"/>
        </w:rPr>
        <w:t>15.2 缺陷责任期</w:t>
      </w:r>
      <w:bookmarkEnd w:id="1462"/>
      <w:bookmarkEnd w:id="1492"/>
      <w:bookmarkEnd w:id="1493"/>
      <w:bookmarkEnd w:id="1494"/>
      <w:bookmarkEnd w:id="1495"/>
      <w:bookmarkEnd w:id="1496"/>
      <w:bookmarkEnd w:id="1497"/>
      <w:bookmarkEnd w:id="1498"/>
      <w:bookmarkEnd w:id="1499"/>
      <w:bookmarkEnd w:id="1500"/>
    </w:p>
    <w:p w14:paraId="657DB679">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24个月 </w:t>
      </w:r>
      <w:r>
        <w:rPr>
          <w:rFonts w:hint="eastAsia" w:ascii="宋体" w:hAnsi="宋体" w:cs="宋体"/>
          <w:color w:val="auto"/>
          <w:highlight w:val="none"/>
        </w:rPr>
        <w:t>。免费上门维护。</w:t>
      </w:r>
    </w:p>
    <w:p w14:paraId="48588305">
      <w:pPr>
        <w:pStyle w:val="93"/>
        <w:rPr>
          <w:rFonts w:ascii="宋体" w:hAnsi="宋体" w:cs="宋体"/>
          <w:color w:val="auto"/>
          <w:highlight w:val="none"/>
        </w:rPr>
      </w:pPr>
      <w:bookmarkStart w:id="1501" w:name="_Toc78449853"/>
      <w:bookmarkStart w:id="1502" w:name="_Toc389065329"/>
      <w:bookmarkStart w:id="1503" w:name="_Toc4466"/>
      <w:bookmarkStart w:id="1504" w:name="_Toc24733"/>
      <w:bookmarkStart w:id="1505" w:name="_Toc114058904"/>
      <w:bookmarkStart w:id="1506" w:name="_Toc18370"/>
      <w:bookmarkStart w:id="1507" w:name="_Toc373227764"/>
      <w:bookmarkStart w:id="1508" w:name="_Toc373478411"/>
      <w:bookmarkStart w:id="1509" w:name="_Toc407135267"/>
      <w:r>
        <w:rPr>
          <w:rFonts w:hint="eastAsia" w:ascii="宋体" w:hAnsi="宋体" w:cs="宋体"/>
          <w:color w:val="auto"/>
          <w:highlight w:val="none"/>
        </w:rPr>
        <w:t>15.3 质量保证金</w:t>
      </w:r>
      <w:bookmarkEnd w:id="1501"/>
      <w:bookmarkEnd w:id="1502"/>
      <w:bookmarkEnd w:id="1503"/>
      <w:bookmarkEnd w:id="1504"/>
      <w:bookmarkEnd w:id="1505"/>
      <w:bookmarkEnd w:id="1506"/>
      <w:bookmarkEnd w:id="1507"/>
      <w:bookmarkEnd w:id="1508"/>
      <w:bookmarkEnd w:id="1509"/>
    </w:p>
    <w:p w14:paraId="2ED8F4F0">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是 </w:t>
      </w:r>
      <w:r>
        <w:rPr>
          <w:rFonts w:hint="eastAsia" w:ascii="宋体" w:hAnsi="宋体" w:cs="宋体"/>
          <w:color w:val="auto"/>
          <w:highlight w:val="none"/>
        </w:rPr>
        <w:t>。</w:t>
      </w:r>
    </w:p>
    <w:p w14:paraId="77A3739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2ECAADAF">
      <w:pPr>
        <w:pStyle w:val="78"/>
        <w:spacing w:line="360" w:lineRule="auto"/>
        <w:ind w:firstLine="412" w:firstLineChars="200"/>
        <w:jc w:val="left"/>
        <w:outlineLvl w:val="0"/>
        <w:rPr>
          <w:rFonts w:ascii="宋体" w:hAnsi="宋体" w:cs="宋体"/>
          <w:color w:val="auto"/>
          <w:highlight w:val="none"/>
        </w:rPr>
      </w:pPr>
      <w:bookmarkStart w:id="1510" w:name="_Toc18469"/>
      <w:bookmarkStart w:id="1511" w:name="_Toc6955"/>
      <w:bookmarkStart w:id="1512" w:name="_Toc3550"/>
      <w:bookmarkStart w:id="1513" w:name="_Toc8573"/>
      <w:r>
        <w:rPr>
          <w:rFonts w:hint="eastAsia" w:ascii="宋体" w:hAnsi="宋体" w:cs="宋体"/>
          <w:color w:val="auto"/>
          <w:highlight w:val="none"/>
        </w:rPr>
        <w:t>15.3.1 承包人提供质量保证金的方式</w:t>
      </w:r>
      <w:bookmarkEnd w:id="1510"/>
      <w:bookmarkEnd w:id="1511"/>
      <w:bookmarkEnd w:id="1512"/>
      <w:bookmarkEnd w:id="1513"/>
    </w:p>
    <w:p w14:paraId="17761AE2">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3 </w:t>
      </w:r>
      <w:r>
        <w:rPr>
          <w:rFonts w:hint="eastAsia" w:ascii="宋体" w:hAnsi="宋体" w:cs="宋体"/>
          <w:color w:val="auto"/>
          <w:highlight w:val="none"/>
        </w:rPr>
        <w:t>种方式：</w:t>
      </w:r>
    </w:p>
    <w:p w14:paraId="6D49E3BB">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w:t>
      </w:r>
      <w:r>
        <w:rPr>
          <w:rFonts w:hint="eastAsia" w:ascii="宋体" w:hAnsi="宋体" w:cs="宋体"/>
          <w:color w:val="auto"/>
          <w:highlight w:val="none"/>
        </w:rPr>
        <w:t>（银行保函、电子保函、保证保险保函、工程担保保函，</w:t>
      </w:r>
      <w:r>
        <w:rPr>
          <w:rFonts w:hint="eastAsia" w:ascii="宋体" w:hAnsi="宋体" w:cs="宋体"/>
          <w:color w:val="auto"/>
          <w:kern w:val="0"/>
          <w:highlight w:val="none"/>
        </w:rPr>
        <w:t>工程担保保证人应将出具的保函相关信息录入“广西建筑市场监管云”平台（http://gxjzsc.caihcloud.com），以实现保函查询及验真功能。</w:t>
      </w:r>
      <w:r>
        <w:rPr>
          <w:rFonts w:hint="eastAsia" w:ascii="宋体" w:hAnsi="宋体" w:cs="宋体"/>
          <w:color w:val="auto"/>
          <w:highlight w:val="none"/>
        </w:rPr>
        <w:t>）</w:t>
      </w:r>
      <w:r>
        <w:rPr>
          <w:rFonts w:hint="eastAsia" w:ascii="宋体" w:hAnsi="宋体" w:cs="宋体"/>
          <w:color w:val="auto"/>
          <w:kern w:val="0"/>
          <w:highlight w:val="none"/>
        </w:rPr>
        <w:t>，保证金额为：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62D2193">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发包人按工程价款结算总额的</w:t>
      </w:r>
      <w:r>
        <w:rPr>
          <w:rFonts w:hint="eastAsia" w:ascii="宋体" w:hAnsi="宋体" w:cs="宋体"/>
          <w:color w:val="auto"/>
          <w:highlight w:val="none"/>
          <w:u w:val="single"/>
        </w:rPr>
        <w:t xml:space="preserve">  </w:t>
      </w:r>
      <w:r>
        <w:rPr>
          <w:rFonts w:ascii="宋体" w:hAnsi="宋体" w:cs="宋体"/>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%（不得超过3%）预留工程质量保证金，待缺陷责任期满后返还，是否付息及利息计算方式为：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0DFBAA75">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highlight w:val="none"/>
        </w:rPr>
        <w:t>银行转账、电汇或网上支付等形式。</w:t>
      </w:r>
      <w:r>
        <w:rPr>
          <w:rFonts w:hint="eastAsia" w:ascii="宋体" w:hAnsi="宋体" w:cs="宋体"/>
          <w:color w:val="auto"/>
          <w:highlight w:val="none"/>
          <w:u w:val="single"/>
        </w:rPr>
        <w:t>结算经财政等有关部门审定后，承包人按最终审定结算金额的3%支付工程质量保修金，并开具合法有效的增值税专用发票后14个工作日内，工程款支付至最终审定结算金额的100%（含已支付的）；</w:t>
      </w:r>
      <w:r>
        <w:rPr>
          <w:rFonts w:hint="eastAsia" w:ascii="宋体" w:hAnsi="宋体" w:cs="宋体"/>
          <w:bCs/>
          <w:color w:val="auto"/>
          <w:highlight w:val="none"/>
          <w:u w:val="single"/>
        </w:rPr>
        <w:t>保修期满2年并验收合格后，分两次退还质保金（无息）。</w:t>
      </w:r>
    </w:p>
    <w:p w14:paraId="3B7A88BC">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15.3.2 质量保证金的扣留</w:t>
      </w:r>
    </w:p>
    <w:p w14:paraId="14A97C56">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无   </w:t>
      </w:r>
      <w:r>
        <w:rPr>
          <w:rFonts w:hint="eastAsia" w:ascii="宋体" w:hAnsi="宋体" w:cs="宋体"/>
          <w:color w:val="auto"/>
          <w:highlight w:val="none"/>
        </w:rPr>
        <w:t>种方式：</w:t>
      </w:r>
    </w:p>
    <w:p w14:paraId="3DE63EDC">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（1）在不缴纳履保证金情况下，按支付工程进度款时逐次扣留，质量保证金的计算基数不包括预付款的支付、扣回以及价格调整的金额；</w:t>
      </w:r>
    </w:p>
    <w:p w14:paraId="4176CAE1">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（2）工程竣工结算时，一次性扣留质量保证金，由承包人以银行保函、保证保险替代预留质量保证金，保函金额不得高于工程价款结算总额的3%；</w:t>
      </w:r>
    </w:p>
    <w:p w14:paraId="1EDF75E7">
      <w:pPr>
        <w:pStyle w:val="78"/>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highlight w:val="none"/>
        </w:rPr>
        <w:t>银行转账、电汇或网上支付、保函（银行保函、电子保函、保证保险保函、工程担保保函）等形式</w:t>
      </w:r>
      <w:r>
        <w:rPr>
          <w:rFonts w:hint="eastAsia" w:ascii="宋体" w:hAnsi="宋体" w:cs="宋体"/>
          <w:color w:val="auto"/>
          <w:kern w:val="0"/>
          <w:highlight w:val="none"/>
        </w:rPr>
        <w:t>。</w:t>
      </w:r>
    </w:p>
    <w:p w14:paraId="77415652">
      <w:pPr>
        <w:pStyle w:val="78"/>
        <w:spacing w:line="360" w:lineRule="auto"/>
        <w:ind w:firstLine="412" w:firstLineChars="200"/>
        <w:jc w:val="left"/>
        <w:rPr>
          <w:rFonts w:ascii="宋体" w:hAnsi="宋体" w:cs="宋体"/>
          <w:color w:val="auto"/>
          <w:kern w:val="0"/>
          <w:highlight w:val="none"/>
          <w:u w:val="singl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 xml:space="preserve">  本项目不收取质保金  </w:t>
      </w:r>
      <w:r>
        <w:rPr>
          <w:rFonts w:hint="eastAsia" w:ascii="宋体" w:hAnsi="宋体" w:cs="宋体"/>
          <w:color w:val="auto"/>
          <w:kern w:val="0"/>
          <w:highlight w:val="none"/>
        </w:rPr>
        <w:t>。</w:t>
      </w:r>
    </w:p>
    <w:bookmarkEnd w:id="1463"/>
    <w:bookmarkEnd w:id="1464"/>
    <w:p w14:paraId="09A4262A">
      <w:pPr>
        <w:pStyle w:val="93"/>
        <w:rPr>
          <w:rFonts w:ascii="宋体" w:hAnsi="宋体" w:cs="宋体"/>
          <w:color w:val="auto"/>
          <w:highlight w:val="none"/>
        </w:rPr>
      </w:pPr>
      <w:bookmarkStart w:id="1514" w:name="_Toc21557"/>
      <w:bookmarkStart w:id="1515" w:name="_Toc373227765"/>
      <w:bookmarkStart w:id="1516" w:name="_Toc4774"/>
      <w:bookmarkStart w:id="1517" w:name="_Toc373478412"/>
      <w:bookmarkStart w:id="1518" w:name="_Toc407135268"/>
      <w:bookmarkStart w:id="1519" w:name="_Toc389065330"/>
      <w:bookmarkStart w:id="1520" w:name="_Toc22524"/>
      <w:bookmarkStart w:id="1521" w:name="_Toc114058905"/>
      <w:bookmarkStart w:id="1522" w:name="_Toc78449854"/>
      <w:r>
        <w:rPr>
          <w:rFonts w:hint="eastAsia" w:ascii="宋体" w:hAnsi="宋体" w:cs="宋体"/>
          <w:color w:val="auto"/>
          <w:highlight w:val="none"/>
        </w:rPr>
        <w:t>15.4 保修</w:t>
      </w:r>
      <w:bookmarkEnd w:id="1514"/>
      <w:bookmarkEnd w:id="1515"/>
      <w:bookmarkEnd w:id="1516"/>
      <w:bookmarkEnd w:id="1517"/>
      <w:bookmarkEnd w:id="1518"/>
      <w:bookmarkEnd w:id="1519"/>
      <w:bookmarkEnd w:id="1520"/>
      <w:bookmarkEnd w:id="1521"/>
      <w:bookmarkEnd w:id="1522"/>
    </w:p>
    <w:bookmarkEnd w:id="1465"/>
    <w:p w14:paraId="601AE679">
      <w:pPr>
        <w:pStyle w:val="78"/>
        <w:spacing w:line="360" w:lineRule="auto"/>
        <w:ind w:firstLine="402" w:firstLineChars="195"/>
        <w:jc w:val="left"/>
        <w:outlineLvl w:val="0"/>
        <w:rPr>
          <w:rFonts w:ascii="宋体" w:hAnsi="宋体" w:cs="宋体"/>
          <w:color w:val="auto"/>
          <w:highlight w:val="none"/>
        </w:rPr>
      </w:pPr>
      <w:bookmarkStart w:id="1523" w:name="_Toc31715"/>
      <w:bookmarkStart w:id="1524" w:name="_Toc26477"/>
      <w:bookmarkStart w:id="1525" w:name="_Toc29262"/>
      <w:bookmarkStart w:id="1526" w:name="_Toc20754"/>
      <w:r>
        <w:rPr>
          <w:rFonts w:hint="eastAsia" w:ascii="宋体" w:hAnsi="宋体" w:cs="宋体"/>
          <w:color w:val="auto"/>
          <w:highlight w:val="none"/>
        </w:rPr>
        <w:t>15.4.1 保修责任</w:t>
      </w:r>
      <w:bookmarkEnd w:id="1523"/>
      <w:bookmarkEnd w:id="1524"/>
      <w:bookmarkEnd w:id="1525"/>
      <w:bookmarkEnd w:id="1526"/>
    </w:p>
    <w:p w14:paraId="3902BF00">
      <w:pPr>
        <w:pStyle w:val="78"/>
        <w:spacing w:line="360" w:lineRule="auto"/>
        <w:ind w:firstLine="402" w:firstLineChars="195"/>
        <w:jc w:val="left"/>
        <w:rPr>
          <w:rFonts w:ascii="宋体" w:hAnsi="宋体" w:cs="宋体"/>
          <w:color w:val="auto"/>
          <w:kern w:val="0"/>
          <w:highlight w:val="none"/>
        </w:rPr>
      </w:pPr>
      <w:r>
        <w:rPr>
          <w:rFonts w:hint="eastAsia" w:ascii="宋体" w:hAnsi="宋体" w:cs="宋体"/>
          <w:color w:val="auto"/>
          <w:highlight w:val="none"/>
        </w:rPr>
        <w:t>工程保修期为：</w:t>
      </w:r>
      <w:r>
        <w:rPr>
          <w:rFonts w:hint="eastAsia" w:ascii="宋体" w:hAnsi="宋体" w:cs="宋体"/>
          <w:color w:val="auto"/>
          <w:kern w:val="0"/>
          <w:highlight w:val="none"/>
          <w:u w:val="single"/>
        </w:rPr>
        <w:t xml:space="preserve">   工程质量保修范围、期限和责任在工程质量保修书中约定  </w:t>
      </w:r>
      <w:r>
        <w:rPr>
          <w:rFonts w:hint="eastAsia" w:ascii="宋体" w:hAnsi="宋体" w:cs="宋体"/>
          <w:color w:val="auto"/>
          <w:kern w:val="0"/>
          <w:highlight w:val="none"/>
        </w:rPr>
        <w:t>。</w:t>
      </w:r>
    </w:p>
    <w:p w14:paraId="0F87139B">
      <w:pPr>
        <w:pStyle w:val="78"/>
        <w:spacing w:line="360" w:lineRule="auto"/>
        <w:ind w:firstLine="402" w:firstLineChars="195"/>
        <w:jc w:val="left"/>
        <w:rPr>
          <w:rFonts w:ascii="宋体" w:hAnsi="宋体" w:cs="宋体"/>
          <w:color w:val="auto"/>
          <w:kern w:val="0"/>
          <w:highlight w:val="none"/>
          <w:u w:val="single"/>
        </w:rPr>
      </w:pPr>
      <w:r>
        <w:rPr>
          <w:rFonts w:hint="eastAsia" w:ascii="宋体" w:hAnsi="宋体" w:cs="宋体"/>
          <w:color w:val="auto"/>
          <w:highlight w:val="none"/>
        </w:rPr>
        <w:t>工程保修书具体内容见合同附件2。</w:t>
      </w:r>
    </w:p>
    <w:p w14:paraId="433400E4">
      <w:pPr>
        <w:pStyle w:val="78"/>
        <w:spacing w:line="360" w:lineRule="auto"/>
        <w:ind w:firstLine="402" w:firstLineChars="195"/>
        <w:jc w:val="left"/>
        <w:rPr>
          <w:rFonts w:ascii="宋体" w:hAnsi="宋体" w:cs="宋体"/>
          <w:color w:val="auto"/>
          <w:highlight w:val="none"/>
        </w:rPr>
      </w:pPr>
      <w:r>
        <w:rPr>
          <w:rFonts w:hint="eastAsia" w:ascii="宋体" w:hAnsi="宋体" w:cs="宋体"/>
          <w:color w:val="auto"/>
          <w:highlight w:val="none"/>
        </w:rPr>
        <w:t>15.4.3 修复通知</w:t>
      </w:r>
    </w:p>
    <w:p w14:paraId="0AE27D31">
      <w:pPr>
        <w:pStyle w:val="78"/>
        <w:spacing w:line="360" w:lineRule="auto"/>
        <w:ind w:firstLine="402" w:firstLineChars="195"/>
        <w:jc w:val="left"/>
        <w:rPr>
          <w:rFonts w:ascii="宋体" w:hAnsi="宋体" w:cs="宋体"/>
          <w:color w:val="auto"/>
          <w:kern w:val="0"/>
          <w:highlight w:val="none"/>
          <w:u w:val="singl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24小时</w:t>
      </w:r>
      <w:r>
        <w:rPr>
          <w:rFonts w:hint="eastAsia" w:ascii="宋体" w:hAnsi="宋体" w:cs="宋体"/>
          <w:color w:val="auto"/>
          <w:kern w:val="0"/>
          <w:highlight w:val="none"/>
        </w:rPr>
        <w:t>。</w:t>
      </w:r>
    </w:p>
    <w:bookmarkEnd w:id="1466"/>
    <w:bookmarkEnd w:id="1467"/>
    <w:bookmarkEnd w:id="1468"/>
    <w:bookmarkEnd w:id="1469"/>
    <w:p w14:paraId="1000A03A">
      <w:pPr>
        <w:pStyle w:val="94"/>
        <w:rPr>
          <w:rFonts w:ascii="宋体" w:hAnsi="宋体" w:eastAsia="宋体" w:cs="宋体"/>
          <w:color w:val="auto"/>
          <w:highlight w:val="none"/>
        </w:rPr>
      </w:pPr>
      <w:bookmarkStart w:id="1527" w:name="_Toc407135269"/>
      <w:bookmarkStart w:id="1528" w:name="_Toc114058906"/>
      <w:bookmarkStart w:id="1529" w:name="_Toc31030"/>
      <w:bookmarkStart w:id="1530" w:name="_Toc78449855"/>
      <w:bookmarkStart w:id="1531" w:name="_Toc1390"/>
      <w:bookmarkStart w:id="1532" w:name="_Toc373227766"/>
      <w:bookmarkStart w:id="1533" w:name="_Toc351203648"/>
      <w:bookmarkStart w:id="1534" w:name="_Toc19493"/>
      <w:bookmarkStart w:id="1535" w:name="_Toc389065331"/>
      <w:bookmarkStart w:id="1536" w:name="_Toc373478413"/>
      <w:bookmarkStart w:id="1537" w:name="_Toc280868717"/>
      <w:bookmarkStart w:id="1538" w:name="_Toc280868718"/>
      <w:r>
        <w:rPr>
          <w:rFonts w:hint="eastAsia" w:ascii="宋体" w:hAnsi="宋体" w:eastAsia="宋体" w:cs="宋体"/>
          <w:color w:val="auto"/>
          <w:highlight w:val="none"/>
        </w:rPr>
        <w:t>16. 违约</w:t>
      </w:r>
      <w:bookmarkEnd w:id="1527"/>
      <w:bookmarkEnd w:id="1528"/>
      <w:bookmarkEnd w:id="1529"/>
      <w:bookmarkEnd w:id="1530"/>
      <w:bookmarkEnd w:id="1531"/>
      <w:bookmarkEnd w:id="1532"/>
      <w:bookmarkEnd w:id="1533"/>
      <w:bookmarkEnd w:id="1534"/>
      <w:bookmarkEnd w:id="1535"/>
      <w:bookmarkEnd w:id="1536"/>
    </w:p>
    <w:p w14:paraId="3BDE8028">
      <w:pPr>
        <w:pStyle w:val="93"/>
        <w:rPr>
          <w:rFonts w:ascii="宋体" w:hAnsi="宋体" w:cs="宋体"/>
          <w:color w:val="auto"/>
          <w:highlight w:val="none"/>
        </w:rPr>
      </w:pPr>
      <w:bookmarkStart w:id="1539" w:name="_Toc78449856"/>
      <w:bookmarkStart w:id="1540" w:name="_Toc389065332"/>
      <w:bookmarkStart w:id="1541" w:name="_Toc373478414"/>
      <w:bookmarkStart w:id="1542" w:name="_Toc17762"/>
      <w:bookmarkStart w:id="1543" w:name="_Toc114058907"/>
      <w:bookmarkStart w:id="1544" w:name="_Toc1646"/>
      <w:bookmarkStart w:id="1545" w:name="_Toc14752"/>
      <w:bookmarkStart w:id="1546" w:name="_Toc407135270"/>
      <w:bookmarkStart w:id="1547" w:name="_Toc373227767"/>
      <w:r>
        <w:rPr>
          <w:rFonts w:hint="eastAsia" w:ascii="宋体" w:hAnsi="宋体" w:cs="宋体"/>
          <w:color w:val="auto"/>
          <w:highlight w:val="none"/>
        </w:rPr>
        <w:t>16.1 发包人违约</w:t>
      </w:r>
      <w:bookmarkEnd w:id="1539"/>
      <w:bookmarkEnd w:id="1540"/>
      <w:bookmarkEnd w:id="1541"/>
      <w:bookmarkEnd w:id="1542"/>
      <w:bookmarkEnd w:id="1543"/>
      <w:bookmarkEnd w:id="1544"/>
      <w:bookmarkEnd w:id="1545"/>
      <w:bookmarkEnd w:id="1546"/>
      <w:bookmarkEnd w:id="1547"/>
    </w:p>
    <w:p w14:paraId="0272CC5F">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4A3FA5A0">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3828E00E">
      <w:pPr>
        <w:pStyle w:val="79"/>
        <w:spacing w:line="360" w:lineRule="auto"/>
        <w:ind w:firstLine="412" w:firstLineChars="200"/>
        <w:jc w:val="left"/>
        <w:outlineLvl w:val="0"/>
        <w:rPr>
          <w:rFonts w:ascii="宋体" w:hAnsi="宋体" w:cs="宋体"/>
          <w:color w:val="auto"/>
          <w:kern w:val="0"/>
          <w:szCs w:val="21"/>
          <w:highlight w:val="none"/>
        </w:rPr>
      </w:pPr>
      <w:bookmarkStart w:id="1548" w:name="_Toc20913"/>
      <w:bookmarkStart w:id="1549" w:name="_Toc12659"/>
      <w:bookmarkStart w:id="1550" w:name="_Toc5018"/>
      <w:r>
        <w:rPr>
          <w:rFonts w:hint="eastAsia" w:ascii="宋体" w:hAnsi="宋体" w:cs="宋体"/>
          <w:color w:val="auto"/>
          <w:kern w:val="0"/>
          <w:szCs w:val="21"/>
          <w:highlight w:val="none"/>
        </w:rPr>
        <w:t>16.1.2 发包人违约的责任</w:t>
      </w:r>
      <w:bookmarkEnd w:id="1548"/>
      <w:bookmarkEnd w:id="1549"/>
      <w:bookmarkEnd w:id="1550"/>
    </w:p>
    <w:p w14:paraId="3B6DBFDD">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4858E2D">
      <w:pPr>
        <w:pStyle w:val="79"/>
        <w:spacing w:line="360" w:lineRule="auto"/>
        <w:ind w:firstLine="412"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工期顺延   </w:t>
      </w:r>
      <w:r>
        <w:rPr>
          <w:rFonts w:hint="eastAsia" w:ascii="宋体" w:hAnsi="宋体" w:cs="宋体"/>
          <w:color w:val="auto"/>
          <w:kern w:val="0"/>
          <w:szCs w:val="21"/>
          <w:highlight w:val="none"/>
        </w:rPr>
        <w:t>。</w:t>
      </w:r>
    </w:p>
    <w:p w14:paraId="630BD279">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b/>
          <w:bCs/>
          <w:color w:val="auto"/>
          <w:kern w:val="0"/>
          <w:szCs w:val="21"/>
          <w:highlight w:val="none"/>
          <w:u w:val="single"/>
        </w:rPr>
        <w:t>承包人与发包人签订延期付款协议，延期付款协议须经承包人认可</w:t>
      </w:r>
      <w:r>
        <w:rPr>
          <w:rFonts w:hint="eastAsia" w:ascii="宋体" w:hAnsi="宋体" w:cs="宋体"/>
          <w:color w:val="auto"/>
          <w:kern w:val="0"/>
          <w:szCs w:val="21"/>
          <w:highlight w:val="none"/>
        </w:rPr>
        <w:t>。</w:t>
      </w:r>
    </w:p>
    <w:p w14:paraId="18497859">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4BDFC01C">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承包人可以提出工期索赔</w:t>
      </w:r>
      <w:r>
        <w:rPr>
          <w:rFonts w:hint="eastAsia" w:ascii="宋体" w:hAnsi="宋体" w:cs="宋体"/>
          <w:color w:val="auto"/>
          <w:kern w:val="0"/>
          <w:szCs w:val="21"/>
          <w:highlight w:val="none"/>
        </w:rPr>
        <w:t>。</w:t>
      </w:r>
    </w:p>
    <w:p w14:paraId="7970FBE1">
      <w:pPr>
        <w:pStyle w:val="79"/>
        <w:spacing w:line="360" w:lineRule="auto"/>
        <w:ind w:firstLine="412"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承包人可以提出工期索赔</w:t>
      </w:r>
      <w:r>
        <w:rPr>
          <w:rFonts w:hint="eastAsia" w:ascii="宋体" w:hAnsi="宋体" w:cs="宋体"/>
          <w:color w:val="auto"/>
          <w:kern w:val="0"/>
          <w:szCs w:val="21"/>
          <w:highlight w:val="none"/>
        </w:rPr>
        <w:t>。</w:t>
      </w:r>
    </w:p>
    <w:p w14:paraId="7B13FD85">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承包人可以提出工期索赔</w:t>
      </w:r>
      <w:r>
        <w:rPr>
          <w:rFonts w:hint="eastAsia" w:ascii="宋体" w:hAnsi="宋体" w:cs="宋体"/>
          <w:color w:val="auto"/>
          <w:kern w:val="0"/>
          <w:szCs w:val="21"/>
          <w:highlight w:val="none"/>
        </w:rPr>
        <w:t>。</w:t>
      </w:r>
    </w:p>
    <w:p w14:paraId="231EAEDE">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6CFAF604">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26E176F8">
      <w:pPr>
        <w:pStyle w:val="79"/>
        <w:autoSpaceDE w:val="0"/>
        <w:autoSpaceDN w:val="0"/>
        <w:adjustRightInd w:val="0"/>
        <w:spacing w:line="360" w:lineRule="auto"/>
        <w:ind w:firstLine="412" w:firstLineChars="200"/>
        <w:jc w:val="left"/>
        <w:rPr>
          <w:rFonts w:ascii="宋体" w:hAnsi="宋体" w:cs="宋体"/>
          <w:color w:val="auto"/>
          <w:kern w:val="0"/>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60</w:t>
      </w:r>
      <w:r>
        <w:rPr>
          <w:rFonts w:hint="eastAsia" w:ascii="宋体" w:hAnsi="宋体" w:cs="宋体"/>
          <w:color w:val="auto"/>
          <w:kern w:val="0"/>
          <w:szCs w:val="21"/>
          <w:highlight w:val="none"/>
        </w:rPr>
        <w:t>天后发包人仍不纠正其违约行为并致使合同目的不能实现的，承包人有权解除合同</w:t>
      </w:r>
    </w:p>
    <w:p w14:paraId="189732AE">
      <w:pPr>
        <w:pStyle w:val="93"/>
        <w:rPr>
          <w:rFonts w:ascii="宋体" w:hAnsi="宋体" w:cs="宋体"/>
          <w:color w:val="auto"/>
          <w:highlight w:val="none"/>
        </w:rPr>
      </w:pPr>
      <w:bookmarkStart w:id="1551" w:name="_Toc373227768"/>
      <w:bookmarkStart w:id="1552" w:name="_Toc114058908"/>
      <w:bookmarkStart w:id="1553" w:name="_Toc16497"/>
      <w:bookmarkStart w:id="1554" w:name="_Toc78449857"/>
      <w:bookmarkStart w:id="1555" w:name="_Toc28146"/>
      <w:bookmarkStart w:id="1556" w:name="_Toc407135271"/>
      <w:bookmarkStart w:id="1557" w:name="_Toc389065333"/>
      <w:bookmarkStart w:id="1558" w:name="_Toc373478415"/>
      <w:bookmarkStart w:id="1559" w:name="_Toc28946"/>
      <w:r>
        <w:rPr>
          <w:rFonts w:hint="eastAsia" w:ascii="宋体" w:hAnsi="宋体" w:cs="宋体"/>
          <w:color w:val="auto"/>
          <w:highlight w:val="none"/>
        </w:rPr>
        <w:t>16.2 承包人违约</w:t>
      </w:r>
      <w:bookmarkEnd w:id="1551"/>
      <w:bookmarkEnd w:id="1552"/>
      <w:bookmarkEnd w:id="1553"/>
      <w:bookmarkEnd w:id="1554"/>
      <w:bookmarkEnd w:id="1555"/>
      <w:bookmarkEnd w:id="1556"/>
      <w:bookmarkEnd w:id="1557"/>
      <w:bookmarkEnd w:id="1558"/>
      <w:bookmarkEnd w:id="1559"/>
    </w:p>
    <w:p w14:paraId="3CCD3E43">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6F51FC5A">
      <w:pPr>
        <w:pStyle w:val="79"/>
        <w:spacing w:line="360" w:lineRule="auto"/>
        <w:ind w:firstLine="412"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         。</w:t>
      </w:r>
    </w:p>
    <w:p w14:paraId="46132EBD">
      <w:pPr>
        <w:pStyle w:val="79"/>
        <w:spacing w:line="360" w:lineRule="auto"/>
        <w:ind w:firstLine="412" w:firstLineChars="200"/>
        <w:jc w:val="left"/>
        <w:outlineLvl w:val="0"/>
        <w:rPr>
          <w:rFonts w:ascii="宋体" w:hAnsi="宋体" w:cs="宋体"/>
          <w:color w:val="auto"/>
          <w:kern w:val="0"/>
          <w:szCs w:val="21"/>
          <w:highlight w:val="none"/>
        </w:rPr>
      </w:pPr>
      <w:bookmarkStart w:id="1560" w:name="_Toc5954"/>
      <w:bookmarkStart w:id="1561" w:name="_Toc25485"/>
      <w:bookmarkStart w:id="1562" w:name="_Toc10066"/>
      <w:bookmarkStart w:id="1563" w:name="_Toc4840"/>
      <w:r>
        <w:rPr>
          <w:rFonts w:hint="eastAsia" w:ascii="宋体" w:hAnsi="宋体" w:cs="宋体"/>
          <w:color w:val="auto"/>
          <w:kern w:val="0"/>
          <w:szCs w:val="21"/>
          <w:highlight w:val="none"/>
        </w:rPr>
        <w:t>16.2.2承包人违约的责任</w:t>
      </w:r>
      <w:bookmarkEnd w:id="1560"/>
      <w:bookmarkEnd w:id="1561"/>
      <w:bookmarkEnd w:id="1562"/>
      <w:bookmarkEnd w:id="1563"/>
    </w:p>
    <w:p w14:paraId="38E13311">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65249FD7">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15F7F37">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（2）承包人有本合同通用条款第16.2.1（6）条情形的，或经发包人检验认为修复质量不合格而承包人拒绝再进行修补的，发包人将扣除承包人全部质量保修金。</w:t>
      </w:r>
    </w:p>
    <w:p w14:paraId="5477E23B">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发包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发包人审核，发包人批准。罚款金额返还时不包括银行利息。</w:t>
      </w:r>
    </w:p>
    <w:p w14:paraId="6200983A">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14:paraId="7E2440E1">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（5）承包人必须协助业主办理行政退费手续，如因承包人提供退费资料不全等原因导致业主退费不成功，该笔费用将从工程结算款中予以扣除。</w:t>
      </w:r>
    </w:p>
    <w:p w14:paraId="52FB0F4C">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3BCB5B69">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7CCC9DCD">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358C2F03">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2A5DB618">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(3)未经发包人批准，承包人私自将已按响应文件承诺进入工地的工程设备、施工设备、临时工程或材料撤离工地的；</w:t>
      </w:r>
    </w:p>
    <w:p w14:paraId="56965038">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(4)由于承包人原因拒绝按合同进度计划及时完成合同规定的工程，而又未采取有效措施赶上进度，造成工期严重延误的；</w:t>
      </w:r>
    </w:p>
    <w:p w14:paraId="30BF17CE">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6E73B72E">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highlight w:val="none"/>
        </w:rPr>
        <w:t xml:space="preserve"> 合同签订</w:t>
      </w:r>
      <w:r>
        <w:rPr>
          <w:rFonts w:hint="eastAsia" w:ascii="宋体" w:hAnsi="宋体" w:cs="宋体"/>
          <w:color w:val="auto"/>
          <w:highlight w:val="none"/>
        </w:rPr>
        <w:t>且具备法定开工条件后</w:t>
      </w:r>
      <w:r>
        <w:rPr>
          <w:rFonts w:hint="eastAsia" w:ascii="宋体" w:hAnsi="宋体" w:cs="宋体"/>
          <w:color w:val="auto"/>
          <w:kern w:val="0"/>
          <w:highlight w:val="none"/>
        </w:rPr>
        <w:t>之日起十五日内，承包人无法按合同规定及响应文件的承诺进场经发包人认可的该施工阶段应有的全部人员和机械的。</w:t>
      </w:r>
      <w:r>
        <w:rPr>
          <w:rFonts w:hint="eastAsia" w:ascii="宋体" w:hAnsi="宋体" w:cs="宋体"/>
          <w:color w:val="auto"/>
          <w:szCs w:val="21"/>
          <w:highlight w:val="none"/>
        </w:rPr>
        <w:t>承包人应按发包人解除合同的通知支付合同总价的5%的违约金给发包人，造成发包人经济损失的，承包人还应赔偿全部损失。</w:t>
      </w:r>
    </w:p>
    <w:p w14:paraId="49D17491">
      <w:pPr>
        <w:pStyle w:val="79"/>
        <w:spacing w:line="360" w:lineRule="auto"/>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（7）发包人继续使用承包人在施工现场的材料、设备、临时工程、承包人文件和由承包人或以其名义编制的其他文件的费用承担方式：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如有，另行协商</w:t>
      </w:r>
      <w:r>
        <w:rPr>
          <w:rFonts w:hint="eastAsia" w:ascii="宋体" w:hAnsi="宋体" w:cs="宋体"/>
          <w:color w:val="auto"/>
          <w:kern w:val="0"/>
          <w:szCs w:val="21"/>
          <w:highlight w:val="none"/>
        </w:rPr>
        <w:t>。</w:t>
      </w:r>
    </w:p>
    <w:p w14:paraId="6690E665">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Pr>
          <w:rFonts w:hint="eastAsia" w:ascii="宋体" w:hAnsi="宋体" w:cs="宋体"/>
          <w:color w:val="auto"/>
          <w:kern w:val="0"/>
          <w:szCs w:val="21"/>
          <w:highlight w:val="none"/>
        </w:rPr>
        <w:t>。</w:t>
      </w:r>
      <w:r>
        <w:rPr>
          <w:rFonts w:hint="eastAsia" w:ascii="宋体" w:hAnsi="宋体" w:cs="宋体"/>
          <w:color w:val="auto"/>
          <w:szCs w:val="21"/>
          <w:highlight w:val="none"/>
        </w:rPr>
        <w:t>机械设备和其他财产逾期撤离施工现场的，视为承包人放弃所有权，任由发包人处置，处置所得收益归发包人所有。</w:t>
      </w:r>
    </w:p>
    <w:p w14:paraId="2BEAF943">
      <w:pPr>
        <w:pStyle w:val="79"/>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承包人应按合同总价款的5%支付违约金给发包人，已完成单项工程且经验收合格的工程按造价的80%结付工程款，未完成的单项工程或虽已完成单项工程但验收不合格的工程不结付工程款。</w:t>
      </w:r>
    </w:p>
    <w:p w14:paraId="75DE6EE5">
      <w:pPr>
        <w:pStyle w:val="94"/>
        <w:rPr>
          <w:rFonts w:ascii="宋体" w:hAnsi="宋体" w:eastAsia="宋体" w:cs="宋体"/>
          <w:color w:val="auto"/>
          <w:highlight w:val="none"/>
        </w:rPr>
      </w:pPr>
      <w:bookmarkStart w:id="1564" w:name="_Toc24263"/>
      <w:bookmarkStart w:id="1565" w:name="_Toc407135272"/>
      <w:bookmarkStart w:id="1566" w:name="_Toc78449858"/>
      <w:bookmarkStart w:id="1567" w:name="_Toc389065334"/>
      <w:bookmarkStart w:id="1568" w:name="_Toc373478416"/>
      <w:bookmarkStart w:id="1569" w:name="_Toc351203649"/>
      <w:bookmarkStart w:id="1570" w:name="_Toc18753"/>
      <w:bookmarkStart w:id="1571" w:name="_Toc373227769"/>
      <w:bookmarkStart w:id="1572" w:name="_Toc25468"/>
      <w:bookmarkStart w:id="1573" w:name="_Toc114058909"/>
      <w:r>
        <w:rPr>
          <w:rFonts w:hint="eastAsia" w:ascii="宋体" w:hAnsi="宋体" w:eastAsia="宋体" w:cs="宋体"/>
          <w:color w:val="auto"/>
          <w:highlight w:val="none"/>
        </w:rPr>
        <w:t>17. 不可抗力</w:t>
      </w:r>
      <w:bookmarkEnd w:id="1564"/>
      <w:bookmarkEnd w:id="1565"/>
      <w:bookmarkEnd w:id="1566"/>
      <w:bookmarkEnd w:id="1567"/>
      <w:bookmarkEnd w:id="1568"/>
      <w:bookmarkEnd w:id="1569"/>
      <w:bookmarkEnd w:id="1570"/>
      <w:bookmarkEnd w:id="1571"/>
      <w:bookmarkEnd w:id="1572"/>
      <w:bookmarkEnd w:id="1573"/>
      <w:r>
        <w:rPr>
          <w:rFonts w:hint="eastAsia" w:ascii="宋体" w:hAnsi="宋体" w:eastAsia="宋体" w:cs="宋体"/>
          <w:color w:val="auto"/>
          <w:highlight w:val="none"/>
        </w:rPr>
        <w:t xml:space="preserve"> </w:t>
      </w:r>
      <w:bookmarkEnd w:id="1537"/>
    </w:p>
    <w:p w14:paraId="779CC6F5">
      <w:pPr>
        <w:pStyle w:val="93"/>
        <w:rPr>
          <w:rFonts w:ascii="宋体" w:hAnsi="宋体" w:cs="宋体"/>
          <w:color w:val="auto"/>
          <w:highlight w:val="none"/>
        </w:rPr>
      </w:pPr>
      <w:bookmarkStart w:id="1574" w:name="_Toc1851"/>
      <w:bookmarkStart w:id="1575" w:name="_Toc21614"/>
      <w:bookmarkStart w:id="1576" w:name="_Toc407135273"/>
      <w:bookmarkStart w:id="1577" w:name="_Toc114058910"/>
      <w:bookmarkStart w:id="1578" w:name="_Toc389065335"/>
      <w:bookmarkStart w:id="1579" w:name="_Toc17609"/>
      <w:bookmarkStart w:id="1580" w:name="_Toc373478417"/>
      <w:bookmarkStart w:id="1581" w:name="_Toc373227770"/>
      <w:bookmarkStart w:id="1582" w:name="_Toc78449859"/>
      <w:r>
        <w:rPr>
          <w:rFonts w:hint="eastAsia" w:ascii="宋体" w:hAnsi="宋体" w:cs="宋体"/>
          <w:color w:val="auto"/>
          <w:highlight w:val="none"/>
        </w:rPr>
        <w:t>17.1 不可抗力的确认</w:t>
      </w:r>
      <w:bookmarkEnd w:id="1574"/>
      <w:bookmarkEnd w:id="1575"/>
      <w:bookmarkEnd w:id="1576"/>
      <w:bookmarkEnd w:id="1577"/>
      <w:bookmarkEnd w:id="1578"/>
      <w:bookmarkEnd w:id="1579"/>
      <w:bookmarkEnd w:id="1580"/>
      <w:bookmarkEnd w:id="1581"/>
      <w:bookmarkEnd w:id="1582"/>
    </w:p>
    <w:p w14:paraId="217CF3A6">
      <w:pPr>
        <w:pStyle w:val="78"/>
        <w:spacing w:line="360" w:lineRule="auto"/>
        <w:ind w:firstLine="412"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a、6级以上的地震；b、10级以上的持续3日的大风；c、暴雨级以上的持续3日的大雨；d、50年以上未发生过，持续3日的高温天气；e、50年以上未发生过，持续3日的严寒天气；f、50年以上未发生过的洪水。自然原因发生的火灾；其它不可抗力原因</w:t>
      </w:r>
      <w:r>
        <w:rPr>
          <w:rFonts w:hint="eastAsia" w:ascii="宋体" w:hAnsi="宋体" w:cs="宋体"/>
          <w:color w:val="auto"/>
          <w:kern w:val="0"/>
          <w:highlight w:val="none"/>
        </w:rPr>
        <w:t>。</w:t>
      </w:r>
    </w:p>
    <w:p w14:paraId="1A7C4986">
      <w:pPr>
        <w:pStyle w:val="93"/>
        <w:rPr>
          <w:rFonts w:ascii="宋体" w:hAnsi="宋体" w:cs="宋体"/>
          <w:color w:val="auto"/>
          <w:highlight w:val="none"/>
        </w:rPr>
      </w:pPr>
      <w:bookmarkStart w:id="1583" w:name="_Toc2112"/>
      <w:bookmarkStart w:id="1584" w:name="_Toc407135274"/>
      <w:bookmarkStart w:id="1585" w:name="_Toc78449860"/>
      <w:bookmarkStart w:id="1586" w:name="_Toc389065336"/>
      <w:bookmarkStart w:id="1587" w:name="_Toc373227771"/>
      <w:bookmarkStart w:id="1588" w:name="_Toc114058911"/>
      <w:bookmarkStart w:id="1589" w:name="_Toc2746"/>
      <w:bookmarkStart w:id="1590" w:name="_Toc11135"/>
      <w:bookmarkStart w:id="1591" w:name="_Toc373478418"/>
      <w:r>
        <w:rPr>
          <w:rFonts w:hint="eastAsia" w:ascii="宋体" w:hAnsi="宋体" w:cs="宋体"/>
          <w:color w:val="auto"/>
          <w:highlight w:val="none"/>
        </w:rPr>
        <w:t>17.4 因不可抗力解除合同</w:t>
      </w:r>
      <w:bookmarkEnd w:id="1583"/>
      <w:bookmarkEnd w:id="1584"/>
      <w:bookmarkEnd w:id="1585"/>
      <w:bookmarkEnd w:id="1586"/>
      <w:bookmarkEnd w:id="1587"/>
      <w:bookmarkEnd w:id="1588"/>
      <w:bookmarkEnd w:id="1589"/>
      <w:bookmarkEnd w:id="1590"/>
      <w:bookmarkEnd w:id="1591"/>
    </w:p>
    <w:p w14:paraId="56BC0BAC">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56  </w:t>
      </w:r>
      <w:r>
        <w:rPr>
          <w:rFonts w:hint="eastAsia" w:ascii="宋体" w:hAnsi="宋体" w:cs="宋体"/>
          <w:color w:val="auto"/>
          <w:highlight w:val="none"/>
        </w:rPr>
        <w:t>天内完成款项的支付。</w:t>
      </w:r>
    </w:p>
    <w:p w14:paraId="5FBEDE95">
      <w:pPr>
        <w:pStyle w:val="94"/>
        <w:rPr>
          <w:rFonts w:ascii="宋体" w:hAnsi="宋体" w:eastAsia="宋体" w:cs="宋体"/>
          <w:color w:val="auto"/>
          <w:highlight w:val="none"/>
        </w:rPr>
      </w:pPr>
      <w:bookmarkStart w:id="1592" w:name="_Toc78449861"/>
      <w:bookmarkStart w:id="1593" w:name="_Toc407135275"/>
      <w:bookmarkStart w:id="1594" w:name="_Toc351203650"/>
      <w:bookmarkStart w:id="1595" w:name="_Toc8225"/>
      <w:bookmarkStart w:id="1596" w:name="_Toc7126"/>
      <w:bookmarkStart w:id="1597" w:name="_Toc373227772"/>
      <w:bookmarkStart w:id="1598" w:name="_Toc114058912"/>
      <w:bookmarkStart w:id="1599" w:name="_Toc25033"/>
      <w:bookmarkStart w:id="1600" w:name="_Toc389065337"/>
      <w:bookmarkStart w:id="1601" w:name="_Toc373478419"/>
      <w:r>
        <w:rPr>
          <w:rFonts w:hint="eastAsia" w:ascii="宋体" w:hAnsi="宋体" w:eastAsia="宋体" w:cs="宋体"/>
          <w:color w:val="auto"/>
          <w:highlight w:val="none"/>
        </w:rPr>
        <w:t>18. 保险</w:t>
      </w:r>
      <w:bookmarkEnd w:id="1592"/>
      <w:bookmarkEnd w:id="1593"/>
      <w:bookmarkEnd w:id="1594"/>
      <w:bookmarkEnd w:id="1595"/>
      <w:bookmarkEnd w:id="1596"/>
      <w:bookmarkEnd w:id="1597"/>
      <w:bookmarkEnd w:id="1598"/>
      <w:bookmarkEnd w:id="1599"/>
      <w:bookmarkEnd w:id="1600"/>
      <w:bookmarkEnd w:id="1601"/>
    </w:p>
    <w:bookmarkEnd w:id="1538"/>
    <w:p w14:paraId="586A4561">
      <w:pPr>
        <w:pStyle w:val="93"/>
        <w:rPr>
          <w:rFonts w:ascii="宋体" w:hAnsi="宋体" w:cs="宋体"/>
          <w:color w:val="auto"/>
          <w:highlight w:val="none"/>
        </w:rPr>
      </w:pPr>
      <w:bookmarkStart w:id="1602" w:name="_Toc114058913"/>
      <w:bookmarkStart w:id="1603" w:name="_Toc407135276"/>
      <w:bookmarkStart w:id="1604" w:name="_Toc373478420"/>
      <w:bookmarkStart w:id="1605" w:name="_Toc78449862"/>
      <w:bookmarkStart w:id="1606" w:name="_Toc23706"/>
      <w:bookmarkStart w:id="1607" w:name="_Toc19415"/>
      <w:bookmarkStart w:id="1608" w:name="_Toc373227773"/>
      <w:bookmarkStart w:id="1609" w:name="_Toc31733"/>
      <w:bookmarkStart w:id="1610" w:name="_Toc389065338"/>
      <w:r>
        <w:rPr>
          <w:rFonts w:hint="eastAsia" w:ascii="宋体" w:hAnsi="宋体" w:cs="宋体"/>
          <w:color w:val="auto"/>
          <w:highlight w:val="none"/>
        </w:rPr>
        <w:t>18.1 工程保险</w:t>
      </w:r>
      <w:bookmarkEnd w:id="1602"/>
      <w:bookmarkEnd w:id="1603"/>
      <w:bookmarkEnd w:id="1604"/>
      <w:bookmarkEnd w:id="1605"/>
      <w:bookmarkEnd w:id="1606"/>
      <w:bookmarkEnd w:id="1607"/>
      <w:bookmarkEnd w:id="1608"/>
      <w:bookmarkEnd w:id="1609"/>
      <w:bookmarkEnd w:id="1610"/>
    </w:p>
    <w:p w14:paraId="48452ABE">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w:t>
      </w:r>
      <w:r>
        <w:rPr>
          <w:rFonts w:hint="eastAsia" w:ascii="宋体" w:hAnsi="宋体" w:cs="宋体"/>
          <w:bCs/>
          <w:color w:val="auto"/>
          <w:highlight w:val="none"/>
          <w:u w:val="single"/>
        </w:rPr>
        <w:t>发包人可根据需要投保工程质量保险；对已投保的工程项目，承包人应积极配合保险公司开展相关工作</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150B9AE">
      <w:pPr>
        <w:pStyle w:val="93"/>
        <w:rPr>
          <w:rFonts w:ascii="宋体" w:hAnsi="宋体" w:cs="宋体"/>
          <w:color w:val="auto"/>
          <w:highlight w:val="none"/>
        </w:rPr>
      </w:pPr>
      <w:bookmarkStart w:id="1611" w:name="_Toc78449863"/>
      <w:bookmarkStart w:id="1612" w:name="_Toc11639"/>
      <w:bookmarkStart w:id="1613" w:name="_Toc114058914"/>
      <w:bookmarkStart w:id="1614" w:name="_Toc373227774"/>
      <w:bookmarkStart w:id="1615" w:name="_Toc389065339"/>
      <w:bookmarkStart w:id="1616" w:name="_Toc373478421"/>
      <w:bookmarkStart w:id="1617" w:name="_Toc407135277"/>
      <w:bookmarkStart w:id="1618" w:name="_Toc15941"/>
      <w:bookmarkStart w:id="1619" w:name="_Toc1418"/>
      <w:r>
        <w:rPr>
          <w:rFonts w:hint="eastAsia" w:ascii="宋体" w:hAnsi="宋体" w:cs="宋体"/>
          <w:color w:val="auto"/>
          <w:highlight w:val="none"/>
        </w:rPr>
        <w:t>18.3 其他保险</w:t>
      </w:r>
      <w:bookmarkEnd w:id="1611"/>
      <w:bookmarkEnd w:id="1612"/>
      <w:bookmarkEnd w:id="1613"/>
      <w:bookmarkEnd w:id="1614"/>
      <w:bookmarkEnd w:id="1615"/>
      <w:bookmarkEnd w:id="1616"/>
      <w:bookmarkEnd w:id="1617"/>
      <w:bookmarkEnd w:id="1618"/>
      <w:bookmarkEnd w:id="1619"/>
    </w:p>
    <w:p w14:paraId="00E4785E">
      <w:pPr>
        <w:pStyle w:val="78"/>
        <w:spacing w:line="360" w:lineRule="auto"/>
        <w:ind w:firstLine="412" w:firstLineChars="200"/>
        <w:jc w:val="left"/>
        <w:rPr>
          <w:rFonts w:ascii="宋体" w:hAnsi="宋体" w:cs="宋体"/>
          <w:color w:val="auto"/>
          <w:kern w:val="0"/>
          <w:highlight w:val="none"/>
        </w:rPr>
      </w:pPr>
      <w:r>
        <w:rPr>
          <w:rFonts w:hint="eastAsia" w:ascii="宋体" w:hAnsi="宋体" w:cs="宋体"/>
          <w:color w:val="auto"/>
          <w:highlight w:val="none"/>
        </w:rPr>
        <w:t>关于其他保险的约定：</w:t>
      </w:r>
      <w:r>
        <w:rPr>
          <w:rFonts w:hint="eastAsia" w:ascii="宋体" w:hAnsi="宋体" w:cs="宋体"/>
          <w:bCs/>
          <w:color w:val="auto"/>
          <w:highlight w:val="none"/>
          <w:u w:val="single"/>
        </w:rPr>
        <w:t>承包人必须为施工现场从事施工的所有作业人员和管理人员办理办理工伤保险，并支付保费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519C79D">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是   </w:t>
      </w:r>
      <w:r>
        <w:rPr>
          <w:rFonts w:hint="eastAsia" w:ascii="宋体" w:hAnsi="宋体" w:cs="宋体"/>
          <w:color w:val="auto"/>
          <w:highlight w:val="none"/>
        </w:rPr>
        <w:t>。</w:t>
      </w:r>
    </w:p>
    <w:p w14:paraId="1E4C89B7">
      <w:pPr>
        <w:pStyle w:val="93"/>
        <w:rPr>
          <w:rFonts w:ascii="宋体" w:hAnsi="宋体" w:cs="宋体"/>
          <w:color w:val="auto"/>
          <w:highlight w:val="none"/>
        </w:rPr>
      </w:pPr>
      <w:bookmarkStart w:id="1620" w:name="_Toc114058915"/>
      <w:bookmarkStart w:id="1621" w:name="_Toc24025"/>
      <w:bookmarkStart w:id="1622" w:name="_Toc78449864"/>
      <w:bookmarkStart w:id="1623" w:name="_Toc389065340"/>
      <w:bookmarkStart w:id="1624" w:name="_Toc373478422"/>
      <w:bookmarkStart w:id="1625" w:name="_Toc24927"/>
      <w:bookmarkStart w:id="1626" w:name="_Toc32267"/>
      <w:bookmarkStart w:id="1627" w:name="_Toc407135278"/>
      <w:bookmarkStart w:id="1628" w:name="_Toc373227775"/>
      <w:r>
        <w:rPr>
          <w:rFonts w:hint="eastAsia" w:ascii="宋体" w:hAnsi="宋体" w:cs="宋体"/>
          <w:color w:val="auto"/>
          <w:highlight w:val="none"/>
        </w:rPr>
        <w:t>18.7 通知义务</w:t>
      </w:r>
      <w:bookmarkEnd w:id="1620"/>
      <w:bookmarkEnd w:id="1621"/>
      <w:bookmarkEnd w:id="1622"/>
      <w:bookmarkEnd w:id="1623"/>
      <w:bookmarkEnd w:id="1624"/>
      <w:bookmarkEnd w:id="1625"/>
      <w:bookmarkEnd w:id="1626"/>
      <w:bookmarkEnd w:id="1627"/>
      <w:bookmarkEnd w:id="1628"/>
    </w:p>
    <w:p w14:paraId="790D9B6B">
      <w:pPr>
        <w:pStyle w:val="78"/>
        <w:spacing w:line="360" w:lineRule="auto"/>
        <w:ind w:firstLine="412" w:firstLineChars="200"/>
        <w:jc w:val="left"/>
        <w:rPr>
          <w:rFonts w:ascii="宋体" w:hAnsi="宋体" w:cs="宋体"/>
          <w:color w:val="auto"/>
          <w:highlight w:val="none"/>
          <w:u w:val="single"/>
        </w:rPr>
      </w:pPr>
      <w:r>
        <w:rPr>
          <w:rFonts w:hint="eastAsia" w:ascii="宋体" w:hAnsi="宋体" w:cs="宋体"/>
          <w:color w:val="auto"/>
          <w:kern w:val="0"/>
          <w:highlight w:val="none"/>
        </w:rPr>
        <w:t>关于变更保险合同时的通知义务的约定：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bookmarkEnd w:id="1470"/>
    <w:bookmarkEnd w:id="1471"/>
    <w:bookmarkEnd w:id="1472"/>
    <w:bookmarkEnd w:id="1473"/>
    <w:bookmarkEnd w:id="1474"/>
    <w:bookmarkEnd w:id="1475"/>
    <w:bookmarkEnd w:id="1476"/>
    <w:bookmarkEnd w:id="1477"/>
    <w:bookmarkEnd w:id="1478"/>
    <w:bookmarkEnd w:id="1479"/>
    <w:bookmarkEnd w:id="1480"/>
    <w:bookmarkEnd w:id="1481"/>
    <w:p w14:paraId="467EB963">
      <w:pPr>
        <w:pStyle w:val="94"/>
        <w:rPr>
          <w:rFonts w:ascii="宋体" w:hAnsi="宋体" w:eastAsia="宋体" w:cs="宋体"/>
          <w:color w:val="auto"/>
          <w:highlight w:val="none"/>
        </w:rPr>
      </w:pPr>
      <w:bookmarkStart w:id="1629" w:name="_Toc20347"/>
      <w:bookmarkStart w:id="1630" w:name="_Toc3678"/>
      <w:bookmarkStart w:id="1631" w:name="_Toc78449865"/>
      <w:bookmarkStart w:id="1632" w:name="_Toc407135279"/>
      <w:bookmarkStart w:id="1633" w:name="_Toc351203651"/>
      <w:bookmarkStart w:id="1634" w:name="_Toc114058916"/>
      <w:bookmarkStart w:id="1635" w:name="_Toc373478423"/>
      <w:bookmarkStart w:id="1636" w:name="_Toc9333"/>
      <w:bookmarkStart w:id="1637" w:name="_Toc373227776"/>
      <w:bookmarkStart w:id="1638" w:name="_Toc389065341"/>
      <w:r>
        <w:rPr>
          <w:rFonts w:hint="eastAsia" w:ascii="宋体" w:hAnsi="宋体" w:eastAsia="宋体" w:cs="宋体"/>
          <w:color w:val="auto"/>
          <w:highlight w:val="none"/>
        </w:rPr>
        <w:t>20. 争议解决</w:t>
      </w:r>
      <w:bookmarkEnd w:id="1629"/>
      <w:bookmarkEnd w:id="1630"/>
      <w:bookmarkEnd w:id="1631"/>
      <w:bookmarkEnd w:id="1632"/>
      <w:bookmarkEnd w:id="1633"/>
      <w:bookmarkEnd w:id="1634"/>
      <w:bookmarkEnd w:id="1635"/>
      <w:bookmarkEnd w:id="1636"/>
      <w:bookmarkEnd w:id="1637"/>
      <w:bookmarkEnd w:id="1638"/>
    </w:p>
    <w:bookmarkEnd w:id="1482"/>
    <w:bookmarkEnd w:id="1483"/>
    <w:p w14:paraId="487FA140">
      <w:pPr>
        <w:pStyle w:val="93"/>
        <w:rPr>
          <w:rFonts w:ascii="宋体" w:hAnsi="宋体" w:cs="宋体"/>
          <w:color w:val="auto"/>
          <w:highlight w:val="none"/>
        </w:rPr>
      </w:pPr>
      <w:bookmarkStart w:id="1639" w:name="_Toc31299"/>
      <w:bookmarkStart w:id="1640" w:name="_Toc389065342"/>
      <w:bookmarkStart w:id="1641" w:name="_Toc114058917"/>
      <w:bookmarkStart w:id="1642" w:name="_Toc13183"/>
      <w:bookmarkStart w:id="1643" w:name="_Toc373227777"/>
      <w:bookmarkStart w:id="1644" w:name="_Toc373478424"/>
      <w:bookmarkStart w:id="1645" w:name="_Toc78449866"/>
      <w:bookmarkStart w:id="1646" w:name="_Toc407135280"/>
      <w:bookmarkStart w:id="1647" w:name="_Toc2040"/>
      <w:r>
        <w:rPr>
          <w:rFonts w:hint="eastAsia" w:ascii="宋体" w:hAnsi="宋体" w:cs="宋体"/>
          <w:color w:val="auto"/>
          <w:highlight w:val="none"/>
        </w:rPr>
        <w:t>20.3 争</w:t>
      </w:r>
      <w:bookmarkEnd w:id="1484"/>
      <w:r>
        <w:rPr>
          <w:rFonts w:hint="eastAsia" w:ascii="宋体" w:hAnsi="宋体" w:cs="宋体"/>
          <w:color w:val="auto"/>
          <w:highlight w:val="none"/>
        </w:rPr>
        <w:t>议评审</w:t>
      </w:r>
      <w:bookmarkEnd w:id="1639"/>
      <w:bookmarkEnd w:id="1640"/>
      <w:bookmarkEnd w:id="1641"/>
      <w:bookmarkEnd w:id="1642"/>
      <w:bookmarkEnd w:id="1643"/>
      <w:bookmarkEnd w:id="1644"/>
      <w:bookmarkEnd w:id="1645"/>
      <w:bookmarkEnd w:id="1646"/>
      <w:bookmarkEnd w:id="1647"/>
    </w:p>
    <w:p w14:paraId="6AD6B711">
      <w:pPr>
        <w:pStyle w:val="79"/>
        <w:spacing w:line="360" w:lineRule="auto"/>
        <w:ind w:left="146" w:leftChars="71" w:firstLine="309"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由发包人与承包人双方协商确定</w:t>
      </w:r>
      <w:r>
        <w:rPr>
          <w:rFonts w:hint="eastAsia" w:ascii="宋体" w:hAnsi="宋体" w:cs="宋体"/>
          <w:color w:val="auto"/>
          <w:szCs w:val="21"/>
          <w:highlight w:val="none"/>
        </w:rPr>
        <w:t>。</w:t>
      </w:r>
    </w:p>
    <w:p w14:paraId="28BE1182">
      <w:pPr>
        <w:pStyle w:val="79"/>
        <w:spacing w:line="360" w:lineRule="auto"/>
        <w:ind w:firstLine="412" w:firstLineChars="200"/>
        <w:jc w:val="left"/>
        <w:outlineLvl w:val="0"/>
        <w:rPr>
          <w:rFonts w:ascii="宋体" w:hAnsi="宋体" w:cs="宋体"/>
          <w:color w:val="auto"/>
          <w:szCs w:val="21"/>
          <w:highlight w:val="none"/>
        </w:rPr>
      </w:pPr>
      <w:bookmarkStart w:id="1648" w:name="_Toc27863"/>
      <w:bookmarkStart w:id="1649" w:name="_Toc27905"/>
      <w:bookmarkStart w:id="1650" w:name="_Toc336"/>
      <w:bookmarkStart w:id="1651" w:name="_Toc14027"/>
      <w:r>
        <w:rPr>
          <w:rFonts w:hint="eastAsia" w:ascii="宋体" w:hAnsi="宋体" w:cs="宋体"/>
          <w:color w:val="auto"/>
          <w:szCs w:val="21"/>
          <w:highlight w:val="none"/>
        </w:rPr>
        <w:t>20.3.1 争议评审小组的确定</w:t>
      </w:r>
      <w:bookmarkEnd w:id="1648"/>
      <w:bookmarkEnd w:id="1649"/>
      <w:bookmarkEnd w:id="1650"/>
      <w:bookmarkEnd w:id="1651"/>
    </w:p>
    <w:p w14:paraId="35A87AB3">
      <w:pPr>
        <w:pStyle w:val="79"/>
        <w:spacing w:line="360" w:lineRule="auto"/>
        <w:ind w:firstLine="412"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如双方商定采用争议评审方式解决，则按通用条款执行</w:t>
      </w:r>
      <w:r>
        <w:rPr>
          <w:rFonts w:hint="eastAsia" w:ascii="宋体" w:hAnsi="宋体" w:cs="宋体"/>
          <w:color w:val="auto"/>
          <w:szCs w:val="21"/>
          <w:highlight w:val="none"/>
        </w:rPr>
        <w:t>。</w:t>
      </w:r>
    </w:p>
    <w:p w14:paraId="71883832">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如双方商定采用争议评审方式解决，则按通用条款执行</w:t>
      </w:r>
      <w:r>
        <w:rPr>
          <w:rFonts w:hint="eastAsia" w:ascii="宋体" w:hAnsi="宋体" w:cs="宋体"/>
          <w:color w:val="auto"/>
          <w:szCs w:val="21"/>
          <w:highlight w:val="none"/>
        </w:rPr>
        <w:t>。</w:t>
      </w:r>
    </w:p>
    <w:p w14:paraId="3FB5160D">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如双方商定采用争议评审方式解决，则按通用条款执行</w:t>
      </w:r>
      <w:r>
        <w:rPr>
          <w:rFonts w:hint="eastAsia" w:ascii="宋体" w:hAnsi="宋体" w:cs="宋体"/>
          <w:color w:val="auto"/>
          <w:szCs w:val="21"/>
          <w:highlight w:val="none"/>
        </w:rPr>
        <w:t>。</w:t>
      </w:r>
    </w:p>
    <w:p w14:paraId="5D127B7C">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34EBB7CA">
      <w:pPr>
        <w:pStyle w:val="79"/>
        <w:autoSpaceDE w:val="0"/>
        <w:autoSpaceDN w:val="0"/>
        <w:adjustRightInd w:val="0"/>
        <w:spacing w:line="360" w:lineRule="auto"/>
        <w:ind w:firstLine="412"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4C5B0D9B">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6609B6E5">
      <w:pPr>
        <w:pStyle w:val="93"/>
        <w:rPr>
          <w:rFonts w:ascii="宋体" w:hAnsi="宋体" w:cs="宋体"/>
          <w:color w:val="auto"/>
          <w:highlight w:val="none"/>
        </w:rPr>
      </w:pPr>
      <w:bookmarkStart w:id="1652" w:name="_Toc407135281"/>
      <w:bookmarkStart w:id="1653" w:name="_Toc3011"/>
      <w:bookmarkStart w:id="1654" w:name="_Toc7934"/>
      <w:bookmarkStart w:id="1655" w:name="_Toc373227778"/>
      <w:bookmarkStart w:id="1656" w:name="_Toc78449867"/>
      <w:bookmarkStart w:id="1657" w:name="_Toc389065343"/>
      <w:bookmarkStart w:id="1658" w:name="_Toc114058918"/>
      <w:bookmarkStart w:id="1659" w:name="_Toc27409"/>
      <w:bookmarkStart w:id="1660" w:name="_Toc373478425"/>
      <w:r>
        <w:rPr>
          <w:rFonts w:hint="eastAsia" w:ascii="宋体" w:hAnsi="宋体" w:cs="宋体"/>
          <w:color w:val="auto"/>
          <w:highlight w:val="none"/>
        </w:rPr>
        <w:t>20.4 仲裁或诉讼</w:t>
      </w:r>
      <w:bookmarkEnd w:id="1485"/>
      <w:bookmarkEnd w:id="1652"/>
      <w:bookmarkEnd w:id="1653"/>
      <w:bookmarkEnd w:id="1654"/>
      <w:bookmarkEnd w:id="1655"/>
      <w:bookmarkEnd w:id="1656"/>
      <w:bookmarkEnd w:id="1657"/>
      <w:bookmarkEnd w:id="1658"/>
      <w:bookmarkEnd w:id="1659"/>
      <w:bookmarkEnd w:id="1660"/>
    </w:p>
    <w:p w14:paraId="26A90A40">
      <w:pPr>
        <w:pStyle w:val="78"/>
        <w:spacing w:line="360" w:lineRule="auto"/>
        <w:ind w:firstLine="412"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40A443A3">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（1）提请</w:t>
      </w:r>
      <w:r>
        <w:rPr>
          <w:rFonts w:hint="eastAsia" w:ascii="宋体" w:hAnsi="宋体" w:cs="宋体"/>
          <w:color w:val="auto"/>
          <w:highlight w:val="none"/>
          <w:u w:val="single"/>
        </w:rPr>
        <w:t xml:space="preserve">  /   </w:t>
      </w:r>
      <w:r>
        <w:rPr>
          <w:rFonts w:hint="eastAsia" w:ascii="宋体" w:hAnsi="宋体" w:cs="宋体"/>
          <w:color w:val="auto"/>
          <w:highlight w:val="none"/>
        </w:rPr>
        <w:t>仲裁委员会按照该会仲裁规则进行仲裁，仲裁裁决是终局的，对合同双方均有约束力。</w:t>
      </w:r>
    </w:p>
    <w:p w14:paraId="17A18408">
      <w:pPr>
        <w:pStyle w:val="78"/>
        <w:spacing w:line="360" w:lineRule="auto"/>
        <w:ind w:firstLine="412"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有管辖权的</w:t>
      </w:r>
      <w:r>
        <w:rPr>
          <w:rFonts w:hint="eastAsia" w:ascii="宋体" w:hAnsi="宋体" w:cs="宋体"/>
          <w:color w:val="auto"/>
          <w:highlight w:val="none"/>
        </w:rPr>
        <w:t>人民法院起诉。</w:t>
      </w:r>
      <w:bookmarkEnd w:id="1486"/>
      <w:bookmarkEnd w:id="1487"/>
      <w:bookmarkEnd w:id="1488"/>
      <w:bookmarkEnd w:id="1489"/>
      <w:bookmarkEnd w:id="1490"/>
      <w:bookmarkEnd w:id="1491"/>
    </w:p>
    <w:p w14:paraId="0B154692">
      <w:pPr>
        <w:pStyle w:val="79"/>
        <w:keepNext/>
        <w:keepLines/>
        <w:spacing w:line="360" w:lineRule="auto"/>
        <w:outlineLvl w:val="0"/>
        <w:rPr>
          <w:rFonts w:ascii="宋体" w:hAnsi="宋体" w:cs="宋体"/>
          <w:b/>
          <w:bCs/>
          <w:color w:val="auto"/>
          <w:kern w:val="44"/>
          <w:szCs w:val="21"/>
          <w:highlight w:val="none"/>
        </w:rPr>
      </w:pPr>
      <w:bookmarkStart w:id="1661" w:name="_Toc8687"/>
      <w:bookmarkStart w:id="1662" w:name="_Toc373478426"/>
      <w:bookmarkStart w:id="1663" w:name="_Toc10269"/>
      <w:bookmarkStart w:id="1664" w:name="_Toc373227779"/>
      <w:bookmarkStart w:id="1665" w:name="_Toc17291"/>
      <w:bookmarkStart w:id="1666" w:name="_Toc373743696"/>
      <w:bookmarkStart w:id="1667" w:name="_Toc7350"/>
      <w:r>
        <w:rPr>
          <w:rFonts w:hint="eastAsia" w:ascii="宋体" w:hAnsi="宋体" w:cs="宋体"/>
          <w:b/>
          <w:bCs/>
          <w:color w:val="auto"/>
          <w:kern w:val="44"/>
          <w:szCs w:val="21"/>
          <w:highlight w:val="none"/>
        </w:rPr>
        <w:t>21. 补充条款</w:t>
      </w:r>
      <w:bookmarkEnd w:id="1661"/>
      <w:bookmarkEnd w:id="1662"/>
      <w:bookmarkEnd w:id="1663"/>
      <w:bookmarkEnd w:id="1664"/>
      <w:bookmarkEnd w:id="1665"/>
      <w:bookmarkEnd w:id="1666"/>
      <w:bookmarkEnd w:id="1667"/>
    </w:p>
    <w:p w14:paraId="502A8910">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21.1 凡进入本工程工作的妇女应持有计生证、否则不准安排工作，禁止使用童工。</w:t>
      </w:r>
    </w:p>
    <w:p w14:paraId="2F960A53">
      <w:pPr>
        <w:pStyle w:val="79"/>
        <w:spacing w:line="360" w:lineRule="auto"/>
        <w:ind w:firstLine="396"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21.2与本合同有关的通知应以书面形式作出并直接送达有关方，或经电子邮件、专递方式送达有关方或其代表人（包括：发包人现场代表、承包人项目经理）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14:paraId="42F90465">
      <w:pPr>
        <w:pStyle w:val="79"/>
        <w:spacing w:line="360" w:lineRule="auto"/>
        <w:ind w:firstLine="39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21.3实现债权的费用承担：因任何一方违约致使相对方采取诉讼方式实现债权的，违约方应承担相对方为此支付的合理费用，包括但不限于诉讼费、律师费、差旅费等。</w:t>
      </w:r>
    </w:p>
    <w:p w14:paraId="7CA7591B">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21.4关于施工管理：遵守发包人的各项管理规定；按现行法律、法规、现行施工规范及相关规定、进行施工。其中临时设施、安全施工、文明施工，并符合现行规范及技术标准 的要求，费用由承包人负责；施工中所产生的建筑垃圾由承包人负责清运出校区外，费用由承包人承担； </w:t>
      </w:r>
    </w:p>
    <w:p w14:paraId="3F0CEABF">
      <w:pPr>
        <w:pStyle w:val="79"/>
        <w:spacing w:line="360" w:lineRule="auto"/>
        <w:ind w:firstLine="39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21.5发包人谈判文件及相关答疑均视为合同约定内容，如承包人不遵守，则视为承包人违约。</w:t>
      </w:r>
    </w:p>
    <w:p w14:paraId="0B8C2936">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21.6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14:paraId="03298588">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21.7对于发包人认为不合格的项目管理人员，发包人有权要求更换，在发包人提出书面更换要求7个工作日内，承包人将合格的项目管理人员更换到位。</w:t>
      </w:r>
    </w:p>
    <w:p w14:paraId="412E3808">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21.8合同总价包括了竣工资料编制费，并由总承包单位统一归档；如果竣工资料编制不合格，无法正常移交档案馆，由承包人承担一切责任和费用。</w:t>
      </w:r>
    </w:p>
    <w:p w14:paraId="4D9943E8">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21.9承包人不得转包。</w:t>
      </w:r>
    </w:p>
    <w:p w14:paraId="4AC3634F">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21.10合同总价包括了本分包范围所有现场垃圾的清运费用。承包人应在接到发包人清场通知后3天内，将承包人的所有的临设（包括基础等）及材料、设备全部撤场；否则发包人将自行找人清理，费用由承包人方负责。</w:t>
      </w:r>
    </w:p>
    <w:p w14:paraId="354C38B8">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21.11竣工清理和成品保护：进行承包人承包范围内的竣工清理和成品保护工作，费用已含在合同总价中。</w:t>
      </w:r>
    </w:p>
    <w:p w14:paraId="39C91A8C">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21.12结算依据的整理工作：</w:t>
      </w:r>
    </w:p>
    <w:p w14:paraId="4C994231">
      <w:pPr>
        <w:pStyle w:val="79"/>
        <w:spacing w:line="360" w:lineRule="auto"/>
        <w:ind w:left="2"/>
        <w:rPr>
          <w:rFonts w:ascii="宋体" w:hAnsi="宋体" w:cs="宋体"/>
          <w:color w:val="auto"/>
          <w:szCs w:val="21"/>
          <w:highlight w:val="none"/>
        </w:rPr>
      </w:pPr>
      <w:r>
        <w:rPr>
          <w:rFonts w:hint="eastAsia" w:ascii="宋体" w:hAnsi="宋体" w:cs="宋体"/>
          <w:color w:val="auto"/>
          <w:szCs w:val="21"/>
          <w:highlight w:val="none"/>
        </w:rPr>
        <w:t xml:space="preserve">   图纸外需增加费用任何工程实施（包括变更洽商、合同外新增工程、各种索赔等），必须有发包人负责人签字确认，并在发生后14个工作日内将增减的费用报送发包人，否则结算时不予办理；核减的洽商据实结算。  </w:t>
      </w:r>
    </w:p>
    <w:p w14:paraId="2587B77C">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21.13农民工工资的有关规定按国家或地方有关政策或文件执行。禁止承包人拖欠劳务人员（农民工）工资。承包人承诺将发包人付款直接发到劳务人员（农民工）的手中，按国家或地方规定建立农民工工资制度，与全部劳务人员签订正式的劳动合同，将农民工工资每月直接打到农民工的工资卡（银行帐户）中。承包人将每月农民工的工资发放记录和签字表交给发包人工程部，否则发包人在下月付款时有权不予支付。</w:t>
      </w:r>
    </w:p>
    <w:p w14:paraId="2CDDBAE8">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承包人应按月足额发放全部工人工资，若承包人有拖欠工人工资的现象，发包单位可考虑代付该部分工人工资，并从当月工程进度款中扣回。由此引发的工人罢工、闹事等不良后果，承包人应承担全部责任，发包单位可视情节要求承保人支付一定的违约金。</w:t>
      </w:r>
    </w:p>
    <w:p w14:paraId="62DC6149">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21.14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14:paraId="6E17A921">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21.15发包人具有根据本工程需要发出有关工程质量、进度、造价、安全管理、经济处罚等工作联系函或指令的权利，上述工作联系函或指令经发包人同意后，承包人必须执行。</w:t>
      </w:r>
    </w:p>
    <w:p w14:paraId="265AC39F">
      <w:pPr>
        <w:pStyle w:val="79"/>
        <w:spacing w:line="360" w:lineRule="auto"/>
        <w:ind w:firstLine="412" w:firstLineChars="200"/>
        <w:rPr>
          <w:rFonts w:ascii="宋体" w:hAnsi="宋体" w:cs="宋体"/>
          <w:color w:val="auto"/>
          <w:szCs w:val="21"/>
          <w:highlight w:val="none"/>
        </w:rPr>
      </w:pPr>
      <w:r>
        <w:rPr>
          <w:rFonts w:hint="eastAsia" w:ascii="宋体" w:hAnsi="宋体" w:cs="宋体"/>
          <w:color w:val="auto"/>
          <w:szCs w:val="21"/>
          <w:highlight w:val="none"/>
        </w:rPr>
        <w:t>21.16发包人仅提供现场水、电的源头，其余接管、接线、装表等均由承包人负责，水电费由承包人缴纳。水电费及计量表等费用均已包含在承包人合同造价内。</w:t>
      </w:r>
    </w:p>
    <w:p w14:paraId="146958B2">
      <w:pPr>
        <w:pStyle w:val="79"/>
        <w:spacing w:line="360" w:lineRule="auto"/>
        <w:ind w:left="2" w:leftChars="1" w:firstLine="412" w:firstLineChars="200"/>
        <w:rPr>
          <w:rFonts w:ascii="宋体" w:hAnsi="宋体" w:cs="宋体"/>
          <w:color w:val="auto"/>
          <w:szCs w:val="21"/>
          <w:highlight w:val="none"/>
        </w:rPr>
      </w:pPr>
      <w:r>
        <w:rPr>
          <w:rFonts w:hint="eastAsia" w:ascii="宋体" w:hAnsi="宋体" w:cs="宋体"/>
          <w:color w:val="auto"/>
          <w:szCs w:val="21"/>
          <w:highlight w:val="none"/>
        </w:rPr>
        <w:t>21.17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14:paraId="43828434">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21.18  本专用条款未约定的均按本合同通用条款规定执行。  </w:t>
      </w:r>
    </w:p>
    <w:p w14:paraId="4D04F2A8">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21.19因任何一方违约致使相对方采取诉讼方式实现债权的，违约方应承担相对方为此支付的合理费用，包括但不限于诉讼费、律师费、差旅费等。</w:t>
      </w:r>
    </w:p>
    <w:p w14:paraId="33233A61">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21.20本合同不受任何一方法人代表或单位名称的变更而改变合作性质和合同约定。</w:t>
      </w:r>
    </w:p>
    <w:p w14:paraId="286E3ADB">
      <w:pPr>
        <w:pStyle w:val="79"/>
        <w:spacing w:line="360" w:lineRule="auto"/>
        <w:ind w:firstLine="412" w:firstLineChars="200"/>
        <w:jc w:val="left"/>
        <w:rPr>
          <w:rFonts w:ascii="宋体" w:hAnsi="宋体" w:cs="宋体"/>
          <w:color w:val="auto"/>
          <w:szCs w:val="21"/>
          <w:highlight w:val="none"/>
        </w:rPr>
      </w:pPr>
      <w:r>
        <w:rPr>
          <w:rFonts w:hint="eastAsia" w:ascii="宋体" w:hAnsi="宋体" w:cs="宋体"/>
          <w:color w:val="auto"/>
          <w:szCs w:val="21"/>
          <w:highlight w:val="none"/>
        </w:rPr>
        <w:t>21.21 甲方已经委托全过程工程咨询单位对本项目进行项目管理，乙方在合同履约期间应服从全过程工程咨询单位的管理。</w:t>
      </w:r>
    </w:p>
    <w:p w14:paraId="5BB9213B">
      <w:pPr>
        <w:pStyle w:val="79"/>
        <w:spacing w:line="360" w:lineRule="auto"/>
        <w:ind w:firstLine="412"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21.22本合同未约定其他事项，双方可签订补充协议。补充协议与本合同具有同等法律效力。</w:t>
      </w:r>
    </w:p>
    <w:p w14:paraId="48B485AF">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 w:val="28"/>
          <w:szCs w:val="28"/>
          <w:highlight w:val="none"/>
        </w:rPr>
      </w:pPr>
      <w:bookmarkStart w:id="1668" w:name="_Toc351203652"/>
    </w:p>
    <w:p w14:paraId="5D9B4C6C">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bookmarkEnd w:id="1668"/>
    </w:p>
    <w:p w14:paraId="09A0CDFC">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附件1：承包人承揽工程项目一览表</w:t>
      </w:r>
    </w:p>
    <w:p w14:paraId="0D22EF91">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附件2：工程质量保修书</w:t>
      </w:r>
    </w:p>
    <w:p w14:paraId="2E17FBF2">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附件3：主要建设工程文件目录</w:t>
      </w:r>
    </w:p>
    <w:p w14:paraId="15AA8623">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50F487BB">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附件5：承包人主要施工管理人员表</w:t>
      </w:r>
    </w:p>
    <w:p w14:paraId="1CA614CE">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附件6：分包人主要施工管理人员表</w:t>
      </w:r>
    </w:p>
    <w:p w14:paraId="5CB72110">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附件7：履约担保格式（独立保函、非独立保函）</w:t>
      </w:r>
    </w:p>
    <w:p w14:paraId="2593AEE4">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8</w:t>
      </w:r>
      <w:r>
        <w:rPr>
          <w:rFonts w:hint="eastAsia" w:ascii="宋体" w:hAnsi="宋体" w:cs="宋体"/>
          <w:color w:val="auto"/>
          <w:highlight w:val="none"/>
        </w:rPr>
        <w:t>：支付担保格式（独立保函、非独立保函）</w:t>
      </w:r>
    </w:p>
    <w:p w14:paraId="17E1F90D">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9</w:t>
      </w:r>
      <w:r>
        <w:rPr>
          <w:rFonts w:hint="eastAsia" w:ascii="宋体" w:hAnsi="宋体" w:cs="宋体"/>
          <w:color w:val="auto"/>
          <w:highlight w:val="none"/>
        </w:rPr>
        <w:t>：进度款支付申请（核准）表</w:t>
      </w:r>
    </w:p>
    <w:p w14:paraId="7CA1CB74">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10</w:t>
      </w:r>
      <w:r>
        <w:rPr>
          <w:rFonts w:hint="eastAsia" w:ascii="宋体" w:hAnsi="宋体" w:cs="宋体"/>
          <w:color w:val="auto"/>
          <w:highlight w:val="none"/>
        </w:rPr>
        <w:t>：竣工结算款支付申请（核准）表</w:t>
      </w:r>
    </w:p>
    <w:p w14:paraId="18EF73E5">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11</w:t>
      </w:r>
      <w:r>
        <w:rPr>
          <w:rFonts w:hint="eastAsia" w:ascii="宋体" w:hAnsi="宋体" w:cs="宋体"/>
          <w:color w:val="auto"/>
          <w:highlight w:val="none"/>
        </w:rPr>
        <w:t>：最终结算款支付申请（核准）表</w:t>
      </w:r>
    </w:p>
    <w:p w14:paraId="0FD2266F">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12</w:t>
      </w:r>
      <w:r>
        <w:rPr>
          <w:rFonts w:hint="eastAsia" w:ascii="宋体" w:hAnsi="宋体" w:cs="宋体"/>
          <w:color w:val="auto"/>
          <w:highlight w:val="none"/>
        </w:rPr>
        <w:t>：总价合同进度款支付分解表</w:t>
      </w:r>
    </w:p>
    <w:p w14:paraId="41C10C0B">
      <w:pPr>
        <w:pStyle w:val="7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auto"/>
          <w:highlight w:val="none"/>
        </w:rPr>
      </w:pPr>
      <w:r>
        <w:rPr>
          <w:rFonts w:hint="eastAsia" w:ascii="宋体" w:hAnsi="宋体" w:cs="宋体"/>
          <w:color w:val="auto"/>
          <w:highlight w:val="none"/>
        </w:rPr>
        <w:t>附件13：广西壮族自治区政府采购项目合同验收书（格式）</w:t>
      </w:r>
    </w:p>
    <w:p w14:paraId="2B24E4CF">
      <w:pPr>
        <w:widowControl w:val="0"/>
        <w:spacing w:line="360" w:lineRule="auto"/>
        <w:jc w:val="left"/>
        <w:rPr>
          <w:rFonts w:hint="eastAsia" w:ascii="宋体" w:hAnsi="宋体" w:eastAsia="宋体" w:cs="宋体"/>
          <w:color w:val="auto"/>
          <w:kern w:val="2"/>
          <w:sz w:val="21"/>
          <w:szCs w:val="22"/>
          <w:highlight w:val="none"/>
          <w:lang w:val="en-US" w:eastAsia="zh-CN" w:bidi="ar-SA"/>
        </w:rPr>
      </w:pPr>
    </w:p>
    <w:p w14:paraId="58B94378">
      <w:pPr>
        <w:widowControl w:val="0"/>
        <w:spacing w:before="120" w:beforeLines="50" w:after="120" w:afterLines="50" w:line="440" w:lineRule="exact"/>
        <w:jc w:val="left"/>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21"/>
          <w:szCs w:val="22"/>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附件1：</w:t>
      </w:r>
    </w:p>
    <w:p w14:paraId="12861DF8">
      <w:pPr>
        <w:widowControl w:val="0"/>
        <w:spacing w:before="120" w:beforeLines="50" w:after="120" w:afterLines="50" w:line="440" w:lineRule="exact"/>
        <w:jc w:val="center"/>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承包人承揽工程项目一览表</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86"/>
        <w:gridCol w:w="1292"/>
        <w:gridCol w:w="1059"/>
        <w:gridCol w:w="850"/>
        <w:gridCol w:w="913"/>
        <w:gridCol w:w="1116"/>
        <w:gridCol w:w="1053"/>
        <w:gridCol w:w="851"/>
        <w:gridCol w:w="850"/>
      </w:tblGrid>
      <w:tr w14:paraId="13C6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8" w:type="dxa"/>
            <w:noWrap w:val="0"/>
            <w:vAlign w:val="center"/>
          </w:tcPr>
          <w:p w14:paraId="54A0BA5E">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单位工程名称</w:t>
            </w:r>
          </w:p>
        </w:tc>
        <w:tc>
          <w:tcPr>
            <w:tcW w:w="786" w:type="dxa"/>
            <w:noWrap w:val="0"/>
            <w:vAlign w:val="center"/>
          </w:tcPr>
          <w:p w14:paraId="58020C4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建设规模</w:t>
            </w:r>
          </w:p>
        </w:tc>
        <w:tc>
          <w:tcPr>
            <w:tcW w:w="1292" w:type="dxa"/>
            <w:noWrap w:val="0"/>
            <w:vAlign w:val="center"/>
          </w:tcPr>
          <w:p w14:paraId="2F3FA19E">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建筑面积(平方米)</w:t>
            </w:r>
          </w:p>
        </w:tc>
        <w:tc>
          <w:tcPr>
            <w:tcW w:w="1059" w:type="dxa"/>
            <w:noWrap w:val="0"/>
            <w:vAlign w:val="center"/>
          </w:tcPr>
          <w:p w14:paraId="5F4FE42A">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结构</w:t>
            </w:r>
          </w:p>
          <w:p w14:paraId="6618495E">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形式</w:t>
            </w:r>
          </w:p>
        </w:tc>
        <w:tc>
          <w:tcPr>
            <w:tcW w:w="850" w:type="dxa"/>
            <w:noWrap w:val="0"/>
            <w:vAlign w:val="center"/>
          </w:tcPr>
          <w:p w14:paraId="604E1987">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层数</w:t>
            </w:r>
          </w:p>
        </w:tc>
        <w:tc>
          <w:tcPr>
            <w:tcW w:w="913" w:type="dxa"/>
            <w:noWrap w:val="0"/>
            <w:vAlign w:val="center"/>
          </w:tcPr>
          <w:p w14:paraId="3A4DA5B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1116" w:type="dxa"/>
            <w:noWrap w:val="0"/>
            <w:vAlign w:val="center"/>
          </w:tcPr>
          <w:p w14:paraId="43F8069B">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设备安装内容</w:t>
            </w:r>
          </w:p>
        </w:tc>
        <w:tc>
          <w:tcPr>
            <w:tcW w:w="1053" w:type="dxa"/>
            <w:noWrap w:val="0"/>
            <w:vAlign w:val="center"/>
          </w:tcPr>
          <w:p w14:paraId="64E4F853">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合同价格（元）</w:t>
            </w:r>
          </w:p>
        </w:tc>
        <w:tc>
          <w:tcPr>
            <w:tcW w:w="851" w:type="dxa"/>
            <w:noWrap w:val="0"/>
            <w:vAlign w:val="center"/>
          </w:tcPr>
          <w:p w14:paraId="6ABCCEA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开工日期</w:t>
            </w:r>
          </w:p>
        </w:tc>
        <w:tc>
          <w:tcPr>
            <w:tcW w:w="850" w:type="dxa"/>
            <w:noWrap w:val="0"/>
            <w:vAlign w:val="center"/>
          </w:tcPr>
          <w:p w14:paraId="158AF92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竣工日期</w:t>
            </w:r>
          </w:p>
        </w:tc>
      </w:tr>
      <w:tr w14:paraId="48DA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1D5CE83C">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1CFEDD96">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09ADB11E">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41D0805F">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0702D90F">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1F3DB1C6">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59882564">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15BE404E">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5ED62981">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7D2A4480">
            <w:pPr>
              <w:pStyle w:val="96"/>
              <w:keepNext/>
              <w:spacing w:after="0" w:line="440" w:lineRule="exact"/>
              <w:ind w:left="63" w:right="63"/>
              <w:rPr>
                <w:rFonts w:ascii="宋体" w:hAnsi="宋体" w:eastAsia="宋体" w:cs="宋体"/>
                <w:color w:val="auto"/>
                <w:sz w:val="30"/>
                <w:szCs w:val="30"/>
                <w:highlight w:val="none"/>
              </w:rPr>
            </w:pPr>
          </w:p>
        </w:tc>
      </w:tr>
      <w:tr w14:paraId="4AA6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6292A4B8">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4E626556">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242B3AB5">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13E968D2">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1F8A6322">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22972149">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6C488F1B">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659138F8">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045FD992">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46894915">
            <w:pPr>
              <w:pStyle w:val="96"/>
              <w:keepNext/>
              <w:spacing w:after="0" w:line="440" w:lineRule="exact"/>
              <w:ind w:left="63" w:right="63"/>
              <w:rPr>
                <w:rFonts w:ascii="宋体" w:hAnsi="宋体" w:eastAsia="宋体" w:cs="宋体"/>
                <w:color w:val="auto"/>
                <w:sz w:val="30"/>
                <w:szCs w:val="30"/>
                <w:highlight w:val="none"/>
              </w:rPr>
            </w:pPr>
          </w:p>
        </w:tc>
      </w:tr>
      <w:tr w14:paraId="4B3B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0E840CE7">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30520F03">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6405BE29">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541B1DF4">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1944D1FE">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3A9D8C47">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61B53F54">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7A2122E7">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018CEABF">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18AF58D2">
            <w:pPr>
              <w:pStyle w:val="96"/>
              <w:keepNext/>
              <w:spacing w:after="0" w:line="440" w:lineRule="exact"/>
              <w:ind w:left="63" w:right="63"/>
              <w:rPr>
                <w:rFonts w:ascii="宋体" w:hAnsi="宋体" w:eastAsia="宋体" w:cs="宋体"/>
                <w:color w:val="auto"/>
                <w:sz w:val="30"/>
                <w:szCs w:val="30"/>
                <w:highlight w:val="none"/>
              </w:rPr>
            </w:pPr>
          </w:p>
        </w:tc>
      </w:tr>
      <w:tr w14:paraId="58F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3B1FEFA7">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7B4B0B8E">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3E99F1AD">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607F8A52">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237EE9F">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283246EE">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3B15763D">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4C96EC39">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48FD47A3">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59BA666F">
            <w:pPr>
              <w:pStyle w:val="96"/>
              <w:keepNext/>
              <w:spacing w:after="0" w:line="440" w:lineRule="exact"/>
              <w:ind w:left="63" w:right="63"/>
              <w:rPr>
                <w:rFonts w:ascii="宋体" w:hAnsi="宋体" w:eastAsia="宋体" w:cs="宋体"/>
                <w:color w:val="auto"/>
                <w:sz w:val="30"/>
                <w:szCs w:val="30"/>
                <w:highlight w:val="none"/>
              </w:rPr>
            </w:pPr>
          </w:p>
        </w:tc>
      </w:tr>
      <w:tr w14:paraId="46AA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15F4E320">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5DFC2ECD">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4125DB73">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634AE82D">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3FF4952D">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46C70EFD">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399F136F">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4CD5B6DE">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20197E2B">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52DCA0D1">
            <w:pPr>
              <w:pStyle w:val="96"/>
              <w:keepNext/>
              <w:spacing w:after="0" w:line="440" w:lineRule="exact"/>
              <w:ind w:left="63" w:right="63"/>
              <w:rPr>
                <w:rFonts w:ascii="宋体" w:hAnsi="宋体" w:eastAsia="宋体" w:cs="宋体"/>
                <w:color w:val="auto"/>
                <w:sz w:val="30"/>
                <w:szCs w:val="30"/>
                <w:highlight w:val="none"/>
              </w:rPr>
            </w:pPr>
          </w:p>
        </w:tc>
      </w:tr>
      <w:tr w14:paraId="12C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69928111">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707B9D3B">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7269221B">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7119609C">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04D0278">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47CA98AF">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389AC7C3">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4F4D523E">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626F8FD0">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07BAB39A">
            <w:pPr>
              <w:pStyle w:val="96"/>
              <w:keepNext/>
              <w:spacing w:after="0" w:line="440" w:lineRule="exact"/>
              <w:ind w:left="63" w:right="63"/>
              <w:rPr>
                <w:rFonts w:ascii="宋体" w:hAnsi="宋体" w:eastAsia="宋体" w:cs="宋体"/>
                <w:color w:val="auto"/>
                <w:sz w:val="30"/>
                <w:szCs w:val="30"/>
                <w:highlight w:val="none"/>
              </w:rPr>
            </w:pPr>
          </w:p>
        </w:tc>
      </w:tr>
      <w:tr w14:paraId="0582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153B6046">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4BCCF1EC">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41EE8A50">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19CF4487">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74AA2269">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68445250">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2F726939">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318E76BE">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3B503FD9">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2DED0191">
            <w:pPr>
              <w:pStyle w:val="96"/>
              <w:keepNext/>
              <w:spacing w:after="0" w:line="440" w:lineRule="exact"/>
              <w:ind w:left="63" w:right="63"/>
              <w:rPr>
                <w:rFonts w:ascii="宋体" w:hAnsi="宋体" w:eastAsia="宋体" w:cs="宋体"/>
                <w:color w:val="auto"/>
                <w:sz w:val="30"/>
                <w:szCs w:val="30"/>
                <w:highlight w:val="none"/>
              </w:rPr>
            </w:pPr>
          </w:p>
        </w:tc>
      </w:tr>
      <w:tr w14:paraId="0859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5FBA4BEE">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13E6FE1F">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5063FFCB">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3B7F07BE">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42A35049">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589A1C9A">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53290513">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482D0D78">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53255742">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09415D07">
            <w:pPr>
              <w:pStyle w:val="96"/>
              <w:keepNext/>
              <w:spacing w:after="0" w:line="440" w:lineRule="exact"/>
              <w:ind w:left="63" w:right="63"/>
              <w:rPr>
                <w:rFonts w:ascii="宋体" w:hAnsi="宋体" w:eastAsia="宋体" w:cs="宋体"/>
                <w:color w:val="auto"/>
                <w:sz w:val="30"/>
                <w:szCs w:val="30"/>
                <w:highlight w:val="none"/>
              </w:rPr>
            </w:pPr>
          </w:p>
        </w:tc>
      </w:tr>
      <w:tr w14:paraId="4858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73773C0C">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2086FAC3">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4FC1D6A1">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45AC993F">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093CFA52">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5DF5F5AA">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05C87D6B">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7947BB5E">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62B84A10">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3E625CAB">
            <w:pPr>
              <w:pStyle w:val="96"/>
              <w:keepNext/>
              <w:spacing w:after="0" w:line="440" w:lineRule="exact"/>
              <w:ind w:left="63" w:right="63"/>
              <w:rPr>
                <w:rFonts w:ascii="宋体" w:hAnsi="宋体" w:eastAsia="宋体" w:cs="宋体"/>
                <w:color w:val="auto"/>
                <w:sz w:val="30"/>
                <w:szCs w:val="30"/>
                <w:highlight w:val="none"/>
              </w:rPr>
            </w:pPr>
          </w:p>
        </w:tc>
      </w:tr>
      <w:tr w14:paraId="1551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noWrap w:val="0"/>
            <w:vAlign w:val="center"/>
          </w:tcPr>
          <w:p w14:paraId="1B0EFF26">
            <w:pPr>
              <w:pStyle w:val="96"/>
              <w:keepNext/>
              <w:spacing w:after="0" w:line="440" w:lineRule="exact"/>
              <w:ind w:left="63" w:right="63"/>
              <w:rPr>
                <w:rFonts w:ascii="宋体" w:hAnsi="宋体" w:eastAsia="宋体" w:cs="宋体"/>
                <w:color w:val="auto"/>
                <w:sz w:val="30"/>
                <w:szCs w:val="30"/>
                <w:highlight w:val="none"/>
              </w:rPr>
            </w:pPr>
          </w:p>
        </w:tc>
        <w:tc>
          <w:tcPr>
            <w:tcW w:w="786" w:type="dxa"/>
            <w:noWrap w:val="0"/>
            <w:vAlign w:val="center"/>
          </w:tcPr>
          <w:p w14:paraId="197A096A">
            <w:pPr>
              <w:pStyle w:val="96"/>
              <w:keepNext/>
              <w:spacing w:after="0" w:line="440" w:lineRule="exact"/>
              <w:ind w:left="63" w:right="63"/>
              <w:rPr>
                <w:rFonts w:ascii="宋体" w:hAnsi="宋体" w:eastAsia="宋体" w:cs="宋体"/>
                <w:color w:val="auto"/>
                <w:sz w:val="30"/>
                <w:szCs w:val="30"/>
                <w:highlight w:val="none"/>
              </w:rPr>
            </w:pPr>
          </w:p>
        </w:tc>
        <w:tc>
          <w:tcPr>
            <w:tcW w:w="1292" w:type="dxa"/>
            <w:noWrap w:val="0"/>
            <w:vAlign w:val="center"/>
          </w:tcPr>
          <w:p w14:paraId="0A8BF52F">
            <w:pPr>
              <w:pStyle w:val="96"/>
              <w:keepNext/>
              <w:spacing w:after="0" w:line="440" w:lineRule="exact"/>
              <w:ind w:left="63" w:right="63"/>
              <w:rPr>
                <w:rFonts w:ascii="宋体" w:hAnsi="宋体" w:eastAsia="宋体" w:cs="宋体"/>
                <w:color w:val="auto"/>
                <w:sz w:val="30"/>
                <w:szCs w:val="30"/>
                <w:highlight w:val="none"/>
              </w:rPr>
            </w:pPr>
          </w:p>
        </w:tc>
        <w:tc>
          <w:tcPr>
            <w:tcW w:w="1059" w:type="dxa"/>
            <w:noWrap w:val="0"/>
            <w:vAlign w:val="center"/>
          </w:tcPr>
          <w:p w14:paraId="17D12397">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100844DC">
            <w:pPr>
              <w:pStyle w:val="96"/>
              <w:keepNext/>
              <w:spacing w:after="0" w:line="440" w:lineRule="exact"/>
              <w:ind w:left="63" w:right="63"/>
              <w:rPr>
                <w:rFonts w:ascii="宋体" w:hAnsi="宋体" w:eastAsia="宋体" w:cs="宋体"/>
                <w:color w:val="auto"/>
                <w:sz w:val="30"/>
                <w:szCs w:val="30"/>
                <w:highlight w:val="none"/>
              </w:rPr>
            </w:pPr>
          </w:p>
        </w:tc>
        <w:tc>
          <w:tcPr>
            <w:tcW w:w="913" w:type="dxa"/>
            <w:noWrap w:val="0"/>
            <w:vAlign w:val="center"/>
          </w:tcPr>
          <w:p w14:paraId="281480B6">
            <w:pPr>
              <w:pStyle w:val="96"/>
              <w:keepNext/>
              <w:spacing w:after="0" w:line="440" w:lineRule="exact"/>
              <w:ind w:left="63" w:right="63"/>
              <w:rPr>
                <w:rFonts w:ascii="宋体" w:hAnsi="宋体" w:eastAsia="宋体" w:cs="宋体"/>
                <w:color w:val="auto"/>
                <w:sz w:val="30"/>
                <w:szCs w:val="30"/>
                <w:highlight w:val="none"/>
              </w:rPr>
            </w:pPr>
          </w:p>
        </w:tc>
        <w:tc>
          <w:tcPr>
            <w:tcW w:w="1116" w:type="dxa"/>
            <w:noWrap w:val="0"/>
            <w:vAlign w:val="center"/>
          </w:tcPr>
          <w:p w14:paraId="12D0874A">
            <w:pPr>
              <w:pStyle w:val="96"/>
              <w:keepNext/>
              <w:spacing w:after="0" w:line="440" w:lineRule="exact"/>
              <w:ind w:left="63" w:right="63"/>
              <w:rPr>
                <w:rFonts w:ascii="宋体" w:hAnsi="宋体" w:eastAsia="宋体" w:cs="宋体"/>
                <w:color w:val="auto"/>
                <w:sz w:val="30"/>
                <w:szCs w:val="30"/>
                <w:highlight w:val="none"/>
              </w:rPr>
            </w:pPr>
          </w:p>
        </w:tc>
        <w:tc>
          <w:tcPr>
            <w:tcW w:w="1053" w:type="dxa"/>
            <w:noWrap w:val="0"/>
            <w:vAlign w:val="center"/>
          </w:tcPr>
          <w:p w14:paraId="149FB1DC">
            <w:pPr>
              <w:pStyle w:val="96"/>
              <w:keepNext/>
              <w:spacing w:after="0" w:line="440" w:lineRule="exact"/>
              <w:ind w:left="63" w:right="63"/>
              <w:rPr>
                <w:rFonts w:ascii="宋体" w:hAnsi="宋体" w:eastAsia="宋体" w:cs="宋体"/>
                <w:color w:val="auto"/>
                <w:sz w:val="30"/>
                <w:szCs w:val="30"/>
                <w:highlight w:val="none"/>
              </w:rPr>
            </w:pPr>
          </w:p>
        </w:tc>
        <w:tc>
          <w:tcPr>
            <w:tcW w:w="851" w:type="dxa"/>
            <w:noWrap w:val="0"/>
            <w:vAlign w:val="center"/>
          </w:tcPr>
          <w:p w14:paraId="477808E5">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24C1538">
            <w:pPr>
              <w:pStyle w:val="96"/>
              <w:keepNext/>
              <w:spacing w:after="0" w:line="440" w:lineRule="exact"/>
              <w:ind w:left="63" w:right="63"/>
              <w:rPr>
                <w:rFonts w:ascii="宋体" w:hAnsi="宋体" w:eastAsia="宋体" w:cs="宋体"/>
                <w:color w:val="auto"/>
                <w:sz w:val="30"/>
                <w:szCs w:val="30"/>
                <w:highlight w:val="none"/>
              </w:rPr>
            </w:pPr>
          </w:p>
        </w:tc>
      </w:tr>
    </w:tbl>
    <w:p w14:paraId="44C47C10">
      <w:pPr>
        <w:widowControl w:val="0"/>
        <w:spacing w:line="460" w:lineRule="exact"/>
        <w:ind w:firstLine="412" w:firstLineChars="200"/>
        <w:jc w:val="both"/>
        <w:rPr>
          <w:rFonts w:ascii="宋体" w:hAnsi="宋体" w:eastAsia="宋体" w:cs="宋体"/>
          <w:color w:val="auto"/>
          <w:kern w:val="2"/>
          <w:sz w:val="21"/>
          <w:szCs w:val="22"/>
          <w:highlight w:val="none"/>
          <w:lang w:val="en-US" w:eastAsia="zh-CN" w:bidi="ar-SA"/>
        </w:rPr>
      </w:pPr>
    </w:p>
    <w:p w14:paraId="482FB222">
      <w:pPr>
        <w:widowControl w:val="0"/>
        <w:spacing w:line="440" w:lineRule="exact"/>
        <w:jc w:val="both"/>
        <w:rPr>
          <w:rFonts w:ascii="宋体" w:hAnsi="宋体" w:eastAsia="宋体" w:cs="宋体"/>
          <w:color w:val="auto"/>
          <w:kern w:val="2"/>
          <w:sz w:val="30"/>
          <w:szCs w:val="30"/>
          <w:highlight w:val="none"/>
          <w:lang w:val="en-US" w:eastAsia="zh-CN" w:bidi="ar-SA"/>
        </w:rPr>
      </w:pPr>
      <w:r>
        <w:rPr>
          <w:rFonts w:ascii="宋体" w:hAnsi="宋体" w:eastAsia="宋体" w:cs="宋体"/>
          <w:color w:val="auto"/>
          <w:kern w:val="2"/>
          <w:sz w:val="21"/>
          <w:szCs w:val="22"/>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附件2：</w:t>
      </w:r>
    </w:p>
    <w:p w14:paraId="23E8337D">
      <w:pPr>
        <w:widowControl w:val="0"/>
        <w:spacing w:before="120" w:beforeLines="50" w:after="120" w:afterLines="50" w:line="440" w:lineRule="exact"/>
        <w:jc w:val="center"/>
        <w:rPr>
          <w:rFonts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工程质量保修书（房屋建筑工程）</w:t>
      </w:r>
    </w:p>
    <w:p w14:paraId="000C3569">
      <w:pPr>
        <w:widowControl w:val="0"/>
        <w:spacing w:line="440" w:lineRule="exact"/>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发包人（全称）：</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w:t>
      </w:r>
    </w:p>
    <w:p w14:paraId="29DE3BD0">
      <w:pPr>
        <w:widowControl w:val="0"/>
        <w:spacing w:line="440" w:lineRule="exact"/>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承包人（全称）：</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w:t>
      </w:r>
    </w:p>
    <w:p w14:paraId="468AF415">
      <w:pPr>
        <w:widowControl w:val="0"/>
        <w:spacing w:line="440" w:lineRule="exact"/>
        <w:jc w:val="both"/>
        <w:rPr>
          <w:rFonts w:ascii="宋体" w:hAnsi="宋体" w:eastAsia="宋体" w:cs="宋体"/>
          <w:color w:val="auto"/>
          <w:kern w:val="2"/>
          <w:sz w:val="21"/>
          <w:szCs w:val="22"/>
          <w:highlight w:val="none"/>
          <w:lang w:val="en-US" w:eastAsia="zh-CN" w:bidi="ar-SA"/>
        </w:rPr>
      </w:pPr>
    </w:p>
    <w:p w14:paraId="176421B3">
      <w:pPr>
        <w:widowControl w:val="0"/>
        <w:spacing w:line="360" w:lineRule="auto"/>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发包人和承包人根据《中华人民共和国建筑法》和《建设工程质量管理条例》，经协商一致就</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（工程全称）签订工程质量保修书。</w:t>
      </w:r>
    </w:p>
    <w:p w14:paraId="3CE5B07D">
      <w:pPr>
        <w:widowControl w:val="0"/>
        <w:spacing w:line="360" w:lineRule="auto"/>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一、工程质量保修范围和内容</w:t>
      </w:r>
    </w:p>
    <w:p w14:paraId="33AD927A">
      <w:pPr>
        <w:widowControl w:val="0"/>
        <w:spacing w:line="360" w:lineRule="auto"/>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承包人在质量保修期内，按照有关法律规定和合同约定，承担工程质量保修责任。</w:t>
      </w:r>
    </w:p>
    <w:p w14:paraId="678EBFB4">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kern w:val="2"/>
          <w:sz w:val="21"/>
          <w:szCs w:val="22"/>
          <w:highlight w:val="none"/>
          <w:u w:val="single"/>
          <w:lang w:val="en-US" w:eastAsia="zh-CN" w:bidi="ar-SA"/>
        </w:rPr>
        <w:t>属承包人承包范围内的质量缺陷</w:t>
      </w:r>
      <w:r>
        <w:rPr>
          <w:rFonts w:hint="eastAsia" w:ascii="宋体" w:hAnsi="宋体" w:eastAsia="宋体" w:cs="宋体"/>
          <w:color w:val="auto"/>
          <w:kern w:val="2"/>
          <w:sz w:val="21"/>
          <w:szCs w:val="22"/>
          <w:highlight w:val="none"/>
          <w:lang w:val="en-US" w:eastAsia="zh-CN" w:bidi="ar-SA"/>
        </w:rPr>
        <w:t>。</w:t>
      </w:r>
    </w:p>
    <w:p w14:paraId="1199FD29">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二、质量保修期</w:t>
      </w:r>
    </w:p>
    <w:p w14:paraId="68261FA6">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根据《建设工程质量管理条例》及有关规定，工程的质量保修期如下：</w:t>
      </w:r>
    </w:p>
    <w:p w14:paraId="7B07DDC7">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1．地基基础工程和主体结构工程为设计文件规定的工程合理使用年限；</w:t>
      </w:r>
    </w:p>
    <w:p w14:paraId="5D89474F">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2．屋面防水工程、有防水要求的卫生间、房间和外墙面的防渗为</w:t>
      </w:r>
      <w:r>
        <w:rPr>
          <w:rFonts w:hint="eastAsia" w:ascii="宋体" w:hAnsi="宋体" w:eastAsia="宋体" w:cs="宋体"/>
          <w:color w:val="auto"/>
          <w:kern w:val="2"/>
          <w:sz w:val="21"/>
          <w:szCs w:val="22"/>
          <w:highlight w:val="none"/>
          <w:u w:val="single"/>
          <w:lang w:val="en-US" w:eastAsia="zh-CN" w:bidi="ar-SA"/>
        </w:rPr>
        <w:t xml:space="preserve">    5   </w:t>
      </w:r>
      <w:r>
        <w:rPr>
          <w:rFonts w:hint="eastAsia" w:ascii="宋体" w:hAnsi="宋体" w:eastAsia="宋体" w:cs="宋体"/>
          <w:color w:val="auto"/>
          <w:kern w:val="2"/>
          <w:sz w:val="21"/>
          <w:szCs w:val="22"/>
          <w:highlight w:val="none"/>
          <w:lang w:val="en-US" w:eastAsia="zh-CN" w:bidi="ar-SA"/>
        </w:rPr>
        <w:t>年；</w:t>
      </w:r>
    </w:p>
    <w:p w14:paraId="64C2D9BF">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3．装修工程为</w:t>
      </w:r>
      <w:r>
        <w:rPr>
          <w:rFonts w:hint="eastAsia" w:ascii="宋体" w:hAnsi="宋体" w:eastAsia="宋体" w:cs="宋体"/>
          <w:color w:val="auto"/>
          <w:kern w:val="2"/>
          <w:sz w:val="21"/>
          <w:szCs w:val="22"/>
          <w:highlight w:val="none"/>
          <w:u w:val="single"/>
          <w:lang w:val="en-US" w:eastAsia="zh-CN" w:bidi="ar-SA"/>
        </w:rPr>
        <w:t xml:space="preserve">  2   </w:t>
      </w:r>
      <w:r>
        <w:rPr>
          <w:rFonts w:hint="eastAsia" w:ascii="宋体" w:hAnsi="宋体" w:eastAsia="宋体" w:cs="宋体"/>
          <w:color w:val="auto"/>
          <w:kern w:val="2"/>
          <w:sz w:val="21"/>
          <w:szCs w:val="22"/>
          <w:highlight w:val="none"/>
          <w:lang w:val="en-US" w:eastAsia="zh-CN" w:bidi="ar-SA"/>
        </w:rPr>
        <w:t>年；</w:t>
      </w:r>
    </w:p>
    <w:p w14:paraId="0ED04E26">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4．电气管线、给排水管道、设备安装工程为</w:t>
      </w:r>
      <w:r>
        <w:rPr>
          <w:rFonts w:hint="eastAsia" w:ascii="宋体" w:hAnsi="宋体" w:eastAsia="宋体" w:cs="宋体"/>
          <w:color w:val="auto"/>
          <w:kern w:val="2"/>
          <w:sz w:val="21"/>
          <w:szCs w:val="22"/>
          <w:highlight w:val="none"/>
          <w:u w:val="single"/>
          <w:lang w:val="en-US" w:eastAsia="zh-CN" w:bidi="ar-SA"/>
        </w:rPr>
        <w:t xml:space="preserve">  2   </w:t>
      </w:r>
      <w:r>
        <w:rPr>
          <w:rFonts w:hint="eastAsia" w:ascii="宋体" w:hAnsi="宋体" w:eastAsia="宋体" w:cs="宋体"/>
          <w:color w:val="auto"/>
          <w:kern w:val="2"/>
          <w:sz w:val="21"/>
          <w:szCs w:val="22"/>
          <w:highlight w:val="none"/>
          <w:lang w:val="en-US" w:eastAsia="zh-CN" w:bidi="ar-SA"/>
        </w:rPr>
        <w:t>年；</w:t>
      </w:r>
    </w:p>
    <w:p w14:paraId="715AB47A">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5．供热与供冷系统为</w:t>
      </w:r>
      <w:r>
        <w:rPr>
          <w:rFonts w:hint="eastAsia" w:ascii="宋体" w:hAnsi="宋体" w:eastAsia="宋体" w:cs="宋体"/>
          <w:color w:val="auto"/>
          <w:kern w:val="2"/>
          <w:sz w:val="21"/>
          <w:szCs w:val="22"/>
          <w:highlight w:val="none"/>
          <w:u w:val="single"/>
          <w:lang w:val="en-US" w:eastAsia="zh-CN" w:bidi="ar-SA"/>
        </w:rPr>
        <w:t xml:space="preserve">   2  </w:t>
      </w:r>
      <w:r>
        <w:rPr>
          <w:rFonts w:hint="eastAsia" w:ascii="宋体" w:hAnsi="宋体" w:eastAsia="宋体" w:cs="宋体"/>
          <w:color w:val="auto"/>
          <w:kern w:val="2"/>
          <w:sz w:val="21"/>
          <w:szCs w:val="22"/>
          <w:highlight w:val="none"/>
          <w:lang w:val="en-US" w:eastAsia="zh-CN" w:bidi="ar-SA"/>
        </w:rPr>
        <w:t>个采暖期、供冷期；</w:t>
      </w:r>
    </w:p>
    <w:p w14:paraId="28A9534E">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6．住宅小区内的给排水设施、道路等配套工程为</w:t>
      </w:r>
      <w:r>
        <w:rPr>
          <w:rFonts w:hint="eastAsia" w:ascii="宋体" w:hAnsi="宋体" w:eastAsia="宋体" w:cs="宋体"/>
          <w:color w:val="auto"/>
          <w:kern w:val="2"/>
          <w:sz w:val="21"/>
          <w:szCs w:val="22"/>
          <w:highlight w:val="none"/>
          <w:u w:val="single"/>
          <w:lang w:val="en-US" w:eastAsia="zh-CN" w:bidi="ar-SA"/>
        </w:rPr>
        <w:t xml:space="preserve"> 2   </w:t>
      </w:r>
      <w:r>
        <w:rPr>
          <w:rFonts w:hint="eastAsia" w:ascii="宋体" w:hAnsi="宋体" w:eastAsia="宋体" w:cs="宋体"/>
          <w:color w:val="auto"/>
          <w:kern w:val="2"/>
          <w:sz w:val="21"/>
          <w:szCs w:val="22"/>
          <w:highlight w:val="none"/>
          <w:lang w:val="en-US" w:eastAsia="zh-CN" w:bidi="ar-SA"/>
        </w:rPr>
        <w:t>年；</w:t>
      </w:r>
    </w:p>
    <w:p w14:paraId="1104FB6D">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7．其他项目保修期限约定如下：</w:t>
      </w:r>
    </w:p>
    <w:p w14:paraId="2954CFF2">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w:t>
      </w:r>
    </w:p>
    <w:p w14:paraId="7C088D00">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质量保修期自工程竣工验收合格之日起计算。</w:t>
      </w:r>
    </w:p>
    <w:p w14:paraId="780DD4E7">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三、缺陷责任期</w:t>
      </w:r>
    </w:p>
    <w:p w14:paraId="1F012CB7">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工程缺陷责任期为</w:t>
      </w:r>
      <w:r>
        <w:rPr>
          <w:rFonts w:hint="eastAsia" w:ascii="宋体" w:hAnsi="宋体" w:eastAsia="宋体" w:cs="宋体"/>
          <w:color w:val="auto"/>
          <w:kern w:val="2"/>
          <w:sz w:val="21"/>
          <w:szCs w:val="22"/>
          <w:highlight w:val="none"/>
          <w:u w:val="single"/>
          <w:lang w:val="en-US" w:eastAsia="zh-CN" w:bidi="ar-SA"/>
        </w:rPr>
        <w:t xml:space="preserve">  24  </w:t>
      </w:r>
      <w:r>
        <w:rPr>
          <w:rFonts w:hint="eastAsia" w:ascii="宋体" w:hAnsi="宋体" w:eastAsia="宋体" w:cs="宋体"/>
          <w:color w:val="auto"/>
          <w:kern w:val="2"/>
          <w:sz w:val="21"/>
          <w:szCs w:val="22"/>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7481ADD6">
      <w:pPr>
        <w:widowControl w:val="0"/>
        <w:spacing w:line="360" w:lineRule="auto"/>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bCs/>
          <w:color w:val="auto"/>
          <w:kern w:val="2"/>
          <w:sz w:val="21"/>
          <w:szCs w:val="21"/>
          <w:highlight w:val="none"/>
          <w:u w:val="single"/>
          <w:lang w:val="en-US" w:eastAsia="zh-CN" w:bidi="ar-SA"/>
        </w:rPr>
        <w:t>工程质量保修金分2次返还（无息），一次为保修期满</w:t>
      </w:r>
      <w:r>
        <w:rPr>
          <w:rFonts w:ascii="宋体" w:hAnsi="宋体" w:eastAsia="宋体" w:cs="宋体"/>
          <w:bCs/>
          <w:color w:val="auto"/>
          <w:kern w:val="2"/>
          <w:sz w:val="21"/>
          <w:szCs w:val="21"/>
          <w:highlight w:val="none"/>
          <w:u w:val="single"/>
          <w:lang w:val="en-US" w:eastAsia="zh-CN" w:bidi="ar-SA"/>
        </w:rPr>
        <w:t>1</w:t>
      </w:r>
      <w:r>
        <w:rPr>
          <w:rFonts w:hint="eastAsia" w:ascii="宋体" w:hAnsi="宋体" w:eastAsia="宋体" w:cs="宋体"/>
          <w:bCs/>
          <w:color w:val="auto"/>
          <w:kern w:val="2"/>
          <w:sz w:val="21"/>
          <w:szCs w:val="21"/>
          <w:highlight w:val="none"/>
          <w:u w:val="single"/>
          <w:lang w:val="en-US" w:eastAsia="zh-CN" w:bidi="ar-SA"/>
        </w:rPr>
        <w:t>年并验收合格后，在扣除相关应扣除的费用后返还保修金的70%（无息），余额在保修期满</w:t>
      </w:r>
      <w:r>
        <w:rPr>
          <w:rFonts w:ascii="宋体" w:hAnsi="宋体" w:eastAsia="宋体" w:cs="宋体"/>
          <w:bCs/>
          <w:color w:val="auto"/>
          <w:kern w:val="2"/>
          <w:sz w:val="21"/>
          <w:szCs w:val="21"/>
          <w:highlight w:val="none"/>
          <w:u w:val="single"/>
          <w:lang w:val="en-US" w:eastAsia="zh-CN" w:bidi="ar-SA"/>
        </w:rPr>
        <w:t>2</w:t>
      </w:r>
      <w:r>
        <w:rPr>
          <w:rFonts w:hint="eastAsia" w:ascii="宋体" w:hAnsi="宋体" w:eastAsia="宋体" w:cs="宋体"/>
          <w:bCs/>
          <w:color w:val="auto"/>
          <w:kern w:val="2"/>
          <w:sz w:val="21"/>
          <w:szCs w:val="21"/>
          <w:highlight w:val="none"/>
          <w:u w:val="single"/>
          <w:lang w:val="en-US" w:eastAsia="zh-CN" w:bidi="ar-SA"/>
        </w:rPr>
        <w:t>年并验收合格后，在扣除相关应扣除的费用后一次性退还（无息）。</w:t>
      </w:r>
    </w:p>
    <w:p w14:paraId="424BE770">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四、质量保修责任</w:t>
      </w:r>
    </w:p>
    <w:p w14:paraId="2213D824">
      <w:pPr>
        <w:widowControl w:val="0"/>
        <w:spacing w:line="360" w:lineRule="auto"/>
        <w:ind w:left="103" w:leftChars="50" w:firstLine="422" w:firstLineChars="20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1．属于保修范围、内容的项目，承包人应当在接到保修通知之日起</w:t>
      </w:r>
      <w:r>
        <w:rPr>
          <w:rFonts w:hint="eastAsia" w:ascii="宋体" w:hAnsi="宋体" w:eastAsia="宋体" w:cs="宋体"/>
          <w:color w:val="auto"/>
          <w:kern w:val="2"/>
          <w:sz w:val="21"/>
          <w:szCs w:val="22"/>
          <w:highlight w:val="none"/>
          <w:u w:val="single"/>
          <w:lang w:val="en-US" w:eastAsia="zh-CN" w:bidi="ar-SA"/>
        </w:rPr>
        <w:t xml:space="preserve">   1   </w:t>
      </w:r>
      <w:r>
        <w:rPr>
          <w:rFonts w:hint="eastAsia" w:ascii="宋体" w:hAnsi="宋体" w:eastAsia="宋体" w:cs="宋体"/>
          <w:color w:val="auto"/>
          <w:kern w:val="2"/>
          <w:sz w:val="21"/>
          <w:szCs w:val="22"/>
          <w:highlight w:val="none"/>
          <w:lang w:val="en-US" w:eastAsia="zh-CN" w:bidi="ar-SA"/>
        </w:rPr>
        <w:t>天内派人保修。承包人不在约定期限内派人保修的，发包人可以委托他人修理，修理费用从质量保证金内扣除。</w:t>
      </w:r>
    </w:p>
    <w:p w14:paraId="575BAC6C">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2．发生紧急事故需抢修的，承包人在接到事故通知后，应当立即到达事故现场抢修。</w:t>
      </w:r>
    </w:p>
    <w:p w14:paraId="52076953">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1ABA39">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4．质量保修完成后，由发包人组织验收。</w:t>
      </w:r>
    </w:p>
    <w:p w14:paraId="38EB5788">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五、保修费用</w:t>
      </w:r>
    </w:p>
    <w:p w14:paraId="0528B5DA">
      <w:pPr>
        <w:widowControl w:val="0"/>
        <w:tabs>
          <w:tab w:val="left" w:pos="7380"/>
        </w:tabs>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保修费用由造成质量缺陷的责任方承担。</w:t>
      </w:r>
    </w:p>
    <w:p w14:paraId="2435B312">
      <w:pPr>
        <w:widowControl w:val="0"/>
        <w:spacing w:line="360" w:lineRule="auto"/>
        <w:ind w:firstLine="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六、双方约定的其他工程质量保修事项： </w:t>
      </w:r>
    </w:p>
    <w:p w14:paraId="726A19C0">
      <w:pPr>
        <w:widowControl w:val="0"/>
        <w:spacing w:line="360" w:lineRule="auto"/>
        <w:ind w:firstLine="412" w:firstLineChars="200"/>
        <w:jc w:val="lef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u w:val="single"/>
          <w:lang w:val="en-US" w:eastAsia="zh-CN" w:bidi="ar-SA"/>
        </w:rPr>
        <w:t xml:space="preserve">本工程在保修期有质量问题的，且保修期仍未解决的，承包人应负责维修 </w:t>
      </w:r>
      <w:r>
        <w:rPr>
          <w:rFonts w:hint="eastAsia" w:ascii="宋体" w:hAnsi="宋体" w:eastAsia="宋体" w:cs="宋体"/>
          <w:color w:val="auto"/>
          <w:kern w:val="2"/>
          <w:sz w:val="21"/>
          <w:szCs w:val="22"/>
          <w:highlight w:val="none"/>
          <w:lang w:val="en-US" w:eastAsia="zh-CN" w:bidi="ar-SA"/>
        </w:rPr>
        <w:t>。</w:t>
      </w:r>
    </w:p>
    <w:p w14:paraId="0FBB6D00">
      <w:pPr>
        <w:widowControl w:val="0"/>
        <w:spacing w:line="360" w:lineRule="auto"/>
        <w:ind w:firstLine="392" w:firstLineChars="19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工程质量保修书由发包人、承包人在工程竣工验收前共同签署，作为施工合同附件，其有效期限至保修期满。</w:t>
      </w:r>
    </w:p>
    <w:p w14:paraId="08AEDCC8">
      <w:pPr>
        <w:widowControl w:val="0"/>
        <w:spacing w:line="360" w:lineRule="auto"/>
        <w:ind w:firstLine="420"/>
        <w:jc w:val="both"/>
        <w:rPr>
          <w:rFonts w:ascii="宋体" w:hAnsi="宋体" w:eastAsia="宋体" w:cs="宋体"/>
          <w:color w:val="auto"/>
          <w:kern w:val="2"/>
          <w:sz w:val="21"/>
          <w:szCs w:val="22"/>
          <w:highlight w:val="none"/>
          <w:lang w:val="en-US" w:eastAsia="zh-CN" w:bidi="ar-SA"/>
        </w:rPr>
      </w:pPr>
    </w:p>
    <w:p w14:paraId="6B0BA68C">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发包人（公章）：</w:t>
      </w:r>
      <w:r>
        <w:rPr>
          <w:rFonts w:hint="eastAsia" w:ascii="宋体" w:hAnsi="宋体" w:eastAsia="宋体" w:cs="宋体"/>
          <w:color w:val="auto"/>
          <w:kern w:val="2"/>
          <w:sz w:val="21"/>
          <w:szCs w:val="22"/>
          <w:highlight w:val="none"/>
          <w:u w:val="single"/>
          <w:lang w:val="en-US" w:eastAsia="zh-CN" w:bidi="ar-SA"/>
        </w:rPr>
        <w:t xml:space="preserve">         </w:t>
      </w:r>
      <w:r>
        <w:rPr>
          <w:rFonts w:hint="eastAsia" w:ascii="宋体" w:hAnsi="宋体" w:eastAsia="宋体" w:cs="宋体"/>
          <w:color w:val="auto"/>
          <w:kern w:val="2"/>
          <w:sz w:val="21"/>
          <w:szCs w:val="22"/>
          <w:highlight w:val="none"/>
          <w:lang w:val="en-US" w:eastAsia="zh-CN" w:bidi="ar-SA"/>
        </w:rPr>
        <w:t xml:space="preserve">             承包人（公章）：</w:t>
      </w:r>
      <w:r>
        <w:rPr>
          <w:rFonts w:hint="eastAsia" w:ascii="宋体" w:hAnsi="宋体" w:eastAsia="宋体" w:cs="宋体"/>
          <w:color w:val="auto"/>
          <w:kern w:val="2"/>
          <w:sz w:val="21"/>
          <w:szCs w:val="22"/>
          <w:highlight w:val="none"/>
          <w:u w:val="single"/>
          <w:lang w:val="en-US" w:eastAsia="zh-CN" w:bidi="ar-SA"/>
        </w:rPr>
        <w:t>          </w:t>
      </w:r>
    </w:p>
    <w:p w14:paraId="4425A1C8">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地  址：</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地  址：</w:t>
      </w:r>
      <w:r>
        <w:rPr>
          <w:rFonts w:hint="eastAsia" w:ascii="宋体" w:hAnsi="宋体" w:eastAsia="宋体" w:cs="宋体"/>
          <w:color w:val="auto"/>
          <w:kern w:val="2"/>
          <w:sz w:val="21"/>
          <w:szCs w:val="22"/>
          <w:highlight w:val="none"/>
          <w:u w:val="single"/>
          <w:lang w:val="en-US" w:eastAsia="zh-CN" w:bidi="ar-SA"/>
        </w:rPr>
        <w:t>      </w:t>
      </w:r>
    </w:p>
    <w:p w14:paraId="4F5E47CF">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法定代表人（签字）：</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法定代表人（签字）：</w:t>
      </w:r>
      <w:r>
        <w:rPr>
          <w:rFonts w:hint="eastAsia" w:ascii="宋体" w:hAnsi="宋体" w:eastAsia="宋体" w:cs="宋体"/>
          <w:color w:val="auto"/>
          <w:kern w:val="2"/>
          <w:sz w:val="21"/>
          <w:szCs w:val="22"/>
          <w:highlight w:val="none"/>
          <w:u w:val="single"/>
          <w:lang w:val="en-US" w:eastAsia="zh-CN" w:bidi="ar-SA"/>
        </w:rPr>
        <w:t>     </w:t>
      </w:r>
    </w:p>
    <w:p w14:paraId="435A2B41">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委托代理人（签字）：</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委托代理人（签字）：</w:t>
      </w:r>
      <w:r>
        <w:rPr>
          <w:rFonts w:hint="eastAsia" w:ascii="宋体" w:hAnsi="宋体" w:eastAsia="宋体" w:cs="宋体"/>
          <w:color w:val="auto"/>
          <w:kern w:val="2"/>
          <w:sz w:val="21"/>
          <w:szCs w:val="22"/>
          <w:highlight w:val="none"/>
          <w:u w:val="single"/>
          <w:lang w:val="en-US" w:eastAsia="zh-CN" w:bidi="ar-SA"/>
        </w:rPr>
        <w:t>     </w:t>
      </w:r>
    </w:p>
    <w:p w14:paraId="05E203EF">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电  话：</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电  话：</w:t>
      </w:r>
      <w:r>
        <w:rPr>
          <w:rFonts w:hint="eastAsia" w:ascii="宋体" w:hAnsi="宋体" w:eastAsia="宋体" w:cs="宋体"/>
          <w:color w:val="auto"/>
          <w:kern w:val="2"/>
          <w:sz w:val="21"/>
          <w:szCs w:val="22"/>
          <w:highlight w:val="none"/>
          <w:u w:val="single"/>
          <w:lang w:val="en-US" w:eastAsia="zh-CN" w:bidi="ar-SA"/>
        </w:rPr>
        <w:t>      </w:t>
      </w:r>
    </w:p>
    <w:p w14:paraId="4A989F1D">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传  真：</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传  真：</w:t>
      </w:r>
      <w:r>
        <w:rPr>
          <w:rFonts w:hint="eastAsia" w:ascii="宋体" w:hAnsi="宋体" w:eastAsia="宋体" w:cs="宋体"/>
          <w:color w:val="auto"/>
          <w:kern w:val="2"/>
          <w:sz w:val="21"/>
          <w:szCs w:val="22"/>
          <w:highlight w:val="none"/>
          <w:u w:val="single"/>
          <w:lang w:val="en-US" w:eastAsia="zh-CN" w:bidi="ar-SA"/>
        </w:rPr>
        <w:t>    </w:t>
      </w:r>
    </w:p>
    <w:p w14:paraId="3CBF267D">
      <w:pPr>
        <w:widowControl w:val="0"/>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开户银行：</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开户银行：</w:t>
      </w:r>
      <w:r>
        <w:rPr>
          <w:rFonts w:hint="eastAsia" w:ascii="宋体" w:hAnsi="宋体" w:eastAsia="宋体" w:cs="宋体"/>
          <w:color w:val="auto"/>
          <w:kern w:val="2"/>
          <w:sz w:val="21"/>
          <w:szCs w:val="22"/>
          <w:highlight w:val="none"/>
          <w:u w:val="single"/>
          <w:lang w:val="en-US" w:eastAsia="zh-CN" w:bidi="ar-SA"/>
        </w:rPr>
        <w:t>  </w:t>
      </w:r>
    </w:p>
    <w:p w14:paraId="22821780">
      <w:pPr>
        <w:widowControl w:val="0"/>
        <w:tabs>
          <w:tab w:val="left" w:pos="2880"/>
          <w:tab w:val="left" w:pos="3060"/>
          <w:tab w:val="left" w:pos="4500"/>
        </w:tabs>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账  号：</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账  号：</w:t>
      </w:r>
      <w:r>
        <w:rPr>
          <w:rFonts w:hint="eastAsia" w:ascii="宋体" w:hAnsi="宋体" w:eastAsia="宋体" w:cs="宋体"/>
          <w:color w:val="auto"/>
          <w:kern w:val="2"/>
          <w:sz w:val="21"/>
          <w:szCs w:val="22"/>
          <w:highlight w:val="none"/>
          <w:u w:val="single"/>
          <w:lang w:val="en-US" w:eastAsia="zh-CN" w:bidi="ar-SA"/>
        </w:rPr>
        <w:t>    </w:t>
      </w:r>
    </w:p>
    <w:p w14:paraId="627E366B">
      <w:pPr>
        <w:widowControl w:val="0"/>
        <w:tabs>
          <w:tab w:val="left" w:pos="7200"/>
          <w:tab w:val="left" w:pos="7380"/>
          <w:tab w:val="left" w:pos="7560"/>
        </w:tabs>
        <w:spacing w:line="360" w:lineRule="auto"/>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邮政编码：</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邮政编码：</w:t>
      </w:r>
      <w:r>
        <w:rPr>
          <w:rFonts w:hint="eastAsia" w:ascii="宋体" w:hAnsi="宋体" w:eastAsia="宋体" w:cs="宋体"/>
          <w:color w:val="auto"/>
          <w:kern w:val="2"/>
          <w:sz w:val="21"/>
          <w:szCs w:val="22"/>
          <w:highlight w:val="none"/>
          <w:u w:val="single"/>
          <w:lang w:val="en-US" w:eastAsia="zh-CN" w:bidi="ar-SA"/>
        </w:rPr>
        <w:t>   </w:t>
      </w:r>
    </w:p>
    <w:p w14:paraId="1477DCC3">
      <w:pPr>
        <w:widowControl w:val="0"/>
        <w:spacing w:line="440" w:lineRule="exact"/>
        <w:jc w:val="both"/>
        <w:rPr>
          <w:rFonts w:ascii="宋体" w:hAnsi="宋体" w:eastAsia="宋体" w:cs="宋体"/>
          <w:color w:val="auto"/>
          <w:kern w:val="2"/>
          <w:sz w:val="30"/>
          <w:szCs w:val="30"/>
          <w:highlight w:val="none"/>
          <w:lang w:val="en-US" w:eastAsia="zh-CN" w:bidi="ar-SA"/>
        </w:rPr>
      </w:pPr>
      <w:r>
        <w:rPr>
          <w:rFonts w:ascii="宋体" w:hAnsi="宋体" w:eastAsia="宋体" w:cs="宋体"/>
          <w:color w:val="auto"/>
          <w:kern w:val="2"/>
          <w:sz w:val="32"/>
          <w:szCs w:val="32"/>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附件3：</w:t>
      </w:r>
    </w:p>
    <w:p w14:paraId="526EC3F0">
      <w:pPr>
        <w:widowControl w:val="0"/>
        <w:spacing w:before="120" w:beforeLines="50" w:after="120" w:afterLines="50" w:line="440" w:lineRule="exact"/>
        <w:jc w:val="center"/>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主要建设工程文件目录</w:t>
      </w:r>
    </w:p>
    <w:tbl>
      <w:tblPr>
        <w:tblStyle w:val="2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8841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6599E4E">
            <w:pPr>
              <w:pStyle w:val="96"/>
              <w:keepNext/>
              <w:spacing w:after="0"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28EE3297">
            <w:pPr>
              <w:pStyle w:val="96"/>
              <w:keepNext/>
              <w:spacing w:after="0"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套数</w:t>
            </w:r>
          </w:p>
        </w:tc>
        <w:tc>
          <w:tcPr>
            <w:tcW w:w="1450" w:type="dxa"/>
            <w:tcBorders>
              <w:top w:val="single" w:color="auto" w:sz="12" w:space="0"/>
              <w:bottom w:val="double" w:color="auto" w:sz="6" w:space="0"/>
            </w:tcBorders>
            <w:noWrap w:val="0"/>
            <w:vAlign w:val="center"/>
          </w:tcPr>
          <w:p w14:paraId="3EF15685">
            <w:pPr>
              <w:pStyle w:val="96"/>
              <w:keepNext/>
              <w:spacing w:after="0"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费用（元）</w:t>
            </w:r>
          </w:p>
        </w:tc>
        <w:tc>
          <w:tcPr>
            <w:tcW w:w="1243" w:type="dxa"/>
            <w:tcBorders>
              <w:top w:val="single" w:color="auto" w:sz="12" w:space="0"/>
              <w:bottom w:val="double" w:color="auto" w:sz="6" w:space="0"/>
            </w:tcBorders>
            <w:noWrap w:val="0"/>
            <w:vAlign w:val="center"/>
          </w:tcPr>
          <w:p w14:paraId="500CA240">
            <w:pPr>
              <w:pStyle w:val="96"/>
              <w:keepNext/>
              <w:spacing w:after="0"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质量</w:t>
            </w:r>
          </w:p>
        </w:tc>
        <w:tc>
          <w:tcPr>
            <w:tcW w:w="1450" w:type="dxa"/>
            <w:tcBorders>
              <w:top w:val="single" w:color="auto" w:sz="12" w:space="0"/>
              <w:bottom w:val="double" w:color="auto" w:sz="6" w:space="0"/>
            </w:tcBorders>
            <w:noWrap w:val="0"/>
            <w:vAlign w:val="top"/>
          </w:tcPr>
          <w:p w14:paraId="22900B43">
            <w:pPr>
              <w:widowControl w:val="0"/>
              <w:spacing w:line="440" w:lineRule="exact"/>
              <w:jc w:val="center"/>
              <w:rPr>
                <w:rFonts w:ascii="宋体" w:hAnsi="宋体" w:eastAsia="宋体" w:cs="宋体"/>
                <w:color w:val="auto"/>
                <w:kern w:val="2"/>
                <w:sz w:val="28"/>
                <w:szCs w:val="30"/>
                <w:highlight w:val="none"/>
                <w:lang w:val="en-US" w:eastAsia="zh-CN" w:bidi="ar-SA"/>
              </w:rPr>
            </w:pPr>
            <w:r>
              <w:rPr>
                <w:rFonts w:hint="eastAsia" w:ascii="宋体" w:hAnsi="宋体" w:eastAsia="宋体" w:cs="宋体"/>
                <w:color w:val="auto"/>
                <w:kern w:val="2"/>
                <w:sz w:val="28"/>
                <w:szCs w:val="30"/>
                <w:highlight w:val="none"/>
                <w:lang w:val="en-US" w:eastAsia="zh-CN" w:bidi="ar-SA"/>
              </w:rPr>
              <w:t>移交时间</w:t>
            </w:r>
          </w:p>
        </w:tc>
        <w:tc>
          <w:tcPr>
            <w:tcW w:w="1667" w:type="dxa"/>
            <w:tcBorders>
              <w:top w:val="single" w:color="auto" w:sz="12" w:space="0"/>
              <w:bottom w:val="double" w:color="auto" w:sz="6" w:space="0"/>
            </w:tcBorders>
            <w:noWrap w:val="0"/>
            <w:vAlign w:val="top"/>
          </w:tcPr>
          <w:p w14:paraId="35E20B3E">
            <w:pPr>
              <w:widowControl w:val="0"/>
              <w:spacing w:line="440" w:lineRule="exact"/>
              <w:jc w:val="center"/>
              <w:rPr>
                <w:rFonts w:ascii="宋体" w:hAnsi="宋体" w:eastAsia="宋体" w:cs="宋体"/>
                <w:color w:val="auto"/>
                <w:kern w:val="2"/>
                <w:sz w:val="28"/>
                <w:szCs w:val="30"/>
                <w:highlight w:val="none"/>
                <w:lang w:val="en-US" w:eastAsia="zh-CN" w:bidi="ar-SA"/>
              </w:rPr>
            </w:pPr>
            <w:r>
              <w:rPr>
                <w:rFonts w:hint="eastAsia" w:ascii="宋体" w:hAnsi="宋体" w:eastAsia="宋体" w:cs="宋体"/>
                <w:color w:val="auto"/>
                <w:kern w:val="2"/>
                <w:sz w:val="28"/>
                <w:szCs w:val="30"/>
                <w:highlight w:val="none"/>
                <w:lang w:val="en-US" w:eastAsia="zh-CN" w:bidi="ar-SA"/>
              </w:rPr>
              <w:t>责任人</w:t>
            </w:r>
          </w:p>
        </w:tc>
      </w:tr>
      <w:tr w14:paraId="65E4F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0219E060">
            <w:pPr>
              <w:pStyle w:val="96"/>
              <w:keepNext/>
              <w:spacing w:after="0" w:line="440" w:lineRule="exact"/>
              <w:ind w:left="63" w:right="63"/>
              <w:rPr>
                <w:rFonts w:ascii="宋体" w:hAnsi="宋体" w:eastAsia="宋体" w:cs="宋体"/>
                <w:color w:val="auto"/>
                <w:sz w:val="30"/>
                <w:szCs w:val="30"/>
                <w:highlight w:val="none"/>
              </w:rPr>
            </w:pPr>
          </w:p>
        </w:tc>
        <w:tc>
          <w:tcPr>
            <w:tcW w:w="1276" w:type="dxa"/>
            <w:tcBorders>
              <w:top w:val="double" w:color="auto" w:sz="6" w:space="0"/>
              <w:bottom w:val="single" w:color="auto" w:sz="6" w:space="0"/>
            </w:tcBorders>
            <w:noWrap w:val="0"/>
            <w:vAlign w:val="center"/>
          </w:tcPr>
          <w:p w14:paraId="6E20025C">
            <w:pPr>
              <w:pStyle w:val="96"/>
              <w:keepNext/>
              <w:spacing w:after="0" w:line="440" w:lineRule="exact"/>
              <w:ind w:left="63" w:right="63"/>
              <w:rPr>
                <w:rFonts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14:paraId="3696D0CA">
            <w:pPr>
              <w:pStyle w:val="96"/>
              <w:keepNext/>
              <w:spacing w:after="0" w:line="440" w:lineRule="exact"/>
              <w:ind w:left="63" w:right="63"/>
              <w:rPr>
                <w:rFonts w:ascii="宋体" w:hAnsi="宋体" w:eastAsia="宋体" w:cs="宋体"/>
                <w:color w:val="auto"/>
                <w:sz w:val="30"/>
                <w:szCs w:val="30"/>
                <w:highlight w:val="none"/>
              </w:rPr>
            </w:pPr>
          </w:p>
        </w:tc>
        <w:tc>
          <w:tcPr>
            <w:tcW w:w="1243" w:type="dxa"/>
            <w:tcBorders>
              <w:top w:val="double" w:color="auto" w:sz="6" w:space="0"/>
              <w:bottom w:val="single" w:color="auto" w:sz="6" w:space="0"/>
            </w:tcBorders>
            <w:noWrap w:val="0"/>
            <w:vAlign w:val="center"/>
          </w:tcPr>
          <w:p w14:paraId="6B7FA58D">
            <w:pPr>
              <w:pStyle w:val="96"/>
              <w:keepNext/>
              <w:spacing w:after="0" w:line="440" w:lineRule="exact"/>
              <w:ind w:left="63" w:right="63"/>
              <w:rPr>
                <w:rFonts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14:paraId="7FA1D2B3">
            <w:pPr>
              <w:pStyle w:val="96"/>
              <w:keepNext/>
              <w:spacing w:after="0" w:line="440" w:lineRule="exact"/>
              <w:ind w:left="63" w:right="63"/>
              <w:rPr>
                <w:rFonts w:ascii="宋体" w:hAnsi="宋体" w:eastAsia="宋体" w:cs="宋体"/>
                <w:color w:val="auto"/>
                <w:sz w:val="30"/>
                <w:szCs w:val="30"/>
                <w:highlight w:val="none"/>
              </w:rPr>
            </w:pPr>
          </w:p>
        </w:tc>
        <w:tc>
          <w:tcPr>
            <w:tcW w:w="1667" w:type="dxa"/>
            <w:tcBorders>
              <w:top w:val="double" w:color="auto" w:sz="6" w:space="0"/>
              <w:bottom w:val="single" w:color="auto" w:sz="6" w:space="0"/>
            </w:tcBorders>
            <w:noWrap w:val="0"/>
            <w:vAlign w:val="center"/>
          </w:tcPr>
          <w:p w14:paraId="7EA08CB3">
            <w:pPr>
              <w:pStyle w:val="96"/>
              <w:keepNext/>
              <w:spacing w:after="0" w:line="440" w:lineRule="exact"/>
              <w:ind w:left="63" w:right="63"/>
              <w:rPr>
                <w:rFonts w:ascii="宋体" w:hAnsi="宋体" w:eastAsia="宋体" w:cs="宋体"/>
                <w:color w:val="auto"/>
                <w:sz w:val="30"/>
                <w:szCs w:val="30"/>
                <w:highlight w:val="none"/>
              </w:rPr>
            </w:pPr>
          </w:p>
        </w:tc>
      </w:tr>
      <w:tr w14:paraId="64490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CD40FBB">
            <w:pPr>
              <w:pStyle w:val="96"/>
              <w:keepNext/>
              <w:spacing w:after="0" w:line="440" w:lineRule="exact"/>
              <w:ind w:left="63" w:right="63"/>
              <w:rPr>
                <w:rFonts w:ascii="宋体" w:hAnsi="宋体" w:eastAsia="宋体" w:cs="宋体"/>
                <w:color w:val="auto"/>
                <w:sz w:val="30"/>
                <w:szCs w:val="30"/>
                <w:highlight w:val="none"/>
              </w:rPr>
            </w:pPr>
          </w:p>
        </w:tc>
        <w:tc>
          <w:tcPr>
            <w:tcW w:w="1276" w:type="dxa"/>
            <w:tcBorders>
              <w:top w:val="nil"/>
            </w:tcBorders>
            <w:noWrap w:val="0"/>
            <w:vAlign w:val="center"/>
          </w:tcPr>
          <w:p w14:paraId="63C3F114">
            <w:pPr>
              <w:pStyle w:val="96"/>
              <w:keepNext/>
              <w:spacing w:after="0" w:line="440" w:lineRule="exact"/>
              <w:ind w:left="63" w:right="63"/>
              <w:rPr>
                <w:rFonts w:ascii="宋体" w:hAnsi="宋体" w:eastAsia="宋体" w:cs="宋体"/>
                <w:color w:val="auto"/>
                <w:sz w:val="30"/>
                <w:szCs w:val="30"/>
                <w:highlight w:val="none"/>
              </w:rPr>
            </w:pPr>
          </w:p>
        </w:tc>
        <w:tc>
          <w:tcPr>
            <w:tcW w:w="1450" w:type="dxa"/>
            <w:tcBorders>
              <w:top w:val="nil"/>
            </w:tcBorders>
            <w:noWrap w:val="0"/>
            <w:vAlign w:val="center"/>
          </w:tcPr>
          <w:p w14:paraId="4B31B435">
            <w:pPr>
              <w:pStyle w:val="96"/>
              <w:keepNext/>
              <w:spacing w:after="0" w:line="440" w:lineRule="exact"/>
              <w:ind w:left="63" w:right="63"/>
              <w:rPr>
                <w:rFonts w:ascii="宋体" w:hAnsi="宋体" w:eastAsia="宋体" w:cs="宋体"/>
                <w:color w:val="auto"/>
                <w:sz w:val="30"/>
                <w:szCs w:val="30"/>
                <w:highlight w:val="none"/>
              </w:rPr>
            </w:pPr>
          </w:p>
        </w:tc>
        <w:tc>
          <w:tcPr>
            <w:tcW w:w="1243" w:type="dxa"/>
            <w:tcBorders>
              <w:top w:val="nil"/>
            </w:tcBorders>
            <w:noWrap w:val="0"/>
            <w:vAlign w:val="center"/>
          </w:tcPr>
          <w:p w14:paraId="3FC387EB">
            <w:pPr>
              <w:pStyle w:val="96"/>
              <w:keepNext/>
              <w:spacing w:after="0" w:line="440" w:lineRule="exact"/>
              <w:ind w:left="63" w:right="63"/>
              <w:rPr>
                <w:rFonts w:ascii="宋体" w:hAnsi="宋体" w:eastAsia="宋体" w:cs="宋体"/>
                <w:color w:val="auto"/>
                <w:sz w:val="30"/>
                <w:szCs w:val="30"/>
                <w:highlight w:val="none"/>
              </w:rPr>
            </w:pPr>
          </w:p>
        </w:tc>
        <w:tc>
          <w:tcPr>
            <w:tcW w:w="1450" w:type="dxa"/>
            <w:tcBorders>
              <w:top w:val="nil"/>
            </w:tcBorders>
            <w:noWrap w:val="0"/>
            <w:vAlign w:val="center"/>
          </w:tcPr>
          <w:p w14:paraId="13B35559">
            <w:pPr>
              <w:pStyle w:val="96"/>
              <w:keepNext/>
              <w:spacing w:after="0" w:line="440" w:lineRule="exact"/>
              <w:ind w:left="63" w:right="63"/>
              <w:rPr>
                <w:rFonts w:ascii="宋体" w:hAnsi="宋体" w:eastAsia="宋体" w:cs="宋体"/>
                <w:color w:val="auto"/>
                <w:sz w:val="30"/>
                <w:szCs w:val="30"/>
                <w:highlight w:val="none"/>
              </w:rPr>
            </w:pPr>
          </w:p>
        </w:tc>
        <w:tc>
          <w:tcPr>
            <w:tcW w:w="1667" w:type="dxa"/>
            <w:tcBorders>
              <w:top w:val="nil"/>
            </w:tcBorders>
            <w:noWrap w:val="0"/>
            <w:vAlign w:val="center"/>
          </w:tcPr>
          <w:p w14:paraId="3B2FAE6F">
            <w:pPr>
              <w:pStyle w:val="96"/>
              <w:keepNext/>
              <w:spacing w:after="0" w:line="440" w:lineRule="exact"/>
              <w:ind w:left="63" w:right="63"/>
              <w:rPr>
                <w:rFonts w:ascii="宋体" w:hAnsi="宋体" w:eastAsia="宋体" w:cs="宋体"/>
                <w:color w:val="auto"/>
                <w:sz w:val="30"/>
                <w:szCs w:val="30"/>
                <w:highlight w:val="none"/>
              </w:rPr>
            </w:pPr>
          </w:p>
        </w:tc>
      </w:tr>
      <w:tr w14:paraId="4B350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F52B5E0">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50DA0099">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6E159275">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6F8E1BF5">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2F95EA99">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40850DFB">
            <w:pPr>
              <w:pStyle w:val="96"/>
              <w:keepNext/>
              <w:spacing w:after="0" w:line="440" w:lineRule="exact"/>
              <w:ind w:left="63" w:right="63"/>
              <w:rPr>
                <w:rFonts w:ascii="宋体" w:hAnsi="宋体" w:eastAsia="宋体" w:cs="宋体"/>
                <w:color w:val="auto"/>
                <w:sz w:val="30"/>
                <w:szCs w:val="30"/>
                <w:highlight w:val="none"/>
              </w:rPr>
            </w:pPr>
          </w:p>
        </w:tc>
      </w:tr>
      <w:tr w14:paraId="3EC85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61754BC">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09E18B6D">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70ADF013">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3014928B">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6098AF03">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1FC8064B">
            <w:pPr>
              <w:pStyle w:val="96"/>
              <w:keepNext/>
              <w:spacing w:after="0" w:line="440" w:lineRule="exact"/>
              <w:ind w:left="63" w:right="63"/>
              <w:rPr>
                <w:rFonts w:ascii="宋体" w:hAnsi="宋体" w:eastAsia="宋体" w:cs="宋体"/>
                <w:color w:val="auto"/>
                <w:sz w:val="30"/>
                <w:szCs w:val="30"/>
                <w:highlight w:val="none"/>
              </w:rPr>
            </w:pPr>
          </w:p>
        </w:tc>
      </w:tr>
      <w:tr w14:paraId="73BDC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017709">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38713C22">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3000CB35">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28DC1BB6">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3742FA34">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7CDE6086">
            <w:pPr>
              <w:pStyle w:val="96"/>
              <w:keepNext/>
              <w:spacing w:after="0" w:line="440" w:lineRule="exact"/>
              <w:ind w:left="63" w:right="63"/>
              <w:rPr>
                <w:rFonts w:ascii="宋体" w:hAnsi="宋体" w:eastAsia="宋体" w:cs="宋体"/>
                <w:color w:val="auto"/>
                <w:sz w:val="30"/>
                <w:szCs w:val="30"/>
                <w:highlight w:val="none"/>
              </w:rPr>
            </w:pPr>
          </w:p>
        </w:tc>
      </w:tr>
      <w:tr w14:paraId="13D6D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1A5D03B">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30C1BFE7">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267B0C9B">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21E3390C">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6CD13063">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5FEAA78F">
            <w:pPr>
              <w:pStyle w:val="96"/>
              <w:keepNext/>
              <w:spacing w:after="0" w:line="440" w:lineRule="exact"/>
              <w:ind w:left="63" w:right="63"/>
              <w:rPr>
                <w:rFonts w:ascii="宋体" w:hAnsi="宋体" w:eastAsia="宋体" w:cs="宋体"/>
                <w:color w:val="auto"/>
                <w:sz w:val="30"/>
                <w:szCs w:val="30"/>
                <w:highlight w:val="none"/>
              </w:rPr>
            </w:pPr>
          </w:p>
        </w:tc>
      </w:tr>
      <w:tr w14:paraId="5DED5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0C2571">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2677D291">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58405DDB">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3E3DFC2E">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609F0603">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38BAAE0F">
            <w:pPr>
              <w:pStyle w:val="96"/>
              <w:keepNext/>
              <w:spacing w:after="0" w:line="440" w:lineRule="exact"/>
              <w:ind w:left="63" w:right="63"/>
              <w:rPr>
                <w:rFonts w:ascii="宋体" w:hAnsi="宋体" w:eastAsia="宋体" w:cs="宋体"/>
                <w:color w:val="auto"/>
                <w:sz w:val="30"/>
                <w:szCs w:val="30"/>
                <w:highlight w:val="none"/>
              </w:rPr>
            </w:pPr>
          </w:p>
        </w:tc>
      </w:tr>
      <w:tr w14:paraId="2E4A2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5A7F13">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3A965E35">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0364DFB8">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26BA8DFB">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5AABBFB1">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7D6B4D11">
            <w:pPr>
              <w:pStyle w:val="96"/>
              <w:keepNext/>
              <w:spacing w:after="0" w:line="440" w:lineRule="exact"/>
              <w:ind w:left="63" w:right="63"/>
              <w:rPr>
                <w:rFonts w:ascii="宋体" w:hAnsi="宋体" w:eastAsia="宋体" w:cs="宋体"/>
                <w:color w:val="auto"/>
                <w:sz w:val="30"/>
                <w:szCs w:val="30"/>
                <w:highlight w:val="none"/>
              </w:rPr>
            </w:pPr>
          </w:p>
        </w:tc>
      </w:tr>
      <w:tr w14:paraId="760A6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DFA455A">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7F0198F3">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3A324D31">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36B12687">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D9E97E0">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69A539A0">
            <w:pPr>
              <w:widowControl w:val="0"/>
              <w:jc w:val="both"/>
              <w:rPr>
                <w:rFonts w:ascii="宋体" w:hAnsi="宋体" w:eastAsia="宋体" w:cs="宋体"/>
                <w:color w:val="auto"/>
                <w:kern w:val="2"/>
                <w:sz w:val="30"/>
                <w:szCs w:val="30"/>
                <w:highlight w:val="none"/>
                <w:lang w:val="en-US" w:eastAsia="zh-CN" w:bidi="ar-SA"/>
              </w:rPr>
            </w:pPr>
          </w:p>
        </w:tc>
      </w:tr>
      <w:tr w14:paraId="7F766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6EEE0B">
            <w:pPr>
              <w:pStyle w:val="96"/>
              <w:keepNext/>
              <w:spacing w:after="0" w:line="440" w:lineRule="exact"/>
              <w:ind w:left="63" w:right="63"/>
              <w:rPr>
                <w:rFonts w:ascii="宋体" w:hAnsi="宋体" w:eastAsia="宋体" w:cs="宋体"/>
                <w:color w:val="auto"/>
                <w:sz w:val="30"/>
                <w:szCs w:val="30"/>
                <w:highlight w:val="none"/>
              </w:rPr>
            </w:pPr>
          </w:p>
        </w:tc>
        <w:tc>
          <w:tcPr>
            <w:tcW w:w="1276" w:type="dxa"/>
            <w:noWrap w:val="0"/>
            <w:vAlign w:val="center"/>
          </w:tcPr>
          <w:p w14:paraId="6F4B2EE9">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393409D5">
            <w:pPr>
              <w:pStyle w:val="96"/>
              <w:keepNext/>
              <w:spacing w:after="0" w:line="440" w:lineRule="exact"/>
              <w:ind w:left="63" w:right="63"/>
              <w:rPr>
                <w:rFonts w:ascii="宋体" w:hAnsi="宋体" w:eastAsia="宋体" w:cs="宋体"/>
                <w:color w:val="auto"/>
                <w:sz w:val="30"/>
                <w:szCs w:val="30"/>
                <w:highlight w:val="none"/>
              </w:rPr>
            </w:pPr>
          </w:p>
        </w:tc>
        <w:tc>
          <w:tcPr>
            <w:tcW w:w="1243" w:type="dxa"/>
            <w:noWrap w:val="0"/>
            <w:vAlign w:val="center"/>
          </w:tcPr>
          <w:p w14:paraId="3B05AAB3">
            <w:pPr>
              <w:pStyle w:val="96"/>
              <w:keepNext/>
              <w:spacing w:after="0" w:line="440" w:lineRule="exact"/>
              <w:ind w:left="63" w:right="63"/>
              <w:rPr>
                <w:rFonts w:ascii="宋体" w:hAnsi="宋体" w:eastAsia="宋体" w:cs="宋体"/>
                <w:color w:val="auto"/>
                <w:sz w:val="30"/>
                <w:szCs w:val="30"/>
                <w:highlight w:val="none"/>
              </w:rPr>
            </w:pPr>
          </w:p>
        </w:tc>
        <w:tc>
          <w:tcPr>
            <w:tcW w:w="1450" w:type="dxa"/>
            <w:noWrap w:val="0"/>
            <w:vAlign w:val="center"/>
          </w:tcPr>
          <w:p w14:paraId="46459C01">
            <w:pPr>
              <w:pStyle w:val="96"/>
              <w:keepNext/>
              <w:spacing w:after="0" w:line="440" w:lineRule="exact"/>
              <w:ind w:left="63" w:right="63"/>
              <w:rPr>
                <w:rFonts w:ascii="宋体" w:hAnsi="宋体" w:eastAsia="宋体" w:cs="宋体"/>
                <w:color w:val="auto"/>
                <w:sz w:val="30"/>
                <w:szCs w:val="30"/>
                <w:highlight w:val="none"/>
              </w:rPr>
            </w:pPr>
          </w:p>
        </w:tc>
        <w:tc>
          <w:tcPr>
            <w:tcW w:w="1667" w:type="dxa"/>
            <w:noWrap w:val="0"/>
            <w:vAlign w:val="center"/>
          </w:tcPr>
          <w:p w14:paraId="3398A677">
            <w:pPr>
              <w:pStyle w:val="96"/>
              <w:keepNext/>
              <w:spacing w:after="0" w:line="440" w:lineRule="exact"/>
              <w:ind w:left="63" w:right="63"/>
              <w:rPr>
                <w:rFonts w:ascii="宋体" w:hAnsi="宋体" w:eastAsia="宋体" w:cs="宋体"/>
                <w:color w:val="auto"/>
                <w:sz w:val="30"/>
                <w:szCs w:val="30"/>
                <w:highlight w:val="none"/>
              </w:rPr>
            </w:pPr>
          </w:p>
        </w:tc>
      </w:tr>
      <w:tr w14:paraId="7A608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470FE1">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59B01958">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3B6A280">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552F18DD">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196707F0">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735352E9">
            <w:pPr>
              <w:widowControl w:val="0"/>
              <w:jc w:val="both"/>
              <w:rPr>
                <w:rFonts w:ascii="宋体" w:hAnsi="宋体" w:eastAsia="宋体" w:cs="宋体"/>
                <w:color w:val="auto"/>
                <w:kern w:val="2"/>
                <w:sz w:val="30"/>
                <w:szCs w:val="30"/>
                <w:highlight w:val="none"/>
                <w:lang w:val="en-US" w:eastAsia="zh-CN" w:bidi="ar-SA"/>
              </w:rPr>
            </w:pPr>
          </w:p>
        </w:tc>
      </w:tr>
      <w:tr w14:paraId="1865B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9C9E47">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15341EB3">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40EFCE22">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55346B32">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0748C26C">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719AAFE4">
            <w:pPr>
              <w:widowControl w:val="0"/>
              <w:jc w:val="both"/>
              <w:rPr>
                <w:rFonts w:ascii="宋体" w:hAnsi="宋体" w:eastAsia="宋体" w:cs="宋体"/>
                <w:color w:val="auto"/>
                <w:kern w:val="2"/>
                <w:sz w:val="30"/>
                <w:szCs w:val="30"/>
                <w:highlight w:val="none"/>
                <w:lang w:val="en-US" w:eastAsia="zh-CN" w:bidi="ar-SA"/>
              </w:rPr>
            </w:pPr>
          </w:p>
        </w:tc>
      </w:tr>
      <w:tr w14:paraId="1088E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DAAECED">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7C847620">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120F41F5">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531403E1">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557FF99">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4235C1DD">
            <w:pPr>
              <w:widowControl w:val="0"/>
              <w:jc w:val="both"/>
              <w:rPr>
                <w:rFonts w:ascii="宋体" w:hAnsi="宋体" w:eastAsia="宋体" w:cs="宋体"/>
                <w:color w:val="auto"/>
                <w:kern w:val="2"/>
                <w:sz w:val="30"/>
                <w:szCs w:val="30"/>
                <w:highlight w:val="none"/>
                <w:lang w:val="en-US" w:eastAsia="zh-CN" w:bidi="ar-SA"/>
              </w:rPr>
            </w:pPr>
          </w:p>
        </w:tc>
      </w:tr>
      <w:tr w14:paraId="22612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1DBA18">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513E7326">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421EA672">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7FB1A2FF">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60FDA36C">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3F307FE2">
            <w:pPr>
              <w:widowControl w:val="0"/>
              <w:jc w:val="both"/>
              <w:rPr>
                <w:rFonts w:ascii="宋体" w:hAnsi="宋体" w:eastAsia="宋体" w:cs="宋体"/>
                <w:color w:val="auto"/>
                <w:kern w:val="2"/>
                <w:sz w:val="30"/>
                <w:szCs w:val="30"/>
                <w:highlight w:val="none"/>
                <w:lang w:val="en-US" w:eastAsia="zh-CN" w:bidi="ar-SA"/>
              </w:rPr>
            </w:pPr>
          </w:p>
        </w:tc>
      </w:tr>
      <w:tr w14:paraId="48769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0820D5B">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5E4683DF">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0D055BC0">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6E57D7EF">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345CA24">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7393AA9D">
            <w:pPr>
              <w:widowControl w:val="0"/>
              <w:jc w:val="both"/>
              <w:rPr>
                <w:rFonts w:ascii="宋体" w:hAnsi="宋体" w:eastAsia="宋体" w:cs="宋体"/>
                <w:color w:val="auto"/>
                <w:kern w:val="2"/>
                <w:sz w:val="30"/>
                <w:szCs w:val="30"/>
                <w:highlight w:val="none"/>
                <w:lang w:val="en-US" w:eastAsia="zh-CN" w:bidi="ar-SA"/>
              </w:rPr>
            </w:pPr>
          </w:p>
        </w:tc>
      </w:tr>
      <w:tr w14:paraId="2D417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56BD40">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3F49B557">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4D31137C">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6D5020E5">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9FDD94A">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75098055">
            <w:pPr>
              <w:widowControl w:val="0"/>
              <w:jc w:val="both"/>
              <w:rPr>
                <w:rFonts w:ascii="宋体" w:hAnsi="宋体" w:eastAsia="宋体" w:cs="宋体"/>
                <w:color w:val="auto"/>
                <w:kern w:val="2"/>
                <w:sz w:val="30"/>
                <w:szCs w:val="30"/>
                <w:highlight w:val="none"/>
                <w:lang w:val="en-US" w:eastAsia="zh-CN" w:bidi="ar-SA"/>
              </w:rPr>
            </w:pPr>
          </w:p>
        </w:tc>
      </w:tr>
      <w:tr w14:paraId="68ECF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7BDD54E">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27B10DEE">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3F8536BA">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380E8FC8">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62C0FF83">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37BC0ABB">
            <w:pPr>
              <w:widowControl w:val="0"/>
              <w:jc w:val="both"/>
              <w:rPr>
                <w:rFonts w:ascii="宋体" w:hAnsi="宋体" w:eastAsia="宋体" w:cs="宋体"/>
                <w:color w:val="auto"/>
                <w:kern w:val="2"/>
                <w:sz w:val="30"/>
                <w:szCs w:val="30"/>
                <w:highlight w:val="none"/>
                <w:lang w:val="en-US" w:eastAsia="zh-CN" w:bidi="ar-SA"/>
              </w:rPr>
            </w:pPr>
          </w:p>
        </w:tc>
      </w:tr>
      <w:tr w14:paraId="4CE68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4795F5C">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56FC4528">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548DE7D4">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2A7CB0B1">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4E813CCB">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3945F696">
            <w:pPr>
              <w:widowControl w:val="0"/>
              <w:jc w:val="both"/>
              <w:rPr>
                <w:rFonts w:ascii="宋体" w:hAnsi="宋体" w:eastAsia="宋体" w:cs="宋体"/>
                <w:color w:val="auto"/>
                <w:kern w:val="2"/>
                <w:sz w:val="30"/>
                <w:szCs w:val="30"/>
                <w:highlight w:val="none"/>
                <w:lang w:val="en-US" w:eastAsia="zh-CN" w:bidi="ar-SA"/>
              </w:rPr>
            </w:pPr>
          </w:p>
        </w:tc>
      </w:tr>
      <w:tr w14:paraId="3877A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25CA7AB">
            <w:pPr>
              <w:widowControl w:val="0"/>
              <w:jc w:val="both"/>
              <w:rPr>
                <w:rFonts w:ascii="宋体" w:hAnsi="宋体" w:eastAsia="宋体" w:cs="宋体"/>
                <w:color w:val="auto"/>
                <w:kern w:val="2"/>
                <w:sz w:val="30"/>
                <w:szCs w:val="30"/>
                <w:highlight w:val="none"/>
                <w:lang w:val="en-US" w:eastAsia="zh-CN" w:bidi="ar-SA"/>
              </w:rPr>
            </w:pPr>
          </w:p>
        </w:tc>
        <w:tc>
          <w:tcPr>
            <w:tcW w:w="1276" w:type="dxa"/>
            <w:noWrap w:val="0"/>
            <w:vAlign w:val="top"/>
          </w:tcPr>
          <w:p w14:paraId="65C3FAAE">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720945F9">
            <w:pPr>
              <w:widowControl w:val="0"/>
              <w:jc w:val="both"/>
              <w:rPr>
                <w:rFonts w:ascii="宋体" w:hAnsi="宋体" w:eastAsia="宋体" w:cs="宋体"/>
                <w:color w:val="auto"/>
                <w:kern w:val="2"/>
                <w:sz w:val="30"/>
                <w:szCs w:val="30"/>
                <w:highlight w:val="none"/>
                <w:lang w:val="en-US" w:eastAsia="zh-CN" w:bidi="ar-SA"/>
              </w:rPr>
            </w:pPr>
          </w:p>
        </w:tc>
        <w:tc>
          <w:tcPr>
            <w:tcW w:w="1243" w:type="dxa"/>
            <w:noWrap w:val="0"/>
            <w:vAlign w:val="top"/>
          </w:tcPr>
          <w:p w14:paraId="464A52AC">
            <w:pPr>
              <w:widowControl w:val="0"/>
              <w:jc w:val="both"/>
              <w:rPr>
                <w:rFonts w:ascii="宋体" w:hAnsi="宋体" w:eastAsia="宋体" w:cs="宋体"/>
                <w:color w:val="auto"/>
                <w:kern w:val="2"/>
                <w:sz w:val="30"/>
                <w:szCs w:val="30"/>
                <w:highlight w:val="none"/>
                <w:lang w:val="en-US" w:eastAsia="zh-CN" w:bidi="ar-SA"/>
              </w:rPr>
            </w:pPr>
          </w:p>
        </w:tc>
        <w:tc>
          <w:tcPr>
            <w:tcW w:w="1450" w:type="dxa"/>
            <w:noWrap w:val="0"/>
            <w:vAlign w:val="top"/>
          </w:tcPr>
          <w:p w14:paraId="18D2F97E">
            <w:pPr>
              <w:widowControl w:val="0"/>
              <w:jc w:val="both"/>
              <w:rPr>
                <w:rFonts w:ascii="宋体" w:hAnsi="宋体" w:eastAsia="宋体" w:cs="宋体"/>
                <w:color w:val="auto"/>
                <w:kern w:val="2"/>
                <w:sz w:val="30"/>
                <w:szCs w:val="30"/>
                <w:highlight w:val="none"/>
                <w:lang w:val="en-US" w:eastAsia="zh-CN" w:bidi="ar-SA"/>
              </w:rPr>
            </w:pPr>
          </w:p>
        </w:tc>
        <w:tc>
          <w:tcPr>
            <w:tcW w:w="1667" w:type="dxa"/>
            <w:noWrap w:val="0"/>
            <w:vAlign w:val="top"/>
          </w:tcPr>
          <w:p w14:paraId="4562154A">
            <w:pPr>
              <w:widowControl w:val="0"/>
              <w:jc w:val="both"/>
              <w:rPr>
                <w:rFonts w:ascii="宋体" w:hAnsi="宋体" w:eastAsia="宋体" w:cs="宋体"/>
                <w:color w:val="auto"/>
                <w:kern w:val="2"/>
                <w:sz w:val="30"/>
                <w:szCs w:val="30"/>
                <w:highlight w:val="none"/>
                <w:lang w:val="en-US" w:eastAsia="zh-CN" w:bidi="ar-SA"/>
              </w:rPr>
            </w:pPr>
          </w:p>
        </w:tc>
      </w:tr>
    </w:tbl>
    <w:p w14:paraId="1903D5BD">
      <w:pPr>
        <w:widowControl w:val="0"/>
        <w:spacing w:line="440" w:lineRule="exact"/>
        <w:jc w:val="both"/>
        <w:rPr>
          <w:rFonts w:ascii="宋体" w:hAnsi="宋体" w:eastAsia="宋体" w:cs="宋体"/>
          <w:color w:val="auto"/>
          <w:kern w:val="2"/>
          <w:sz w:val="30"/>
          <w:szCs w:val="30"/>
          <w:highlight w:val="none"/>
          <w:lang w:val="en-US" w:eastAsia="zh-CN" w:bidi="ar-SA"/>
        </w:rPr>
      </w:pPr>
    </w:p>
    <w:p w14:paraId="392B84D2">
      <w:pPr>
        <w:widowControl w:val="0"/>
        <w:spacing w:line="440" w:lineRule="exact"/>
        <w:jc w:val="both"/>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附件4：</w:t>
      </w:r>
    </w:p>
    <w:p w14:paraId="1E272BD4">
      <w:pPr>
        <w:widowControl w:val="0"/>
        <w:spacing w:before="120" w:beforeLines="50" w:after="120" w:afterLines="50" w:line="440" w:lineRule="exact"/>
        <w:jc w:val="center"/>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承包人用于本工程施工的机械设备表</w:t>
      </w:r>
    </w:p>
    <w:tbl>
      <w:tblPr>
        <w:tblStyle w:val="2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38E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4329736B">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418" w:type="dxa"/>
            <w:noWrap w:val="0"/>
            <w:vAlign w:val="center"/>
          </w:tcPr>
          <w:p w14:paraId="449A9B45">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机械或设备名称</w:t>
            </w:r>
          </w:p>
        </w:tc>
        <w:tc>
          <w:tcPr>
            <w:tcW w:w="850" w:type="dxa"/>
            <w:noWrap w:val="0"/>
            <w:vAlign w:val="center"/>
          </w:tcPr>
          <w:p w14:paraId="20ED101D">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规格型号</w:t>
            </w:r>
          </w:p>
        </w:tc>
        <w:tc>
          <w:tcPr>
            <w:tcW w:w="1058" w:type="dxa"/>
            <w:noWrap w:val="0"/>
            <w:vAlign w:val="center"/>
          </w:tcPr>
          <w:p w14:paraId="1F9838F1">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880" w:type="dxa"/>
            <w:noWrap w:val="0"/>
            <w:vAlign w:val="center"/>
          </w:tcPr>
          <w:p w14:paraId="0A22391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产地</w:t>
            </w:r>
          </w:p>
        </w:tc>
        <w:tc>
          <w:tcPr>
            <w:tcW w:w="1020" w:type="dxa"/>
            <w:noWrap w:val="0"/>
            <w:vAlign w:val="center"/>
          </w:tcPr>
          <w:p w14:paraId="6CE28F21">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制造年份</w:t>
            </w:r>
          </w:p>
        </w:tc>
        <w:tc>
          <w:tcPr>
            <w:tcW w:w="1480" w:type="dxa"/>
            <w:noWrap w:val="0"/>
            <w:vAlign w:val="center"/>
          </w:tcPr>
          <w:p w14:paraId="44CE7BD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额定功率（kW）</w:t>
            </w:r>
          </w:p>
        </w:tc>
        <w:tc>
          <w:tcPr>
            <w:tcW w:w="1020" w:type="dxa"/>
            <w:noWrap w:val="0"/>
            <w:vAlign w:val="center"/>
          </w:tcPr>
          <w:p w14:paraId="64BA289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921" w:type="dxa"/>
            <w:noWrap w:val="0"/>
            <w:vAlign w:val="center"/>
          </w:tcPr>
          <w:p w14:paraId="71BF8866">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4345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FEE3AB1">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2AC137AD">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4ED21B28">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5354DE87">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794806A9">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1B3C382D">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531E9C63">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737BEC7B">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5E608F69">
            <w:pPr>
              <w:pStyle w:val="96"/>
              <w:keepNext/>
              <w:spacing w:after="0" w:line="440" w:lineRule="exact"/>
              <w:ind w:left="63" w:right="63"/>
              <w:rPr>
                <w:rFonts w:ascii="宋体" w:hAnsi="宋体" w:eastAsia="宋体" w:cs="宋体"/>
                <w:color w:val="auto"/>
                <w:sz w:val="30"/>
                <w:szCs w:val="30"/>
                <w:highlight w:val="none"/>
              </w:rPr>
            </w:pPr>
          </w:p>
        </w:tc>
      </w:tr>
      <w:tr w14:paraId="1069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6191424">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21EB130E">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7AAD57AD">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4019C4E4">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0782D37B">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15B67D2D">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1F10899A">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60AC3CF5">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1F5EE5A1">
            <w:pPr>
              <w:pStyle w:val="96"/>
              <w:keepNext/>
              <w:spacing w:after="0" w:line="440" w:lineRule="exact"/>
              <w:ind w:left="63" w:right="63"/>
              <w:rPr>
                <w:rFonts w:ascii="宋体" w:hAnsi="宋体" w:eastAsia="宋体" w:cs="宋体"/>
                <w:color w:val="auto"/>
                <w:sz w:val="30"/>
                <w:szCs w:val="30"/>
                <w:highlight w:val="none"/>
              </w:rPr>
            </w:pPr>
          </w:p>
        </w:tc>
      </w:tr>
      <w:tr w14:paraId="3451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60B39F">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7E8CD128">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55785844">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3B77210A">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12C41775">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62F4340D">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5FDF4E33">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0EA47892">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208AC6AC">
            <w:pPr>
              <w:pStyle w:val="96"/>
              <w:keepNext/>
              <w:spacing w:after="0" w:line="440" w:lineRule="exact"/>
              <w:ind w:left="63" w:right="63"/>
              <w:rPr>
                <w:rFonts w:ascii="宋体" w:hAnsi="宋体" w:eastAsia="宋体" w:cs="宋体"/>
                <w:color w:val="auto"/>
                <w:sz w:val="30"/>
                <w:szCs w:val="30"/>
                <w:highlight w:val="none"/>
              </w:rPr>
            </w:pPr>
          </w:p>
        </w:tc>
      </w:tr>
      <w:tr w14:paraId="40DB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E7CA112">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134009D0">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0D3632B6">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43087597">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1011A40F">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7D82CC96">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425C20E0">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1D00436D">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219C067E">
            <w:pPr>
              <w:pStyle w:val="96"/>
              <w:keepNext/>
              <w:spacing w:after="0" w:line="440" w:lineRule="exact"/>
              <w:ind w:left="63" w:right="63"/>
              <w:rPr>
                <w:rFonts w:ascii="宋体" w:hAnsi="宋体" w:eastAsia="宋体" w:cs="宋体"/>
                <w:color w:val="auto"/>
                <w:sz w:val="30"/>
                <w:szCs w:val="30"/>
                <w:highlight w:val="none"/>
              </w:rPr>
            </w:pPr>
          </w:p>
        </w:tc>
      </w:tr>
      <w:tr w14:paraId="2018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D40094">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6712EE7E">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A7F00B7">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1F11CE79">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46558899">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5C81B50B">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58506B09">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748214A8">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5BBA2D1F">
            <w:pPr>
              <w:pStyle w:val="96"/>
              <w:keepNext/>
              <w:spacing w:after="0" w:line="440" w:lineRule="exact"/>
              <w:ind w:left="63" w:right="63"/>
              <w:rPr>
                <w:rFonts w:ascii="宋体" w:hAnsi="宋体" w:eastAsia="宋体" w:cs="宋体"/>
                <w:color w:val="auto"/>
                <w:sz w:val="30"/>
                <w:szCs w:val="30"/>
                <w:highlight w:val="none"/>
              </w:rPr>
            </w:pPr>
          </w:p>
        </w:tc>
      </w:tr>
      <w:tr w14:paraId="16F2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AB316B3">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79641259">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EDCB123">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7B504120">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5FEA9276">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5B5097E5">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5DEDAAA1">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4DBF89A3">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3EC45315">
            <w:pPr>
              <w:pStyle w:val="96"/>
              <w:keepNext/>
              <w:spacing w:after="0" w:line="440" w:lineRule="exact"/>
              <w:ind w:left="63" w:right="63"/>
              <w:rPr>
                <w:rFonts w:ascii="宋体" w:hAnsi="宋体" w:eastAsia="宋体" w:cs="宋体"/>
                <w:color w:val="auto"/>
                <w:sz w:val="30"/>
                <w:szCs w:val="30"/>
                <w:highlight w:val="none"/>
              </w:rPr>
            </w:pPr>
          </w:p>
        </w:tc>
      </w:tr>
      <w:tr w14:paraId="4BBD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98B4641">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16E10ADB">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6A479712">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19C5696D">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24C9AE59">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7A5B846F">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4EEDE8B0">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6E7C0C0E">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3C970345">
            <w:pPr>
              <w:pStyle w:val="96"/>
              <w:keepNext/>
              <w:spacing w:after="0" w:line="440" w:lineRule="exact"/>
              <w:ind w:left="63" w:right="63"/>
              <w:rPr>
                <w:rFonts w:ascii="宋体" w:hAnsi="宋体" w:eastAsia="宋体" w:cs="宋体"/>
                <w:color w:val="auto"/>
                <w:sz w:val="30"/>
                <w:szCs w:val="30"/>
                <w:highlight w:val="none"/>
              </w:rPr>
            </w:pPr>
          </w:p>
        </w:tc>
      </w:tr>
      <w:tr w14:paraId="14FF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E23A8AE">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18BB1871">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33C99939">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7488CDCF">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3E2F2090">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2D394448">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34E2BC50">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0ABBB3D4">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23C9DEE1">
            <w:pPr>
              <w:pStyle w:val="96"/>
              <w:keepNext/>
              <w:spacing w:after="0" w:line="440" w:lineRule="exact"/>
              <w:ind w:left="63" w:right="63"/>
              <w:rPr>
                <w:rFonts w:ascii="宋体" w:hAnsi="宋体" w:eastAsia="宋体" w:cs="宋体"/>
                <w:color w:val="auto"/>
                <w:sz w:val="30"/>
                <w:szCs w:val="30"/>
                <w:highlight w:val="none"/>
              </w:rPr>
            </w:pPr>
          </w:p>
        </w:tc>
      </w:tr>
      <w:tr w14:paraId="7A41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E8FD45B">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6614AEBA">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50FE8C17">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27BCFE1D">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7F1B8774">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5ABD1E5C">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048E2B75">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3C3B9ABE">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1396D3F0">
            <w:pPr>
              <w:widowControl w:val="0"/>
              <w:jc w:val="both"/>
              <w:rPr>
                <w:rFonts w:ascii="宋体" w:hAnsi="宋体" w:eastAsia="宋体" w:cs="宋体"/>
                <w:color w:val="auto"/>
                <w:kern w:val="2"/>
                <w:sz w:val="30"/>
                <w:szCs w:val="30"/>
                <w:highlight w:val="none"/>
                <w:lang w:val="en-US" w:eastAsia="zh-CN" w:bidi="ar-SA"/>
              </w:rPr>
            </w:pPr>
          </w:p>
        </w:tc>
      </w:tr>
      <w:tr w14:paraId="1AF3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47E69B5">
            <w:pPr>
              <w:pStyle w:val="96"/>
              <w:keepNext/>
              <w:spacing w:after="0" w:line="440" w:lineRule="exact"/>
              <w:ind w:left="63" w:right="63"/>
              <w:rPr>
                <w:rFonts w:ascii="宋体" w:hAnsi="宋体" w:eastAsia="宋体" w:cs="宋体"/>
                <w:color w:val="auto"/>
                <w:sz w:val="30"/>
                <w:szCs w:val="30"/>
                <w:highlight w:val="none"/>
              </w:rPr>
            </w:pPr>
          </w:p>
        </w:tc>
        <w:tc>
          <w:tcPr>
            <w:tcW w:w="1418" w:type="dxa"/>
            <w:noWrap w:val="0"/>
            <w:vAlign w:val="center"/>
          </w:tcPr>
          <w:p w14:paraId="133BB5F1">
            <w:pPr>
              <w:pStyle w:val="96"/>
              <w:keepNext/>
              <w:spacing w:after="0" w:line="440" w:lineRule="exact"/>
              <w:ind w:left="63" w:right="63"/>
              <w:rPr>
                <w:rFonts w:ascii="宋体" w:hAnsi="宋体" w:eastAsia="宋体" w:cs="宋体"/>
                <w:color w:val="auto"/>
                <w:sz w:val="30"/>
                <w:szCs w:val="30"/>
                <w:highlight w:val="none"/>
              </w:rPr>
            </w:pPr>
          </w:p>
        </w:tc>
        <w:tc>
          <w:tcPr>
            <w:tcW w:w="850" w:type="dxa"/>
            <w:noWrap w:val="0"/>
            <w:vAlign w:val="center"/>
          </w:tcPr>
          <w:p w14:paraId="76D18B34">
            <w:pPr>
              <w:pStyle w:val="96"/>
              <w:keepNext/>
              <w:spacing w:after="0" w:line="440" w:lineRule="exact"/>
              <w:ind w:left="63" w:right="63"/>
              <w:rPr>
                <w:rFonts w:ascii="宋体" w:hAnsi="宋体" w:eastAsia="宋体" w:cs="宋体"/>
                <w:color w:val="auto"/>
                <w:sz w:val="30"/>
                <w:szCs w:val="30"/>
                <w:highlight w:val="none"/>
              </w:rPr>
            </w:pPr>
          </w:p>
        </w:tc>
        <w:tc>
          <w:tcPr>
            <w:tcW w:w="1058" w:type="dxa"/>
            <w:noWrap w:val="0"/>
            <w:vAlign w:val="center"/>
          </w:tcPr>
          <w:p w14:paraId="6DE5A9EF">
            <w:pPr>
              <w:pStyle w:val="96"/>
              <w:keepNext/>
              <w:spacing w:after="0" w:line="440" w:lineRule="exact"/>
              <w:ind w:left="63" w:right="63"/>
              <w:rPr>
                <w:rFonts w:ascii="宋体" w:hAnsi="宋体" w:eastAsia="宋体" w:cs="宋体"/>
                <w:color w:val="auto"/>
                <w:sz w:val="30"/>
                <w:szCs w:val="30"/>
                <w:highlight w:val="none"/>
              </w:rPr>
            </w:pPr>
          </w:p>
        </w:tc>
        <w:tc>
          <w:tcPr>
            <w:tcW w:w="880" w:type="dxa"/>
            <w:noWrap w:val="0"/>
            <w:vAlign w:val="center"/>
          </w:tcPr>
          <w:p w14:paraId="3B914908">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7C70298B">
            <w:pPr>
              <w:pStyle w:val="96"/>
              <w:keepNext/>
              <w:spacing w:after="0" w:line="440" w:lineRule="exact"/>
              <w:ind w:left="63" w:right="63"/>
              <w:rPr>
                <w:rFonts w:ascii="宋体" w:hAnsi="宋体" w:eastAsia="宋体" w:cs="宋体"/>
                <w:color w:val="auto"/>
                <w:sz w:val="30"/>
                <w:szCs w:val="30"/>
                <w:highlight w:val="none"/>
              </w:rPr>
            </w:pPr>
          </w:p>
        </w:tc>
        <w:tc>
          <w:tcPr>
            <w:tcW w:w="1480" w:type="dxa"/>
            <w:noWrap w:val="0"/>
            <w:vAlign w:val="center"/>
          </w:tcPr>
          <w:p w14:paraId="3EC7290B">
            <w:pPr>
              <w:pStyle w:val="96"/>
              <w:keepNext/>
              <w:spacing w:after="0" w:line="440" w:lineRule="exact"/>
              <w:ind w:left="63" w:right="63"/>
              <w:rPr>
                <w:rFonts w:ascii="宋体" w:hAnsi="宋体" w:eastAsia="宋体" w:cs="宋体"/>
                <w:color w:val="auto"/>
                <w:sz w:val="30"/>
                <w:szCs w:val="30"/>
                <w:highlight w:val="none"/>
              </w:rPr>
            </w:pPr>
          </w:p>
        </w:tc>
        <w:tc>
          <w:tcPr>
            <w:tcW w:w="1020" w:type="dxa"/>
            <w:noWrap w:val="0"/>
            <w:vAlign w:val="center"/>
          </w:tcPr>
          <w:p w14:paraId="391D195E">
            <w:pPr>
              <w:pStyle w:val="96"/>
              <w:keepNext/>
              <w:spacing w:after="0" w:line="440" w:lineRule="exact"/>
              <w:ind w:left="63" w:right="63"/>
              <w:rPr>
                <w:rFonts w:ascii="宋体" w:hAnsi="宋体" w:eastAsia="宋体" w:cs="宋体"/>
                <w:color w:val="auto"/>
                <w:sz w:val="30"/>
                <w:szCs w:val="30"/>
                <w:highlight w:val="none"/>
              </w:rPr>
            </w:pPr>
          </w:p>
        </w:tc>
        <w:tc>
          <w:tcPr>
            <w:tcW w:w="921" w:type="dxa"/>
            <w:noWrap w:val="0"/>
            <w:vAlign w:val="center"/>
          </w:tcPr>
          <w:p w14:paraId="313179C1">
            <w:pPr>
              <w:pStyle w:val="96"/>
              <w:keepNext/>
              <w:spacing w:after="0" w:line="440" w:lineRule="exact"/>
              <w:ind w:left="63" w:right="63"/>
              <w:rPr>
                <w:rFonts w:ascii="宋体" w:hAnsi="宋体" w:eastAsia="宋体" w:cs="宋体"/>
                <w:color w:val="auto"/>
                <w:sz w:val="30"/>
                <w:szCs w:val="30"/>
                <w:highlight w:val="none"/>
              </w:rPr>
            </w:pPr>
          </w:p>
        </w:tc>
      </w:tr>
      <w:tr w14:paraId="2ABF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1857696">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1AA38287">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0A61A8FB">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55D9E44A">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06911AC2">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3CA64208">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2A42094A">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770BBB5E">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5817C96A">
            <w:pPr>
              <w:widowControl w:val="0"/>
              <w:jc w:val="both"/>
              <w:rPr>
                <w:rFonts w:ascii="宋体" w:hAnsi="宋体" w:eastAsia="宋体" w:cs="宋体"/>
                <w:color w:val="auto"/>
                <w:kern w:val="2"/>
                <w:sz w:val="30"/>
                <w:szCs w:val="30"/>
                <w:highlight w:val="none"/>
                <w:lang w:val="en-US" w:eastAsia="zh-CN" w:bidi="ar-SA"/>
              </w:rPr>
            </w:pPr>
          </w:p>
        </w:tc>
      </w:tr>
      <w:tr w14:paraId="4FFC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E79A3C">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5FA3D1AA">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77BFD208">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6250E902">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46CAC5A0">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07242091">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4C2DAC52">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29DBDBF8">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5AA13208">
            <w:pPr>
              <w:widowControl w:val="0"/>
              <w:jc w:val="both"/>
              <w:rPr>
                <w:rFonts w:ascii="宋体" w:hAnsi="宋体" w:eastAsia="宋体" w:cs="宋体"/>
                <w:color w:val="auto"/>
                <w:kern w:val="2"/>
                <w:sz w:val="30"/>
                <w:szCs w:val="30"/>
                <w:highlight w:val="none"/>
                <w:lang w:val="en-US" w:eastAsia="zh-CN" w:bidi="ar-SA"/>
              </w:rPr>
            </w:pPr>
          </w:p>
        </w:tc>
      </w:tr>
      <w:tr w14:paraId="0948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16EE524">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454D15CD">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2F32B728">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68CF1317">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00061370">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606EA774">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299F8DA2">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53B87DB4">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247881FA">
            <w:pPr>
              <w:widowControl w:val="0"/>
              <w:jc w:val="both"/>
              <w:rPr>
                <w:rFonts w:ascii="宋体" w:hAnsi="宋体" w:eastAsia="宋体" w:cs="宋体"/>
                <w:color w:val="auto"/>
                <w:kern w:val="2"/>
                <w:sz w:val="30"/>
                <w:szCs w:val="30"/>
                <w:highlight w:val="none"/>
                <w:lang w:val="en-US" w:eastAsia="zh-CN" w:bidi="ar-SA"/>
              </w:rPr>
            </w:pPr>
          </w:p>
        </w:tc>
      </w:tr>
      <w:tr w14:paraId="5F04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D30223E">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7D5FCDC0">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75FE1265">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69B75760">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233F7AE2">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3B818215">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27801F9C">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37211534">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6CCB62F3">
            <w:pPr>
              <w:widowControl w:val="0"/>
              <w:jc w:val="both"/>
              <w:rPr>
                <w:rFonts w:ascii="宋体" w:hAnsi="宋体" w:eastAsia="宋体" w:cs="宋体"/>
                <w:color w:val="auto"/>
                <w:kern w:val="2"/>
                <w:sz w:val="30"/>
                <w:szCs w:val="30"/>
                <w:highlight w:val="none"/>
                <w:lang w:val="en-US" w:eastAsia="zh-CN" w:bidi="ar-SA"/>
              </w:rPr>
            </w:pPr>
          </w:p>
        </w:tc>
      </w:tr>
      <w:tr w14:paraId="5E81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D4A30B3">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743ADE81">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4A19CD75">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4FDDBB70">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068F210C">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707A8036">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3A3AB68E">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1DCDE8F0">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280BF97B">
            <w:pPr>
              <w:widowControl w:val="0"/>
              <w:jc w:val="both"/>
              <w:rPr>
                <w:rFonts w:ascii="宋体" w:hAnsi="宋体" w:eastAsia="宋体" w:cs="宋体"/>
                <w:color w:val="auto"/>
                <w:kern w:val="2"/>
                <w:sz w:val="30"/>
                <w:szCs w:val="30"/>
                <w:highlight w:val="none"/>
                <w:lang w:val="en-US" w:eastAsia="zh-CN" w:bidi="ar-SA"/>
              </w:rPr>
            </w:pPr>
          </w:p>
        </w:tc>
      </w:tr>
      <w:tr w14:paraId="65A5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7C3F304">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192060F1">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204BFCD5">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125D47F4">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05A80505">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36EF6039">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689399AD">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07E4E4D7">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7522D929">
            <w:pPr>
              <w:widowControl w:val="0"/>
              <w:jc w:val="both"/>
              <w:rPr>
                <w:rFonts w:ascii="宋体" w:hAnsi="宋体" w:eastAsia="宋体" w:cs="宋体"/>
                <w:color w:val="auto"/>
                <w:kern w:val="2"/>
                <w:sz w:val="30"/>
                <w:szCs w:val="30"/>
                <w:highlight w:val="none"/>
                <w:lang w:val="en-US" w:eastAsia="zh-CN" w:bidi="ar-SA"/>
              </w:rPr>
            </w:pPr>
          </w:p>
        </w:tc>
      </w:tr>
      <w:tr w14:paraId="3F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FBD206A">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3426D21D">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3B4EE6C2">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7A8817E9">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253410DC">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24D2C4F5">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59B2E273">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65E0AC95">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3B4E1B02">
            <w:pPr>
              <w:widowControl w:val="0"/>
              <w:jc w:val="both"/>
              <w:rPr>
                <w:rFonts w:ascii="宋体" w:hAnsi="宋体" w:eastAsia="宋体" w:cs="宋体"/>
                <w:color w:val="auto"/>
                <w:kern w:val="2"/>
                <w:sz w:val="30"/>
                <w:szCs w:val="30"/>
                <w:highlight w:val="none"/>
                <w:lang w:val="en-US" w:eastAsia="zh-CN" w:bidi="ar-SA"/>
              </w:rPr>
            </w:pPr>
          </w:p>
        </w:tc>
      </w:tr>
      <w:tr w14:paraId="2DE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D368472">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33C14779">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30B59C13">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4EE4ADCA">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72EEE88F">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2E80343D">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33FA0A7B">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0EE46284">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7AC0F737">
            <w:pPr>
              <w:widowControl w:val="0"/>
              <w:jc w:val="both"/>
              <w:rPr>
                <w:rFonts w:ascii="宋体" w:hAnsi="宋体" w:eastAsia="宋体" w:cs="宋体"/>
                <w:color w:val="auto"/>
                <w:kern w:val="2"/>
                <w:sz w:val="30"/>
                <w:szCs w:val="30"/>
                <w:highlight w:val="none"/>
                <w:lang w:val="en-US" w:eastAsia="zh-CN" w:bidi="ar-SA"/>
              </w:rPr>
            </w:pPr>
          </w:p>
        </w:tc>
      </w:tr>
      <w:tr w14:paraId="7831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193CE5D">
            <w:pPr>
              <w:widowControl w:val="0"/>
              <w:jc w:val="both"/>
              <w:rPr>
                <w:rFonts w:ascii="宋体" w:hAnsi="宋体" w:eastAsia="宋体" w:cs="宋体"/>
                <w:color w:val="auto"/>
                <w:kern w:val="2"/>
                <w:sz w:val="30"/>
                <w:szCs w:val="30"/>
                <w:highlight w:val="none"/>
                <w:lang w:val="en-US" w:eastAsia="zh-CN" w:bidi="ar-SA"/>
              </w:rPr>
            </w:pPr>
          </w:p>
        </w:tc>
        <w:tc>
          <w:tcPr>
            <w:tcW w:w="1418" w:type="dxa"/>
            <w:noWrap w:val="0"/>
            <w:vAlign w:val="top"/>
          </w:tcPr>
          <w:p w14:paraId="0E07A632">
            <w:pPr>
              <w:widowControl w:val="0"/>
              <w:jc w:val="both"/>
              <w:rPr>
                <w:rFonts w:ascii="宋体" w:hAnsi="宋体" w:eastAsia="宋体" w:cs="宋体"/>
                <w:color w:val="auto"/>
                <w:kern w:val="2"/>
                <w:sz w:val="30"/>
                <w:szCs w:val="30"/>
                <w:highlight w:val="none"/>
                <w:lang w:val="en-US" w:eastAsia="zh-CN" w:bidi="ar-SA"/>
              </w:rPr>
            </w:pPr>
          </w:p>
        </w:tc>
        <w:tc>
          <w:tcPr>
            <w:tcW w:w="850" w:type="dxa"/>
            <w:noWrap w:val="0"/>
            <w:vAlign w:val="top"/>
          </w:tcPr>
          <w:p w14:paraId="2C8C2D97">
            <w:pPr>
              <w:widowControl w:val="0"/>
              <w:jc w:val="both"/>
              <w:rPr>
                <w:rFonts w:ascii="宋体" w:hAnsi="宋体" w:eastAsia="宋体" w:cs="宋体"/>
                <w:color w:val="auto"/>
                <w:kern w:val="2"/>
                <w:sz w:val="30"/>
                <w:szCs w:val="30"/>
                <w:highlight w:val="none"/>
                <w:lang w:val="en-US" w:eastAsia="zh-CN" w:bidi="ar-SA"/>
              </w:rPr>
            </w:pPr>
          </w:p>
        </w:tc>
        <w:tc>
          <w:tcPr>
            <w:tcW w:w="1058" w:type="dxa"/>
            <w:noWrap w:val="0"/>
            <w:vAlign w:val="top"/>
          </w:tcPr>
          <w:p w14:paraId="1ADD542B">
            <w:pPr>
              <w:widowControl w:val="0"/>
              <w:jc w:val="both"/>
              <w:rPr>
                <w:rFonts w:ascii="宋体" w:hAnsi="宋体" w:eastAsia="宋体" w:cs="宋体"/>
                <w:color w:val="auto"/>
                <w:kern w:val="2"/>
                <w:sz w:val="30"/>
                <w:szCs w:val="30"/>
                <w:highlight w:val="none"/>
                <w:lang w:val="en-US" w:eastAsia="zh-CN" w:bidi="ar-SA"/>
              </w:rPr>
            </w:pPr>
          </w:p>
        </w:tc>
        <w:tc>
          <w:tcPr>
            <w:tcW w:w="880" w:type="dxa"/>
            <w:noWrap w:val="0"/>
            <w:vAlign w:val="top"/>
          </w:tcPr>
          <w:p w14:paraId="683EABA7">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5E50FA7A">
            <w:pPr>
              <w:widowControl w:val="0"/>
              <w:jc w:val="both"/>
              <w:rPr>
                <w:rFonts w:ascii="宋体" w:hAnsi="宋体" w:eastAsia="宋体" w:cs="宋体"/>
                <w:color w:val="auto"/>
                <w:kern w:val="2"/>
                <w:sz w:val="30"/>
                <w:szCs w:val="30"/>
                <w:highlight w:val="none"/>
                <w:lang w:val="en-US" w:eastAsia="zh-CN" w:bidi="ar-SA"/>
              </w:rPr>
            </w:pPr>
          </w:p>
        </w:tc>
        <w:tc>
          <w:tcPr>
            <w:tcW w:w="1480" w:type="dxa"/>
            <w:noWrap w:val="0"/>
            <w:vAlign w:val="top"/>
          </w:tcPr>
          <w:p w14:paraId="4736A52C">
            <w:pPr>
              <w:widowControl w:val="0"/>
              <w:jc w:val="both"/>
              <w:rPr>
                <w:rFonts w:ascii="宋体" w:hAnsi="宋体" w:eastAsia="宋体" w:cs="宋体"/>
                <w:color w:val="auto"/>
                <w:kern w:val="2"/>
                <w:sz w:val="30"/>
                <w:szCs w:val="30"/>
                <w:highlight w:val="none"/>
                <w:lang w:val="en-US" w:eastAsia="zh-CN" w:bidi="ar-SA"/>
              </w:rPr>
            </w:pPr>
          </w:p>
        </w:tc>
        <w:tc>
          <w:tcPr>
            <w:tcW w:w="1020" w:type="dxa"/>
            <w:noWrap w:val="0"/>
            <w:vAlign w:val="top"/>
          </w:tcPr>
          <w:p w14:paraId="69E59DFD">
            <w:pPr>
              <w:widowControl w:val="0"/>
              <w:jc w:val="both"/>
              <w:rPr>
                <w:rFonts w:ascii="宋体" w:hAnsi="宋体" w:eastAsia="宋体" w:cs="宋体"/>
                <w:color w:val="auto"/>
                <w:kern w:val="2"/>
                <w:sz w:val="30"/>
                <w:szCs w:val="30"/>
                <w:highlight w:val="none"/>
                <w:lang w:val="en-US" w:eastAsia="zh-CN" w:bidi="ar-SA"/>
              </w:rPr>
            </w:pPr>
          </w:p>
        </w:tc>
        <w:tc>
          <w:tcPr>
            <w:tcW w:w="921" w:type="dxa"/>
            <w:noWrap w:val="0"/>
            <w:vAlign w:val="top"/>
          </w:tcPr>
          <w:p w14:paraId="4ACAFFAB">
            <w:pPr>
              <w:widowControl w:val="0"/>
              <w:jc w:val="both"/>
              <w:rPr>
                <w:rFonts w:ascii="宋体" w:hAnsi="宋体" w:eastAsia="宋体" w:cs="宋体"/>
                <w:color w:val="auto"/>
                <w:kern w:val="2"/>
                <w:sz w:val="30"/>
                <w:szCs w:val="30"/>
                <w:highlight w:val="none"/>
                <w:lang w:val="en-US" w:eastAsia="zh-CN" w:bidi="ar-SA"/>
              </w:rPr>
            </w:pPr>
          </w:p>
        </w:tc>
      </w:tr>
    </w:tbl>
    <w:p w14:paraId="3B70CEFF">
      <w:pPr>
        <w:widowControl w:val="0"/>
        <w:spacing w:line="440" w:lineRule="exact"/>
        <w:jc w:val="left"/>
        <w:rPr>
          <w:rFonts w:ascii="宋体" w:hAnsi="宋体" w:eastAsia="宋体" w:cs="宋体"/>
          <w:color w:val="auto"/>
          <w:kern w:val="2"/>
          <w:sz w:val="30"/>
          <w:szCs w:val="30"/>
          <w:highlight w:val="none"/>
          <w:lang w:val="en-US" w:eastAsia="zh-CN" w:bidi="ar-SA"/>
        </w:rPr>
      </w:pPr>
      <w:r>
        <w:rPr>
          <w:rFonts w:ascii="宋体" w:hAnsi="宋体" w:eastAsia="宋体" w:cs="宋体"/>
          <w:color w:val="auto"/>
          <w:kern w:val="2"/>
          <w:sz w:val="30"/>
          <w:szCs w:val="30"/>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附件5：</w:t>
      </w:r>
    </w:p>
    <w:p w14:paraId="08D8733C">
      <w:pPr>
        <w:widowControl w:val="0"/>
        <w:spacing w:before="120" w:beforeLines="50" w:after="120" w:afterLines="50" w:line="440" w:lineRule="exact"/>
        <w:jc w:val="center"/>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承包人主要施工管理人员表</w:t>
      </w:r>
    </w:p>
    <w:tbl>
      <w:tblPr>
        <w:tblStyle w:val="28"/>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564"/>
      </w:tblGrid>
      <w:tr w14:paraId="33E0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E29472">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2D65FAD0">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5F0085B2">
            <w:pPr>
              <w:pStyle w:val="96"/>
              <w:keepNext/>
              <w:spacing w:after="0" w:line="440" w:lineRule="exact"/>
              <w:ind w:left="63"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607ACD59">
            <w:pPr>
              <w:pStyle w:val="96"/>
              <w:keepNext/>
              <w:spacing w:after="0" w:line="440" w:lineRule="exact"/>
              <w:ind w:left="63"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3564" w:type="dxa"/>
            <w:noWrap w:val="0"/>
            <w:vAlign w:val="center"/>
          </w:tcPr>
          <w:p w14:paraId="21B0EC0A">
            <w:pPr>
              <w:pStyle w:val="96"/>
              <w:keepNext/>
              <w:spacing w:after="0" w:line="440" w:lineRule="exact"/>
              <w:ind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6C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121" w:type="dxa"/>
            <w:gridSpan w:val="5"/>
            <w:noWrap w:val="0"/>
            <w:vAlign w:val="center"/>
          </w:tcPr>
          <w:p w14:paraId="045951EB">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633D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1EDC5F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25A829EF">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7EE5883">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3D35A853">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3C9634E4">
            <w:pPr>
              <w:pStyle w:val="96"/>
              <w:keepNext/>
              <w:spacing w:after="0" w:line="440" w:lineRule="exact"/>
              <w:ind w:left="63" w:right="63"/>
              <w:rPr>
                <w:rFonts w:ascii="宋体" w:hAnsi="宋体" w:eastAsia="宋体" w:cs="宋体"/>
                <w:color w:val="auto"/>
                <w:sz w:val="30"/>
                <w:szCs w:val="30"/>
                <w:highlight w:val="none"/>
              </w:rPr>
            </w:pPr>
          </w:p>
        </w:tc>
      </w:tr>
      <w:tr w14:paraId="3B9D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8F6B6B4">
            <w:pPr>
              <w:pStyle w:val="96"/>
              <w:keepNext/>
              <w:spacing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14E22663">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9DBE14D">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E0A0853">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6C754556">
            <w:pPr>
              <w:pStyle w:val="96"/>
              <w:keepNext/>
              <w:spacing w:after="0" w:line="440" w:lineRule="exact"/>
              <w:ind w:left="63" w:right="63"/>
              <w:rPr>
                <w:rFonts w:ascii="宋体" w:hAnsi="宋体" w:eastAsia="宋体" w:cs="宋体"/>
                <w:color w:val="auto"/>
                <w:sz w:val="30"/>
                <w:szCs w:val="30"/>
                <w:highlight w:val="none"/>
              </w:rPr>
            </w:pPr>
          </w:p>
        </w:tc>
      </w:tr>
      <w:tr w14:paraId="13C5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12ED272">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0011AB9E">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164C176">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6C68448C">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43EB2EC7">
            <w:pPr>
              <w:pStyle w:val="96"/>
              <w:keepNext/>
              <w:spacing w:after="0" w:line="440" w:lineRule="exact"/>
              <w:ind w:left="63" w:right="63"/>
              <w:rPr>
                <w:rFonts w:ascii="宋体" w:hAnsi="宋体" w:eastAsia="宋体" w:cs="宋体"/>
                <w:color w:val="auto"/>
                <w:sz w:val="30"/>
                <w:szCs w:val="30"/>
                <w:highlight w:val="none"/>
              </w:rPr>
            </w:pPr>
          </w:p>
        </w:tc>
      </w:tr>
      <w:tr w14:paraId="0B2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A843069">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18F8D0BC">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0842EC8A">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0909CDAB">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3488F105">
            <w:pPr>
              <w:pStyle w:val="96"/>
              <w:keepNext/>
              <w:spacing w:after="0" w:line="440" w:lineRule="exact"/>
              <w:ind w:left="63" w:right="63"/>
              <w:rPr>
                <w:rFonts w:ascii="宋体" w:hAnsi="宋体" w:eastAsia="宋体" w:cs="宋体"/>
                <w:color w:val="auto"/>
                <w:sz w:val="30"/>
                <w:szCs w:val="30"/>
                <w:highlight w:val="none"/>
              </w:rPr>
            </w:pPr>
          </w:p>
        </w:tc>
      </w:tr>
      <w:tr w14:paraId="1B81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121" w:type="dxa"/>
            <w:gridSpan w:val="5"/>
            <w:noWrap w:val="0"/>
            <w:vAlign w:val="center"/>
          </w:tcPr>
          <w:p w14:paraId="67E86CB0">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6FB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1602E53">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57DC3303">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7EBE61F">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690DF300">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0DE4DA40">
            <w:pPr>
              <w:pStyle w:val="96"/>
              <w:keepNext/>
              <w:spacing w:after="0" w:line="440" w:lineRule="exact"/>
              <w:ind w:left="63" w:right="63"/>
              <w:rPr>
                <w:rFonts w:ascii="宋体" w:hAnsi="宋体" w:eastAsia="宋体" w:cs="宋体"/>
                <w:color w:val="auto"/>
                <w:sz w:val="30"/>
                <w:szCs w:val="30"/>
                <w:highlight w:val="none"/>
              </w:rPr>
            </w:pPr>
          </w:p>
        </w:tc>
      </w:tr>
      <w:tr w14:paraId="6932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B374BB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69EB1E6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579BAD68">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D0C47FC">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24507173">
            <w:pPr>
              <w:pStyle w:val="96"/>
              <w:keepNext/>
              <w:spacing w:after="0" w:line="440" w:lineRule="exact"/>
              <w:ind w:left="63" w:right="63"/>
              <w:rPr>
                <w:rFonts w:ascii="宋体" w:hAnsi="宋体" w:eastAsia="宋体" w:cs="宋体"/>
                <w:color w:val="auto"/>
                <w:sz w:val="30"/>
                <w:szCs w:val="30"/>
                <w:highlight w:val="none"/>
              </w:rPr>
            </w:pPr>
          </w:p>
        </w:tc>
      </w:tr>
      <w:tr w14:paraId="3AF9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8BD1AD">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46C54821">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0B8FAB44">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A2E5368">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5CB572C7">
            <w:pPr>
              <w:pStyle w:val="96"/>
              <w:keepNext/>
              <w:spacing w:after="0" w:line="440" w:lineRule="exact"/>
              <w:ind w:left="63" w:right="63"/>
              <w:rPr>
                <w:rFonts w:ascii="宋体" w:hAnsi="宋体" w:eastAsia="宋体" w:cs="宋体"/>
                <w:color w:val="auto"/>
                <w:sz w:val="30"/>
                <w:szCs w:val="30"/>
                <w:highlight w:val="none"/>
              </w:rPr>
            </w:pPr>
          </w:p>
        </w:tc>
      </w:tr>
      <w:tr w14:paraId="6927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E4B4B25">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6C9EAEFC">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CC02351">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7289A8F4">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71A2073E">
            <w:pPr>
              <w:pStyle w:val="96"/>
              <w:keepNext/>
              <w:spacing w:after="0" w:line="440" w:lineRule="exact"/>
              <w:ind w:left="63" w:right="63"/>
              <w:rPr>
                <w:rFonts w:ascii="宋体" w:hAnsi="宋体" w:eastAsia="宋体" w:cs="宋体"/>
                <w:color w:val="auto"/>
                <w:sz w:val="30"/>
                <w:szCs w:val="30"/>
                <w:highlight w:val="none"/>
              </w:rPr>
            </w:pPr>
          </w:p>
        </w:tc>
      </w:tr>
      <w:tr w14:paraId="33EB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3AD2973">
            <w:pPr>
              <w:pStyle w:val="96"/>
              <w:keepNext/>
              <w:spacing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58B7A3E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02DC0F29">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9659E7B">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7B33BCE0">
            <w:pPr>
              <w:pStyle w:val="96"/>
              <w:keepNext/>
              <w:spacing w:after="0" w:line="440" w:lineRule="exact"/>
              <w:ind w:left="63" w:right="63"/>
              <w:rPr>
                <w:rFonts w:ascii="宋体" w:hAnsi="宋体" w:eastAsia="宋体" w:cs="宋体"/>
                <w:color w:val="auto"/>
                <w:sz w:val="30"/>
                <w:szCs w:val="30"/>
                <w:highlight w:val="none"/>
              </w:rPr>
            </w:pPr>
          </w:p>
        </w:tc>
      </w:tr>
      <w:tr w14:paraId="7A7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89722A7">
            <w:pPr>
              <w:pStyle w:val="96"/>
              <w:keepNext/>
              <w:spacing w:line="440" w:lineRule="exact"/>
              <w:ind w:left="63" w:right="63"/>
              <w:rPr>
                <w:rFonts w:ascii="宋体" w:hAnsi="宋体" w:eastAsia="宋体" w:cs="宋体"/>
                <w:color w:val="auto"/>
                <w:sz w:val="28"/>
                <w:szCs w:val="28"/>
                <w:highlight w:val="none"/>
              </w:rPr>
            </w:pPr>
          </w:p>
        </w:tc>
        <w:tc>
          <w:tcPr>
            <w:tcW w:w="1418" w:type="dxa"/>
            <w:noWrap w:val="0"/>
            <w:vAlign w:val="center"/>
          </w:tcPr>
          <w:p w14:paraId="30C49C6B">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416A6415">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11741C9">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3A747367">
            <w:pPr>
              <w:pStyle w:val="96"/>
              <w:keepNext/>
              <w:spacing w:after="0" w:line="440" w:lineRule="exact"/>
              <w:ind w:left="63" w:right="63"/>
              <w:rPr>
                <w:rFonts w:ascii="宋体" w:hAnsi="宋体" w:eastAsia="宋体" w:cs="宋体"/>
                <w:color w:val="auto"/>
                <w:sz w:val="30"/>
                <w:szCs w:val="30"/>
                <w:highlight w:val="none"/>
              </w:rPr>
            </w:pPr>
          </w:p>
        </w:tc>
      </w:tr>
      <w:tr w14:paraId="6C9F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BBFF564">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16862C04">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CA11013">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5650228E">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1AD6BC45">
            <w:pPr>
              <w:pStyle w:val="96"/>
              <w:keepNext/>
              <w:spacing w:after="0" w:line="440" w:lineRule="exact"/>
              <w:ind w:left="63" w:right="63"/>
              <w:rPr>
                <w:rFonts w:ascii="宋体" w:hAnsi="宋体" w:eastAsia="宋体" w:cs="宋体"/>
                <w:color w:val="auto"/>
                <w:sz w:val="30"/>
                <w:szCs w:val="30"/>
                <w:highlight w:val="none"/>
              </w:rPr>
            </w:pPr>
          </w:p>
        </w:tc>
      </w:tr>
      <w:tr w14:paraId="733E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A4973D">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3748C64E">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619BAEB0">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3F511A8">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2E070151">
            <w:pPr>
              <w:pStyle w:val="96"/>
              <w:keepNext/>
              <w:spacing w:after="0" w:line="440" w:lineRule="exact"/>
              <w:ind w:left="63" w:right="63"/>
              <w:rPr>
                <w:rFonts w:ascii="宋体" w:hAnsi="宋体" w:eastAsia="宋体" w:cs="宋体"/>
                <w:color w:val="auto"/>
                <w:sz w:val="30"/>
                <w:szCs w:val="30"/>
                <w:highlight w:val="none"/>
              </w:rPr>
            </w:pPr>
          </w:p>
        </w:tc>
      </w:tr>
      <w:tr w14:paraId="7B23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CDFD17E">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79B7003A">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4230505">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3089190">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2725042C">
            <w:pPr>
              <w:pStyle w:val="96"/>
              <w:keepNext/>
              <w:spacing w:after="0" w:line="440" w:lineRule="exact"/>
              <w:ind w:left="63" w:right="63"/>
              <w:rPr>
                <w:rFonts w:ascii="宋体" w:hAnsi="宋体" w:eastAsia="宋体" w:cs="宋体"/>
                <w:color w:val="auto"/>
                <w:sz w:val="30"/>
                <w:szCs w:val="30"/>
                <w:highlight w:val="none"/>
              </w:rPr>
            </w:pPr>
          </w:p>
        </w:tc>
      </w:tr>
      <w:tr w14:paraId="0B59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A4309C3">
            <w:pPr>
              <w:pStyle w:val="96"/>
              <w:keepNext/>
              <w:spacing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68AC68F1">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CF6697E">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5B1D289">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7D8C6A71">
            <w:pPr>
              <w:pStyle w:val="96"/>
              <w:keepNext/>
              <w:spacing w:after="0" w:line="440" w:lineRule="exact"/>
              <w:ind w:left="63" w:right="63"/>
              <w:rPr>
                <w:rFonts w:ascii="宋体" w:hAnsi="宋体" w:eastAsia="宋体" w:cs="宋体"/>
                <w:color w:val="auto"/>
                <w:sz w:val="30"/>
                <w:szCs w:val="30"/>
                <w:highlight w:val="none"/>
              </w:rPr>
            </w:pPr>
          </w:p>
        </w:tc>
      </w:tr>
      <w:tr w14:paraId="6F8F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1386DCE">
            <w:pPr>
              <w:pStyle w:val="96"/>
              <w:keepNext/>
              <w:spacing w:line="440" w:lineRule="exact"/>
              <w:ind w:left="63" w:right="63"/>
              <w:rPr>
                <w:rFonts w:ascii="宋体" w:hAnsi="宋体" w:eastAsia="宋体" w:cs="宋体"/>
                <w:color w:val="auto"/>
                <w:sz w:val="28"/>
                <w:szCs w:val="28"/>
                <w:highlight w:val="none"/>
              </w:rPr>
            </w:pPr>
          </w:p>
        </w:tc>
        <w:tc>
          <w:tcPr>
            <w:tcW w:w="1418" w:type="dxa"/>
            <w:noWrap w:val="0"/>
            <w:vAlign w:val="center"/>
          </w:tcPr>
          <w:p w14:paraId="6CE58D0A">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0B946C0">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7903135C">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2F935A3B">
            <w:pPr>
              <w:pStyle w:val="96"/>
              <w:keepNext/>
              <w:spacing w:after="0" w:line="440" w:lineRule="exact"/>
              <w:ind w:left="63" w:right="63"/>
              <w:rPr>
                <w:rFonts w:ascii="宋体" w:hAnsi="宋体" w:eastAsia="宋体" w:cs="宋体"/>
                <w:color w:val="auto"/>
                <w:sz w:val="30"/>
                <w:szCs w:val="30"/>
                <w:highlight w:val="none"/>
              </w:rPr>
            </w:pPr>
          </w:p>
        </w:tc>
      </w:tr>
      <w:tr w14:paraId="6FFD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C8FE23">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16854D4C">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F5FD28A">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072607B0">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100419DF">
            <w:pPr>
              <w:pStyle w:val="96"/>
              <w:keepNext/>
              <w:spacing w:after="0" w:line="440" w:lineRule="exact"/>
              <w:ind w:left="63" w:right="63"/>
              <w:rPr>
                <w:rFonts w:ascii="宋体" w:hAnsi="宋体" w:eastAsia="宋体" w:cs="宋体"/>
                <w:color w:val="auto"/>
                <w:sz w:val="30"/>
                <w:szCs w:val="30"/>
                <w:highlight w:val="none"/>
              </w:rPr>
            </w:pPr>
          </w:p>
        </w:tc>
      </w:tr>
      <w:tr w14:paraId="2A5F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11A4483">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7CC8ABFE">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1A039BB8">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180AE700">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32230D6D">
            <w:pPr>
              <w:pStyle w:val="96"/>
              <w:keepNext/>
              <w:spacing w:after="0" w:line="440" w:lineRule="exact"/>
              <w:ind w:left="63" w:right="63"/>
              <w:rPr>
                <w:rFonts w:ascii="宋体" w:hAnsi="宋体" w:eastAsia="宋体" w:cs="宋体"/>
                <w:color w:val="auto"/>
                <w:sz w:val="30"/>
                <w:szCs w:val="30"/>
                <w:highlight w:val="none"/>
              </w:rPr>
            </w:pPr>
          </w:p>
        </w:tc>
      </w:tr>
      <w:tr w14:paraId="6692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43DEBA7">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72227A5E">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034F52F">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51F7C35F">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4A744EF7">
            <w:pPr>
              <w:pStyle w:val="96"/>
              <w:keepNext/>
              <w:spacing w:after="0" w:line="440" w:lineRule="exact"/>
              <w:ind w:left="63" w:right="63"/>
              <w:rPr>
                <w:rFonts w:ascii="宋体" w:hAnsi="宋体" w:eastAsia="宋体" w:cs="宋体"/>
                <w:color w:val="auto"/>
                <w:sz w:val="30"/>
                <w:szCs w:val="30"/>
                <w:highlight w:val="none"/>
              </w:rPr>
            </w:pPr>
          </w:p>
        </w:tc>
      </w:tr>
      <w:tr w14:paraId="6B7B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D1A276">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5F1BBE9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54289B6">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61FA895D">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38F40882">
            <w:pPr>
              <w:pStyle w:val="96"/>
              <w:keepNext/>
              <w:spacing w:after="0" w:line="440" w:lineRule="exact"/>
              <w:ind w:left="63" w:right="63"/>
              <w:rPr>
                <w:rFonts w:ascii="宋体" w:hAnsi="宋体" w:eastAsia="宋体" w:cs="宋体"/>
                <w:color w:val="auto"/>
                <w:sz w:val="30"/>
                <w:szCs w:val="30"/>
                <w:highlight w:val="none"/>
              </w:rPr>
            </w:pPr>
          </w:p>
        </w:tc>
      </w:tr>
      <w:tr w14:paraId="6DDD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4D40A0">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369EF74F">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475F661">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0D2C7D06">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758B5175">
            <w:pPr>
              <w:pStyle w:val="96"/>
              <w:keepNext/>
              <w:spacing w:after="0" w:line="440" w:lineRule="exact"/>
              <w:ind w:left="63" w:right="63"/>
              <w:rPr>
                <w:rFonts w:ascii="宋体" w:hAnsi="宋体" w:eastAsia="宋体" w:cs="宋体"/>
                <w:color w:val="auto"/>
                <w:sz w:val="30"/>
                <w:szCs w:val="30"/>
                <w:highlight w:val="none"/>
              </w:rPr>
            </w:pPr>
          </w:p>
        </w:tc>
      </w:tr>
      <w:tr w14:paraId="6CF9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D77C14">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3C6EAD2C">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1E2DC929">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1B0BA197">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61C1346B">
            <w:pPr>
              <w:pStyle w:val="96"/>
              <w:keepNext/>
              <w:spacing w:after="0" w:line="440" w:lineRule="exact"/>
              <w:ind w:left="63" w:right="63"/>
              <w:rPr>
                <w:rFonts w:ascii="宋体" w:hAnsi="宋体" w:eastAsia="宋体" w:cs="宋体"/>
                <w:color w:val="auto"/>
                <w:sz w:val="30"/>
                <w:szCs w:val="30"/>
                <w:highlight w:val="none"/>
              </w:rPr>
            </w:pPr>
          </w:p>
        </w:tc>
      </w:tr>
      <w:tr w14:paraId="3D7D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BEA8B9">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50C13E7F">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AEFEA8D">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F41D5FB">
            <w:pPr>
              <w:pStyle w:val="96"/>
              <w:keepNext/>
              <w:spacing w:after="0" w:line="440" w:lineRule="exact"/>
              <w:ind w:left="63" w:right="63"/>
              <w:rPr>
                <w:rFonts w:ascii="宋体" w:hAnsi="宋体" w:eastAsia="宋体" w:cs="宋体"/>
                <w:color w:val="auto"/>
                <w:sz w:val="30"/>
                <w:szCs w:val="30"/>
                <w:highlight w:val="none"/>
              </w:rPr>
            </w:pPr>
          </w:p>
        </w:tc>
        <w:tc>
          <w:tcPr>
            <w:tcW w:w="3564" w:type="dxa"/>
            <w:noWrap w:val="0"/>
            <w:vAlign w:val="center"/>
          </w:tcPr>
          <w:p w14:paraId="0E638F45">
            <w:pPr>
              <w:pStyle w:val="96"/>
              <w:keepNext/>
              <w:spacing w:after="0" w:line="440" w:lineRule="exact"/>
              <w:ind w:left="63" w:right="63"/>
              <w:rPr>
                <w:rFonts w:ascii="宋体" w:hAnsi="宋体" w:eastAsia="宋体" w:cs="宋体"/>
                <w:color w:val="auto"/>
                <w:sz w:val="30"/>
                <w:szCs w:val="30"/>
                <w:highlight w:val="none"/>
              </w:rPr>
            </w:pPr>
          </w:p>
        </w:tc>
      </w:tr>
    </w:tbl>
    <w:p w14:paraId="5F5ED30A">
      <w:pPr>
        <w:widowControl w:val="0"/>
        <w:spacing w:line="440" w:lineRule="exact"/>
        <w:jc w:val="both"/>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附件6：</w:t>
      </w:r>
    </w:p>
    <w:p w14:paraId="536DDA8C">
      <w:pPr>
        <w:widowControl w:val="0"/>
        <w:spacing w:before="120" w:beforeLines="50" w:after="120" w:afterLines="50" w:line="440" w:lineRule="exact"/>
        <w:jc w:val="center"/>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分包人主要施工管理人员表</w:t>
      </w:r>
    </w:p>
    <w:tbl>
      <w:tblPr>
        <w:tblStyle w:val="2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406"/>
      </w:tblGrid>
      <w:tr w14:paraId="26CA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2A000C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00C2BB05">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27DE85C7">
            <w:pPr>
              <w:pStyle w:val="96"/>
              <w:keepNext/>
              <w:spacing w:after="0" w:line="440" w:lineRule="exact"/>
              <w:ind w:left="63"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650A69ED">
            <w:pPr>
              <w:pStyle w:val="96"/>
              <w:keepNext/>
              <w:spacing w:after="0" w:line="440" w:lineRule="exact"/>
              <w:ind w:left="63"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3406" w:type="dxa"/>
            <w:noWrap w:val="0"/>
            <w:vAlign w:val="center"/>
          </w:tcPr>
          <w:p w14:paraId="41D62795">
            <w:pPr>
              <w:pStyle w:val="96"/>
              <w:keepNext/>
              <w:spacing w:after="0" w:line="440" w:lineRule="exact"/>
              <w:ind w:left="63" w:right="63"/>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37EB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3" w:type="dxa"/>
            <w:gridSpan w:val="5"/>
            <w:noWrap w:val="0"/>
            <w:vAlign w:val="center"/>
          </w:tcPr>
          <w:p w14:paraId="18E6AD74">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415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80E29E">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54EBA6F1">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3E9B182">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1AAEBA8D">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5C2B0E7F">
            <w:pPr>
              <w:pStyle w:val="96"/>
              <w:keepNext/>
              <w:spacing w:after="0" w:line="440" w:lineRule="exact"/>
              <w:ind w:left="63" w:right="63"/>
              <w:rPr>
                <w:rFonts w:ascii="宋体" w:hAnsi="宋体" w:eastAsia="宋体" w:cs="宋体"/>
                <w:color w:val="auto"/>
                <w:sz w:val="30"/>
                <w:szCs w:val="30"/>
                <w:highlight w:val="none"/>
              </w:rPr>
            </w:pPr>
          </w:p>
        </w:tc>
      </w:tr>
      <w:tr w14:paraId="61D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D86FF1">
            <w:pPr>
              <w:pStyle w:val="96"/>
              <w:keepNext/>
              <w:spacing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0780895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BA7ECB7">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335806D">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193EA806">
            <w:pPr>
              <w:pStyle w:val="96"/>
              <w:keepNext/>
              <w:spacing w:after="0" w:line="440" w:lineRule="exact"/>
              <w:ind w:left="63" w:right="63"/>
              <w:rPr>
                <w:rFonts w:ascii="宋体" w:hAnsi="宋体" w:eastAsia="宋体" w:cs="宋体"/>
                <w:color w:val="auto"/>
                <w:sz w:val="30"/>
                <w:szCs w:val="30"/>
                <w:highlight w:val="none"/>
              </w:rPr>
            </w:pPr>
          </w:p>
        </w:tc>
      </w:tr>
      <w:tr w14:paraId="7CB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0FE1F9">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02451CCE">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69553C2F">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18A92E82">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4BCC0345">
            <w:pPr>
              <w:pStyle w:val="96"/>
              <w:keepNext/>
              <w:spacing w:after="0" w:line="440" w:lineRule="exact"/>
              <w:ind w:left="63" w:right="63"/>
              <w:rPr>
                <w:rFonts w:ascii="宋体" w:hAnsi="宋体" w:eastAsia="宋体" w:cs="宋体"/>
                <w:color w:val="auto"/>
                <w:sz w:val="30"/>
                <w:szCs w:val="30"/>
                <w:highlight w:val="none"/>
              </w:rPr>
            </w:pPr>
          </w:p>
        </w:tc>
      </w:tr>
      <w:tr w14:paraId="4288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D847147">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5A1178C9">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3B390AE">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05FE341">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46013E23">
            <w:pPr>
              <w:pStyle w:val="96"/>
              <w:keepNext/>
              <w:spacing w:after="0" w:line="440" w:lineRule="exact"/>
              <w:ind w:left="63" w:right="63"/>
              <w:rPr>
                <w:rFonts w:ascii="宋体" w:hAnsi="宋体" w:eastAsia="宋体" w:cs="宋体"/>
                <w:color w:val="auto"/>
                <w:sz w:val="30"/>
                <w:szCs w:val="30"/>
                <w:highlight w:val="none"/>
              </w:rPr>
            </w:pPr>
          </w:p>
        </w:tc>
      </w:tr>
      <w:tr w14:paraId="2F7D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3" w:type="dxa"/>
            <w:gridSpan w:val="5"/>
            <w:noWrap w:val="0"/>
            <w:vAlign w:val="center"/>
          </w:tcPr>
          <w:p w14:paraId="3D2449D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6F91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D37E7EA">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08325EC4">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40963EB2">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65DE8803">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01042A0D">
            <w:pPr>
              <w:pStyle w:val="96"/>
              <w:keepNext/>
              <w:spacing w:after="0" w:line="440" w:lineRule="exact"/>
              <w:ind w:left="63" w:right="63"/>
              <w:rPr>
                <w:rFonts w:ascii="宋体" w:hAnsi="宋体" w:eastAsia="宋体" w:cs="宋体"/>
                <w:color w:val="auto"/>
                <w:sz w:val="30"/>
                <w:szCs w:val="30"/>
                <w:highlight w:val="none"/>
              </w:rPr>
            </w:pPr>
          </w:p>
        </w:tc>
      </w:tr>
      <w:tr w14:paraId="302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EB077E4">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2171B522">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4F75BF9">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5E435E6B">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4591CF7C">
            <w:pPr>
              <w:pStyle w:val="96"/>
              <w:keepNext/>
              <w:spacing w:after="0" w:line="440" w:lineRule="exact"/>
              <w:ind w:left="63" w:right="63"/>
              <w:rPr>
                <w:rFonts w:ascii="宋体" w:hAnsi="宋体" w:eastAsia="宋体" w:cs="宋体"/>
                <w:color w:val="auto"/>
                <w:sz w:val="30"/>
                <w:szCs w:val="30"/>
                <w:highlight w:val="none"/>
              </w:rPr>
            </w:pPr>
          </w:p>
        </w:tc>
      </w:tr>
      <w:tr w14:paraId="22E2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ABDAE2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14FFB891">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7F726358">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74911472">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6EE71323">
            <w:pPr>
              <w:pStyle w:val="96"/>
              <w:keepNext/>
              <w:spacing w:after="0" w:line="440" w:lineRule="exact"/>
              <w:ind w:left="63" w:right="63"/>
              <w:rPr>
                <w:rFonts w:ascii="宋体" w:hAnsi="宋体" w:eastAsia="宋体" w:cs="宋体"/>
                <w:color w:val="auto"/>
                <w:sz w:val="30"/>
                <w:szCs w:val="30"/>
                <w:highlight w:val="none"/>
              </w:rPr>
            </w:pPr>
          </w:p>
        </w:tc>
      </w:tr>
      <w:tr w14:paraId="2C5F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27A337F">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19BAAFB3">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B6D8353">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63F4A71B">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73603943">
            <w:pPr>
              <w:pStyle w:val="96"/>
              <w:keepNext/>
              <w:spacing w:after="0" w:line="440" w:lineRule="exact"/>
              <w:ind w:left="63" w:right="63"/>
              <w:rPr>
                <w:rFonts w:ascii="宋体" w:hAnsi="宋体" w:eastAsia="宋体" w:cs="宋体"/>
                <w:color w:val="auto"/>
                <w:sz w:val="30"/>
                <w:szCs w:val="30"/>
                <w:highlight w:val="none"/>
              </w:rPr>
            </w:pPr>
          </w:p>
        </w:tc>
      </w:tr>
      <w:tr w14:paraId="2245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C72A948">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5FD18A74">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06F4C0EC">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1BAE16B3">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088774ED">
            <w:pPr>
              <w:pStyle w:val="96"/>
              <w:keepNext/>
              <w:spacing w:after="0" w:line="440" w:lineRule="exact"/>
              <w:ind w:left="63" w:right="63"/>
              <w:rPr>
                <w:rFonts w:ascii="宋体" w:hAnsi="宋体" w:eastAsia="宋体" w:cs="宋体"/>
                <w:color w:val="auto"/>
                <w:sz w:val="30"/>
                <w:szCs w:val="30"/>
                <w:highlight w:val="none"/>
              </w:rPr>
            </w:pPr>
          </w:p>
        </w:tc>
      </w:tr>
      <w:tr w14:paraId="34B9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FD3E59">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7E7384B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14776DF0">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379456E3">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06AD1AAD">
            <w:pPr>
              <w:pStyle w:val="96"/>
              <w:keepNext/>
              <w:spacing w:after="0" w:line="440" w:lineRule="exact"/>
              <w:ind w:left="63" w:right="63"/>
              <w:rPr>
                <w:rFonts w:ascii="宋体" w:hAnsi="宋体" w:eastAsia="宋体" w:cs="宋体"/>
                <w:color w:val="auto"/>
                <w:sz w:val="30"/>
                <w:szCs w:val="30"/>
                <w:highlight w:val="none"/>
              </w:rPr>
            </w:pPr>
          </w:p>
        </w:tc>
      </w:tr>
      <w:tr w14:paraId="1042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07BA8D">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52E03F8C">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312CD9C4">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0893007">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4E425896">
            <w:pPr>
              <w:pStyle w:val="96"/>
              <w:keepNext/>
              <w:spacing w:after="0" w:line="440" w:lineRule="exact"/>
              <w:ind w:left="63" w:right="63"/>
              <w:rPr>
                <w:rFonts w:ascii="宋体" w:hAnsi="宋体" w:eastAsia="宋体" w:cs="宋体"/>
                <w:color w:val="auto"/>
                <w:sz w:val="30"/>
                <w:szCs w:val="30"/>
                <w:highlight w:val="none"/>
              </w:rPr>
            </w:pPr>
          </w:p>
        </w:tc>
      </w:tr>
      <w:tr w14:paraId="036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485ADEB">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5325CA93">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564A56EF">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E91DAE3">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3333F823">
            <w:pPr>
              <w:pStyle w:val="96"/>
              <w:keepNext/>
              <w:spacing w:after="0" w:line="440" w:lineRule="exact"/>
              <w:ind w:left="63" w:right="63"/>
              <w:rPr>
                <w:rFonts w:ascii="宋体" w:hAnsi="宋体" w:eastAsia="宋体" w:cs="宋体"/>
                <w:color w:val="auto"/>
                <w:sz w:val="30"/>
                <w:szCs w:val="30"/>
                <w:highlight w:val="none"/>
              </w:rPr>
            </w:pPr>
          </w:p>
        </w:tc>
      </w:tr>
      <w:tr w14:paraId="430D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2EC8AC0">
            <w:pPr>
              <w:pStyle w:val="96"/>
              <w:keepNext/>
              <w:spacing w:after="0" w:line="440" w:lineRule="exact"/>
              <w:ind w:left="63" w:right="6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0489E509">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03AFA088">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F7479AD">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2B505A85">
            <w:pPr>
              <w:pStyle w:val="96"/>
              <w:keepNext/>
              <w:spacing w:after="0" w:line="440" w:lineRule="exact"/>
              <w:ind w:left="63" w:right="63"/>
              <w:rPr>
                <w:rFonts w:ascii="宋体" w:hAnsi="宋体" w:eastAsia="宋体" w:cs="宋体"/>
                <w:color w:val="auto"/>
                <w:sz w:val="30"/>
                <w:szCs w:val="30"/>
                <w:highlight w:val="none"/>
              </w:rPr>
            </w:pPr>
          </w:p>
        </w:tc>
      </w:tr>
      <w:tr w14:paraId="4D6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DC60098">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44C391D0">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9B4CF93">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2E661CEA">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686B13AE">
            <w:pPr>
              <w:pStyle w:val="96"/>
              <w:keepNext/>
              <w:spacing w:after="0" w:line="440" w:lineRule="exact"/>
              <w:ind w:left="63" w:right="63"/>
              <w:rPr>
                <w:rFonts w:ascii="宋体" w:hAnsi="宋体" w:eastAsia="宋体" w:cs="宋体"/>
                <w:color w:val="auto"/>
                <w:sz w:val="30"/>
                <w:szCs w:val="30"/>
                <w:highlight w:val="none"/>
              </w:rPr>
            </w:pPr>
          </w:p>
        </w:tc>
      </w:tr>
      <w:tr w14:paraId="1BBA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04B7F54">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619A9C61">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54F560C">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38CDA6D6">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7D065969">
            <w:pPr>
              <w:pStyle w:val="96"/>
              <w:keepNext/>
              <w:spacing w:after="0" w:line="440" w:lineRule="exact"/>
              <w:ind w:left="63" w:right="63"/>
              <w:rPr>
                <w:rFonts w:ascii="宋体" w:hAnsi="宋体" w:eastAsia="宋体" w:cs="宋体"/>
                <w:color w:val="auto"/>
                <w:sz w:val="30"/>
                <w:szCs w:val="30"/>
                <w:highlight w:val="none"/>
              </w:rPr>
            </w:pPr>
          </w:p>
        </w:tc>
      </w:tr>
      <w:tr w14:paraId="1BF2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CA7E268">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26FD0427">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2B5E3C54">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049BCD5F">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71CFFFE8">
            <w:pPr>
              <w:pStyle w:val="96"/>
              <w:keepNext/>
              <w:spacing w:after="0" w:line="440" w:lineRule="exact"/>
              <w:ind w:left="63" w:right="63"/>
              <w:rPr>
                <w:rFonts w:ascii="宋体" w:hAnsi="宋体" w:eastAsia="宋体" w:cs="宋体"/>
                <w:color w:val="auto"/>
                <w:sz w:val="30"/>
                <w:szCs w:val="30"/>
                <w:highlight w:val="none"/>
              </w:rPr>
            </w:pPr>
          </w:p>
        </w:tc>
      </w:tr>
      <w:tr w14:paraId="3B68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0708172">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3E511068">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64B93224">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78D868DE">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6AB26859">
            <w:pPr>
              <w:pStyle w:val="96"/>
              <w:keepNext/>
              <w:spacing w:after="0" w:line="440" w:lineRule="exact"/>
              <w:ind w:left="63" w:right="63"/>
              <w:rPr>
                <w:rFonts w:ascii="宋体" w:hAnsi="宋体" w:eastAsia="宋体" w:cs="宋体"/>
                <w:color w:val="auto"/>
                <w:sz w:val="30"/>
                <w:szCs w:val="30"/>
                <w:highlight w:val="none"/>
              </w:rPr>
            </w:pPr>
          </w:p>
        </w:tc>
      </w:tr>
      <w:tr w14:paraId="0565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2ADA784">
            <w:pPr>
              <w:pStyle w:val="96"/>
              <w:keepNext/>
              <w:spacing w:after="0" w:line="440" w:lineRule="exact"/>
              <w:ind w:left="63" w:right="63"/>
              <w:rPr>
                <w:rFonts w:ascii="宋体" w:hAnsi="宋体" w:eastAsia="宋体" w:cs="宋体"/>
                <w:color w:val="auto"/>
                <w:sz w:val="28"/>
                <w:szCs w:val="28"/>
                <w:highlight w:val="none"/>
              </w:rPr>
            </w:pPr>
          </w:p>
        </w:tc>
        <w:tc>
          <w:tcPr>
            <w:tcW w:w="1418" w:type="dxa"/>
            <w:noWrap w:val="0"/>
            <w:vAlign w:val="center"/>
          </w:tcPr>
          <w:p w14:paraId="2B01141A">
            <w:pPr>
              <w:pStyle w:val="96"/>
              <w:keepNext/>
              <w:spacing w:after="0" w:line="440" w:lineRule="exact"/>
              <w:ind w:left="63" w:right="63"/>
              <w:rPr>
                <w:rFonts w:ascii="宋体" w:hAnsi="宋体" w:eastAsia="宋体" w:cs="宋体"/>
                <w:color w:val="auto"/>
                <w:sz w:val="28"/>
                <w:szCs w:val="28"/>
                <w:highlight w:val="none"/>
              </w:rPr>
            </w:pPr>
          </w:p>
        </w:tc>
        <w:tc>
          <w:tcPr>
            <w:tcW w:w="1134" w:type="dxa"/>
            <w:noWrap w:val="0"/>
            <w:vAlign w:val="center"/>
          </w:tcPr>
          <w:p w14:paraId="6463E7AC">
            <w:pPr>
              <w:pStyle w:val="96"/>
              <w:keepNext/>
              <w:spacing w:after="0" w:line="440" w:lineRule="exact"/>
              <w:ind w:left="63" w:right="63"/>
              <w:rPr>
                <w:rFonts w:ascii="宋体" w:hAnsi="宋体" w:eastAsia="宋体" w:cs="宋体"/>
                <w:color w:val="auto"/>
                <w:sz w:val="30"/>
                <w:szCs w:val="30"/>
                <w:highlight w:val="none"/>
              </w:rPr>
            </w:pPr>
          </w:p>
        </w:tc>
        <w:tc>
          <w:tcPr>
            <w:tcW w:w="1134" w:type="dxa"/>
            <w:noWrap w:val="0"/>
            <w:vAlign w:val="center"/>
          </w:tcPr>
          <w:p w14:paraId="4E911B0E">
            <w:pPr>
              <w:pStyle w:val="96"/>
              <w:keepNext/>
              <w:spacing w:after="0" w:line="440" w:lineRule="exact"/>
              <w:ind w:left="63" w:right="63"/>
              <w:rPr>
                <w:rFonts w:ascii="宋体" w:hAnsi="宋体" w:eastAsia="宋体" w:cs="宋体"/>
                <w:color w:val="auto"/>
                <w:sz w:val="30"/>
                <w:szCs w:val="30"/>
                <w:highlight w:val="none"/>
              </w:rPr>
            </w:pPr>
          </w:p>
        </w:tc>
        <w:tc>
          <w:tcPr>
            <w:tcW w:w="3406" w:type="dxa"/>
            <w:noWrap w:val="0"/>
            <w:vAlign w:val="center"/>
          </w:tcPr>
          <w:p w14:paraId="71268D7B">
            <w:pPr>
              <w:pStyle w:val="96"/>
              <w:keepNext/>
              <w:spacing w:after="0" w:line="440" w:lineRule="exact"/>
              <w:ind w:left="63" w:right="63"/>
              <w:rPr>
                <w:rFonts w:ascii="宋体" w:hAnsi="宋体" w:eastAsia="宋体" w:cs="宋体"/>
                <w:color w:val="auto"/>
                <w:sz w:val="30"/>
                <w:szCs w:val="30"/>
                <w:highlight w:val="none"/>
              </w:rPr>
            </w:pPr>
          </w:p>
        </w:tc>
      </w:tr>
    </w:tbl>
    <w:p w14:paraId="5A22B02D">
      <w:pPr>
        <w:widowControl w:val="0"/>
        <w:spacing w:line="360" w:lineRule="auto"/>
        <w:jc w:val="left"/>
        <w:rPr>
          <w:rFonts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0"/>
          <w:szCs w:val="30"/>
          <w:highlight w:val="none"/>
          <w:lang w:val="en-US" w:eastAsia="zh-CN" w:bidi="ar-SA"/>
        </w:rPr>
        <w:br w:type="page"/>
      </w:r>
      <w:r>
        <w:rPr>
          <w:rFonts w:hint="eastAsia" w:ascii="宋体" w:hAnsi="宋体" w:eastAsia="宋体" w:cs="宋体"/>
          <w:color w:val="auto"/>
          <w:kern w:val="2"/>
          <w:sz w:val="32"/>
          <w:szCs w:val="32"/>
          <w:highlight w:val="none"/>
          <w:lang w:val="en-US" w:eastAsia="zh-CN" w:bidi="ar-SA"/>
        </w:rPr>
        <w:t>附件7</w:t>
      </w:r>
    </w:p>
    <w:p w14:paraId="45E0BC8C">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履约保函示范文本</w:t>
      </w:r>
    </w:p>
    <w:p w14:paraId="5607B27F">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（独立保函）</w:t>
      </w:r>
    </w:p>
    <w:p w14:paraId="028E0EF8">
      <w:pPr>
        <w:widowControl w:val="0"/>
        <w:wordWrap w:val="0"/>
        <w:spacing w:line="360" w:lineRule="auto"/>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编号：</w:t>
      </w:r>
      <w:r>
        <w:rPr>
          <w:rFonts w:hint="eastAsia" w:ascii="宋体" w:hAnsi="宋体" w:eastAsia="宋体" w:cs="宋体"/>
          <w:color w:val="auto"/>
          <w:kern w:val="2"/>
          <w:sz w:val="21"/>
          <w:szCs w:val="22"/>
          <w:highlight w:val="none"/>
          <w:u w:val="single"/>
          <w:lang w:val="en-US" w:eastAsia="zh-CN" w:bidi="ar-SA"/>
        </w:rPr>
        <w:t xml:space="preserve">           </w:t>
      </w:r>
    </w:p>
    <w:p w14:paraId="1700E88E">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申请人：</w:t>
      </w:r>
    </w:p>
    <w:p w14:paraId="0C2BCF1E">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659B095F">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受益人：</w:t>
      </w:r>
    </w:p>
    <w:p w14:paraId="702BEF61">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7544DE37">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开立人：</w:t>
      </w:r>
    </w:p>
    <w:p w14:paraId="4E0A8211">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04DF70BA">
      <w:pPr>
        <w:widowControl w:val="0"/>
        <w:spacing w:line="360" w:lineRule="auto"/>
        <w:jc w:val="both"/>
        <w:rPr>
          <w:rFonts w:ascii="宋体" w:hAnsi="宋体" w:eastAsia="宋体" w:cs="宋体"/>
          <w:color w:val="auto"/>
          <w:kern w:val="2"/>
          <w:sz w:val="24"/>
          <w:szCs w:val="24"/>
          <w:highlight w:val="none"/>
          <w:lang w:val="en-US" w:eastAsia="zh-CN" w:bidi="ar-SA"/>
        </w:rPr>
      </w:pPr>
    </w:p>
    <w:p w14:paraId="60670E8B">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（受益人名称）： </w:t>
      </w:r>
    </w:p>
    <w:p w14:paraId="048583C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鉴于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（以下简称“受益人”）与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（以下简称“申请人”）于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日就</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工程（以下简称“本工程”）施工和有关事项协商一致共同签订</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3873740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一、本保函担保范围：承包人未按照基础合同的约定履行义务，应当向贵方承担的违约责任和赔偿因此造成的损失、利息、律师费、诉讼费用等实现债权的费用。</w:t>
      </w:r>
    </w:p>
    <w:p w14:paraId="52C9A159">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二、本保函担保金额最高不超过人民币（大写）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72CBD7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三、本保函有效期自开立之日起至基础合同约定的缺陷责任期后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日止，最迟不超过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日。 </w:t>
      </w:r>
    </w:p>
    <w:p w14:paraId="0A5196D5">
      <w:pPr>
        <w:widowControl w:val="0"/>
        <w:spacing w:line="360" w:lineRule="auto"/>
        <w:ind w:firstLine="4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四、我方承诺，在收到受益人发来的书面付款通知后的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日内无条件支付，前述书面付款通知即为付款要求之单据，且应满足以下要求：</w:t>
      </w:r>
    </w:p>
    <w:p w14:paraId="4E73477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（1）付款通知到达的日期在本保函的有效期内；</w:t>
      </w:r>
    </w:p>
    <w:p w14:paraId="52AB69B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（2）载明要求支付的金额；</w:t>
      </w:r>
    </w:p>
    <w:p w14:paraId="14DE83D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（3）载明申请人违反合同义务的条款和内容；</w:t>
      </w:r>
    </w:p>
    <w:p w14:paraId="1E54E11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（4）声明不存在合同文件约定或我国法律规定免除申请人或开立人支付责任的情形；</w:t>
      </w:r>
    </w:p>
    <w:p w14:paraId="28171EBD">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（5）付款通知应在本保函有效期内到达的地址是：</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1C844DD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受益人发出的书面付款通知应由其为鉴明受益人法定代表人（负责人）或授权代理人签字并加盖公章。</w:t>
      </w:r>
    </w:p>
    <w:p w14:paraId="31A6C9D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五、本保函项下的权利不得转让，不得设定担保。贵方未经我方书面同意转 让本保函或其项下任何权利，对我方不发生法律效力。 </w:t>
      </w:r>
    </w:p>
    <w:p w14:paraId="080374C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六、与本保函有关的基础合同不成立、不生效、无效、被撤销、被解除，不影响本保函的独立有效。 </w:t>
      </w:r>
    </w:p>
    <w:p w14:paraId="3D5A07F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七、贵方应在本保函到期后的七日内将本保函正本退回我方注销，但是不论贵方是否按此要求将本保函正本退回我方，我方在本保函项下的义务和责任均在保函有效期到期后自动消灭。 </w:t>
      </w:r>
    </w:p>
    <w:p w14:paraId="1AC60CF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八、本保函适用的法律为中华人民共和国法律，争议裁判管辖地为中华人民共和国</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6C6948B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九、本保函自我方法定代表人或授权代表签字并加盖公章之日起生效。 </w:t>
      </w:r>
    </w:p>
    <w:p w14:paraId="448D47A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 立 人：                              （公章） </w:t>
      </w:r>
    </w:p>
    <w:p w14:paraId="5C51439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法定代表人（或授权代表）：               （签字） </w:t>
      </w:r>
    </w:p>
    <w:p w14:paraId="57EE34C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                                       </w:t>
      </w:r>
    </w:p>
    <w:p w14:paraId="740567C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邮政编码：                 </w:t>
      </w:r>
    </w:p>
    <w:p w14:paraId="5A51419B">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电    话：                 </w:t>
      </w:r>
    </w:p>
    <w:p w14:paraId="22B888CB">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6BEE3C9E">
      <w:pPr>
        <w:widowControl w:val="0"/>
        <w:spacing w:line="360" w:lineRule="auto"/>
        <w:ind w:firstLine="47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开立时间：      年      月    </w:t>
      </w:r>
    </w:p>
    <w:p w14:paraId="07D6DE32">
      <w:pPr>
        <w:widowControl w:val="0"/>
        <w:spacing w:line="360" w:lineRule="auto"/>
        <w:jc w:val="left"/>
        <w:rPr>
          <w:rFonts w:ascii="宋体" w:hAnsi="宋体" w:eastAsia="宋体" w:cs="宋体"/>
          <w:color w:val="auto"/>
          <w:kern w:val="2"/>
          <w:sz w:val="32"/>
          <w:szCs w:val="32"/>
          <w:highlight w:val="none"/>
          <w:lang w:val="en-US" w:eastAsia="zh-CN" w:bidi="ar-SA"/>
        </w:rPr>
      </w:pPr>
      <w:r>
        <w:rPr>
          <w:rFonts w:ascii="宋体" w:hAnsi="宋体" w:eastAsia="宋体" w:cs="宋体"/>
          <w:color w:val="auto"/>
          <w:kern w:val="2"/>
          <w:sz w:val="30"/>
          <w:szCs w:val="30"/>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附件7：</w:t>
      </w:r>
    </w:p>
    <w:p w14:paraId="5E32DF75">
      <w:pPr>
        <w:widowControl w:val="0"/>
        <w:spacing w:line="360" w:lineRule="auto"/>
        <w:jc w:val="both"/>
        <w:rPr>
          <w:rFonts w:ascii="宋体" w:hAnsi="宋体" w:eastAsia="宋体" w:cs="宋体"/>
          <w:b/>
          <w:bCs/>
          <w:color w:val="auto"/>
          <w:kern w:val="2"/>
          <w:sz w:val="32"/>
          <w:szCs w:val="32"/>
          <w:highlight w:val="none"/>
          <w:lang w:val="en-US" w:eastAsia="zh-CN" w:bidi="ar-SA"/>
        </w:rPr>
      </w:pPr>
    </w:p>
    <w:p w14:paraId="346B6CF1">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履约保函示范文本</w:t>
      </w:r>
    </w:p>
    <w:p w14:paraId="7E5EF473">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（非独立保函）</w:t>
      </w:r>
    </w:p>
    <w:p w14:paraId="64B82233">
      <w:pPr>
        <w:widowControl w:val="0"/>
        <w:spacing w:line="360" w:lineRule="auto"/>
        <w:jc w:val="center"/>
        <w:rPr>
          <w:rFonts w:ascii="宋体" w:hAnsi="宋体" w:eastAsia="宋体" w:cs="宋体"/>
          <w:b/>
          <w:bCs/>
          <w:color w:val="auto"/>
          <w:kern w:val="2"/>
          <w:sz w:val="32"/>
          <w:szCs w:val="32"/>
          <w:highlight w:val="none"/>
          <w:lang w:val="en-US" w:eastAsia="zh-CN" w:bidi="ar-SA"/>
        </w:rPr>
      </w:pPr>
    </w:p>
    <w:p w14:paraId="22113BEE">
      <w:pPr>
        <w:widowControl w:val="0"/>
        <w:wordWrap w:val="0"/>
        <w:spacing w:line="360" w:lineRule="auto"/>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编号：</w:t>
      </w:r>
      <w:r>
        <w:rPr>
          <w:rFonts w:hint="eastAsia" w:ascii="宋体" w:hAnsi="宋体" w:eastAsia="宋体" w:cs="宋体"/>
          <w:color w:val="auto"/>
          <w:kern w:val="2"/>
          <w:sz w:val="21"/>
          <w:szCs w:val="22"/>
          <w:highlight w:val="none"/>
          <w:u w:val="single"/>
          <w:lang w:val="en-US" w:eastAsia="zh-CN" w:bidi="ar-SA"/>
        </w:rPr>
        <w:t xml:space="preserve">           </w:t>
      </w:r>
    </w:p>
    <w:p w14:paraId="7C603318">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w:t>
      </w:r>
    </w:p>
    <w:p w14:paraId="28AC71F9">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19745CCC">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担保权人/发包人： </w:t>
      </w:r>
    </w:p>
    <w:p w14:paraId="350DD7BF">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3012118F">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保证人：</w:t>
      </w:r>
    </w:p>
    <w:p w14:paraId="09060DD9">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4AF648FA">
      <w:pPr>
        <w:widowControl w:val="0"/>
        <w:spacing w:line="360" w:lineRule="auto"/>
        <w:jc w:val="both"/>
        <w:rPr>
          <w:rFonts w:ascii="宋体" w:hAnsi="宋体" w:eastAsia="宋体" w:cs="宋体"/>
          <w:color w:val="auto"/>
          <w:kern w:val="2"/>
          <w:sz w:val="24"/>
          <w:szCs w:val="24"/>
          <w:highlight w:val="none"/>
          <w:lang w:val="en-US" w:eastAsia="zh-CN" w:bidi="ar-SA"/>
        </w:rPr>
      </w:pPr>
    </w:p>
    <w:p w14:paraId="1B5ECF8B">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（发包人名称）： </w:t>
      </w:r>
    </w:p>
    <w:p w14:paraId="19F0FF8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鉴于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（以下简称“发包人”）与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（以下简称“承包人”）于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日就</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工程（以下简称“本工程”）施工和有关事项协商一致共同签订</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 xml:space="preserve">（以下简称“主合同”），我方即保证人基于承包人的请求，同意就承包人履行与贵方签订的主合同项下的义务，向贵方提供如下保证担保（以下简称“本保证担保”）。 </w:t>
      </w:r>
    </w:p>
    <w:p w14:paraId="0916474A">
      <w:pPr>
        <w:widowControl w:val="0"/>
        <w:spacing w:line="360" w:lineRule="auto"/>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一、保证担保的范围及保证担保金额</w:t>
      </w:r>
    </w:p>
    <w:p w14:paraId="4EC5FB2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1.保证担保范围：承包人未按照主合同的约定履行义务，应当向贵方承担的违约责任和赔偿因此造成的损失、利息、律师费、诉讼费用等实现债权的费用。</w:t>
      </w:r>
    </w:p>
    <w:p w14:paraId="49D9EE5E">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2.保证担保金额最高不超过人民币（大写）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42A5BE9E">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二、保证担保的方式及保证期间 </w:t>
      </w:r>
    </w:p>
    <w:p w14:paraId="107EA87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1.保证担保方式：连带责任保证。</w:t>
      </w:r>
    </w:p>
    <w:p w14:paraId="5B32C65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2.保证期间：自出具之日起至主合同约定的缺陷责任期后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日止，最迟不超过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日。 </w:t>
      </w:r>
    </w:p>
    <w:p w14:paraId="12362EDE">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三、承担保证担保责任的形式</w:t>
      </w:r>
    </w:p>
    <w:p w14:paraId="215C04C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我方按照贵方的要求以下列方式之一承担保证担保责任： </w:t>
      </w:r>
    </w:p>
    <w:p w14:paraId="5DBF45D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1.向承包人资金、设备或者技术援助，使其能继续履行合同义务；</w:t>
      </w:r>
    </w:p>
    <w:p w14:paraId="19EA70E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2.直接接管该项工程或者委托经贵方同意的其他承包商，继续履行合同义务；</w:t>
      </w:r>
    </w:p>
    <w:p w14:paraId="2C4F0D1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3.在保证担保金额最高限额内，按照合同约定，向贵方承担违约责任和赔偿因此造成的损失，以及利息和律师费、诉讼费用等实现债权的费用。</w:t>
      </w:r>
    </w:p>
    <w:p w14:paraId="0BF227B6">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四、代偿的安排 </w:t>
      </w:r>
    </w:p>
    <w:p w14:paraId="24F248E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1F774159">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2.贵方以工程质量不符合主合同约定标准为由，向我方提出违约索赔的，还需同时提供符合相应条件要求的工程质量检测部门出具的质量说明材料。</w:t>
      </w:r>
    </w:p>
    <w:p w14:paraId="5AF146E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3.我方收到贵方的书面索赔通知及相应证明材料后，在</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工作日内进行核定后按照本保函的承诺承担保证责任。</w:t>
      </w:r>
    </w:p>
    <w:p w14:paraId="5D2DB2A4">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五、保证担保责任的解除 </w:t>
      </w:r>
    </w:p>
    <w:p w14:paraId="096BEB4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1.保证期间届满贵方未向我方书面主张保证责任的，自保证期间届满次日起，我方解除保证责任。 </w:t>
      </w:r>
    </w:p>
    <w:p w14:paraId="109C35E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2.我方按照本保证担保向贵方履行了保证担保责任后，自我方向贵方支付的金额达到最高保证担保金额之日起，保证担保责任解除。 </w:t>
      </w:r>
    </w:p>
    <w:p w14:paraId="11B302C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3.按照法律法规的规定应解除我方保证担保责任的其它情形的，我方在本保证担保项下的保证担保责任亦解除。 </w:t>
      </w:r>
    </w:p>
    <w:p w14:paraId="459B935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54C1899">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六、免责条款 </w:t>
      </w:r>
    </w:p>
    <w:p w14:paraId="573F5399">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1.因贵方原因致使承包人未按照主合同约定履行义务的，我方不承担保证担保责任。 </w:t>
      </w:r>
    </w:p>
    <w:p w14:paraId="726F572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2.依照法律规定或贵方与发包人的另行约定，免除承包人部分或全部义务的，我方亦免除其相应的保证担保责任。 </w:t>
      </w:r>
    </w:p>
    <w:p w14:paraId="747786B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3.因不可抗力造成承包人未按照主合同约定履行义务的，我方不承担保证担保责任。</w:t>
      </w:r>
    </w:p>
    <w:p w14:paraId="23F43229">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w:t>
      </w:r>
    </w:p>
    <w:p w14:paraId="620F38A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1.本保证担保项下的权利不得转让，不得设定担保。贵方未经我方书面同意转让本保证担保或其项下任何权利，对我方不发生法律效力。</w:t>
      </w:r>
    </w:p>
    <w:p w14:paraId="5AFFE7A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2.本保证担保适用的法律为中华人民共和国法律，争议裁判管辖地为中华人民共和国</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5D99122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3.本保证担保自我方法定代表人或授权代表签字并加盖公章之日起生效。</w:t>
      </w:r>
    </w:p>
    <w:p w14:paraId="0E808D6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p>
    <w:p w14:paraId="396ED68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 证 人：                              （公章）</w:t>
      </w:r>
    </w:p>
    <w:p w14:paraId="655A38A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法定代表人（或授权代表）：              （签字）</w:t>
      </w:r>
    </w:p>
    <w:p w14:paraId="6EF187C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7184E98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w:t>
      </w:r>
    </w:p>
    <w:p w14:paraId="740A4C4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p>
    <w:p w14:paraId="47A032D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w:t>
      </w:r>
    </w:p>
    <w:p w14:paraId="351188CE">
      <w:pPr>
        <w:widowControl w:val="0"/>
        <w:spacing w:line="360" w:lineRule="auto"/>
        <w:ind w:firstLine="472"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    间：      年   月   日</w:t>
      </w:r>
    </w:p>
    <w:p w14:paraId="08C9AD1C">
      <w:pPr>
        <w:widowControl w:val="0"/>
        <w:spacing w:line="440" w:lineRule="exact"/>
        <w:jc w:val="both"/>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附件8：</w:t>
      </w:r>
    </w:p>
    <w:p w14:paraId="4036B4AA">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支付保函示范文本</w:t>
      </w:r>
    </w:p>
    <w:p w14:paraId="30A8B0FB">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（独立保函）</w:t>
      </w:r>
    </w:p>
    <w:p w14:paraId="21230488">
      <w:pPr>
        <w:widowControl w:val="0"/>
        <w:wordWrap w:val="0"/>
        <w:spacing w:line="360" w:lineRule="auto"/>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编号：</w:t>
      </w:r>
      <w:r>
        <w:rPr>
          <w:rFonts w:hint="eastAsia" w:ascii="宋体" w:hAnsi="宋体" w:eastAsia="宋体" w:cs="宋体"/>
          <w:color w:val="auto"/>
          <w:kern w:val="2"/>
          <w:sz w:val="21"/>
          <w:szCs w:val="22"/>
          <w:highlight w:val="none"/>
          <w:u w:val="single"/>
          <w:lang w:val="en-US" w:eastAsia="zh-CN" w:bidi="ar-SA"/>
        </w:rPr>
        <w:t xml:space="preserve">           </w:t>
      </w:r>
    </w:p>
    <w:p w14:paraId="07B272DB">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申请人：</w:t>
      </w:r>
    </w:p>
    <w:p w14:paraId="549405F6">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1DCD3EDE">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受益人：</w:t>
      </w:r>
    </w:p>
    <w:p w14:paraId="5E19D9AF">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36E82378">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开立人：</w:t>
      </w:r>
    </w:p>
    <w:p w14:paraId="4CE4DE89">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5394933A">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14:paraId="4E129B2F">
      <w:pPr>
        <w:widowControl w:val="0"/>
        <w:spacing w:line="360" w:lineRule="auto"/>
        <w:jc w:val="both"/>
        <w:rPr>
          <w:rFonts w:ascii="宋体" w:hAnsi="宋体" w:eastAsia="宋体" w:cs="宋体"/>
          <w:color w:val="auto"/>
          <w:kern w:val="2"/>
          <w:sz w:val="24"/>
          <w:szCs w:val="24"/>
          <w:highlight w:val="none"/>
          <w:lang w:val="en-US" w:eastAsia="zh-CN" w:bidi="ar-SA"/>
        </w:rPr>
      </w:pPr>
      <w:bookmarkStart w:id="1669" w:name="_Hlk40355074"/>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（受益人名称）： </w:t>
      </w:r>
    </w:p>
    <w:bookmarkEnd w:id="1669"/>
    <w:p w14:paraId="307B734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鉴于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（以下简称“受益人”）与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（以下简称“申请人”）于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日就</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工程（以下简称“本工程”）施工和有关事项协商一致共同签订</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47AEA84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一、本保函担保范围：申请人未履行基础合同约定的工程款支付义务，应当向贵方承担的违约责任和赔偿因此造成的损失、利息、律师费、诉讼费用等实现债权的费用。</w:t>
      </w:r>
    </w:p>
    <w:p w14:paraId="157DD10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二、本保函担保金额最高不超过人民币（大写）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E12906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三、本保函有效期自开立之日起至基础合同约定的除工程质量保修金以外的全部工程结算款项支付之日后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日止，最迟不超过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日。 </w:t>
      </w:r>
    </w:p>
    <w:p w14:paraId="4AD4AE08">
      <w:pPr>
        <w:widowControl w:val="0"/>
        <w:spacing w:line="360" w:lineRule="auto"/>
        <w:ind w:firstLine="4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四、我方承诺，在收到受益人发来的书面付款通知后的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日内无条件支付，前述书面付款通知即为付款要求之单据，且应满足以下要求：</w:t>
      </w:r>
    </w:p>
    <w:p w14:paraId="4B3F3A2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（1）付款通知到达的日期在本保函的有效期内；</w:t>
      </w:r>
    </w:p>
    <w:p w14:paraId="42D1452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（2）载明要求支付的金额；</w:t>
      </w:r>
    </w:p>
    <w:p w14:paraId="41B7111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（3）载明申请人违反合同义务的条款和内容；</w:t>
      </w:r>
    </w:p>
    <w:p w14:paraId="73E4224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（4）声明不存在合同文件约定或我国法律规定免除申请人或开立人支付责任的情形；</w:t>
      </w:r>
    </w:p>
    <w:p w14:paraId="1EDFFBD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（5）付款通知应在本保函有效期内到达的地址是：</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4BE1366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受益人发出的书面付款通知应由其为鉴明受益人法定代表人（负责人）或授权代理人签字并加盖公章。</w:t>
      </w:r>
    </w:p>
    <w:p w14:paraId="4D27019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五、本保函项下的权利不得转让，不得设定担保。贵方未经我方书面同意转 让本保函或其项下任何权利，对我方不发生法律效力。 </w:t>
      </w:r>
    </w:p>
    <w:p w14:paraId="0C8AF51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六、与本保函有关的基础合同不成立、不生效、无效、被撤销、被解除，不影响本保函的独立有效。 </w:t>
      </w:r>
    </w:p>
    <w:p w14:paraId="3B329E7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七、贵方应在本保函到期后的七日内将本保函正本退回我方注销，但是不论贵方是否按此要求将本保函正本退回我方，我方在本保函项下的义务和责任均在保函有效期到期后自动消灭。 </w:t>
      </w:r>
    </w:p>
    <w:p w14:paraId="182E90A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八、本保函适用的法律为中华人民共和国法律，争议裁判管辖地为中华人民共和国</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5795AFF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九、本保函自我方法定代表人</w:t>
      </w:r>
      <w:bookmarkStart w:id="1670" w:name="_Hlk58487855"/>
      <w:r>
        <w:rPr>
          <w:rFonts w:hint="eastAsia" w:ascii="宋体" w:hAnsi="宋体" w:eastAsia="宋体" w:cs="宋体"/>
          <w:color w:val="auto"/>
          <w:kern w:val="2"/>
          <w:sz w:val="24"/>
          <w:szCs w:val="24"/>
          <w:highlight w:val="none"/>
          <w:lang w:val="en-US" w:eastAsia="zh-CN" w:bidi="ar-SA"/>
        </w:rPr>
        <w:t>或授权代表</w:t>
      </w:r>
      <w:bookmarkEnd w:id="1670"/>
      <w:r>
        <w:rPr>
          <w:rFonts w:hint="eastAsia" w:ascii="宋体" w:hAnsi="宋体" w:eastAsia="宋体" w:cs="宋体"/>
          <w:color w:val="auto"/>
          <w:kern w:val="2"/>
          <w:sz w:val="24"/>
          <w:szCs w:val="24"/>
          <w:highlight w:val="none"/>
          <w:lang w:val="en-US" w:eastAsia="zh-CN" w:bidi="ar-SA"/>
        </w:rPr>
        <w:t xml:space="preserve">签字并加盖公章之日起生效。 </w:t>
      </w:r>
    </w:p>
    <w:p w14:paraId="7710D75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p>
    <w:p w14:paraId="25390EB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 立 人：                              （公章） </w:t>
      </w:r>
    </w:p>
    <w:p w14:paraId="1C1AF31D">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法定代表人（或授权代表）：               （签字） </w:t>
      </w:r>
    </w:p>
    <w:p w14:paraId="3B1027C4">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289380B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w:t>
      </w:r>
    </w:p>
    <w:p w14:paraId="22A7F73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p>
    <w:p w14:paraId="23C469A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w:t>
      </w:r>
    </w:p>
    <w:p w14:paraId="4DBF47B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开立时间：      年   月   日</w:t>
      </w:r>
    </w:p>
    <w:p w14:paraId="005D8594">
      <w:pPr>
        <w:widowControl w:val="0"/>
        <w:spacing w:line="360" w:lineRule="auto"/>
        <w:jc w:val="left"/>
        <w:rPr>
          <w:rFonts w:ascii="宋体" w:hAnsi="宋体" w:eastAsia="宋体" w:cs="宋体"/>
          <w:b/>
          <w:bCs/>
          <w:color w:val="auto"/>
          <w:kern w:val="2"/>
          <w:sz w:val="32"/>
          <w:szCs w:val="32"/>
          <w:highlight w:val="none"/>
          <w:lang w:val="en-US" w:eastAsia="zh-CN" w:bidi="ar-SA"/>
        </w:rPr>
      </w:pPr>
      <w:r>
        <w:rPr>
          <w:rFonts w:ascii="宋体" w:hAnsi="宋体" w:eastAsia="宋体" w:cs="宋体"/>
          <w:color w:val="auto"/>
          <w:kern w:val="2"/>
          <w:sz w:val="24"/>
          <w:szCs w:val="24"/>
          <w:highlight w:val="none"/>
          <w:lang w:val="en-US" w:eastAsia="zh-CN" w:bidi="ar-SA"/>
        </w:rPr>
        <w:br w:type="page"/>
      </w:r>
      <w:r>
        <w:rPr>
          <w:rFonts w:hint="eastAsia" w:ascii="宋体" w:hAnsi="宋体" w:eastAsia="宋体" w:cs="宋体"/>
          <w:color w:val="auto"/>
          <w:kern w:val="2"/>
          <w:sz w:val="32"/>
          <w:szCs w:val="32"/>
          <w:highlight w:val="none"/>
          <w:lang w:val="en-US" w:eastAsia="zh-CN" w:bidi="ar-SA"/>
        </w:rPr>
        <w:t>附件8：</w:t>
      </w:r>
    </w:p>
    <w:p w14:paraId="1C372727">
      <w:pPr>
        <w:widowControl w:val="0"/>
        <w:spacing w:line="360" w:lineRule="auto"/>
        <w:jc w:val="left"/>
        <w:rPr>
          <w:rFonts w:ascii="宋体" w:hAnsi="宋体" w:eastAsia="宋体" w:cs="宋体"/>
          <w:b/>
          <w:bCs/>
          <w:color w:val="auto"/>
          <w:kern w:val="2"/>
          <w:sz w:val="32"/>
          <w:szCs w:val="32"/>
          <w:highlight w:val="none"/>
          <w:lang w:val="en-US" w:eastAsia="zh-CN" w:bidi="ar-SA"/>
        </w:rPr>
      </w:pPr>
    </w:p>
    <w:p w14:paraId="225B9968">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支付保函示范文本</w:t>
      </w:r>
    </w:p>
    <w:p w14:paraId="5A3E8E0F">
      <w:pPr>
        <w:widowControl w:val="0"/>
        <w:spacing w:line="360" w:lineRule="auto"/>
        <w:jc w:val="center"/>
        <w:rPr>
          <w:rFonts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（非独立保函）</w:t>
      </w:r>
    </w:p>
    <w:p w14:paraId="52CA2BFC">
      <w:pPr>
        <w:widowControl w:val="0"/>
        <w:wordWrap w:val="0"/>
        <w:spacing w:line="360" w:lineRule="auto"/>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编号：</w:t>
      </w:r>
      <w:r>
        <w:rPr>
          <w:rFonts w:hint="eastAsia" w:ascii="宋体" w:hAnsi="宋体" w:eastAsia="宋体" w:cs="宋体"/>
          <w:i/>
          <w:iCs/>
          <w:color w:val="auto"/>
          <w:kern w:val="2"/>
          <w:sz w:val="21"/>
          <w:szCs w:val="22"/>
          <w:highlight w:val="none"/>
          <w:u w:val="single"/>
          <w:lang w:val="en-US" w:eastAsia="zh-CN" w:bidi="ar-SA"/>
        </w:rPr>
        <w:t xml:space="preserve">      </w:t>
      </w:r>
    </w:p>
    <w:p w14:paraId="0E3480A7">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w:t>
      </w:r>
    </w:p>
    <w:p w14:paraId="771F75DA">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29B50805">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担保权人/承包人： </w:t>
      </w:r>
    </w:p>
    <w:p w14:paraId="273CDAFF">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08BD6743">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保证人：</w:t>
      </w:r>
    </w:p>
    <w:p w14:paraId="1F4D1747">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33EF0301">
      <w:pPr>
        <w:widowControl w:val="0"/>
        <w:spacing w:line="360" w:lineRule="auto"/>
        <w:jc w:val="both"/>
        <w:rPr>
          <w:rFonts w:ascii="宋体" w:hAnsi="宋体" w:eastAsia="宋体" w:cs="宋体"/>
          <w:color w:val="auto"/>
          <w:kern w:val="2"/>
          <w:sz w:val="24"/>
          <w:szCs w:val="24"/>
          <w:highlight w:val="none"/>
          <w:lang w:val="en-US" w:eastAsia="zh-CN" w:bidi="ar-SA"/>
        </w:rPr>
      </w:pPr>
    </w:p>
    <w:p w14:paraId="0F088C72">
      <w:pPr>
        <w:widowControl w:val="0"/>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（承包人名称）： </w:t>
      </w:r>
    </w:p>
    <w:p w14:paraId="26852D58">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鉴于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（以下简称“发包人”）与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（以下简称“承包人”）于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日就</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工程（以下简称“本工程”）施工和有关事项协商一致共同签订</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14:paraId="6343D719">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一、保证担保的范围及保证担保金额</w:t>
      </w:r>
    </w:p>
    <w:p w14:paraId="1416F99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1.保证担保范围：申请人未履行主合同约定的工程款支付义务，应当向贵方承担的违约责任和赔偿因此造成的损失、利息、律师费、诉讼费用等实现债权的费用。</w:t>
      </w:r>
    </w:p>
    <w:p w14:paraId="70D2E36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2.保证担保金额最高不超过人民币（大写）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2BC83B07">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二、保证担保的方式及保证期间 </w:t>
      </w:r>
    </w:p>
    <w:p w14:paraId="096C72BE">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1.保证担保方式：连带责任保证。</w:t>
      </w:r>
    </w:p>
    <w:p w14:paraId="45C03E4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2.保证期间：自出具之日起至主合同约定的除工程质量保修金以外的工程款支付之日后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日止，最迟不超过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日。 </w:t>
      </w:r>
    </w:p>
    <w:p w14:paraId="09AD8BAD">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三、承担保证担保责任的形式</w:t>
      </w:r>
    </w:p>
    <w:p w14:paraId="0790BB9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发包人未按合同约定向贵方支付主合同项下工程款的，由我方在保证金额内代为支付，并赔偿因此给贵方造成的损失，以及利息和律师费、诉讼费用等实现债权的费用。</w:t>
      </w:r>
    </w:p>
    <w:p w14:paraId="7F31A6F4">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四、代偿的安排 </w:t>
      </w:r>
    </w:p>
    <w:p w14:paraId="35510F7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1.贵方要求我方承担保证责任的，应向我方发出书面索赔通知及发包人未支付主合同约定工程款的证明材料。索赔通知应写明要求索赔的金额，支付款项应到达的帐号。</w:t>
      </w:r>
    </w:p>
    <w:p w14:paraId="00C36E3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2F91E82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3.我方收到贵方的书面索赔通知及相应证明材料后，在</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工作日内进行核定后按照本保函的承诺承担保证责任。</w:t>
      </w:r>
    </w:p>
    <w:p w14:paraId="66C7E523">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五、保证担保责任的解除 </w:t>
      </w:r>
    </w:p>
    <w:p w14:paraId="322873BC">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1.保证期间届满贵方未向我方书面主张保证责任的，自保证期间届满次日起，我方解除保证责任。 </w:t>
      </w:r>
    </w:p>
    <w:p w14:paraId="0528816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2.我方按照本保证担保向贵方履行了保证担保责任后，自我方向贵方支付的金额达到最高保证担保金额之日起，保证担保责任解除。 </w:t>
      </w:r>
    </w:p>
    <w:p w14:paraId="4D92C386">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3.按照法律法规的规定应解除我方保证担保责任的其它情形的，我方在本保证担保项下的保证担保责任亦解除。 </w:t>
      </w:r>
    </w:p>
    <w:p w14:paraId="3D3298B1">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A20A654">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六、免责条款 </w:t>
      </w:r>
    </w:p>
    <w:p w14:paraId="7745C45F">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1.因贵方原因致使发包人未履行主合同项下工程款付款义务的，我方不承担保证担保责任。 </w:t>
      </w:r>
    </w:p>
    <w:p w14:paraId="22653E7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2.依照法律规定或贵方与发包人的另行约定，免除发包人部分或全部义务的，我方亦免除其相应的保证担保责任。 </w:t>
      </w:r>
    </w:p>
    <w:p w14:paraId="6857807E">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3.因不可抗力造成发包人未履行主合同项下工程款付款义务的，我方不承担保证担保责任。</w:t>
      </w:r>
    </w:p>
    <w:p w14:paraId="6D9C4DF0">
      <w:pPr>
        <w:widowControl w:val="0"/>
        <w:spacing w:line="360" w:lineRule="auto"/>
        <w:ind w:firstLine="472"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w:t>
      </w:r>
    </w:p>
    <w:p w14:paraId="210FB6D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1.本保证担保项下的权利不得转让，不得设定担保。贵方未经我方书面同意转让本保证担保或其项下任何权利，对我方不发生法律效力。 </w:t>
      </w:r>
    </w:p>
    <w:p w14:paraId="6E8F014E">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2.本保证担保适用的法律为中华人民共和国法律，争议裁判管辖地为中华人民共和国</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6FBADC15">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3.本保证担保自我方法定代表人或授权代表签字并加盖公章之日起生效。 </w:t>
      </w:r>
    </w:p>
    <w:p w14:paraId="34E2952A">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p>
    <w:p w14:paraId="5991DC1B">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保 证 人：                              （公章） </w:t>
      </w:r>
    </w:p>
    <w:p w14:paraId="777E2473">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法定代表人（或授权代表）：               （签字） </w:t>
      </w:r>
    </w:p>
    <w:p w14:paraId="06BFA9F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p w14:paraId="7EB96672">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w:t>
      </w:r>
    </w:p>
    <w:p w14:paraId="542DE710">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电    话： </w:t>
      </w:r>
    </w:p>
    <w:p w14:paraId="59C5EFF7">
      <w:pPr>
        <w:widowControl w:val="0"/>
        <w:spacing w:line="360" w:lineRule="auto"/>
        <w:ind w:firstLine="472"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w:t>
      </w:r>
    </w:p>
    <w:p w14:paraId="7F7E4DD7">
      <w:pPr>
        <w:widowControl w:val="0"/>
        <w:spacing w:line="360" w:lineRule="auto"/>
        <w:ind w:firstLine="472"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    间：      年   月   日</w:t>
      </w:r>
    </w:p>
    <w:p w14:paraId="71A001DA">
      <w:pPr>
        <w:widowControl w:val="0"/>
        <w:spacing w:before="120" w:beforeLines="50"/>
        <w:ind w:left="1200" w:hanging="944" w:hangingChars="400"/>
        <w:jc w:val="both"/>
        <w:rPr>
          <w:rFonts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r>
        <w:rPr>
          <w:rFonts w:hint="eastAsia" w:ascii="宋体" w:hAnsi="宋体" w:eastAsia="宋体" w:cs="宋体"/>
          <w:color w:val="auto"/>
          <w:kern w:val="2"/>
          <w:sz w:val="30"/>
          <w:szCs w:val="30"/>
          <w:highlight w:val="none"/>
          <w:lang w:val="en-US" w:eastAsia="zh-CN" w:bidi="ar-SA"/>
        </w:rPr>
        <w:t>附件9：</w:t>
      </w:r>
    </w:p>
    <w:p w14:paraId="685751F5">
      <w:pPr>
        <w:widowControl w:val="0"/>
        <w:jc w:val="center"/>
        <w:rPr>
          <w:rFonts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进度款支付申请（核准）表</w:t>
      </w:r>
    </w:p>
    <w:p w14:paraId="7FCEE315">
      <w:pPr>
        <w:widowControl w:val="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工程名称：                                             编号：</w:t>
      </w:r>
    </w:p>
    <w:tbl>
      <w:tblPr>
        <w:tblStyle w:val="2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5013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176200C">
            <w:pPr>
              <w:widowControl w:val="0"/>
              <w:spacing w:line="480" w:lineRule="exact"/>
              <w:ind w:left="514" w:leftChars="149" w:hanging="208" w:hangingChars="101"/>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致：</w:t>
            </w:r>
            <w:r>
              <w:rPr>
                <w:rFonts w:hint="eastAsia" w:ascii="宋体" w:hAnsi="宋体" w:eastAsia="宋体" w:cs="宋体"/>
                <w:color w:val="auto"/>
                <w:kern w:val="2"/>
                <w:sz w:val="21"/>
                <w:szCs w:val="22"/>
                <w:highlight w:val="none"/>
                <w:u w:val="single"/>
                <w:lang w:val="en-US" w:eastAsia="zh-CN" w:bidi="ar-SA"/>
              </w:rPr>
              <w:t xml:space="preserve">                                   （发包人全称）</w:t>
            </w:r>
          </w:p>
          <w:p w14:paraId="35E247D0">
            <w:pPr>
              <w:widowControl w:val="0"/>
              <w:spacing w:line="400" w:lineRule="exact"/>
              <w:ind w:left="-4" w:leftChars="-2" w:firstLine="309" w:firstLineChars="15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我方于</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至</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期间已完成了</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工作，根据施工合同的约定，现申请支付本期的合同款额为(大写)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元，请予核准。</w:t>
            </w:r>
          </w:p>
          <w:tbl>
            <w:tblPr>
              <w:tblStyle w:val="28"/>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442D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6F40349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序号</w:t>
                  </w:r>
                </w:p>
              </w:tc>
              <w:tc>
                <w:tcPr>
                  <w:tcW w:w="3340" w:type="dxa"/>
                  <w:noWrap w:val="0"/>
                  <w:vAlign w:val="center"/>
                </w:tcPr>
                <w:p w14:paraId="28F3E053">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名      称</w:t>
                  </w:r>
                </w:p>
              </w:tc>
              <w:tc>
                <w:tcPr>
                  <w:tcW w:w="1340" w:type="dxa"/>
                  <w:noWrap w:val="0"/>
                  <w:vAlign w:val="center"/>
                </w:tcPr>
                <w:p w14:paraId="451DA4F1">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实际金额（元）</w:t>
                  </w:r>
                </w:p>
              </w:tc>
              <w:tc>
                <w:tcPr>
                  <w:tcW w:w="1440" w:type="dxa"/>
                  <w:noWrap w:val="0"/>
                  <w:vAlign w:val="center"/>
                </w:tcPr>
                <w:p w14:paraId="39E89749">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申请金额（元）</w:t>
                  </w:r>
                </w:p>
              </w:tc>
              <w:tc>
                <w:tcPr>
                  <w:tcW w:w="1260" w:type="dxa"/>
                  <w:noWrap w:val="0"/>
                  <w:vAlign w:val="center"/>
                </w:tcPr>
                <w:p w14:paraId="34588BD0">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复核金额（元）</w:t>
                  </w:r>
                </w:p>
              </w:tc>
              <w:tc>
                <w:tcPr>
                  <w:tcW w:w="931" w:type="dxa"/>
                  <w:noWrap w:val="0"/>
                  <w:vAlign w:val="center"/>
                </w:tcPr>
                <w:p w14:paraId="24CA1582">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备注</w:t>
                  </w:r>
                </w:p>
              </w:tc>
            </w:tr>
            <w:tr w14:paraId="0DB6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86FEB6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w:t>
                  </w:r>
                </w:p>
              </w:tc>
              <w:tc>
                <w:tcPr>
                  <w:tcW w:w="3340" w:type="dxa"/>
                  <w:noWrap w:val="0"/>
                  <w:vAlign w:val="top"/>
                </w:tcPr>
                <w:p w14:paraId="2A433CFC">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累计已完成的工程价款</w:t>
                  </w:r>
                </w:p>
              </w:tc>
              <w:tc>
                <w:tcPr>
                  <w:tcW w:w="1340" w:type="dxa"/>
                  <w:noWrap w:val="0"/>
                  <w:vAlign w:val="top"/>
                </w:tcPr>
                <w:p w14:paraId="730045B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358DB8C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1519531C">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5E87FA27">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668D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567BF0D">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340" w:type="dxa"/>
                  <w:noWrap w:val="0"/>
                  <w:vAlign w:val="top"/>
                </w:tcPr>
                <w:p w14:paraId="278D29E1">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其中：人工费</w:t>
                  </w:r>
                </w:p>
              </w:tc>
              <w:tc>
                <w:tcPr>
                  <w:tcW w:w="1340" w:type="dxa"/>
                  <w:noWrap w:val="0"/>
                  <w:vAlign w:val="top"/>
                </w:tcPr>
                <w:p w14:paraId="74041A8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7792200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2C700ED2">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2D46B40B">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7D1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E5E36F8">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w:t>
                  </w:r>
                </w:p>
              </w:tc>
              <w:tc>
                <w:tcPr>
                  <w:tcW w:w="3340" w:type="dxa"/>
                  <w:noWrap w:val="0"/>
                  <w:vAlign w:val="top"/>
                </w:tcPr>
                <w:p w14:paraId="1B589173">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累计已实际支付的工程价款</w:t>
                  </w:r>
                </w:p>
              </w:tc>
              <w:tc>
                <w:tcPr>
                  <w:tcW w:w="1340" w:type="dxa"/>
                  <w:noWrap w:val="0"/>
                  <w:vAlign w:val="top"/>
                </w:tcPr>
                <w:p w14:paraId="0E90C43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2DCCE4D0">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144795B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49CF6BC3">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24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9B07B63">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340" w:type="dxa"/>
                  <w:noWrap w:val="0"/>
                  <w:vAlign w:val="top"/>
                </w:tcPr>
                <w:p w14:paraId="695AF10B">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其中：人工费</w:t>
                  </w:r>
                </w:p>
              </w:tc>
              <w:tc>
                <w:tcPr>
                  <w:tcW w:w="1340" w:type="dxa"/>
                  <w:noWrap w:val="0"/>
                  <w:vAlign w:val="top"/>
                </w:tcPr>
                <w:p w14:paraId="08C5BA69">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0E3EFFD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6949A7A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50F13A0B">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13E3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7C68878">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w:t>
                  </w:r>
                </w:p>
              </w:tc>
              <w:tc>
                <w:tcPr>
                  <w:tcW w:w="3340" w:type="dxa"/>
                  <w:noWrap w:val="0"/>
                  <w:vAlign w:val="top"/>
                </w:tcPr>
                <w:p w14:paraId="230D62B9">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本周期已完成的工程价款</w:t>
                  </w:r>
                </w:p>
              </w:tc>
              <w:tc>
                <w:tcPr>
                  <w:tcW w:w="1340" w:type="dxa"/>
                  <w:noWrap w:val="0"/>
                  <w:vAlign w:val="top"/>
                </w:tcPr>
                <w:p w14:paraId="3D79631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024B8192">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1C35283C">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03468250">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28BA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7F3BC71">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340" w:type="dxa"/>
                  <w:noWrap w:val="0"/>
                  <w:vAlign w:val="top"/>
                </w:tcPr>
                <w:p w14:paraId="5BF55BD7">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其中：人工费</w:t>
                  </w:r>
                </w:p>
              </w:tc>
              <w:tc>
                <w:tcPr>
                  <w:tcW w:w="1340" w:type="dxa"/>
                  <w:noWrap w:val="0"/>
                  <w:vAlign w:val="top"/>
                </w:tcPr>
                <w:p w14:paraId="5256BEFE">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23A112A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628F6620">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3287E78F">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1F88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748AF2B">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w:t>
                  </w:r>
                </w:p>
              </w:tc>
              <w:tc>
                <w:tcPr>
                  <w:tcW w:w="3340" w:type="dxa"/>
                  <w:noWrap w:val="0"/>
                  <w:vAlign w:val="top"/>
                </w:tcPr>
                <w:p w14:paraId="581F8C21">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本周期应扣减的金额</w:t>
                  </w:r>
                </w:p>
              </w:tc>
              <w:tc>
                <w:tcPr>
                  <w:tcW w:w="1340" w:type="dxa"/>
                  <w:noWrap w:val="0"/>
                  <w:vAlign w:val="top"/>
                </w:tcPr>
                <w:p w14:paraId="0E600D29">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1BC33C0C">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4F45751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25F57092">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3E03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257680B">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4.1</w:t>
                  </w:r>
                </w:p>
              </w:tc>
              <w:tc>
                <w:tcPr>
                  <w:tcW w:w="3340" w:type="dxa"/>
                  <w:noWrap w:val="0"/>
                  <w:vAlign w:val="top"/>
                </w:tcPr>
                <w:p w14:paraId="3FF6E60D">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本周期实际应抵扣的预付款</w:t>
                  </w:r>
                </w:p>
              </w:tc>
              <w:tc>
                <w:tcPr>
                  <w:tcW w:w="1340" w:type="dxa"/>
                  <w:noWrap w:val="0"/>
                  <w:vAlign w:val="top"/>
                </w:tcPr>
                <w:p w14:paraId="2CD6576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4D654BE6">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7A1E85F0">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0C46D55A">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CCC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270AC5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4.2</w:t>
                  </w:r>
                </w:p>
              </w:tc>
              <w:tc>
                <w:tcPr>
                  <w:tcW w:w="3340" w:type="dxa"/>
                  <w:noWrap w:val="0"/>
                  <w:vAlign w:val="top"/>
                </w:tcPr>
                <w:p w14:paraId="35D041BD">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本周期应扣减的金额</w:t>
                  </w:r>
                </w:p>
              </w:tc>
              <w:tc>
                <w:tcPr>
                  <w:tcW w:w="1340" w:type="dxa"/>
                  <w:noWrap w:val="0"/>
                  <w:vAlign w:val="top"/>
                </w:tcPr>
                <w:p w14:paraId="23424F17">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389D0451">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4C616B3E">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7BDF6CDF">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648E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C964F63">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5</w:t>
                  </w:r>
                </w:p>
              </w:tc>
              <w:tc>
                <w:tcPr>
                  <w:tcW w:w="3340" w:type="dxa"/>
                  <w:noWrap w:val="0"/>
                  <w:vAlign w:val="top"/>
                </w:tcPr>
                <w:p w14:paraId="0EA06729">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本周期应支付的合同价款</w:t>
                  </w:r>
                </w:p>
              </w:tc>
              <w:tc>
                <w:tcPr>
                  <w:tcW w:w="1340" w:type="dxa"/>
                  <w:noWrap w:val="0"/>
                  <w:vAlign w:val="top"/>
                </w:tcPr>
                <w:p w14:paraId="35E0473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230E45B9">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77668DE0">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1AA42910">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6552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2BF55BD">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340" w:type="dxa"/>
                  <w:noWrap w:val="0"/>
                  <w:vAlign w:val="top"/>
                </w:tcPr>
                <w:p w14:paraId="7A05A7BC">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其中：人工费</w:t>
                  </w:r>
                </w:p>
              </w:tc>
              <w:tc>
                <w:tcPr>
                  <w:tcW w:w="1340" w:type="dxa"/>
                  <w:noWrap w:val="0"/>
                  <w:vAlign w:val="top"/>
                </w:tcPr>
                <w:p w14:paraId="0211128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440" w:type="dxa"/>
                  <w:noWrap w:val="0"/>
                  <w:vAlign w:val="top"/>
                </w:tcPr>
                <w:p w14:paraId="7BF9EEEE">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260" w:type="dxa"/>
                  <w:noWrap w:val="0"/>
                  <w:vAlign w:val="top"/>
                </w:tcPr>
                <w:p w14:paraId="441C6CD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931" w:type="dxa"/>
                  <w:noWrap w:val="0"/>
                  <w:vAlign w:val="top"/>
                </w:tcPr>
                <w:p w14:paraId="4D8C13E3">
                  <w:pPr>
                    <w:widowControl w:val="0"/>
                    <w:spacing w:line="280" w:lineRule="exact"/>
                    <w:jc w:val="both"/>
                    <w:rPr>
                      <w:rFonts w:ascii="宋体" w:hAnsi="宋体" w:eastAsia="宋体" w:cs="宋体"/>
                      <w:color w:val="auto"/>
                      <w:kern w:val="2"/>
                      <w:sz w:val="21"/>
                      <w:szCs w:val="22"/>
                      <w:highlight w:val="none"/>
                      <w:lang w:val="en-US" w:eastAsia="zh-CN" w:bidi="ar-SA"/>
                    </w:rPr>
                  </w:pPr>
                </w:p>
              </w:tc>
            </w:tr>
          </w:tbl>
          <w:p w14:paraId="0BEED244">
            <w:pPr>
              <w:widowControl w:val="0"/>
              <w:wordWrap w:val="0"/>
              <w:spacing w:line="400" w:lineRule="exact"/>
              <w:ind w:right="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附：上述3、4详见附件清单。</w:t>
            </w:r>
          </w:p>
          <w:p w14:paraId="45B85DF1">
            <w:pPr>
              <w:widowControl w:val="0"/>
              <w:wordWrap w:val="0"/>
              <w:spacing w:line="400" w:lineRule="exact"/>
              <w:ind w:right="42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承包人（章）             </w:t>
            </w:r>
          </w:p>
          <w:p w14:paraId="13E83604">
            <w:pPr>
              <w:widowControl w:val="0"/>
              <w:spacing w:line="400" w:lineRule="exact"/>
              <w:ind w:right="420"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造价人员</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承包人代表</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r w14:paraId="4D7D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1928A41F">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7F3E9C4D">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□与实际施工情况不相符，修改意见见附件。</w:t>
            </w:r>
          </w:p>
          <w:p w14:paraId="58595530">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□与实际施工情况相符，具体金额由造价工程师复核。</w:t>
            </w:r>
          </w:p>
          <w:p w14:paraId="690AA1A4">
            <w:pPr>
              <w:widowControl w:val="0"/>
              <w:spacing w:line="360" w:lineRule="exact"/>
              <w:ind w:firstLine="435"/>
              <w:jc w:val="right"/>
              <w:rPr>
                <w:rFonts w:ascii="宋体" w:hAnsi="宋体" w:eastAsia="宋体" w:cs="宋体"/>
                <w:color w:val="auto"/>
                <w:kern w:val="2"/>
                <w:sz w:val="21"/>
                <w:szCs w:val="22"/>
                <w:highlight w:val="none"/>
                <w:lang w:val="en-US" w:eastAsia="zh-CN" w:bidi="ar-SA"/>
              </w:rPr>
            </w:pPr>
          </w:p>
          <w:p w14:paraId="60505625">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监理工程师</w:t>
            </w:r>
            <w:r>
              <w:rPr>
                <w:rFonts w:hint="eastAsia" w:ascii="宋体" w:hAnsi="宋体" w:eastAsia="宋体" w:cs="宋体"/>
                <w:color w:val="auto"/>
                <w:kern w:val="2"/>
                <w:sz w:val="21"/>
                <w:szCs w:val="22"/>
                <w:highlight w:val="none"/>
                <w:u w:val="single"/>
                <w:lang w:val="en-US" w:eastAsia="zh-CN" w:bidi="ar-SA"/>
              </w:rPr>
              <w:t xml:space="preserve">           </w:t>
            </w:r>
          </w:p>
          <w:p w14:paraId="788F393E">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c>
          <w:tcPr>
            <w:tcW w:w="4552" w:type="dxa"/>
            <w:noWrap w:val="0"/>
            <w:vAlign w:val="top"/>
          </w:tcPr>
          <w:p w14:paraId="6D150348">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32DDF124">
            <w:pPr>
              <w:widowControl w:val="0"/>
              <w:spacing w:line="360" w:lineRule="exact"/>
              <w:ind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你方提出的支付申请经复核，本周期已完成工程价款为(大写)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p>
          <w:p w14:paraId="52263526">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元，本期间应支付金额为（大写）</w:t>
            </w:r>
          </w:p>
          <w:p w14:paraId="42DE61F6">
            <w:pPr>
              <w:widowControl w:val="0"/>
              <w:spacing w:line="360" w:lineRule="exact"/>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w:t>
            </w:r>
          </w:p>
          <w:p w14:paraId="018425CA">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造价工程师</w:t>
            </w:r>
            <w:r>
              <w:rPr>
                <w:rFonts w:hint="eastAsia" w:ascii="宋体" w:hAnsi="宋体" w:eastAsia="宋体" w:cs="宋体"/>
                <w:color w:val="auto"/>
                <w:kern w:val="2"/>
                <w:sz w:val="21"/>
                <w:szCs w:val="22"/>
                <w:highlight w:val="none"/>
                <w:u w:val="single"/>
                <w:lang w:val="en-US" w:eastAsia="zh-CN" w:bidi="ar-SA"/>
              </w:rPr>
              <w:t xml:space="preserve">           </w:t>
            </w:r>
          </w:p>
          <w:p w14:paraId="703DB42C">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r>
      <w:tr w14:paraId="6BE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66BB6A5">
            <w:pPr>
              <w:widowControl w:val="0"/>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审核意见：</w:t>
            </w:r>
          </w:p>
          <w:p w14:paraId="2CB670C5">
            <w:pPr>
              <w:widowControl w:val="0"/>
              <w:spacing w:line="400" w:lineRule="exact"/>
              <w:ind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□不同意。</w:t>
            </w:r>
          </w:p>
          <w:p w14:paraId="61D6B9E4">
            <w:pPr>
              <w:widowControl w:val="0"/>
              <w:spacing w:line="400" w:lineRule="exact"/>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□同意，支付时间为本表签发后的15天内。</w:t>
            </w:r>
          </w:p>
          <w:p w14:paraId="28EE6B5B">
            <w:pPr>
              <w:widowControl w:val="0"/>
              <w:wordWrap w:val="0"/>
              <w:spacing w:line="400" w:lineRule="exact"/>
              <w:ind w:firstLine="412" w:firstLineChars="200"/>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发包人（章）           </w:t>
            </w:r>
          </w:p>
          <w:p w14:paraId="40042CDD">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发包人代表</w:t>
            </w:r>
            <w:r>
              <w:rPr>
                <w:rFonts w:hint="eastAsia" w:ascii="宋体" w:hAnsi="宋体" w:eastAsia="宋体" w:cs="宋体"/>
                <w:color w:val="auto"/>
                <w:kern w:val="2"/>
                <w:sz w:val="21"/>
                <w:szCs w:val="22"/>
                <w:highlight w:val="none"/>
                <w:u w:val="single"/>
                <w:lang w:val="en-US" w:eastAsia="zh-CN" w:bidi="ar-SA"/>
              </w:rPr>
              <w:t xml:space="preserve">             </w:t>
            </w:r>
          </w:p>
          <w:p w14:paraId="129E5C93">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bl>
    <w:p w14:paraId="33143B88">
      <w:pPr>
        <w:keepNext w:val="0"/>
        <w:keepLines w:val="0"/>
        <w:pageBreakBefore w:val="0"/>
        <w:widowControl w:val="0"/>
        <w:kinsoku/>
        <w:wordWrap/>
        <w:overflowPunct/>
        <w:topLinePunct w:val="0"/>
        <w:autoSpaceDE/>
        <w:autoSpaceDN/>
        <w:bidi w:val="0"/>
        <w:adjustRightInd/>
        <w:snapToGrid/>
        <w:spacing w:line="240" w:lineRule="auto"/>
        <w:ind w:left="0" w:firstLine="352" w:firstLineChars="200"/>
        <w:jc w:val="both"/>
        <w:textAlignment w:val="auto"/>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注：1.在选择栏中的“□”内作标识“√”。 </w:t>
      </w:r>
    </w:p>
    <w:p w14:paraId="003A84DA">
      <w:pPr>
        <w:keepNext w:val="0"/>
        <w:keepLines w:val="0"/>
        <w:pageBreakBefore w:val="0"/>
        <w:widowControl w:val="0"/>
        <w:kinsoku/>
        <w:wordWrap/>
        <w:overflowPunct/>
        <w:topLinePunct w:val="0"/>
        <w:autoSpaceDE/>
        <w:autoSpaceDN/>
        <w:bidi w:val="0"/>
        <w:adjustRightInd/>
        <w:snapToGrid/>
        <w:spacing w:line="240" w:lineRule="auto"/>
        <w:ind w:left="0" w:firstLine="352" w:firstLineChars="200"/>
        <w:jc w:val="both"/>
        <w:textAlignment w:val="auto"/>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    2.本表一式四份，由承包人填报，发包人、监理人、造价咨询人、承包人各存一份。</w:t>
      </w:r>
    </w:p>
    <w:p w14:paraId="0ED3AE9A">
      <w:pPr>
        <w:widowControl w:val="0"/>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附件10：</w:t>
      </w:r>
    </w:p>
    <w:p w14:paraId="15948F0B">
      <w:pPr>
        <w:widowControl w:val="0"/>
        <w:jc w:val="center"/>
        <w:rPr>
          <w:rFonts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竣工结算款支付申请（核准）表</w:t>
      </w:r>
    </w:p>
    <w:p w14:paraId="5EB1DCEE">
      <w:pPr>
        <w:widowControl w:val="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工程名称：                                              编号：</w:t>
      </w:r>
    </w:p>
    <w:tbl>
      <w:tblPr>
        <w:tblStyle w:val="2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AED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61581855">
            <w:pPr>
              <w:widowControl w:val="0"/>
              <w:spacing w:line="480" w:lineRule="exact"/>
              <w:ind w:left="514" w:leftChars="149" w:hanging="208" w:hangingChars="101"/>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致：</w:t>
            </w:r>
            <w:r>
              <w:rPr>
                <w:rFonts w:hint="eastAsia" w:ascii="宋体" w:hAnsi="宋体" w:eastAsia="宋体" w:cs="宋体"/>
                <w:color w:val="auto"/>
                <w:kern w:val="2"/>
                <w:sz w:val="21"/>
                <w:szCs w:val="22"/>
                <w:highlight w:val="none"/>
                <w:u w:val="single"/>
                <w:lang w:val="en-US" w:eastAsia="zh-CN" w:bidi="ar-SA"/>
              </w:rPr>
              <w:t xml:space="preserve">                                   （发包人全称）</w:t>
            </w:r>
          </w:p>
          <w:p w14:paraId="7DBA9589">
            <w:pPr>
              <w:widowControl w:val="0"/>
              <w:spacing w:line="400" w:lineRule="exact"/>
              <w:ind w:left="-4" w:leftChars="-2" w:firstLine="309" w:firstLineChars="15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我方于</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至</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期间已完成了合同约定的工作，根据施工合同的约定，现申请支付竣工结算的工程款额为(大写)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元，请予核准。</w:t>
            </w:r>
          </w:p>
          <w:tbl>
            <w:tblPr>
              <w:tblStyle w:val="28"/>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2F5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3EAB897">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序号</w:t>
                  </w:r>
                </w:p>
              </w:tc>
              <w:tc>
                <w:tcPr>
                  <w:tcW w:w="3420" w:type="dxa"/>
                  <w:noWrap w:val="0"/>
                  <w:vAlign w:val="center"/>
                </w:tcPr>
                <w:p w14:paraId="7E66820B">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名      称</w:t>
                  </w:r>
                </w:p>
              </w:tc>
              <w:tc>
                <w:tcPr>
                  <w:tcW w:w="1620" w:type="dxa"/>
                  <w:noWrap w:val="0"/>
                  <w:vAlign w:val="center"/>
                </w:tcPr>
                <w:p w14:paraId="5AD1E98E">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申请金额（元）</w:t>
                  </w:r>
                </w:p>
              </w:tc>
              <w:tc>
                <w:tcPr>
                  <w:tcW w:w="1620" w:type="dxa"/>
                  <w:noWrap w:val="0"/>
                  <w:vAlign w:val="center"/>
                </w:tcPr>
                <w:p w14:paraId="473F611C">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复核金额（元）</w:t>
                  </w:r>
                </w:p>
              </w:tc>
              <w:tc>
                <w:tcPr>
                  <w:tcW w:w="1651" w:type="dxa"/>
                  <w:noWrap w:val="0"/>
                  <w:vAlign w:val="center"/>
                </w:tcPr>
                <w:p w14:paraId="3AEF8B9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备注</w:t>
                  </w:r>
                </w:p>
              </w:tc>
            </w:tr>
            <w:tr w14:paraId="195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79CA740">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w:t>
                  </w:r>
                </w:p>
              </w:tc>
              <w:tc>
                <w:tcPr>
                  <w:tcW w:w="3420" w:type="dxa"/>
                  <w:noWrap w:val="0"/>
                  <w:vAlign w:val="top"/>
                </w:tcPr>
                <w:p w14:paraId="08B3C17E">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竣工结算合同价款总额</w:t>
                  </w:r>
                </w:p>
              </w:tc>
              <w:tc>
                <w:tcPr>
                  <w:tcW w:w="1620" w:type="dxa"/>
                  <w:noWrap w:val="0"/>
                  <w:vAlign w:val="top"/>
                </w:tcPr>
                <w:p w14:paraId="20071ED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9CE93E7">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2742DC69">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2B4A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0981F5C">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w:t>
                  </w:r>
                </w:p>
              </w:tc>
              <w:tc>
                <w:tcPr>
                  <w:tcW w:w="3420" w:type="dxa"/>
                  <w:noWrap w:val="0"/>
                  <w:vAlign w:val="top"/>
                </w:tcPr>
                <w:p w14:paraId="571180BC">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累计已实际支付的合同价款</w:t>
                  </w:r>
                </w:p>
              </w:tc>
              <w:tc>
                <w:tcPr>
                  <w:tcW w:w="1620" w:type="dxa"/>
                  <w:noWrap w:val="0"/>
                  <w:vAlign w:val="top"/>
                </w:tcPr>
                <w:p w14:paraId="3EB094D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33D07E7">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504183D8">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48FB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0C22033">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w:t>
                  </w:r>
                </w:p>
              </w:tc>
              <w:tc>
                <w:tcPr>
                  <w:tcW w:w="3420" w:type="dxa"/>
                  <w:noWrap w:val="0"/>
                  <w:vAlign w:val="top"/>
                </w:tcPr>
                <w:p w14:paraId="1E5B8347">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应预留的质量保证金</w:t>
                  </w:r>
                </w:p>
              </w:tc>
              <w:tc>
                <w:tcPr>
                  <w:tcW w:w="1620" w:type="dxa"/>
                  <w:noWrap w:val="0"/>
                  <w:vAlign w:val="top"/>
                </w:tcPr>
                <w:p w14:paraId="7AEEA6E4">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4B7369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66D790D0">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6B5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97DA50C">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w:t>
                  </w:r>
                </w:p>
              </w:tc>
              <w:tc>
                <w:tcPr>
                  <w:tcW w:w="3420" w:type="dxa"/>
                  <w:noWrap w:val="0"/>
                  <w:vAlign w:val="top"/>
                </w:tcPr>
                <w:p w14:paraId="487DB49C">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应支付的竣工结算款金额</w:t>
                  </w:r>
                </w:p>
              </w:tc>
              <w:tc>
                <w:tcPr>
                  <w:tcW w:w="1620" w:type="dxa"/>
                  <w:noWrap w:val="0"/>
                  <w:vAlign w:val="top"/>
                </w:tcPr>
                <w:p w14:paraId="4C78545E">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9B0500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3E0864B1">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8F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59599AD">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6DE38CA4">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D544241">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B1D85E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17F8952E">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3C6A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578437E">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16A19F2E">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4FC96F9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09981188">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29973427">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2E1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BA78937">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18856C0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88AE86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0E92F6C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44F97971">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3B72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F1F5FE">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1C92159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D10369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5BDC7059">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24F0DE4F">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1657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AA264B0">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6D6E498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479A31C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AA4C73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7A1A651E">
                  <w:pPr>
                    <w:widowControl w:val="0"/>
                    <w:spacing w:line="280" w:lineRule="exact"/>
                    <w:jc w:val="both"/>
                    <w:rPr>
                      <w:rFonts w:ascii="宋体" w:hAnsi="宋体" w:eastAsia="宋体" w:cs="宋体"/>
                      <w:color w:val="auto"/>
                      <w:kern w:val="2"/>
                      <w:sz w:val="21"/>
                      <w:szCs w:val="22"/>
                      <w:highlight w:val="none"/>
                      <w:lang w:val="en-US" w:eastAsia="zh-CN" w:bidi="ar-SA"/>
                    </w:rPr>
                  </w:pPr>
                </w:p>
              </w:tc>
            </w:tr>
          </w:tbl>
          <w:p w14:paraId="3DB8DB8A">
            <w:pPr>
              <w:widowControl w:val="0"/>
              <w:spacing w:line="400" w:lineRule="exact"/>
              <w:ind w:right="420" w:firstLine="435"/>
              <w:jc w:val="center"/>
              <w:rPr>
                <w:rFonts w:ascii="宋体" w:hAnsi="宋体" w:eastAsia="宋体" w:cs="宋体"/>
                <w:color w:val="auto"/>
                <w:kern w:val="2"/>
                <w:sz w:val="21"/>
                <w:szCs w:val="22"/>
                <w:highlight w:val="none"/>
                <w:lang w:val="en-US" w:eastAsia="zh-CN" w:bidi="ar-SA"/>
              </w:rPr>
            </w:pPr>
          </w:p>
          <w:p w14:paraId="547C8F90">
            <w:pPr>
              <w:widowControl w:val="0"/>
              <w:spacing w:line="400" w:lineRule="exact"/>
              <w:ind w:right="420"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承包人（章）             </w:t>
            </w:r>
          </w:p>
          <w:p w14:paraId="0A16079C">
            <w:pPr>
              <w:widowControl w:val="0"/>
              <w:spacing w:line="400" w:lineRule="exact"/>
              <w:ind w:right="420"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造价人员</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承包人代表</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r w14:paraId="6836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49E42812">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6B455F75">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□与实际施工情况不相符，修改意见见附件。</w:t>
            </w:r>
          </w:p>
          <w:p w14:paraId="396DA433">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□与实际施工情况相符，具体金额由造价工程师复核。</w:t>
            </w:r>
          </w:p>
          <w:p w14:paraId="3A44453C">
            <w:pPr>
              <w:widowControl w:val="0"/>
              <w:spacing w:line="360" w:lineRule="exact"/>
              <w:ind w:firstLine="435"/>
              <w:jc w:val="right"/>
              <w:rPr>
                <w:rFonts w:ascii="宋体" w:hAnsi="宋体" w:eastAsia="宋体" w:cs="宋体"/>
                <w:color w:val="auto"/>
                <w:kern w:val="2"/>
                <w:sz w:val="21"/>
                <w:szCs w:val="22"/>
                <w:highlight w:val="none"/>
                <w:lang w:val="en-US" w:eastAsia="zh-CN" w:bidi="ar-SA"/>
              </w:rPr>
            </w:pPr>
          </w:p>
          <w:p w14:paraId="6E90FCA2">
            <w:pPr>
              <w:widowControl w:val="0"/>
              <w:spacing w:line="360" w:lineRule="exact"/>
              <w:ind w:firstLine="435"/>
              <w:jc w:val="right"/>
              <w:rPr>
                <w:rFonts w:ascii="宋体" w:hAnsi="宋体" w:eastAsia="宋体" w:cs="宋体"/>
                <w:color w:val="auto"/>
                <w:kern w:val="2"/>
                <w:sz w:val="21"/>
                <w:szCs w:val="22"/>
                <w:highlight w:val="none"/>
                <w:lang w:val="en-US" w:eastAsia="zh-CN" w:bidi="ar-SA"/>
              </w:rPr>
            </w:pPr>
          </w:p>
          <w:p w14:paraId="438E9723">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w:t>
            </w:r>
          </w:p>
          <w:p w14:paraId="42D5745B">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监理工程师</w:t>
            </w:r>
            <w:r>
              <w:rPr>
                <w:rFonts w:hint="eastAsia" w:ascii="宋体" w:hAnsi="宋体" w:eastAsia="宋体" w:cs="宋体"/>
                <w:color w:val="auto"/>
                <w:kern w:val="2"/>
                <w:sz w:val="21"/>
                <w:szCs w:val="22"/>
                <w:highlight w:val="none"/>
                <w:u w:val="single"/>
                <w:lang w:val="en-US" w:eastAsia="zh-CN" w:bidi="ar-SA"/>
              </w:rPr>
              <w:t xml:space="preserve">           </w:t>
            </w:r>
          </w:p>
          <w:p w14:paraId="1DCBD608">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c>
          <w:tcPr>
            <w:tcW w:w="4533" w:type="dxa"/>
            <w:noWrap w:val="0"/>
            <w:vAlign w:val="top"/>
          </w:tcPr>
          <w:p w14:paraId="7BB51E6D">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787CC55C">
            <w:pPr>
              <w:widowControl w:val="0"/>
              <w:spacing w:line="360" w:lineRule="exact"/>
              <w:ind w:firstLine="435"/>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你方提出的竣工结算支付申请经复核，竣工结算款总额为(大写)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元，扣除前期支付以及质量保证金后应支付金额为（大写）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w:t>
            </w:r>
          </w:p>
          <w:p w14:paraId="06BA5566">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w:t>
            </w:r>
          </w:p>
          <w:p w14:paraId="053C4C9A">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造价工程师</w:t>
            </w:r>
            <w:r>
              <w:rPr>
                <w:rFonts w:hint="eastAsia" w:ascii="宋体" w:hAnsi="宋体" w:eastAsia="宋体" w:cs="宋体"/>
                <w:color w:val="auto"/>
                <w:kern w:val="2"/>
                <w:sz w:val="21"/>
                <w:szCs w:val="22"/>
                <w:highlight w:val="none"/>
                <w:u w:val="single"/>
                <w:lang w:val="en-US" w:eastAsia="zh-CN" w:bidi="ar-SA"/>
              </w:rPr>
              <w:t xml:space="preserve">           </w:t>
            </w:r>
          </w:p>
          <w:p w14:paraId="07EF6003">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r>
      <w:tr w14:paraId="168E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6ABC42C">
            <w:pPr>
              <w:widowControl w:val="0"/>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审核意见：</w:t>
            </w:r>
          </w:p>
          <w:p w14:paraId="21B427DC">
            <w:pPr>
              <w:widowControl w:val="0"/>
              <w:spacing w:line="400" w:lineRule="exact"/>
              <w:ind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□不同意。</w:t>
            </w:r>
          </w:p>
          <w:p w14:paraId="09CF3A33">
            <w:pPr>
              <w:widowControl w:val="0"/>
              <w:spacing w:line="400" w:lineRule="exact"/>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□同意，支付时间为本表签发后的15天内。</w:t>
            </w:r>
          </w:p>
          <w:p w14:paraId="4036C2A2">
            <w:pPr>
              <w:widowControl w:val="0"/>
              <w:wordWrap w:val="0"/>
              <w:spacing w:line="400" w:lineRule="exact"/>
              <w:ind w:firstLine="412" w:firstLineChars="200"/>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发包人（章）           </w:t>
            </w:r>
          </w:p>
          <w:p w14:paraId="2CB83D7C">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发包人代表</w:t>
            </w:r>
            <w:r>
              <w:rPr>
                <w:rFonts w:hint="eastAsia" w:ascii="宋体" w:hAnsi="宋体" w:eastAsia="宋体" w:cs="宋体"/>
                <w:color w:val="auto"/>
                <w:kern w:val="2"/>
                <w:sz w:val="21"/>
                <w:szCs w:val="22"/>
                <w:highlight w:val="none"/>
                <w:u w:val="single"/>
                <w:lang w:val="en-US" w:eastAsia="zh-CN" w:bidi="ar-SA"/>
              </w:rPr>
              <w:t xml:space="preserve">             </w:t>
            </w:r>
          </w:p>
          <w:p w14:paraId="36D7DE09">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bl>
    <w:p w14:paraId="61E5003B">
      <w:pPr>
        <w:keepNext w:val="0"/>
        <w:keepLines w:val="0"/>
        <w:pageBreakBefore w:val="0"/>
        <w:widowControl w:val="0"/>
        <w:kinsoku/>
        <w:wordWrap/>
        <w:overflowPunct/>
        <w:topLinePunct w:val="0"/>
        <w:autoSpaceDE/>
        <w:autoSpaceDN/>
        <w:bidi w:val="0"/>
        <w:adjustRightInd/>
        <w:snapToGrid/>
        <w:ind w:left="0" w:right="0" w:firstLine="352" w:firstLineChars="200"/>
        <w:jc w:val="both"/>
        <w:textAlignment w:val="auto"/>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注：1.在选择栏中的“□”内作标识“√”。 </w:t>
      </w:r>
    </w:p>
    <w:p w14:paraId="1C17A872">
      <w:pPr>
        <w:keepNext w:val="0"/>
        <w:keepLines w:val="0"/>
        <w:pageBreakBefore w:val="0"/>
        <w:widowControl w:val="0"/>
        <w:kinsoku/>
        <w:wordWrap/>
        <w:overflowPunct/>
        <w:topLinePunct w:val="0"/>
        <w:autoSpaceDE/>
        <w:autoSpaceDN/>
        <w:bidi w:val="0"/>
        <w:adjustRightInd/>
        <w:snapToGrid/>
        <w:ind w:left="0" w:right="0" w:firstLine="352" w:firstLineChars="200"/>
        <w:jc w:val="both"/>
        <w:textAlignment w:val="auto"/>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    2.本表一式四份，由承包人填报，发包人、监理人、造价咨询人、承包人各存一份。</w:t>
      </w:r>
    </w:p>
    <w:p w14:paraId="5A2C28AF">
      <w:pPr>
        <w:widowControl w:val="0"/>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附件11：</w:t>
      </w:r>
    </w:p>
    <w:p w14:paraId="18D1E1C5">
      <w:pPr>
        <w:widowControl w:val="0"/>
        <w:jc w:val="center"/>
        <w:rPr>
          <w:rFonts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最终结算款支付申请（核准）表</w:t>
      </w:r>
    </w:p>
    <w:p w14:paraId="61F7E600">
      <w:pPr>
        <w:widowControl w:val="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工程名称：                                             编号：</w:t>
      </w:r>
    </w:p>
    <w:tbl>
      <w:tblPr>
        <w:tblStyle w:val="2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58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538B7DCC">
            <w:pPr>
              <w:widowControl w:val="0"/>
              <w:spacing w:line="480" w:lineRule="exact"/>
              <w:ind w:left="514" w:leftChars="149" w:hanging="208" w:hangingChars="101"/>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致：</w:t>
            </w:r>
            <w:r>
              <w:rPr>
                <w:rFonts w:hint="eastAsia" w:ascii="宋体" w:hAnsi="宋体" w:eastAsia="宋体" w:cs="宋体"/>
                <w:color w:val="auto"/>
                <w:kern w:val="2"/>
                <w:sz w:val="21"/>
                <w:szCs w:val="22"/>
                <w:highlight w:val="none"/>
                <w:u w:val="single"/>
                <w:lang w:val="en-US" w:eastAsia="zh-CN" w:bidi="ar-SA"/>
              </w:rPr>
              <w:t xml:space="preserve">                                   （发包人全称）</w:t>
            </w:r>
          </w:p>
          <w:p w14:paraId="70AD2545">
            <w:pPr>
              <w:widowControl w:val="0"/>
              <w:spacing w:line="400" w:lineRule="exact"/>
              <w:ind w:left="-4" w:leftChars="-2" w:firstLine="309" w:firstLineChars="15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我方于</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至</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期间已完成了缺陷修复工作，根据施工合同的约定，现申请支付最终结清合同款额为(大写)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元，(小写)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元，请予核准。</w:t>
            </w:r>
          </w:p>
          <w:tbl>
            <w:tblPr>
              <w:tblStyle w:val="28"/>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06A4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15DE63FE">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序号</w:t>
                  </w:r>
                </w:p>
              </w:tc>
              <w:tc>
                <w:tcPr>
                  <w:tcW w:w="3420" w:type="dxa"/>
                  <w:noWrap w:val="0"/>
                  <w:vAlign w:val="center"/>
                </w:tcPr>
                <w:p w14:paraId="3A79C799">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名      称</w:t>
                  </w:r>
                </w:p>
              </w:tc>
              <w:tc>
                <w:tcPr>
                  <w:tcW w:w="1620" w:type="dxa"/>
                  <w:noWrap w:val="0"/>
                  <w:vAlign w:val="center"/>
                </w:tcPr>
                <w:p w14:paraId="5D3B574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申请金额（元）</w:t>
                  </w:r>
                </w:p>
              </w:tc>
              <w:tc>
                <w:tcPr>
                  <w:tcW w:w="1620" w:type="dxa"/>
                  <w:noWrap w:val="0"/>
                  <w:vAlign w:val="center"/>
                </w:tcPr>
                <w:p w14:paraId="4EB76C2C">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复核金额（元）</w:t>
                  </w:r>
                </w:p>
              </w:tc>
              <w:tc>
                <w:tcPr>
                  <w:tcW w:w="1651" w:type="dxa"/>
                  <w:noWrap w:val="0"/>
                  <w:vAlign w:val="center"/>
                </w:tcPr>
                <w:p w14:paraId="006D5398">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备注</w:t>
                  </w:r>
                </w:p>
              </w:tc>
            </w:tr>
            <w:tr w14:paraId="093E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4A27DBE">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w:t>
                  </w:r>
                </w:p>
              </w:tc>
              <w:tc>
                <w:tcPr>
                  <w:tcW w:w="3420" w:type="dxa"/>
                  <w:noWrap w:val="0"/>
                  <w:vAlign w:val="top"/>
                </w:tcPr>
                <w:p w14:paraId="58E8B8BC">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已预留的质量保证金</w:t>
                  </w:r>
                </w:p>
              </w:tc>
              <w:tc>
                <w:tcPr>
                  <w:tcW w:w="1620" w:type="dxa"/>
                  <w:noWrap w:val="0"/>
                  <w:vAlign w:val="top"/>
                </w:tcPr>
                <w:p w14:paraId="23ACD5E1">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5AB4CD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280B567A">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1FDE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48F2C67">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w:t>
                  </w:r>
                </w:p>
              </w:tc>
              <w:tc>
                <w:tcPr>
                  <w:tcW w:w="3420" w:type="dxa"/>
                  <w:noWrap w:val="0"/>
                  <w:vAlign w:val="top"/>
                </w:tcPr>
                <w:p w14:paraId="55CF9801">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应增加因发包人原因造成缺陷的修复金额</w:t>
                  </w:r>
                </w:p>
              </w:tc>
              <w:tc>
                <w:tcPr>
                  <w:tcW w:w="1620" w:type="dxa"/>
                  <w:noWrap w:val="0"/>
                  <w:vAlign w:val="top"/>
                </w:tcPr>
                <w:p w14:paraId="365A8272">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678FD5DB">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5FDABC61">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6B70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A0C8B06">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w:t>
                  </w:r>
                </w:p>
              </w:tc>
              <w:tc>
                <w:tcPr>
                  <w:tcW w:w="3420" w:type="dxa"/>
                  <w:noWrap w:val="0"/>
                  <w:vAlign w:val="top"/>
                </w:tcPr>
                <w:p w14:paraId="5E65E988">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应扣减承包人不修复缺陷、发包人组织修复的金额</w:t>
                  </w:r>
                </w:p>
              </w:tc>
              <w:tc>
                <w:tcPr>
                  <w:tcW w:w="1620" w:type="dxa"/>
                  <w:noWrap w:val="0"/>
                  <w:vAlign w:val="top"/>
                </w:tcPr>
                <w:p w14:paraId="4B15A646">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45D4C77C">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05B13AB2">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0348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EA8453C">
                  <w:pPr>
                    <w:widowControl w:val="0"/>
                    <w:spacing w:line="280" w:lineRule="exact"/>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w:t>
                  </w:r>
                </w:p>
              </w:tc>
              <w:tc>
                <w:tcPr>
                  <w:tcW w:w="3420" w:type="dxa"/>
                  <w:noWrap w:val="0"/>
                  <w:vAlign w:val="top"/>
                </w:tcPr>
                <w:p w14:paraId="700519C8">
                  <w:pPr>
                    <w:widowControl w:val="0"/>
                    <w:spacing w:line="28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最终应支付的合同价款</w:t>
                  </w:r>
                </w:p>
              </w:tc>
              <w:tc>
                <w:tcPr>
                  <w:tcW w:w="1620" w:type="dxa"/>
                  <w:noWrap w:val="0"/>
                  <w:vAlign w:val="top"/>
                </w:tcPr>
                <w:p w14:paraId="515637F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5DE8E92A">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09E56A05">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177A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1868956">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31CAF04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2104505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01B9299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067DDEF5">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774E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9BDACB4">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39490596">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325BCECF">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53C511D1">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03F2588F">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3BA7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CBD4343">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165BBA7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223466FC">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5465ED83">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17E34CCB">
                  <w:pPr>
                    <w:widowControl w:val="0"/>
                    <w:spacing w:line="280" w:lineRule="exact"/>
                    <w:jc w:val="both"/>
                    <w:rPr>
                      <w:rFonts w:ascii="宋体" w:hAnsi="宋体" w:eastAsia="宋体" w:cs="宋体"/>
                      <w:color w:val="auto"/>
                      <w:kern w:val="2"/>
                      <w:sz w:val="21"/>
                      <w:szCs w:val="22"/>
                      <w:highlight w:val="none"/>
                      <w:lang w:val="en-US" w:eastAsia="zh-CN" w:bidi="ar-SA"/>
                    </w:rPr>
                  </w:pPr>
                </w:p>
              </w:tc>
            </w:tr>
            <w:tr w14:paraId="2880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C660D6E">
                  <w:pPr>
                    <w:widowControl w:val="0"/>
                    <w:spacing w:line="280" w:lineRule="exact"/>
                    <w:jc w:val="center"/>
                    <w:rPr>
                      <w:rFonts w:ascii="宋体" w:hAnsi="宋体" w:eastAsia="宋体" w:cs="宋体"/>
                      <w:color w:val="auto"/>
                      <w:kern w:val="2"/>
                      <w:sz w:val="21"/>
                      <w:szCs w:val="22"/>
                      <w:highlight w:val="none"/>
                      <w:lang w:val="en-US" w:eastAsia="zh-CN" w:bidi="ar-SA"/>
                    </w:rPr>
                  </w:pPr>
                </w:p>
              </w:tc>
              <w:tc>
                <w:tcPr>
                  <w:tcW w:w="3420" w:type="dxa"/>
                  <w:noWrap w:val="0"/>
                  <w:vAlign w:val="top"/>
                </w:tcPr>
                <w:p w14:paraId="758F1171">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1D819844">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20" w:type="dxa"/>
                  <w:noWrap w:val="0"/>
                  <w:vAlign w:val="top"/>
                </w:tcPr>
                <w:p w14:paraId="799E242D">
                  <w:pPr>
                    <w:widowControl w:val="0"/>
                    <w:spacing w:line="280" w:lineRule="exact"/>
                    <w:jc w:val="both"/>
                    <w:rPr>
                      <w:rFonts w:ascii="宋体" w:hAnsi="宋体" w:eastAsia="宋体" w:cs="宋体"/>
                      <w:color w:val="auto"/>
                      <w:kern w:val="2"/>
                      <w:sz w:val="21"/>
                      <w:szCs w:val="22"/>
                      <w:highlight w:val="none"/>
                      <w:lang w:val="en-US" w:eastAsia="zh-CN" w:bidi="ar-SA"/>
                    </w:rPr>
                  </w:pPr>
                </w:p>
              </w:tc>
              <w:tc>
                <w:tcPr>
                  <w:tcW w:w="1651" w:type="dxa"/>
                  <w:noWrap w:val="0"/>
                  <w:vAlign w:val="top"/>
                </w:tcPr>
                <w:p w14:paraId="793071B8">
                  <w:pPr>
                    <w:widowControl w:val="0"/>
                    <w:spacing w:line="280" w:lineRule="exact"/>
                    <w:jc w:val="both"/>
                    <w:rPr>
                      <w:rFonts w:ascii="宋体" w:hAnsi="宋体" w:eastAsia="宋体" w:cs="宋体"/>
                      <w:color w:val="auto"/>
                      <w:kern w:val="2"/>
                      <w:sz w:val="21"/>
                      <w:szCs w:val="22"/>
                      <w:highlight w:val="none"/>
                      <w:lang w:val="en-US" w:eastAsia="zh-CN" w:bidi="ar-SA"/>
                    </w:rPr>
                  </w:pPr>
                </w:p>
              </w:tc>
            </w:tr>
          </w:tbl>
          <w:p w14:paraId="1B608A0B">
            <w:pPr>
              <w:widowControl w:val="0"/>
              <w:spacing w:line="400" w:lineRule="exact"/>
              <w:ind w:right="420"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承包人（章）             </w:t>
            </w:r>
          </w:p>
          <w:p w14:paraId="2F0D9806">
            <w:pPr>
              <w:widowControl w:val="0"/>
              <w:spacing w:line="400" w:lineRule="exact"/>
              <w:ind w:right="420"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造价人员</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承包人代表</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r w14:paraId="38AD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4856CBEA">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3A086B1D">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□与实际施工情况不相符，修改意见见附件。</w:t>
            </w:r>
          </w:p>
          <w:p w14:paraId="68BE67BF">
            <w:pPr>
              <w:widowControl w:val="0"/>
              <w:spacing w:line="360" w:lineRule="exact"/>
              <w:ind w:firstLine="312"/>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□与实际施工情况相符，具体金额由造价工程师复核</w:t>
            </w:r>
          </w:p>
          <w:p w14:paraId="0E25E573">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w:t>
            </w:r>
          </w:p>
          <w:p w14:paraId="762F9D75">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监理工程师</w:t>
            </w:r>
            <w:r>
              <w:rPr>
                <w:rFonts w:hint="eastAsia" w:ascii="宋体" w:hAnsi="宋体" w:eastAsia="宋体" w:cs="宋体"/>
                <w:color w:val="auto"/>
                <w:kern w:val="2"/>
                <w:sz w:val="21"/>
                <w:szCs w:val="22"/>
                <w:highlight w:val="none"/>
                <w:u w:val="single"/>
                <w:lang w:val="en-US" w:eastAsia="zh-CN" w:bidi="ar-SA"/>
              </w:rPr>
              <w:t xml:space="preserve">           </w:t>
            </w:r>
          </w:p>
          <w:p w14:paraId="24E17294">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c>
          <w:tcPr>
            <w:tcW w:w="4533" w:type="dxa"/>
            <w:noWrap w:val="0"/>
            <w:vAlign w:val="top"/>
          </w:tcPr>
          <w:p w14:paraId="303F306C">
            <w:pPr>
              <w:widowControl w:val="0"/>
              <w:spacing w:line="36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复核意见：</w:t>
            </w:r>
          </w:p>
          <w:p w14:paraId="72D2A030">
            <w:pPr>
              <w:widowControl w:val="0"/>
              <w:spacing w:line="360" w:lineRule="exact"/>
              <w:ind w:firstLine="435"/>
              <w:jc w:val="both"/>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你方提出的支付申请经复核，最终应支付金额为（大写）</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元，（小写）  </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元。</w:t>
            </w:r>
          </w:p>
          <w:p w14:paraId="7484121D">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    </w:t>
            </w:r>
          </w:p>
          <w:p w14:paraId="59802C43">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造价工程师</w:t>
            </w:r>
            <w:r>
              <w:rPr>
                <w:rFonts w:hint="eastAsia" w:ascii="宋体" w:hAnsi="宋体" w:eastAsia="宋体" w:cs="宋体"/>
                <w:color w:val="auto"/>
                <w:kern w:val="2"/>
                <w:sz w:val="21"/>
                <w:szCs w:val="22"/>
                <w:highlight w:val="none"/>
                <w:u w:val="single"/>
                <w:lang w:val="en-US" w:eastAsia="zh-CN" w:bidi="ar-SA"/>
              </w:rPr>
              <w:t xml:space="preserve">           </w:t>
            </w:r>
          </w:p>
          <w:p w14:paraId="52429592">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 xml:space="preserve">    日      期</w:t>
            </w:r>
            <w:r>
              <w:rPr>
                <w:rFonts w:hint="eastAsia" w:ascii="宋体" w:hAnsi="宋体" w:eastAsia="宋体" w:cs="宋体"/>
                <w:color w:val="auto"/>
                <w:kern w:val="2"/>
                <w:sz w:val="21"/>
                <w:szCs w:val="22"/>
                <w:highlight w:val="none"/>
                <w:u w:val="single"/>
                <w:lang w:val="en-US" w:eastAsia="zh-CN" w:bidi="ar-SA"/>
              </w:rPr>
              <w:t xml:space="preserve">           </w:t>
            </w:r>
          </w:p>
        </w:tc>
      </w:tr>
      <w:tr w14:paraId="001B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519C9420">
            <w:pPr>
              <w:widowControl w:val="0"/>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审核意见：</w:t>
            </w:r>
          </w:p>
          <w:p w14:paraId="01E329A7">
            <w:pPr>
              <w:widowControl w:val="0"/>
              <w:spacing w:line="400" w:lineRule="exact"/>
              <w:ind w:firstLine="435"/>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□不同意。</w:t>
            </w:r>
          </w:p>
          <w:p w14:paraId="5FC25505">
            <w:pPr>
              <w:widowControl w:val="0"/>
              <w:spacing w:line="400" w:lineRule="exact"/>
              <w:ind w:firstLine="412" w:firstLineChars="200"/>
              <w:jc w:val="both"/>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□同意，支付时间为本表签发后的15天内。</w:t>
            </w:r>
          </w:p>
          <w:p w14:paraId="3E6C4C2A">
            <w:pPr>
              <w:widowControl w:val="0"/>
              <w:wordWrap w:val="0"/>
              <w:spacing w:line="400" w:lineRule="exact"/>
              <w:ind w:firstLine="412" w:firstLineChars="200"/>
              <w:jc w:val="right"/>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发包人（章）           </w:t>
            </w:r>
          </w:p>
          <w:p w14:paraId="716F9F26">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发包人代表</w:t>
            </w:r>
            <w:r>
              <w:rPr>
                <w:rFonts w:hint="eastAsia" w:ascii="宋体" w:hAnsi="宋体" w:eastAsia="宋体" w:cs="宋体"/>
                <w:color w:val="auto"/>
                <w:kern w:val="2"/>
                <w:sz w:val="21"/>
                <w:szCs w:val="22"/>
                <w:highlight w:val="none"/>
                <w:u w:val="single"/>
                <w:lang w:val="en-US" w:eastAsia="zh-CN" w:bidi="ar-SA"/>
              </w:rPr>
              <w:t xml:space="preserve">             </w:t>
            </w:r>
          </w:p>
          <w:p w14:paraId="7439938B">
            <w:pPr>
              <w:widowControl w:val="0"/>
              <w:wordWrap w:val="0"/>
              <w:spacing w:line="400" w:lineRule="exact"/>
              <w:ind w:firstLine="412" w:firstLineChars="200"/>
              <w:jc w:val="right"/>
              <w:rPr>
                <w:rFonts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bl>
    <w:p w14:paraId="7B44FCBB">
      <w:pPr>
        <w:keepNext w:val="0"/>
        <w:keepLines w:val="0"/>
        <w:pageBreakBefore w:val="0"/>
        <w:widowControl w:val="0"/>
        <w:kinsoku/>
        <w:wordWrap/>
        <w:overflowPunct/>
        <w:topLinePunct w:val="0"/>
        <w:autoSpaceDE/>
        <w:autoSpaceDN/>
        <w:bidi w:val="0"/>
        <w:adjustRightInd/>
        <w:snapToGrid/>
        <w:ind w:left="0" w:right="0" w:firstLine="352" w:firstLineChars="20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注：1.在选择栏中的“□”内作标识“√”。 如监理人已退场，监理工程师栏可空缺。</w:t>
      </w:r>
    </w:p>
    <w:p w14:paraId="4FD67AD3">
      <w:pPr>
        <w:keepNext w:val="0"/>
        <w:keepLines w:val="0"/>
        <w:pageBreakBefore w:val="0"/>
        <w:widowControl w:val="0"/>
        <w:kinsoku/>
        <w:wordWrap/>
        <w:overflowPunct/>
        <w:topLinePunct w:val="0"/>
        <w:autoSpaceDE/>
        <w:autoSpaceDN/>
        <w:bidi w:val="0"/>
        <w:adjustRightInd/>
        <w:snapToGrid/>
        <w:ind w:left="0" w:right="0" w:firstLine="352" w:firstLineChars="20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    2.本表一式四份，由承包人填报，发包人、监理人、造价咨询人、承包人各存一份。</w:t>
      </w:r>
    </w:p>
    <w:p w14:paraId="03139E3D">
      <w:pPr>
        <w:widowControl w:val="0"/>
        <w:spacing w:line="360" w:lineRule="auto"/>
        <w:ind w:firstLine="412" w:firstLineChars="200"/>
        <w:jc w:val="left"/>
        <w:rPr>
          <w:rFonts w:ascii="宋体" w:hAnsi="宋体" w:eastAsia="宋体" w:cs="宋体"/>
          <w:color w:val="auto"/>
          <w:kern w:val="2"/>
          <w:sz w:val="21"/>
          <w:szCs w:val="22"/>
          <w:highlight w:val="none"/>
          <w:u w:val="single"/>
          <w:lang w:val="en-US" w:eastAsia="zh-CN" w:bidi="ar-SA"/>
        </w:rPr>
      </w:pPr>
    </w:p>
    <w:p w14:paraId="58B5E24D">
      <w:pPr>
        <w:widowControl w:val="0"/>
        <w:spacing w:line="360" w:lineRule="auto"/>
        <w:jc w:val="both"/>
        <w:rPr>
          <w:rFonts w:hint="eastAsia" w:ascii="宋体" w:hAnsi="宋体" w:eastAsia="宋体" w:cs="宋体"/>
          <w:color w:val="auto"/>
          <w:kern w:val="0"/>
          <w:sz w:val="36"/>
          <w:szCs w:val="36"/>
          <w:highlight w:val="none"/>
          <w:lang w:val="en-US" w:eastAsia="zh-CN" w:bidi="ar-SA"/>
        </w:rPr>
      </w:pPr>
      <w:r>
        <w:rPr>
          <w:rFonts w:hint="eastAsia" w:ascii="宋体" w:hAnsi="宋体" w:eastAsia="宋体" w:cs="宋体"/>
          <w:color w:val="auto"/>
          <w:kern w:val="2"/>
          <w:sz w:val="30"/>
          <w:szCs w:val="30"/>
          <w:highlight w:val="none"/>
          <w:lang w:val="en-US" w:eastAsia="zh-CN" w:bidi="ar-SA"/>
        </w:rPr>
        <w:t>附件12：</w:t>
      </w:r>
    </w:p>
    <w:p w14:paraId="46C4ADAD">
      <w:pPr>
        <w:widowControl w:val="0"/>
        <w:spacing w:line="360" w:lineRule="auto"/>
        <w:jc w:val="center"/>
        <w:rPr>
          <w:rFonts w:ascii="宋体" w:hAnsi="宋体" w:eastAsia="宋体" w:cs="宋体"/>
          <w:color w:val="auto"/>
          <w:kern w:val="0"/>
          <w:sz w:val="36"/>
          <w:szCs w:val="36"/>
          <w:highlight w:val="none"/>
          <w:lang w:val="en-US" w:eastAsia="zh-CN" w:bidi="ar-SA"/>
        </w:rPr>
      </w:pPr>
      <w:r>
        <w:rPr>
          <w:rFonts w:hint="eastAsia" w:ascii="宋体" w:hAnsi="宋体" w:eastAsia="宋体" w:cs="宋体"/>
          <w:color w:val="auto"/>
          <w:kern w:val="0"/>
          <w:sz w:val="36"/>
          <w:szCs w:val="36"/>
          <w:highlight w:val="none"/>
          <w:lang w:val="en-US" w:eastAsia="zh-CN" w:bidi="ar-SA"/>
        </w:rPr>
        <w:t>总价合同进度款支付分解表</w:t>
      </w:r>
    </w:p>
    <w:p w14:paraId="4703A2D5">
      <w:pPr>
        <w:widowControl w:val="0"/>
        <w:spacing w:line="360" w:lineRule="auto"/>
        <w:jc w:val="both"/>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工程名称：</w:t>
      </w:r>
    </w:p>
    <w:tbl>
      <w:tblPr>
        <w:tblStyle w:val="28"/>
        <w:tblW w:w="876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200"/>
        <w:gridCol w:w="2862"/>
        <w:gridCol w:w="1285"/>
      </w:tblGrid>
      <w:tr w14:paraId="13F2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04C25B3">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进度款期次</w:t>
            </w:r>
          </w:p>
        </w:tc>
        <w:tc>
          <w:tcPr>
            <w:tcW w:w="3200" w:type="dxa"/>
            <w:noWrap w:val="0"/>
            <w:vAlign w:val="top"/>
          </w:tcPr>
          <w:p w14:paraId="419B03AC">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形象进度</w:t>
            </w:r>
          </w:p>
        </w:tc>
        <w:tc>
          <w:tcPr>
            <w:tcW w:w="2862" w:type="dxa"/>
            <w:noWrap w:val="0"/>
            <w:vAlign w:val="top"/>
          </w:tcPr>
          <w:p w14:paraId="2100F3F5">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进度款付款金额（元）</w:t>
            </w:r>
          </w:p>
        </w:tc>
        <w:tc>
          <w:tcPr>
            <w:tcW w:w="1285" w:type="dxa"/>
            <w:noWrap w:val="0"/>
            <w:vAlign w:val="top"/>
          </w:tcPr>
          <w:p w14:paraId="0F5637F8">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备注</w:t>
            </w:r>
          </w:p>
        </w:tc>
      </w:tr>
      <w:tr w14:paraId="05F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9691E5F">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第一期</w:t>
            </w:r>
          </w:p>
        </w:tc>
        <w:tc>
          <w:tcPr>
            <w:tcW w:w="3200" w:type="dxa"/>
            <w:noWrap w:val="0"/>
            <w:vAlign w:val="top"/>
          </w:tcPr>
          <w:p w14:paraId="28327A41">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2862" w:type="dxa"/>
            <w:noWrap w:val="0"/>
            <w:vAlign w:val="top"/>
          </w:tcPr>
          <w:p w14:paraId="452B0C57">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1285" w:type="dxa"/>
            <w:noWrap w:val="0"/>
            <w:vAlign w:val="top"/>
          </w:tcPr>
          <w:p w14:paraId="152954C1">
            <w:pPr>
              <w:widowControl w:val="0"/>
              <w:spacing w:line="360" w:lineRule="auto"/>
              <w:jc w:val="center"/>
              <w:rPr>
                <w:rFonts w:ascii="宋体" w:hAnsi="宋体" w:eastAsia="宋体" w:cs="宋体"/>
                <w:color w:val="auto"/>
                <w:kern w:val="0"/>
                <w:sz w:val="21"/>
                <w:szCs w:val="22"/>
                <w:highlight w:val="none"/>
                <w:lang w:val="en-US" w:eastAsia="zh-CN" w:bidi="ar-SA"/>
              </w:rPr>
            </w:pPr>
          </w:p>
        </w:tc>
      </w:tr>
      <w:tr w14:paraId="55AB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EF08BC3">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第二期</w:t>
            </w:r>
          </w:p>
        </w:tc>
        <w:tc>
          <w:tcPr>
            <w:tcW w:w="3200" w:type="dxa"/>
            <w:noWrap w:val="0"/>
            <w:vAlign w:val="top"/>
          </w:tcPr>
          <w:p w14:paraId="40543E76">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2862" w:type="dxa"/>
            <w:noWrap w:val="0"/>
            <w:vAlign w:val="top"/>
          </w:tcPr>
          <w:p w14:paraId="41CAAF85">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1285" w:type="dxa"/>
            <w:noWrap w:val="0"/>
            <w:vAlign w:val="top"/>
          </w:tcPr>
          <w:p w14:paraId="3343463A">
            <w:pPr>
              <w:widowControl w:val="0"/>
              <w:spacing w:line="360" w:lineRule="auto"/>
              <w:jc w:val="center"/>
              <w:rPr>
                <w:rFonts w:ascii="宋体" w:hAnsi="宋体" w:eastAsia="宋体" w:cs="宋体"/>
                <w:color w:val="auto"/>
                <w:kern w:val="0"/>
                <w:sz w:val="21"/>
                <w:szCs w:val="22"/>
                <w:highlight w:val="none"/>
                <w:lang w:val="en-US" w:eastAsia="zh-CN" w:bidi="ar-SA"/>
              </w:rPr>
            </w:pPr>
          </w:p>
        </w:tc>
      </w:tr>
      <w:tr w14:paraId="2F7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ABB2AA1">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第三期</w:t>
            </w:r>
          </w:p>
        </w:tc>
        <w:tc>
          <w:tcPr>
            <w:tcW w:w="3200" w:type="dxa"/>
            <w:noWrap w:val="0"/>
            <w:vAlign w:val="top"/>
          </w:tcPr>
          <w:p w14:paraId="089A363E">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2862" w:type="dxa"/>
            <w:noWrap w:val="0"/>
            <w:vAlign w:val="top"/>
          </w:tcPr>
          <w:p w14:paraId="7ABF447C">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1285" w:type="dxa"/>
            <w:noWrap w:val="0"/>
            <w:vAlign w:val="top"/>
          </w:tcPr>
          <w:p w14:paraId="04D0D04B">
            <w:pPr>
              <w:widowControl w:val="0"/>
              <w:spacing w:line="360" w:lineRule="auto"/>
              <w:jc w:val="center"/>
              <w:rPr>
                <w:rFonts w:ascii="宋体" w:hAnsi="宋体" w:eastAsia="宋体" w:cs="宋体"/>
                <w:color w:val="auto"/>
                <w:kern w:val="0"/>
                <w:sz w:val="21"/>
                <w:szCs w:val="22"/>
                <w:highlight w:val="none"/>
                <w:lang w:val="en-US" w:eastAsia="zh-CN" w:bidi="ar-SA"/>
              </w:rPr>
            </w:pPr>
          </w:p>
        </w:tc>
      </w:tr>
      <w:tr w14:paraId="3422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3336E8F">
            <w:pPr>
              <w:widowControl w:val="0"/>
              <w:spacing w:line="360" w:lineRule="auto"/>
              <w:jc w:val="center"/>
              <w:rPr>
                <w:rFonts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w:t>
            </w:r>
          </w:p>
        </w:tc>
        <w:tc>
          <w:tcPr>
            <w:tcW w:w="3200" w:type="dxa"/>
            <w:noWrap w:val="0"/>
            <w:vAlign w:val="top"/>
          </w:tcPr>
          <w:p w14:paraId="1C362E60">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2862" w:type="dxa"/>
            <w:noWrap w:val="0"/>
            <w:vAlign w:val="top"/>
          </w:tcPr>
          <w:p w14:paraId="1658B072">
            <w:pPr>
              <w:widowControl w:val="0"/>
              <w:spacing w:line="360" w:lineRule="auto"/>
              <w:jc w:val="center"/>
              <w:rPr>
                <w:rFonts w:ascii="宋体" w:hAnsi="宋体" w:eastAsia="宋体" w:cs="宋体"/>
                <w:color w:val="auto"/>
                <w:kern w:val="0"/>
                <w:sz w:val="21"/>
                <w:szCs w:val="22"/>
                <w:highlight w:val="none"/>
                <w:lang w:val="en-US" w:eastAsia="zh-CN" w:bidi="ar-SA"/>
              </w:rPr>
            </w:pPr>
          </w:p>
        </w:tc>
        <w:tc>
          <w:tcPr>
            <w:tcW w:w="1285" w:type="dxa"/>
            <w:noWrap w:val="0"/>
            <w:vAlign w:val="top"/>
          </w:tcPr>
          <w:p w14:paraId="6A21F20F">
            <w:pPr>
              <w:widowControl w:val="0"/>
              <w:spacing w:line="360" w:lineRule="auto"/>
              <w:jc w:val="center"/>
              <w:rPr>
                <w:rFonts w:ascii="宋体" w:hAnsi="宋体" w:eastAsia="宋体" w:cs="宋体"/>
                <w:color w:val="auto"/>
                <w:kern w:val="0"/>
                <w:sz w:val="21"/>
                <w:szCs w:val="22"/>
                <w:highlight w:val="none"/>
                <w:lang w:val="en-US" w:eastAsia="zh-CN" w:bidi="ar-SA"/>
              </w:rPr>
            </w:pPr>
          </w:p>
        </w:tc>
      </w:tr>
      <w:tr w14:paraId="009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617" w:type="dxa"/>
            <w:gridSpan w:val="2"/>
            <w:noWrap w:val="0"/>
            <w:vAlign w:val="top"/>
          </w:tcPr>
          <w:p w14:paraId="48F3CAE5">
            <w:pPr>
              <w:widowControl w:val="0"/>
              <w:spacing w:line="360" w:lineRule="exact"/>
              <w:ind w:firstLine="435"/>
              <w:jc w:val="right"/>
              <w:rPr>
                <w:rFonts w:ascii="宋体" w:hAnsi="宋体" w:eastAsia="宋体" w:cs="宋体"/>
                <w:color w:val="auto"/>
                <w:kern w:val="2"/>
                <w:sz w:val="21"/>
                <w:szCs w:val="22"/>
                <w:highlight w:val="none"/>
                <w:lang w:val="en-US" w:eastAsia="zh-CN" w:bidi="ar-SA"/>
              </w:rPr>
            </w:pPr>
          </w:p>
          <w:p w14:paraId="6521A7BE">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0E300E8B">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发包人代表签字：</w:t>
            </w:r>
          </w:p>
          <w:p w14:paraId="65E604C8">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617DBA0F">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发包人（盖公章）</w:t>
            </w:r>
          </w:p>
          <w:p w14:paraId="3DDEB54C">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769E4762">
            <w:pPr>
              <w:widowControl w:val="0"/>
              <w:spacing w:line="360" w:lineRule="exact"/>
              <w:ind w:firstLine="1648" w:firstLineChars="800"/>
              <w:jc w:val="both"/>
              <w:rPr>
                <w:rFonts w:hint="default"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c>
          <w:tcPr>
            <w:tcW w:w="4147" w:type="dxa"/>
            <w:gridSpan w:val="2"/>
            <w:noWrap w:val="0"/>
            <w:vAlign w:val="top"/>
          </w:tcPr>
          <w:p w14:paraId="052936A4">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6C4DD67F">
            <w:pPr>
              <w:widowControl w:val="0"/>
              <w:spacing w:line="360" w:lineRule="exact"/>
              <w:ind w:firstLine="435"/>
              <w:jc w:val="center"/>
              <w:rPr>
                <w:rFonts w:ascii="宋体" w:hAnsi="宋体" w:eastAsia="宋体" w:cs="宋体"/>
                <w:color w:val="auto"/>
                <w:kern w:val="2"/>
                <w:sz w:val="21"/>
                <w:szCs w:val="22"/>
                <w:highlight w:val="none"/>
                <w:u w:val="single"/>
                <w:lang w:val="en-US" w:eastAsia="zh-CN" w:bidi="ar-SA"/>
              </w:rPr>
            </w:pPr>
          </w:p>
          <w:p w14:paraId="76752F94">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承包人代表签字：</w:t>
            </w:r>
          </w:p>
          <w:p w14:paraId="0903AE3F">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4E1393F3">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承包人（盖公章）</w:t>
            </w:r>
          </w:p>
          <w:p w14:paraId="640E1F4D">
            <w:pPr>
              <w:widowControl w:val="0"/>
              <w:spacing w:line="360" w:lineRule="exact"/>
              <w:ind w:firstLine="435"/>
              <w:jc w:val="center"/>
              <w:rPr>
                <w:rFonts w:ascii="宋体" w:hAnsi="宋体" w:eastAsia="宋体" w:cs="宋体"/>
                <w:color w:val="auto"/>
                <w:kern w:val="2"/>
                <w:sz w:val="21"/>
                <w:szCs w:val="22"/>
                <w:highlight w:val="none"/>
                <w:lang w:val="en-US" w:eastAsia="zh-CN" w:bidi="ar-SA"/>
              </w:rPr>
            </w:pPr>
          </w:p>
          <w:p w14:paraId="253E693D">
            <w:pPr>
              <w:widowControl w:val="0"/>
              <w:spacing w:line="360" w:lineRule="exact"/>
              <w:ind w:firstLine="1442" w:firstLineChars="700"/>
              <w:jc w:val="both"/>
              <w:rPr>
                <w:rFonts w:hint="default" w:ascii="宋体" w:hAnsi="宋体" w:eastAsia="宋体" w:cs="宋体"/>
                <w:color w:val="auto"/>
                <w:kern w:val="2"/>
                <w:sz w:val="21"/>
                <w:szCs w:val="22"/>
                <w:highlight w:val="none"/>
                <w:u w:val="single"/>
                <w:lang w:val="en-US" w:eastAsia="zh-CN" w:bidi="ar-SA"/>
              </w:rPr>
            </w:pPr>
            <w:r>
              <w:rPr>
                <w:rFonts w:hint="eastAsia" w:ascii="宋体" w:hAnsi="宋体" w:eastAsia="宋体" w:cs="宋体"/>
                <w:color w:val="auto"/>
                <w:kern w:val="2"/>
                <w:sz w:val="21"/>
                <w:szCs w:val="22"/>
                <w:highlight w:val="none"/>
                <w:lang w:val="en-US" w:eastAsia="zh-CN" w:bidi="ar-SA"/>
              </w:rPr>
              <w:t>日  期</w:t>
            </w:r>
            <w:r>
              <w:rPr>
                <w:rFonts w:hint="eastAsia" w:ascii="宋体" w:hAnsi="宋体" w:eastAsia="宋体" w:cs="宋体"/>
                <w:color w:val="auto"/>
                <w:kern w:val="2"/>
                <w:sz w:val="21"/>
                <w:szCs w:val="22"/>
                <w:highlight w:val="none"/>
                <w:u w:val="single"/>
                <w:lang w:val="en-US" w:eastAsia="zh-CN" w:bidi="ar-SA"/>
              </w:rPr>
              <w:t xml:space="preserve">          </w:t>
            </w:r>
          </w:p>
        </w:tc>
      </w:tr>
    </w:tbl>
    <w:p w14:paraId="0047CD5D">
      <w:pPr>
        <w:widowControl w:val="0"/>
        <w:spacing w:line="320" w:lineRule="exact"/>
        <w:jc w:val="both"/>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br w:type="page"/>
      </w:r>
      <w:r>
        <w:rPr>
          <w:rFonts w:hint="eastAsia" w:ascii="宋体" w:hAnsi="宋体" w:eastAsia="宋体" w:cs="宋体"/>
          <w:color w:val="auto"/>
          <w:kern w:val="2"/>
          <w:sz w:val="30"/>
          <w:szCs w:val="30"/>
          <w:highlight w:val="none"/>
          <w:lang w:val="en-US" w:eastAsia="zh-CN" w:bidi="ar-SA"/>
        </w:rPr>
        <w:t>附件13：</w:t>
      </w:r>
    </w:p>
    <w:p w14:paraId="16148662">
      <w:pPr>
        <w:widowControl w:val="0"/>
        <w:spacing w:line="320" w:lineRule="exact"/>
        <w:jc w:val="center"/>
        <w:rPr>
          <w:rFonts w:hint="eastAsia" w:ascii="宋体" w:hAnsi="宋体" w:eastAsia="宋体" w:cs="宋体"/>
          <w:b/>
          <w:bCs/>
          <w:color w:val="auto"/>
          <w:kern w:val="2"/>
          <w:sz w:val="24"/>
          <w:szCs w:val="21"/>
          <w:highlight w:val="none"/>
          <w:lang w:val="en-US" w:eastAsia="zh-CN" w:bidi="ar-SA"/>
        </w:rPr>
      </w:pPr>
    </w:p>
    <w:p w14:paraId="36C54211">
      <w:pPr>
        <w:widowControl w:val="0"/>
        <w:spacing w:line="320" w:lineRule="exact"/>
        <w:jc w:val="center"/>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广西壮族自治区政府采购项目合同验收书（格式）</w:t>
      </w:r>
    </w:p>
    <w:p w14:paraId="753E22F2">
      <w:pPr>
        <w:snapToGrid w:val="0"/>
        <w:spacing w:before="100" w:beforeAutospacing="1" w:after="100" w:afterAutospacing="1" w:line="320" w:lineRule="exact"/>
        <w:ind w:left="-352" w:leftChars="-171"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根据政府采购项目（</w:t>
      </w:r>
      <w:r>
        <w:rPr>
          <w:rFonts w:hint="eastAsia" w:ascii="宋体" w:hAnsi="宋体" w:eastAsia="宋体" w:cs="宋体"/>
          <w:color w:val="auto"/>
          <w:szCs w:val="21"/>
          <w:highlight w:val="none"/>
          <w:u w:val="single"/>
        </w:rPr>
        <w:t>采购合同编号：</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）的约定，我单位对（</w:t>
      </w:r>
      <w:r>
        <w:rPr>
          <w:rFonts w:hint="eastAsia" w:ascii="宋体" w:hAnsi="宋体" w:eastAsia="宋体" w:cs="宋体"/>
          <w:color w:val="auto"/>
          <w:szCs w:val="21"/>
          <w:highlight w:val="none"/>
          <w:u w:val="single"/>
        </w:rPr>
        <w:t xml:space="preserve">  项目名称   ）       </w:t>
      </w:r>
      <w:r>
        <w:rPr>
          <w:rFonts w:hint="eastAsia" w:ascii="宋体" w:hAnsi="宋体" w:eastAsia="宋体" w:cs="宋体"/>
          <w:color w:val="auto"/>
          <w:szCs w:val="21"/>
          <w:highlight w:val="none"/>
        </w:rPr>
        <w:t>政府采购项目中标（或成交）供应商</w:t>
      </w:r>
      <w:r>
        <w:rPr>
          <w:rFonts w:hint="eastAsia" w:ascii="宋体" w:hAnsi="宋体" w:eastAsia="宋体" w:cs="宋体"/>
          <w:color w:val="auto"/>
          <w:szCs w:val="21"/>
          <w:highlight w:val="none"/>
          <w:u w:val="single"/>
        </w:rPr>
        <w:t xml:space="preserve">（            公司名称              ）       </w:t>
      </w:r>
      <w:r>
        <w:rPr>
          <w:rFonts w:hint="eastAsia" w:ascii="宋体" w:hAnsi="宋体" w:eastAsia="宋体" w:cs="宋体"/>
          <w:color w:val="auto"/>
          <w:szCs w:val="21"/>
          <w:highlight w:val="none"/>
        </w:rPr>
        <w:t>提供的货物（或工程、服务）进行了验收，验收情况如下：</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4F023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025FEEC0">
            <w:pPr>
              <w:snapToGrid w:val="0"/>
              <w:spacing w:before="100" w:beforeAutospacing="1" w:after="100" w:afterAutospacing="1" w:line="320" w:lineRule="exact"/>
              <w:ind w:left="-3" w:firstLine="4" w:firstLineChars="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2BD7E276">
            <w:pPr>
              <w:snapToGrid w:val="0"/>
              <w:spacing w:before="100" w:beforeAutospacing="1" w:after="100" w:afterAutospacing="1" w:line="320" w:lineRule="exact"/>
              <w:ind w:left="-3" w:firstLine="412"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14:paraId="7EE2F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91DE31E">
            <w:pPr>
              <w:snapToGrid w:val="0"/>
              <w:spacing w:before="100" w:beforeAutospacing="1" w:after="100" w:afterAutospacing="1" w:line="320" w:lineRule="exact"/>
              <w:ind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E4E939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1690AF28">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7339FC4">
            <w:pPr>
              <w:snapToGrid w:val="0"/>
              <w:spacing w:before="100" w:beforeAutospacing="1" w:after="100" w:afterAutospacing="1"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2721CC5">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tc>
      </w:tr>
      <w:tr w14:paraId="34556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AF1AD76">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068E5E6F">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7C68359C">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7CDBBAD">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C8C598">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7B56A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7D6A08A">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4EF1253F">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75381E7F">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302660CA">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9305997">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8794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1CA22C4">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9ED086E">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1D39075D">
            <w:pPr>
              <w:snapToGrid w:val="0"/>
              <w:spacing w:before="100" w:beforeAutospacing="1" w:after="100" w:afterAutospacing="1" w:line="320" w:lineRule="exact"/>
              <w:ind w:left="-3"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0F7521C">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0BF197C9">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D003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1F437A71">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8CE1C03">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269FD390">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7DE0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4CB90D14">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14:paraId="33D95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E4E2FA4">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5636E26C">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141DFD82">
            <w:pPr>
              <w:snapToGrid w:val="0"/>
              <w:spacing w:before="100" w:beforeAutospacing="1" w:after="100" w:afterAutospacing="1" w:line="320" w:lineRule="exact"/>
              <w:ind w:firstLine="39" w:firstLine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4884F819">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p>
        </w:tc>
      </w:tr>
      <w:tr w14:paraId="2A1C8F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D2F2D3D">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5896FD98">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BB5B761">
            <w:pPr>
              <w:snapToGrid w:val="0"/>
              <w:spacing w:before="100" w:beforeAutospacing="1" w:after="100" w:afterAutospacing="1" w:line="320" w:lineRule="exact"/>
              <w:ind w:left="590" w:firstLine="412" w:firstLineChars="200"/>
              <w:jc w:val="left"/>
              <w:rPr>
                <w:rFonts w:hint="eastAsia" w:ascii="宋体" w:hAnsi="宋体" w:eastAsia="宋体" w:cs="宋体"/>
                <w:color w:val="auto"/>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43D65A1A">
            <w:pPr>
              <w:snapToGrid w:val="0"/>
              <w:spacing w:before="100" w:beforeAutospacing="1" w:after="100" w:afterAutospacing="1" w:line="320" w:lineRule="exact"/>
              <w:ind w:firstLine="412" w:firstLineChars="200"/>
              <w:jc w:val="left"/>
              <w:rPr>
                <w:rFonts w:hint="eastAsia" w:ascii="宋体" w:hAnsi="宋体" w:eastAsia="宋体" w:cs="宋体"/>
                <w:color w:val="auto"/>
                <w:szCs w:val="21"/>
                <w:highlight w:val="none"/>
              </w:rPr>
            </w:pPr>
          </w:p>
        </w:tc>
      </w:tr>
      <w:tr w14:paraId="07FA8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4B5A0B">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CE5AAC">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响应文件及验收方案等进行验收；并核对中标或者成交人在安装调试等方面是否违反合同约定或服务规范要求、提供的质量保证证明材料是否齐全、应有的配件及附件是否达到合同约定等。可附件)</w:t>
            </w:r>
          </w:p>
        </w:tc>
      </w:tr>
      <w:tr w14:paraId="41BDB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E9041D">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574C63C1">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验收结论性意见：</w:t>
            </w:r>
          </w:p>
          <w:p w14:paraId="0D98869F">
            <w:pPr>
              <w:spacing w:before="100" w:beforeAutospacing="1" w:after="100" w:afterAutospacing="1" w:line="320" w:lineRule="exact"/>
              <w:jc w:val="left"/>
              <w:rPr>
                <w:rFonts w:hint="eastAsia" w:ascii="宋体" w:hAnsi="宋体" w:eastAsia="宋体" w:cs="宋体"/>
                <w:color w:val="auto"/>
                <w:szCs w:val="21"/>
                <w:highlight w:val="none"/>
              </w:rPr>
            </w:pPr>
          </w:p>
        </w:tc>
      </w:tr>
      <w:tr w14:paraId="3028BB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42CF62B6">
            <w:pPr>
              <w:spacing w:line="320" w:lineRule="exact"/>
              <w:jc w:val="left"/>
              <w:rPr>
                <w:rFonts w:hint="eastAsia" w:ascii="宋体" w:hAnsi="宋体" w:eastAsia="宋体" w:cs="宋体"/>
                <w:color w:val="auto"/>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2E26533B">
            <w:pPr>
              <w:spacing w:before="100" w:beforeAutospacing="1" w:after="100" w:afterAutospacing="1" w:line="320" w:lineRule="exact"/>
              <w:ind w:firstLine="83" w:firstLineChars="4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504247E7">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签字：</w:t>
            </w:r>
          </w:p>
        </w:tc>
      </w:tr>
      <w:tr w14:paraId="7E6DD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47C1F5">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33C0A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2A3673">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14:paraId="54D9A363">
            <w:pPr>
              <w:spacing w:before="100" w:beforeAutospacing="1" w:after="100" w:afterAutospacing="1" w:line="320" w:lineRule="exact"/>
              <w:ind w:firstLine="64" w:firstLineChars="3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14:paraId="4F147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6C7E6D4B">
            <w:pPr>
              <w:spacing w:before="100" w:beforeAutospacing="1" w:after="100" w:afterAutospacing="1" w:line="320" w:lineRule="exact"/>
              <w:ind w:firstLine="64" w:firstLineChars="3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中标或者成交人负责人签字或盖章：</w:t>
            </w:r>
          </w:p>
          <w:p w14:paraId="59BACB5A">
            <w:pPr>
              <w:spacing w:before="100" w:beforeAutospacing="1" w:after="100" w:afterAutospacing="1" w:line="320" w:lineRule="exact"/>
              <w:jc w:val="left"/>
              <w:rPr>
                <w:rFonts w:hint="eastAsia" w:ascii="宋体" w:hAnsi="宋体" w:eastAsia="宋体" w:cs="宋体"/>
                <w:color w:val="auto"/>
                <w:szCs w:val="21"/>
                <w:highlight w:val="none"/>
              </w:rPr>
            </w:pPr>
          </w:p>
          <w:p w14:paraId="72B019DE">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37C3565E">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采购人或受托机构的意见（盖章）：</w:t>
            </w:r>
          </w:p>
          <w:p w14:paraId="1A2FCE67">
            <w:pPr>
              <w:spacing w:before="100" w:beforeAutospacing="1" w:after="100" w:afterAutospacing="1" w:line="320" w:lineRule="exact"/>
              <w:jc w:val="left"/>
              <w:rPr>
                <w:rFonts w:hint="eastAsia" w:ascii="宋体" w:hAnsi="宋体" w:eastAsia="宋体" w:cs="宋体"/>
                <w:color w:val="auto"/>
                <w:szCs w:val="21"/>
                <w:highlight w:val="none"/>
              </w:rPr>
            </w:pPr>
          </w:p>
          <w:p w14:paraId="79BF3E40">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14:paraId="6BF212F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3002D73A">
      <w:pPr>
        <w:jc w:val="center"/>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政府采购项目履约保证金退付意见书（格式）</w:t>
      </w:r>
    </w:p>
    <w:tbl>
      <w:tblPr>
        <w:tblStyle w:val="2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91"/>
        <w:gridCol w:w="3309"/>
        <w:gridCol w:w="1725"/>
        <w:gridCol w:w="2684"/>
      </w:tblGrid>
      <w:tr w14:paraId="59E8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85" w:type="dxa"/>
            <w:gridSpan w:val="5"/>
            <w:noWrap w:val="0"/>
            <w:vAlign w:val="center"/>
          </w:tcPr>
          <w:p w14:paraId="4687CAE2">
            <w:pPr>
              <w:keepNext w:val="0"/>
              <w:keepLines w:val="0"/>
              <w:pageBreakBefore w:val="0"/>
              <w:widowControl w:val="0"/>
              <w:kinsoku/>
              <w:wordWrap/>
              <w:overflowPunct/>
              <w:topLinePunct w:val="0"/>
              <w:autoSpaceDE/>
              <w:autoSpaceDN/>
              <w:bidi w:val="0"/>
              <w:adjustRightInd/>
              <w:snapToGrid/>
              <w:spacing w:line="360" w:lineRule="auto"/>
              <w:ind w:firstLine="206" w:firstLineChars="1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w:t>
            </w:r>
          </w:p>
        </w:tc>
      </w:tr>
      <w:tr w14:paraId="557E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7" w:type="dxa"/>
            <w:gridSpan w:val="2"/>
            <w:noWrap w:val="0"/>
            <w:vAlign w:val="center"/>
          </w:tcPr>
          <w:p w14:paraId="533926C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w:t>
            </w:r>
          </w:p>
        </w:tc>
        <w:tc>
          <w:tcPr>
            <w:tcW w:w="3309" w:type="dxa"/>
            <w:noWrap w:val="0"/>
            <w:vAlign w:val="center"/>
          </w:tcPr>
          <w:p w14:paraId="7D6093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p>
        </w:tc>
        <w:tc>
          <w:tcPr>
            <w:tcW w:w="1725" w:type="dxa"/>
            <w:noWrap w:val="0"/>
            <w:vAlign w:val="center"/>
          </w:tcPr>
          <w:p w14:paraId="04B2A4A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标的名称</w:t>
            </w:r>
          </w:p>
        </w:tc>
        <w:tc>
          <w:tcPr>
            <w:tcW w:w="2684" w:type="dxa"/>
            <w:noWrap w:val="0"/>
            <w:vAlign w:val="center"/>
          </w:tcPr>
          <w:p w14:paraId="1B20077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p>
        </w:tc>
      </w:tr>
      <w:tr w14:paraId="7912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7" w:type="dxa"/>
            <w:gridSpan w:val="2"/>
            <w:noWrap w:val="0"/>
            <w:vAlign w:val="center"/>
          </w:tcPr>
          <w:p w14:paraId="4703F90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合同签订日期</w:t>
            </w:r>
          </w:p>
        </w:tc>
        <w:tc>
          <w:tcPr>
            <w:tcW w:w="3309" w:type="dxa"/>
            <w:noWrap w:val="0"/>
            <w:vAlign w:val="center"/>
          </w:tcPr>
          <w:p w14:paraId="3A0BEEB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1725" w:type="dxa"/>
            <w:noWrap w:val="0"/>
            <w:vAlign w:val="center"/>
          </w:tcPr>
          <w:p w14:paraId="791AAFB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履约保证金金额</w:t>
            </w:r>
          </w:p>
        </w:tc>
        <w:tc>
          <w:tcPr>
            <w:tcW w:w="2684" w:type="dxa"/>
            <w:noWrap w:val="0"/>
            <w:vAlign w:val="center"/>
          </w:tcPr>
          <w:p w14:paraId="2A33C27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p>
        </w:tc>
      </w:tr>
      <w:tr w14:paraId="0F65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7" w:type="dxa"/>
            <w:gridSpan w:val="2"/>
            <w:noWrap w:val="0"/>
            <w:vAlign w:val="center"/>
          </w:tcPr>
          <w:p w14:paraId="6358262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验收日期</w:t>
            </w:r>
          </w:p>
        </w:tc>
        <w:tc>
          <w:tcPr>
            <w:tcW w:w="3309" w:type="dxa"/>
            <w:noWrap w:val="0"/>
            <w:vAlign w:val="center"/>
          </w:tcPr>
          <w:p w14:paraId="11458A5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1725" w:type="dxa"/>
            <w:noWrap w:val="0"/>
            <w:vAlign w:val="center"/>
          </w:tcPr>
          <w:p w14:paraId="53630B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约定退还期限</w:t>
            </w:r>
          </w:p>
        </w:tc>
        <w:tc>
          <w:tcPr>
            <w:tcW w:w="2684" w:type="dxa"/>
            <w:noWrap w:val="0"/>
            <w:vAlign w:val="center"/>
          </w:tcPr>
          <w:p w14:paraId="0B3E8F4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p>
        </w:tc>
      </w:tr>
      <w:tr w14:paraId="69EC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7" w:type="dxa"/>
            <w:gridSpan w:val="2"/>
            <w:noWrap w:val="0"/>
            <w:vAlign w:val="center"/>
          </w:tcPr>
          <w:p w14:paraId="3D919C4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应退金额</w:t>
            </w:r>
          </w:p>
        </w:tc>
        <w:tc>
          <w:tcPr>
            <w:tcW w:w="7718" w:type="dxa"/>
            <w:gridSpan w:val="3"/>
            <w:noWrap w:val="0"/>
            <w:vAlign w:val="center"/>
          </w:tcPr>
          <w:p w14:paraId="00005806">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大</w:t>
            </w:r>
            <w:r>
              <w:rPr>
                <w:rFonts w:hint="eastAsia" w:ascii="宋体" w:hAnsi="宋体" w:eastAsia="宋体" w:cs="宋体"/>
                <w:color w:val="auto"/>
                <w:sz w:val="21"/>
                <w:szCs w:val="21"/>
              </w:rPr>
              <w:t>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tc>
      </w:tr>
      <w:tr w14:paraId="6FF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6" w:type="dxa"/>
            <w:vMerge w:val="restart"/>
            <w:noWrap w:val="0"/>
            <w:vAlign w:val="center"/>
          </w:tcPr>
          <w:p w14:paraId="5E1B1CC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甲方单位意见</w:t>
            </w:r>
          </w:p>
        </w:tc>
        <w:tc>
          <w:tcPr>
            <w:tcW w:w="8609" w:type="dxa"/>
            <w:gridSpan w:val="4"/>
            <w:noWrap w:val="0"/>
            <w:vAlign w:val="top"/>
          </w:tcPr>
          <w:p w14:paraId="17F24E9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履约情况：</w:t>
            </w:r>
          </w:p>
          <w:p w14:paraId="273B40B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14:paraId="293E783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项目负责人</w:t>
            </w:r>
            <w:r>
              <w:rPr>
                <w:rFonts w:hint="eastAsia" w:ascii="宋体" w:hAnsi="宋体" w:eastAsia="宋体" w:cs="宋体"/>
                <w:color w:val="auto"/>
                <w:sz w:val="21"/>
                <w:szCs w:val="21"/>
              </w:rPr>
              <w:t>签字：</w:t>
            </w:r>
          </w:p>
        </w:tc>
      </w:tr>
      <w:tr w14:paraId="0B15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6" w:type="dxa"/>
            <w:vMerge w:val="continue"/>
            <w:noWrap w:val="0"/>
            <w:vAlign w:val="center"/>
          </w:tcPr>
          <w:p w14:paraId="28C0CFC3">
            <w:pPr>
              <w:keepNext w:val="0"/>
              <w:keepLines w:val="0"/>
              <w:pageBreakBefore w:val="0"/>
              <w:widowControl w:val="0"/>
              <w:kinsoku/>
              <w:wordWrap/>
              <w:overflowPunct/>
              <w:topLinePunct w:val="0"/>
              <w:autoSpaceDE/>
              <w:autoSpaceDN/>
              <w:bidi w:val="0"/>
              <w:adjustRightInd/>
              <w:snapToGrid/>
              <w:spacing w:line="360" w:lineRule="auto"/>
              <w:ind w:left="0" w:leftChars="0" w:firstLine="4532" w:firstLineChars="2200"/>
              <w:textAlignment w:val="auto"/>
              <w:rPr>
                <w:rFonts w:hint="eastAsia" w:ascii="宋体" w:hAnsi="宋体" w:eastAsia="宋体" w:cs="宋体"/>
                <w:color w:val="auto"/>
                <w:sz w:val="21"/>
                <w:szCs w:val="21"/>
              </w:rPr>
            </w:pPr>
          </w:p>
        </w:tc>
        <w:tc>
          <w:tcPr>
            <w:tcW w:w="8609" w:type="dxa"/>
            <w:gridSpan w:val="4"/>
            <w:noWrap w:val="0"/>
            <w:vAlign w:val="top"/>
          </w:tcPr>
          <w:p w14:paraId="0F90521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单位负责人意见：</w:t>
            </w:r>
          </w:p>
          <w:p w14:paraId="2EA7099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p w14:paraId="12F9B20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单位负责人签字：                      单位（公章）：</w:t>
            </w:r>
          </w:p>
          <w:p w14:paraId="45AABA19">
            <w:pPr>
              <w:keepNext w:val="0"/>
              <w:keepLines w:val="0"/>
              <w:pageBreakBefore w:val="0"/>
              <w:widowControl w:val="0"/>
              <w:kinsoku/>
              <w:wordWrap/>
              <w:overflowPunct/>
              <w:topLinePunct w:val="0"/>
              <w:autoSpaceDE/>
              <w:autoSpaceDN/>
              <w:bidi w:val="0"/>
              <w:adjustRightInd/>
              <w:snapToGrid/>
              <w:spacing w:line="360" w:lineRule="auto"/>
              <w:ind w:left="0" w:leftChars="0" w:firstLine="4540" w:firstLineChars="220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14:paraId="384F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6" w:type="dxa"/>
            <w:noWrap w:val="0"/>
            <w:vAlign w:val="center"/>
          </w:tcPr>
          <w:p w14:paraId="4A19A93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收款人</w:t>
            </w:r>
            <w:r>
              <w:rPr>
                <w:rFonts w:hint="eastAsia" w:ascii="宋体" w:hAnsi="宋体" w:eastAsia="宋体" w:cs="宋体"/>
                <w:color w:val="auto"/>
                <w:sz w:val="21"/>
                <w:szCs w:val="21"/>
              </w:rPr>
              <w:t>信息</w:t>
            </w:r>
          </w:p>
        </w:tc>
        <w:tc>
          <w:tcPr>
            <w:tcW w:w="8609" w:type="dxa"/>
            <w:gridSpan w:val="4"/>
            <w:noWrap w:val="0"/>
            <w:vAlign w:val="top"/>
          </w:tcPr>
          <w:p w14:paraId="21B0907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 位  名 称：</w:t>
            </w:r>
          </w:p>
          <w:p w14:paraId="112CCA5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纳税人识别号：</w:t>
            </w:r>
          </w:p>
          <w:p w14:paraId="1B500C3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址、电 话：</w:t>
            </w:r>
          </w:p>
          <w:p w14:paraId="5E379B8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开户行及账号：</w:t>
            </w:r>
          </w:p>
          <w:p w14:paraId="2CCCDB1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78EDABE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人：                            单位（公章）</w:t>
            </w:r>
          </w:p>
          <w:p w14:paraId="3A768414">
            <w:pPr>
              <w:keepNext w:val="0"/>
              <w:keepLines w:val="0"/>
              <w:pageBreakBefore w:val="0"/>
              <w:widowControl w:val="0"/>
              <w:kinsoku/>
              <w:wordWrap/>
              <w:overflowPunct/>
              <w:topLinePunct w:val="0"/>
              <w:autoSpaceDE/>
              <w:autoSpaceDN/>
              <w:bidi w:val="0"/>
              <w:adjustRightInd/>
              <w:snapToGrid/>
              <w:spacing w:line="360" w:lineRule="auto"/>
              <w:ind w:left="0" w:leftChars="0" w:firstLine="4532" w:firstLineChars="2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14:paraId="5E46B7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在合同履行中，如无违约，履约情况填写“无违约情况”；如有违约，需附相关证明文件。</w:t>
      </w:r>
    </w:p>
    <w:p w14:paraId="0BEB79D9">
      <w:pPr>
        <w:pStyle w:val="15"/>
        <w:ind w:firstLine="0" w:firstLineChars="0"/>
        <w:rPr>
          <w:color w:val="auto"/>
          <w:highlight w:val="none"/>
        </w:rPr>
      </w:pPr>
    </w:p>
    <w:sectPr>
      <w:footerReference r:id="rId10" w:type="first"/>
      <w:footerReference r:id="rId9" w:type="default"/>
      <w:pgSz w:w="11906" w:h="16838"/>
      <w:pgMar w:top="1440" w:right="1440" w:bottom="1440" w:left="1587" w:header="851" w:footer="992" w:gutter="0"/>
      <w:pgNumType w:fmt="decimal"/>
      <w:cols w:space="0" w:num="1"/>
      <w:titlePg/>
      <w:rtlGutter w:val="0"/>
      <w:docGrid w:type="linesAndChars" w:linePitch="294" w:charSpace="-8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A3D7">
    <w:pPr>
      <w:pStyle w:val="22"/>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A2FA0">
    <w:pPr>
      <w:pStyle w:val="22"/>
      <w:tabs>
        <w:tab w:val="center" w:pos="443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2308">
    <w:pPr>
      <w:pStyle w:val="22"/>
      <w:tabs>
        <w:tab w:val="center" w:pos="4439"/>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8E3B4">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18E3B4">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6757">
    <w:pPr>
      <w:pStyle w:val="22"/>
      <w:tabs>
        <w:tab w:val="center" w:pos="443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BECAB">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DBECAB">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948B">
    <w:pPr>
      <w:pStyle w:val="2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11631">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711631">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DD80">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855FB">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3855FB">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C87F">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502A">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F1430"/>
    <w:multiLevelType w:val="singleLevel"/>
    <w:tmpl w:val="A51F1430"/>
    <w:lvl w:ilvl="0" w:tentative="0">
      <w:start w:val="1"/>
      <w:numFmt w:val="decimal"/>
      <w:lvlText w:val="%1."/>
      <w:lvlJc w:val="left"/>
      <w:pPr>
        <w:tabs>
          <w:tab w:val="left" w:pos="0"/>
        </w:tabs>
        <w:ind w:left="0" w:leftChars="0" w:firstLine="0" w:firstLineChars="0"/>
      </w:pPr>
      <w:rPr>
        <w:rFonts w:hint="default"/>
      </w:rPr>
    </w:lvl>
  </w:abstractNum>
  <w:abstractNum w:abstractNumId="1">
    <w:nsid w:val="B429F1D5"/>
    <w:multiLevelType w:val="singleLevel"/>
    <w:tmpl w:val="B429F1D5"/>
    <w:lvl w:ilvl="0" w:tentative="0">
      <w:start w:val="1"/>
      <w:numFmt w:val="decimal"/>
      <w:lvlText w:val="%1."/>
      <w:lvlJc w:val="left"/>
      <w:pPr>
        <w:tabs>
          <w:tab w:val="left" w:pos="0"/>
        </w:tabs>
        <w:ind w:left="0" w:leftChars="0" w:firstLine="0" w:firstLineChars="0"/>
      </w:pPr>
      <w:rPr>
        <w:rFonts w:hint="default"/>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0DE02CD"/>
    <w:multiLevelType w:val="singleLevel"/>
    <w:tmpl w:val="60DE02CD"/>
    <w:lvl w:ilvl="0" w:tentative="0">
      <w:start w:val="1"/>
      <w:numFmt w:val="decimal"/>
      <w:lvlText w:val="%1."/>
      <w:lvlJc w:val="left"/>
      <w:pPr>
        <w:tabs>
          <w:tab w:val="left" w:pos="0"/>
        </w:tabs>
        <w:ind w:left="0" w:leftChars="0" w:firstLine="0" w:firstLineChars="0"/>
      </w:pPr>
      <w:rPr>
        <w:rFonts w:hint="default"/>
      </w:rPr>
    </w:lvl>
  </w:abstractNum>
  <w:abstractNum w:abstractNumId="4">
    <w:nsid w:val="7D335EF8"/>
    <w:multiLevelType w:val="singleLevel"/>
    <w:tmpl w:val="7D335EF8"/>
    <w:lvl w:ilvl="0" w:tentative="0">
      <w:start w:val="10"/>
      <w:numFmt w:val="decimal"/>
      <w:suff w:val="nothing"/>
      <w:lvlText w:val="（%1）"/>
      <w:lvlJc w:val="left"/>
    </w:lvl>
  </w:abstractNum>
  <w:abstractNum w:abstractNumId="5">
    <w:nsid w:val="7D335EF9"/>
    <w:multiLevelType w:val="multilevel"/>
    <w:tmpl w:val="7D335EF9"/>
    <w:lvl w:ilvl="0" w:tentative="0">
      <w:start w:val="1"/>
      <w:numFmt w:val="decimal"/>
      <w:suff w:val="space"/>
      <w:lvlText w:val="%1."/>
      <w:lvlJc w:val="left"/>
      <w:rPr>
        <w:rFonts w:cs="Times New Roman"/>
      </w:rPr>
    </w:lvl>
    <w:lvl w:ilvl="1" w:tentative="0">
      <w:start w:val="1"/>
      <w:numFmt w:val="lowerLetter"/>
      <w:lvlText w:val="%2)"/>
      <w:lvlJc w:val="left"/>
      <w:pPr>
        <w:tabs>
          <w:tab w:val="left" w:pos="1170"/>
        </w:tabs>
        <w:ind w:left="1170" w:hanging="420"/>
      </w:pPr>
      <w:rPr>
        <w:rFonts w:hint="default" w:ascii="Times New Roman" w:hAnsi="Times New Roman" w:cs="Times New Roman"/>
      </w:rPr>
    </w:lvl>
    <w:lvl w:ilvl="2" w:tentative="0">
      <w:start w:val="1"/>
      <w:numFmt w:val="lowerRoman"/>
      <w:lvlText w:val="%3."/>
      <w:lvlJc w:val="right"/>
      <w:pPr>
        <w:tabs>
          <w:tab w:val="left" w:pos="1590"/>
        </w:tabs>
        <w:ind w:left="1590" w:hanging="420"/>
      </w:pPr>
      <w:rPr>
        <w:rFonts w:hint="default" w:ascii="Times New Roman" w:hAnsi="Times New Roman" w:cs="Times New Roman"/>
      </w:rPr>
    </w:lvl>
    <w:lvl w:ilvl="3" w:tentative="0">
      <w:start w:val="1"/>
      <w:numFmt w:val="decimal"/>
      <w:lvlText w:val="%4."/>
      <w:lvlJc w:val="left"/>
      <w:pPr>
        <w:tabs>
          <w:tab w:val="left" w:pos="2010"/>
        </w:tabs>
        <w:ind w:left="2010" w:hanging="420"/>
      </w:pPr>
      <w:rPr>
        <w:rFonts w:hint="default" w:ascii="Times New Roman" w:hAnsi="Times New Roman" w:cs="Times New Roman"/>
      </w:rPr>
    </w:lvl>
    <w:lvl w:ilvl="4" w:tentative="0">
      <w:start w:val="1"/>
      <w:numFmt w:val="lowerLetter"/>
      <w:lvlText w:val="%5)"/>
      <w:lvlJc w:val="left"/>
      <w:pPr>
        <w:tabs>
          <w:tab w:val="left" w:pos="2430"/>
        </w:tabs>
        <w:ind w:left="2430" w:hanging="420"/>
      </w:pPr>
      <w:rPr>
        <w:rFonts w:hint="default" w:ascii="Times New Roman" w:hAnsi="Times New Roman" w:cs="Times New Roman"/>
      </w:rPr>
    </w:lvl>
    <w:lvl w:ilvl="5" w:tentative="0">
      <w:start w:val="1"/>
      <w:numFmt w:val="lowerRoman"/>
      <w:lvlText w:val="%6."/>
      <w:lvlJc w:val="right"/>
      <w:pPr>
        <w:tabs>
          <w:tab w:val="left" w:pos="2850"/>
        </w:tabs>
        <w:ind w:left="2850" w:hanging="420"/>
      </w:pPr>
      <w:rPr>
        <w:rFonts w:hint="default" w:ascii="Times New Roman" w:hAnsi="Times New Roman" w:cs="Times New Roman"/>
      </w:rPr>
    </w:lvl>
    <w:lvl w:ilvl="6" w:tentative="0">
      <w:start w:val="1"/>
      <w:numFmt w:val="decimal"/>
      <w:lvlText w:val="%7."/>
      <w:lvlJc w:val="left"/>
      <w:pPr>
        <w:tabs>
          <w:tab w:val="left" w:pos="3270"/>
        </w:tabs>
        <w:ind w:left="3270" w:hanging="420"/>
      </w:pPr>
      <w:rPr>
        <w:rFonts w:hint="default" w:ascii="Times New Roman" w:hAnsi="Times New Roman" w:cs="Times New Roman"/>
      </w:rPr>
    </w:lvl>
    <w:lvl w:ilvl="7" w:tentative="0">
      <w:start w:val="1"/>
      <w:numFmt w:val="lowerLetter"/>
      <w:lvlText w:val="%8)"/>
      <w:lvlJc w:val="left"/>
      <w:pPr>
        <w:tabs>
          <w:tab w:val="left" w:pos="3690"/>
        </w:tabs>
        <w:ind w:left="3690" w:hanging="420"/>
      </w:pPr>
      <w:rPr>
        <w:rFonts w:hint="default" w:ascii="Times New Roman" w:hAnsi="Times New Roman" w:cs="Times New Roman"/>
      </w:rPr>
    </w:lvl>
    <w:lvl w:ilvl="8" w:tentative="0">
      <w:start w:val="1"/>
      <w:numFmt w:val="lowerRoman"/>
      <w:lvlText w:val="%9."/>
      <w:lvlJc w:val="right"/>
      <w:pPr>
        <w:tabs>
          <w:tab w:val="left" w:pos="4110"/>
        </w:tabs>
        <w:ind w:left="4110" w:hanging="420"/>
      </w:pPr>
      <w:rPr>
        <w:rFonts w:hint="default" w:ascii="Times New Roman" w:hAnsi="Times New Roman" w:cs="Times New Roman"/>
      </w:rPr>
    </w:lvl>
  </w:abstractNum>
  <w:abstractNum w:abstractNumId="6">
    <w:nsid w:val="7D335EFA"/>
    <w:multiLevelType w:val="singleLevel"/>
    <w:tmpl w:val="7D335EFA"/>
    <w:lvl w:ilvl="0" w:tentative="0">
      <w:start w:val="1"/>
      <w:numFmt w:val="decimal"/>
      <w:suff w:val="nothing"/>
      <w:lvlText w:val="（%1）"/>
      <w:lvlJc w:val="left"/>
    </w:lvl>
  </w:abstractNum>
  <w:abstractNum w:abstractNumId="7">
    <w:nsid w:val="7D335EFB"/>
    <w:multiLevelType w:val="singleLevel"/>
    <w:tmpl w:val="7D335EFB"/>
    <w:lvl w:ilvl="0" w:tentative="0">
      <w:start w:val="11"/>
      <w:numFmt w:val="decimal"/>
      <w:suff w:val="space"/>
      <w:lvlText w:val="%1."/>
      <w:lvlJc w:val="left"/>
    </w:lvl>
  </w:abstractNum>
  <w:num w:numId="1">
    <w:abstractNumId w:val="1"/>
  </w:num>
  <w:num w:numId="2">
    <w:abstractNumId w:val="0"/>
  </w:num>
  <w:num w:numId="3">
    <w:abstractNumId w:val="3"/>
  </w:num>
  <w:num w:numId="4">
    <w:abstractNumId w:val="2"/>
    <w:lvlOverride w:ilvl="0">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14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NTcwYTU5NmZhNTU5ZWVlNjJlNjA5MzQ1MjQ2ODIifQ=="/>
  </w:docVars>
  <w:rsids>
    <w:rsidRoot w:val="00823744"/>
    <w:rsid w:val="00046CA0"/>
    <w:rsid w:val="00182BCD"/>
    <w:rsid w:val="00273AA0"/>
    <w:rsid w:val="002D3B32"/>
    <w:rsid w:val="00335D0D"/>
    <w:rsid w:val="0047108C"/>
    <w:rsid w:val="0056648A"/>
    <w:rsid w:val="005C161F"/>
    <w:rsid w:val="006140F3"/>
    <w:rsid w:val="00823744"/>
    <w:rsid w:val="0089694A"/>
    <w:rsid w:val="008E226E"/>
    <w:rsid w:val="009425F9"/>
    <w:rsid w:val="00D20B4D"/>
    <w:rsid w:val="00E87027"/>
    <w:rsid w:val="00EC7699"/>
    <w:rsid w:val="00F73755"/>
    <w:rsid w:val="00F802DF"/>
    <w:rsid w:val="00FB471D"/>
    <w:rsid w:val="01066A48"/>
    <w:rsid w:val="011D044E"/>
    <w:rsid w:val="01234CA0"/>
    <w:rsid w:val="012872C5"/>
    <w:rsid w:val="01F114A6"/>
    <w:rsid w:val="01FF6AFC"/>
    <w:rsid w:val="02086B28"/>
    <w:rsid w:val="02290C40"/>
    <w:rsid w:val="02710B48"/>
    <w:rsid w:val="03083594"/>
    <w:rsid w:val="032338E1"/>
    <w:rsid w:val="03475E56"/>
    <w:rsid w:val="039F6D34"/>
    <w:rsid w:val="04096F7B"/>
    <w:rsid w:val="04366AF4"/>
    <w:rsid w:val="04583A5F"/>
    <w:rsid w:val="04695C6C"/>
    <w:rsid w:val="04BF763A"/>
    <w:rsid w:val="05557F9E"/>
    <w:rsid w:val="065A0943"/>
    <w:rsid w:val="06840B3B"/>
    <w:rsid w:val="06B96C50"/>
    <w:rsid w:val="07097292"/>
    <w:rsid w:val="0787796C"/>
    <w:rsid w:val="08274A80"/>
    <w:rsid w:val="083A3048"/>
    <w:rsid w:val="08EA6484"/>
    <w:rsid w:val="09455F40"/>
    <w:rsid w:val="094E71DE"/>
    <w:rsid w:val="0992356F"/>
    <w:rsid w:val="09BB0D18"/>
    <w:rsid w:val="09D2559A"/>
    <w:rsid w:val="09E10052"/>
    <w:rsid w:val="09FF299F"/>
    <w:rsid w:val="0A0A75A9"/>
    <w:rsid w:val="0A302E89"/>
    <w:rsid w:val="0A8A6EB5"/>
    <w:rsid w:val="0AB354F0"/>
    <w:rsid w:val="0ACB3605"/>
    <w:rsid w:val="0AD100C7"/>
    <w:rsid w:val="0B1F7084"/>
    <w:rsid w:val="0D1136B2"/>
    <w:rsid w:val="0DBA12E6"/>
    <w:rsid w:val="0E0620AA"/>
    <w:rsid w:val="0E213113"/>
    <w:rsid w:val="0E736CD5"/>
    <w:rsid w:val="0E7E40C2"/>
    <w:rsid w:val="0E7F6C03"/>
    <w:rsid w:val="0EE303C9"/>
    <w:rsid w:val="0F7736B8"/>
    <w:rsid w:val="0F790125"/>
    <w:rsid w:val="0FD03043"/>
    <w:rsid w:val="0FDC5544"/>
    <w:rsid w:val="100B762A"/>
    <w:rsid w:val="10242327"/>
    <w:rsid w:val="10284C2D"/>
    <w:rsid w:val="109C1CE3"/>
    <w:rsid w:val="10AA1B06"/>
    <w:rsid w:val="10E1583E"/>
    <w:rsid w:val="11536691"/>
    <w:rsid w:val="1224631A"/>
    <w:rsid w:val="12CC1C47"/>
    <w:rsid w:val="13000FD1"/>
    <w:rsid w:val="130059ED"/>
    <w:rsid w:val="130A4E30"/>
    <w:rsid w:val="13566B78"/>
    <w:rsid w:val="14774017"/>
    <w:rsid w:val="14795A57"/>
    <w:rsid w:val="14987AAD"/>
    <w:rsid w:val="149B5AD5"/>
    <w:rsid w:val="15227E9D"/>
    <w:rsid w:val="1557104C"/>
    <w:rsid w:val="16BC514D"/>
    <w:rsid w:val="170369D9"/>
    <w:rsid w:val="17231CAA"/>
    <w:rsid w:val="17CF3BE0"/>
    <w:rsid w:val="182B52BA"/>
    <w:rsid w:val="184C6FDF"/>
    <w:rsid w:val="18664544"/>
    <w:rsid w:val="18D07C10"/>
    <w:rsid w:val="18FD70CF"/>
    <w:rsid w:val="195919B3"/>
    <w:rsid w:val="196565AA"/>
    <w:rsid w:val="197A30E1"/>
    <w:rsid w:val="1A457223"/>
    <w:rsid w:val="1AAD697E"/>
    <w:rsid w:val="1AB377E9"/>
    <w:rsid w:val="1AFE2282"/>
    <w:rsid w:val="1B334486"/>
    <w:rsid w:val="1BA4773A"/>
    <w:rsid w:val="1C0320AA"/>
    <w:rsid w:val="1CA6773C"/>
    <w:rsid w:val="1D1502E7"/>
    <w:rsid w:val="1D6923E1"/>
    <w:rsid w:val="1DAF4298"/>
    <w:rsid w:val="1DD21F23"/>
    <w:rsid w:val="1E154041"/>
    <w:rsid w:val="1ED22053"/>
    <w:rsid w:val="1FEB1241"/>
    <w:rsid w:val="203F0352"/>
    <w:rsid w:val="209E05F3"/>
    <w:rsid w:val="2147756F"/>
    <w:rsid w:val="216B2BCB"/>
    <w:rsid w:val="222019A8"/>
    <w:rsid w:val="2230171F"/>
    <w:rsid w:val="229F48A7"/>
    <w:rsid w:val="22C95DFC"/>
    <w:rsid w:val="22CC58EC"/>
    <w:rsid w:val="22D274E0"/>
    <w:rsid w:val="22F8223D"/>
    <w:rsid w:val="231F3C6E"/>
    <w:rsid w:val="231F5822"/>
    <w:rsid w:val="23337719"/>
    <w:rsid w:val="23650C3E"/>
    <w:rsid w:val="24071EBF"/>
    <w:rsid w:val="2444389A"/>
    <w:rsid w:val="247022A7"/>
    <w:rsid w:val="24771E43"/>
    <w:rsid w:val="24C071F8"/>
    <w:rsid w:val="24CE6893"/>
    <w:rsid w:val="25652808"/>
    <w:rsid w:val="25C1725E"/>
    <w:rsid w:val="25C86F97"/>
    <w:rsid w:val="263F4D48"/>
    <w:rsid w:val="26D038DC"/>
    <w:rsid w:val="26E2748C"/>
    <w:rsid w:val="2701366F"/>
    <w:rsid w:val="27097897"/>
    <w:rsid w:val="27534744"/>
    <w:rsid w:val="27606603"/>
    <w:rsid w:val="279E6F8C"/>
    <w:rsid w:val="282044D2"/>
    <w:rsid w:val="285F4B0C"/>
    <w:rsid w:val="28A075FF"/>
    <w:rsid w:val="28E26960"/>
    <w:rsid w:val="2953641F"/>
    <w:rsid w:val="297318B9"/>
    <w:rsid w:val="299A404E"/>
    <w:rsid w:val="29EA6657"/>
    <w:rsid w:val="2A0616E3"/>
    <w:rsid w:val="2A5177AC"/>
    <w:rsid w:val="2A8820F8"/>
    <w:rsid w:val="2ABC7FF4"/>
    <w:rsid w:val="2B146082"/>
    <w:rsid w:val="2B3758CC"/>
    <w:rsid w:val="2B570FA2"/>
    <w:rsid w:val="2B5E2530"/>
    <w:rsid w:val="2BA87CB0"/>
    <w:rsid w:val="2BCD4F97"/>
    <w:rsid w:val="2C5A7AC4"/>
    <w:rsid w:val="2C666469"/>
    <w:rsid w:val="2CC17B44"/>
    <w:rsid w:val="2DCC67A0"/>
    <w:rsid w:val="2DD450BB"/>
    <w:rsid w:val="2DE31900"/>
    <w:rsid w:val="2ECD27D0"/>
    <w:rsid w:val="2EDF2503"/>
    <w:rsid w:val="2EF00933"/>
    <w:rsid w:val="2F0118A7"/>
    <w:rsid w:val="2F2F5238"/>
    <w:rsid w:val="2F9E0F52"/>
    <w:rsid w:val="2FD302BA"/>
    <w:rsid w:val="2FD656B4"/>
    <w:rsid w:val="301337EA"/>
    <w:rsid w:val="30AB477C"/>
    <w:rsid w:val="31643ECF"/>
    <w:rsid w:val="31701B38"/>
    <w:rsid w:val="31930680"/>
    <w:rsid w:val="31FD7870"/>
    <w:rsid w:val="325D20BC"/>
    <w:rsid w:val="329A3D8D"/>
    <w:rsid w:val="32B141B6"/>
    <w:rsid w:val="32C959A4"/>
    <w:rsid w:val="330041F9"/>
    <w:rsid w:val="33153593"/>
    <w:rsid w:val="332500F7"/>
    <w:rsid w:val="33A5319B"/>
    <w:rsid w:val="33E505BB"/>
    <w:rsid w:val="33EF062A"/>
    <w:rsid w:val="34496D9C"/>
    <w:rsid w:val="348A1163"/>
    <w:rsid w:val="3491429F"/>
    <w:rsid w:val="34C53F49"/>
    <w:rsid w:val="34EE34A0"/>
    <w:rsid w:val="3514528F"/>
    <w:rsid w:val="35260E8C"/>
    <w:rsid w:val="35687FDE"/>
    <w:rsid w:val="361C6D8B"/>
    <w:rsid w:val="366A63C7"/>
    <w:rsid w:val="3692250F"/>
    <w:rsid w:val="378347D7"/>
    <w:rsid w:val="37C03756"/>
    <w:rsid w:val="382D2531"/>
    <w:rsid w:val="386C3059"/>
    <w:rsid w:val="388D4D7E"/>
    <w:rsid w:val="3891221D"/>
    <w:rsid w:val="389349DC"/>
    <w:rsid w:val="38D62BC9"/>
    <w:rsid w:val="38E54BBA"/>
    <w:rsid w:val="391D4354"/>
    <w:rsid w:val="391E1E7A"/>
    <w:rsid w:val="39C466F8"/>
    <w:rsid w:val="3A40025F"/>
    <w:rsid w:val="3AAA4FD9"/>
    <w:rsid w:val="3B8242FE"/>
    <w:rsid w:val="3BAC7C11"/>
    <w:rsid w:val="3C065573"/>
    <w:rsid w:val="3C4C6F00"/>
    <w:rsid w:val="3C6F136A"/>
    <w:rsid w:val="3D1A353D"/>
    <w:rsid w:val="3D840E45"/>
    <w:rsid w:val="3DA30061"/>
    <w:rsid w:val="3E7A5DA4"/>
    <w:rsid w:val="3EE80F60"/>
    <w:rsid w:val="3EF913BF"/>
    <w:rsid w:val="3F246AEC"/>
    <w:rsid w:val="3FBD23EC"/>
    <w:rsid w:val="401A15ED"/>
    <w:rsid w:val="40442B0E"/>
    <w:rsid w:val="40815ADD"/>
    <w:rsid w:val="42BE282E"/>
    <w:rsid w:val="42D24401"/>
    <w:rsid w:val="42E109D3"/>
    <w:rsid w:val="4330057B"/>
    <w:rsid w:val="43CC1808"/>
    <w:rsid w:val="445F317F"/>
    <w:rsid w:val="44753763"/>
    <w:rsid w:val="44CC2609"/>
    <w:rsid w:val="44E623E5"/>
    <w:rsid w:val="45097E82"/>
    <w:rsid w:val="45184A87"/>
    <w:rsid w:val="45A656D1"/>
    <w:rsid w:val="45B0521A"/>
    <w:rsid w:val="45E76415"/>
    <w:rsid w:val="46A40BF2"/>
    <w:rsid w:val="479559FD"/>
    <w:rsid w:val="47E25FB7"/>
    <w:rsid w:val="47F95F8C"/>
    <w:rsid w:val="484C72AA"/>
    <w:rsid w:val="48904B42"/>
    <w:rsid w:val="48E629B4"/>
    <w:rsid w:val="492D5972"/>
    <w:rsid w:val="49C335F7"/>
    <w:rsid w:val="49F363D3"/>
    <w:rsid w:val="4A2008DD"/>
    <w:rsid w:val="4AD5330B"/>
    <w:rsid w:val="4B5A1074"/>
    <w:rsid w:val="4BCB2B40"/>
    <w:rsid w:val="4CBE6626"/>
    <w:rsid w:val="4D53613E"/>
    <w:rsid w:val="4D565246"/>
    <w:rsid w:val="4D663FDA"/>
    <w:rsid w:val="4D9549A9"/>
    <w:rsid w:val="4E0062C6"/>
    <w:rsid w:val="4E341804"/>
    <w:rsid w:val="4E4F14A0"/>
    <w:rsid w:val="4E6A7B35"/>
    <w:rsid w:val="4F0520BB"/>
    <w:rsid w:val="4F434466"/>
    <w:rsid w:val="4F7505EE"/>
    <w:rsid w:val="4F84767D"/>
    <w:rsid w:val="4F8E16AF"/>
    <w:rsid w:val="4FB90CA7"/>
    <w:rsid w:val="4FE63299"/>
    <w:rsid w:val="50A820D4"/>
    <w:rsid w:val="51281353"/>
    <w:rsid w:val="51654692"/>
    <w:rsid w:val="51782617"/>
    <w:rsid w:val="51B81A5E"/>
    <w:rsid w:val="52FF2862"/>
    <w:rsid w:val="53537C0A"/>
    <w:rsid w:val="535624E4"/>
    <w:rsid w:val="53A71E2B"/>
    <w:rsid w:val="546724CF"/>
    <w:rsid w:val="54787173"/>
    <w:rsid w:val="552A4345"/>
    <w:rsid w:val="55F10BEA"/>
    <w:rsid w:val="569D042A"/>
    <w:rsid w:val="57F45660"/>
    <w:rsid w:val="58811E29"/>
    <w:rsid w:val="58BB219E"/>
    <w:rsid w:val="590C3489"/>
    <w:rsid w:val="5912188E"/>
    <w:rsid w:val="593F487D"/>
    <w:rsid w:val="59633BAD"/>
    <w:rsid w:val="59BF5379"/>
    <w:rsid w:val="5ADA6FD3"/>
    <w:rsid w:val="5AF81F89"/>
    <w:rsid w:val="5BD90156"/>
    <w:rsid w:val="5C270EC2"/>
    <w:rsid w:val="5C49708A"/>
    <w:rsid w:val="5C983B6D"/>
    <w:rsid w:val="5C9853D2"/>
    <w:rsid w:val="5CA17C81"/>
    <w:rsid w:val="5CD5091E"/>
    <w:rsid w:val="5D0D4FC5"/>
    <w:rsid w:val="5D3E111D"/>
    <w:rsid w:val="5D8579FD"/>
    <w:rsid w:val="5DCD7847"/>
    <w:rsid w:val="5E13627E"/>
    <w:rsid w:val="5E7F6EA9"/>
    <w:rsid w:val="5E84084D"/>
    <w:rsid w:val="5E9E6884"/>
    <w:rsid w:val="5EB629D1"/>
    <w:rsid w:val="5EC549C2"/>
    <w:rsid w:val="5F685A79"/>
    <w:rsid w:val="5F8B018B"/>
    <w:rsid w:val="5FA73085"/>
    <w:rsid w:val="5FF75761"/>
    <w:rsid w:val="604F09E7"/>
    <w:rsid w:val="60675D31"/>
    <w:rsid w:val="608E716F"/>
    <w:rsid w:val="60D44C9B"/>
    <w:rsid w:val="611A7247"/>
    <w:rsid w:val="614022C0"/>
    <w:rsid w:val="614222FA"/>
    <w:rsid w:val="61607A78"/>
    <w:rsid w:val="61715154"/>
    <w:rsid w:val="61C75FE0"/>
    <w:rsid w:val="62644C40"/>
    <w:rsid w:val="626F35C2"/>
    <w:rsid w:val="627844DE"/>
    <w:rsid w:val="62917095"/>
    <w:rsid w:val="62EE45F6"/>
    <w:rsid w:val="63612F0B"/>
    <w:rsid w:val="637864A7"/>
    <w:rsid w:val="63F0428F"/>
    <w:rsid w:val="64C5571C"/>
    <w:rsid w:val="65586590"/>
    <w:rsid w:val="655A2999"/>
    <w:rsid w:val="65CC18B0"/>
    <w:rsid w:val="65E527B2"/>
    <w:rsid w:val="65F53548"/>
    <w:rsid w:val="6747227C"/>
    <w:rsid w:val="68195626"/>
    <w:rsid w:val="682271E1"/>
    <w:rsid w:val="695A0B28"/>
    <w:rsid w:val="69B37407"/>
    <w:rsid w:val="6A18009C"/>
    <w:rsid w:val="6A47109C"/>
    <w:rsid w:val="6B460C38"/>
    <w:rsid w:val="6B6E090A"/>
    <w:rsid w:val="6B915391"/>
    <w:rsid w:val="6BAB2B4F"/>
    <w:rsid w:val="6C0F6D19"/>
    <w:rsid w:val="6C9F2F49"/>
    <w:rsid w:val="6CED5236"/>
    <w:rsid w:val="6D266D13"/>
    <w:rsid w:val="6D4573FA"/>
    <w:rsid w:val="6D90191A"/>
    <w:rsid w:val="6DFB3F5C"/>
    <w:rsid w:val="6E1374F8"/>
    <w:rsid w:val="6E4B1B00"/>
    <w:rsid w:val="6E9F0D8B"/>
    <w:rsid w:val="6F2179F2"/>
    <w:rsid w:val="6F223AF6"/>
    <w:rsid w:val="70143F39"/>
    <w:rsid w:val="70871AD7"/>
    <w:rsid w:val="70D944F3"/>
    <w:rsid w:val="711F4749"/>
    <w:rsid w:val="71453E6C"/>
    <w:rsid w:val="71640057"/>
    <w:rsid w:val="72556331"/>
    <w:rsid w:val="72FC61FC"/>
    <w:rsid w:val="72FF3D98"/>
    <w:rsid w:val="7309440F"/>
    <w:rsid w:val="733D0B73"/>
    <w:rsid w:val="73565560"/>
    <w:rsid w:val="736B748E"/>
    <w:rsid w:val="73BA7731"/>
    <w:rsid w:val="73F36BBE"/>
    <w:rsid w:val="741221C2"/>
    <w:rsid w:val="74424470"/>
    <w:rsid w:val="750915D0"/>
    <w:rsid w:val="750C6A4F"/>
    <w:rsid w:val="752E581A"/>
    <w:rsid w:val="75E06050"/>
    <w:rsid w:val="760B76BD"/>
    <w:rsid w:val="76F81981"/>
    <w:rsid w:val="772A6134"/>
    <w:rsid w:val="77835F46"/>
    <w:rsid w:val="77D03247"/>
    <w:rsid w:val="77DD5AB0"/>
    <w:rsid w:val="78322C70"/>
    <w:rsid w:val="78454752"/>
    <w:rsid w:val="78BB25BE"/>
    <w:rsid w:val="78FE32EB"/>
    <w:rsid w:val="79434761"/>
    <w:rsid w:val="79442C5B"/>
    <w:rsid w:val="79AB74ED"/>
    <w:rsid w:val="79D33FDF"/>
    <w:rsid w:val="7A3C5EB5"/>
    <w:rsid w:val="7A625ED8"/>
    <w:rsid w:val="7AA75155"/>
    <w:rsid w:val="7AEC0D6A"/>
    <w:rsid w:val="7C3C5E6C"/>
    <w:rsid w:val="7D3B528D"/>
    <w:rsid w:val="7D433C63"/>
    <w:rsid w:val="7D641B1E"/>
    <w:rsid w:val="7DE440D5"/>
    <w:rsid w:val="7E833DFC"/>
    <w:rsid w:val="7ED26C70"/>
    <w:rsid w:val="7EDB7BBE"/>
    <w:rsid w:val="7F152A20"/>
    <w:rsid w:val="7F2E23E3"/>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360"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40"/>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8"/>
    <w:basedOn w:val="1"/>
    <w:next w:val="1"/>
    <w:link w:val="41"/>
    <w:qFormat/>
    <w:uiPriority w:val="9"/>
    <w:pPr>
      <w:keepNext/>
      <w:keepLines/>
      <w:spacing w:before="240" w:after="64" w:line="320" w:lineRule="auto"/>
      <w:outlineLvl w:val="7"/>
    </w:pPr>
    <w:rPr>
      <w:rFonts w:ascii="等线 Light" w:hAnsi="等线 Light" w:eastAsia="等线 Light" w:cs="Times New Roman"/>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rFonts w:ascii="Times New Roman" w:hAnsi="Times New Roman" w:eastAsia="宋体" w:cs="Times New Roman"/>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43"/>
    <w:qFormat/>
    <w:uiPriority w:val="0"/>
    <w:pPr>
      <w:jc w:val="left"/>
    </w:pPr>
    <w:rPr>
      <w:rFonts w:ascii="Times New Roman" w:hAnsi="Times New Roman" w:eastAsia="宋体" w:cs="Times New Roman"/>
      <w:szCs w:val="24"/>
    </w:rPr>
  </w:style>
  <w:style w:type="paragraph" w:styleId="12">
    <w:name w:val="index 6"/>
    <w:basedOn w:val="1"/>
    <w:next w:val="1"/>
    <w:qFormat/>
    <w:uiPriority w:val="0"/>
    <w:pPr>
      <w:ind w:left="1000" w:leftChars="1000"/>
    </w:pPr>
  </w:style>
  <w:style w:type="paragraph" w:styleId="13">
    <w:name w:val="Body Text 3"/>
    <w:basedOn w:val="1"/>
    <w:link w:val="44"/>
    <w:unhideWhenUsed/>
    <w:qFormat/>
    <w:uiPriority w:val="99"/>
    <w:pPr>
      <w:spacing w:after="120"/>
    </w:pPr>
    <w:rPr>
      <w:rFonts w:ascii="Times New Roman" w:hAnsi="Times New Roman" w:eastAsia="宋体" w:cs="Times New Roman"/>
      <w:sz w:val="16"/>
      <w:szCs w:val="16"/>
    </w:rPr>
  </w:style>
  <w:style w:type="paragraph" w:styleId="14">
    <w:name w:val="Body Text"/>
    <w:basedOn w:val="1"/>
    <w:next w:val="15"/>
    <w:link w:val="46"/>
    <w:unhideWhenUsed/>
    <w:qFormat/>
    <w:uiPriority w:val="0"/>
    <w:pPr>
      <w:spacing w:after="120"/>
    </w:pPr>
    <w:rPr>
      <w:rFonts w:ascii="Times New Roman" w:hAnsi="Times New Roman" w:eastAsia="宋体" w:cs="Times New Roman"/>
      <w:szCs w:val="24"/>
    </w:rPr>
  </w:style>
  <w:style w:type="paragraph" w:styleId="15">
    <w:name w:val="Body Text First Indent"/>
    <w:basedOn w:val="14"/>
    <w:unhideWhenUsed/>
    <w:qFormat/>
    <w:uiPriority w:val="99"/>
    <w:pPr>
      <w:ind w:firstLine="420" w:firstLineChars="100"/>
    </w:pPr>
  </w:style>
  <w:style w:type="paragraph" w:styleId="16">
    <w:name w:val="Body Text Indent"/>
    <w:basedOn w:val="1"/>
    <w:link w:val="47"/>
    <w:qFormat/>
    <w:uiPriority w:val="0"/>
    <w:pPr>
      <w:ind w:firstLine="830" w:firstLineChars="352"/>
    </w:pPr>
    <w:rPr>
      <w:rFonts w:ascii="仿宋_GB2312" w:hAnsi="Times New Roman" w:eastAsia="仿宋_GB2312" w:cs="Times New Roman"/>
      <w:kern w:val="0"/>
      <w:sz w:val="32"/>
      <w:szCs w:val="20"/>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semiHidden/>
    <w:unhideWhenUsed/>
    <w:qFormat/>
    <w:uiPriority w:val="39"/>
    <w:pPr>
      <w:ind w:left="840" w:leftChars="400"/>
    </w:pPr>
  </w:style>
  <w:style w:type="paragraph" w:styleId="19">
    <w:name w:val="Plain Text"/>
    <w:basedOn w:val="1"/>
    <w:next w:val="1"/>
    <w:link w:val="49"/>
    <w:qFormat/>
    <w:uiPriority w:val="0"/>
    <w:rPr>
      <w:rFonts w:ascii="宋体" w:hAnsi="Courier New" w:eastAsia="宋体" w:cs="Times New Roman"/>
      <w:kern w:val="0"/>
      <w:sz w:val="20"/>
      <w:szCs w:val="21"/>
    </w:rPr>
  </w:style>
  <w:style w:type="paragraph" w:styleId="20">
    <w:name w:val="Date"/>
    <w:basedOn w:val="1"/>
    <w:next w:val="1"/>
    <w:link w:val="50"/>
    <w:unhideWhenUsed/>
    <w:qFormat/>
    <w:uiPriority w:val="99"/>
    <w:pPr>
      <w:ind w:left="100" w:leftChars="2500"/>
    </w:pPr>
    <w:rPr>
      <w:rFonts w:ascii="Times New Roman" w:hAnsi="Times New Roman" w:eastAsia="宋体" w:cs="Times New Roman"/>
      <w:szCs w:val="24"/>
    </w:rPr>
  </w:style>
  <w:style w:type="paragraph" w:styleId="21">
    <w:name w:val="Balloon Text"/>
    <w:basedOn w:val="1"/>
    <w:link w:val="51"/>
    <w:semiHidden/>
    <w:qFormat/>
    <w:uiPriority w:val="0"/>
    <w:rPr>
      <w:rFonts w:ascii="Times New Roman" w:hAnsi="Times New Roman" w:eastAsia="宋体" w:cs="Times New Roman"/>
      <w:sz w:val="18"/>
      <w:szCs w:val="18"/>
    </w:rPr>
  </w:style>
  <w:style w:type="paragraph" w:styleId="22">
    <w:name w:val="footer"/>
    <w:basedOn w:val="1"/>
    <w:link w:val="53"/>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3">
    <w:name w:val="header"/>
    <w:basedOn w:val="1"/>
    <w:link w:val="54"/>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4">
    <w:name w:val="toc 1"/>
    <w:basedOn w:val="1"/>
    <w:next w:val="1"/>
    <w:unhideWhenUsed/>
    <w:qFormat/>
    <w:uiPriority w:val="39"/>
    <w:rPr>
      <w:rFonts w:ascii="Times New Roman" w:hAnsi="Times New Roman" w:eastAsia="宋体" w:cs="Times New Roman"/>
      <w:szCs w:val="24"/>
    </w:rPr>
  </w:style>
  <w:style w:type="paragraph" w:styleId="25">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26">
    <w:name w:val="Normal (Web)"/>
    <w:basedOn w:val="1"/>
    <w:unhideWhenUsed/>
    <w:qFormat/>
    <w:uiPriority w:val="99"/>
    <w:rPr>
      <w:rFonts w:ascii="Calibri" w:hAnsi="Calibri" w:eastAsia="宋体" w:cs="Times New Roman"/>
      <w:kern w:val="0"/>
      <w:sz w:val="24"/>
      <w:szCs w:val="24"/>
    </w:rPr>
  </w:style>
  <w:style w:type="paragraph" w:styleId="27">
    <w:name w:val="annotation subject"/>
    <w:basedOn w:val="11"/>
    <w:next w:val="11"/>
    <w:link w:val="55"/>
    <w:qFormat/>
    <w:uiPriority w:val="99"/>
    <w:rPr>
      <w:b/>
      <w:bCs/>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unhideWhenUsed/>
    <w:qFormat/>
    <w:uiPriority w:val="99"/>
    <w:rPr>
      <w:vertAlign w:val="superscript"/>
    </w:rPr>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styleId="36">
    <w:name w:val="HTML Sample"/>
    <w:basedOn w:val="30"/>
    <w:semiHidden/>
    <w:unhideWhenUsed/>
    <w:qFormat/>
    <w:uiPriority w:val="99"/>
    <w:rPr>
      <w:rFonts w:ascii="Courier New" w:hAnsi="Courier New"/>
    </w:rPr>
  </w:style>
  <w:style w:type="paragraph" w:customStyle="1" w:styleId="37">
    <w:name w:val="Default"/>
    <w:basedOn w:val="1"/>
    <w:qFormat/>
    <w:uiPriority w:val="0"/>
    <w:pPr>
      <w:autoSpaceDE w:val="0"/>
      <w:autoSpaceDN w:val="0"/>
      <w:adjustRightInd w:val="0"/>
      <w:jc w:val="left"/>
    </w:pPr>
    <w:rPr>
      <w:rFonts w:ascii="仿宋_GB2312" w:hAnsi="宋体" w:eastAsia="仿宋_GB2312"/>
      <w:color w:val="000000"/>
      <w:kern w:val="0"/>
      <w:sz w:val="24"/>
    </w:rPr>
  </w:style>
  <w:style w:type="character" w:customStyle="1" w:styleId="38">
    <w:name w:val="标题 1 字符"/>
    <w:basedOn w:val="30"/>
    <w:link w:val="2"/>
    <w:qFormat/>
    <w:uiPriority w:val="9"/>
    <w:rPr>
      <w:rFonts w:ascii="Times New Roman" w:hAnsi="Times New Roman" w:eastAsia="宋体" w:cs="Times New Roman"/>
      <w:b/>
      <w:bCs/>
      <w:kern w:val="44"/>
      <w:sz w:val="44"/>
      <w:szCs w:val="44"/>
    </w:rPr>
  </w:style>
  <w:style w:type="character" w:customStyle="1" w:styleId="39">
    <w:name w:val="标题 2 字符"/>
    <w:basedOn w:val="30"/>
    <w:link w:val="3"/>
    <w:qFormat/>
    <w:uiPriority w:val="9"/>
    <w:rPr>
      <w:rFonts w:ascii="Cambria" w:hAnsi="Cambria" w:eastAsia="宋体" w:cs="Times New Roman"/>
      <w:b/>
      <w:bCs/>
      <w:sz w:val="32"/>
      <w:szCs w:val="32"/>
    </w:rPr>
  </w:style>
  <w:style w:type="character" w:customStyle="1" w:styleId="40">
    <w:name w:val="标题 5 字符"/>
    <w:basedOn w:val="30"/>
    <w:link w:val="6"/>
    <w:qFormat/>
    <w:uiPriority w:val="9"/>
    <w:rPr>
      <w:rFonts w:ascii="Times New Roman" w:hAnsi="Times New Roman" w:eastAsia="宋体" w:cs="Times New Roman"/>
      <w:b/>
      <w:bCs/>
      <w:sz w:val="28"/>
      <w:szCs w:val="28"/>
    </w:rPr>
  </w:style>
  <w:style w:type="character" w:customStyle="1" w:styleId="41">
    <w:name w:val="标题 8 字符"/>
    <w:basedOn w:val="30"/>
    <w:link w:val="9"/>
    <w:qFormat/>
    <w:uiPriority w:val="9"/>
    <w:rPr>
      <w:rFonts w:ascii="等线 Light" w:hAnsi="等线 Light" w:eastAsia="等线 Light" w:cs="Times New Roman"/>
      <w:sz w:val="24"/>
      <w:szCs w:val="24"/>
    </w:rPr>
  </w:style>
  <w:style w:type="character" w:customStyle="1" w:styleId="42">
    <w:name w:val="批注文字 字符"/>
    <w:basedOn w:val="30"/>
    <w:qFormat/>
    <w:uiPriority w:val="0"/>
  </w:style>
  <w:style w:type="character" w:customStyle="1" w:styleId="43">
    <w:name w:val="批注文字 字符3"/>
    <w:link w:val="11"/>
    <w:qFormat/>
    <w:uiPriority w:val="0"/>
    <w:rPr>
      <w:rFonts w:ascii="Times New Roman" w:hAnsi="Times New Roman" w:eastAsia="宋体" w:cs="Times New Roman"/>
      <w:szCs w:val="24"/>
    </w:rPr>
  </w:style>
  <w:style w:type="character" w:customStyle="1" w:styleId="44">
    <w:name w:val="正文文本 3 字符"/>
    <w:basedOn w:val="30"/>
    <w:link w:val="13"/>
    <w:qFormat/>
    <w:uiPriority w:val="99"/>
    <w:rPr>
      <w:rFonts w:ascii="Times New Roman" w:hAnsi="Times New Roman" w:eastAsia="宋体" w:cs="Times New Roman"/>
      <w:sz w:val="16"/>
      <w:szCs w:val="16"/>
    </w:rPr>
  </w:style>
  <w:style w:type="character" w:customStyle="1" w:styleId="45">
    <w:name w:val="正文文本 字符"/>
    <w:basedOn w:val="30"/>
    <w:qFormat/>
    <w:uiPriority w:val="0"/>
  </w:style>
  <w:style w:type="character" w:customStyle="1" w:styleId="46">
    <w:name w:val="正文文本 字符1"/>
    <w:link w:val="14"/>
    <w:qFormat/>
    <w:uiPriority w:val="0"/>
    <w:rPr>
      <w:rFonts w:ascii="Times New Roman" w:hAnsi="Times New Roman" w:eastAsia="宋体" w:cs="Times New Roman"/>
      <w:szCs w:val="24"/>
    </w:rPr>
  </w:style>
  <w:style w:type="character" w:customStyle="1" w:styleId="47">
    <w:name w:val="正文文本缩进 字符"/>
    <w:basedOn w:val="30"/>
    <w:link w:val="16"/>
    <w:qFormat/>
    <w:uiPriority w:val="0"/>
    <w:rPr>
      <w:rFonts w:ascii="仿宋_GB2312" w:hAnsi="Times New Roman" w:eastAsia="仿宋_GB2312" w:cs="Times New Roman"/>
      <w:kern w:val="0"/>
      <w:sz w:val="32"/>
      <w:szCs w:val="20"/>
    </w:rPr>
  </w:style>
  <w:style w:type="character" w:customStyle="1" w:styleId="48">
    <w:name w:val="纯文本 字符"/>
    <w:basedOn w:val="30"/>
    <w:qFormat/>
    <w:uiPriority w:val="0"/>
    <w:rPr>
      <w:rFonts w:hAnsi="Courier New" w:cs="Courier New" w:asciiTheme="minorEastAsia"/>
    </w:rPr>
  </w:style>
  <w:style w:type="character" w:customStyle="1" w:styleId="49">
    <w:name w:val="纯文本 字符3"/>
    <w:link w:val="19"/>
    <w:qFormat/>
    <w:uiPriority w:val="0"/>
    <w:rPr>
      <w:rFonts w:ascii="宋体" w:hAnsi="Courier New" w:eastAsia="宋体" w:cs="Times New Roman"/>
      <w:kern w:val="0"/>
      <w:sz w:val="20"/>
      <w:szCs w:val="21"/>
    </w:rPr>
  </w:style>
  <w:style w:type="character" w:customStyle="1" w:styleId="50">
    <w:name w:val="日期 字符"/>
    <w:basedOn w:val="30"/>
    <w:link w:val="20"/>
    <w:qFormat/>
    <w:uiPriority w:val="99"/>
    <w:rPr>
      <w:rFonts w:ascii="Times New Roman" w:hAnsi="Times New Roman" w:eastAsia="宋体" w:cs="Times New Roman"/>
      <w:szCs w:val="24"/>
    </w:rPr>
  </w:style>
  <w:style w:type="character" w:customStyle="1" w:styleId="51">
    <w:name w:val="批注框文本 字符"/>
    <w:basedOn w:val="30"/>
    <w:link w:val="21"/>
    <w:semiHidden/>
    <w:qFormat/>
    <w:uiPriority w:val="0"/>
    <w:rPr>
      <w:rFonts w:ascii="Times New Roman" w:hAnsi="Times New Roman" w:eastAsia="宋体" w:cs="Times New Roman"/>
      <w:sz w:val="18"/>
      <w:szCs w:val="18"/>
    </w:rPr>
  </w:style>
  <w:style w:type="character" w:customStyle="1" w:styleId="52">
    <w:name w:val="页脚 字符"/>
    <w:basedOn w:val="30"/>
    <w:semiHidden/>
    <w:qFormat/>
    <w:uiPriority w:val="99"/>
    <w:rPr>
      <w:sz w:val="18"/>
      <w:szCs w:val="18"/>
    </w:rPr>
  </w:style>
  <w:style w:type="character" w:customStyle="1" w:styleId="53">
    <w:name w:val="页脚 字符1"/>
    <w:link w:val="22"/>
    <w:qFormat/>
    <w:uiPriority w:val="99"/>
    <w:rPr>
      <w:rFonts w:ascii="Times New Roman" w:hAnsi="Times New Roman" w:eastAsia="宋体" w:cs="Times New Roman"/>
      <w:kern w:val="0"/>
      <w:sz w:val="18"/>
      <w:szCs w:val="18"/>
    </w:rPr>
  </w:style>
  <w:style w:type="character" w:customStyle="1" w:styleId="54">
    <w:name w:val="页眉 字符"/>
    <w:basedOn w:val="30"/>
    <w:link w:val="23"/>
    <w:qFormat/>
    <w:uiPriority w:val="99"/>
    <w:rPr>
      <w:rFonts w:ascii="Times New Roman" w:hAnsi="Times New Roman" w:eastAsia="宋体" w:cs="Times New Roman"/>
      <w:kern w:val="0"/>
      <w:sz w:val="18"/>
      <w:szCs w:val="18"/>
    </w:rPr>
  </w:style>
  <w:style w:type="character" w:customStyle="1" w:styleId="55">
    <w:name w:val="批注主题 字符"/>
    <w:basedOn w:val="42"/>
    <w:link w:val="27"/>
    <w:qFormat/>
    <w:uiPriority w:val="99"/>
    <w:rPr>
      <w:rFonts w:ascii="Times New Roman" w:hAnsi="Times New Roman" w:eastAsia="宋体" w:cs="Times New Roman"/>
      <w:b/>
      <w:bCs/>
      <w:szCs w:val="24"/>
    </w:rPr>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批注文字 Char"/>
    <w:qFormat/>
    <w:uiPriority w:val="0"/>
    <w:rPr>
      <w:rFonts w:ascii="Times New Roman" w:hAnsi="Times New Roman"/>
      <w:kern w:val="2"/>
      <w:sz w:val="21"/>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纯文本 字符2"/>
    <w:qFormat/>
    <w:uiPriority w:val="0"/>
    <w:rPr>
      <w:rFonts w:ascii="宋体" w:hAnsi="Courier New" w:eastAsia="宋体" w:cs="Courier New"/>
      <w:szCs w:val="21"/>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纯文本 字符1"/>
    <w:qFormat/>
    <w:uiPriority w:val="0"/>
    <w:rPr>
      <w:rFonts w:ascii="宋体" w:hAnsi="Courier New"/>
    </w:rPr>
  </w:style>
  <w:style w:type="character" w:customStyle="1" w:styleId="64">
    <w:name w:val="正文文本 Char"/>
    <w:qFormat/>
    <w:uiPriority w:val="0"/>
    <w:rPr>
      <w:rFonts w:ascii="Times New Roman" w:hAnsi="Times New Roman"/>
      <w:kern w:val="2"/>
      <w:sz w:val="21"/>
      <w:szCs w:val="24"/>
    </w:rPr>
  </w:style>
  <w:style w:type="character" w:customStyle="1" w:styleId="65">
    <w:name w:val="标题 2 Char"/>
    <w:qFormat/>
    <w:uiPriority w:val="9"/>
    <w:rPr>
      <w:rFonts w:ascii="Cambria" w:hAnsi="Cambria" w:eastAsia="宋体" w:cs="Times New Roman"/>
      <w:b/>
      <w:bCs/>
      <w:kern w:val="2"/>
      <w:sz w:val="32"/>
      <w:szCs w:val="32"/>
    </w:rPr>
  </w:style>
  <w:style w:type="character" w:customStyle="1" w:styleId="66">
    <w:name w:val="标题 8 Char"/>
    <w:qFormat/>
    <w:uiPriority w:val="0"/>
    <w:rPr>
      <w:rFonts w:ascii="Arial" w:hAnsi="Arial" w:eastAsia="黑体"/>
      <w:kern w:val="2"/>
      <w:sz w:val="24"/>
      <w:szCs w:val="24"/>
    </w:rPr>
  </w:style>
  <w:style w:type="character" w:customStyle="1" w:styleId="67">
    <w:name w:val="apple-style-span"/>
    <w:qFormat/>
    <w:uiPriority w:val="0"/>
  </w:style>
  <w:style w:type="paragraph" w:customStyle="1" w:styleId="6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9">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70">
    <w:name w:val="List Paragraph"/>
    <w:basedOn w:val="1"/>
    <w:qFormat/>
    <w:uiPriority w:val="34"/>
    <w:pPr>
      <w:ind w:firstLine="420" w:firstLineChars="200"/>
    </w:pPr>
    <w:rPr>
      <w:rFonts w:ascii="Times New Roman" w:hAnsi="Times New Roman" w:eastAsia="宋体" w:cs="Times New Roman"/>
      <w:szCs w:val="24"/>
    </w:rPr>
  </w:style>
  <w:style w:type="paragraph" w:customStyle="1" w:styleId="71">
    <w:name w:val="Table Paragraph"/>
    <w:basedOn w:val="1"/>
    <w:qFormat/>
    <w:uiPriority w:val="1"/>
    <w:pPr>
      <w:jc w:val="left"/>
    </w:pPr>
    <w:rPr>
      <w:rFonts w:ascii="Calibri" w:hAnsi="Calibri" w:eastAsia="宋体" w:cs="Times New Roman"/>
      <w:kern w:val="0"/>
      <w:sz w:val="22"/>
      <w:lang w:eastAsia="en-US"/>
    </w:rPr>
  </w:style>
  <w:style w:type="character" w:customStyle="1" w:styleId="72">
    <w:name w:val="批注文字 Char2"/>
    <w:qFormat/>
    <w:uiPriority w:val="0"/>
    <w:rPr>
      <w:rFonts w:ascii="Times New Roman" w:hAnsi="Times New Roman"/>
      <w:kern w:val="2"/>
      <w:sz w:val="21"/>
      <w:szCs w:val="24"/>
    </w:rPr>
  </w:style>
  <w:style w:type="character" w:customStyle="1" w:styleId="73">
    <w:name w:val="正文2 Char Char"/>
    <w:link w:val="74"/>
    <w:qFormat/>
    <w:uiPriority w:val="0"/>
    <w:rPr>
      <w:sz w:val="24"/>
    </w:rPr>
  </w:style>
  <w:style w:type="paragraph" w:customStyle="1" w:styleId="74">
    <w:name w:val="正文2"/>
    <w:basedOn w:val="1"/>
    <w:link w:val="73"/>
    <w:qFormat/>
    <w:uiPriority w:val="0"/>
    <w:pPr>
      <w:adjustRightInd w:val="0"/>
      <w:spacing w:before="156" w:line="360" w:lineRule="auto"/>
      <w:ind w:firstLine="510" w:firstLineChars="200"/>
    </w:pPr>
    <w:rPr>
      <w:sz w:val="24"/>
    </w:rPr>
  </w:style>
  <w:style w:type="character" w:customStyle="1" w:styleId="75">
    <w:name w:val="批注文字 字符2"/>
    <w:qFormat/>
    <w:uiPriority w:val="0"/>
    <w:rPr>
      <w:kern w:val="2"/>
      <w:sz w:val="21"/>
      <w:szCs w:val="24"/>
    </w:rPr>
  </w:style>
  <w:style w:type="paragraph" w:customStyle="1" w:styleId="76">
    <w:name w:val="表格文字"/>
    <w:basedOn w:val="1"/>
    <w:next w:val="21"/>
    <w:qFormat/>
    <w:uiPriority w:val="99"/>
    <w:pPr>
      <w:adjustRightInd w:val="0"/>
      <w:spacing w:line="420" w:lineRule="atLeast"/>
      <w:jc w:val="left"/>
      <w:textAlignment w:val="baseline"/>
    </w:pPr>
    <w:rPr>
      <w:kern w:val="0"/>
    </w:rPr>
  </w:style>
  <w:style w:type="paragraph" w:customStyle="1" w:styleId="7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78">
    <w:name w:val="正文_2"/>
    <w:basedOn w:val="79"/>
    <w:qFormat/>
    <w:uiPriority w:val="0"/>
    <w:rPr>
      <w:rFonts w:ascii="Calibri" w:hAnsi="Calibri"/>
      <w:szCs w:val="21"/>
    </w:rPr>
  </w:style>
  <w:style w:type="paragraph" w:customStyle="1" w:styleId="7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0">
    <w:name w:val="10"/>
    <w:qFormat/>
    <w:uiPriority w:val="0"/>
    <w:rPr>
      <w:rFonts w:hint="default" w:ascii="Times New Roman" w:hAnsi="Times New Roman" w:cs="Times New Roman"/>
    </w:rPr>
  </w:style>
  <w:style w:type="paragraph" w:customStyle="1" w:styleId="81">
    <w:name w:val="正文_4_0"/>
    <w:basedOn w:val="1"/>
    <w:qFormat/>
    <w:uiPriority w:val="0"/>
    <w:rPr>
      <w:rFonts w:ascii="Calibri" w:hAnsi="Calibri" w:eastAsia="宋体" w:cs="Times New Roman"/>
      <w:szCs w:val="21"/>
    </w:rPr>
  </w:style>
  <w:style w:type="paragraph" w:customStyle="1" w:styleId="82">
    <w:name w:val="正文_4"/>
    <w:basedOn w:val="1"/>
    <w:qFormat/>
    <w:uiPriority w:val="0"/>
    <w:rPr>
      <w:rFonts w:ascii="Calibri" w:hAnsi="Calibri" w:eastAsia="宋体" w:cs="Times New Roman"/>
    </w:rPr>
  </w:style>
  <w:style w:type="paragraph" w:customStyle="1" w:styleId="83">
    <w:name w:val="reader-word-layer_0"/>
    <w:basedOn w:val="82"/>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标题 1_2"/>
    <w:basedOn w:val="82"/>
    <w:next w:val="82"/>
    <w:qFormat/>
    <w:uiPriority w:val="0"/>
    <w:pPr>
      <w:keepNext/>
      <w:keepLines/>
      <w:spacing w:line="360" w:lineRule="auto"/>
      <w:outlineLvl w:val="0"/>
    </w:pPr>
    <w:rPr>
      <w:rFonts w:ascii="Times New Roman" w:hAnsi="Times New Roman"/>
      <w:b/>
      <w:bCs/>
      <w:kern w:val="44"/>
      <w:sz w:val="32"/>
      <w:szCs w:val="32"/>
    </w:rPr>
  </w:style>
  <w:style w:type="paragraph" w:customStyle="1" w:styleId="86">
    <w:name w:val="正文_2_0_1"/>
    <w:basedOn w:val="87"/>
    <w:qFormat/>
    <w:uiPriority w:val="0"/>
    <w:pPr>
      <w:widowControl w:val="0"/>
      <w:jc w:val="both"/>
    </w:pPr>
    <w:rPr>
      <w:rFonts w:ascii="Calibri" w:hAnsi="Calibri"/>
      <w:kern w:val="2"/>
      <w:sz w:val="21"/>
      <w:szCs w:val="22"/>
      <w:lang w:val="en-US" w:eastAsia="zh-CN" w:bidi="ar-SA"/>
    </w:rPr>
  </w:style>
  <w:style w:type="paragraph" w:customStyle="1" w:styleId="87">
    <w:name w:val="正文_2_2"/>
    <w:basedOn w:val="88"/>
    <w:next w:val="91"/>
    <w:qFormat/>
    <w:uiPriority w:val="0"/>
    <w:pPr>
      <w:widowControl w:val="0"/>
      <w:jc w:val="both"/>
    </w:pPr>
    <w:rPr>
      <w:kern w:val="2"/>
      <w:sz w:val="21"/>
      <w:szCs w:val="22"/>
      <w:lang w:val="en-US" w:eastAsia="zh-CN" w:bidi="ar-SA"/>
    </w:rPr>
  </w:style>
  <w:style w:type="paragraph" w:customStyle="1" w:styleId="88">
    <w:name w:val="正文_3_0"/>
    <w:next w:val="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表格文字_0_0_0"/>
    <w:basedOn w:val="90"/>
    <w:qFormat/>
    <w:uiPriority w:val="0"/>
    <w:pPr>
      <w:jc w:val="left"/>
    </w:pPr>
    <w:rPr>
      <w:rFonts w:ascii="Times New Roman" w:hAnsi="Times New Roman"/>
      <w:bCs/>
      <w:spacing w:val="10"/>
      <w:kern w:val="0"/>
      <w:sz w:val="24"/>
      <w:szCs w:val="24"/>
    </w:rPr>
  </w:style>
  <w:style w:type="paragraph" w:customStyle="1" w:styleId="90">
    <w:name w:val="正文_2_0_0_0"/>
    <w:next w:val="8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表格文字_0"/>
    <w:basedOn w:val="81"/>
    <w:qFormat/>
    <w:uiPriority w:val="0"/>
    <w:pPr>
      <w:adjustRightInd w:val="0"/>
      <w:snapToGrid w:val="0"/>
      <w:jc w:val="center"/>
    </w:pPr>
    <w:rPr>
      <w:rFonts w:ascii="Times New Roman" w:hAnsi="Times New Roman"/>
      <w:kern w:val="0"/>
      <w:sz w:val="24"/>
      <w:szCs w:val="24"/>
    </w:rPr>
  </w:style>
  <w:style w:type="paragraph" w:customStyle="1" w:styleId="92">
    <w:name w:val="正文_2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paragraph" w:customStyle="1" w:styleId="93">
    <w:name w:val="标题 3_0"/>
    <w:next w:val="78"/>
    <w:unhideWhenUsed/>
    <w:qFormat/>
    <w:uiPriority w:val="9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94">
    <w:name w:val="标题 2_0"/>
    <w:next w:val="78"/>
    <w:qFormat/>
    <w:uiPriority w:val="99"/>
    <w:pPr>
      <w:keepNext/>
      <w:keepLines/>
      <w:widowControl w:val="0"/>
      <w:spacing w:before="260" w:after="260" w:line="412" w:lineRule="auto"/>
      <w:jc w:val="both"/>
      <w:outlineLvl w:val="1"/>
    </w:pPr>
    <w:rPr>
      <w:rFonts w:ascii="Arial" w:hAnsi="Arial" w:eastAsia="黑体" w:cs="Times New Roman"/>
      <w:b/>
      <w:kern w:val="2"/>
      <w:sz w:val="32"/>
      <w:szCs w:val="20"/>
      <w:lang w:val="en-US" w:eastAsia="zh-CN" w:bidi="ar-SA"/>
    </w:rPr>
  </w:style>
  <w:style w:type="paragraph" w:customStyle="1" w:styleId="95">
    <w:name w:val="纯文本_0"/>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96">
    <w:name w:val="正文文本_0"/>
    <w:qFormat/>
    <w:uiPriority w:val="99"/>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79783</Words>
  <Characters>83452</Characters>
  <Lines>597</Lines>
  <Paragraphs>168</Paragraphs>
  <TotalTime>169</TotalTime>
  <ScaleCrop>false</ScaleCrop>
  <LinksUpToDate>false</LinksUpToDate>
  <CharactersWithSpaces>92601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2024-06-25T11:58:00Z</dcterms:created>
  <dc:creator>NTKO</dc:creator>
  <cp:lastModifiedBy>广西城建咨询</cp:lastModifiedBy>
  <cp:lastPrinted>2024-09-26T07:43:00Z</cp:lastPrinted>
  <dcterms:modified xsi:type="dcterms:W3CDTF">2024-10-24T07:57:06Z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8B0FC4FA0C4A46F893AE9B9ECEEDB630_13</vt:lpwstr>
  </property>
</Properties>
</file>