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91F6A">
      <w:pPr>
        <w:spacing w:line="720" w:lineRule="auto"/>
        <w:jc w:val="both"/>
        <w:rPr>
          <w:rFonts w:hint="eastAsia" w:ascii="宋体" w:hAnsi="宋体" w:eastAsia="宋体" w:cs="宋体"/>
          <w:b/>
          <w:bCs/>
          <w:color w:val="auto"/>
          <w:sz w:val="56"/>
          <w:szCs w:val="56"/>
          <w:highlight w:val="none"/>
        </w:rPr>
      </w:pPr>
      <w:bookmarkStart w:id="0" w:name="PO_3000001866_PM031"/>
      <w:r>
        <w:rPr>
          <w:rFonts w:hint="eastAsia" w:ascii="楷体" w:hAnsi="楷体" w:eastAsia="楷体" w:cs="楷体"/>
          <w:bCs/>
          <w:color w:val="auto"/>
          <w:sz w:val="84"/>
          <w:szCs w:val="84"/>
          <w:highlight w:val="none"/>
        </w:rPr>
        <w:drawing>
          <wp:anchor distT="0" distB="0" distL="114300" distR="114300" simplePos="0" relativeHeight="251659264" behindDoc="0" locked="0" layoutInCell="1" allowOverlap="1">
            <wp:simplePos x="0" y="0"/>
            <wp:positionH relativeFrom="column">
              <wp:posOffset>2063750</wp:posOffset>
            </wp:positionH>
            <wp:positionV relativeFrom="paragraph">
              <wp:posOffset>-126365</wp:posOffset>
            </wp:positionV>
            <wp:extent cx="1493520" cy="1313815"/>
            <wp:effectExtent l="0" t="0" r="5080" b="6985"/>
            <wp:wrapNone/>
            <wp:docPr id="1"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
                    <pic:cNvPicPr>
                      <a:picLocks noChangeAspect="1"/>
                    </pic:cNvPicPr>
                  </pic:nvPicPr>
                  <pic:blipFill>
                    <a:blip r:embed="rId18"/>
                    <a:stretch>
                      <a:fillRect/>
                    </a:stretch>
                  </pic:blipFill>
                  <pic:spPr>
                    <a:xfrm>
                      <a:off x="0" y="0"/>
                      <a:ext cx="1493520" cy="1313815"/>
                    </a:xfrm>
                    <a:prstGeom prst="rect">
                      <a:avLst/>
                    </a:prstGeom>
                    <a:noFill/>
                    <a:ln>
                      <a:noFill/>
                    </a:ln>
                  </pic:spPr>
                </pic:pic>
              </a:graphicData>
            </a:graphic>
          </wp:anchor>
        </w:drawing>
      </w:r>
    </w:p>
    <w:p w14:paraId="19C6987F">
      <w:pPr>
        <w:spacing w:line="720" w:lineRule="auto"/>
        <w:jc w:val="center"/>
        <w:rPr>
          <w:rFonts w:hint="eastAsia" w:ascii="宋体" w:hAnsi="宋体" w:eastAsia="宋体" w:cs="宋体"/>
          <w:color w:val="auto"/>
          <w:sz w:val="120"/>
          <w:szCs w:val="120"/>
          <w:highlight w:val="none"/>
        </w:rPr>
      </w:pPr>
      <w:r>
        <w:rPr>
          <w:rFonts w:hint="eastAsia" w:ascii="宋体" w:hAnsi="宋体" w:eastAsia="宋体" w:cs="宋体"/>
          <w:b/>
          <w:bCs/>
          <w:color w:val="auto"/>
          <w:sz w:val="56"/>
          <w:szCs w:val="56"/>
          <w:highlight w:val="none"/>
        </w:rPr>
        <w:t>华新项目管理集团有限公司</w:t>
      </w:r>
      <w:bookmarkEnd w:id="0"/>
    </w:p>
    <w:p w14:paraId="30A3845C">
      <w:pPr>
        <w:snapToGrid w:val="0"/>
        <w:spacing w:before="120" w:beforeLines="50" w:line="360" w:lineRule="auto"/>
        <w:ind w:firstLine="1200" w:firstLineChars="100"/>
        <w:jc w:val="both"/>
        <w:rPr>
          <w:rFonts w:hint="eastAsia" w:ascii="宋体" w:hAnsi="宋体" w:eastAsia="宋体" w:cs="宋体"/>
          <w:color w:val="auto"/>
          <w:sz w:val="72"/>
          <w:szCs w:val="72"/>
          <w:highlight w:val="none"/>
        </w:rPr>
      </w:pPr>
      <w:r>
        <w:rPr>
          <w:rFonts w:hint="eastAsia" w:ascii="宋体" w:hAnsi="宋体" w:eastAsia="宋体" w:cs="宋体"/>
          <w:color w:val="auto"/>
          <w:sz w:val="120"/>
          <w:szCs w:val="120"/>
          <w:highlight w:val="none"/>
        </w:rPr>
        <w:t>招 标 文 件</w:t>
      </w:r>
    </w:p>
    <w:p w14:paraId="790800EA">
      <w:pPr>
        <w:snapToGrid w:val="0"/>
        <w:spacing w:before="120" w:beforeLines="50" w:line="360" w:lineRule="auto"/>
        <w:jc w:val="center"/>
        <w:rPr>
          <w:rFonts w:hint="eastAsia" w:ascii="宋体" w:hAnsi="宋体" w:eastAsia="宋体" w:cs="宋体"/>
          <w:color w:val="auto"/>
          <w:sz w:val="30"/>
          <w:szCs w:val="72"/>
          <w:highlight w:val="none"/>
        </w:rPr>
      </w:pPr>
      <w:r>
        <w:rPr>
          <w:rFonts w:hint="eastAsia" w:ascii="宋体" w:hAnsi="宋体" w:eastAsia="宋体" w:cs="宋体"/>
          <w:b/>
          <w:color w:val="auto"/>
          <w:sz w:val="48"/>
          <w:szCs w:val="48"/>
          <w:highlight w:val="none"/>
        </w:rPr>
        <w:t>（全流程电子化采购）</w:t>
      </w:r>
    </w:p>
    <w:p w14:paraId="2E17BC25">
      <w:pPr>
        <w:pStyle w:val="23"/>
        <w:snapToGrid w:val="0"/>
        <w:spacing w:line="360" w:lineRule="auto"/>
        <w:ind w:firstLine="1193" w:firstLineChars="396"/>
        <w:rPr>
          <w:rFonts w:hint="eastAsia" w:ascii="宋体" w:hAnsi="宋体" w:eastAsia="宋体" w:cs="宋体"/>
          <w:b/>
          <w:bCs/>
          <w:color w:val="auto"/>
          <w:sz w:val="30"/>
          <w:szCs w:val="30"/>
          <w:highlight w:val="none"/>
        </w:rPr>
      </w:pPr>
    </w:p>
    <w:p w14:paraId="48D9436A">
      <w:pPr>
        <w:pStyle w:val="23"/>
        <w:snapToGrid w:val="0"/>
        <w:spacing w:line="360" w:lineRule="auto"/>
        <w:ind w:firstLine="1193" w:firstLineChars="396"/>
        <w:rPr>
          <w:rFonts w:hint="eastAsia" w:ascii="宋体" w:hAnsi="宋体" w:eastAsia="宋体" w:cs="宋体"/>
          <w:b/>
          <w:bCs/>
          <w:color w:val="auto"/>
          <w:sz w:val="30"/>
          <w:szCs w:val="30"/>
          <w:highlight w:val="none"/>
        </w:rPr>
      </w:pPr>
    </w:p>
    <w:p w14:paraId="352BE6D7">
      <w:pPr>
        <w:pStyle w:val="23"/>
        <w:snapToGrid w:val="0"/>
        <w:spacing w:line="360" w:lineRule="auto"/>
        <w:ind w:left="0" w:leftChars="0" w:firstLine="0" w:firstLineChars="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w:t>
      </w:r>
      <w:r>
        <w:rPr>
          <w:rFonts w:hint="eastAsia" w:ascii="宋体" w:hAnsi="宋体" w:eastAsia="宋体" w:cs="宋体"/>
          <w:b/>
          <w:bCs/>
          <w:color w:val="auto"/>
          <w:w w:val="95"/>
          <w:sz w:val="32"/>
          <w:szCs w:val="32"/>
          <w:highlight w:val="none"/>
        </w:rPr>
        <w:t>名称</w:t>
      </w:r>
      <w:r>
        <w:rPr>
          <w:rFonts w:hint="eastAsia" w:ascii="宋体" w:hAnsi="宋体" w:eastAsia="宋体" w:cs="宋体"/>
          <w:b/>
          <w:bCs/>
          <w:color w:val="auto"/>
          <w:sz w:val="32"/>
          <w:szCs w:val="32"/>
          <w:highlight w:val="none"/>
        </w:rPr>
        <w:t>：广西公安数字化改革之</w:t>
      </w:r>
      <w:r>
        <w:rPr>
          <w:rFonts w:hint="eastAsia" w:hAnsi="宋体" w:cs="宋体"/>
          <w:b/>
          <w:bCs/>
          <w:color w:val="auto"/>
          <w:sz w:val="32"/>
          <w:szCs w:val="32"/>
          <w:highlight w:val="none"/>
          <w:lang w:eastAsia="zh-CN"/>
        </w:rPr>
        <w:t>技术支撑体系项目（三）</w:t>
      </w:r>
      <w:r>
        <w:rPr>
          <w:rFonts w:hint="eastAsia" w:hAnsi="宋体" w:eastAsia="宋体" w:cs="宋体"/>
          <w:b/>
          <w:bCs/>
          <w:color w:val="auto"/>
          <w:sz w:val="32"/>
          <w:szCs w:val="32"/>
          <w:highlight w:val="none"/>
          <w:lang w:val="en-US" w:eastAsia="zh-CN"/>
        </w:rPr>
        <w:t xml:space="preserve"> </w:t>
      </w:r>
    </w:p>
    <w:p w14:paraId="58D9573D">
      <w:pPr>
        <w:snapToGrid w:val="0"/>
        <w:spacing w:line="360" w:lineRule="auto"/>
        <w:ind w:left="0" w:leftChars="0" w:firstLine="0" w:firstLineChars="0"/>
        <w:rPr>
          <w:rFonts w:hint="eastAsia" w:ascii="宋体" w:hAnsi="宋体" w:eastAsia="宋体" w:cs="宋体"/>
          <w:color w:val="auto"/>
          <w:sz w:val="32"/>
          <w:szCs w:val="96"/>
          <w:highlight w:val="none"/>
          <w:lang w:val="en-US" w:eastAsia="zh-CN"/>
        </w:rPr>
      </w:pPr>
      <w:r>
        <w:rPr>
          <w:rFonts w:hint="eastAsia" w:ascii="宋体" w:hAnsi="宋体" w:eastAsia="宋体" w:cs="宋体"/>
          <w:b/>
          <w:bCs/>
          <w:color w:val="auto"/>
          <w:w w:val="95"/>
          <w:sz w:val="32"/>
          <w:szCs w:val="32"/>
          <w:highlight w:val="none"/>
        </w:rPr>
        <w:t>项目</w:t>
      </w:r>
      <w:r>
        <w:rPr>
          <w:rFonts w:hint="eastAsia" w:ascii="宋体" w:hAnsi="宋体" w:eastAsia="宋体" w:cs="宋体"/>
          <w:b/>
          <w:bCs/>
          <w:color w:val="auto"/>
          <w:sz w:val="32"/>
          <w:szCs w:val="32"/>
          <w:highlight w:val="none"/>
        </w:rPr>
        <w:t>编号</w:t>
      </w:r>
      <w:r>
        <w:rPr>
          <w:rFonts w:hint="eastAsia" w:ascii="宋体" w:hAnsi="宋体" w:eastAsia="宋体" w:cs="宋体"/>
          <w:b/>
          <w:bCs/>
          <w:color w:val="auto"/>
          <w:w w:val="95"/>
          <w:sz w:val="32"/>
          <w:szCs w:val="32"/>
          <w:highlight w:val="none"/>
        </w:rPr>
        <w:t>：</w:t>
      </w:r>
      <w:r>
        <w:rPr>
          <w:rFonts w:hint="eastAsia" w:ascii="宋体" w:hAnsi="宋体" w:eastAsia="宋体" w:cs="宋体"/>
          <w:b/>
          <w:bCs/>
          <w:color w:val="auto"/>
          <w:w w:val="95"/>
          <w:sz w:val="32"/>
          <w:szCs w:val="32"/>
          <w:highlight w:val="none"/>
        </w:rPr>
        <w:fldChar w:fldCharType="begin"/>
      </w:r>
      <w:r>
        <w:rPr>
          <w:rFonts w:hint="eastAsia" w:ascii="宋体" w:hAnsi="宋体" w:eastAsia="宋体" w:cs="宋体"/>
          <w:b/>
          <w:bCs/>
          <w:color w:val="auto"/>
          <w:w w:val="95"/>
          <w:sz w:val="32"/>
          <w:szCs w:val="32"/>
          <w:highlight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b/>
          <w:bCs/>
          <w:color w:val="auto"/>
          <w:w w:val="95"/>
          <w:sz w:val="32"/>
          <w:szCs w:val="32"/>
          <w:highlight w:val="none"/>
        </w:rPr>
        <w:fldChar w:fldCharType="separate"/>
      </w:r>
      <w:r>
        <w:rPr>
          <w:rFonts w:hint="eastAsia" w:ascii="宋体" w:hAnsi="宋体" w:eastAsia="宋体" w:cs="宋体"/>
          <w:b/>
          <w:bCs/>
          <w:color w:val="auto"/>
          <w:w w:val="95"/>
          <w:sz w:val="32"/>
          <w:szCs w:val="32"/>
          <w:highlight w:val="none"/>
        </w:rPr>
        <w:t>GXZC2024-G3-005615-HXXM</w:t>
      </w:r>
      <w:r>
        <w:rPr>
          <w:rFonts w:hint="eastAsia" w:ascii="宋体" w:hAnsi="宋体" w:eastAsia="宋体" w:cs="宋体"/>
          <w:b/>
          <w:bCs/>
          <w:color w:val="auto"/>
          <w:w w:val="95"/>
          <w:sz w:val="32"/>
          <w:szCs w:val="32"/>
          <w:highlight w:val="none"/>
        </w:rPr>
        <w:fldChar w:fldCharType="end"/>
      </w:r>
    </w:p>
    <w:p w14:paraId="780C423F">
      <w:pPr>
        <w:pStyle w:val="23"/>
        <w:snapToGrid w:val="0"/>
        <w:spacing w:line="360" w:lineRule="auto"/>
        <w:ind w:firstLine="0" w:firstLineChars="0"/>
        <w:rPr>
          <w:rFonts w:hint="eastAsia" w:ascii="宋体" w:hAnsi="宋体" w:eastAsia="宋体" w:cs="宋体"/>
          <w:b/>
          <w:bCs/>
          <w:color w:val="auto"/>
          <w:w w:val="95"/>
          <w:sz w:val="32"/>
          <w:szCs w:val="32"/>
          <w:highlight w:val="none"/>
        </w:rPr>
      </w:pPr>
      <w:r>
        <w:rPr>
          <w:rFonts w:hint="eastAsia" w:ascii="宋体" w:hAnsi="宋体" w:eastAsia="宋体" w:cs="宋体"/>
          <w:b/>
          <w:bCs/>
          <w:color w:val="auto"/>
          <w:w w:val="95"/>
          <w:sz w:val="32"/>
          <w:szCs w:val="32"/>
          <w:highlight w:val="none"/>
        </w:rPr>
        <w:t>采 购 人：广西壮族自治区公安厅</w:t>
      </w:r>
    </w:p>
    <w:p w14:paraId="4909E1C2">
      <w:pPr>
        <w:pStyle w:val="23"/>
        <w:snapToGrid w:val="0"/>
        <w:spacing w:line="360" w:lineRule="auto"/>
        <w:ind w:firstLine="0" w:firstLineChars="0"/>
        <w:rPr>
          <w:rFonts w:hint="eastAsia" w:ascii="宋体" w:hAnsi="宋体" w:eastAsia="宋体" w:cs="宋体"/>
          <w:b/>
          <w:bCs/>
          <w:color w:val="auto"/>
          <w:w w:val="95"/>
          <w:sz w:val="32"/>
          <w:szCs w:val="32"/>
          <w:highlight w:val="none"/>
        </w:rPr>
      </w:pPr>
      <w:r>
        <w:rPr>
          <w:rFonts w:hint="eastAsia" w:ascii="宋体" w:hAnsi="宋体" w:eastAsia="宋体" w:cs="宋体"/>
          <w:b/>
          <w:bCs/>
          <w:color w:val="auto"/>
          <w:w w:val="95"/>
          <w:sz w:val="32"/>
          <w:szCs w:val="32"/>
          <w:highlight w:val="none"/>
        </w:rPr>
        <w:t>采购代理机构：华新项目管理集团有限公司</w:t>
      </w:r>
    </w:p>
    <w:p w14:paraId="645E5DDC">
      <w:pPr>
        <w:pStyle w:val="23"/>
        <w:snapToGrid w:val="0"/>
        <w:spacing w:line="360" w:lineRule="auto"/>
        <w:ind w:firstLine="1125" w:firstLineChars="393"/>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 xml:space="preserve">             </w:t>
      </w:r>
    </w:p>
    <w:p w14:paraId="60AC07C4">
      <w:pPr>
        <w:pStyle w:val="23"/>
        <w:snapToGrid w:val="0"/>
        <w:spacing w:line="360" w:lineRule="auto"/>
        <w:ind w:firstLine="1125" w:firstLineChars="393"/>
        <w:rPr>
          <w:rFonts w:hint="eastAsia" w:ascii="宋体" w:hAnsi="宋体" w:eastAsia="宋体" w:cs="宋体"/>
          <w:b/>
          <w:bCs/>
          <w:color w:val="auto"/>
          <w:w w:val="95"/>
          <w:sz w:val="30"/>
          <w:szCs w:val="30"/>
          <w:highlight w:val="none"/>
        </w:rPr>
      </w:pPr>
    </w:p>
    <w:p w14:paraId="402368B1">
      <w:pPr>
        <w:pStyle w:val="23"/>
        <w:snapToGrid w:val="0"/>
        <w:spacing w:line="360" w:lineRule="auto"/>
        <w:ind w:firstLine="841" w:firstLineChars="294"/>
        <w:rPr>
          <w:rFonts w:hint="eastAsia" w:ascii="宋体" w:hAnsi="宋体" w:eastAsia="宋体" w:cs="宋体"/>
          <w:color w:val="auto"/>
          <w:szCs w:val="20"/>
          <w:highlight w:val="none"/>
        </w:rPr>
      </w:pPr>
      <w:r>
        <w:rPr>
          <w:rFonts w:hint="eastAsia" w:ascii="宋体" w:hAnsi="宋体" w:eastAsia="宋体" w:cs="宋体"/>
          <w:b/>
          <w:bCs/>
          <w:color w:val="auto"/>
          <w:w w:val="95"/>
          <w:sz w:val="30"/>
          <w:szCs w:val="30"/>
          <w:highlight w:val="none"/>
        </w:rPr>
        <w:t xml:space="preserve">               </w:t>
      </w:r>
      <w:bookmarkStart w:id="1" w:name="OLE_LINK1"/>
      <w:r>
        <w:rPr>
          <w:rFonts w:hint="eastAsia" w:hAnsi="宋体" w:eastAsia="宋体" w:cs="宋体"/>
          <w:b/>
          <w:bCs/>
          <w:color w:val="auto"/>
          <w:w w:val="95"/>
          <w:sz w:val="30"/>
          <w:szCs w:val="30"/>
          <w:highlight w:val="none"/>
          <w:lang w:val="en-US" w:eastAsia="zh-CN"/>
        </w:rPr>
        <w:t xml:space="preserve">  </w:t>
      </w:r>
      <w:r>
        <w:rPr>
          <w:rFonts w:hint="eastAsia" w:ascii="宋体" w:hAnsi="宋体" w:eastAsia="宋体" w:cs="宋体"/>
          <w:b/>
          <w:bCs/>
          <w:color w:val="auto"/>
          <w:w w:val="95"/>
          <w:sz w:val="30"/>
          <w:szCs w:val="30"/>
          <w:highlight w:val="none"/>
        </w:rPr>
        <w:t>2024年</w:t>
      </w:r>
      <w:r>
        <w:rPr>
          <w:rFonts w:hint="eastAsia" w:hAnsi="宋体" w:cs="宋体"/>
          <w:b/>
          <w:bCs/>
          <w:color w:val="auto"/>
          <w:w w:val="95"/>
          <w:sz w:val="30"/>
          <w:szCs w:val="30"/>
          <w:highlight w:val="none"/>
          <w:lang w:val="en-US" w:eastAsia="zh-CN"/>
        </w:rPr>
        <w:t>10</w:t>
      </w:r>
      <w:r>
        <w:rPr>
          <w:rFonts w:hint="eastAsia" w:ascii="宋体" w:hAnsi="宋体" w:eastAsia="宋体" w:cs="宋体"/>
          <w:b/>
          <w:bCs/>
          <w:color w:val="auto"/>
          <w:w w:val="95"/>
          <w:sz w:val="30"/>
          <w:szCs w:val="30"/>
          <w:highlight w:val="none"/>
        </w:rPr>
        <w:t>月</w:t>
      </w:r>
      <w:r>
        <w:rPr>
          <w:rFonts w:hint="eastAsia" w:hAnsi="宋体" w:cs="宋体"/>
          <w:b/>
          <w:bCs/>
          <w:color w:val="auto"/>
          <w:w w:val="95"/>
          <w:sz w:val="30"/>
          <w:szCs w:val="30"/>
          <w:highlight w:val="none"/>
          <w:lang w:val="en-US" w:eastAsia="zh-CN"/>
        </w:rPr>
        <w:t>15</w:t>
      </w:r>
      <w:r>
        <w:rPr>
          <w:rFonts w:hint="eastAsia" w:ascii="宋体" w:hAnsi="宋体" w:eastAsia="宋体" w:cs="宋体"/>
          <w:b/>
          <w:bCs/>
          <w:color w:val="auto"/>
          <w:w w:val="95"/>
          <w:sz w:val="30"/>
          <w:szCs w:val="30"/>
          <w:highlight w:val="none"/>
        </w:rPr>
        <w:t>日</w:t>
      </w:r>
      <w:bookmarkEnd w:id="1"/>
    </w:p>
    <w:p w14:paraId="20384CDA">
      <w:pPr>
        <w:pStyle w:val="23"/>
        <w:spacing w:before="120" w:after="120" w:line="360" w:lineRule="auto"/>
        <w:jc w:val="center"/>
        <w:rPr>
          <w:rFonts w:hint="eastAsia" w:ascii="微软雅黑" w:hAnsi="微软雅黑" w:eastAsia="微软雅黑"/>
          <w:color w:val="auto"/>
          <w:highlight w:val="none"/>
        </w:rPr>
      </w:pPr>
    </w:p>
    <w:p w14:paraId="38DF38C4">
      <w:pPr>
        <w:pStyle w:val="23"/>
        <w:spacing w:before="120" w:after="120" w:line="360" w:lineRule="auto"/>
        <w:jc w:val="center"/>
        <w:rPr>
          <w:rFonts w:hint="eastAsia" w:ascii="微软雅黑" w:hAnsi="微软雅黑" w:eastAsia="微软雅黑"/>
          <w:color w:val="auto"/>
          <w:highlight w:val="none"/>
        </w:rPr>
      </w:pPr>
      <w:r>
        <w:rPr>
          <w:rFonts w:ascii="微软雅黑" w:hAnsi="微软雅黑" w:eastAsia="微软雅黑"/>
          <w:color w:val="auto"/>
          <w:highlight w:val="none"/>
        </w:rPr>
        <w:br w:type="page"/>
      </w:r>
    </w:p>
    <w:p w14:paraId="30664963">
      <w:pPr>
        <w:spacing w:line="360" w:lineRule="auto"/>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目  录</w:t>
      </w:r>
    </w:p>
    <w:p w14:paraId="50E544E8">
      <w:pPr>
        <w:spacing w:line="400" w:lineRule="exact"/>
        <w:jc w:val="center"/>
        <w:rPr>
          <w:rFonts w:hint="eastAsia" w:ascii="微软雅黑" w:hAnsi="微软雅黑" w:eastAsia="微软雅黑" w:cs="微软雅黑"/>
          <w:b/>
          <w:color w:val="auto"/>
          <w:sz w:val="44"/>
          <w:szCs w:val="44"/>
          <w:highlight w:val="none"/>
        </w:rPr>
      </w:pPr>
    </w:p>
    <w:p w14:paraId="57740BCE">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val="0"/>
          <w:color w:val="auto"/>
          <w:sz w:val="28"/>
          <w:szCs w:val="28"/>
          <w:highlight w:val="none"/>
        </w:rPr>
        <w:fldChar w:fldCharType="begin"/>
      </w:r>
      <w:r>
        <w:rPr>
          <w:rFonts w:hint="eastAsia" w:ascii="微软雅黑" w:hAnsi="微软雅黑" w:eastAsia="微软雅黑" w:cs="微软雅黑"/>
          <w:b w:val="0"/>
          <w:color w:val="auto"/>
          <w:sz w:val="28"/>
          <w:szCs w:val="28"/>
          <w:highlight w:val="none"/>
        </w:rPr>
        <w:instrText xml:space="preserve"> TOC \o "1-2" \h \z \u </w:instrText>
      </w:r>
      <w:r>
        <w:rPr>
          <w:rFonts w:hint="eastAsia" w:ascii="微软雅黑" w:hAnsi="微软雅黑" w:eastAsia="微软雅黑" w:cs="微软雅黑"/>
          <w:b w:val="0"/>
          <w:color w:val="auto"/>
          <w:sz w:val="28"/>
          <w:szCs w:val="28"/>
          <w:highlight w:val="none"/>
        </w:rPr>
        <w:fldChar w:fldCharType="separate"/>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_Toc26956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第一章 招标公告</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_Toc26956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1</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6E7F3C75">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_Toc27979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第二章  采购</w:t>
      </w:r>
      <w:bookmarkStart w:id="2" w:name="_Hlt166524490"/>
      <w:r>
        <w:rPr>
          <w:rFonts w:hint="eastAsia" w:ascii="微软雅黑" w:hAnsi="微软雅黑" w:eastAsia="微软雅黑" w:cs="微软雅黑"/>
          <w:color w:val="auto"/>
          <w:sz w:val="28"/>
          <w:szCs w:val="28"/>
          <w:highlight w:val="none"/>
        </w:rPr>
        <w:t>需</w:t>
      </w:r>
      <w:bookmarkEnd w:id="2"/>
      <w:r>
        <w:rPr>
          <w:rFonts w:hint="eastAsia" w:ascii="微软雅黑" w:hAnsi="微软雅黑" w:eastAsia="微软雅黑" w:cs="微软雅黑"/>
          <w:color w:val="auto"/>
          <w:sz w:val="28"/>
          <w:szCs w:val="28"/>
          <w:highlight w:val="none"/>
        </w:rPr>
        <w:t>求</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_Toc27979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5</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563539D9">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_Toc25688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第三章  投标人须知</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_Toc25688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58</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46DD7DDC">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_Toc15687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第四章  评标</w:t>
      </w:r>
      <w:bookmarkStart w:id="3" w:name="_Hlt162030092"/>
      <w:r>
        <w:rPr>
          <w:rFonts w:hint="eastAsia" w:ascii="微软雅黑" w:hAnsi="微软雅黑" w:eastAsia="微软雅黑" w:cs="微软雅黑"/>
          <w:color w:val="auto"/>
          <w:sz w:val="28"/>
          <w:szCs w:val="28"/>
          <w:highlight w:val="none"/>
        </w:rPr>
        <w:t>方</w:t>
      </w:r>
      <w:bookmarkEnd w:id="3"/>
      <w:r>
        <w:rPr>
          <w:rFonts w:hint="eastAsia" w:ascii="微软雅黑" w:hAnsi="微软雅黑" w:eastAsia="微软雅黑" w:cs="微软雅黑"/>
          <w:color w:val="auto"/>
          <w:sz w:val="28"/>
          <w:szCs w:val="28"/>
          <w:highlight w:val="none"/>
        </w:rPr>
        <w:t>法及评标标</w:t>
      </w:r>
      <w:bookmarkStart w:id="4" w:name="_Hlt166524029"/>
      <w:bookmarkStart w:id="5" w:name="_Hlt166524030"/>
      <w:r>
        <w:rPr>
          <w:rFonts w:hint="eastAsia" w:ascii="微软雅黑" w:hAnsi="微软雅黑" w:eastAsia="微软雅黑" w:cs="微软雅黑"/>
          <w:color w:val="auto"/>
          <w:sz w:val="28"/>
          <w:szCs w:val="28"/>
          <w:highlight w:val="none"/>
        </w:rPr>
        <w:t>准</w:t>
      </w:r>
      <w:bookmarkEnd w:id="4"/>
      <w:bookmarkEnd w:id="5"/>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_Toc15687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79</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66AACC65">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_Toc25250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第五章  拟签订的合同文本</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_Toc25250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91</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64830914">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_Toc25289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第六章　投标文</w:t>
      </w:r>
      <w:bookmarkStart w:id="6" w:name="_Hlt162028507"/>
      <w:bookmarkStart w:id="7" w:name="_Hlt162028506"/>
      <w:r>
        <w:rPr>
          <w:rFonts w:hint="eastAsia" w:ascii="微软雅黑" w:hAnsi="微软雅黑" w:eastAsia="微软雅黑" w:cs="微软雅黑"/>
          <w:color w:val="auto"/>
          <w:sz w:val="28"/>
          <w:szCs w:val="28"/>
          <w:highlight w:val="none"/>
        </w:rPr>
        <w:t>件</w:t>
      </w:r>
      <w:bookmarkEnd w:id="6"/>
      <w:bookmarkEnd w:id="7"/>
      <w:r>
        <w:rPr>
          <w:rFonts w:hint="eastAsia" w:ascii="微软雅黑" w:hAnsi="微软雅黑" w:eastAsia="微软雅黑" w:cs="微软雅黑"/>
          <w:color w:val="auto"/>
          <w:sz w:val="28"/>
          <w:szCs w:val="28"/>
          <w:highlight w:val="none"/>
        </w:rPr>
        <w:t>格式</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_Toc25289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98</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2E626FFF">
      <w:pPr>
        <w:tabs>
          <w:tab w:val="right" w:leader="dot" w:pos="8789"/>
        </w:tabs>
        <w:snapToGrid w:val="0"/>
        <w:spacing w:line="500" w:lineRule="atLeast"/>
        <w:rPr>
          <w:rFonts w:hint="eastAsia" w:ascii="宋体" w:hAnsi="宋体" w:eastAsia="宋体" w:cs="宋体"/>
          <w:color w:val="auto"/>
          <w:sz w:val="28"/>
          <w:szCs w:val="28"/>
          <w:highlight w:val="none"/>
        </w:rPr>
      </w:pPr>
      <w:r>
        <w:rPr>
          <w:rFonts w:hint="eastAsia" w:ascii="微软雅黑" w:hAnsi="微软雅黑" w:eastAsia="微软雅黑" w:cs="微软雅黑"/>
          <w:color w:val="auto"/>
          <w:sz w:val="22"/>
          <w:szCs w:val="28"/>
          <w:highlight w:val="none"/>
        </w:rPr>
        <w:fldChar w:fldCharType="end"/>
      </w:r>
    </w:p>
    <w:p w14:paraId="509B6EE8">
      <w:pPr>
        <w:spacing w:before="120" w:beforeLines="50" w:line="480" w:lineRule="exact"/>
        <w:rPr>
          <w:rFonts w:hint="eastAsia" w:ascii="宋体" w:hAnsi="宋体" w:eastAsia="宋体" w:cs="宋体"/>
          <w:color w:val="auto"/>
          <w:sz w:val="30"/>
          <w:highlight w:val="none"/>
        </w:rPr>
      </w:pPr>
    </w:p>
    <w:p w14:paraId="3D0729D0">
      <w:pPr>
        <w:rPr>
          <w:rFonts w:hint="eastAsia" w:ascii="微软雅黑" w:hAnsi="微软雅黑" w:eastAsia="微软雅黑"/>
          <w:color w:val="auto"/>
          <w:highlight w:val="none"/>
        </w:rPr>
      </w:pPr>
    </w:p>
    <w:p w14:paraId="03CAAFBA">
      <w:pPr>
        <w:spacing w:before="120" w:beforeLines="50" w:line="480" w:lineRule="exact"/>
        <w:rPr>
          <w:rFonts w:hint="eastAsia" w:ascii="微软雅黑" w:hAnsi="微软雅黑" w:eastAsia="微软雅黑"/>
          <w:color w:val="auto"/>
          <w:sz w:val="30"/>
          <w:highlight w:val="none"/>
        </w:rPr>
      </w:pPr>
    </w:p>
    <w:p w14:paraId="19D1CF0D">
      <w:pPr>
        <w:spacing w:before="120" w:beforeLines="50" w:line="480" w:lineRule="exact"/>
        <w:rPr>
          <w:rFonts w:hint="eastAsia" w:ascii="微软雅黑" w:hAnsi="微软雅黑" w:eastAsia="微软雅黑"/>
          <w:color w:val="auto"/>
          <w:sz w:val="30"/>
          <w:highlight w:val="none"/>
        </w:rPr>
      </w:pPr>
    </w:p>
    <w:p w14:paraId="18CDCF69">
      <w:pPr>
        <w:pStyle w:val="15"/>
        <w:rPr>
          <w:rFonts w:hint="eastAsia" w:ascii="微软雅黑" w:hAnsi="微软雅黑" w:eastAsia="微软雅黑" w:cs="宋体"/>
          <w:b/>
          <w:bCs/>
          <w:color w:val="auto"/>
          <w:highlight w:val="none"/>
        </w:rPr>
      </w:pPr>
      <w:bookmarkStart w:id="8" w:name="_Toc254970630"/>
      <w:bookmarkStart w:id="9" w:name="_Toc254970489"/>
    </w:p>
    <w:p w14:paraId="1FA2386B">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微软雅黑" w:hAnsi="微软雅黑" w:eastAsia="微软雅黑"/>
          <w:color w:val="auto"/>
          <w:highlight w:val="none"/>
        </w:rPr>
        <w:sectPr>
          <w:headerReference r:id="rId4" w:type="first"/>
          <w:footerReference r:id="rId6" w:type="first"/>
          <w:headerReference r:id="rId3" w:type="default"/>
          <w:footerReference r:id="rId5" w:type="default"/>
          <w:pgSz w:w="11910" w:h="16840"/>
          <w:pgMar w:top="1520" w:right="1500" w:bottom="280" w:left="1680" w:header="720" w:footer="720" w:gutter="0"/>
          <w:pgBorders w:offsetFrom="page">
            <w:top w:val="none" w:sz="0" w:space="0"/>
            <w:left w:val="none" w:sz="0" w:space="0"/>
            <w:bottom w:val="none" w:sz="0" w:space="0"/>
            <w:right w:val="none" w:sz="0" w:space="0"/>
          </w:pgBorders>
          <w:pgNumType w:start="0"/>
          <w:cols w:space="720" w:num="1"/>
          <w:titlePg/>
          <w:docGrid w:linePitch="286" w:charSpace="0"/>
        </w:sectPr>
      </w:pPr>
      <w:bookmarkStart w:id="10" w:name="_Toc26956"/>
    </w:p>
    <w:p w14:paraId="2D3FC73A">
      <w:pPr>
        <w:pStyle w:val="3"/>
        <w:keepNext w:val="0"/>
        <w:keepLines w:val="0"/>
        <w:tabs>
          <w:tab w:val="left" w:pos="0"/>
          <w:tab w:val="left" w:pos="3165"/>
          <w:tab w:val="center" w:pos="4153"/>
        </w:tabs>
        <w:autoSpaceDE w:val="0"/>
        <w:autoSpaceDN w:val="0"/>
        <w:adjustRightInd w:val="0"/>
        <w:spacing w:before="0" w:after="0" w:line="360" w:lineRule="auto"/>
        <w:jc w:val="center"/>
        <w:rPr>
          <w:rFonts w:ascii="微软雅黑" w:hAnsi="微软雅黑" w:eastAsia="微软雅黑"/>
          <w:color w:val="auto"/>
          <w:szCs w:val="21"/>
          <w:highlight w:val="none"/>
        </w:rPr>
      </w:pPr>
      <w:r>
        <w:rPr>
          <w:rFonts w:hint="eastAsia" w:ascii="微软雅黑" w:hAnsi="微软雅黑" w:eastAsia="微软雅黑"/>
          <w:color w:val="auto"/>
          <w:highlight w:val="none"/>
        </w:rPr>
        <w:t>第一章</w:t>
      </w:r>
      <w:bookmarkEnd w:id="8"/>
      <w:bookmarkEnd w:id="9"/>
      <w:bookmarkStart w:id="11" w:name="_Toc35393789"/>
      <w:bookmarkStart w:id="12" w:name="_Toc28359001"/>
      <w:r>
        <w:rPr>
          <w:rFonts w:hint="eastAsia" w:ascii="微软雅黑" w:hAnsi="微软雅黑" w:eastAsia="微软雅黑"/>
          <w:color w:val="auto"/>
          <w:highlight w:val="none"/>
        </w:rPr>
        <w:t xml:space="preserve"> </w:t>
      </w:r>
      <w:bookmarkStart w:id="13" w:name="OLE_LINK17"/>
      <w:r>
        <w:rPr>
          <w:rFonts w:hint="eastAsia" w:ascii="微软雅黑" w:hAnsi="微软雅黑" w:eastAsia="微软雅黑"/>
          <w:color w:val="auto"/>
          <w:highlight w:val="none"/>
        </w:rPr>
        <w:t>招标公告</w:t>
      </w:r>
      <w:bookmarkEnd w:id="10"/>
      <w:bookmarkEnd w:id="11"/>
      <w:bookmarkEnd w:id="12"/>
    </w:p>
    <w:p w14:paraId="66D35A36">
      <w:pPr>
        <w:pBdr>
          <w:top w:val="single" w:color="auto" w:sz="4" w:space="1"/>
          <w:left w:val="single" w:color="auto" w:sz="4" w:space="4"/>
          <w:bottom w:val="single" w:color="auto" w:sz="4" w:space="1"/>
          <w:right w:val="single" w:color="auto" w:sz="4" w:space="4"/>
        </w:pBdr>
        <w:spacing w:line="400" w:lineRule="exact"/>
        <w:ind w:firstLine="420" w:firstLineChars="200"/>
        <w:rPr>
          <w:rFonts w:hint="eastAsia" w:ascii="微软雅黑" w:hAnsi="微软雅黑" w:eastAsia="微软雅黑"/>
          <w:b/>
          <w:bCs/>
          <w:color w:val="auto"/>
          <w:szCs w:val="21"/>
          <w:highlight w:val="none"/>
          <w:lang w:eastAsia="zh-CN"/>
        </w:rPr>
      </w:pPr>
      <w:r>
        <w:rPr>
          <w:rFonts w:hint="eastAsia" w:ascii="微软雅黑" w:hAnsi="微软雅黑" w:eastAsia="微软雅黑"/>
          <w:b/>
          <w:bCs/>
          <w:color w:val="auto"/>
          <w:szCs w:val="21"/>
          <w:highlight w:val="none"/>
        </w:rPr>
        <w:t>项目概况</w:t>
      </w:r>
      <w:r>
        <w:rPr>
          <w:rFonts w:hint="eastAsia" w:ascii="微软雅黑" w:hAnsi="微软雅黑" w:eastAsia="微软雅黑"/>
          <w:b/>
          <w:bCs/>
          <w:color w:val="auto"/>
          <w:szCs w:val="21"/>
          <w:highlight w:val="none"/>
          <w:lang w:eastAsia="zh-CN"/>
        </w:rPr>
        <w:t>：</w:t>
      </w:r>
    </w:p>
    <w:p w14:paraId="7FEF523D">
      <w:pPr>
        <w:pBdr>
          <w:top w:val="single" w:color="auto" w:sz="4" w:space="1"/>
          <w:left w:val="single" w:color="auto" w:sz="4" w:space="4"/>
          <w:bottom w:val="single" w:color="auto" w:sz="4" w:space="1"/>
          <w:right w:val="single" w:color="auto" w:sz="4" w:space="4"/>
        </w:pBdr>
        <w:spacing w:line="400" w:lineRule="exact"/>
        <w:ind w:firstLine="420" w:firstLineChars="200"/>
        <w:rPr>
          <w:rFonts w:ascii="微软雅黑" w:hAnsi="微软雅黑" w:eastAsia="微软雅黑"/>
          <w:color w:val="auto"/>
          <w:szCs w:val="21"/>
          <w:highlight w:val="none"/>
        </w:rPr>
      </w:pPr>
      <w:r>
        <w:rPr>
          <w:rFonts w:hint="eastAsia" w:ascii="微软雅黑" w:hAnsi="微软雅黑" w:eastAsia="微软雅黑"/>
          <w:b/>
          <w:bCs/>
          <w:color w:val="auto"/>
          <w:szCs w:val="21"/>
          <w:highlight w:val="none"/>
          <w:u w:val="single"/>
          <w:lang w:val="en-US" w:eastAsia="zh-CN"/>
        </w:rPr>
        <w:t>广西公安数字化改革之技术支撑体系项目（三）</w:t>
      </w:r>
      <w:r>
        <w:rPr>
          <w:rFonts w:hint="eastAsia" w:ascii="微软雅黑" w:hAnsi="微软雅黑" w:eastAsia="微软雅黑"/>
          <w:color w:val="auto"/>
          <w:szCs w:val="21"/>
          <w:highlight w:val="none"/>
        </w:rPr>
        <w:t>招标项目的潜在投标人应在</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）获取（下载）招标文件，并于</w:t>
      </w:r>
      <w:bookmarkStart w:id="14" w:name="OLE_LINK2"/>
      <w:r>
        <w:rPr>
          <w:rFonts w:hint="eastAsia" w:ascii="微软雅黑" w:hAnsi="微软雅黑" w:eastAsia="微软雅黑"/>
          <w:color w:val="auto"/>
          <w:szCs w:val="21"/>
          <w:highlight w:val="none"/>
          <w:u w:val="single"/>
        </w:rPr>
        <w:t>2024</w:t>
      </w:r>
      <w:r>
        <w:rPr>
          <w:rFonts w:hint="eastAsia" w:ascii="微软雅黑" w:hAnsi="微软雅黑" w:eastAsia="微软雅黑"/>
          <w:bCs/>
          <w:color w:val="auto"/>
          <w:szCs w:val="21"/>
          <w:highlight w:val="none"/>
          <w:u w:val="single"/>
        </w:rPr>
        <w:t>年</w:t>
      </w:r>
      <w:r>
        <w:rPr>
          <w:rFonts w:hint="eastAsia" w:ascii="微软雅黑" w:hAnsi="微软雅黑" w:eastAsia="微软雅黑"/>
          <w:bCs/>
          <w:color w:val="auto"/>
          <w:szCs w:val="21"/>
          <w:highlight w:val="none"/>
          <w:u w:val="single"/>
          <w:lang w:val="en-US" w:eastAsia="zh-CN"/>
        </w:rPr>
        <w:t>11</w:t>
      </w:r>
      <w:r>
        <w:rPr>
          <w:rFonts w:hint="eastAsia" w:ascii="微软雅黑" w:hAnsi="微软雅黑" w:eastAsia="微软雅黑"/>
          <w:bCs/>
          <w:color w:val="auto"/>
          <w:szCs w:val="21"/>
          <w:highlight w:val="none"/>
          <w:u w:val="single"/>
        </w:rPr>
        <w:t>月</w:t>
      </w:r>
      <w:r>
        <w:rPr>
          <w:rFonts w:hint="eastAsia" w:ascii="微软雅黑" w:hAnsi="微软雅黑" w:eastAsia="微软雅黑"/>
          <w:bCs/>
          <w:color w:val="auto"/>
          <w:szCs w:val="21"/>
          <w:highlight w:val="none"/>
          <w:u w:val="single"/>
          <w:lang w:val="en-US" w:eastAsia="zh-CN"/>
        </w:rPr>
        <w:t>7</w:t>
      </w:r>
      <w:r>
        <w:rPr>
          <w:rFonts w:hint="eastAsia" w:ascii="微软雅黑" w:hAnsi="微软雅黑" w:eastAsia="微软雅黑"/>
          <w:bCs/>
          <w:color w:val="auto"/>
          <w:szCs w:val="21"/>
          <w:highlight w:val="none"/>
          <w:u w:val="single"/>
        </w:rPr>
        <w:t>日9时30分</w:t>
      </w:r>
      <w:bookmarkEnd w:id="14"/>
      <w:r>
        <w:rPr>
          <w:rFonts w:hint="eastAsia" w:ascii="微软雅黑" w:hAnsi="微软雅黑" w:eastAsia="微软雅黑"/>
          <w:bCs/>
          <w:color w:val="auto"/>
          <w:szCs w:val="21"/>
          <w:highlight w:val="none"/>
          <w:u w:val="single"/>
        </w:rPr>
        <w:t>（</w:t>
      </w:r>
      <w:r>
        <w:rPr>
          <w:rFonts w:hint="eastAsia" w:ascii="微软雅黑" w:hAnsi="微软雅黑" w:eastAsia="微软雅黑"/>
          <w:bCs/>
          <w:color w:val="auto"/>
          <w:szCs w:val="21"/>
          <w:highlight w:val="none"/>
        </w:rPr>
        <w:t>北京时间）前按要求递交（上传）投标</w:t>
      </w:r>
      <w:r>
        <w:rPr>
          <w:rFonts w:ascii="微软雅黑" w:hAnsi="微软雅黑" w:eastAsia="微软雅黑"/>
          <w:bCs/>
          <w:color w:val="auto"/>
          <w:szCs w:val="21"/>
          <w:highlight w:val="none"/>
        </w:rPr>
        <w:t>文件</w:t>
      </w:r>
      <w:r>
        <w:rPr>
          <w:rFonts w:hint="eastAsia" w:ascii="微软雅黑" w:hAnsi="微软雅黑" w:eastAsia="微软雅黑"/>
          <w:color w:val="auto"/>
          <w:szCs w:val="21"/>
          <w:highlight w:val="none"/>
        </w:rPr>
        <w:t>。</w:t>
      </w:r>
    </w:p>
    <w:p w14:paraId="257C30D8">
      <w:pPr>
        <w:spacing w:line="400" w:lineRule="exact"/>
        <w:outlineLvl w:val="1"/>
        <w:rPr>
          <w:rFonts w:ascii="微软雅黑" w:hAnsi="微软雅黑" w:eastAsia="微软雅黑"/>
          <w:b/>
          <w:bCs/>
          <w:color w:val="auto"/>
          <w:sz w:val="24"/>
          <w:highlight w:val="none"/>
        </w:rPr>
      </w:pPr>
      <w:bookmarkStart w:id="15" w:name="_Toc28359079"/>
      <w:bookmarkStart w:id="16" w:name="_Toc28359002"/>
      <w:bookmarkStart w:id="17" w:name="_Toc35393621"/>
      <w:bookmarkStart w:id="18" w:name="_Toc35393790"/>
      <w:bookmarkStart w:id="19" w:name="_Hlk24379207"/>
      <w:r>
        <w:rPr>
          <w:rFonts w:hint="eastAsia" w:ascii="微软雅黑" w:hAnsi="微软雅黑" w:eastAsia="微软雅黑"/>
          <w:b/>
          <w:bCs/>
          <w:color w:val="auto"/>
          <w:sz w:val="24"/>
          <w:highlight w:val="none"/>
        </w:rPr>
        <w:t>一、项目基本情况</w:t>
      </w:r>
      <w:bookmarkEnd w:id="15"/>
      <w:bookmarkEnd w:id="16"/>
      <w:bookmarkEnd w:id="17"/>
      <w:bookmarkEnd w:id="18"/>
      <w:bookmarkStart w:id="295" w:name="_GoBack"/>
      <w:bookmarkEnd w:id="295"/>
    </w:p>
    <w:bookmarkEnd w:id="19"/>
    <w:p w14:paraId="7AD5F26D">
      <w:pPr>
        <w:spacing w:line="400" w:lineRule="exact"/>
        <w:ind w:firstLine="420" w:firstLineChars="2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rPr>
        <w:fldChar w:fldCharType="begin"/>
      </w:r>
      <w:r>
        <w:rPr>
          <w:rFonts w:hint="eastAsia" w:ascii="微软雅黑" w:hAnsi="微软雅黑" w:eastAsia="微软雅黑"/>
          <w:color w:val="auto"/>
          <w:szCs w:val="21"/>
          <w:highlight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微软雅黑" w:hAnsi="微软雅黑" w:eastAsia="微软雅黑"/>
          <w:color w:val="auto"/>
          <w:szCs w:val="21"/>
          <w:highlight w:val="none"/>
        </w:rPr>
        <w:fldChar w:fldCharType="separate"/>
      </w:r>
      <w:r>
        <w:rPr>
          <w:rFonts w:hint="eastAsia" w:ascii="微软雅黑" w:hAnsi="微软雅黑" w:eastAsia="微软雅黑"/>
          <w:color w:val="auto"/>
          <w:szCs w:val="21"/>
          <w:highlight w:val="none"/>
        </w:rPr>
        <w:t>GXZC2024-G3-005615-HXXM</w:t>
      </w:r>
      <w:r>
        <w:rPr>
          <w:rFonts w:hint="eastAsia" w:ascii="微软雅黑" w:hAnsi="微软雅黑" w:eastAsia="微软雅黑"/>
          <w:color w:val="auto"/>
          <w:szCs w:val="21"/>
          <w:highlight w:val="none"/>
        </w:rPr>
        <w:fldChar w:fldCharType="end"/>
      </w:r>
    </w:p>
    <w:p w14:paraId="30D8B60B">
      <w:pPr>
        <w:spacing w:line="400" w:lineRule="exact"/>
        <w:ind w:firstLine="420" w:firstLineChars="200"/>
        <w:rPr>
          <w:rFonts w:hint="eastAsia"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rPr>
        <w:t>项目名称：广西公安数字化改革之</w:t>
      </w:r>
      <w:r>
        <w:rPr>
          <w:rFonts w:hint="eastAsia" w:ascii="微软雅黑" w:hAnsi="微软雅黑" w:eastAsia="微软雅黑"/>
          <w:color w:val="auto"/>
          <w:szCs w:val="21"/>
          <w:highlight w:val="none"/>
          <w:lang w:eastAsia="zh-CN"/>
        </w:rPr>
        <w:t>技术支撑体系项目（三）</w:t>
      </w:r>
      <w:r>
        <w:rPr>
          <w:rFonts w:hint="eastAsia" w:ascii="微软雅黑" w:hAnsi="微软雅黑" w:eastAsia="微软雅黑"/>
          <w:color w:val="auto"/>
          <w:szCs w:val="21"/>
          <w:highlight w:val="none"/>
          <w:lang w:val="en-US" w:eastAsia="zh-CN"/>
        </w:rPr>
        <w:t xml:space="preserve"> </w:t>
      </w:r>
    </w:p>
    <w:p w14:paraId="375DAA3A">
      <w:pPr>
        <w:spacing w:line="400" w:lineRule="exact"/>
        <w:ind w:firstLine="420" w:firstLineChars="200"/>
        <w:rPr>
          <w:rFonts w:hint="eastAsia" w:ascii="微软雅黑" w:hAnsi="微软雅黑" w:eastAsia="微软雅黑" w:cs="Times New Roman"/>
          <w:color w:val="auto"/>
          <w:highlight w:val="none"/>
        </w:rPr>
      </w:pPr>
      <w:r>
        <w:rPr>
          <w:rFonts w:hint="eastAsia" w:ascii="微软雅黑" w:hAnsi="微软雅黑" w:eastAsia="微软雅黑"/>
          <w:color w:val="auto"/>
          <w:highlight w:val="none"/>
        </w:rPr>
        <w:t>预算总金额（元）</w:t>
      </w:r>
      <w:r>
        <w:rPr>
          <w:rFonts w:hint="eastAsia" w:ascii="微软雅黑" w:hAnsi="微软雅黑" w:eastAsia="微软雅黑"/>
          <w:color w:val="auto"/>
          <w:szCs w:val="21"/>
          <w:highlight w:val="none"/>
        </w:rPr>
        <w:t>：</w:t>
      </w:r>
      <w:r>
        <w:rPr>
          <w:rFonts w:hint="eastAsia" w:ascii="微软雅黑" w:hAnsi="微软雅黑" w:eastAsia="微软雅黑" w:cs="Times New Roman"/>
          <w:color w:val="auto"/>
          <w:highlight w:val="none"/>
          <w:lang w:val="en-US" w:eastAsia="zh-CN"/>
        </w:rPr>
        <w:t>19657400.00元</w:t>
      </w:r>
    </w:p>
    <w:p w14:paraId="79C9CAF9">
      <w:pPr>
        <w:spacing w:line="400" w:lineRule="exact"/>
        <w:ind w:firstLine="420" w:firstLineChars="200"/>
        <w:rPr>
          <w:rFonts w:hint="eastAsia" w:ascii="微软雅黑" w:hAnsi="微软雅黑" w:eastAsia="微软雅黑"/>
          <w:color w:val="auto"/>
          <w:szCs w:val="21"/>
          <w:highlight w:val="none"/>
          <w:lang w:val="en-US" w:eastAsia="zh-CN"/>
        </w:rPr>
      </w:pPr>
      <w:r>
        <w:rPr>
          <w:rFonts w:hint="eastAsia" w:ascii="微软雅黑" w:hAnsi="微软雅黑" w:eastAsia="微软雅黑"/>
          <w:color w:val="auto"/>
          <w:szCs w:val="21"/>
          <w:highlight w:val="none"/>
        </w:rPr>
        <w:t>最高限价（如有）：</w:t>
      </w:r>
      <w:r>
        <w:rPr>
          <w:rFonts w:hint="eastAsia" w:ascii="微软雅黑" w:hAnsi="微软雅黑" w:eastAsia="微软雅黑"/>
          <w:color w:val="auto"/>
          <w:szCs w:val="21"/>
          <w:highlight w:val="none"/>
          <w:lang w:val="en-US" w:eastAsia="zh-CN"/>
        </w:rPr>
        <w:t>同采购预算金额</w:t>
      </w:r>
    </w:p>
    <w:p w14:paraId="76A1B43B">
      <w:pPr>
        <w:spacing w:line="400" w:lineRule="exact"/>
        <w:ind w:firstLine="420" w:firstLineChars="200"/>
        <w:rPr>
          <w:rFonts w:hint="eastAsia" w:ascii="微软雅黑" w:hAnsi="微软雅黑" w:eastAsia="微软雅黑"/>
          <w:color w:val="auto"/>
          <w:szCs w:val="21"/>
          <w:highlight w:val="none"/>
          <w:lang w:val="en-US" w:eastAsia="zh-CN"/>
        </w:rPr>
      </w:pPr>
      <w:r>
        <w:rPr>
          <w:rFonts w:hint="eastAsia" w:ascii="微软雅黑" w:hAnsi="微软雅黑" w:eastAsia="微软雅黑"/>
          <w:color w:val="auto"/>
          <w:szCs w:val="21"/>
          <w:highlight w:val="none"/>
          <w:lang w:val="en-US" w:eastAsia="zh-CN"/>
        </w:rPr>
        <w:t>采购需求：</w:t>
      </w:r>
    </w:p>
    <w:tbl>
      <w:tblPr>
        <w:tblStyle w:val="46"/>
        <w:tblpPr w:leftFromText="180" w:rightFromText="180" w:vertAnchor="text" w:horzAnchor="page" w:tblpX="1763" w:tblpY="352"/>
        <w:tblOverlap w:val="never"/>
        <w:tblW w:w="87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368"/>
        <w:gridCol w:w="957"/>
        <w:gridCol w:w="5563"/>
      </w:tblGrid>
      <w:tr w14:paraId="675316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900" w:type="dxa"/>
            <w:tcBorders>
              <w:top w:val="single" w:color="auto" w:sz="4" w:space="0"/>
              <w:left w:val="single" w:color="auto" w:sz="4" w:space="0"/>
              <w:bottom w:val="single" w:color="auto" w:sz="4" w:space="0"/>
              <w:right w:val="single" w:color="auto" w:sz="4" w:space="0"/>
            </w:tcBorders>
            <w:vAlign w:val="center"/>
          </w:tcPr>
          <w:p w14:paraId="0E79C5B4">
            <w:pPr>
              <w:snapToGrid/>
              <w:spacing w:line="240" w:lineRule="auto"/>
              <w:ind w:firstLine="0" w:firstLineChars="0"/>
              <w:jc w:val="center"/>
              <w:rPr>
                <w:rFonts w:hint="eastAsia" w:ascii="微软雅黑" w:hAnsi="微软雅黑" w:eastAsia="微软雅黑" w:cs="微软雅黑"/>
                <w:b/>
                <w:bCs/>
                <w:color w:val="auto"/>
                <w:szCs w:val="21"/>
                <w:highlight w:val="none"/>
              </w:rPr>
            </w:pPr>
            <w:bookmarkStart w:id="20" w:name="OLE_LINK15"/>
            <w:r>
              <w:rPr>
                <w:rFonts w:hint="eastAsia" w:ascii="微软雅黑" w:hAnsi="微软雅黑" w:eastAsia="微软雅黑" w:cs="微软雅黑"/>
                <w:b/>
                <w:bCs/>
                <w:color w:val="auto"/>
                <w:szCs w:val="21"/>
                <w:highlight w:val="none"/>
              </w:rPr>
              <w:t>序号</w:t>
            </w:r>
          </w:p>
        </w:tc>
        <w:tc>
          <w:tcPr>
            <w:tcW w:w="1368" w:type="dxa"/>
            <w:tcBorders>
              <w:top w:val="single" w:color="auto" w:sz="4" w:space="0"/>
              <w:left w:val="single" w:color="auto" w:sz="4" w:space="0"/>
              <w:bottom w:val="single" w:color="auto" w:sz="4" w:space="0"/>
              <w:right w:val="single" w:color="auto" w:sz="4" w:space="0"/>
            </w:tcBorders>
            <w:vAlign w:val="center"/>
          </w:tcPr>
          <w:p w14:paraId="524B4724">
            <w:pPr>
              <w:snapToGrid/>
              <w:spacing w:line="240" w:lineRule="auto"/>
              <w:ind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标的的名称</w:t>
            </w:r>
          </w:p>
        </w:tc>
        <w:tc>
          <w:tcPr>
            <w:tcW w:w="957" w:type="dxa"/>
            <w:tcBorders>
              <w:top w:val="single" w:color="auto" w:sz="4" w:space="0"/>
              <w:left w:val="single" w:color="auto" w:sz="4" w:space="0"/>
              <w:bottom w:val="single" w:color="auto" w:sz="4" w:space="0"/>
              <w:right w:val="single" w:color="auto" w:sz="4" w:space="0"/>
            </w:tcBorders>
            <w:vAlign w:val="center"/>
          </w:tcPr>
          <w:p w14:paraId="7C47DBAC">
            <w:pPr>
              <w:snapToGrid/>
              <w:spacing w:line="240" w:lineRule="auto"/>
              <w:ind w:firstLine="0" w:firstLineChars="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数量及单位</w:t>
            </w:r>
          </w:p>
        </w:tc>
        <w:tc>
          <w:tcPr>
            <w:tcW w:w="5563" w:type="dxa"/>
            <w:tcBorders>
              <w:top w:val="single" w:color="auto" w:sz="4" w:space="0"/>
              <w:left w:val="single" w:color="auto" w:sz="4" w:space="0"/>
              <w:bottom w:val="single" w:color="auto" w:sz="4" w:space="0"/>
              <w:right w:val="single" w:color="auto" w:sz="4" w:space="0"/>
            </w:tcBorders>
            <w:vAlign w:val="center"/>
          </w:tcPr>
          <w:p w14:paraId="558A6CB2">
            <w:pPr>
              <w:snapToGrid/>
              <w:spacing w:line="240" w:lineRule="auto"/>
              <w:ind w:firstLine="420" w:firstLineChars="20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简要技术需求或者服务要求</w:t>
            </w:r>
          </w:p>
        </w:tc>
      </w:tr>
      <w:tr w14:paraId="02ABFD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8" w:hRule="atLeast"/>
        </w:trPr>
        <w:tc>
          <w:tcPr>
            <w:tcW w:w="900" w:type="dxa"/>
            <w:tcBorders>
              <w:top w:val="single" w:color="auto" w:sz="4" w:space="0"/>
              <w:left w:val="single" w:color="auto" w:sz="4" w:space="0"/>
              <w:bottom w:val="single" w:color="auto" w:sz="4" w:space="0"/>
              <w:right w:val="single" w:color="auto" w:sz="4" w:space="0"/>
            </w:tcBorders>
            <w:vAlign w:val="center"/>
          </w:tcPr>
          <w:p w14:paraId="057F7E2F">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1368" w:type="dxa"/>
            <w:tcBorders>
              <w:top w:val="single" w:color="auto" w:sz="4" w:space="0"/>
              <w:left w:val="single" w:color="auto" w:sz="4" w:space="0"/>
              <w:bottom w:val="single" w:color="auto" w:sz="4" w:space="0"/>
              <w:right w:val="single" w:color="auto" w:sz="4" w:space="0"/>
            </w:tcBorders>
            <w:vAlign w:val="center"/>
          </w:tcPr>
          <w:p w14:paraId="69A0B64A">
            <w:pPr>
              <w:keepNext w:val="0"/>
              <w:keepLines w:val="0"/>
              <w:widowControl/>
              <w:suppressLineNumbers w:val="0"/>
              <w:spacing w:line="240" w:lineRule="auto"/>
              <w:jc w:val="center"/>
              <w:textAlignment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i w:val="0"/>
                <w:iCs w:val="0"/>
                <w:color w:val="auto"/>
                <w:kern w:val="0"/>
                <w:sz w:val="22"/>
                <w:szCs w:val="22"/>
                <w:highlight w:val="none"/>
                <w:u w:val="none"/>
                <w:lang w:val="en-US" w:eastAsia="zh-CN" w:bidi="ar"/>
              </w:rPr>
              <w:t>警用地理信息平台升级</w:t>
            </w:r>
          </w:p>
        </w:tc>
        <w:tc>
          <w:tcPr>
            <w:tcW w:w="957" w:type="dxa"/>
            <w:tcBorders>
              <w:top w:val="single" w:color="auto" w:sz="4" w:space="0"/>
              <w:left w:val="single" w:color="auto" w:sz="4" w:space="0"/>
              <w:bottom w:val="single" w:color="auto" w:sz="4" w:space="0"/>
              <w:right w:val="single" w:color="auto" w:sz="4" w:space="0"/>
            </w:tcBorders>
            <w:vAlign w:val="center"/>
          </w:tcPr>
          <w:p w14:paraId="2D74AA10">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1项</w:t>
            </w:r>
          </w:p>
        </w:tc>
        <w:tc>
          <w:tcPr>
            <w:tcW w:w="5563" w:type="dxa"/>
            <w:tcBorders>
              <w:top w:val="single" w:color="auto" w:sz="4" w:space="0"/>
              <w:left w:val="single" w:color="auto" w:sz="4" w:space="0"/>
              <w:bottom w:val="single" w:color="auto" w:sz="4" w:space="0"/>
              <w:right w:val="single" w:color="auto" w:sz="4" w:space="0"/>
            </w:tcBorders>
            <w:vAlign w:val="center"/>
          </w:tcPr>
          <w:p w14:paraId="342D29E3">
            <w:pPr>
              <w:pStyle w:val="23"/>
              <w:numPr>
                <w:ilvl w:val="0"/>
                <w:numId w:val="0"/>
              </w:numPr>
              <w:spacing w:line="240" w:lineRule="auto"/>
              <w:outlineLvl w:val="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2"/>
                <w:sz w:val="21"/>
                <w:szCs w:val="21"/>
                <w:highlight w:val="none"/>
                <w:lang w:val="en-US" w:eastAsia="zh-CN"/>
              </w:rPr>
              <w:t>按照公安大数据相关标准开展数据接入、处理、组织和治理，形成基础地理信息库、地址资源库、动态资源库和业务关注库。依托警用地理信息平台数据、服务规范，通过数据采购、汇聚、服务联网等方式，整合精细化、高鲜度的栅格地图、影像地图、矢量地图、三维地图等，并通过警用地理信息平台对外发布服务，形成全区统一基础地图，</w:t>
            </w:r>
            <w:r>
              <w:rPr>
                <w:rFonts w:hint="eastAsia" w:ascii="微软雅黑" w:hAnsi="微软雅黑" w:eastAsia="微软雅黑" w:cs="微软雅黑"/>
                <w:color w:val="auto"/>
                <w:kern w:val="2"/>
                <w:sz w:val="21"/>
                <w:highlight w:val="none"/>
                <w:lang w:val="en-US" w:eastAsia="zh-CN"/>
              </w:rPr>
              <w:t>具体</w:t>
            </w:r>
            <w:r>
              <w:rPr>
                <w:rFonts w:hint="eastAsia" w:ascii="微软雅黑" w:hAnsi="微软雅黑" w:eastAsia="微软雅黑" w:cs="微软雅黑"/>
                <w:color w:val="auto"/>
                <w:kern w:val="2"/>
                <w:sz w:val="21"/>
                <w:szCs w:val="21"/>
                <w:highlight w:val="none"/>
              </w:rPr>
              <w:t>详见</w:t>
            </w:r>
            <w:r>
              <w:rPr>
                <w:rFonts w:hint="eastAsia" w:ascii="微软雅黑" w:hAnsi="微软雅黑" w:eastAsia="微软雅黑" w:cs="微软雅黑"/>
                <w:color w:val="auto"/>
                <w:kern w:val="2"/>
                <w:sz w:val="21"/>
                <w:szCs w:val="21"/>
                <w:highlight w:val="none"/>
                <w:lang w:val="en-US" w:eastAsia="zh-CN"/>
              </w:rPr>
              <w:t>招标文件《第二章  采购需求》内容。</w:t>
            </w:r>
          </w:p>
        </w:tc>
      </w:tr>
      <w:tr w14:paraId="2E0B21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left w:val="single" w:color="auto" w:sz="4" w:space="0"/>
              <w:bottom w:val="single" w:color="auto" w:sz="4" w:space="0"/>
              <w:right w:val="single" w:color="auto" w:sz="4" w:space="0"/>
            </w:tcBorders>
            <w:vAlign w:val="center"/>
          </w:tcPr>
          <w:p w14:paraId="6E726F34">
            <w:pPr>
              <w:snapToGrid w:val="0"/>
              <w:spacing w:line="240" w:lineRule="auto"/>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w:t>
            </w:r>
          </w:p>
        </w:tc>
        <w:tc>
          <w:tcPr>
            <w:tcW w:w="1368" w:type="dxa"/>
            <w:tcBorders>
              <w:top w:val="single" w:color="auto" w:sz="4" w:space="0"/>
              <w:left w:val="single" w:color="auto" w:sz="4" w:space="0"/>
              <w:bottom w:val="single" w:color="auto" w:sz="4" w:space="0"/>
              <w:right w:val="single" w:color="auto" w:sz="4" w:space="0"/>
            </w:tcBorders>
            <w:vAlign w:val="center"/>
          </w:tcPr>
          <w:p w14:paraId="4689866A">
            <w:pPr>
              <w:keepNext w:val="0"/>
              <w:keepLines w:val="0"/>
              <w:widowControl/>
              <w:suppressLineNumbers w:val="0"/>
              <w:spacing w:line="240" w:lineRule="auto"/>
              <w:jc w:val="center"/>
              <w:textAlignment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i w:val="0"/>
                <w:iCs w:val="0"/>
                <w:color w:val="auto"/>
                <w:kern w:val="0"/>
                <w:sz w:val="22"/>
                <w:szCs w:val="22"/>
                <w:highlight w:val="none"/>
                <w:u w:val="none"/>
                <w:lang w:val="en-US" w:eastAsia="zh-CN" w:bidi="ar"/>
              </w:rPr>
              <w:t>信息共享与业务协同平台</w:t>
            </w:r>
          </w:p>
        </w:tc>
        <w:tc>
          <w:tcPr>
            <w:tcW w:w="957" w:type="dxa"/>
            <w:tcBorders>
              <w:top w:val="single" w:color="auto" w:sz="4" w:space="0"/>
              <w:left w:val="single" w:color="auto" w:sz="4" w:space="0"/>
              <w:bottom w:val="single" w:color="auto" w:sz="4" w:space="0"/>
              <w:right w:val="single" w:color="auto" w:sz="4" w:space="0"/>
            </w:tcBorders>
            <w:vAlign w:val="center"/>
          </w:tcPr>
          <w:p w14:paraId="12D41FB6">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1项</w:t>
            </w:r>
          </w:p>
        </w:tc>
        <w:tc>
          <w:tcPr>
            <w:tcW w:w="5563" w:type="dxa"/>
            <w:tcBorders>
              <w:top w:val="single" w:color="auto" w:sz="4" w:space="0"/>
              <w:left w:val="single" w:color="auto" w:sz="4" w:space="0"/>
              <w:bottom w:val="single" w:color="auto" w:sz="4" w:space="0"/>
              <w:right w:val="single" w:color="auto" w:sz="4" w:space="0"/>
            </w:tcBorders>
            <w:vAlign w:val="center"/>
          </w:tcPr>
          <w:p w14:paraId="78C37F40">
            <w:pPr>
              <w:snapToGrid w:val="0"/>
              <w:spacing w:line="240" w:lineRule="auto"/>
              <w:ind w:firstLine="0" w:firstLineChars="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1"/>
                <w:szCs w:val="21"/>
                <w:highlight w:val="none"/>
              </w:rPr>
              <w:t>通过本平台建设满足各级公安机关与政府部门和社会机构间的信息共享与服务工作，丰富公安社会信息资源，实现公安数据信息的社会化服务，提高公安信息社会化服务水平，同时满足信息共享与协作工作能力，从而提高共享数据管理精细化、规范化、信息化水平，实现政务、政法、社企信息化资源共享。</w:t>
            </w:r>
            <w:r>
              <w:rPr>
                <w:rFonts w:hint="eastAsia" w:ascii="微软雅黑" w:hAnsi="微软雅黑" w:eastAsia="微软雅黑" w:cs="微软雅黑"/>
                <w:color w:val="auto"/>
                <w:kern w:val="2"/>
                <w:szCs w:val="21"/>
                <w:highlight w:val="none"/>
                <w:lang w:val="en-US" w:eastAsia="zh-CN"/>
              </w:rPr>
              <w:t>具体</w:t>
            </w:r>
            <w:r>
              <w:rPr>
                <w:rFonts w:hint="eastAsia" w:ascii="微软雅黑" w:hAnsi="微软雅黑" w:eastAsia="微软雅黑" w:cs="微软雅黑"/>
                <w:color w:val="auto"/>
                <w:szCs w:val="21"/>
                <w:highlight w:val="none"/>
              </w:rPr>
              <w:t>详见</w:t>
            </w:r>
            <w:r>
              <w:rPr>
                <w:rFonts w:hint="eastAsia" w:ascii="微软雅黑" w:hAnsi="微软雅黑" w:eastAsia="微软雅黑" w:cs="微软雅黑"/>
                <w:color w:val="auto"/>
                <w:szCs w:val="21"/>
                <w:highlight w:val="none"/>
                <w:lang w:val="en-US" w:eastAsia="zh-CN"/>
              </w:rPr>
              <w:t>招标文件《第二章  采购需求》内容。</w:t>
            </w:r>
          </w:p>
        </w:tc>
      </w:tr>
      <w:tr w14:paraId="02833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900" w:type="dxa"/>
            <w:tcBorders>
              <w:top w:val="single" w:color="auto" w:sz="4" w:space="0"/>
              <w:left w:val="single" w:color="auto" w:sz="4" w:space="0"/>
              <w:bottom w:val="single" w:color="auto" w:sz="4" w:space="0"/>
              <w:right w:val="single" w:color="auto" w:sz="4" w:space="0"/>
            </w:tcBorders>
            <w:vAlign w:val="center"/>
          </w:tcPr>
          <w:p w14:paraId="48786BF6">
            <w:pPr>
              <w:snapToGrid w:val="0"/>
              <w:spacing w:line="240" w:lineRule="auto"/>
              <w:jc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w:t>
            </w:r>
          </w:p>
        </w:tc>
        <w:tc>
          <w:tcPr>
            <w:tcW w:w="1368" w:type="dxa"/>
            <w:tcBorders>
              <w:top w:val="single" w:color="auto" w:sz="4" w:space="0"/>
              <w:left w:val="single" w:color="auto" w:sz="4" w:space="0"/>
              <w:bottom w:val="single" w:color="auto" w:sz="4" w:space="0"/>
              <w:right w:val="single" w:color="auto" w:sz="4" w:space="0"/>
            </w:tcBorders>
            <w:vAlign w:val="center"/>
          </w:tcPr>
          <w:p w14:paraId="2DA85B07">
            <w:pPr>
              <w:keepNext w:val="0"/>
              <w:keepLines w:val="0"/>
              <w:widowControl/>
              <w:suppressLineNumbers w:val="0"/>
              <w:spacing w:line="240" w:lineRule="auto"/>
              <w:jc w:val="center"/>
              <w:textAlignment w:val="center"/>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i w:val="0"/>
                <w:iCs w:val="0"/>
                <w:color w:val="auto"/>
                <w:kern w:val="0"/>
                <w:sz w:val="22"/>
                <w:szCs w:val="22"/>
                <w:highlight w:val="none"/>
                <w:u w:val="none"/>
                <w:lang w:val="en-US" w:eastAsia="zh-CN" w:bidi="ar"/>
              </w:rPr>
              <w:t>大数据实战平台</w:t>
            </w:r>
          </w:p>
        </w:tc>
        <w:tc>
          <w:tcPr>
            <w:tcW w:w="957" w:type="dxa"/>
            <w:tcBorders>
              <w:top w:val="single" w:color="auto" w:sz="4" w:space="0"/>
              <w:left w:val="single" w:color="auto" w:sz="4" w:space="0"/>
              <w:bottom w:val="single" w:color="auto" w:sz="4" w:space="0"/>
              <w:right w:val="single" w:color="auto" w:sz="4" w:space="0"/>
            </w:tcBorders>
            <w:vAlign w:val="center"/>
          </w:tcPr>
          <w:p w14:paraId="379721A6">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1项</w:t>
            </w:r>
          </w:p>
        </w:tc>
        <w:tc>
          <w:tcPr>
            <w:tcW w:w="5563" w:type="dxa"/>
            <w:tcBorders>
              <w:top w:val="single" w:color="auto" w:sz="4" w:space="0"/>
              <w:left w:val="single" w:color="auto" w:sz="4" w:space="0"/>
              <w:bottom w:val="single" w:color="auto" w:sz="4" w:space="0"/>
              <w:right w:val="single" w:color="auto" w:sz="4" w:space="0"/>
            </w:tcBorders>
            <w:vAlign w:val="center"/>
          </w:tcPr>
          <w:p w14:paraId="32F408DA">
            <w:pPr>
              <w:snapToGrid w:val="0"/>
              <w:spacing w:line="240" w:lineRule="auto"/>
              <w:ind w:firstLine="210" w:firstLineChars="1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1"/>
                <w:szCs w:val="21"/>
                <w:highlight w:val="none"/>
                <w:lang w:val="en-US" w:eastAsia="zh-CN"/>
              </w:rPr>
              <w:t>升级视图数据汇聚能力，汇聚本地公安机关视图数据资源，形成目标聚档和重点人轨迹数据，与公安大数据平台共享视图资源，实现静态人像和动态人像特征共享应用。建设视频图像数据组织能力，实现视频图像数据资源分类建库。升级视图数据服务能力，深度挖掘人车轨迹、关联关系、行为规律、可疑目标等</w:t>
            </w:r>
            <w:r>
              <w:rPr>
                <w:rFonts w:hint="eastAsia" w:ascii="微软雅黑" w:hAnsi="微软雅黑" w:eastAsia="微软雅黑" w:cs="微软雅黑"/>
                <w:color w:val="auto"/>
                <w:kern w:val="2"/>
                <w:szCs w:val="21"/>
                <w:highlight w:val="none"/>
                <w:lang w:val="en-US" w:eastAsia="zh-CN"/>
              </w:rPr>
              <w:t>具体</w:t>
            </w:r>
            <w:r>
              <w:rPr>
                <w:rFonts w:hint="eastAsia" w:ascii="微软雅黑" w:hAnsi="微软雅黑" w:eastAsia="微软雅黑" w:cs="微软雅黑"/>
                <w:color w:val="auto"/>
                <w:szCs w:val="21"/>
                <w:highlight w:val="none"/>
              </w:rPr>
              <w:t>详见</w:t>
            </w:r>
            <w:r>
              <w:rPr>
                <w:rFonts w:hint="eastAsia" w:ascii="微软雅黑" w:hAnsi="微软雅黑" w:eastAsia="微软雅黑" w:cs="微软雅黑"/>
                <w:color w:val="auto"/>
                <w:szCs w:val="21"/>
                <w:highlight w:val="none"/>
                <w:lang w:val="en-US" w:eastAsia="zh-CN"/>
              </w:rPr>
              <w:t>招标文件《第二章  采购需求》内容。</w:t>
            </w:r>
          </w:p>
        </w:tc>
      </w:tr>
    </w:tbl>
    <w:p w14:paraId="549937F6">
      <w:pPr>
        <w:spacing w:line="360" w:lineRule="auto"/>
        <w:ind w:firstLine="0" w:firstLineChars="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Times New Roman"/>
          <w:color w:val="auto"/>
          <w:szCs w:val="21"/>
          <w:highlight w:val="none"/>
        </w:rPr>
        <w:t>合同履行期限：</w:t>
      </w:r>
      <w:r>
        <w:rPr>
          <w:rFonts w:hint="eastAsia" w:ascii="微软雅黑" w:hAnsi="微软雅黑" w:eastAsia="微软雅黑" w:cs="微软雅黑"/>
          <w:color w:val="auto"/>
          <w:sz w:val="21"/>
          <w:szCs w:val="21"/>
          <w:highlight w:val="none"/>
        </w:rPr>
        <w:t>自签订合同之日起180</w:t>
      </w:r>
      <w:r>
        <w:rPr>
          <w:rFonts w:hint="eastAsia" w:ascii="微软雅黑" w:hAnsi="微软雅黑" w:eastAsia="微软雅黑" w:cs="微软雅黑"/>
          <w:color w:val="auto"/>
          <w:sz w:val="21"/>
          <w:szCs w:val="21"/>
          <w:highlight w:val="none"/>
          <w:lang w:val="en-US" w:eastAsia="zh-CN"/>
        </w:rPr>
        <w:t>天</w:t>
      </w:r>
      <w:r>
        <w:rPr>
          <w:rFonts w:hint="eastAsia" w:ascii="微软雅黑" w:hAnsi="微软雅黑" w:eastAsia="微软雅黑" w:cs="微软雅黑"/>
          <w:color w:val="auto"/>
          <w:sz w:val="21"/>
          <w:szCs w:val="21"/>
          <w:highlight w:val="none"/>
        </w:rPr>
        <w:t>内完成系统</w:t>
      </w:r>
      <w:r>
        <w:rPr>
          <w:rFonts w:hint="eastAsia" w:ascii="微软雅黑" w:hAnsi="微软雅黑" w:eastAsia="微软雅黑" w:cs="微软雅黑"/>
          <w:color w:val="auto"/>
          <w:sz w:val="21"/>
          <w:szCs w:val="21"/>
          <w:highlight w:val="none"/>
          <w:lang w:eastAsia="zh-CN"/>
        </w:rPr>
        <w:t>开发、</w:t>
      </w:r>
      <w:r>
        <w:rPr>
          <w:rFonts w:hint="eastAsia" w:ascii="微软雅黑" w:hAnsi="微软雅黑" w:eastAsia="微软雅黑" w:cs="微软雅黑"/>
          <w:color w:val="auto"/>
          <w:sz w:val="21"/>
          <w:szCs w:val="21"/>
          <w:highlight w:val="none"/>
        </w:rPr>
        <w:t>部署上线</w:t>
      </w:r>
      <w:r>
        <w:rPr>
          <w:rFonts w:hint="eastAsia" w:ascii="微软雅黑" w:hAnsi="微软雅黑" w:eastAsia="微软雅黑" w:cs="微软雅黑"/>
          <w:color w:val="auto"/>
          <w:sz w:val="21"/>
          <w:szCs w:val="21"/>
          <w:highlight w:val="none"/>
          <w:lang w:eastAsia="zh-CN"/>
        </w:rPr>
        <w:t>并完成初步验收；</w:t>
      </w:r>
      <w:r>
        <w:rPr>
          <w:rFonts w:hint="eastAsia" w:ascii="微软雅黑" w:hAnsi="微软雅黑" w:eastAsia="微软雅黑" w:cs="微软雅黑"/>
          <w:color w:val="auto"/>
          <w:sz w:val="21"/>
          <w:szCs w:val="21"/>
          <w:highlight w:val="none"/>
          <w:lang w:val="en-US" w:eastAsia="zh-CN"/>
        </w:rPr>
        <w:t>项目竣工后，进入</w:t>
      </w:r>
      <w:r>
        <w:rPr>
          <w:rFonts w:hint="eastAsia" w:ascii="微软雅黑" w:hAnsi="微软雅黑" w:eastAsia="微软雅黑" w:cs="微软雅黑"/>
          <w:color w:val="auto"/>
          <w:szCs w:val="21"/>
          <w:highlight w:val="none"/>
        </w:rPr>
        <w:t>维保服务期间</w:t>
      </w:r>
      <w:r>
        <w:rPr>
          <w:rFonts w:hint="eastAsia" w:ascii="微软雅黑" w:hAnsi="微软雅黑" w:eastAsia="微软雅黑" w:cs="微软雅黑"/>
          <w:color w:val="auto"/>
          <w:szCs w:val="21"/>
          <w:highlight w:val="none"/>
          <w:lang w:eastAsia="zh-CN"/>
        </w:rPr>
        <w:t>，维保期三年。</w:t>
      </w:r>
      <w:bookmarkEnd w:id="20"/>
    </w:p>
    <w:p w14:paraId="67723C8B">
      <w:pPr>
        <w:spacing w:line="360" w:lineRule="auto"/>
        <w:ind w:firstLine="0" w:firstLineChars="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本项目</w:t>
      </w:r>
      <w:r>
        <w:rPr>
          <w:rFonts w:hint="eastAsia" w:ascii="微软雅黑" w:hAnsi="微软雅黑" w:eastAsia="微软雅黑"/>
          <w:b/>
          <w:bCs/>
          <w:color w:val="auto"/>
          <w:szCs w:val="21"/>
          <w:highlight w:val="none"/>
          <w:u w:val="single"/>
          <w:lang w:val="en-US" w:eastAsia="zh-CN"/>
        </w:rPr>
        <w:t>不</w:t>
      </w:r>
      <w:r>
        <w:rPr>
          <w:rFonts w:hint="eastAsia" w:ascii="微软雅黑" w:hAnsi="微软雅黑" w:eastAsia="微软雅黑"/>
          <w:b/>
          <w:bCs/>
          <w:color w:val="auto"/>
          <w:szCs w:val="21"/>
          <w:highlight w:val="none"/>
          <w:u w:val="single"/>
        </w:rPr>
        <w:t>接受</w:t>
      </w:r>
      <w:r>
        <w:rPr>
          <w:rFonts w:hint="eastAsia" w:ascii="微软雅黑" w:hAnsi="微软雅黑" w:eastAsia="微软雅黑"/>
          <w:color w:val="auto"/>
          <w:szCs w:val="21"/>
          <w:highlight w:val="none"/>
        </w:rPr>
        <w:t>联合体投标。</w:t>
      </w:r>
    </w:p>
    <w:p w14:paraId="19F80F28">
      <w:pPr>
        <w:spacing w:line="240" w:lineRule="auto"/>
        <w:outlineLvl w:val="1"/>
        <w:rPr>
          <w:rFonts w:ascii="微软雅黑" w:hAnsi="微软雅黑" w:eastAsia="微软雅黑"/>
          <w:b/>
          <w:bCs/>
          <w:color w:val="auto"/>
          <w:sz w:val="24"/>
          <w:highlight w:val="none"/>
        </w:rPr>
      </w:pPr>
      <w:bookmarkStart w:id="21" w:name="_Toc35393622"/>
      <w:bookmarkStart w:id="22" w:name="_Toc28359003"/>
      <w:bookmarkStart w:id="23" w:name="_Toc28359080"/>
      <w:bookmarkStart w:id="24" w:name="_Toc35393791"/>
      <w:r>
        <w:rPr>
          <w:rFonts w:hint="eastAsia" w:ascii="微软雅黑" w:hAnsi="微软雅黑" w:eastAsia="微软雅黑"/>
          <w:b/>
          <w:bCs/>
          <w:color w:val="auto"/>
          <w:sz w:val="24"/>
          <w:highlight w:val="none"/>
        </w:rPr>
        <w:t>二、申请人的资格要求：</w:t>
      </w:r>
      <w:bookmarkEnd w:id="21"/>
      <w:bookmarkEnd w:id="22"/>
      <w:bookmarkEnd w:id="23"/>
      <w:bookmarkEnd w:id="24"/>
    </w:p>
    <w:p w14:paraId="04F23917">
      <w:pPr>
        <w:spacing w:line="400" w:lineRule="exact"/>
        <w:ind w:firstLine="420" w:firstLineChars="200"/>
        <w:rPr>
          <w:rFonts w:ascii="微软雅黑" w:hAnsi="微软雅黑" w:eastAsia="微软雅黑"/>
          <w:color w:val="auto"/>
          <w:szCs w:val="21"/>
          <w:highlight w:val="none"/>
        </w:rPr>
      </w:pPr>
      <w:bookmarkStart w:id="25" w:name="_Hlk51746371"/>
      <w:bookmarkStart w:id="26" w:name="_Toc35393792"/>
      <w:bookmarkStart w:id="27" w:name="_Toc28359081"/>
      <w:bookmarkStart w:id="28" w:name="_Toc35393623"/>
      <w:bookmarkStart w:id="29" w:name="_Toc28359004"/>
      <w:r>
        <w:rPr>
          <w:rFonts w:hint="eastAsia" w:ascii="微软雅黑" w:hAnsi="微软雅黑" w:eastAsia="微软雅黑"/>
          <w:color w:val="auto"/>
          <w:szCs w:val="21"/>
          <w:highlight w:val="none"/>
        </w:rPr>
        <w:t>1.满足《中华人民共和国政府采购法》第二十二条规定；</w:t>
      </w:r>
    </w:p>
    <w:p w14:paraId="63CE519B">
      <w:pPr>
        <w:spacing w:line="400" w:lineRule="exact"/>
        <w:ind w:firstLine="420" w:firstLineChars="200"/>
        <w:rPr>
          <w:rFonts w:ascii="微软雅黑" w:hAnsi="微软雅黑" w:eastAsia="微软雅黑"/>
          <w:color w:val="auto"/>
          <w:szCs w:val="21"/>
          <w:highlight w:val="none"/>
          <w:u w:val="none"/>
        </w:rPr>
      </w:pPr>
      <w:r>
        <w:rPr>
          <w:rFonts w:ascii="微软雅黑" w:hAnsi="微软雅黑" w:eastAsia="微软雅黑"/>
          <w:color w:val="auto"/>
          <w:szCs w:val="21"/>
          <w:highlight w:val="none"/>
        </w:rPr>
        <w:t>2</w:t>
      </w:r>
      <w:r>
        <w:rPr>
          <w:rFonts w:hint="eastAsia" w:ascii="微软雅黑" w:hAnsi="微软雅黑" w:eastAsia="微软雅黑"/>
          <w:color w:val="auto"/>
          <w:szCs w:val="21"/>
          <w:highlight w:val="none"/>
        </w:rPr>
        <w:t>.落实政府采购政策需满足的资格要求：</w:t>
      </w:r>
      <w:bookmarkStart w:id="30" w:name="OLE_LINK18"/>
      <w:r>
        <w:rPr>
          <w:rFonts w:hint="eastAsia" w:ascii="微软雅黑" w:hAnsi="微软雅黑" w:eastAsia="微软雅黑"/>
          <w:color w:val="auto"/>
          <w:szCs w:val="21"/>
          <w:highlight w:val="none"/>
          <w:u w:val="none"/>
        </w:rPr>
        <w:t>无</w:t>
      </w:r>
      <w:bookmarkEnd w:id="30"/>
    </w:p>
    <w:p w14:paraId="093B03D3">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3.本项目的特定资格要求：无。</w:t>
      </w:r>
    </w:p>
    <w:bookmarkEnd w:id="25"/>
    <w:p w14:paraId="5A38D63B">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三、获取招标文件</w:t>
      </w:r>
      <w:bookmarkEnd w:id="26"/>
      <w:bookmarkEnd w:id="27"/>
      <w:bookmarkEnd w:id="28"/>
      <w:bookmarkEnd w:id="29"/>
    </w:p>
    <w:p w14:paraId="6791C5A7">
      <w:pPr>
        <w:spacing w:line="400" w:lineRule="exact"/>
        <w:ind w:firstLine="540"/>
        <w:rPr>
          <w:rFonts w:hint="eastAsia" w:ascii="微软雅黑" w:hAnsi="微软雅黑" w:eastAsia="微软雅黑" w:cs="宋体"/>
          <w:bCs/>
          <w:color w:val="auto"/>
          <w:kern w:val="0"/>
          <w:szCs w:val="21"/>
          <w:highlight w:val="none"/>
        </w:rPr>
      </w:pPr>
      <w:r>
        <w:rPr>
          <w:rFonts w:hint="eastAsia" w:ascii="微软雅黑" w:hAnsi="微软雅黑" w:eastAsia="微软雅黑" w:cs="宋体"/>
          <w:bCs/>
          <w:color w:val="auto"/>
          <w:kern w:val="0"/>
          <w:szCs w:val="21"/>
          <w:highlight w:val="none"/>
        </w:rPr>
        <w:t>时间：</w:t>
      </w:r>
      <w:r>
        <w:rPr>
          <w:rFonts w:hint="eastAsia" w:ascii="微软雅黑" w:hAnsi="微软雅黑" w:eastAsia="微软雅黑" w:cs="微软雅黑"/>
          <w:bCs/>
          <w:color w:val="auto"/>
          <w:kern w:val="0"/>
          <w:sz w:val="21"/>
          <w:szCs w:val="21"/>
          <w:highlight w:val="none"/>
          <w:u w:val="single"/>
        </w:rPr>
        <w:t>2024年</w:t>
      </w:r>
      <w:r>
        <w:rPr>
          <w:rFonts w:hint="eastAsia" w:ascii="微软雅黑" w:hAnsi="微软雅黑" w:eastAsia="微软雅黑" w:cs="微软雅黑"/>
          <w:bCs/>
          <w:color w:val="auto"/>
          <w:kern w:val="0"/>
          <w:sz w:val="21"/>
          <w:szCs w:val="21"/>
          <w:highlight w:val="none"/>
          <w:u w:val="single"/>
          <w:lang w:val="en-US" w:eastAsia="zh-CN"/>
        </w:rPr>
        <w:t>10</w:t>
      </w:r>
      <w:r>
        <w:rPr>
          <w:rFonts w:hint="eastAsia" w:ascii="微软雅黑" w:hAnsi="微软雅黑" w:eastAsia="微软雅黑" w:cs="微软雅黑"/>
          <w:bCs/>
          <w:color w:val="auto"/>
          <w:kern w:val="0"/>
          <w:sz w:val="21"/>
          <w:szCs w:val="21"/>
          <w:highlight w:val="none"/>
          <w:u w:val="single"/>
        </w:rPr>
        <w:t>月</w:t>
      </w:r>
      <w:r>
        <w:rPr>
          <w:rFonts w:hint="eastAsia" w:ascii="微软雅黑" w:hAnsi="微软雅黑" w:eastAsia="微软雅黑" w:cs="微软雅黑"/>
          <w:bCs/>
          <w:color w:val="auto"/>
          <w:kern w:val="0"/>
          <w:sz w:val="21"/>
          <w:szCs w:val="21"/>
          <w:highlight w:val="none"/>
          <w:u w:val="single"/>
          <w:lang w:val="en-US" w:eastAsia="zh-CN"/>
        </w:rPr>
        <w:t>15</w:t>
      </w:r>
      <w:r>
        <w:rPr>
          <w:rFonts w:hint="eastAsia" w:ascii="微软雅黑" w:hAnsi="微软雅黑" w:eastAsia="微软雅黑" w:cs="微软雅黑"/>
          <w:bCs/>
          <w:color w:val="auto"/>
          <w:kern w:val="0"/>
          <w:sz w:val="21"/>
          <w:szCs w:val="21"/>
          <w:highlight w:val="none"/>
          <w:u w:val="single"/>
        </w:rPr>
        <w:t>日至2024年</w:t>
      </w:r>
      <w:r>
        <w:rPr>
          <w:rFonts w:hint="eastAsia" w:ascii="微软雅黑" w:hAnsi="微软雅黑" w:eastAsia="微软雅黑" w:cs="微软雅黑"/>
          <w:bCs/>
          <w:color w:val="auto"/>
          <w:kern w:val="0"/>
          <w:sz w:val="21"/>
          <w:szCs w:val="21"/>
          <w:highlight w:val="none"/>
          <w:u w:val="single"/>
          <w:lang w:val="en-US" w:eastAsia="zh-CN"/>
        </w:rPr>
        <w:t>10</w:t>
      </w:r>
      <w:r>
        <w:rPr>
          <w:rFonts w:hint="eastAsia" w:ascii="微软雅黑" w:hAnsi="微软雅黑" w:eastAsia="微软雅黑" w:cs="微软雅黑"/>
          <w:bCs/>
          <w:color w:val="auto"/>
          <w:kern w:val="0"/>
          <w:sz w:val="21"/>
          <w:szCs w:val="21"/>
          <w:highlight w:val="none"/>
          <w:u w:val="single"/>
        </w:rPr>
        <w:t>月</w:t>
      </w:r>
      <w:r>
        <w:rPr>
          <w:rFonts w:hint="eastAsia" w:ascii="微软雅黑" w:hAnsi="微软雅黑" w:eastAsia="微软雅黑" w:cs="微软雅黑"/>
          <w:bCs/>
          <w:color w:val="auto"/>
          <w:kern w:val="0"/>
          <w:sz w:val="21"/>
          <w:szCs w:val="21"/>
          <w:highlight w:val="none"/>
          <w:u w:val="single"/>
          <w:lang w:val="en-US" w:eastAsia="zh-CN"/>
        </w:rPr>
        <w:t>22</w:t>
      </w:r>
      <w:r>
        <w:rPr>
          <w:rFonts w:hint="eastAsia" w:ascii="微软雅黑" w:hAnsi="微软雅黑" w:eastAsia="微软雅黑" w:cs="微软雅黑"/>
          <w:bCs/>
          <w:color w:val="auto"/>
          <w:kern w:val="0"/>
          <w:sz w:val="21"/>
          <w:szCs w:val="21"/>
          <w:highlight w:val="none"/>
          <w:u w:val="single"/>
        </w:rPr>
        <w:t>日</w:t>
      </w:r>
      <w:r>
        <w:rPr>
          <w:rFonts w:hint="eastAsia" w:ascii="微软雅黑" w:hAnsi="微软雅黑" w:eastAsia="微软雅黑" w:cs="宋体"/>
          <w:bCs/>
          <w:color w:val="auto"/>
          <w:kern w:val="0"/>
          <w:szCs w:val="21"/>
          <w:highlight w:val="none"/>
        </w:rPr>
        <w:t>，每天上午00:00至12:00，下午12:00至23:59（北京时间，法定节假日除外）</w:t>
      </w:r>
    </w:p>
    <w:p w14:paraId="54C1764C">
      <w:pPr>
        <w:spacing w:line="400" w:lineRule="exact"/>
        <w:ind w:firstLine="540"/>
        <w:rPr>
          <w:rFonts w:hint="eastAsia" w:ascii="微软雅黑" w:hAnsi="微软雅黑" w:eastAsia="微软雅黑"/>
          <w:color w:val="auto"/>
          <w:szCs w:val="21"/>
          <w:highlight w:val="none"/>
        </w:rPr>
      </w:pPr>
      <w:r>
        <w:rPr>
          <w:rFonts w:hint="eastAsia" w:ascii="微软雅黑" w:hAnsi="微软雅黑" w:eastAsia="微软雅黑" w:cs="宋体"/>
          <w:bCs/>
          <w:color w:val="auto"/>
          <w:kern w:val="0"/>
          <w:szCs w:val="21"/>
          <w:highlight w:val="none"/>
        </w:rPr>
        <w:t>地点：</w:t>
      </w:r>
      <w:r>
        <w:rPr>
          <w:rFonts w:hint="eastAsia" w:ascii="微软雅黑" w:hAnsi="微软雅黑" w:eastAsia="微软雅黑"/>
          <w:color w:val="auto"/>
          <w:szCs w:val="21"/>
          <w:highlight w:val="none"/>
        </w:rPr>
        <w:t>广西政府采购云平台（</w:t>
      </w:r>
      <w:r>
        <w:rPr>
          <w:rFonts w:hint="eastAsia"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p>
    <w:p w14:paraId="1951F402">
      <w:pPr>
        <w:spacing w:line="400" w:lineRule="exact"/>
        <w:ind w:firstLine="540"/>
        <w:rPr>
          <w:rFonts w:hint="eastAsia" w:ascii="微软雅黑" w:hAnsi="微软雅黑" w:eastAsia="微软雅黑" w:cs="宋体"/>
          <w:bCs/>
          <w:color w:val="auto"/>
          <w:kern w:val="0"/>
          <w:szCs w:val="21"/>
          <w:highlight w:val="none"/>
        </w:rPr>
      </w:pPr>
      <w:r>
        <w:rPr>
          <w:rFonts w:hint="eastAsia" w:ascii="微软雅黑" w:hAnsi="微软雅黑" w:eastAsia="微软雅黑" w:cs="宋体"/>
          <w:bCs/>
          <w:color w:val="auto"/>
          <w:kern w:val="0"/>
          <w:szCs w:val="21"/>
          <w:highlight w:val="none"/>
        </w:rPr>
        <w:t>方式：网上下载。本项目不提供纸质文件，潜在供应商需在</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r>
        <w:rPr>
          <w:rFonts w:hint="eastAsia" w:ascii="微软雅黑" w:hAnsi="微软雅黑" w:eastAsia="微软雅黑" w:cs="宋体"/>
          <w:bCs/>
          <w:color w:val="auto"/>
          <w:kern w:val="0"/>
          <w:szCs w:val="21"/>
          <w:highlight w:val="none"/>
        </w:rPr>
        <w:t>-进入“项目采购”应用，在获取采购文件菜单中选择项目，获取招标文件。</w:t>
      </w:r>
      <w:r>
        <w:rPr>
          <w:rFonts w:hint="eastAsia" w:ascii="微软雅黑" w:hAnsi="微软雅黑" w:eastAsia="微软雅黑"/>
          <w:color w:val="auto"/>
          <w:szCs w:val="21"/>
          <w:highlight w:val="none"/>
        </w:rPr>
        <w:t>电子投标文件制作需要基于</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获取的招标文件编制，</w:t>
      </w:r>
      <w:r>
        <w:rPr>
          <w:rFonts w:hint="eastAsia" w:ascii="微软雅黑" w:hAnsi="微软雅黑" w:eastAsia="微软雅黑" w:cs="宋体"/>
          <w:bCs/>
          <w:color w:val="auto"/>
          <w:kern w:val="0"/>
          <w:szCs w:val="21"/>
          <w:highlight w:val="none"/>
        </w:rPr>
        <w:t>通过其他方式获取招标文件的，将有可能导致供应商无法在</w:t>
      </w:r>
      <w:r>
        <w:rPr>
          <w:rFonts w:hint="eastAsia" w:ascii="微软雅黑" w:hAnsi="微软雅黑" w:eastAsia="微软雅黑"/>
          <w:color w:val="auto"/>
          <w:szCs w:val="21"/>
          <w:highlight w:val="none"/>
        </w:rPr>
        <w:t>广西政府采购云平台</w:t>
      </w:r>
      <w:r>
        <w:rPr>
          <w:rFonts w:hint="eastAsia" w:ascii="微软雅黑" w:hAnsi="微软雅黑" w:eastAsia="微软雅黑" w:cs="宋体"/>
          <w:bCs/>
          <w:color w:val="auto"/>
          <w:kern w:val="0"/>
          <w:szCs w:val="21"/>
          <w:highlight w:val="none"/>
        </w:rPr>
        <w:t>编制及上传投标文件。</w:t>
      </w:r>
    </w:p>
    <w:p w14:paraId="083DAC8E">
      <w:pPr>
        <w:spacing w:line="400" w:lineRule="exact"/>
        <w:ind w:firstLine="54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 xml:space="preserve"> </w:t>
      </w:r>
      <w:r>
        <w:rPr>
          <w:rFonts w:hint="eastAsia" w:ascii="微软雅黑" w:hAnsi="微软雅黑" w:eastAsia="微软雅黑" w:cs="宋体"/>
          <w:bCs/>
          <w:color w:val="auto"/>
          <w:kern w:val="0"/>
          <w:szCs w:val="21"/>
          <w:highlight w:val="none"/>
        </w:rPr>
        <w:t>售价：</w:t>
      </w:r>
      <w:r>
        <w:rPr>
          <w:rFonts w:hint="eastAsia" w:ascii="微软雅黑" w:hAnsi="微软雅黑" w:eastAsia="微软雅黑" w:cs="宋体"/>
          <w:i w:val="0"/>
          <w:iCs/>
          <w:color w:val="auto"/>
          <w:szCs w:val="21"/>
          <w:highlight w:val="none"/>
          <w:u w:val="none"/>
        </w:rPr>
        <w:t>0</w:t>
      </w:r>
      <w:r>
        <w:rPr>
          <w:rFonts w:hint="eastAsia" w:ascii="微软雅黑" w:hAnsi="微软雅黑" w:eastAsia="微软雅黑" w:cs="宋体"/>
          <w:color w:val="auto"/>
          <w:szCs w:val="21"/>
          <w:highlight w:val="none"/>
        </w:rPr>
        <w:t>元</w:t>
      </w:r>
    </w:p>
    <w:p w14:paraId="6D39D804">
      <w:pPr>
        <w:spacing w:line="400" w:lineRule="exact"/>
        <w:outlineLvl w:val="1"/>
        <w:rPr>
          <w:rFonts w:ascii="微软雅黑" w:hAnsi="微软雅黑" w:eastAsia="微软雅黑"/>
          <w:b/>
          <w:bCs/>
          <w:color w:val="auto"/>
          <w:sz w:val="24"/>
          <w:highlight w:val="none"/>
        </w:rPr>
      </w:pPr>
      <w:bookmarkStart w:id="31" w:name="_Toc28359005"/>
      <w:bookmarkStart w:id="32" w:name="_Toc28359082"/>
      <w:bookmarkStart w:id="33" w:name="_Toc35393624"/>
      <w:bookmarkStart w:id="34" w:name="_Toc35393793"/>
      <w:r>
        <w:rPr>
          <w:rFonts w:hint="eastAsia" w:ascii="微软雅黑" w:hAnsi="微软雅黑" w:eastAsia="微软雅黑"/>
          <w:b/>
          <w:bCs/>
          <w:color w:val="auto"/>
          <w:sz w:val="24"/>
          <w:highlight w:val="none"/>
        </w:rPr>
        <w:t>四、提交投标文件</w:t>
      </w:r>
      <w:bookmarkEnd w:id="31"/>
      <w:bookmarkEnd w:id="32"/>
      <w:r>
        <w:rPr>
          <w:rFonts w:hint="eastAsia" w:ascii="微软雅黑" w:hAnsi="微软雅黑" w:eastAsia="微软雅黑"/>
          <w:b/>
          <w:bCs/>
          <w:color w:val="auto"/>
          <w:sz w:val="24"/>
          <w:highlight w:val="none"/>
        </w:rPr>
        <w:t>截止时间、开标时间和地点</w:t>
      </w:r>
      <w:bookmarkEnd w:id="33"/>
      <w:bookmarkEnd w:id="34"/>
    </w:p>
    <w:p w14:paraId="414F0DFF">
      <w:pPr>
        <w:spacing w:line="400" w:lineRule="exact"/>
        <w:ind w:firstLine="420" w:firstLineChars="200"/>
        <w:rPr>
          <w:rFonts w:ascii="微软雅黑" w:hAnsi="微软雅黑" w:eastAsia="微软雅黑" w:cs="宋体"/>
          <w:color w:val="auto"/>
          <w:szCs w:val="21"/>
          <w:highlight w:val="none"/>
          <w:u w:val="single"/>
        </w:rPr>
      </w:pPr>
      <w:bookmarkStart w:id="35" w:name="_Toc28359007"/>
      <w:bookmarkStart w:id="36" w:name="_Toc28359084"/>
      <w:bookmarkStart w:id="37" w:name="_Toc35393794"/>
      <w:bookmarkStart w:id="38" w:name="_Toc35393625"/>
      <w:r>
        <w:rPr>
          <w:rFonts w:hint="eastAsia" w:ascii="微软雅黑" w:hAnsi="微软雅黑" w:eastAsia="微软雅黑"/>
          <w:bCs/>
          <w:color w:val="auto"/>
          <w:szCs w:val="21"/>
          <w:highlight w:val="none"/>
        </w:rPr>
        <w:t>时间：</w:t>
      </w:r>
      <w:r>
        <w:rPr>
          <w:rFonts w:hint="eastAsia" w:ascii="微软雅黑" w:hAnsi="微软雅黑" w:eastAsia="微软雅黑"/>
          <w:color w:val="auto"/>
          <w:szCs w:val="21"/>
          <w:highlight w:val="none"/>
          <w:u w:val="single"/>
        </w:rPr>
        <w:t>2024</w:t>
      </w:r>
      <w:r>
        <w:rPr>
          <w:rFonts w:hint="eastAsia" w:ascii="微软雅黑" w:hAnsi="微软雅黑" w:eastAsia="微软雅黑"/>
          <w:bCs/>
          <w:color w:val="auto"/>
          <w:szCs w:val="21"/>
          <w:highlight w:val="none"/>
          <w:u w:val="single"/>
        </w:rPr>
        <w:t>年</w:t>
      </w:r>
      <w:r>
        <w:rPr>
          <w:rFonts w:hint="eastAsia" w:ascii="微软雅黑" w:hAnsi="微软雅黑" w:eastAsia="微软雅黑"/>
          <w:bCs/>
          <w:color w:val="auto"/>
          <w:szCs w:val="21"/>
          <w:highlight w:val="none"/>
          <w:u w:val="single"/>
          <w:lang w:val="en-US" w:eastAsia="zh-CN"/>
        </w:rPr>
        <w:t>11</w:t>
      </w:r>
      <w:r>
        <w:rPr>
          <w:rFonts w:hint="eastAsia" w:ascii="微软雅黑" w:hAnsi="微软雅黑" w:eastAsia="微软雅黑"/>
          <w:bCs/>
          <w:color w:val="auto"/>
          <w:szCs w:val="21"/>
          <w:highlight w:val="none"/>
          <w:u w:val="single"/>
        </w:rPr>
        <w:t>月</w:t>
      </w:r>
      <w:r>
        <w:rPr>
          <w:rFonts w:hint="eastAsia" w:ascii="微软雅黑" w:hAnsi="微软雅黑" w:eastAsia="微软雅黑"/>
          <w:bCs/>
          <w:color w:val="auto"/>
          <w:szCs w:val="21"/>
          <w:highlight w:val="none"/>
          <w:u w:val="single"/>
          <w:lang w:val="en-US" w:eastAsia="zh-CN"/>
        </w:rPr>
        <w:t>7</w:t>
      </w:r>
      <w:r>
        <w:rPr>
          <w:rFonts w:hint="eastAsia" w:ascii="微软雅黑" w:hAnsi="微软雅黑" w:eastAsia="微软雅黑"/>
          <w:bCs/>
          <w:color w:val="auto"/>
          <w:szCs w:val="21"/>
          <w:highlight w:val="none"/>
          <w:u w:val="single"/>
        </w:rPr>
        <w:t>日9时30分</w:t>
      </w:r>
      <w:r>
        <w:rPr>
          <w:rFonts w:hint="eastAsia" w:ascii="微软雅黑" w:hAnsi="微软雅黑" w:eastAsia="微软雅黑"/>
          <w:bCs/>
          <w:color w:val="auto"/>
          <w:szCs w:val="21"/>
          <w:highlight w:val="none"/>
        </w:rPr>
        <w:t>（北京时间）</w:t>
      </w:r>
    </w:p>
    <w:p w14:paraId="5741F974">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地点：</w:t>
      </w:r>
    </w:p>
    <w:p w14:paraId="4D35A286">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投标地点：</w:t>
      </w:r>
      <w:bookmarkStart w:id="39" w:name="OLE_LINK19"/>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p>
    <w:bookmarkEnd w:id="39"/>
    <w:p w14:paraId="5D2A57B2">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开标地点：</w:t>
      </w:r>
      <w:bookmarkStart w:id="40" w:name="OLE_LINK20"/>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电子开标大厅</w:t>
      </w:r>
      <w:bookmarkEnd w:id="40"/>
    </w:p>
    <w:p w14:paraId="25EB5566">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五、公告期限</w:t>
      </w:r>
      <w:bookmarkEnd w:id="35"/>
      <w:bookmarkEnd w:id="36"/>
      <w:bookmarkEnd w:id="37"/>
      <w:bookmarkEnd w:id="38"/>
    </w:p>
    <w:p w14:paraId="7043B517">
      <w:pPr>
        <w:spacing w:line="400" w:lineRule="exact"/>
        <w:ind w:firstLine="420" w:firstLineChars="200"/>
        <w:rPr>
          <w:rFonts w:ascii="微软雅黑" w:hAnsi="微软雅黑" w:eastAsia="微软雅黑" w:cs="宋体"/>
          <w:color w:val="auto"/>
          <w:kern w:val="0"/>
          <w:szCs w:val="21"/>
          <w:highlight w:val="none"/>
        </w:rPr>
      </w:pPr>
      <w:r>
        <w:rPr>
          <w:rFonts w:hint="eastAsia" w:ascii="微软雅黑" w:hAnsi="微软雅黑" w:eastAsia="微软雅黑" w:cs="宋体"/>
          <w:color w:val="auto"/>
          <w:kern w:val="0"/>
          <w:szCs w:val="21"/>
          <w:highlight w:val="none"/>
        </w:rPr>
        <w:t>自本公告发布之日起5个工作日。</w:t>
      </w:r>
    </w:p>
    <w:p w14:paraId="104A2CC9">
      <w:pPr>
        <w:numPr>
          <w:ilvl w:val="0"/>
          <w:numId w:val="0"/>
        </w:numPr>
        <w:spacing w:line="400" w:lineRule="exact"/>
        <w:outlineLvl w:val="1"/>
        <w:rPr>
          <w:rFonts w:hint="eastAsia" w:ascii="微软雅黑" w:hAnsi="微软雅黑" w:eastAsia="微软雅黑"/>
          <w:b/>
          <w:bCs/>
          <w:color w:val="auto"/>
          <w:sz w:val="24"/>
          <w:highlight w:val="none"/>
        </w:rPr>
      </w:pPr>
      <w:bookmarkStart w:id="41" w:name="_Toc35393626"/>
      <w:bookmarkStart w:id="42" w:name="_Toc35393795"/>
      <w:r>
        <w:rPr>
          <w:rFonts w:hint="eastAsia" w:ascii="微软雅黑" w:hAnsi="微软雅黑" w:eastAsia="微软雅黑"/>
          <w:b/>
          <w:bCs/>
          <w:color w:val="auto"/>
          <w:kern w:val="2"/>
          <w:sz w:val="24"/>
          <w:szCs w:val="24"/>
          <w:highlight w:val="none"/>
          <w:lang w:val="en-US" w:eastAsia="zh-CN" w:bidi="ar-SA"/>
        </w:rPr>
        <w:t>六、</w:t>
      </w:r>
      <w:r>
        <w:rPr>
          <w:rFonts w:hint="eastAsia" w:ascii="微软雅黑" w:hAnsi="微软雅黑" w:eastAsia="微软雅黑"/>
          <w:b/>
          <w:bCs/>
          <w:color w:val="auto"/>
          <w:sz w:val="24"/>
          <w:highlight w:val="none"/>
        </w:rPr>
        <w:t>其他补充事宜</w:t>
      </w:r>
      <w:bookmarkEnd w:id="41"/>
      <w:bookmarkEnd w:id="42"/>
    </w:p>
    <w:p w14:paraId="0EE96F45">
      <w:pPr>
        <w:spacing w:line="400" w:lineRule="exact"/>
        <w:ind w:firstLine="540" w:firstLineChars="0"/>
        <w:rPr>
          <w:rFonts w:hint="eastAsia" w:ascii="微软雅黑" w:hAnsi="微软雅黑" w:eastAsia="微软雅黑" w:cs="微软雅黑"/>
          <w:bCs/>
          <w:color w:val="auto"/>
          <w:kern w:val="0"/>
          <w:szCs w:val="21"/>
          <w:highlight w:val="none"/>
          <w:lang w:val="en-US" w:eastAsia="zh-CN"/>
        </w:rPr>
      </w:pPr>
      <w:r>
        <w:rPr>
          <w:rFonts w:hint="eastAsia" w:ascii="微软雅黑" w:hAnsi="微软雅黑" w:eastAsia="微软雅黑" w:cs="微软雅黑"/>
          <w:bCs/>
          <w:color w:val="auto"/>
          <w:kern w:val="0"/>
          <w:szCs w:val="21"/>
          <w:highlight w:val="none"/>
        </w:rPr>
        <w:t>1</w:t>
      </w:r>
      <w:r>
        <w:rPr>
          <w:rFonts w:hint="eastAsia" w:ascii="微软雅黑" w:hAnsi="微软雅黑" w:eastAsia="微软雅黑" w:cs="微软雅黑"/>
          <w:bCs/>
          <w:color w:val="auto"/>
          <w:kern w:val="0"/>
          <w:szCs w:val="21"/>
          <w:highlight w:val="none"/>
          <w:lang w:eastAsia="zh-CN"/>
        </w:rPr>
        <w:t>.投标保证金：</w:t>
      </w:r>
      <w:r>
        <w:rPr>
          <w:rFonts w:hint="eastAsia" w:ascii="微软雅黑" w:hAnsi="微软雅黑" w:eastAsia="微软雅黑" w:cs="微软雅黑"/>
          <w:b/>
          <w:bCs w:val="0"/>
          <w:color w:val="auto"/>
          <w:kern w:val="0"/>
          <w:szCs w:val="21"/>
          <w:highlight w:val="none"/>
          <w:u w:val="single"/>
          <w:lang w:val="en-US" w:eastAsia="zh-CN"/>
        </w:rPr>
        <w:t>人民币壹拾万元整（¥</w:t>
      </w:r>
      <w:r>
        <w:rPr>
          <w:rFonts w:hint="eastAsia" w:ascii="微软雅黑" w:hAnsi="微软雅黑" w:eastAsia="微软雅黑" w:cs="微软雅黑"/>
          <w:b/>
          <w:bCs w:val="0"/>
          <w:color w:val="auto"/>
          <w:kern w:val="0"/>
          <w:szCs w:val="21"/>
          <w:highlight w:val="none"/>
          <w:u w:val="single"/>
        </w:rPr>
        <w:t>1</w:t>
      </w:r>
      <w:r>
        <w:rPr>
          <w:rFonts w:hint="eastAsia" w:ascii="微软雅黑" w:hAnsi="微软雅黑" w:eastAsia="微软雅黑" w:cs="微软雅黑"/>
          <w:b/>
          <w:bCs w:val="0"/>
          <w:color w:val="auto"/>
          <w:kern w:val="0"/>
          <w:szCs w:val="21"/>
          <w:highlight w:val="none"/>
          <w:u w:val="single"/>
          <w:lang w:val="en-US" w:eastAsia="zh-CN"/>
        </w:rPr>
        <w:t>00</w:t>
      </w:r>
      <w:r>
        <w:rPr>
          <w:rFonts w:hint="eastAsia" w:ascii="微软雅黑" w:hAnsi="微软雅黑" w:eastAsia="微软雅黑" w:cs="微软雅黑"/>
          <w:b/>
          <w:bCs w:val="0"/>
          <w:color w:val="auto"/>
          <w:kern w:val="0"/>
          <w:szCs w:val="21"/>
          <w:highlight w:val="none"/>
          <w:u w:val="single"/>
        </w:rPr>
        <w:t>000.00</w:t>
      </w:r>
      <w:r>
        <w:rPr>
          <w:rFonts w:hint="eastAsia" w:ascii="微软雅黑" w:hAnsi="微软雅黑" w:eastAsia="微软雅黑" w:cs="微软雅黑"/>
          <w:b/>
          <w:bCs w:val="0"/>
          <w:color w:val="auto"/>
          <w:kern w:val="0"/>
          <w:szCs w:val="21"/>
          <w:highlight w:val="none"/>
          <w:u w:val="single"/>
          <w:lang w:val="en-US" w:eastAsia="zh-CN"/>
        </w:rPr>
        <w:t>）。</w:t>
      </w:r>
    </w:p>
    <w:p w14:paraId="6CE48669">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投标保证金的缴纳方式：银行转账、支票、汇票、本票或者金融、担保机构出具的保函， 禁止采用现钞方式。采用银行转账方式的，在投标截止时间前交至采购代理机构指定账户并且到账（开户名称：华新项目管理集团有限公司广西分公司；开户银行：广西北部湾银行南宁市桂雅支行；账号：8001 3500 6188 882）；采用支票、汇票、本票或者保函等方式的，在</w:t>
      </w:r>
      <w:r>
        <w:rPr>
          <w:rFonts w:hint="eastAsia" w:ascii="微软雅黑" w:hAnsi="微软雅黑" w:eastAsia="微软雅黑" w:cs="微软雅黑"/>
          <w:bCs/>
          <w:color w:val="auto"/>
          <w:kern w:val="0"/>
          <w:szCs w:val="21"/>
          <w:highlight w:val="none"/>
          <w:lang w:val="en-US" w:eastAsia="zh-CN"/>
        </w:rPr>
        <w:t>投标</w:t>
      </w:r>
      <w:r>
        <w:rPr>
          <w:rFonts w:hint="eastAsia" w:ascii="微软雅黑" w:hAnsi="微软雅黑" w:eastAsia="微软雅黑" w:cs="微软雅黑"/>
          <w:bCs/>
          <w:color w:val="auto"/>
          <w:kern w:val="0"/>
          <w:szCs w:val="21"/>
          <w:highlight w:val="none"/>
        </w:rPr>
        <w:t>截止时间前，</w:t>
      </w:r>
      <w:r>
        <w:rPr>
          <w:rFonts w:hint="eastAsia" w:ascii="微软雅黑" w:hAnsi="微软雅黑" w:eastAsia="微软雅黑" w:cs="微软雅黑"/>
          <w:bCs/>
          <w:color w:val="auto"/>
          <w:kern w:val="0"/>
          <w:szCs w:val="21"/>
          <w:highlight w:val="none"/>
          <w:lang w:val="en-US" w:eastAsia="zh-CN"/>
        </w:rPr>
        <w:t>投标</w:t>
      </w:r>
      <w:r>
        <w:rPr>
          <w:rFonts w:hint="eastAsia" w:ascii="微软雅黑" w:hAnsi="微软雅黑" w:eastAsia="微软雅黑" w:cs="微软雅黑"/>
          <w:bCs/>
          <w:color w:val="auto"/>
          <w:kern w:val="0"/>
          <w:szCs w:val="21"/>
          <w:highlight w:val="none"/>
        </w:rPr>
        <w:t>人必须递交单独密封的支票、汇票、本票或者保函原件。否则视为无效</w:t>
      </w:r>
      <w:r>
        <w:rPr>
          <w:rFonts w:hint="eastAsia" w:ascii="微软雅黑" w:hAnsi="微软雅黑" w:eastAsia="微软雅黑" w:cs="微软雅黑"/>
          <w:bCs/>
          <w:color w:val="auto"/>
          <w:kern w:val="0"/>
          <w:szCs w:val="21"/>
          <w:highlight w:val="none"/>
          <w:lang w:val="en-US" w:eastAsia="zh-CN"/>
        </w:rPr>
        <w:t>投标</w:t>
      </w:r>
      <w:r>
        <w:rPr>
          <w:rFonts w:hint="eastAsia" w:ascii="微软雅黑" w:hAnsi="微软雅黑" w:eastAsia="微软雅黑" w:cs="微软雅黑"/>
          <w:bCs/>
          <w:color w:val="auto"/>
          <w:kern w:val="0"/>
          <w:szCs w:val="21"/>
          <w:highlight w:val="none"/>
        </w:rPr>
        <w:t>保证金。办理缴纳</w:t>
      </w:r>
      <w:r>
        <w:rPr>
          <w:rFonts w:hint="eastAsia" w:ascii="微软雅黑" w:hAnsi="微软雅黑" w:eastAsia="微软雅黑" w:cs="微软雅黑"/>
          <w:bCs/>
          <w:color w:val="auto"/>
          <w:kern w:val="0"/>
          <w:szCs w:val="21"/>
          <w:highlight w:val="none"/>
          <w:lang w:val="en-US" w:eastAsia="zh-CN"/>
        </w:rPr>
        <w:t>投标</w:t>
      </w:r>
      <w:r>
        <w:rPr>
          <w:rFonts w:hint="eastAsia" w:ascii="微软雅黑" w:hAnsi="微软雅黑" w:eastAsia="微软雅黑" w:cs="微软雅黑"/>
          <w:bCs/>
          <w:color w:val="auto"/>
          <w:kern w:val="0"/>
          <w:szCs w:val="21"/>
          <w:highlight w:val="none"/>
        </w:rPr>
        <w:t>保证金手续时，请务必在银行转账单或电汇单的用途栏或空白栏上注明项目名称或项目编号。</w:t>
      </w:r>
    </w:p>
    <w:p w14:paraId="1109FDF9">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2</w:t>
      </w:r>
      <w:r>
        <w:rPr>
          <w:rFonts w:hint="eastAsia" w:ascii="微软雅黑" w:hAnsi="微软雅黑" w:eastAsia="微软雅黑" w:cs="微软雅黑"/>
          <w:bCs/>
          <w:color w:val="auto"/>
          <w:kern w:val="0"/>
          <w:szCs w:val="21"/>
          <w:highlight w:val="none"/>
          <w:lang w:eastAsia="zh-CN"/>
        </w:rPr>
        <w:t>.</w:t>
      </w:r>
      <w:r>
        <w:rPr>
          <w:rFonts w:hint="eastAsia" w:ascii="微软雅黑" w:hAnsi="微软雅黑" w:eastAsia="微软雅黑" w:cs="微软雅黑"/>
          <w:bCs/>
          <w:color w:val="auto"/>
          <w:kern w:val="0"/>
          <w:szCs w:val="21"/>
          <w:highlight w:val="none"/>
        </w:rPr>
        <w:t>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4FD91DC8">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3</w:t>
      </w:r>
      <w:r>
        <w:rPr>
          <w:rFonts w:hint="eastAsia" w:ascii="微软雅黑" w:hAnsi="微软雅黑" w:eastAsia="微软雅黑" w:cs="微软雅黑"/>
          <w:bCs/>
          <w:color w:val="auto"/>
          <w:kern w:val="0"/>
          <w:szCs w:val="21"/>
          <w:highlight w:val="none"/>
          <w:lang w:eastAsia="zh-CN"/>
        </w:rPr>
        <w:t>.</w:t>
      </w:r>
      <w:r>
        <w:rPr>
          <w:rFonts w:hint="eastAsia" w:ascii="微软雅黑" w:hAnsi="微软雅黑" w:eastAsia="微软雅黑" w:cs="微软雅黑"/>
          <w:bCs/>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投标人，不得参与政府采购活动。</w:t>
      </w:r>
    </w:p>
    <w:p w14:paraId="683FAFF2">
      <w:pPr>
        <w:keepNext w:val="0"/>
        <w:keepLines w:val="0"/>
        <w:pageBreakBefore w:val="0"/>
        <w:widowControl w:val="0"/>
        <w:kinsoku/>
        <w:wordWrap w:val="0"/>
        <w:overflowPunct/>
        <w:topLinePunct w:val="0"/>
        <w:autoSpaceDE/>
        <w:autoSpaceDN/>
        <w:bidi w:val="0"/>
        <w:adjustRightInd/>
        <w:snapToGrid/>
        <w:spacing w:line="400" w:lineRule="exact"/>
        <w:ind w:firstLine="539" w:firstLineChars="0"/>
        <w:jc w:val="left"/>
        <w:textAlignment w:val="auto"/>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4</w:t>
      </w:r>
      <w:r>
        <w:rPr>
          <w:rFonts w:hint="eastAsia" w:ascii="微软雅黑" w:hAnsi="微软雅黑" w:eastAsia="微软雅黑" w:cs="微软雅黑"/>
          <w:bCs/>
          <w:color w:val="auto"/>
          <w:kern w:val="0"/>
          <w:szCs w:val="21"/>
          <w:highlight w:val="none"/>
          <w:lang w:eastAsia="zh-CN"/>
        </w:rPr>
        <w:t>.</w:t>
      </w:r>
      <w:r>
        <w:rPr>
          <w:rFonts w:hint="eastAsia" w:ascii="微软雅黑" w:hAnsi="微软雅黑" w:eastAsia="微软雅黑" w:cs="微软雅黑"/>
          <w:bCs/>
          <w:color w:val="auto"/>
          <w:kern w:val="0"/>
          <w:szCs w:val="21"/>
          <w:highlight w:val="none"/>
        </w:rPr>
        <w:t>采购意向公开链接：http://www.ccgp-guangxi.gov.cn/site/detail?parentId=66601&amp;articleId=bAVF6cuUcocbh9355yFqFA==</w:t>
      </w:r>
    </w:p>
    <w:p w14:paraId="33773C7B">
      <w:pPr>
        <w:spacing w:line="400" w:lineRule="exact"/>
        <w:ind w:firstLine="540" w:firstLineChars="0"/>
        <w:rPr>
          <w:rFonts w:hint="eastAsia" w:ascii="微软雅黑" w:hAnsi="微软雅黑" w:eastAsia="微软雅黑" w:cs="微软雅黑"/>
          <w:bCs/>
          <w:color w:val="auto"/>
          <w:kern w:val="0"/>
          <w:szCs w:val="21"/>
          <w:highlight w:val="none"/>
        </w:rPr>
      </w:pPr>
      <w:bookmarkStart w:id="43" w:name="_Hlk37429585"/>
      <w:bookmarkStart w:id="44" w:name="_Hlk37429595"/>
      <w:bookmarkStart w:id="45" w:name="OLE_LINK22"/>
      <w:bookmarkStart w:id="46" w:name="_Toc28359008"/>
      <w:bookmarkStart w:id="47" w:name="_Toc28359085"/>
      <w:bookmarkStart w:id="48" w:name="_Toc35393627"/>
      <w:bookmarkStart w:id="49" w:name="_Toc35393796"/>
      <w:r>
        <w:rPr>
          <w:rFonts w:hint="eastAsia" w:ascii="微软雅黑" w:hAnsi="微软雅黑" w:eastAsia="微软雅黑" w:cs="微软雅黑"/>
          <w:bCs/>
          <w:color w:val="auto"/>
          <w:kern w:val="0"/>
          <w:szCs w:val="21"/>
          <w:highlight w:val="none"/>
          <w:lang w:eastAsia="zh-CN"/>
        </w:rPr>
        <w:t>5</w:t>
      </w:r>
      <w:r>
        <w:rPr>
          <w:rFonts w:hint="eastAsia" w:ascii="微软雅黑" w:hAnsi="微软雅黑" w:eastAsia="微软雅黑" w:cs="微软雅黑"/>
          <w:bCs/>
          <w:color w:val="auto"/>
          <w:kern w:val="0"/>
          <w:szCs w:val="21"/>
          <w:highlight w:val="none"/>
          <w:lang w:val="en-US" w:eastAsia="zh-CN"/>
        </w:rPr>
        <w:t>.</w:t>
      </w:r>
      <w:r>
        <w:rPr>
          <w:rFonts w:hint="eastAsia" w:ascii="微软雅黑" w:hAnsi="微软雅黑" w:eastAsia="微软雅黑" w:cs="微软雅黑"/>
          <w:bCs/>
          <w:color w:val="auto"/>
          <w:kern w:val="0"/>
          <w:szCs w:val="21"/>
          <w:highlight w:val="none"/>
        </w:rPr>
        <w:t>网上查询地址</w:t>
      </w:r>
    </w:p>
    <w:bookmarkEnd w:id="43"/>
    <w:p w14:paraId="54CC13F3">
      <w:pPr>
        <w:spacing w:line="400" w:lineRule="exact"/>
        <w:ind w:firstLine="540" w:firstLineChars="0"/>
        <w:rPr>
          <w:rFonts w:hint="eastAsia" w:ascii="微软雅黑" w:hAnsi="微软雅黑" w:eastAsia="微软雅黑" w:cs="微软雅黑"/>
          <w:bCs/>
          <w:i w:val="0"/>
          <w:color w:val="auto"/>
          <w:kern w:val="0"/>
          <w:szCs w:val="21"/>
          <w:highlight w:val="none"/>
        </w:rPr>
      </w:pPr>
      <w:r>
        <w:rPr>
          <w:rFonts w:hint="eastAsia" w:ascii="微软雅黑" w:hAnsi="微软雅黑" w:eastAsia="微软雅黑" w:cs="微软雅黑"/>
          <w:bCs/>
          <w:color w:val="auto"/>
          <w:kern w:val="0"/>
          <w:szCs w:val="21"/>
          <w:highlight w:val="none"/>
        </w:rPr>
        <w:t>http://www.ccgp.gov.cn（中国政府采购网）、http://zfcg.gxzf.gov.cn（广西壮族自治区政府采购网）、http://gxggzy.gxzf.gov.cn/（广西壮族自治区公共资源交易中心）</w:t>
      </w:r>
    </w:p>
    <w:bookmarkEnd w:id="44"/>
    <w:p w14:paraId="08C316A2">
      <w:pPr>
        <w:spacing w:line="400" w:lineRule="exact"/>
        <w:ind w:firstLine="540" w:firstLineChars="0"/>
        <w:rPr>
          <w:rFonts w:hint="eastAsia" w:ascii="微软雅黑" w:hAnsi="微软雅黑" w:eastAsia="微软雅黑" w:cs="微软雅黑"/>
          <w:bCs/>
          <w:color w:val="auto"/>
          <w:kern w:val="0"/>
          <w:szCs w:val="21"/>
          <w:highlight w:val="none"/>
        </w:rPr>
      </w:pPr>
      <w:bookmarkStart w:id="50" w:name="_Hlk37429674"/>
      <w:r>
        <w:rPr>
          <w:rFonts w:hint="eastAsia" w:ascii="微软雅黑" w:hAnsi="微软雅黑" w:eastAsia="微软雅黑" w:cs="微软雅黑"/>
          <w:bCs/>
          <w:color w:val="auto"/>
          <w:kern w:val="0"/>
          <w:szCs w:val="21"/>
          <w:highlight w:val="none"/>
          <w:lang w:eastAsia="zh-CN"/>
        </w:rPr>
        <w:t>6</w:t>
      </w:r>
      <w:r>
        <w:rPr>
          <w:rFonts w:hint="eastAsia" w:ascii="微软雅黑" w:hAnsi="微软雅黑" w:eastAsia="微软雅黑" w:cs="微软雅黑"/>
          <w:bCs/>
          <w:color w:val="auto"/>
          <w:kern w:val="0"/>
          <w:szCs w:val="21"/>
          <w:highlight w:val="none"/>
          <w:lang w:val="en-US" w:eastAsia="zh-CN"/>
        </w:rPr>
        <w:t>.</w:t>
      </w:r>
      <w:r>
        <w:rPr>
          <w:rFonts w:hint="eastAsia" w:ascii="微软雅黑" w:hAnsi="微软雅黑" w:eastAsia="微软雅黑" w:cs="微软雅黑"/>
          <w:bCs/>
          <w:color w:val="auto"/>
          <w:kern w:val="0"/>
          <w:szCs w:val="21"/>
          <w:highlight w:val="none"/>
        </w:rPr>
        <w:t>本项目需要落实的政府采购政策</w:t>
      </w:r>
    </w:p>
    <w:p w14:paraId="7F53B7D4">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（1）政府采购促进中小企业发展。</w:t>
      </w:r>
    </w:p>
    <w:p w14:paraId="57871C56">
      <w:pPr>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（2）政府采购支持采用本国产品的政策。</w:t>
      </w:r>
    </w:p>
    <w:p w14:paraId="5EBE18EE">
      <w:pPr>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（3）强制采购节能产品</w:t>
      </w:r>
      <w:r>
        <w:rPr>
          <w:rFonts w:hint="eastAsia" w:ascii="微软雅黑" w:hAnsi="微软雅黑" w:eastAsia="微软雅黑" w:cs="微软雅黑"/>
          <w:color w:val="auto"/>
          <w:kern w:val="0"/>
          <w:szCs w:val="21"/>
          <w:highlight w:val="none"/>
          <w:lang w:eastAsia="zh-CN"/>
        </w:rPr>
        <w:t>；</w:t>
      </w:r>
      <w:r>
        <w:rPr>
          <w:rFonts w:hint="eastAsia" w:ascii="微软雅黑" w:hAnsi="微软雅黑" w:eastAsia="微软雅黑" w:cs="微软雅黑"/>
          <w:color w:val="auto"/>
          <w:kern w:val="0"/>
          <w:szCs w:val="21"/>
          <w:highlight w:val="none"/>
        </w:rPr>
        <w:t>优先采购节能产品、环境标志产品。</w:t>
      </w:r>
    </w:p>
    <w:p w14:paraId="74CE37C7">
      <w:pPr>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（4）政府采购促进残疾人就业政策。</w:t>
      </w:r>
    </w:p>
    <w:p w14:paraId="14EA9DD5">
      <w:pPr>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（5）政府采购支持监狱企业发展。</w:t>
      </w:r>
    </w:p>
    <w:bookmarkEnd w:id="50"/>
    <w:p w14:paraId="123A52B1">
      <w:pPr>
        <w:widowControl/>
        <w:spacing w:line="400" w:lineRule="exact"/>
        <w:ind w:firstLine="420" w:firstLineChars="200"/>
        <w:jc w:val="left"/>
        <w:rPr>
          <w:rFonts w:hint="eastAsia" w:ascii="微软雅黑" w:hAnsi="微软雅黑" w:eastAsia="微软雅黑" w:cs="微软雅黑"/>
          <w:color w:val="auto"/>
          <w:kern w:val="0"/>
          <w:szCs w:val="21"/>
          <w:highlight w:val="none"/>
          <w:lang w:val="en-US" w:eastAsia="zh-CN"/>
        </w:rPr>
      </w:pPr>
      <w:r>
        <w:rPr>
          <w:rFonts w:hint="eastAsia" w:ascii="微软雅黑" w:hAnsi="微软雅黑" w:eastAsia="微软雅黑" w:cs="微软雅黑"/>
          <w:color w:val="auto"/>
          <w:kern w:val="0"/>
          <w:szCs w:val="21"/>
          <w:highlight w:val="none"/>
          <w:lang w:val="en-US" w:eastAsia="zh-CN"/>
        </w:rPr>
        <w:t>7.现场考察要求：</w:t>
      </w:r>
    </w:p>
    <w:p w14:paraId="779A19EB">
      <w:pPr>
        <w:spacing w:line="36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因本项目涉及招标单位内部信息，采购人统一提供一次现场进行考察，帮助投标人了解项目情况及具体要求；</w:t>
      </w:r>
    </w:p>
    <w:p w14:paraId="0707292B">
      <w:pPr>
        <w:spacing w:line="36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考察交通工具、费用由各投标人自行承担；</w:t>
      </w:r>
    </w:p>
    <w:p w14:paraId="0429DBED">
      <w:pPr>
        <w:spacing w:line="36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投标人授权代表人持针对本项目出具的法定代表人授权委托书或单位介绍信原件、本人身份证原件前往；（需提前一日预约办理手续）</w:t>
      </w:r>
    </w:p>
    <w:p w14:paraId="377CCC67">
      <w:pPr>
        <w:spacing w:line="360" w:lineRule="exact"/>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考察时间：2024年</w:t>
      </w:r>
      <w:r>
        <w:rPr>
          <w:rFonts w:hint="eastAsia" w:ascii="微软雅黑" w:hAnsi="微软雅黑" w:eastAsia="微软雅黑" w:cs="微软雅黑"/>
          <w:color w:val="auto"/>
          <w:szCs w:val="21"/>
          <w:highlight w:val="none"/>
          <w:lang w:val="en-US" w:eastAsia="zh-CN"/>
        </w:rPr>
        <w:t>10</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lang w:val="en-US" w:eastAsia="zh-CN"/>
        </w:rPr>
        <w:t>23</w:t>
      </w:r>
      <w:r>
        <w:rPr>
          <w:rFonts w:hint="eastAsia" w:ascii="微软雅黑" w:hAnsi="微软雅黑" w:eastAsia="微软雅黑" w:cs="微软雅黑"/>
          <w:color w:val="auto"/>
          <w:szCs w:val="21"/>
          <w:highlight w:val="none"/>
        </w:rPr>
        <w:t xml:space="preserve">日 </w:t>
      </w:r>
      <w:r>
        <w:rPr>
          <w:rFonts w:hint="eastAsia" w:ascii="微软雅黑" w:hAnsi="微软雅黑" w:eastAsia="微软雅黑" w:cs="微软雅黑"/>
          <w:color w:val="auto"/>
          <w:szCs w:val="21"/>
          <w:highlight w:val="none"/>
          <w:lang w:val="en-US" w:eastAsia="zh-CN"/>
        </w:rPr>
        <w:t>9:00-12:00</w:t>
      </w:r>
      <w:r>
        <w:rPr>
          <w:rFonts w:hint="eastAsia" w:ascii="微软雅黑" w:hAnsi="微软雅黑" w:eastAsia="微软雅黑" w:cs="微软雅黑"/>
          <w:color w:val="auto"/>
          <w:szCs w:val="21"/>
          <w:highlight w:val="none"/>
        </w:rPr>
        <w:t xml:space="preserve"> </w:t>
      </w:r>
      <w:r>
        <w:rPr>
          <w:rFonts w:hint="eastAsia" w:ascii="微软雅黑" w:hAnsi="微软雅黑" w:eastAsia="微软雅黑" w:cs="微软雅黑"/>
          <w:color w:val="auto"/>
          <w:szCs w:val="21"/>
          <w:highlight w:val="none"/>
          <w:lang w:eastAsia="zh-CN"/>
        </w:rPr>
        <w:t>。</w:t>
      </w:r>
    </w:p>
    <w:p w14:paraId="3172D9A1">
      <w:pPr>
        <w:spacing w:line="36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集中地点：南宁市佛子岭路1号广西公安厅，东葛路侧门访客登记处。</w:t>
      </w:r>
    </w:p>
    <w:p w14:paraId="4BEF1466">
      <w:pPr>
        <w:widowControl/>
        <w:spacing w:line="400" w:lineRule="exact"/>
        <w:ind w:firstLine="420" w:firstLineChars="200"/>
        <w:jc w:val="left"/>
        <w:rPr>
          <w:rFonts w:hint="eastAsia" w:ascii="微软雅黑" w:hAnsi="微软雅黑" w:eastAsia="微软雅黑" w:cs="微软雅黑"/>
          <w:color w:val="auto"/>
          <w:kern w:val="0"/>
          <w:szCs w:val="21"/>
          <w:highlight w:val="none"/>
          <w:lang w:val="en-US" w:eastAsia="zh-CN"/>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联系人：秦</w:t>
      </w:r>
      <w:r>
        <w:rPr>
          <w:rFonts w:hint="eastAsia" w:ascii="微软雅黑" w:hAnsi="微软雅黑" w:eastAsia="微软雅黑" w:cs="微软雅黑"/>
          <w:color w:val="auto"/>
          <w:szCs w:val="21"/>
          <w:highlight w:val="none"/>
          <w:lang w:val="en-US" w:eastAsia="zh-CN"/>
        </w:rPr>
        <w:t>工</w:t>
      </w:r>
      <w:r>
        <w:rPr>
          <w:rFonts w:hint="eastAsia" w:ascii="微软雅黑" w:hAnsi="微软雅黑" w:eastAsia="微软雅黑" w:cs="微软雅黑"/>
          <w:color w:val="auto"/>
          <w:szCs w:val="21"/>
          <w:highlight w:val="none"/>
        </w:rPr>
        <w:t>，联系电话：0771-2892754</w:t>
      </w:r>
    </w:p>
    <w:p w14:paraId="4A74DBD9">
      <w:pPr>
        <w:widowControl/>
        <w:spacing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lang w:val="en-US" w:eastAsia="zh-CN"/>
        </w:rPr>
        <w:t>8.</w:t>
      </w:r>
      <w:r>
        <w:rPr>
          <w:rFonts w:hint="eastAsia" w:ascii="微软雅黑" w:hAnsi="微软雅黑" w:eastAsia="微软雅黑" w:cs="微软雅黑"/>
          <w:color w:val="auto"/>
          <w:kern w:val="0"/>
          <w:szCs w:val="21"/>
          <w:highlight w:val="none"/>
        </w:rPr>
        <w:t>投标人</w:t>
      </w:r>
      <w:r>
        <w:rPr>
          <w:rFonts w:hint="eastAsia" w:ascii="微软雅黑" w:hAnsi="微软雅黑" w:eastAsia="微软雅黑" w:cs="微软雅黑"/>
          <w:color w:val="auto"/>
          <w:szCs w:val="21"/>
          <w:highlight w:val="none"/>
        </w:rPr>
        <w:t>投标注意事项</w:t>
      </w:r>
    </w:p>
    <w:p w14:paraId="033943F3">
      <w:pPr>
        <w:widowControl/>
        <w:spacing w:line="40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（1）本项目为全流程电子化采购项目，通过广西政府采购云平台（</w:t>
      </w:r>
      <w:r>
        <w:rPr>
          <w:rFonts w:hint="eastAsia" w:ascii="微软雅黑" w:hAnsi="微软雅黑" w:eastAsia="微软雅黑" w:cs="微软雅黑"/>
          <w:bCs/>
          <w:color w:val="auto"/>
          <w:szCs w:val="21"/>
          <w:highlight w:val="none"/>
        </w:rPr>
        <w:t>https://www.gcy.zfcg.gxzf.gov.cn/</w:t>
      </w:r>
      <w:r>
        <w:rPr>
          <w:rFonts w:hint="eastAsia" w:ascii="微软雅黑" w:hAnsi="微软雅黑" w:eastAsia="微软雅黑" w:cs="微软雅黑"/>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ascii="微软雅黑" w:hAnsi="微软雅黑" w:eastAsia="微软雅黑" w:cs="微软雅黑"/>
          <w:color w:val="auto"/>
          <w:highlight w:val="none"/>
        </w:rPr>
        <w:t>后缀名为“jmbs”的文件</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b/>
          <w:color w:val="auto"/>
          <w:szCs w:val="21"/>
          <w:highlight w:val="none"/>
        </w:rPr>
        <w:t>投标人在</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b/>
          <w:color w:val="auto"/>
          <w:szCs w:val="21"/>
          <w:highlight w:val="none"/>
        </w:rPr>
        <w:t>提交电子投标文件时，请填写参加远程开标活动经办人联系方式。</w:t>
      </w:r>
      <w:r>
        <w:rPr>
          <w:rFonts w:hint="eastAsia" w:ascii="微软雅黑" w:hAnsi="微软雅黑" w:eastAsia="微软雅黑" w:cs="微软雅黑"/>
          <w:color w:val="auto"/>
          <w:szCs w:val="21"/>
          <w:highlight w:val="none"/>
        </w:rPr>
        <w:t>投标人登录广西政府采购云平台，依次进入“服务中心-项目采购-操作流程-电子招投标-</w:t>
      </w:r>
      <w:r>
        <w:rPr>
          <w:rFonts w:hint="eastAsia" w:ascii="微软雅黑" w:hAnsi="微软雅黑" w:eastAsia="微软雅黑" w:cs="微软雅黑"/>
          <w:color w:val="auto"/>
          <w:highlight w:val="none"/>
        </w:rPr>
        <w:t>政府采购项目电子交易管理操作指南-供应商</w:t>
      </w:r>
      <w:r>
        <w:rPr>
          <w:rFonts w:hint="eastAsia" w:ascii="微软雅黑" w:hAnsi="微软雅黑" w:eastAsia="微软雅黑" w:cs="微软雅黑"/>
          <w:color w:val="auto"/>
          <w:szCs w:val="21"/>
          <w:highlight w:val="none"/>
        </w:rPr>
        <w:t>”查看电子投标具体操作流程。</w:t>
      </w:r>
    </w:p>
    <w:p w14:paraId="3DA7E5E6">
      <w:pPr>
        <w:widowControl/>
        <w:spacing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szCs w:val="21"/>
          <w:highlight w:val="none"/>
        </w:rPr>
        <w:t>依次进入“服务中心-入驻与配置”中查看CA数字证书办理操作流程。</w:t>
      </w:r>
      <w:r>
        <w:rPr>
          <w:rFonts w:hint="eastAsia" w:ascii="微软雅黑" w:hAnsi="微软雅黑" w:eastAsia="微软雅黑" w:cs="微软雅黑"/>
          <w:bCs/>
          <w:color w:val="auto"/>
          <w:kern w:val="0"/>
          <w:szCs w:val="21"/>
          <w:highlight w:val="none"/>
        </w:rPr>
        <w:t>如在操作过程中遇到问题或者需要技术支持，请致电客服热线：95763</w:t>
      </w:r>
      <w:r>
        <w:rPr>
          <w:rFonts w:hint="eastAsia" w:ascii="微软雅黑" w:hAnsi="微软雅黑" w:eastAsia="微软雅黑" w:cs="微软雅黑"/>
          <w:color w:val="auto"/>
          <w:szCs w:val="21"/>
          <w:highlight w:val="none"/>
        </w:rPr>
        <w:t>）。</w:t>
      </w:r>
    </w:p>
    <w:p w14:paraId="5604BC4F">
      <w:pPr>
        <w:snapToGrid w:val="0"/>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（3）CA证书在线解密：投标人投标时，需凭制作投标文件时用来加密的有效数字证书（CA认证）登录</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color w:val="auto"/>
          <w:kern w:val="0"/>
          <w:szCs w:val="21"/>
          <w:highlight w:val="none"/>
        </w:rPr>
        <w:t>电子开标大厅现场按规定时间对加密的投标文件进行解密，否则后果自负。</w:t>
      </w:r>
    </w:p>
    <w:p w14:paraId="62AC439F">
      <w:pPr>
        <w:spacing w:line="40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微软雅黑" w:hAnsi="微软雅黑" w:eastAsia="微软雅黑" w:cs="微软雅黑"/>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bCs/>
          <w:color w:val="auto"/>
          <w:szCs w:val="21"/>
          <w:highlight w:val="none"/>
        </w:rPr>
        <w:t>将予以拒收。</w:t>
      </w:r>
    </w:p>
    <w:bookmarkEnd w:id="45"/>
    <w:p w14:paraId="73ED1927">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七、对本次招标提出询问，请按</w:t>
      </w:r>
      <w:r>
        <w:rPr>
          <w:rFonts w:ascii="微软雅黑" w:hAnsi="微软雅黑" w:eastAsia="微软雅黑"/>
          <w:b/>
          <w:bCs/>
          <w:color w:val="auto"/>
          <w:sz w:val="24"/>
          <w:highlight w:val="none"/>
        </w:rPr>
        <w:t>以下方式</w:t>
      </w:r>
      <w:r>
        <w:rPr>
          <w:rFonts w:hint="eastAsia" w:ascii="微软雅黑" w:hAnsi="微软雅黑" w:eastAsia="微软雅黑"/>
          <w:b/>
          <w:bCs/>
          <w:color w:val="auto"/>
          <w:sz w:val="24"/>
          <w:highlight w:val="none"/>
        </w:rPr>
        <w:t>联系。</w:t>
      </w:r>
      <w:bookmarkEnd w:id="46"/>
      <w:bookmarkEnd w:id="47"/>
      <w:bookmarkEnd w:id="48"/>
      <w:bookmarkEnd w:id="49"/>
    </w:p>
    <w:p w14:paraId="05D29E1D">
      <w:pPr>
        <w:spacing w:line="400" w:lineRule="exact"/>
        <w:ind w:firstLine="424" w:firstLineChars="202"/>
        <w:jc w:val="left"/>
        <w:outlineLvl w:val="2"/>
        <w:rPr>
          <w:rFonts w:hint="eastAsia" w:ascii="微软雅黑" w:hAnsi="微软雅黑" w:eastAsia="微软雅黑"/>
          <w:color w:val="auto"/>
          <w:szCs w:val="21"/>
          <w:highlight w:val="none"/>
        </w:rPr>
      </w:pPr>
      <w:r>
        <w:rPr>
          <w:rFonts w:hint="eastAsia" w:ascii="微软雅黑" w:hAnsi="微软雅黑" w:eastAsia="微软雅黑" w:cs="宋体"/>
          <w:color w:val="auto"/>
          <w:szCs w:val="21"/>
          <w:highlight w:val="none"/>
        </w:rPr>
        <w:t>1.采购人信息</w:t>
      </w:r>
    </w:p>
    <w:p w14:paraId="00126F55">
      <w:pPr>
        <w:spacing w:line="400" w:lineRule="exact"/>
        <w:ind w:firstLine="424" w:firstLineChars="202"/>
        <w:jc w:val="left"/>
        <w:rPr>
          <w:rFonts w:hint="eastAsia"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rPr>
        <w:t>名 称</w:t>
      </w:r>
      <w:r>
        <w:rPr>
          <w:rFonts w:hint="eastAsia" w:ascii="微软雅黑" w:hAnsi="微软雅黑" w:eastAsia="微软雅黑" w:cs="Times New Roman"/>
          <w:bCs/>
          <w:color w:val="auto"/>
          <w:szCs w:val="21"/>
          <w:highlight w:val="none"/>
        </w:rPr>
        <w:t>：广西壮族自治区公安厅</w:t>
      </w:r>
      <w:r>
        <w:rPr>
          <w:rFonts w:hint="eastAsia" w:ascii="微软雅黑" w:hAnsi="微软雅黑" w:eastAsia="微软雅黑" w:cs="Times New Roman"/>
          <w:bCs/>
          <w:color w:val="auto"/>
          <w:szCs w:val="21"/>
          <w:highlight w:val="none"/>
          <w:lang w:val="en-US" w:eastAsia="zh-CN"/>
        </w:rPr>
        <w:t xml:space="preserve"> </w:t>
      </w:r>
    </w:p>
    <w:p w14:paraId="4631703A">
      <w:pPr>
        <w:spacing w:line="400" w:lineRule="exact"/>
        <w:ind w:firstLine="424" w:firstLineChars="202"/>
        <w:jc w:val="lef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地址：广西南宁市青秀区佛子岭路1号</w:t>
      </w:r>
    </w:p>
    <w:p w14:paraId="012378F1">
      <w:pPr>
        <w:spacing w:line="400" w:lineRule="exact"/>
        <w:ind w:firstLine="424" w:firstLineChars="202"/>
        <w:rPr>
          <w:rFonts w:ascii="微软雅黑" w:hAnsi="微软雅黑" w:eastAsia="微软雅黑" w:cs="宋体"/>
          <w:color w:val="auto"/>
          <w:szCs w:val="21"/>
          <w:highlight w:val="none"/>
        </w:rPr>
      </w:pPr>
      <w:bookmarkStart w:id="51" w:name="_Toc28359086"/>
      <w:bookmarkStart w:id="52" w:name="_Toc28359009"/>
      <w:r>
        <w:rPr>
          <w:rFonts w:hint="eastAsia" w:ascii="微软雅黑" w:hAnsi="微软雅黑" w:eastAsia="微软雅黑" w:cs="宋体"/>
          <w:color w:val="auto"/>
          <w:szCs w:val="21"/>
          <w:highlight w:val="none"/>
        </w:rPr>
        <w:t>项目联系人：</w:t>
      </w:r>
      <w:r>
        <w:rPr>
          <w:rFonts w:hint="eastAsia"/>
          <w:lang w:val="en-US" w:eastAsia="zh-CN"/>
        </w:rPr>
        <w:t>秦工</w:t>
      </w:r>
      <w:r>
        <w:rPr>
          <w:rFonts w:hint="eastAsia" w:ascii="微软雅黑" w:hAnsi="微软雅黑" w:eastAsia="微软雅黑" w:cs="宋体"/>
          <w:color w:val="auto"/>
          <w:szCs w:val="21"/>
          <w:highlight w:val="none"/>
          <w:lang w:val="en-US" w:eastAsia="zh-CN"/>
        </w:rPr>
        <w:t xml:space="preserve"> </w:t>
      </w:r>
      <w:r>
        <w:rPr>
          <w:rFonts w:hint="eastAsia" w:ascii="微软雅黑" w:hAnsi="微软雅黑" w:eastAsia="微软雅黑" w:cs="宋体"/>
          <w:color w:val="auto"/>
          <w:szCs w:val="21"/>
          <w:highlight w:val="none"/>
        </w:rPr>
        <w:t xml:space="preserve">  </w:t>
      </w:r>
    </w:p>
    <w:p w14:paraId="21D515B0">
      <w:pPr>
        <w:spacing w:line="400" w:lineRule="exact"/>
        <w:ind w:firstLine="424" w:firstLineChars="202"/>
        <w:jc w:val="left"/>
        <w:rPr>
          <w:rFonts w:ascii="微软雅黑" w:hAnsi="微软雅黑" w:eastAsia="微软雅黑"/>
          <w:color w:val="auto"/>
          <w:szCs w:val="21"/>
          <w:highlight w:val="none"/>
          <w:u w:val="single"/>
        </w:rPr>
      </w:pPr>
      <w:r>
        <w:rPr>
          <w:rFonts w:hint="eastAsia" w:ascii="微软雅黑" w:hAnsi="微软雅黑" w:eastAsia="微软雅黑" w:cs="宋体"/>
          <w:color w:val="auto"/>
          <w:szCs w:val="21"/>
          <w:highlight w:val="none"/>
        </w:rPr>
        <w:t>联系方式：</w:t>
      </w:r>
      <w:bookmarkStart w:id="53" w:name="OLE_LINK7"/>
      <w:r>
        <w:rPr>
          <w:rFonts w:hint="eastAsia" w:ascii="微软雅黑" w:hAnsi="微软雅黑" w:eastAsia="微软雅黑" w:cs="宋体"/>
          <w:color w:val="auto"/>
          <w:szCs w:val="21"/>
          <w:highlight w:val="none"/>
        </w:rPr>
        <w:t>0771-2892754</w:t>
      </w:r>
      <w:r>
        <w:rPr>
          <w:rFonts w:hint="eastAsia" w:ascii="微软雅黑" w:hAnsi="微软雅黑" w:eastAsia="微软雅黑" w:cs="宋体"/>
          <w:color w:val="auto"/>
          <w:szCs w:val="21"/>
          <w:highlight w:val="none"/>
          <w:lang w:val="en-US" w:eastAsia="zh-CN"/>
        </w:rPr>
        <w:t xml:space="preserve"> </w:t>
      </w:r>
      <w:r>
        <w:rPr>
          <w:rFonts w:hint="eastAsia" w:ascii="微软雅黑" w:hAnsi="微软雅黑" w:eastAsia="微软雅黑" w:cs="宋体"/>
          <w:color w:val="auto"/>
          <w:szCs w:val="21"/>
          <w:highlight w:val="none"/>
        </w:rPr>
        <w:t xml:space="preserve"> </w:t>
      </w:r>
      <w:bookmarkEnd w:id="53"/>
      <w:r>
        <w:rPr>
          <w:rFonts w:hint="eastAsia" w:ascii="微软雅黑" w:hAnsi="微软雅黑" w:eastAsia="微软雅黑" w:cs="宋体"/>
          <w:color w:val="auto"/>
          <w:szCs w:val="21"/>
          <w:highlight w:val="none"/>
        </w:rPr>
        <w:t xml:space="preserve">          </w:t>
      </w:r>
    </w:p>
    <w:bookmarkEnd w:id="51"/>
    <w:bookmarkEnd w:id="52"/>
    <w:p w14:paraId="6C9EC90A">
      <w:pPr>
        <w:spacing w:line="400" w:lineRule="exact"/>
        <w:ind w:firstLine="424" w:firstLineChars="202"/>
        <w:outlineLvl w:val="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2.采购代理机构信息</w:t>
      </w:r>
    </w:p>
    <w:p w14:paraId="2779B983">
      <w:pPr>
        <w:spacing w:line="400" w:lineRule="exact"/>
        <w:ind w:firstLine="424" w:firstLineChars="20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名 称：华新项目管理集团有限公司</w:t>
      </w:r>
    </w:p>
    <w:p w14:paraId="1A29E242">
      <w:pPr>
        <w:spacing w:line="400" w:lineRule="exact"/>
        <w:ind w:firstLine="424" w:firstLineChars="202"/>
        <w:rPr>
          <w:rFonts w:hint="eastAsia" w:ascii="微软雅黑" w:hAnsi="微软雅黑" w:eastAsia="微软雅黑" w:cs="宋体"/>
          <w:color w:val="auto"/>
          <w:szCs w:val="21"/>
          <w:highlight w:val="none"/>
          <w:lang w:eastAsia="zh-CN"/>
        </w:rPr>
      </w:pPr>
      <w:r>
        <w:rPr>
          <w:rFonts w:hint="eastAsia" w:ascii="微软雅黑" w:hAnsi="微软雅黑" w:eastAsia="微软雅黑" w:cs="宋体"/>
          <w:color w:val="auto"/>
          <w:szCs w:val="21"/>
          <w:highlight w:val="none"/>
        </w:rPr>
        <w:t>地　址：</w:t>
      </w:r>
      <w:r>
        <w:rPr>
          <w:rFonts w:hint="eastAsia" w:ascii="微软雅黑" w:hAnsi="微软雅黑" w:eastAsia="微软雅黑" w:cs="宋体"/>
          <w:color w:val="auto"/>
          <w:szCs w:val="21"/>
          <w:highlight w:val="none"/>
          <w:lang w:eastAsia="zh-CN"/>
        </w:rPr>
        <w:t>南宁市中柬路9号利海亚洲国际领峰A座910室</w:t>
      </w:r>
    </w:p>
    <w:p w14:paraId="51E67402">
      <w:pPr>
        <w:spacing w:line="400" w:lineRule="exact"/>
        <w:ind w:firstLine="424" w:firstLineChars="20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联系方式：0771-5502082</w:t>
      </w:r>
    </w:p>
    <w:p w14:paraId="73F01F2D">
      <w:pPr>
        <w:spacing w:line="400" w:lineRule="exact"/>
        <w:ind w:firstLine="424" w:firstLineChars="202"/>
        <w:outlineLvl w:val="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3.项目联系方式</w:t>
      </w:r>
    </w:p>
    <w:p w14:paraId="2A970354">
      <w:pPr>
        <w:spacing w:line="400" w:lineRule="exact"/>
        <w:ind w:firstLine="424" w:firstLineChars="202"/>
        <w:rPr>
          <w:rFonts w:hint="eastAsia" w:ascii="微软雅黑" w:hAnsi="微软雅黑" w:eastAsia="微软雅黑" w:cs="宋体"/>
          <w:color w:val="auto"/>
          <w:szCs w:val="21"/>
          <w:highlight w:val="none"/>
          <w:lang w:eastAsia="zh-CN"/>
        </w:rPr>
      </w:pPr>
      <w:r>
        <w:rPr>
          <w:rFonts w:hint="eastAsia" w:ascii="微软雅黑" w:hAnsi="微软雅黑" w:eastAsia="微软雅黑" w:cs="宋体"/>
          <w:color w:val="auto"/>
          <w:szCs w:val="21"/>
          <w:highlight w:val="none"/>
        </w:rPr>
        <w:t>项目联系人：</w:t>
      </w:r>
      <w:r>
        <w:rPr>
          <w:rFonts w:hint="eastAsia" w:ascii="微软雅黑" w:hAnsi="微软雅黑" w:eastAsia="微软雅黑" w:cs="宋体"/>
          <w:color w:val="auto"/>
          <w:szCs w:val="21"/>
          <w:highlight w:val="none"/>
          <w:lang w:val="en-US" w:eastAsia="zh-CN"/>
        </w:rPr>
        <w:t xml:space="preserve">石彦霓、邹建 </w:t>
      </w:r>
    </w:p>
    <w:p w14:paraId="320F3860">
      <w:pPr>
        <w:spacing w:line="400" w:lineRule="exact"/>
        <w:ind w:firstLine="424" w:firstLineChars="202"/>
        <w:rPr>
          <w:rFonts w:ascii="微软雅黑" w:hAnsi="微软雅黑" w:eastAsia="微软雅黑"/>
          <w:color w:val="auto"/>
          <w:szCs w:val="21"/>
          <w:highlight w:val="none"/>
          <w:u w:val="single"/>
        </w:rPr>
      </w:pPr>
      <w:r>
        <w:rPr>
          <w:rFonts w:hint="eastAsia" w:ascii="微软雅黑" w:hAnsi="微软雅黑" w:eastAsia="微软雅黑" w:cs="宋体"/>
          <w:color w:val="auto"/>
          <w:szCs w:val="21"/>
          <w:highlight w:val="none"/>
        </w:rPr>
        <w:t>电　话：0771-5502082</w:t>
      </w:r>
    </w:p>
    <w:bookmarkEnd w:id="13"/>
    <w:p w14:paraId="25636360">
      <w:pPr>
        <w:spacing w:line="360" w:lineRule="auto"/>
        <w:rPr>
          <w:rFonts w:ascii="微软雅黑" w:hAnsi="微软雅黑" w:eastAsia="微软雅黑"/>
          <w:color w:val="auto"/>
          <w:szCs w:val="21"/>
          <w:highlight w:val="none"/>
        </w:rPr>
      </w:pPr>
    </w:p>
    <w:p w14:paraId="21398E4D">
      <w:pPr>
        <w:spacing w:line="400" w:lineRule="exact"/>
        <w:ind w:firstLine="424" w:firstLineChars="202"/>
        <w:jc w:val="right"/>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val="en-US" w:eastAsia="zh-CN"/>
        </w:rPr>
        <w:t>采购代理机构：华新项目管理集团有限公司</w:t>
      </w:r>
    </w:p>
    <w:p w14:paraId="45182036">
      <w:pPr>
        <w:spacing w:line="360" w:lineRule="auto"/>
        <w:ind w:firstLine="424" w:firstLineChars="202"/>
        <w:jc w:val="center"/>
        <w:outlineLvl w:val="1"/>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val="en-US" w:eastAsia="zh-CN"/>
        </w:rPr>
        <w:t xml:space="preserve">                                           日期：2024年10月15日</w:t>
      </w:r>
    </w:p>
    <w:p w14:paraId="1180EFFF">
      <w:pPr>
        <w:spacing w:line="360" w:lineRule="auto"/>
        <w:ind w:firstLine="424" w:firstLineChars="202"/>
        <w:jc w:val="center"/>
        <w:outlineLvl w:val="0"/>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eastAsia="zh-CN"/>
        </w:rPr>
        <w:br w:type="page"/>
      </w:r>
      <w:bookmarkStart w:id="54" w:name="_Toc27979"/>
      <w:r>
        <w:rPr>
          <w:rFonts w:hint="eastAsia" w:ascii="微软雅黑" w:hAnsi="微软雅黑" w:eastAsia="微软雅黑" w:cs="Times New Roman"/>
          <w:b/>
          <w:bCs/>
          <w:color w:val="auto"/>
          <w:kern w:val="44"/>
          <w:sz w:val="44"/>
          <w:szCs w:val="44"/>
          <w:highlight w:val="none"/>
          <w:lang w:val="en-US" w:eastAsia="zh-CN" w:bidi="ar-SA"/>
        </w:rPr>
        <w:t xml:space="preserve">第二章  </w:t>
      </w:r>
      <w:bookmarkStart w:id="55" w:name="OLE_LINK64"/>
      <w:r>
        <w:rPr>
          <w:rFonts w:hint="eastAsia" w:ascii="微软雅黑" w:hAnsi="微软雅黑" w:eastAsia="微软雅黑" w:cs="Times New Roman"/>
          <w:b/>
          <w:bCs/>
          <w:color w:val="auto"/>
          <w:kern w:val="44"/>
          <w:sz w:val="44"/>
          <w:szCs w:val="44"/>
          <w:highlight w:val="none"/>
          <w:lang w:val="en-US" w:eastAsia="zh-CN" w:bidi="ar-SA"/>
        </w:rPr>
        <w:t>采购需求</w:t>
      </w:r>
      <w:bookmarkEnd w:id="54"/>
      <w:bookmarkStart w:id="56" w:name="_Toc254970490"/>
      <w:bookmarkStart w:id="57" w:name="_Toc254970631"/>
    </w:p>
    <w:p w14:paraId="549B0BCB">
      <w:pPr>
        <w:spacing w:line="400" w:lineRule="exact"/>
        <w:jc w:val="left"/>
        <w:rPr>
          <w:rFonts w:hint="eastAsia" w:ascii="微软雅黑" w:hAnsi="微软雅黑" w:eastAsia="微软雅黑" w:cs="宋体"/>
          <w:b/>
          <w:bCs/>
          <w:color w:val="auto"/>
          <w:szCs w:val="21"/>
          <w:highlight w:val="none"/>
        </w:rPr>
      </w:pPr>
      <w:r>
        <w:rPr>
          <w:rFonts w:hint="eastAsia" w:ascii="微软雅黑" w:hAnsi="微软雅黑" w:eastAsia="微软雅黑" w:cs="宋体"/>
          <w:b/>
          <w:bCs/>
          <w:color w:val="auto"/>
          <w:szCs w:val="21"/>
          <w:highlight w:val="none"/>
        </w:rPr>
        <w:t>说明：</w:t>
      </w:r>
    </w:p>
    <w:p w14:paraId="064C470F">
      <w:pPr>
        <w:keepNext w:val="0"/>
        <w:keepLines w:val="0"/>
        <w:pageBreakBefore w:val="0"/>
        <w:widowControl w:val="0"/>
        <w:kinsoku/>
        <w:wordWrap/>
        <w:overflowPunct/>
        <w:topLinePunct w:val="0"/>
        <w:autoSpaceDE/>
        <w:autoSpaceDN/>
        <w:bidi w:val="0"/>
        <w:adjustRightInd/>
        <w:spacing w:line="420" w:lineRule="exact"/>
        <w:ind w:firstLine="420" w:firstLineChars="200"/>
        <w:jc w:val="left"/>
        <w:textAlignment w:val="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1.为落实政府采购政策需满足的要求：</w:t>
      </w:r>
      <w:r>
        <w:rPr>
          <w:rFonts w:hint="eastAsia" w:ascii="微软雅黑" w:hAnsi="微软雅黑" w:eastAsia="微软雅黑" w:cs="宋体"/>
          <w:color w:val="auto"/>
          <w:sz w:val="21"/>
          <w:szCs w:val="21"/>
          <w:highlight w:val="none"/>
        </w:rPr>
        <w:t>本招标文件所称中小企业必须符合《政府采购促进中小企业发展管理办法》（财库〔2020〕46号）的规定。</w:t>
      </w:r>
    </w:p>
    <w:p w14:paraId="6FB7AA71">
      <w:pPr>
        <w:keepNext w:val="0"/>
        <w:keepLines w:val="0"/>
        <w:spacing w:line="420" w:lineRule="exact"/>
        <w:ind w:firstLine="424" w:firstLineChars="202"/>
        <w:jc w:val="left"/>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2.“实质性要求”是指招标文件中已经指明不满足则投标无效的条款，或者不能负偏离的条款，或者采购需求中带“▲”的条款。</w:t>
      </w:r>
    </w:p>
    <w:p w14:paraId="1FCFCD87">
      <w:pPr>
        <w:pStyle w:val="29"/>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微软雅黑" w:hAnsi="微软雅黑" w:eastAsia="微软雅黑" w:cs="宋体"/>
          <w:color w:val="auto"/>
          <w:kern w:val="2"/>
          <w:sz w:val="21"/>
          <w:szCs w:val="21"/>
          <w:highlight w:val="none"/>
          <w:lang w:val="en-US" w:eastAsia="zh-CN" w:bidi="ar-SA"/>
        </w:rPr>
      </w:pPr>
      <w:r>
        <w:rPr>
          <w:rFonts w:hint="eastAsia" w:ascii="微软雅黑" w:hAnsi="微软雅黑" w:eastAsia="微软雅黑" w:cs="宋体"/>
          <w:color w:val="auto"/>
          <w:kern w:val="2"/>
          <w:sz w:val="21"/>
          <w:szCs w:val="21"/>
          <w:highlight w:val="none"/>
          <w:lang w:val="en-US" w:eastAsia="zh-CN" w:bidi="ar-SA"/>
        </w:rPr>
        <w:t>3.根据《财政部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扫描件（加盖投标人电子签章），否则按无效投标处理。如本项目包含的货物属于品目清单内非标注“★”的产品时，应优先采购，具体详见“第四章 评标方法及评标标准”。</w:t>
      </w:r>
    </w:p>
    <w:p w14:paraId="4984E0CA">
      <w:pPr>
        <w:pStyle w:val="29"/>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微软雅黑" w:hAnsi="微软雅黑" w:eastAsia="微软雅黑" w:cs="宋体"/>
          <w:color w:val="auto"/>
          <w:kern w:val="2"/>
          <w:sz w:val="21"/>
          <w:szCs w:val="21"/>
          <w:highlight w:val="none"/>
          <w:lang w:val="en-US" w:eastAsia="zh-CN" w:bidi="ar-SA"/>
        </w:rPr>
      </w:pPr>
      <w:r>
        <w:rPr>
          <w:rFonts w:hint="eastAsia" w:ascii="微软雅黑" w:hAnsi="微软雅黑" w:eastAsia="微软雅黑" w:cs="宋体"/>
          <w:color w:val="auto"/>
          <w:kern w:val="2"/>
          <w:sz w:val="21"/>
          <w:szCs w:val="21"/>
          <w:highlight w:val="none"/>
          <w:lang w:val="en-US" w:eastAsia="zh-CN" w:bidi="ar-SA"/>
        </w:rPr>
        <w:t>4.根据《关于调整网络安全专用产品安全管理有关事项的公告》（2023年1号）规定，本项目采购需求中的产品如果包括《网络关键设备和网络安全专用产品目录》的网络安全专用产品，投标人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14:paraId="0D41406F">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5.</w:t>
      </w:r>
      <w:r>
        <w:rPr>
          <w:rFonts w:hint="eastAsia" w:ascii="微软雅黑" w:hAnsi="微软雅黑" w:eastAsia="微软雅黑" w:cs="宋体"/>
          <w:color w:val="auto"/>
          <w:sz w:val="21"/>
          <w:szCs w:val="21"/>
          <w:highlight w:val="none"/>
        </w:rPr>
        <w:t>采购需求中出现的品牌、型号或者生产厂家仅起参考作用，不属于指定品牌、型号或者生产厂家的情形。投标人可参照或者选用其他相当的品牌、型号或者生产厂家替代。</w:t>
      </w:r>
    </w:p>
    <w:p w14:paraId="75F8B4EE">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Style w:val="53"/>
          <w:rFonts w:ascii="微软雅黑" w:hAnsi="微软雅黑" w:eastAsia="微软雅黑"/>
          <w:color w:val="auto"/>
          <w:sz w:val="21"/>
          <w:szCs w:val="21"/>
          <w:highlight w:val="none"/>
        </w:rPr>
      </w:pPr>
      <w:r>
        <w:rPr>
          <w:rFonts w:hint="eastAsia" w:ascii="微软雅黑" w:hAnsi="微软雅黑" w:eastAsia="微软雅黑" w:cs="宋体"/>
          <w:color w:val="auto"/>
          <w:sz w:val="21"/>
          <w:szCs w:val="21"/>
          <w:highlight w:val="none"/>
          <w:lang w:val="en-US" w:eastAsia="zh-CN"/>
        </w:rPr>
        <w:t>6.</w:t>
      </w:r>
      <w:r>
        <w:rPr>
          <w:rFonts w:hint="eastAsia" w:ascii="微软雅黑" w:hAnsi="微软雅黑" w:eastAsia="微软雅黑" w:cs="宋体"/>
          <w:color w:val="auto"/>
          <w:sz w:val="21"/>
          <w:szCs w:val="21"/>
          <w:highlight w:val="none"/>
        </w:rPr>
        <w:t>投标人应根据自身实际情况如实响应招标文件</w:t>
      </w:r>
      <w:r>
        <w:rPr>
          <w:rFonts w:hint="eastAsia" w:ascii="微软雅黑" w:hAnsi="微软雅黑" w:eastAsia="微软雅黑"/>
          <w:color w:val="auto"/>
          <w:sz w:val="21"/>
          <w:szCs w:val="21"/>
          <w:highlight w:val="none"/>
        </w:rPr>
        <w:t>，对招标文件提出的要求和条件作出明确响应</w:t>
      </w:r>
      <w:r>
        <w:rPr>
          <w:rFonts w:hint="eastAsia" w:ascii="微软雅黑" w:hAnsi="微软雅黑" w:eastAsia="微软雅黑"/>
          <w:color w:val="auto"/>
          <w:sz w:val="21"/>
          <w:szCs w:val="21"/>
          <w:highlight w:val="none"/>
          <w:lang w:eastAsia="zh-CN"/>
        </w:rPr>
        <w:t>。</w:t>
      </w:r>
    </w:p>
    <w:p w14:paraId="727D7069">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hint="eastAsia" w:ascii="微软雅黑" w:hAnsi="微软雅黑" w:eastAsia="微软雅黑" w:cs="宋体"/>
          <w:color w:val="auto"/>
          <w:sz w:val="21"/>
          <w:szCs w:val="21"/>
          <w:highlight w:val="none"/>
          <w:lang w:val="en-US" w:eastAsia="zh-CN"/>
        </w:rPr>
      </w:pPr>
      <w:r>
        <w:rPr>
          <w:rFonts w:hint="eastAsia" w:ascii="微软雅黑" w:hAnsi="微软雅黑" w:eastAsia="微软雅黑" w:cs="宋体"/>
          <w:color w:val="auto"/>
          <w:sz w:val="21"/>
          <w:szCs w:val="21"/>
          <w:highlight w:val="none"/>
          <w:lang w:val="en-US" w:eastAsia="zh-CN"/>
        </w:rPr>
        <w:t>7.投标人必须自行为其投标产品侵犯他人的知识产权或者专利成果的行为承担相应法律责任。</w:t>
      </w:r>
    </w:p>
    <w:p w14:paraId="07985A33">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hint="eastAsia" w:ascii="微软雅黑" w:hAnsi="微软雅黑" w:eastAsia="微软雅黑" w:cs="宋体"/>
          <w:b/>
          <w:bCs/>
          <w:color w:val="auto"/>
          <w:szCs w:val="21"/>
          <w:highlight w:val="none"/>
          <w:lang w:val="en-US" w:eastAsia="zh-CN"/>
        </w:rPr>
      </w:pPr>
      <w:r>
        <w:rPr>
          <w:rFonts w:hint="eastAsia" w:ascii="微软雅黑" w:hAnsi="微软雅黑" w:eastAsia="微软雅黑" w:cs="宋体"/>
          <w:b/>
          <w:bCs/>
          <w:color w:val="auto"/>
          <w:szCs w:val="21"/>
          <w:highlight w:val="none"/>
          <w:lang w:val="en-US" w:eastAsia="zh-CN"/>
        </w:rPr>
        <w:t>8.所属行业：软件和信息技术服务业。</w:t>
      </w:r>
    </w:p>
    <w:p w14:paraId="5B22D9B8">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hint="eastAsia" w:ascii="微软雅黑" w:hAnsi="微软雅黑" w:eastAsia="微软雅黑" w:cs="宋体"/>
          <w:b/>
          <w:bCs/>
          <w:color w:val="auto"/>
          <w:szCs w:val="21"/>
          <w:highlight w:val="none"/>
          <w:lang w:val="en-US" w:eastAsia="zh-CN"/>
        </w:rPr>
      </w:pPr>
      <w:r>
        <w:rPr>
          <w:rFonts w:hint="eastAsia" w:ascii="微软雅黑" w:hAnsi="微软雅黑" w:eastAsia="微软雅黑" w:cs="宋体"/>
          <w:b/>
          <w:bCs/>
          <w:color w:val="auto"/>
          <w:szCs w:val="21"/>
          <w:highlight w:val="none"/>
          <w:lang w:val="en-US" w:eastAsia="zh-CN"/>
        </w:rPr>
        <w:t>9.采购预算：</w:t>
      </w:r>
      <w:r>
        <w:rPr>
          <w:rFonts w:hint="eastAsia" w:ascii="微软雅黑" w:hAnsi="微软雅黑" w:eastAsia="微软雅黑" w:cs="Times New Roman"/>
          <w:b/>
          <w:bCs/>
          <w:color w:val="auto"/>
          <w:highlight w:val="none"/>
          <w:lang w:val="en-US" w:eastAsia="zh-CN"/>
        </w:rPr>
        <w:t>19657400</w:t>
      </w:r>
      <w:r>
        <w:rPr>
          <w:rFonts w:hint="eastAsia" w:ascii="微软雅黑" w:hAnsi="微软雅黑" w:eastAsia="微软雅黑" w:cs="宋体"/>
          <w:b/>
          <w:bCs/>
          <w:color w:val="auto"/>
          <w:szCs w:val="21"/>
          <w:highlight w:val="none"/>
          <w:lang w:val="en-US" w:eastAsia="zh-CN"/>
        </w:rPr>
        <w:t>.00元。</w:t>
      </w:r>
    </w:p>
    <w:bookmarkEnd w:id="55"/>
    <w:p w14:paraId="0ACD7A1E">
      <w:pPr>
        <w:spacing w:line="240" w:lineRule="auto"/>
        <w:ind w:firstLine="0"/>
        <w:rPr>
          <w:rFonts w:hint="eastAsia"/>
          <w:color w:val="auto"/>
          <w:highlight w:val="none"/>
        </w:rPr>
      </w:pPr>
      <w:r>
        <w:rPr>
          <w:rFonts w:hint="eastAsia" w:ascii="微软雅黑" w:hAnsi="微软雅黑" w:eastAsia="微软雅黑" w:cs="宋体"/>
          <w:b/>
          <w:bCs/>
          <w:color w:val="auto"/>
          <w:szCs w:val="21"/>
          <w:highlight w:val="none"/>
        </w:rPr>
        <w:br w:type="page"/>
      </w:r>
    </w:p>
    <w:tbl>
      <w:tblPr>
        <w:tblStyle w:val="46"/>
        <w:tblW w:w="89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5"/>
        <w:gridCol w:w="1328"/>
        <w:gridCol w:w="1164"/>
        <w:gridCol w:w="5985"/>
      </w:tblGrid>
      <w:tr w14:paraId="5FBF4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55" w:type="dxa"/>
            <w:vAlign w:val="center"/>
          </w:tcPr>
          <w:p w14:paraId="417A4475">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序号</w:t>
            </w:r>
          </w:p>
        </w:tc>
        <w:tc>
          <w:tcPr>
            <w:tcW w:w="1328" w:type="dxa"/>
            <w:vAlign w:val="center"/>
          </w:tcPr>
          <w:p w14:paraId="16217775">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标的的名称</w:t>
            </w:r>
          </w:p>
        </w:tc>
        <w:tc>
          <w:tcPr>
            <w:tcW w:w="1164" w:type="dxa"/>
            <w:vAlign w:val="center"/>
          </w:tcPr>
          <w:p w14:paraId="69337357">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数量及</w:t>
            </w:r>
          </w:p>
          <w:p w14:paraId="5EC899CD">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单位</w:t>
            </w:r>
          </w:p>
        </w:tc>
        <w:tc>
          <w:tcPr>
            <w:tcW w:w="5985" w:type="dxa"/>
            <w:vAlign w:val="center"/>
          </w:tcPr>
          <w:p w14:paraId="5FAF64D4">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技术服务要求</w:t>
            </w:r>
          </w:p>
        </w:tc>
      </w:tr>
      <w:tr w14:paraId="4193B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55" w:type="dxa"/>
            <w:vAlign w:val="center"/>
          </w:tcPr>
          <w:p w14:paraId="605CC39B">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1</w:t>
            </w:r>
          </w:p>
        </w:tc>
        <w:tc>
          <w:tcPr>
            <w:tcW w:w="1328" w:type="dxa"/>
            <w:vAlign w:val="center"/>
          </w:tcPr>
          <w:p w14:paraId="58E63BC0">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升级警用地理信息平台</w:t>
            </w:r>
          </w:p>
        </w:tc>
        <w:tc>
          <w:tcPr>
            <w:tcW w:w="1164" w:type="dxa"/>
            <w:vAlign w:val="center"/>
          </w:tcPr>
          <w:p w14:paraId="00EA6DC2">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1项</w:t>
            </w:r>
          </w:p>
        </w:tc>
        <w:tc>
          <w:tcPr>
            <w:tcW w:w="5985" w:type="dxa"/>
            <w:vAlign w:val="center"/>
          </w:tcPr>
          <w:p w14:paraId="326C2400">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1.</w:t>
            </w:r>
            <w:r>
              <w:rPr>
                <w:rFonts w:hint="eastAsia" w:ascii="微软雅黑" w:hAnsi="微软雅黑" w:eastAsia="微软雅黑" w:cs="微软雅黑"/>
                <w:color w:val="auto"/>
                <w:kern w:val="2"/>
                <w:sz w:val="21"/>
                <w:szCs w:val="21"/>
                <w:highlight w:val="none"/>
                <w:lang w:bidi="ar"/>
              </w:rPr>
              <w:t>服务内容：</w:t>
            </w:r>
          </w:p>
          <w:p w14:paraId="11064DB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按照公安大数据相关标准开展数据接入、处理、组织和治理，形成基础地理信息库、地址资源库、动态资源库和业务关注库。依托警用地理信息平台数据、服务规范，通过数据采购、汇聚、服务联网等方式，整合精细化、高鲜度的栅格地图、影像地图、矢量地图、三维地图等，并通过警用地理信息平台对外发布服务，形成全区统一基础地图。</w:t>
            </w:r>
          </w:p>
          <w:p w14:paraId="5CDFCE81">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r>
              <w:rPr>
                <w:rFonts w:hint="eastAsia" w:ascii="微软雅黑" w:hAnsi="微软雅黑" w:eastAsia="微软雅黑" w:cs="微软雅黑"/>
                <w:b w:val="0"/>
                <w:bCs w:val="0"/>
                <w:color w:val="auto"/>
                <w:kern w:val="2"/>
                <w:sz w:val="21"/>
                <w:szCs w:val="21"/>
                <w:highlight w:val="none"/>
                <w:lang w:val="en-US" w:eastAsia="zh-CN" w:bidi="ar"/>
              </w:rPr>
              <w:t>2.</w:t>
            </w:r>
            <w:r>
              <w:rPr>
                <w:rFonts w:hint="eastAsia" w:ascii="微软雅黑" w:hAnsi="微软雅黑" w:eastAsia="微软雅黑" w:cs="微软雅黑"/>
                <w:b w:val="0"/>
                <w:bCs w:val="0"/>
                <w:color w:val="auto"/>
                <w:kern w:val="2"/>
                <w:sz w:val="21"/>
                <w:szCs w:val="21"/>
                <w:highlight w:val="none"/>
                <w:lang w:bidi="ar"/>
              </w:rPr>
              <w:t>技术要求：</w:t>
            </w:r>
          </w:p>
          <w:p w14:paraId="6F73E67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w:t>
            </w:r>
            <w:r>
              <w:rPr>
                <w:rFonts w:hint="eastAsia" w:ascii="微软雅黑" w:hAnsi="微软雅黑" w:eastAsia="微软雅黑" w:cs="微软雅黑"/>
                <w:color w:val="auto"/>
                <w:kern w:val="2"/>
                <w:sz w:val="21"/>
                <w:szCs w:val="21"/>
                <w:highlight w:val="none"/>
                <w:lang w:bidi="ar"/>
              </w:rPr>
              <w:t>基础地理信息库</w:t>
            </w:r>
            <w:r>
              <w:rPr>
                <w:rFonts w:hint="eastAsia" w:ascii="微软雅黑" w:hAnsi="微软雅黑" w:eastAsia="微软雅黑" w:cs="微软雅黑"/>
                <w:color w:val="auto"/>
                <w:kern w:val="2"/>
                <w:sz w:val="21"/>
                <w:szCs w:val="21"/>
                <w:highlight w:val="none"/>
                <w:lang w:bidi="ar"/>
              </w:rPr>
              <w:tab/>
            </w:r>
          </w:p>
          <w:p w14:paraId="0F5D097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eastAsia="zh-CN" w:bidi="ar"/>
              </w:rPr>
              <w:t>▲</w:t>
            </w:r>
            <w:r>
              <w:rPr>
                <w:rFonts w:hint="eastAsia" w:ascii="微软雅黑" w:hAnsi="微软雅黑" w:eastAsia="微软雅黑" w:cs="微软雅黑"/>
                <w:color w:val="auto"/>
                <w:kern w:val="2"/>
                <w:sz w:val="21"/>
                <w:szCs w:val="21"/>
                <w:highlight w:val="none"/>
                <w:lang w:val="en-US" w:eastAsia="zh-CN" w:bidi="ar"/>
              </w:rPr>
              <w:t>2.1.1.</w:t>
            </w:r>
            <w:r>
              <w:rPr>
                <w:rFonts w:hint="eastAsia" w:ascii="微软雅黑" w:hAnsi="微软雅黑" w:eastAsia="微软雅黑" w:cs="微软雅黑"/>
                <w:color w:val="auto"/>
                <w:kern w:val="2"/>
                <w:sz w:val="21"/>
                <w:szCs w:val="21"/>
                <w:highlight w:val="none"/>
                <w:lang w:bidi="ar"/>
              </w:rPr>
              <w:t>依据标准GB/T 19711-2005《导航地理数据模型与交换格式》的基本内容之规定，导航电子地图的基本内容应包括路网、背景、注记、索引四大类信息，应能够支持业务系统来实现：地图显示与定位、目的地检索与提示等应用。</w:t>
            </w:r>
          </w:p>
          <w:p w14:paraId="1915259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背景面信息：广西壮族自治区全域水渠、河流、水库、湖泊、草坪、绿化带、树林等面信息。</w:t>
            </w:r>
          </w:p>
          <w:p w14:paraId="0107B9F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功能面：广西壮族自治区全域社区、商业区域、各类空旷的休闲广场、体育场、露天运动场、旅游景区、产创园区、公园等信息，包含但不限于名称、地址、类别、所属区域等属性内容。</w:t>
            </w:r>
          </w:p>
          <w:p w14:paraId="453ED72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行政区划数据：五级行政区划面信息、线信息，与统计局保持一致，包括国家、省、地市、区县、乡镇街道、社区村居委会等。</w:t>
            </w:r>
          </w:p>
          <w:p w14:paraId="5691D26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道路数据：广西壮族自治区全域道路数据，包含按照交通部标准生产的功能等级为1级-5级的所有道路数据。路网属性应包含道路号码、道路种类、道路属性、通行方向、道路名称、道路拼音、道路长度等信息。道路数据需要具备拓扑联通关系，可满足路径规划及导航应用，投标人需要提供路网数据截图及拓扑说明。总长度不低于32万KM.</w:t>
            </w:r>
          </w:p>
          <w:p w14:paraId="53B6538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poi数据：广西壮族自治区全域poi数据，包含：餐饮、住宿、批发零售、汽车销售及服务、金融保险、教育文化、卫生社保、运动休闲、公共设施、商务设施及商务服务、居民服务、公司企业、交通运输及仓储、科研及技术服务、农林牧渔业、自然地物及地名等，根据公安工作需要进行分类，不低于16大类，280个小分类，总量不低于100万。</w:t>
            </w:r>
          </w:p>
          <w:p w14:paraId="7707829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投标人应说明所提供互联网地图的原厂家，提供的互联网地图应获得2023年以来的地图审核批准书（以审图号时间为准）</w:t>
            </w:r>
          </w:p>
          <w:p w14:paraId="4B351CB9">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2.1.2.</w:t>
            </w:r>
            <w:r>
              <w:rPr>
                <w:rFonts w:hint="eastAsia" w:ascii="微软雅黑" w:hAnsi="微软雅黑" w:eastAsia="微软雅黑" w:cs="微软雅黑"/>
                <w:color w:val="auto"/>
                <w:kern w:val="2"/>
                <w:sz w:val="21"/>
                <w:szCs w:val="21"/>
                <w:highlight w:val="none"/>
                <w:lang w:bidi="ar"/>
              </w:rPr>
              <w:t>各地已经建设的三维建模、倾斜摄影等三维地图数据，按通用数据格式要求，汇聚给区厅平台。其中倾斜摄影要求为OSGB格式、大地2000坐标、1985国家高程基准。三维建模数据要求为：3dtiles格式，投影坐标为以中央经线120度第3度带投影。</w:t>
            </w:r>
          </w:p>
          <w:p w14:paraId="6E116A3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w:t>
            </w:r>
            <w:r>
              <w:rPr>
                <w:rFonts w:hint="eastAsia" w:ascii="微软雅黑" w:hAnsi="微软雅黑" w:eastAsia="微软雅黑" w:cs="微软雅黑"/>
                <w:color w:val="auto"/>
                <w:kern w:val="2"/>
                <w:sz w:val="21"/>
                <w:szCs w:val="21"/>
                <w:highlight w:val="none"/>
                <w:lang w:bidi="ar"/>
              </w:rPr>
              <w:t>地址资源库治理</w:t>
            </w:r>
            <w:r>
              <w:rPr>
                <w:rFonts w:hint="eastAsia" w:ascii="微软雅黑" w:hAnsi="微软雅黑" w:eastAsia="微软雅黑" w:cs="微软雅黑"/>
                <w:color w:val="auto"/>
                <w:kern w:val="2"/>
                <w:sz w:val="21"/>
                <w:szCs w:val="21"/>
                <w:highlight w:val="none"/>
                <w:lang w:bidi="ar"/>
              </w:rPr>
              <w:tab/>
            </w:r>
          </w:p>
          <w:p w14:paraId="3790AE1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2.2.1.</w:t>
            </w:r>
            <w:r>
              <w:rPr>
                <w:rFonts w:hint="eastAsia" w:ascii="微软雅黑" w:hAnsi="微软雅黑" w:eastAsia="微软雅黑" w:cs="微软雅黑"/>
                <w:color w:val="auto"/>
                <w:kern w:val="2"/>
                <w:sz w:val="21"/>
                <w:szCs w:val="21"/>
                <w:highlight w:val="none"/>
                <w:lang w:bidi="ar"/>
              </w:rPr>
              <w:t>在治安标准地址基础上，汇聚相关部门警种业务系统的地址数据、其他政府部门和社会单位共享的地名地址数据、以及互联网地图POI、AOI等外部资源数据，开展数据清洗、比对、关联，并进行空间化治理，最终形成具备空间属性的全警地址资源库，并按需汇聚至部级平台地址资源库。</w:t>
            </w:r>
          </w:p>
          <w:p w14:paraId="068B5CF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w:t>
            </w:r>
            <w:r>
              <w:rPr>
                <w:rFonts w:hint="eastAsia" w:ascii="微软雅黑" w:hAnsi="微软雅黑" w:eastAsia="微软雅黑" w:cs="微软雅黑"/>
                <w:color w:val="auto"/>
                <w:kern w:val="2"/>
                <w:sz w:val="21"/>
                <w:szCs w:val="21"/>
                <w:highlight w:val="none"/>
                <w:lang w:bidi="ar"/>
              </w:rPr>
              <w:t>2</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地址治理的工具以及相应治理服务。</w:t>
            </w:r>
          </w:p>
          <w:p w14:paraId="64AB0B71">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w:t>
            </w:r>
            <w:r>
              <w:rPr>
                <w:rFonts w:hint="eastAsia" w:ascii="微软雅黑" w:hAnsi="微软雅黑" w:eastAsia="微软雅黑" w:cs="微软雅黑"/>
                <w:color w:val="auto"/>
                <w:kern w:val="2"/>
                <w:sz w:val="21"/>
                <w:szCs w:val="21"/>
                <w:highlight w:val="none"/>
                <w:lang w:bidi="ar"/>
              </w:rPr>
              <w:t>3</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结合各来源数据，治理出标准地址数据应覆盖各单位业务系统应用。地址质量百分百符合广西地址库标准规范、覆盖全自治区所有区县、数据量不低于3000万。</w:t>
            </w:r>
          </w:p>
          <w:p w14:paraId="199AD2A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2.3.</w:t>
            </w:r>
            <w:r>
              <w:rPr>
                <w:rFonts w:hint="eastAsia" w:ascii="微软雅黑" w:hAnsi="微软雅黑" w:eastAsia="微软雅黑" w:cs="微软雅黑"/>
                <w:color w:val="auto"/>
                <w:kern w:val="2"/>
                <w:sz w:val="21"/>
                <w:szCs w:val="21"/>
                <w:highlight w:val="none"/>
                <w:lang w:bidi="ar"/>
              </w:rPr>
              <w:t>动态资源库</w:t>
            </w:r>
          </w:p>
          <w:p w14:paraId="2BF1A649">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2.3.</w:t>
            </w:r>
            <w:r>
              <w:rPr>
                <w:rFonts w:hint="eastAsia" w:ascii="微软雅黑" w:hAnsi="微软雅黑" w:eastAsia="微软雅黑" w:cs="微软雅黑"/>
                <w:color w:val="auto"/>
                <w:kern w:val="2"/>
                <w:sz w:val="21"/>
                <w:szCs w:val="21"/>
                <w:highlight w:val="none"/>
                <w:lang w:bidi="ar"/>
              </w:rPr>
              <w:t>1</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动态资源库主要包括具备时空属性且高频率更新的数据资源，依托于边界平台，建设多网动态资源数据的接入服务，拓展</w:t>
            </w:r>
            <w:r>
              <w:rPr>
                <w:rFonts w:hint="eastAsia" w:ascii="微软雅黑" w:hAnsi="微软雅黑" w:eastAsia="微软雅黑" w:cs="微软雅黑"/>
                <w:color w:val="auto"/>
                <w:kern w:val="2"/>
                <w:sz w:val="21"/>
                <w:szCs w:val="21"/>
                <w:highlight w:val="none"/>
                <w:lang w:val="en-US" w:eastAsia="zh-CN" w:bidi="ar"/>
              </w:rPr>
              <w:t>采购人各类内部网络</w:t>
            </w:r>
            <w:r>
              <w:rPr>
                <w:rFonts w:hint="eastAsia" w:ascii="微软雅黑" w:hAnsi="微软雅黑" w:eastAsia="微软雅黑" w:cs="微软雅黑"/>
                <w:color w:val="auto"/>
                <w:kern w:val="2"/>
                <w:sz w:val="21"/>
                <w:szCs w:val="21"/>
                <w:highlight w:val="none"/>
                <w:lang w:bidi="ar"/>
              </w:rPr>
              <w:t>的实时数据对接能力，接入各类定位数据，建立动态资源库。</w:t>
            </w:r>
          </w:p>
          <w:p w14:paraId="18A1F34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2.3.</w:t>
            </w:r>
            <w:r>
              <w:rPr>
                <w:rFonts w:hint="eastAsia" w:ascii="微软雅黑" w:hAnsi="微软雅黑" w:eastAsia="微软雅黑" w:cs="微软雅黑"/>
                <w:color w:val="auto"/>
                <w:kern w:val="2"/>
                <w:sz w:val="21"/>
                <w:szCs w:val="21"/>
                <w:highlight w:val="none"/>
                <w:lang w:bidi="ar"/>
              </w:rPr>
              <w:t>2、定位资源数据接入、定位资源数据清洗转换工具、定位资源数据同步</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定位资源目录库建设、实时位置库建设。</w:t>
            </w:r>
          </w:p>
          <w:p w14:paraId="320AB51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2.3.2.</w:t>
            </w:r>
            <w:r>
              <w:rPr>
                <w:rFonts w:hint="eastAsia" w:ascii="微软雅黑" w:hAnsi="微软雅黑" w:eastAsia="微软雅黑" w:cs="微软雅黑"/>
                <w:color w:val="auto"/>
                <w:kern w:val="2"/>
                <w:sz w:val="21"/>
                <w:szCs w:val="21"/>
                <w:highlight w:val="none"/>
                <w:lang w:bidi="ar"/>
              </w:rPr>
              <w:t>对接全自治区各类警务资源设备，设备类型包括各实际在用品牌的执法记录仪、移动警务终端、警车、PDT，接处警app回传定位数据。总数不低于95000台，定位数据获取频率10秒内，存储近3个月的历史轨迹数据.</w:t>
            </w:r>
          </w:p>
          <w:p w14:paraId="456BAAD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2.4.</w:t>
            </w:r>
            <w:r>
              <w:rPr>
                <w:rFonts w:hint="eastAsia" w:ascii="微软雅黑" w:hAnsi="微软雅黑" w:eastAsia="微软雅黑" w:cs="微软雅黑"/>
                <w:color w:val="auto"/>
                <w:kern w:val="2"/>
                <w:sz w:val="21"/>
                <w:szCs w:val="21"/>
                <w:highlight w:val="none"/>
                <w:lang w:bidi="ar"/>
              </w:rPr>
              <w:t>业务关注库</w:t>
            </w:r>
            <w:r>
              <w:rPr>
                <w:rFonts w:hint="eastAsia" w:ascii="微软雅黑" w:hAnsi="微软雅黑" w:eastAsia="微软雅黑" w:cs="微软雅黑"/>
                <w:color w:val="auto"/>
                <w:kern w:val="2"/>
                <w:sz w:val="21"/>
                <w:szCs w:val="21"/>
                <w:highlight w:val="none"/>
                <w:lang w:bidi="ar"/>
              </w:rPr>
              <w:tab/>
            </w:r>
          </w:p>
          <w:p w14:paraId="20F0730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2.4.</w:t>
            </w:r>
            <w:r>
              <w:rPr>
                <w:rFonts w:hint="eastAsia" w:ascii="微软雅黑" w:hAnsi="微软雅黑" w:eastAsia="微软雅黑" w:cs="微软雅黑"/>
                <w:color w:val="auto"/>
                <w:kern w:val="2"/>
                <w:sz w:val="21"/>
                <w:szCs w:val="21"/>
                <w:highlight w:val="none"/>
                <w:lang w:bidi="ar"/>
              </w:rPr>
              <w:t>1</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按照公安大数据处理相关要求，结合地理信息的数据特点，进行空间数据接入、空间数据处理、空间数据组织以及空间数据治理，并最终为地图服务、空间数据服务提供数据支撑。</w:t>
            </w:r>
          </w:p>
          <w:p w14:paraId="0EBB838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2.4.</w:t>
            </w:r>
            <w:r>
              <w:rPr>
                <w:rFonts w:hint="eastAsia" w:ascii="微软雅黑" w:hAnsi="微软雅黑" w:eastAsia="微软雅黑" w:cs="微软雅黑"/>
                <w:color w:val="auto"/>
                <w:kern w:val="2"/>
                <w:sz w:val="21"/>
                <w:szCs w:val="21"/>
                <w:highlight w:val="none"/>
                <w:lang w:bidi="ar"/>
              </w:rPr>
              <w:t>2</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将</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业务中共性和经常使用的数据，需要进行专用空间计算分析的数据通过进行提取、清洗、关联、比对等处理后，构建空间数据资源目录，并纳入公安大数据平台服务目录体系。同时，通过空间数据的分级分类、质量管理和运维管理，实现对空间数据的有效治理，进而提供空间数据服务。数据类别不低于10种，总量不低于1000万。</w:t>
            </w:r>
          </w:p>
          <w:p w14:paraId="14DD3B8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▲2.5.基础地图服务</w:t>
            </w:r>
            <w:r>
              <w:rPr>
                <w:rFonts w:hint="eastAsia" w:ascii="微软雅黑" w:hAnsi="微软雅黑" w:eastAsia="微软雅黑" w:cs="微软雅黑"/>
                <w:color w:val="auto"/>
                <w:kern w:val="2"/>
                <w:sz w:val="21"/>
                <w:szCs w:val="21"/>
                <w:highlight w:val="none"/>
                <w:lang w:val="en-US" w:eastAsia="zh-CN" w:bidi="ar"/>
              </w:rPr>
              <w:tab/>
            </w:r>
          </w:p>
          <w:p w14:paraId="1DE4E4A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提供基础地图功能向采购人提供多种地图服务，支撑业务系统开展地图和可视化应用，根据业务需要在采购人内部不同网络部署基础地图服务。根据应用场景可提供不同种类地图服务，包括矢量栅格地图、影像栅格地图、矢量瓦片地图、三维地图、移动地图等。</w:t>
            </w:r>
          </w:p>
          <w:p w14:paraId="4058EBD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使用的基础地图引擎软件产品具有CNAS或CMA或CAL标识的第三方检测报告（</w:t>
            </w:r>
            <w:r>
              <w:rPr>
                <w:rFonts w:hint="eastAsia" w:ascii="微软雅黑" w:hAnsi="微软雅黑" w:eastAsia="微软雅黑" w:cs="微软雅黑"/>
                <w:color w:val="auto"/>
                <w:kern w:val="2"/>
                <w:sz w:val="21"/>
                <w:szCs w:val="21"/>
                <w:highlight w:val="none"/>
                <w:lang w:val="en-US" w:eastAsia="zh-CN" w:bidi="ar"/>
              </w:rPr>
              <w:t>投标文件中提供相关测评报告复印件并加盖单位公章）</w:t>
            </w:r>
            <w:r>
              <w:rPr>
                <w:rFonts w:hint="eastAsia" w:ascii="微软雅黑" w:hAnsi="微软雅黑" w:eastAsia="微软雅黑" w:cs="微软雅黑"/>
                <w:color w:val="auto"/>
                <w:kern w:val="2"/>
                <w:sz w:val="21"/>
                <w:szCs w:val="21"/>
                <w:highlight w:val="none"/>
                <w:lang w:val="en-US" w:eastAsia="zh-CN" w:bidi="ar"/>
              </w:rPr>
              <w:t>；</w:t>
            </w:r>
          </w:p>
          <w:p w14:paraId="6E9BB81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 xml:space="preserve">1.栅格瓦片地图服务接口响应时间：用户并发≥1000，平均响应时间≤500ms； </w:t>
            </w:r>
          </w:p>
          <w:p w14:paraId="69089BE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2.矢量地图服务接口响应时间：用户并发≥1000，平均响应时间≤500ms。</w:t>
            </w:r>
          </w:p>
          <w:p w14:paraId="50A48BD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▲2.6.空间查询服务</w:t>
            </w:r>
            <w:r>
              <w:rPr>
                <w:rFonts w:hint="eastAsia" w:ascii="微软雅黑" w:hAnsi="微软雅黑" w:eastAsia="微软雅黑" w:cs="微软雅黑"/>
                <w:color w:val="auto"/>
                <w:kern w:val="2"/>
                <w:sz w:val="21"/>
                <w:szCs w:val="21"/>
                <w:highlight w:val="none"/>
                <w:lang w:val="en-US" w:eastAsia="zh-CN" w:bidi="ar"/>
              </w:rPr>
              <w:tab/>
            </w:r>
          </w:p>
          <w:p w14:paraId="4AE8F99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在原有针对地图poi的空间查询能力上进行提升，梳理并制定基础地理信息库、地址资源库、动态资源库、业务关注库等空间数据目录，提供目录的更新、发布、查询等服务功能。提供辖区定位、查询服务，针对警用地理信息平台入库的卡片信息，提供数据接口检索。</w:t>
            </w:r>
          </w:p>
          <w:p w14:paraId="133493B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使用的基础地图引擎软件产品具有CNAS或CMA或CAL标识的第三方检测报告（</w:t>
            </w:r>
            <w:r>
              <w:rPr>
                <w:rFonts w:hint="eastAsia" w:ascii="微软雅黑" w:hAnsi="微软雅黑" w:eastAsia="微软雅黑" w:cs="微软雅黑"/>
                <w:color w:val="auto"/>
                <w:kern w:val="2"/>
                <w:sz w:val="21"/>
                <w:szCs w:val="21"/>
                <w:highlight w:val="none"/>
                <w:lang w:val="en-US" w:eastAsia="zh-CN" w:bidi="ar"/>
              </w:rPr>
              <w:t>投标文件中提供相关测评报告复印件并加盖单位公章）</w:t>
            </w:r>
            <w:r>
              <w:rPr>
                <w:rFonts w:hint="eastAsia" w:ascii="微软雅黑" w:hAnsi="微软雅黑" w:eastAsia="微软雅黑" w:cs="微软雅黑"/>
                <w:color w:val="auto"/>
                <w:kern w:val="2"/>
                <w:sz w:val="21"/>
                <w:szCs w:val="21"/>
                <w:highlight w:val="none"/>
                <w:lang w:val="en-US" w:eastAsia="zh-CN" w:bidi="ar"/>
              </w:rPr>
              <w:t>；</w:t>
            </w:r>
          </w:p>
          <w:p w14:paraId="2B793FA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1.地图搜索服务接口响应时间：用户并发≥1000，支持全图层数据（千万级数据量）进行关键字检索，平均响应时间≤500ms；</w:t>
            </w:r>
          </w:p>
          <w:p w14:paraId="7220B59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2.行政区划查询服务接口响应时间：用户并发≥1000，平均响应时间≤500ms；</w:t>
            </w:r>
          </w:p>
          <w:p w14:paraId="0154CA9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3.地理编码查询服务接口响应时间：用户并发≥1000，平均响应时间≤500ms。</w:t>
            </w:r>
          </w:p>
          <w:p w14:paraId="5A703BB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2.7.</w:t>
            </w:r>
            <w:r>
              <w:rPr>
                <w:rFonts w:hint="eastAsia" w:ascii="微软雅黑" w:hAnsi="微软雅黑" w:eastAsia="微软雅黑" w:cs="微软雅黑"/>
                <w:color w:val="auto"/>
                <w:kern w:val="2"/>
                <w:sz w:val="21"/>
                <w:szCs w:val="21"/>
                <w:highlight w:val="none"/>
                <w:lang w:bidi="ar"/>
              </w:rPr>
              <w:t>空间定位服务</w:t>
            </w:r>
            <w:r>
              <w:rPr>
                <w:rFonts w:hint="eastAsia" w:ascii="微软雅黑" w:hAnsi="微软雅黑" w:eastAsia="微软雅黑" w:cs="微软雅黑"/>
                <w:color w:val="auto"/>
                <w:kern w:val="2"/>
                <w:sz w:val="21"/>
                <w:szCs w:val="21"/>
                <w:highlight w:val="none"/>
                <w:lang w:bidi="ar"/>
              </w:rPr>
              <w:tab/>
            </w:r>
          </w:p>
          <w:p w14:paraId="3038BD6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提供轨迹查询及纠偏服务、格网编码服务满足各类警用设备，如PDT、警车、移动警务通的空间定位需求，并可对轨迹信息进行查询和历史回溯。</w:t>
            </w:r>
          </w:p>
          <w:p w14:paraId="155E864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2.8.</w:t>
            </w:r>
            <w:r>
              <w:rPr>
                <w:rFonts w:hint="eastAsia" w:ascii="微软雅黑" w:hAnsi="微软雅黑" w:eastAsia="微软雅黑" w:cs="微软雅黑"/>
                <w:color w:val="auto"/>
                <w:kern w:val="2"/>
                <w:sz w:val="21"/>
                <w:szCs w:val="21"/>
                <w:highlight w:val="none"/>
                <w:lang w:bidi="ar"/>
              </w:rPr>
              <w:t>地址资源服务</w:t>
            </w:r>
            <w:r>
              <w:rPr>
                <w:rFonts w:hint="eastAsia" w:ascii="微软雅黑" w:hAnsi="微软雅黑" w:eastAsia="微软雅黑" w:cs="微软雅黑"/>
                <w:color w:val="auto"/>
                <w:kern w:val="2"/>
                <w:sz w:val="21"/>
                <w:szCs w:val="21"/>
                <w:highlight w:val="none"/>
                <w:lang w:bidi="ar"/>
              </w:rPr>
              <w:tab/>
            </w:r>
          </w:p>
          <w:p w14:paraId="68259EE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基于各类整合后的地址资源数据（标准地址、互联网POI、地名地址等），构建地址匹配、地址搜索、地址推荐、地址方位查询、地址校验、地址管理等服务，为</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提供地址应用支撑。</w:t>
            </w:r>
          </w:p>
          <w:p w14:paraId="6238AA2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2.8.</w:t>
            </w:r>
            <w:r>
              <w:rPr>
                <w:rFonts w:hint="eastAsia" w:ascii="微软雅黑" w:hAnsi="微软雅黑" w:eastAsia="微软雅黑" w:cs="微软雅黑"/>
                <w:color w:val="auto"/>
                <w:kern w:val="2"/>
                <w:sz w:val="21"/>
                <w:szCs w:val="21"/>
                <w:highlight w:val="none"/>
                <w:lang w:bidi="ar"/>
              </w:rPr>
              <w:t>1</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地址匹配服务</w:t>
            </w:r>
          </w:p>
          <w:p w14:paraId="763E108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基于整合后的地址资源库，对外提供正向、逆向地址匹配服务，支持将中文地址与坐标进行相互转换。</w:t>
            </w:r>
          </w:p>
          <w:p w14:paraId="26A35CC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2.8.</w:t>
            </w:r>
            <w:r>
              <w:rPr>
                <w:rFonts w:hint="eastAsia" w:ascii="微软雅黑" w:hAnsi="微软雅黑" w:eastAsia="微软雅黑" w:cs="微软雅黑"/>
                <w:color w:val="auto"/>
                <w:kern w:val="2"/>
                <w:sz w:val="21"/>
                <w:szCs w:val="21"/>
                <w:highlight w:val="none"/>
                <w:lang w:bidi="ar"/>
              </w:rPr>
              <w:t>2</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地址校验服务</w:t>
            </w:r>
          </w:p>
          <w:p w14:paraId="64A443E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提供地址校验服务，可根据地址标准规范，对输入的地址相关内容进行校验，判断是否符合标准化要求。</w:t>
            </w:r>
          </w:p>
          <w:p w14:paraId="49BF066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2.8.</w:t>
            </w:r>
            <w:r>
              <w:rPr>
                <w:rFonts w:hint="eastAsia" w:ascii="微软雅黑" w:hAnsi="微软雅黑" w:eastAsia="微软雅黑" w:cs="微软雅黑"/>
                <w:color w:val="auto"/>
                <w:kern w:val="2"/>
                <w:sz w:val="21"/>
                <w:szCs w:val="21"/>
                <w:highlight w:val="none"/>
                <w:lang w:bidi="ar"/>
              </w:rPr>
              <w:t>3</w:t>
            </w:r>
            <w:r>
              <w:rPr>
                <w:rFonts w:hint="eastAsia" w:ascii="微软雅黑" w:hAnsi="微软雅黑" w:eastAsia="微软雅黑" w:cs="微软雅黑"/>
                <w:color w:val="auto"/>
                <w:kern w:val="2"/>
                <w:sz w:val="21"/>
                <w:szCs w:val="21"/>
                <w:highlight w:val="none"/>
                <w:lang w:val="en-US" w:eastAsia="zh-CN" w:bidi="ar"/>
              </w:rPr>
              <w:t>.</w:t>
            </w:r>
            <w:r>
              <w:rPr>
                <w:rFonts w:hint="eastAsia" w:ascii="微软雅黑" w:hAnsi="微软雅黑" w:eastAsia="微软雅黑" w:cs="微软雅黑"/>
                <w:color w:val="auto"/>
                <w:kern w:val="2"/>
                <w:sz w:val="21"/>
                <w:szCs w:val="21"/>
                <w:highlight w:val="none"/>
                <w:lang w:bidi="ar"/>
              </w:rPr>
              <w:t>地址联网服务</w:t>
            </w:r>
          </w:p>
          <w:p w14:paraId="4B99D80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提供全区范围地址资源数据的联网应用。通过市级与自治区级地址资源库的服务注册、保活、注销等流程实现自治区级联网功能，同时支持自治区、市两级地址资源库的数据更新通知、统计、订阅。</w:t>
            </w:r>
          </w:p>
          <w:p w14:paraId="0716B0B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2.9.</w:t>
            </w:r>
            <w:r>
              <w:rPr>
                <w:rFonts w:hint="eastAsia" w:ascii="微软雅黑" w:hAnsi="微软雅黑" w:eastAsia="微软雅黑" w:cs="微软雅黑"/>
                <w:color w:val="auto"/>
                <w:kern w:val="2"/>
                <w:sz w:val="21"/>
                <w:szCs w:val="21"/>
                <w:highlight w:val="none"/>
                <w:lang w:bidi="ar"/>
              </w:rPr>
              <w:t>时空分析功能</w:t>
            </w:r>
            <w:r>
              <w:rPr>
                <w:rFonts w:hint="eastAsia" w:ascii="微软雅黑" w:hAnsi="微软雅黑" w:eastAsia="微软雅黑" w:cs="微软雅黑"/>
                <w:color w:val="auto"/>
                <w:kern w:val="2"/>
                <w:sz w:val="21"/>
                <w:szCs w:val="21"/>
                <w:highlight w:val="none"/>
                <w:lang w:bidi="ar"/>
              </w:rPr>
              <w:tab/>
            </w:r>
          </w:p>
          <w:p w14:paraId="5EDA994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空间分析以地理空间数据为基础，运用各种几何逻辑运算、数理统计分析、代数运算等数学手段，解决各业务系统所涉及到的地理空间实际问题。</w:t>
            </w:r>
          </w:p>
          <w:p w14:paraId="2FDBA05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主要内容为路径规划服务、可达域分析服务、叠加分析服务、热点分析服务、地理围栏分析服务、空间统计分析服务、三维可视域分析服务等内容。</w:t>
            </w:r>
          </w:p>
          <w:p w14:paraId="2CB797B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2.10.</w:t>
            </w:r>
            <w:r>
              <w:rPr>
                <w:rFonts w:hint="eastAsia" w:ascii="微软雅黑" w:hAnsi="微软雅黑" w:eastAsia="微软雅黑" w:cs="微软雅黑"/>
                <w:color w:val="auto"/>
                <w:kern w:val="2"/>
                <w:sz w:val="21"/>
                <w:szCs w:val="21"/>
                <w:highlight w:val="none"/>
                <w:lang w:bidi="ar"/>
              </w:rPr>
              <w:t>可视化作战</w:t>
            </w:r>
            <w:r>
              <w:rPr>
                <w:rFonts w:hint="eastAsia" w:ascii="微软雅黑" w:hAnsi="微软雅黑" w:eastAsia="微软雅黑" w:cs="微软雅黑"/>
                <w:color w:val="auto"/>
                <w:kern w:val="2"/>
                <w:sz w:val="21"/>
                <w:szCs w:val="21"/>
                <w:highlight w:val="none"/>
                <w:lang w:bidi="ar"/>
              </w:rPr>
              <w:tab/>
            </w:r>
          </w:p>
          <w:p w14:paraId="0E2A49F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采用地理信息系统技术，以地图为背景，支持按地图范围、点位圈定，通过数据可视化技术从多个维度将各地区的警情动态、视频资源、</w:t>
            </w:r>
            <w:r>
              <w:rPr>
                <w:rFonts w:hint="eastAsia" w:ascii="微软雅黑" w:hAnsi="微软雅黑" w:eastAsia="微软雅黑" w:cs="微软雅黑"/>
                <w:color w:val="auto"/>
                <w:kern w:val="2"/>
                <w:sz w:val="21"/>
                <w:szCs w:val="21"/>
                <w:highlight w:val="none"/>
                <w:lang w:val="en-US" w:eastAsia="zh-CN" w:bidi="ar"/>
              </w:rPr>
              <w:t>关注</w:t>
            </w:r>
            <w:r>
              <w:rPr>
                <w:rFonts w:hint="eastAsia" w:ascii="微软雅黑" w:hAnsi="微软雅黑" w:eastAsia="微软雅黑" w:cs="微软雅黑"/>
                <w:color w:val="auto"/>
                <w:kern w:val="2"/>
                <w:sz w:val="21"/>
                <w:szCs w:val="21"/>
                <w:highlight w:val="none"/>
                <w:lang w:bidi="ar"/>
              </w:rPr>
              <w:t>人员、</w:t>
            </w:r>
            <w:r>
              <w:rPr>
                <w:rFonts w:hint="eastAsia" w:ascii="微软雅黑" w:hAnsi="微软雅黑" w:eastAsia="微软雅黑" w:cs="微软雅黑"/>
                <w:color w:val="auto"/>
                <w:kern w:val="2"/>
                <w:sz w:val="21"/>
                <w:szCs w:val="21"/>
                <w:highlight w:val="none"/>
                <w:lang w:val="en-US" w:eastAsia="zh-CN" w:bidi="ar"/>
              </w:rPr>
              <w:t>关注</w:t>
            </w:r>
            <w:r>
              <w:rPr>
                <w:rFonts w:hint="eastAsia" w:ascii="微软雅黑" w:hAnsi="微软雅黑" w:eastAsia="微软雅黑" w:cs="微软雅黑"/>
                <w:color w:val="auto"/>
                <w:kern w:val="2"/>
                <w:sz w:val="21"/>
                <w:szCs w:val="21"/>
                <w:highlight w:val="none"/>
                <w:lang w:bidi="ar"/>
              </w:rPr>
              <w:t>场所、</w:t>
            </w:r>
            <w:r>
              <w:rPr>
                <w:rFonts w:hint="eastAsia" w:ascii="微软雅黑" w:hAnsi="微软雅黑" w:eastAsia="微软雅黑" w:cs="微软雅黑"/>
                <w:color w:val="auto"/>
                <w:kern w:val="2"/>
                <w:sz w:val="21"/>
                <w:szCs w:val="21"/>
                <w:highlight w:val="none"/>
                <w:lang w:val="en-US" w:eastAsia="zh-CN" w:bidi="ar"/>
              </w:rPr>
              <w:t>警务</w:t>
            </w:r>
            <w:r>
              <w:rPr>
                <w:rFonts w:hint="eastAsia" w:ascii="微软雅黑" w:hAnsi="微软雅黑" w:eastAsia="微软雅黑" w:cs="微软雅黑"/>
                <w:color w:val="auto"/>
                <w:kern w:val="2"/>
                <w:sz w:val="21"/>
                <w:szCs w:val="21"/>
                <w:highlight w:val="none"/>
                <w:lang w:bidi="ar"/>
              </w:rPr>
              <w:t>要素以及各</w:t>
            </w:r>
            <w:r>
              <w:rPr>
                <w:rFonts w:hint="eastAsia" w:ascii="微软雅黑" w:hAnsi="微软雅黑" w:eastAsia="微软雅黑" w:cs="微软雅黑"/>
                <w:color w:val="auto"/>
                <w:kern w:val="2"/>
                <w:sz w:val="21"/>
                <w:szCs w:val="21"/>
                <w:highlight w:val="none"/>
                <w:lang w:val="en-US" w:eastAsia="zh-CN" w:bidi="ar"/>
              </w:rPr>
              <w:t>类</w:t>
            </w:r>
            <w:r>
              <w:rPr>
                <w:rFonts w:hint="eastAsia" w:ascii="微软雅黑" w:hAnsi="微软雅黑" w:eastAsia="微软雅黑" w:cs="微软雅黑"/>
                <w:color w:val="auto"/>
                <w:kern w:val="2"/>
                <w:sz w:val="21"/>
                <w:szCs w:val="21"/>
                <w:highlight w:val="none"/>
                <w:lang w:bidi="ar"/>
              </w:rPr>
              <w:t>系统的汇聚数据查询展示，实现一图展示，为指挥调度和决策提供更加精准的信息支持。</w:t>
            </w:r>
          </w:p>
          <w:p w14:paraId="664DD26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2.11.</w:t>
            </w:r>
            <w:r>
              <w:rPr>
                <w:rFonts w:hint="eastAsia" w:ascii="微软雅黑" w:hAnsi="微软雅黑" w:eastAsia="微软雅黑" w:cs="微软雅黑"/>
                <w:color w:val="auto"/>
                <w:kern w:val="2"/>
                <w:sz w:val="21"/>
                <w:szCs w:val="21"/>
                <w:highlight w:val="none"/>
                <w:lang w:bidi="ar"/>
              </w:rPr>
              <w:t>时空数据资源管理</w:t>
            </w:r>
            <w:r>
              <w:rPr>
                <w:rFonts w:hint="eastAsia" w:ascii="微软雅黑" w:hAnsi="微软雅黑" w:eastAsia="微软雅黑" w:cs="微软雅黑"/>
                <w:color w:val="auto"/>
                <w:kern w:val="2"/>
                <w:sz w:val="21"/>
                <w:szCs w:val="21"/>
                <w:highlight w:val="none"/>
                <w:lang w:bidi="ar"/>
              </w:rPr>
              <w:tab/>
            </w:r>
          </w:p>
          <w:p w14:paraId="3E0914B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对各类时空数据资源进行展示。支持多类地图数据在地图上的叠加显示，支持业务数据检索、快速上图，可打造专题地图。可按照</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组织机构或自定义区域查询基础地理信息、业务数据等。</w:t>
            </w:r>
          </w:p>
          <w:p w14:paraId="18457E5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支撑全量数据上图，包括基础地图的快速更新，业务数据的快速上图；可支持数据多维度表达，如聚类、散点、列表等方式。可实现各类地图的快速切换及平滑浏览；可实现视频资源、警务资源、重点场所、三维实景</w:t>
            </w:r>
            <w:r>
              <w:rPr>
                <w:rFonts w:hint="eastAsia" w:ascii="微软雅黑" w:hAnsi="微软雅黑" w:eastAsia="微软雅黑" w:cs="微软雅黑"/>
                <w:color w:val="auto"/>
                <w:kern w:val="2"/>
                <w:sz w:val="21"/>
                <w:szCs w:val="21"/>
                <w:highlight w:val="none"/>
                <w:lang w:eastAsia="zh-CN" w:bidi="ar"/>
              </w:rPr>
              <w:t>、</w:t>
            </w:r>
            <w:r>
              <w:rPr>
                <w:rFonts w:hint="eastAsia" w:ascii="微软雅黑" w:hAnsi="微软雅黑" w:eastAsia="微软雅黑" w:cs="微软雅黑"/>
                <w:color w:val="auto"/>
                <w:kern w:val="2"/>
                <w:sz w:val="21"/>
                <w:szCs w:val="21"/>
                <w:highlight w:val="none"/>
                <w:lang w:val="en-US" w:eastAsia="zh-CN" w:bidi="ar"/>
              </w:rPr>
              <w:t>轨迹类</w:t>
            </w:r>
            <w:r>
              <w:rPr>
                <w:rFonts w:hint="eastAsia" w:ascii="微软雅黑" w:hAnsi="微软雅黑" w:eastAsia="微软雅黑" w:cs="微软雅黑"/>
                <w:color w:val="auto"/>
                <w:kern w:val="2"/>
                <w:sz w:val="21"/>
                <w:szCs w:val="21"/>
                <w:highlight w:val="none"/>
                <w:lang w:bidi="ar"/>
              </w:rPr>
              <w:t>等多类要素的展示、查询统计及空间分析。</w:t>
            </w:r>
          </w:p>
          <w:p w14:paraId="2EB988D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2.12.</w:t>
            </w:r>
            <w:r>
              <w:rPr>
                <w:rFonts w:hint="eastAsia" w:ascii="微软雅黑" w:hAnsi="微软雅黑" w:eastAsia="微软雅黑" w:cs="微软雅黑"/>
                <w:color w:val="auto"/>
                <w:kern w:val="2"/>
                <w:sz w:val="21"/>
                <w:szCs w:val="21"/>
                <w:highlight w:val="none"/>
                <w:lang w:bidi="ar"/>
              </w:rPr>
              <w:t>资源中心</w:t>
            </w:r>
            <w:r>
              <w:rPr>
                <w:rFonts w:hint="eastAsia" w:ascii="微软雅黑" w:hAnsi="微软雅黑" w:eastAsia="微软雅黑" w:cs="微软雅黑"/>
                <w:color w:val="auto"/>
                <w:kern w:val="2"/>
                <w:sz w:val="21"/>
                <w:szCs w:val="21"/>
                <w:highlight w:val="none"/>
                <w:lang w:bidi="ar"/>
              </w:rPr>
              <w:tab/>
            </w:r>
          </w:p>
          <w:p w14:paraId="70DD0AE1">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面向管理人员提供数据管理、服务管理，实现资源目录化、服务标准化，构建资源全景图。支持对图层数据的分级分类管理和业务数据快速上图；服务资源符合警用地理信息平台相关标准，服务卡片提供服务使用说明，适用场景等。</w:t>
            </w:r>
          </w:p>
          <w:p w14:paraId="0610B4E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▲2.13.地图工作台</w:t>
            </w:r>
            <w:r>
              <w:rPr>
                <w:rFonts w:hint="eastAsia" w:ascii="微软雅黑" w:hAnsi="微软雅黑" w:eastAsia="微软雅黑" w:cs="微软雅黑"/>
                <w:color w:val="auto"/>
                <w:kern w:val="2"/>
                <w:sz w:val="21"/>
                <w:szCs w:val="21"/>
                <w:highlight w:val="none"/>
                <w:lang w:val="en-US" w:eastAsia="zh-CN" w:bidi="ar"/>
              </w:rPr>
              <w:tab/>
            </w:r>
          </w:p>
          <w:p w14:paraId="7B49309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结合不同业务系统对地图服务差异化需求，实现灵活的地图配图服务。</w:t>
            </w:r>
          </w:p>
          <w:p w14:paraId="128CB8E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工作台提供地图风格预制多套风格标准地图模板；支持样式、底图和模板的个性化配置，地图高度定制化，不但可以展示全要素数据，也可以自定义选择地理位置相关的要素；支持对数据进行条件过滤，数据的颜色、宽度、样式、展示级别等可自定义设置，快速创建专属地图。</w:t>
            </w:r>
          </w:p>
          <w:p w14:paraId="46FC2DA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val="en-US" w:eastAsia="zh-CN" w:bidi="ar"/>
              </w:rPr>
            </w:pPr>
            <w:r>
              <w:rPr>
                <w:rFonts w:hint="eastAsia" w:ascii="微软雅黑" w:hAnsi="微软雅黑" w:eastAsia="微软雅黑" w:cs="微软雅黑"/>
                <w:color w:val="auto"/>
                <w:kern w:val="2"/>
                <w:sz w:val="21"/>
                <w:szCs w:val="21"/>
                <w:highlight w:val="none"/>
                <w:lang w:val="en-US" w:eastAsia="zh-CN" w:bidi="ar"/>
              </w:rPr>
              <w:t>通过地图配图工作台，操作人员可对地图编辑、发布进行一体化操作流程。</w:t>
            </w:r>
          </w:p>
          <w:p w14:paraId="4B40544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2.14.</w:t>
            </w:r>
            <w:r>
              <w:rPr>
                <w:rFonts w:hint="eastAsia" w:ascii="微软雅黑" w:hAnsi="微软雅黑" w:eastAsia="微软雅黑" w:cs="微软雅黑"/>
                <w:color w:val="auto"/>
                <w:kern w:val="2"/>
                <w:sz w:val="21"/>
                <w:szCs w:val="21"/>
                <w:highlight w:val="none"/>
                <w:lang w:bidi="ar"/>
              </w:rPr>
              <w:t>运维看板</w:t>
            </w:r>
            <w:r>
              <w:rPr>
                <w:rFonts w:hint="eastAsia" w:ascii="微软雅黑" w:hAnsi="微软雅黑" w:eastAsia="微软雅黑" w:cs="微软雅黑"/>
                <w:color w:val="auto"/>
                <w:kern w:val="2"/>
                <w:sz w:val="21"/>
                <w:szCs w:val="21"/>
                <w:highlight w:val="none"/>
                <w:lang w:bidi="ar"/>
              </w:rPr>
              <w:tab/>
            </w:r>
          </w:p>
          <w:p w14:paraId="18B1E9A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面向管理人员提供数据看板、服务看板、联网监控看板，直观了解数据接入、服务调用、各类资源联网状态情况。</w:t>
            </w:r>
          </w:p>
          <w:p w14:paraId="2C43057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2.15.</w:t>
            </w:r>
            <w:r>
              <w:rPr>
                <w:rFonts w:hint="eastAsia" w:ascii="微软雅黑" w:hAnsi="微软雅黑" w:eastAsia="微软雅黑" w:cs="微软雅黑"/>
                <w:color w:val="auto"/>
                <w:kern w:val="2"/>
                <w:sz w:val="21"/>
                <w:szCs w:val="21"/>
                <w:highlight w:val="none"/>
                <w:lang w:bidi="ar"/>
              </w:rPr>
              <w:t>接口建设</w:t>
            </w:r>
            <w:r>
              <w:rPr>
                <w:rFonts w:hint="eastAsia" w:ascii="微软雅黑" w:hAnsi="微软雅黑" w:eastAsia="微软雅黑" w:cs="微软雅黑"/>
                <w:color w:val="auto"/>
                <w:kern w:val="2"/>
                <w:sz w:val="21"/>
                <w:szCs w:val="21"/>
                <w:highlight w:val="none"/>
                <w:lang w:bidi="ar"/>
              </w:rPr>
              <w:tab/>
            </w:r>
          </w:p>
          <w:p w14:paraId="35528241">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地图开发接口是通过与地图访问服务对接，获取地图数据后进行地图渲染、展示的二次开发接口。包括大数据开发组件、JavaScriptAPI、Web地图API，配套开发文档，方便业务系统快速集成。</w:t>
            </w:r>
          </w:p>
          <w:p w14:paraId="539DADA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2.16.</w:t>
            </w:r>
            <w:r>
              <w:rPr>
                <w:rFonts w:hint="eastAsia" w:ascii="微软雅黑" w:hAnsi="微软雅黑" w:eastAsia="微软雅黑" w:cs="微软雅黑"/>
                <w:color w:val="auto"/>
                <w:kern w:val="2"/>
                <w:sz w:val="21"/>
                <w:szCs w:val="21"/>
                <w:highlight w:val="none"/>
                <w:lang w:bidi="ar"/>
              </w:rPr>
              <w:t>后台管理</w:t>
            </w:r>
            <w:r>
              <w:rPr>
                <w:rFonts w:hint="eastAsia" w:ascii="微软雅黑" w:hAnsi="微软雅黑" w:eastAsia="微软雅黑" w:cs="微软雅黑"/>
                <w:color w:val="auto"/>
                <w:kern w:val="2"/>
                <w:sz w:val="21"/>
                <w:szCs w:val="21"/>
                <w:highlight w:val="none"/>
                <w:lang w:bidi="ar"/>
              </w:rPr>
              <w:tab/>
            </w:r>
          </w:p>
          <w:p w14:paraId="011B8CF0">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提供包括用户管理、角色管理、组织机构管理、菜单管理等功能用于各单位的权限控制，并记录操作日志。</w:t>
            </w:r>
          </w:p>
          <w:p w14:paraId="5223EA1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2.17.</w:t>
            </w:r>
            <w:r>
              <w:rPr>
                <w:rFonts w:hint="eastAsia" w:ascii="微软雅黑" w:hAnsi="微软雅黑" w:eastAsia="微软雅黑" w:cs="微软雅黑"/>
                <w:color w:val="auto"/>
                <w:kern w:val="2"/>
                <w:sz w:val="21"/>
                <w:szCs w:val="21"/>
                <w:highlight w:val="none"/>
                <w:lang w:bidi="ar"/>
              </w:rPr>
              <w:t>专题地图管理功能</w:t>
            </w:r>
            <w:r>
              <w:rPr>
                <w:rFonts w:hint="eastAsia" w:ascii="微软雅黑" w:hAnsi="微软雅黑" w:eastAsia="微软雅黑" w:cs="微软雅黑"/>
                <w:color w:val="auto"/>
                <w:kern w:val="2"/>
                <w:sz w:val="21"/>
                <w:szCs w:val="21"/>
                <w:highlight w:val="none"/>
                <w:lang w:bidi="ar"/>
              </w:rPr>
              <w:tab/>
            </w:r>
          </w:p>
          <w:p w14:paraId="7E7E007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按照业务需要，结合各类业务信息，通过配置地图内容、显示风格，叠加特定的业务地理信息，提供</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不同场景所需的专题地图，不低于20个。</w:t>
            </w:r>
          </w:p>
          <w:p w14:paraId="56293134">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专题业务数据可应用于大数据可视化服务，用于解决大数据场景下时空数据的可视化问题，提供包括大数据聚类、大数据迁徙、动态轨迹图、粒子流图、散点图等可视化表达形式，其中：</w:t>
            </w:r>
          </w:p>
          <w:p w14:paraId="6246E51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1.聚类图：将海量、离散分布的空间数据，按照一定规则在相应的空间尺度下进行聚合展示。如:人员聚类图。</w:t>
            </w:r>
          </w:p>
          <w:p w14:paraId="45930C2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2.迁徙图：对海量数据进行计算分析，采用动态、及时、直观的可视化方式展现迁徙的轨迹与特征。如：危化品溯源专题图。</w:t>
            </w:r>
          </w:p>
          <w:p w14:paraId="208A884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3.动态轨迹图：结合时间属性，动态展示关注对象轨迹活动信息。如：重点车辆活动轨迹专题图。</w:t>
            </w:r>
          </w:p>
          <w:p w14:paraId="5DBD5109">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4.粒子流图：采用LOD动态粒子线，展示业务数据动态变化信息。如：路况专题图。</w:t>
            </w:r>
          </w:p>
          <w:p w14:paraId="5E672011">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5.散点图：根据地图在不同比例尺下，对数据进行动态抽希，将大规模业务数据在地图上散点可视化。如：‘两抢一盗’案件分布图。</w:t>
            </w:r>
          </w:p>
          <w:p w14:paraId="5B12E55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大数据可视化服务可应用于有大数据分析结果空间展示需求的业务场景，如：人员迁徙、区域人流聚集、重点地图交通出行量等。</w:t>
            </w:r>
          </w:p>
          <w:p w14:paraId="7ABFAA3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2.18.</w:t>
            </w:r>
            <w:r>
              <w:rPr>
                <w:rFonts w:hint="eastAsia" w:ascii="微软雅黑" w:hAnsi="微软雅黑" w:eastAsia="微软雅黑" w:cs="微软雅黑"/>
                <w:color w:val="auto"/>
                <w:kern w:val="2"/>
                <w:sz w:val="21"/>
                <w:szCs w:val="21"/>
                <w:highlight w:val="none"/>
                <w:lang w:bidi="ar"/>
              </w:rPr>
              <w:t>地址资源库管理</w:t>
            </w:r>
            <w:r>
              <w:rPr>
                <w:rFonts w:hint="eastAsia" w:ascii="微软雅黑" w:hAnsi="微软雅黑" w:eastAsia="微软雅黑" w:cs="微软雅黑"/>
                <w:color w:val="auto"/>
                <w:kern w:val="2"/>
                <w:sz w:val="21"/>
                <w:szCs w:val="21"/>
                <w:highlight w:val="none"/>
                <w:lang w:bidi="ar"/>
              </w:rPr>
              <w:tab/>
            </w:r>
          </w:p>
          <w:p w14:paraId="6414013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地址资源库主要包含地名数据和地址数据，是警用地理信息平台数据资源的重要组成部分。提供数据总览、地址汇聚管理等功能。</w:t>
            </w:r>
          </w:p>
          <w:p w14:paraId="7E612EE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2.19.</w:t>
            </w:r>
            <w:r>
              <w:rPr>
                <w:rFonts w:hint="eastAsia" w:ascii="微软雅黑" w:hAnsi="微软雅黑" w:eastAsia="微软雅黑" w:cs="微软雅黑"/>
                <w:color w:val="auto"/>
                <w:kern w:val="2"/>
                <w:sz w:val="21"/>
                <w:szCs w:val="21"/>
                <w:highlight w:val="none"/>
                <w:lang w:bidi="ar"/>
              </w:rPr>
              <w:t>无人机航拍数据处理</w:t>
            </w:r>
            <w:r>
              <w:rPr>
                <w:rFonts w:hint="eastAsia" w:ascii="微软雅黑" w:hAnsi="微软雅黑" w:eastAsia="微软雅黑" w:cs="微软雅黑"/>
                <w:color w:val="auto"/>
                <w:kern w:val="2"/>
                <w:sz w:val="21"/>
                <w:szCs w:val="21"/>
                <w:highlight w:val="none"/>
                <w:lang w:bidi="ar"/>
              </w:rPr>
              <w:tab/>
            </w:r>
          </w:p>
          <w:p w14:paraId="67C94B9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提供无人机航拍数据处理工具，用于接入用户航拍数据，制作航拍影像、预览、发布。</w:t>
            </w:r>
          </w:p>
          <w:p w14:paraId="39998FD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2.20.</w:t>
            </w:r>
            <w:r>
              <w:rPr>
                <w:rFonts w:hint="eastAsia" w:ascii="微软雅黑" w:hAnsi="微软雅黑" w:eastAsia="微软雅黑" w:cs="微软雅黑"/>
                <w:color w:val="auto"/>
                <w:kern w:val="2"/>
                <w:sz w:val="21"/>
                <w:szCs w:val="21"/>
                <w:highlight w:val="none"/>
                <w:lang w:bidi="ar"/>
              </w:rPr>
              <w:t>地图数据快速更新</w:t>
            </w:r>
            <w:r>
              <w:rPr>
                <w:rFonts w:hint="eastAsia" w:ascii="微软雅黑" w:hAnsi="微软雅黑" w:eastAsia="微软雅黑" w:cs="微软雅黑"/>
                <w:color w:val="auto"/>
                <w:kern w:val="2"/>
                <w:sz w:val="21"/>
                <w:szCs w:val="21"/>
                <w:highlight w:val="none"/>
                <w:lang w:bidi="ar"/>
              </w:rPr>
              <w:tab/>
            </w:r>
          </w:p>
          <w:p w14:paraId="36649C2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通过页面化工具快速实现底图数据道路、兴趣点、建筑物、功能面的新增、修改、删除等操作。解决重要紧急道路修复、兴趣点新增等问题。</w:t>
            </w:r>
          </w:p>
          <w:p w14:paraId="4DC86D1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2.21.</w:t>
            </w:r>
            <w:r>
              <w:rPr>
                <w:rFonts w:hint="eastAsia" w:ascii="微软雅黑" w:hAnsi="微软雅黑" w:eastAsia="微软雅黑" w:cs="微软雅黑"/>
                <w:color w:val="auto"/>
                <w:kern w:val="2"/>
                <w:sz w:val="21"/>
                <w:szCs w:val="21"/>
                <w:highlight w:val="none"/>
                <w:lang w:bidi="ar"/>
              </w:rPr>
              <w:t>视频治理</w:t>
            </w:r>
            <w:r>
              <w:rPr>
                <w:rFonts w:hint="eastAsia" w:ascii="微软雅黑" w:hAnsi="微软雅黑" w:eastAsia="微软雅黑" w:cs="微软雅黑"/>
                <w:color w:val="auto"/>
                <w:kern w:val="2"/>
                <w:sz w:val="21"/>
                <w:szCs w:val="21"/>
                <w:highlight w:val="none"/>
                <w:lang w:bidi="ar"/>
              </w:rPr>
              <w:tab/>
            </w:r>
          </w:p>
          <w:p w14:paraId="356B32C3">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将</w:t>
            </w:r>
            <w:r>
              <w:rPr>
                <w:rFonts w:hint="eastAsia" w:ascii="微软雅黑" w:hAnsi="微软雅黑" w:eastAsia="微软雅黑" w:cs="微软雅黑"/>
                <w:color w:val="auto"/>
                <w:kern w:val="2"/>
                <w:sz w:val="21"/>
                <w:szCs w:val="21"/>
                <w:highlight w:val="none"/>
                <w:lang w:bidi="ar"/>
              </w:rPr>
              <w:t>视频图像设备管理系统中获取到原始经度、维度数据，经过质量检测，将不合规的数据进行异常预警。</w:t>
            </w:r>
          </w:p>
          <w:p w14:paraId="0F803060">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基于治理后的经纬度坐标信息，结合警用地理信息平台提供POI、AOI、路网等数据，利用缓冲区、可视域等技术实现摄像机采集区域字段内容的自动采集或补充，对于已采集的字段进行校验、考核。</w:t>
            </w:r>
          </w:p>
          <w:p w14:paraId="7F85996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将存在问题数据作为核实任务下发，针对不同的问题对数据进行位置校准、信息修改、信息补充。</w:t>
            </w:r>
          </w:p>
          <w:p w14:paraId="711ABAF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2.22.</w:t>
            </w:r>
            <w:r>
              <w:rPr>
                <w:rFonts w:hint="eastAsia" w:ascii="微软雅黑" w:hAnsi="微软雅黑" w:eastAsia="微软雅黑" w:cs="微软雅黑"/>
                <w:color w:val="auto"/>
                <w:kern w:val="2"/>
                <w:sz w:val="21"/>
                <w:szCs w:val="21"/>
                <w:highlight w:val="none"/>
                <w:lang w:bidi="ar"/>
              </w:rPr>
              <w:t>网格绘制管理</w:t>
            </w:r>
            <w:r>
              <w:rPr>
                <w:rFonts w:hint="eastAsia" w:ascii="微软雅黑" w:hAnsi="微软雅黑" w:eastAsia="微软雅黑" w:cs="微软雅黑"/>
                <w:color w:val="auto"/>
                <w:kern w:val="2"/>
                <w:sz w:val="21"/>
                <w:szCs w:val="21"/>
                <w:highlight w:val="none"/>
                <w:lang w:bidi="ar"/>
              </w:rPr>
              <w:tab/>
            </w:r>
          </w:p>
          <w:p w14:paraId="36DC9B5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提供网格绘制管理功能，用于全区派出所辖区、警务区网格等绘制管理，包括各类绘制工具、数据校验。</w:t>
            </w:r>
          </w:p>
          <w:p w14:paraId="6EF4F36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2.23.</w:t>
            </w:r>
            <w:r>
              <w:rPr>
                <w:rFonts w:hint="eastAsia" w:ascii="微软雅黑" w:hAnsi="微软雅黑" w:eastAsia="微软雅黑" w:cs="微软雅黑"/>
                <w:color w:val="auto"/>
                <w:kern w:val="2"/>
                <w:sz w:val="21"/>
                <w:szCs w:val="21"/>
                <w:highlight w:val="none"/>
                <w:lang w:bidi="ar"/>
              </w:rPr>
              <w:t>可视化分析平台</w:t>
            </w:r>
            <w:r>
              <w:rPr>
                <w:rFonts w:hint="eastAsia" w:ascii="微软雅黑" w:hAnsi="微软雅黑" w:eastAsia="微软雅黑" w:cs="微软雅黑"/>
                <w:color w:val="auto"/>
                <w:kern w:val="2"/>
                <w:sz w:val="21"/>
                <w:szCs w:val="21"/>
                <w:highlight w:val="none"/>
                <w:lang w:bidi="ar"/>
              </w:rPr>
              <w:tab/>
            </w:r>
          </w:p>
          <w:p w14:paraId="37C8A79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突显“二三维地理能力+业务数据”对于实战场景中研判的可视化支持，减少由于传统模式下需要大量开发、对接、测试等时间成本和学习成本的才能形成的可视化研判支撑能力，通过引入“低代码”的理念，为技术人员、数据管理人员提供快速上手的低代码可视化分析工具，快速为实战场景构建各类业务数据在地图上的多元化可视化展示，提高研判分析的成效。</w:t>
            </w:r>
          </w:p>
          <w:p w14:paraId="3B7FA11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平台支持地图及图表等宏观分析数据分布情况、层级关系等的展示，同时仅需要</w:t>
            </w:r>
            <w:r>
              <w:rPr>
                <w:rFonts w:hint="eastAsia" w:ascii="微软雅黑" w:hAnsi="微软雅黑" w:eastAsia="微软雅黑" w:cs="微软雅黑"/>
                <w:color w:val="auto"/>
                <w:kern w:val="2"/>
                <w:sz w:val="21"/>
                <w:szCs w:val="21"/>
                <w:highlight w:val="none"/>
                <w:lang w:val="en-US" w:eastAsia="zh-CN" w:bidi="ar"/>
              </w:rPr>
              <w:t>使用人</w:t>
            </w:r>
            <w:r>
              <w:rPr>
                <w:rFonts w:hint="eastAsia" w:ascii="微软雅黑" w:hAnsi="微软雅黑" w:eastAsia="微软雅黑" w:cs="微软雅黑"/>
                <w:color w:val="auto"/>
                <w:kern w:val="2"/>
                <w:sz w:val="21"/>
                <w:szCs w:val="21"/>
                <w:highlight w:val="none"/>
                <w:lang w:bidi="ar"/>
              </w:rPr>
              <w:t>简单的“拖拉拽”等操作，即可完成所需的展示需求。更好地提升警用地理信息平台对业务的赋能和支撑。</w:t>
            </w:r>
          </w:p>
          <w:p w14:paraId="0CAC3D9B">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2.24.</w:t>
            </w:r>
            <w:r>
              <w:rPr>
                <w:rFonts w:hint="eastAsia" w:ascii="微软雅黑" w:hAnsi="微软雅黑" w:eastAsia="微软雅黑" w:cs="微软雅黑"/>
                <w:color w:val="auto"/>
                <w:kern w:val="2"/>
                <w:sz w:val="21"/>
                <w:szCs w:val="21"/>
                <w:highlight w:val="none"/>
                <w:lang w:bidi="ar"/>
              </w:rPr>
              <w:t>基站分布选址</w:t>
            </w:r>
            <w:r>
              <w:rPr>
                <w:rFonts w:hint="eastAsia" w:ascii="微软雅黑" w:hAnsi="微软雅黑" w:eastAsia="微软雅黑" w:cs="微软雅黑"/>
                <w:color w:val="auto"/>
                <w:kern w:val="2"/>
                <w:sz w:val="21"/>
                <w:szCs w:val="21"/>
                <w:highlight w:val="none"/>
                <w:lang w:bidi="ar"/>
              </w:rPr>
              <w:tab/>
            </w:r>
          </w:p>
          <w:p w14:paraId="5E1AEC4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基于基站蜂窝网、PDT基站、模拟常规基站实现对全区基站数据的分析展示，并为新建基站的寻址、审批提供参考依据。</w:t>
            </w:r>
          </w:p>
          <w:p w14:paraId="4E3241C5">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2.25.</w:t>
            </w:r>
            <w:r>
              <w:rPr>
                <w:rFonts w:hint="eastAsia" w:ascii="微软雅黑" w:hAnsi="微软雅黑" w:eastAsia="微软雅黑" w:cs="微软雅黑"/>
                <w:color w:val="auto"/>
                <w:kern w:val="2"/>
                <w:sz w:val="21"/>
                <w:szCs w:val="21"/>
                <w:highlight w:val="none"/>
                <w:lang w:bidi="ar"/>
              </w:rPr>
              <w:t>行动方案</w:t>
            </w:r>
            <w:r>
              <w:rPr>
                <w:rFonts w:hint="eastAsia" w:ascii="微软雅黑" w:hAnsi="微软雅黑" w:eastAsia="微软雅黑" w:cs="微软雅黑"/>
                <w:color w:val="auto"/>
                <w:kern w:val="2"/>
                <w:sz w:val="21"/>
                <w:szCs w:val="21"/>
                <w:highlight w:val="none"/>
                <w:lang w:bidi="ar"/>
              </w:rPr>
              <w:tab/>
            </w:r>
          </w:p>
          <w:p w14:paraId="0BCF503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行动方案推演支持各种</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活动编制与推演，包含巡逻防范、侦查办案</w:t>
            </w:r>
            <w:r>
              <w:rPr>
                <w:rFonts w:hint="eastAsia" w:ascii="微软雅黑" w:hAnsi="微软雅黑" w:eastAsia="微软雅黑" w:cs="微软雅黑"/>
                <w:color w:val="auto"/>
                <w:kern w:val="2"/>
                <w:sz w:val="21"/>
                <w:szCs w:val="21"/>
                <w:highlight w:val="none"/>
                <w:lang w:eastAsia="zh-CN" w:bidi="ar"/>
              </w:rPr>
              <w:t>、</w:t>
            </w:r>
            <w:r>
              <w:rPr>
                <w:rFonts w:hint="eastAsia" w:ascii="微软雅黑" w:hAnsi="微软雅黑" w:eastAsia="微软雅黑" w:cs="微软雅黑"/>
                <w:color w:val="auto"/>
                <w:kern w:val="2"/>
                <w:sz w:val="21"/>
                <w:szCs w:val="21"/>
                <w:highlight w:val="none"/>
                <w:lang w:bidi="ar"/>
              </w:rPr>
              <w:t>治安管理、交通管理、应急处突、抢险救援、医疗救助等行动类型，按照业务场景编制应对不同的行动类型，通过流程化拆解，编制行动方案。用于平时保障及战时指挥，通过结合三维地形地貌，城市建筑，道路路网，基础环境以及资源位置，业务数据，可直观展现作战态势，辅助作战分析和战术推演。</w:t>
            </w:r>
          </w:p>
          <w:p w14:paraId="54E51066">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r>
              <w:rPr>
                <w:rFonts w:hint="eastAsia" w:ascii="微软雅黑" w:hAnsi="微软雅黑" w:eastAsia="微软雅黑" w:cs="微软雅黑"/>
                <w:b w:val="0"/>
                <w:bCs w:val="0"/>
                <w:color w:val="auto"/>
                <w:kern w:val="2"/>
                <w:sz w:val="21"/>
                <w:szCs w:val="21"/>
                <w:highlight w:val="none"/>
                <w:lang w:val="en-US" w:eastAsia="zh-CN" w:bidi="ar"/>
              </w:rPr>
              <w:t>3.</w:t>
            </w:r>
            <w:r>
              <w:rPr>
                <w:rFonts w:hint="eastAsia" w:ascii="微软雅黑" w:hAnsi="微软雅黑" w:eastAsia="微软雅黑" w:cs="微软雅黑"/>
                <w:b w:val="0"/>
                <w:bCs w:val="0"/>
                <w:color w:val="auto"/>
                <w:kern w:val="2"/>
                <w:sz w:val="21"/>
                <w:szCs w:val="21"/>
                <w:highlight w:val="none"/>
                <w:lang w:bidi="ar"/>
              </w:rPr>
              <w:t>安全可靠性要求</w:t>
            </w:r>
          </w:p>
          <w:p w14:paraId="74675C0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安全证明：提供公安部权威检验中心安全测试证书。</w:t>
            </w:r>
          </w:p>
          <w:p w14:paraId="71C93ED1">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3.1.</w:t>
            </w:r>
            <w:r>
              <w:rPr>
                <w:rFonts w:hint="eastAsia" w:ascii="微软雅黑" w:hAnsi="微软雅黑" w:eastAsia="微软雅黑" w:cs="微软雅黑"/>
                <w:color w:val="auto"/>
                <w:kern w:val="2"/>
                <w:sz w:val="21"/>
                <w:szCs w:val="21"/>
                <w:highlight w:val="none"/>
                <w:lang w:bidi="ar"/>
              </w:rPr>
              <w:t>数据安全要求</w:t>
            </w:r>
          </w:p>
          <w:p w14:paraId="1F746FF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数据安全主要涉及到数据汇聚环节和数据应用环节，具体安全措施为：</w:t>
            </w:r>
          </w:p>
          <w:p w14:paraId="06D50EE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1.</w:t>
            </w:r>
            <w:r>
              <w:rPr>
                <w:rFonts w:hint="eastAsia" w:ascii="微软雅黑" w:hAnsi="微软雅黑" w:eastAsia="微软雅黑" w:cs="微软雅黑"/>
                <w:color w:val="auto"/>
                <w:kern w:val="2"/>
                <w:sz w:val="21"/>
                <w:szCs w:val="21"/>
                <w:highlight w:val="none"/>
                <w:lang w:bidi="ar"/>
              </w:rPr>
              <w:t>数据汇聚环节主要是针对网络传输进行数据的安全管理，本项目在数据汇聚环境，主要方式为：</w:t>
            </w:r>
          </w:p>
          <w:p w14:paraId="26AF025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eastAsia="zh-CN" w:bidi="ar"/>
              </w:rPr>
            </w:pPr>
            <w:r>
              <w:rPr>
                <w:rFonts w:hint="eastAsia" w:ascii="微软雅黑" w:hAnsi="微软雅黑" w:eastAsia="微软雅黑" w:cs="微软雅黑"/>
                <w:color w:val="auto"/>
                <w:kern w:val="2"/>
                <w:sz w:val="21"/>
                <w:szCs w:val="21"/>
                <w:highlight w:val="none"/>
                <w:lang w:bidi="ar"/>
              </w:rPr>
              <w:t>汇聚数据来源不同专网情况下，基于</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安全交网络控制策略进行保障，包括通过防火墙、安全交换平台、移动安全平台等的安全策略进行数据安全。对关键数据通过密码技术保障数据机密性、完整性</w:t>
            </w:r>
            <w:r>
              <w:rPr>
                <w:rFonts w:hint="eastAsia" w:ascii="微软雅黑" w:hAnsi="微软雅黑" w:eastAsia="微软雅黑" w:cs="微软雅黑"/>
                <w:color w:val="auto"/>
                <w:kern w:val="2"/>
                <w:sz w:val="21"/>
                <w:szCs w:val="21"/>
                <w:highlight w:val="none"/>
                <w:lang w:eastAsia="zh-CN" w:bidi="ar"/>
              </w:rPr>
              <w:t>；</w:t>
            </w:r>
          </w:p>
          <w:p w14:paraId="6255E8ED">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w:t>
            </w:r>
            <w:r>
              <w:rPr>
                <w:rFonts w:hint="eastAsia" w:ascii="微软雅黑" w:hAnsi="微软雅黑" w:eastAsia="微软雅黑" w:cs="微软雅黑"/>
                <w:color w:val="auto"/>
                <w:kern w:val="2"/>
                <w:sz w:val="21"/>
                <w:szCs w:val="21"/>
                <w:highlight w:val="none"/>
                <w:lang w:bidi="ar"/>
              </w:rPr>
              <w:t>数据应用环节，系统基于</w:t>
            </w:r>
            <w:r>
              <w:rPr>
                <w:rFonts w:hint="eastAsia" w:ascii="微软雅黑" w:hAnsi="微软雅黑" w:eastAsia="微软雅黑" w:cs="微软雅黑"/>
                <w:color w:val="auto"/>
                <w:kern w:val="2"/>
                <w:sz w:val="21"/>
                <w:szCs w:val="21"/>
                <w:highlight w:val="none"/>
                <w:lang w:val="en-US" w:eastAsia="zh-CN" w:bidi="ar"/>
              </w:rPr>
              <w:t>采购人</w:t>
            </w:r>
            <w:r>
              <w:rPr>
                <w:rFonts w:hint="eastAsia" w:ascii="微软雅黑" w:hAnsi="微软雅黑" w:eastAsia="微软雅黑" w:cs="微软雅黑"/>
                <w:color w:val="auto"/>
                <w:kern w:val="2"/>
                <w:sz w:val="21"/>
                <w:szCs w:val="21"/>
                <w:highlight w:val="none"/>
                <w:lang w:bidi="ar"/>
              </w:rPr>
              <w:t>数据安全要求，在数据加密、数据分类分级、访问认证、数据备份、安全审计等层次进行</w:t>
            </w:r>
            <w:r>
              <w:rPr>
                <w:rFonts w:hint="eastAsia" w:ascii="微软雅黑" w:hAnsi="微软雅黑" w:eastAsia="微软雅黑" w:cs="微软雅黑"/>
                <w:color w:val="auto"/>
                <w:kern w:val="2"/>
                <w:sz w:val="21"/>
                <w:szCs w:val="21"/>
                <w:highlight w:val="none"/>
                <w:lang w:val="en-US" w:eastAsia="zh-CN" w:bidi="ar"/>
              </w:rPr>
              <w:t>警用地理信息平台</w:t>
            </w:r>
            <w:r>
              <w:rPr>
                <w:rFonts w:hint="eastAsia" w:ascii="微软雅黑" w:hAnsi="微软雅黑" w:eastAsia="微软雅黑" w:cs="微软雅黑"/>
                <w:color w:val="auto"/>
                <w:kern w:val="2"/>
                <w:sz w:val="21"/>
                <w:szCs w:val="21"/>
                <w:highlight w:val="none"/>
                <w:lang w:bidi="ar"/>
              </w:rPr>
              <w:t>基础数据的安全保障。</w:t>
            </w:r>
          </w:p>
          <w:p w14:paraId="581F3F4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3.2.</w:t>
            </w:r>
            <w:r>
              <w:rPr>
                <w:rFonts w:hint="eastAsia" w:ascii="微软雅黑" w:hAnsi="微软雅黑" w:eastAsia="微软雅黑" w:cs="微软雅黑"/>
                <w:color w:val="auto"/>
                <w:kern w:val="2"/>
                <w:sz w:val="21"/>
                <w:szCs w:val="21"/>
                <w:highlight w:val="none"/>
                <w:lang w:bidi="ar"/>
              </w:rPr>
              <w:t>服务安全要求</w:t>
            </w:r>
          </w:p>
          <w:p w14:paraId="3259A586">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针对</w:t>
            </w:r>
            <w:r>
              <w:rPr>
                <w:rFonts w:hint="eastAsia" w:ascii="微软雅黑" w:hAnsi="微软雅黑" w:eastAsia="微软雅黑" w:cs="微软雅黑"/>
                <w:color w:val="auto"/>
                <w:kern w:val="2"/>
                <w:sz w:val="21"/>
                <w:szCs w:val="21"/>
                <w:highlight w:val="none"/>
                <w:lang w:val="en-US" w:eastAsia="zh-CN" w:bidi="ar"/>
              </w:rPr>
              <w:t>警用地理信息平台</w:t>
            </w:r>
            <w:r>
              <w:rPr>
                <w:rFonts w:hint="eastAsia" w:ascii="微软雅黑" w:hAnsi="微软雅黑" w:eastAsia="微软雅黑" w:cs="微软雅黑"/>
                <w:color w:val="auto"/>
                <w:kern w:val="2"/>
                <w:sz w:val="21"/>
                <w:szCs w:val="21"/>
                <w:highlight w:val="none"/>
                <w:lang w:bidi="ar"/>
              </w:rPr>
              <w:t>建设的各类服务，通过访问控制、传输数据加密、服务日志管理、服务监控等措施，防止非法调用。</w:t>
            </w:r>
          </w:p>
          <w:p w14:paraId="6448D93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3.3.</w:t>
            </w:r>
            <w:r>
              <w:rPr>
                <w:rFonts w:hint="eastAsia" w:ascii="微软雅黑" w:hAnsi="微软雅黑" w:eastAsia="微软雅黑" w:cs="微软雅黑"/>
                <w:color w:val="auto"/>
                <w:kern w:val="2"/>
                <w:sz w:val="21"/>
                <w:szCs w:val="21"/>
                <w:highlight w:val="none"/>
                <w:lang w:bidi="ar"/>
              </w:rPr>
              <w:t>应用安全要求</w:t>
            </w:r>
          </w:p>
          <w:p w14:paraId="40837C2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基于</w:t>
            </w:r>
            <w:r>
              <w:rPr>
                <w:rFonts w:hint="eastAsia" w:ascii="微软雅黑" w:hAnsi="微软雅黑" w:eastAsia="微软雅黑" w:cs="微软雅黑"/>
                <w:color w:val="auto"/>
                <w:kern w:val="2"/>
                <w:sz w:val="21"/>
                <w:szCs w:val="21"/>
                <w:highlight w:val="none"/>
                <w:lang w:val="en-US" w:eastAsia="zh-CN" w:bidi="ar"/>
              </w:rPr>
              <w:t>警用地理信息平台</w:t>
            </w:r>
            <w:r>
              <w:rPr>
                <w:rFonts w:hint="eastAsia" w:ascii="微软雅黑" w:hAnsi="微软雅黑" w:eastAsia="微软雅黑" w:cs="微软雅黑"/>
                <w:color w:val="auto"/>
                <w:kern w:val="2"/>
                <w:sz w:val="21"/>
                <w:szCs w:val="21"/>
                <w:highlight w:val="none"/>
                <w:lang w:bidi="ar"/>
              </w:rPr>
              <w:t>构建的门户以及工具，以及由此构建的各类地图类应用系统，也统一建立安全策略，包括通过公安部PKI/PMI认证管理、安全浏览器访问、访问登录控制、访问授权管理等方式实现应用的安全。</w:t>
            </w:r>
          </w:p>
          <w:p w14:paraId="6A9C55D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3.4.</w:t>
            </w:r>
            <w:r>
              <w:rPr>
                <w:rFonts w:hint="eastAsia" w:ascii="微软雅黑" w:hAnsi="微软雅黑" w:eastAsia="微软雅黑" w:cs="微软雅黑"/>
                <w:color w:val="auto"/>
                <w:kern w:val="2"/>
                <w:sz w:val="21"/>
                <w:szCs w:val="21"/>
                <w:highlight w:val="none"/>
                <w:lang w:bidi="ar"/>
              </w:rPr>
              <w:t>安全运维要求</w:t>
            </w:r>
          </w:p>
          <w:p w14:paraId="433F2A1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安全运维管理体系从管理制度制定、管理岗位的设定、安全赋能培训的实施等，保障后期安全、健康的运营，构建全方位立体的安全运维体系。包括：安全态势感知、身份管理、权限管理、密码管理、安全审计、安全专家管理等</w:t>
            </w:r>
          </w:p>
          <w:p w14:paraId="01DEF812">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3.5.</w:t>
            </w:r>
            <w:r>
              <w:rPr>
                <w:rFonts w:hint="eastAsia" w:ascii="微软雅黑" w:hAnsi="微软雅黑" w:eastAsia="微软雅黑" w:cs="微软雅黑"/>
                <w:color w:val="auto"/>
                <w:kern w:val="2"/>
                <w:sz w:val="21"/>
                <w:szCs w:val="21"/>
                <w:highlight w:val="none"/>
                <w:lang w:bidi="ar"/>
              </w:rPr>
              <w:t>自主可控要求</w:t>
            </w:r>
          </w:p>
          <w:p w14:paraId="2BD1323C">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系统基于公安云平台进行架构和实现，充分兼容并支持国产数据库及云资源相关国产基础平台软件。相应的系统软件应具备完全自主知识产权。系统应保证具备向</w:t>
            </w:r>
            <w:r>
              <w:rPr>
                <w:rFonts w:hint="eastAsia" w:ascii="微软雅黑" w:hAnsi="微软雅黑" w:eastAsia="微软雅黑" w:cs="微软雅黑"/>
                <w:color w:val="auto"/>
                <w:kern w:val="2"/>
                <w:sz w:val="21"/>
                <w:szCs w:val="21"/>
                <w:highlight w:val="none"/>
                <w:lang w:eastAsia="zh-CN" w:bidi="ar"/>
              </w:rPr>
              <w:t>信创</w:t>
            </w:r>
            <w:r>
              <w:rPr>
                <w:rFonts w:hint="eastAsia" w:ascii="微软雅黑" w:hAnsi="微软雅黑" w:eastAsia="微软雅黑" w:cs="微软雅黑"/>
                <w:color w:val="auto"/>
                <w:kern w:val="2"/>
                <w:sz w:val="21"/>
                <w:szCs w:val="21"/>
                <w:highlight w:val="none"/>
                <w:lang w:bidi="ar"/>
              </w:rPr>
              <w:t>云平台迁移的能力。</w:t>
            </w:r>
          </w:p>
          <w:p w14:paraId="2EA5CCDF">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r>
              <w:rPr>
                <w:rFonts w:hint="eastAsia" w:ascii="微软雅黑" w:hAnsi="微软雅黑" w:eastAsia="微软雅黑" w:cs="微软雅黑"/>
                <w:b w:val="0"/>
                <w:bCs w:val="0"/>
                <w:color w:val="auto"/>
                <w:kern w:val="2"/>
                <w:sz w:val="21"/>
                <w:szCs w:val="21"/>
                <w:highlight w:val="none"/>
                <w:lang w:val="en-US" w:eastAsia="zh-CN" w:bidi="ar"/>
              </w:rPr>
              <w:t>4.</w:t>
            </w:r>
            <w:r>
              <w:rPr>
                <w:rFonts w:hint="eastAsia" w:ascii="微软雅黑" w:hAnsi="微软雅黑" w:eastAsia="微软雅黑" w:cs="微软雅黑"/>
                <w:b w:val="0"/>
                <w:bCs w:val="0"/>
                <w:color w:val="auto"/>
                <w:kern w:val="2"/>
                <w:sz w:val="21"/>
                <w:szCs w:val="21"/>
                <w:highlight w:val="none"/>
                <w:lang w:bidi="ar"/>
              </w:rPr>
              <w:t>三级等保</w:t>
            </w:r>
          </w:p>
          <w:p w14:paraId="342B9599">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系统建设应满足“等保”三级安全规范。</w:t>
            </w:r>
          </w:p>
          <w:p w14:paraId="25461617">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r>
              <w:rPr>
                <w:rFonts w:hint="eastAsia" w:ascii="微软雅黑" w:hAnsi="微软雅黑" w:eastAsia="微软雅黑" w:cs="微软雅黑"/>
                <w:b w:val="0"/>
                <w:bCs w:val="0"/>
                <w:color w:val="auto"/>
                <w:kern w:val="2"/>
                <w:sz w:val="21"/>
                <w:szCs w:val="21"/>
                <w:highlight w:val="none"/>
                <w:lang w:val="en-US" w:eastAsia="zh-CN" w:bidi="ar"/>
              </w:rPr>
              <w:t>5.</w:t>
            </w:r>
            <w:r>
              <w:rPr>
                <w:rFonts w:hint="eastAsia" w:ascii="微软雅黑" w:hAnsi="微软雅黑" w:eastAsia="微软雅黑" w:cs="微软雅黑"/>
                <w:b w:val="0"/>
                <w:bCs w:val="0"/>
                <w:color w:val="auto"/>
                <w:kern w:val="2"/>
                <w:sz w:val="21"/>
                <w:szCs w:val="21"/>
                <w:highlight w:val="none"/>
                <w:lang w:bidi="ar"/>
              </w:rPr>
              <w:t>国密要求</w:t>
            </w:r>
          </w:p>
          <w:p w14:paraId="7EAF6568">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系统在访问认证、权限信息以及敏感信息方面支持采用国产密码应用，具体包括：</w:t>
            </w:r>
          </w:p>
          <w:p w14:paraId="7C99F0F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在PKI/PMI认证登录，采用国产密码进行安全处理。</w:t>
            </w:r>
          </w:p>
          <w:p w14:paraId="5045810E">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项目中涉及到的城市重点部位视频监控遵循GB35114标准C级安全要求，需要采用国密算法进行加密。</w:t>
            </w:r>
          </w:p>
          <w:p w14:paraId="32EF23B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项目涉及到的权限、日志等关键数据采用国密算法进行安全处理。</w:t>
            </w:r>
          </w:p>
          <w:p w14:paraId="6539BA1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项目涉及的关键业务空间地理数据采用国密算法进行处理。</w:t>
            </w:r>
          </w:p>
          <w:p w14:paraId="4283A0C4">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r>
              <w:rPr>
                <w:rFonts w:hint="eastAsia" w:ascii="微软雅黑" w:hAnsi="微软雅黑" w:eastAsia="微软雅黑" w:cs="微软雅黑"/>
                <w:b w:val="0"/>
                <w:bCs w:val="0"/>
                <w:color w:val="auto"/>
                <w:sz w:val="21"/>
                <w:szCs w:val="21"/>
                <w:highlight w:val="none"/>
                <w:lang w:eastAsia="zh-CN"/>
              </w:rPr>
              <w:t>▲</w:t>
            </w:r>
            <w:r>
              <w:rPr>
                <w:rFonts w:hint="eastAsia" w:ascii="微软雅黑" w:hAnsi="微软雅黑" w:eastAsia="微软雅黑" w:cs="微软雅黑"/>
                <w:b w:val="0"/>
                <w:bCs w:val="0"/>
                <w:color w:val="auto"/>
                <w:sz w:val="21"/>
                <w:szCs w:val="21"/>
                <w:highlight w:val="none"/>
                <w:lang w:val="en-US" w:eastAsia="zh-CN"/>
              </w:rPr>
              <w:t>6.</w:t>
            </w:r>
            <w:r>
              <w:rPr>
                <w:rFonts w:hint="eastAsia" w:ascii="微软雅黑" w:hAnsi="微软雅黑" w:eastAsia="微软雅黑" w:cs="微软雅黑"/>
                <w:b w:val="0"/>
                <w:bCs w:val="0"/>
                <w:color w:val="auto"/>
                <w:kern w:val="2"/>
                <w:sz w:val="21"/>
                <w:szCs w:val="21"/>
                <w:highlight w:val="none"/>
                <w:lang w:bidi="ar"/>
              </w:rPr>
              <w:t>国产适配要求</w:t>
            </w:r>
          </w:p>
          <w:p w14:paraId="4B08D5C0">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bidi="ar"/>
              </w:rPr>
              <w:t>系统充分兼容并支持国产数据库及云资源相关国产基础平台软件，相应的系统软件应具备完全自主知识产权，系统应保证具备向</w:t>
            </w:r>
            <w:r>
              <w:rPr>
                <w:rFonts w:hint="eastAsia" w:ascii="微软雅黑" w:hAnsi="微软雅黑" w:eastAsia="微软雅黑" w:cs="微软雅黑"/>
                <w:color w:val="auto"/>
                <w:kern w:val="2"/>
                <w:sz w:val="21"/>
                <w:szCs w:val="21"/>
                <w:highlight w:val="none"/>
                <w:lang w:eastAsia="zh-CN" w:bidi="ar"/>
              </w:rPr>
              <w:t>信创</w:t>
            </w:r>
            <w:r>
              <w:rPr>
                <w:rFonts w:hint="eastAsia" w:ascii="微软雅黑" w:hAnsi="微软雅黑" w:eastAsia="微软雅黑" w:cs="微软雅黑"/>
                <w:color w:val="auto"/>
                <w:kern w:val="2"/>
                <w:sz w:val="21"/>
                <w:szCs w:val="21"/>
                <w:highlight w:val="none"/>
                <w:lang w:bidi="ar"/>
              </w:rPr>
              <w:t>云平台迁移的能力，以实现系统的安全可靠和自主可控。具体为：</w:t>
            </w:r>
          </w:p>
          <w:p w14:paraId="6530931F">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1.</w:t>
            </w:r>
            <w:r>
              <w:rPr>
                <w:rFonts w:hint="eastAsia" w:ascii="微软雅黑" w:hAnsi="微软雅黑" w:eastAsia="微软雅黑" w:cs="微软雅黑"/>
                <w:color w:val="auto"/>
                <w:kern w:val="2"/>
                <w:sz w:val="21"/>
                <w:szCs w:val="21"/>
                <w:highlight w:val="none"/>
                <w:lang w:bidi="ar"/>
              </w:rPr>
              <w:t xml:space="preserve">服务器，支持采用信创服务器 </w:t>
            </w:r>
          </w:p>
          <w:p w14:paraId="668E4467">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2.</w:t>
            </w:r>
            <w:r>
              <w:rPr>
                <w:rFonts w:hint="eastAsia" w:ascii="微软雅黑" w:hAnsi="微软雅黑" w:eastAsia="微软雅黑" w:cs="微软雅黑"/>
                <w:color w:val="auto"/>
                <w:kern w:val="2"/>
                <w:sz w:val="21"/>
                <w:szCs w:val="21"/>
                <w:highlight w:val="none"/>
                <w:lang w:bidi="ar"/>
              </w:rPr>
              <w:t>数据库软件，采用国产数据库或开源数据（PostGreSQL+PostGIS）数据库系统。</w:t>
            </w:r>
          </w:p>
          <w:p w14:paraId="0D97F40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lang w:bidi="ar"/>
              </w:rPr>
            </w:pPr>
            <w:r>
              <w:rPr>
                <w:rFonts w:hint="eastAsia" w:ascii="微软雅黑" w:hAnsi="微软雅黑" w:eastAsia="微软雅黑" w:cs="微软雅黑"/>
                <w:color w:val="auto"/>
                <w:kern w:val="2"/>
                <w:sz w:val="21"/>
                <w:szCs w:val="21"/>
                <w:highlight w:val="none"/>
                <w:lang w:val="en-US" w:eastAsia="zh-CN" w:bidi="ar"/>
              </w:rPr>
              <w:t>3.</w:t>
            </w:r>
            <w:r>
              <w:rPr>
                <w:rFonts w:hint="eastAsia" w:ascii="微软雅黑" w:hAnsi="微软雅黑" w:eastAsia="微软雅黑" w:cs="微软雅黑"/>
                <w:color w:val="auto"/>
                <w:kern w:val="2"/>
                <w:sz w:val="21"/>
                <w:szCs w:val="21"/>
                <w:highlight w:val="none"/>
                <w:lang w:bidi="ar"/>
              </w:rPr>
              <w:t>操作系统，采用国产操作系统。</w:t>
            </w:r>
          </w:p>
          <w:p w14:paraId="08E01EBA">
            <w:pPr>
              <w:snapToGrid w:val="0"/>
              <w:spacing w:line="240" w:lineRule="auto"/>
              <w:ind w:firstLine="0" w:firstLineChars="0"/>
              <w:jc w:val="left"/>
              <w:outlineLvl w:val="9"/>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lang w:val="en-US" w:eastAsia="zh-CN" w:bidi="ar"/>
              </w:rPr>
              <w:t>4.</w:t>
            </w:r>
            <w:r>
              <w:rPr>
                <w:rFonts w:hint="eastAsia" w:ascii="微软雅黑" w:hAnsi="微软雅黑" w:eastAsia="微软雅黑" w:cs="微软雅黑"/>
                <w:color w:val="auto"/>
                <w:kern w:val="2"/>
                <w:sz w:val="21"/>
                <w:szCs w:val="21"/>
                <w:highlight w:val="none"/>
                <w:lang w:bidi="ar"/>
              </w:rPr>
              <w:t>中间件，支持国产中间件软件。</w:t>
            </w:r>
          </w:p>
        </w:tc>
      </w:tr>
      <w:tr w14:paraId="3F510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55" w:type="dxa"/>
            <w:vAlign w:val="center"/>
          </w:tcPr>
          <w:p w14:paraId="40BF010F">
            <w:pPr>
              <w:snapToGrid w:val="0"/>
              <w:spacing w:line="240" w:lineRule="auto"/>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2</w:t>
            </w:r>
          </w:p>
        </w:tc>
        <w:tc>
          <w:tcPr>
            <w:tcW w:w="1328" w:type="dxa"/>
            <w:vAlign w:val="center"/>
          </w:tcPr>
          <w:p w14:paraId="2B033F01">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val="en-US"/>
              </w:rPr>
              <w:t>信息共享与业务协同平台</w:t>
            </w:r>
          </w:p>
        </w:tc>
        <w:tc>
          <w:tcPr>
            <w:tcW w:w="1164" w:type="dxa"/>
            <w:vAlign w:val="center"/>
          </w:tcPr>
          <w:p w14:paraId="67B8B500">
            <w:pPr>
              <w:snapToGrid w:val="0"/>
              <w:spacing w:line="240" w:lineRule="auto"/>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1项</w:t>
            </w:r>
          </w:p>
        </w:tc>
        <w:tc>
          <w:tcPr>
            <w:tcW w:w="5985" w:type="dxa"/>
            <w:vAlign w:val="center"/>
          </w:tcPr>
          <w:p w14:paraId="741C5A70">
            <w:pPr>
              <w:snapToGrid w:val="0"/>
              <w:spacing w:line="240" w:lineRule="auto"/>
              <w:jc w:val="left"/>
              <w:rPr>
                <w:rFonts w:hint="eastAsia" w:ascii="微软雅黑" w:hAnsi="微软雅黑" w:eastAsia="微软雅黑" w:cs="微软雅黑"/>
                <w:color w:val="auto"/>
                <w:szCs w:val="21"/>
                <w:highlight w:val="none"/>
              </w:rPr>
            </w:pPr>
            <w:bookmarkStart w:id="58" w:name="_Toc24117"/>
            <w:r>
              <w:rPr>
                <w:rFonts w:hint="eastAsia" w:ascii="微软雅黑" w:hAnsi="微软雅黑" w:eastAsia="微软雅黑" w:cs="微软雅黑"/>
                <w:color w:val="auto"/>
                <w:szCs w:val="21"/>
                <w:highlight w:val="none"/>
              </w:rPr>
              <w:t>1.功能要求</w:t>
            </w:r>
            <w:bookmarkEnd w:id="58"/>
          </w:p>
          <w:p w14:paraId="17E01327">
            <w:pPr>
              <w:snapToGrid w:val="0"/>
              <w:spacing w:line="240" w:lineRule="auto"/>
              <w:jc w:val="left"/>
              <w:rPr>
                <w:rFonts w:hint="eastAsia" w:ascii="微软雅黑" w:hAnsi="微软雅黑" w:eastAsia="微软雅黑" w:cs="微软雅黑"/>
                <w:color w:val="auto"/>
                <w:szCs w:val="21"/>
                <w:highlight w:val="none"/>
              </w:rPr>
            </w:pPr>
            <w:bookmarkStart w:id="59" w:name="_Toc21584"/>
            <w:r>
              <w:rPr>
                <w:rFonts w:hint="eastAsia" w:ascii="微软雅黑" w:hAnsi="微软雅黑" w:eastAsia="微软雅黑" w:cs="微软雅黑"/>
                <w:color w:val="auto"/>
                <w:szCs w:val="21"/>
                <w:highlight w:val="none"/>
              </w:rPr>
              <w:t>为解决当前信息共享与业务协同平台性能不足、应用缺失，提供给大数据局的数据满足不了广西政务信息共享开放平台数据标准的情况。通过本平台的建设，一是完善平台应用管理功能，通过在公安信息网中部署协同工作台模块、基础应用模块为公安用户提供丰富的标准管理、资源管理、运营分析管理功能，使用户能够在公安网开展信息共享与业务协同的管理工作。二是政府侧和公安侧的数据标准存在差异，将共享给广西政务信息共享开放平台的数据按照政务数据标准对元数据、数据类型、数据字典、政务服务目录内容进行处理，才能实现跨部门间的数据共享融合。三是用大数据引擎提供搜索引擎服务能力，提高查询检索服务效率和稳定性，并提供比对订阅、信息核验更多更实用的服务。四是提高数据安全管理能力，通过汇集广西政务信息共享开放平台日志数据，开展信息共享与业务协同的申请审批管理工作，使数据按需取用，安全可控。</w:t>
            </w:r>
            <w:bookmarkEnd w:id="59"/>
          </w:p>
          <w:p w14:paraId="5623AA1A">
            <w:pPr>
              <w:snapToGrid w:val="0"/>
              <w:spacing w:line="240" w:lineRule="auto"/>
              <w:jc w:val="left"/>
              <w:rPr>
                <w:rFonts w:hint="eastAsia" w:ascii="微软雅黑" w:hAnsi="微软雅黑" w:eastAsia="微软雅黑" w:cs="微软雅黑"/>
                <w:color w:val="auto"/>
                <w:szCs w:val="21"/>
                <w:highlight w:val="none"/>
              </w:rPr>
            </w:pPr>
            <w:bookmarkStart w:id="60" w:name="_Toc21386"/>
            <w:r>
              <w:rPr>
                <w:rFonts w:hint="eastAsia" w:ascii="微软雅黑" w:hAnsi="微软雅黑" w:eastAsia="微软雅黑" w:cs="微软雅黑"/>
                <w:color w:val="auto"/>
                <w:szCs w:val="21"/>
                <w:highlight w:val="none"/>
              </w:rPr>
              <w:t>通过本平台建设满足各级公安机关与政府部门和社会机构间的信息共享与服务工作，丰富公安社会信息资源，实现公安数据信息的社会化服务，提高公安信息社会化服务水平，同时满足信息共享与协作工作能力，从而提高共享数据管理精细化、规范化、信息化水平，实现政务、政法、社企信息化资源共享。本项目建设功能要求如下：</w:t>
            </w:r>
            <w:bookmarkEnd w:id="60"/>
          </w:p>
          <w:p w14:paraId="610C5ECD">
            <w:pPr>
              <w:snapToGrid w:val="0"/>
              <w:spacing w:line="240" w:lineRule="auto"/>
              <w:jc w:val="left"/>
              <w:rPr>
                <w:rFonts w:hint="eastAsia" w:ascii="微软雅黑" w:hAnsi="微软雅黑" w:eastAsia="微软雅黑" w:cs="微软雅黑"/>
                <w:color w:val="auto"/>
                <w:szCs w:val="21"/>
                <w:highlight w:val="none"/>
              </w:rPr>
            </w:pPr>
            <w:bookmarkStart w:id="61" w:name="_Toc8813"/>
            <w:r>
              <w:rPr>
                <w:rFonts w:hint="eastAsia" w:ascii="微软雅黑" w:hAnsi="微软雅黑" w:eastAsia="微软雅黑" w:cs="微软雅黑"/>
                <w:color w:val="auto"/>
                <w:szCs w:val="21"/>
                <w:highlight w:val="none"/>
              </w:rPr>
              <w:t>1.1.协同工作台模块</w:t>
            </w:r>
            <w:bookmarkEnd w:id="61"/>
          </w:p>
          <w:p w14:paraId="795F814D">
            <w:pPr>
              <w:snapToGrid w:val="0"/>
              <w:spacing w:line="240" w:lineRule="auto"/>
              <w:jc w:val="left"/>
              <w:rPr>
                <w:rFonts w:hint="eastAsia" w:ascii="微软雅黑" w:hAnsi="微软雅黑" w:eastAsia="微软雅黑" w:cs="微软雅黑"/>
                <w:color w:val="auto"/>
                <w:szCs w:val="21"/>
                <w:highlight w:val="none"/>
              </w:rPr>
            </w:pPr>
            <w:bookmarkStart w:id="62" w:name="_Toc15491"/>
            <w:r>
              <w:rPr>
                <w:rFonts w:hint="eastAsia" w:ascii="微软雅黑" w:hAnsi="微软雅黑" w:eastAsia="微软雅黑" w:cs="微软雅黑"/>
                <w:color w:val="auto"/>
                <w:szCs w:val="21"/>
                <w:highlight w:val="none"/>
              </w:rPr>
              <w:t>在公安网中建设协同工作台功能，做为公安用户开展协同管理工作的统一入口，进入后公安用户能够直观掌握信息共享和业务协同平台运行现状，查看待办工作任务，开展平台用户的管理、汇聚资源的展示、消息的订阅及推送工作，通过应用菜单能够进入各个应用模块开展协同管理。</w:t>
            </w:r>
            <w:bookmarkEnd w:id="62"/>
          </w:p>
          <w:p w14:paraId="242CD6D1">
            <w:pPr>
              <w:snapToGrid w:val="0"/>
              <w:spacing w:line="240" w:lineRule="auto"/>
              <w:jc w:val="left"/>
              <w:rPr>
                <w:rFonts w:hint="eastAsia" w:ascii="微软雅黑" w:hAnsi="微软雅黑" w:eastAsia="微软雅黑" w:cs="微软雅黑"/>
                <w:color w:val="auto"/>
                <w:szCs w:val="21"/>
                <w:highlight w:val="none"/>
              </w:rPr>
            </w:pPr>
            <w:bookmarkStart w:id="63" w:name="_Toc21684"/>
            <w:r>
              <w:rPr>
                <w:rFonts w:hint="eastAsia" w:ascii="微软雅黑" w:hAnsi="微软雅黑" w:eastAsia="微软雅黑" w:cs="微软雅黑"/>
                <w:color w:val="auto"/>
                <w:szCs w:val="21"/>
                <w:highlight w:val="none"/>
              </w:rPr>
              <w:t>同时将资源展示功能在政务外网部署，以满足运营人员在政务外网管理的需要。</w:t>
            </w:r>
            <w:bookmarkEnd w:id="63"/>
          </w:p>
          <w:p w14:paraId="052F9294">
            <w:pPr>
              <w:snapToGrid w:val="0"/>
              <w:spacing w:line="240" w:lineRule="auto"/>
              <w:jc w:val="left"/>
              <w:rPr>
                <w:rFonts w:ascii="微软雅黑" w:hAnsi="微软雅黑" w:eastAsia="微软雅黑" w:cs="微软雅黑"/>
                <w:color w:val="auto"/>
                <w:szCs w:val="21"/>
                <w:highlight w:val="none"/>
              </w:rPr>
            </w:pPr>
            <w:bookmarkStart w:id="64" w:name="_Toc10424"/>
            <w:r>
              <w:rPr>
                <w:rFonts w:hint="eastAsia" w:ascii="微软雅黑" w:hAnsi="微软雅黑" w:eastAsia="微软雅黑" w:cs="微软雅黑"/>
                <w:color w:val="auto"/>
                <w:szCs w:val="21"/>
                <w:highlight w:val="none"/>
              </w:rPr>
              <w:t>1.1.1.登录认证</w:t>
            </w:r>
            <w:bookmarkEnd w:id="64"/>
            <w:bookmarkStart w:id="65" w:name="_Toc10008"/>
          </w:p>
          <w:p w14:paraId="5B6727A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登录认证的目的是验证用户的身份是否合法，本平台使用用户需要登录认证通过后才能访问各个应用模块。</w:t>
            </w:r>
            <w:bookmarkEnd w:id="65"/>
          </w:p>
          <w:p w14:paraId="44F0319F">
            <w:pPr>
              <w:snapToGrid w:val="0"/>
              <w:spacing w:line="240" w:lineRule="auto"/>
              <w:jc w:val="left"/>
              <w:rPr>
                <w:rFonts w:ascii="微软雅黑" w:hAnsi="微软雅黑" w:eastAsia="微软雅黑" w:cs="微软雅黑"/>
                <w:color w:val="auto"/>
                <w:szCs w:val="21"/>
                <w:highlight w:val="none"/>
              </w:rPr>
            </w:pPr>
            <w:bookmarkStart w:id="66" w:name="_Toc3103"/>
            <w:r>
              <w:rPr>
                <w:rFonts w:hint="eastAsia" w:ascii="微软雅黑" w:hAnsi="微软雅黑" w:eastAsia="微软雅黑" w:cs="微软雅黑"/>
                <w:color w:val="auto"/>
                <w:szCs w:val="21"/>
                <w:highlight w:val="none"/>
              </w:rPr>
              <w:t>1.1.2.工作台</w:t>
            </w:r>
            <w:bookmarkEnd w:id="66"/>
            <w:bookmarkStart w:id="67" w:name="_Toc3649"/>
          </w:p>
          <w:p w14:paraId="2CAC792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工作台提供统一的用户访问入口。</w:t>
            </w:r>
            <w:bookmarkEnd w:id="67"/>
            <w:r>
              <w:rPr>
                <w:rFonts w:hint="eastAsia" w:ascii="微软雅黑" w:hAnsi="微软雅黑" w:eastAsia="微软雅黑" w:cs="微软雅黑"/>
                <w:color w:val="auto"/>
                <w:szCs w:val="21"/>
                <w:highlight w:val="none"/>
              </w:rPr>
              <w:t>建设内容包括预警提醒、应用导航、平台使用趋势、通知公告、意见反馈、共享情况统计、平台使用情况、平台服务统计和平台监控统计功能。</w:t>
            </w:r>
          </w:p>
          <w:p w14:paraId="3E4EE95A">
            <w:pPr>
              <w:snapToGrid w:val="0"/>
              <w:spacing w:line="240" w:lineRule="auto"/>
              <w:jc w:val="left"/>
              <w:rPr>
                <w:rFonts w:ascii="微软雅黑" w:hAnsi="微软雅黑" w:eastAsia="微软雅黑" w:cs="微软雅黑"/>
                <w:color w:val="auto"/>
                <w:szCs w:val="21"/>
                <w:highlight w:val="none"/>
              </w:rPr>
            </w:pPr>
            <w:bookmarkStart w:id="68" w:name="_Toc16168"/>
            <w:r>
              <w:rPr>
                <w:rFonts w:hint="eastAsia" w:ascii="微软雅黑" w:hAnsi="微软雅黑" w:eastAsia="微软雅黑" w:cs="微软雅黑"/>
                <w:color w:val="auto"/>
                <w:szCs w:val="21"/>
                <w:highlight w:val="none"/>
              </w:rPr>
              <w:t>1.1.3.数据看板</w:t>
            </w:r>
            <w:bookmarkEnd w:id="68"/>
            <w:bookmarkStart w:id="69" w:name="_Toc26042"/>
          </w:p>
          <w:p w14:paraId="28940A8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数据看板需提供平台监控全景图、分类展现资源监控功能，使管理人员能够在大屏上掌握整个共享平台当前的运行情况，方便快捷处理异常信息，并能够下钻查看详情内容。</w:t>
            </w:r>
            <w:bookmarkEnd w:id="69"/>
            <w:bookmarkStart w:id="70" w:name="_Toc26786"/>
            <w:r>
              <w:rPr>
                <w:rFonts w:hint="eastAsia" w:ascii="微软雅黑" w:hAnsi="微软雅黑" w:eastAsia="微软雅黑" w:cs="微软雅黑"/>
                <w:color w:val="auto"/>
                <w:szCs w:val="21"/>
                <w:highlight w:val="none"/>
              </w:rPr>
              <w:t>建设内容包括：平台监控全景图、分类展现资源监控情况。</w:t>
            </w:r>
            <w:bookmarkEnd w:id="70"/>
          </w:p>
          <w:p w14:paraId="1C08D2CF">
            <w:pPr>
              <w:snapToGrid w:val="0"/>
              <w:spacing w:line="240" w:lineRule="auto"/>
              <w:jc w:val="left"/>
              <w:rPr>
                <w:rFonts w:ascii="微软雅黑" w:hAnsi="微软雅黑" w:eastAsia="微软雅黑" w:cs="微软雅黑"/>
                <w:color w:val="auto"/>
                <w:szCs w:val="21"/>
                <w:highlight w:val="none"/>
              </w:rPr>
            </w:pPr>
            <w:bookmarkStart w:id="71" w:name="_Toc21696"/>
            <w:r>
              <w:rPr>
                <w:rFonts w:hint="eastAsia" w:ascii="微软雅黑" w:hAnsi="微软雅黑" w:eastAsia="微软雅黑" w:cs="微软雅黑"/>
                <w:color w:val="auto"/>
                <w:szCs w:val="21"/>
                <w:highlight w:val="none"/>
              </w:rPr>
              <w:t>▲1.1.4.资源展示</w:t>
            </w:r>
            <w:bookmarkEnd w:id="71"/>
            <w:bookmarkStart w:id="72" w:name="_Toc26582"/>
          </w:p>
          <w:p w14:paraId="169AFD7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按照需求，针对各种资源的所属组织、应用领域、交互类型、数据格式、开放条件，对各种资源进行分门别类，将资源归属到不同的类型资源目录下，并创建资源标签，将该功能模块划分为数据资源展示和服务资源展示两个子类，分别展示数据资源和服务资源。</w:t>
            </w:r>
            <w:bookmarkEnd w:id="72"/>
          </w:p>
          <w:p w14:paraId="4C7BCB8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w:t>
            </w:r>
            <w:r>
              <w:rPr>
                <w:rFonts w:hint="eastAsia" w:ascii="微软雅黑" w:hAnsi="微软雅黑" w:eastAsia="微软雅黑" w:cs="微软雅黑"/>
                <w:color w:val="auto"/>
                <w:szCs w:val="21"/>
                <w:highlight w:val="none"/>
                <w:lang w:val="en-US" w:eastAsia="zh-CN"/>
              </w:rPr>
              <w:t>4.1.</w:t>
            </w:r>
            <w:r>
              <w:rPr>
                <w:rFonts w:hint="eastAsia" w:ascii="微软雅黑" w:hAnsi="微软雅黑" w:eastAsia="微软雅黑" w:cs="微软雅黑"/>
                <w:color w:val="auto"/>
                <w:szCs w:val="21"/>
                <w:highlight w:val="none"/>
              </w:rPr>
              <w:t>新一代公安信息网</w:t>
            </w:r>
          </w:p>
          <w:p w14:paraId="4DE50EF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（1）数据资源展示</w:t>
            </w:r>
          </w:p>
          <w:p w14:paraId="09395F4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w:t>
            </w:r>
            <w:r>
              <w:rPr>
                <w:rFonts w:ascii="微软雅黑" w:hAnsi="微软雅黑" w:eastAsia="微软雅黑" w:cs="微软雅黑"/>
                <w:color w:val="auto"/>
                <w:szCs w:val="21"/>
                <w:highlight w:val="none"/>
              </w:rPr>
              <w:t>数据资源展示</w:t>
            </w:r>
            <w:r>
              <w:rPr>
                <w:rFonts w:hint="eastAsia" w:ascii="微软雅黑" w:hAnsi="微软雅黑" w:eastAsia="微软雅黑" w:cs="微软雅黑"/>
                <w:color w:val="auto"/>
                <w:szCs w:val="21"/>
                <w:highlight w:val="none"/>
              </w:rPr>
              <w:t>，支持通过可视化操作，利用管理服务对数据资源进行管理。</w:t>
            </w:r>
          </w:p>
          <w:p w14:paraId="23C02DF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（2）服务资源展示</w:t>
            </w:r>
          </w:p>
          <w:p w14:paraId="75B25FE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提供统一的服务资源目录视图，可按使用方和提供方两个维度，实现清晰且完整的服务资源表示。</w:t>
            </w:r>
          </w:p>
          <w:p w14:paraId="2013BEE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（3）文件交换资源展示</w:t>
            </w:r>
          </w:p>
          <w:p w14:paraId="235B388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实现文件交换资源展示，支持通过可视化操作，利用管理服务对文件交换资源进行管理。</w:t>
            </w:r>
          </w:p>
          <w:p w14:paraId="3FF677F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（4）资源查询</w:t>
            </w:r>
          </w:p>
          <w:p w14:paraId="67D6FB4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支持通过资源分类，进行资源快速筛选。需支持对资源名称的模糊检索，支持资源详情展示功能，可视化展现资源的详细信息。</w:t>
            </w:r>
          </w:p>
          <w:p w14:paraId="52DD23A4">
            <w:pPr>
              <w:snapToGrid w:val="0"/>
              <w:spacing w:line="240" w:lineRule="auto"/>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 w:val="24"/>
                <w:szCs w:val="24"/>
                <w:highlight w:val="none"/>
              </w:rPr>
              <w:t>要求提供系统界面截图证明材料）</w:t>
            </w:r>
          </w:p>
          <w:p w14:paraId="47C65694">
            <w:pPr>
              <w:snapToGrid w:val="0"/>
              <w:spacing w:line="240" w:lineRule="auto"/>
              <w:jc w:val="left"/>
              <w:rPr>
                <w:rFonts w:hint="eastAsia" w:ascii="微软雅黑" w:hAnsi="微软雅黑" w:eastAsia="微软雅黑" w:cs="微软雅黑"/>
                <w:color w:val="auto"/>
                <w:szCs w:val="21"/>
                <w:highlight w:val="none"/>
              </w:rPr>
            </w:pPr>
            <w:bookmarkStart w:id="73" w:name="_Toc18563"/>
            <w:r>
              <w:rPr>
                <w:rFonts w:hint="eastAsia" w:ascii="微软雅黑" w:hAnsi="微软雅黑" w:eastAsia="微软雅黑" w:cs="微软雅黑"/>
                <w:color w:val="auto"/>
                <w:szCs w:val="21"/>
                <w:highlight w:val="none"/>
              </w:rPr>
              <w:t>1.1.5.消息中心</w:t>
            </w:r>
            <w:bookmarkEnd w:id="73"/>
          </w:p>
          <w:p w14:paraId="40F76E3F">
            <w:pPr>
              <w:snapToGrid w:val="0"/>
              <w:spacing w:line="240" w:lineRule="auto"/>
              <w:jc w:val="left"/>
              <w:rPr>
                <w:rFonts w:hint="eastAsia" w:ascii="微软雅黑" w:hAnsi="微软雅黑" w:eastAsia="微软雅黑" w:cs="微软雅黑"/>
                <w:color w:val="auto"/>
                <w:szCs w:val="21"/>
                <w:highlight w:val="none"/>
              </w:rPr>
            </w:pPr>
            <w:bookmarkStart w:id="74" w:name="_Toc30809"/>
            <w:r>
              <w:rPr>
                <w:rFonts w:hint="eastAsia" w:ascii="微软雅黑" w:hAnsi="微软雅黑" w:eastAsia="微软雅黑" w:cs="微软雅黑"/>
                <w:color w:val="auto"/>
                <w:szCs w:val="21"/>
                <w:highlight w:val="none"/>
              </w:rPr>
              <w:t>消息中心需对外提供统一的消息推送服务、统一的消息推送接口。支持各业务系统通过调用API的方式，快速实现业务消息的分发，以及对于分发消息过程的管理、监控、分析。</w:t>
            </w:r>
            <w:bookmarkEnd w:id="74"/>
          </w:p>
          <w:p w14:paraId="442058D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w:t>
            </w:r>
            <w:r>
              <w:rPr>
                <w:rFonts w:hint="eastAsia" w:ascii="微软雅黑" w:hAnsi="微软雅黑" w:eastAsia="微软雅黑" w:cs="微软雅黑"/>
                <w:color w:val="auto"/>
                <w:szCs w:val="21"/>
                <w:highlight w:val="none"/>
                <w:lang w:val="en-US" w:eastAsia="zh-CN"/>
              </w:rPr>
              <w:t>1.</w:t>
            </w:r>
            <w:r>
              <w:rPr>
                <w:rFonts w:ascii="微软雅黑" w:hAnsi="微软雅黑" w:eastAsia="微软雅黑" w:cs="微软雅黑"/>
                <w:color w:val="auto"/>
                <w:szCs w:val="21"/>
                <w:highlight w:val="none"/>
              </w:rPr>
              <w:t>渠道管理</w:t>
            </w:r>
          </w:p>
          <w:p w14:paraId="48A6E0A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为管理员提供渠道管理信息的注册，编辑，删除各项管理入口，并支持为每个消息分发渠道的设置。</w:t>
            </w:r>
          </w:p>
          <w:p w14:paraId="2B132E2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公告消息发送</w:t>
            </w:r>
          </w:p>
          <w:p w14:paraId="37A83FD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实现用户通过消息系统对其他用户发送公告信息。</w:t>
            </w:r>
          </w:p>
          <w:p w14:paraId="32638DA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公告消息发送管理</w:t>
            </w:r>
          </w:p>
          <w:p w14:paraId="1865377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实现管理用户对已发送的公告类消息进行在线管理。</w:t>
            </w:r>
          </w:p>
          <w:p w14:paraId="6AFA8E1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系统消息通知管理</w:t>
            </w:r>
          </w:p>
          <w:p w14:paraId="594F325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实现针对不同应用，按消息优先级、消息渠道等条件，批量临时开启或关闭指定应用的消息功能。</w:t>
            </w:r>
          </w:p>
          <w:p w14:paraId="1906064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rPr>
              <w:t>资源变更消息订阅</w:t>
            </w:r>
          </w:p>
          <w:p w14:paraId="4645643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提供信息共享及业务协同平台数据资源、服务资源、文件交换资源等各类资源变更情况消息的订阅功能。</w:t>
            </w:r>
          </w:p>
          <w:p w14:paraId="42F0518E">
            <w:pPr>
              <w:snapToGrid w:val="0"/>
              <w:spacing w:line="240" w:lineRule="auto"/>
              <w:jc w:val="left"/>
              <w:rPr>
                <w:rFonts w:hint="eastAsia" w:ascii="微软雅黑" w:hAnsi="微软雅黑" w:eastAsia="微软雅黑" w:cs="微软雅黑"/>
                <w:color w:val="auto"/>
                <w:szCs w:val="21"/>
                <w:highlight w:val="none"/>
              </w:rPr>
            </w:pPr>
            <w:bookmarkStart w:id="75" w:name="_Toc31434"/>
            <w:r>
              <w:rPr>
                <w:rFonts w:hint="eastAsia" w:ascii="微软雅黑" w:hAnsi="微软雅黑" w:eastAsia="微软雅黑" w:cs="微软雅黑"/>
                <w:color w:val="auto"/>
                <w:szCs w:val="21"/>
                <w:highlight w:val="none"/>
              </w:rPr>
              <w:t>1.1.6.系统管理</w:t>
            </w:r>
            <w:bookmarkEnd w:id="75"/>
          </w:p>
          <w:p w14:paraId="5629B06F">
            <w:pPr>
              <w:snapToGrid w:val="0"/>
              <w:spacing w:line="240" w:lineRule="auto"/>
              <w:jc w:val="left"/>
              <w:rPr>
                <w:rFonts w:hint="eastAsia" w:ascii="微软雅黑" w:hAnsi="微软雅黑" w:eastAsia="微软雅黑" w:cs="微软雅黑"/>
                <w:color w:val="auto"/>
                <w:szCs w:val="21"/>
                <w:highlight w:val="none"/>
              </w:rPr>
            </w:pPr>
            <w:bookmarkStart w:id="76" w:name="_Toc26333"/>
            <w:r>
              <w:rPr>
                <w:rFonts w:hint="eastAsia" w:ascii="微软雅黑" w:hAnsi="微软雅黑" w:eastAsia="微软雅黑" w:cs="微软雅黑"/>
                <w:color w:val="auto"/>
                <w:szCs w:val="21"/>
                <w:highlight w:val="none"/>
              </w:rPr>
              <w:t>1.1.6.</w:t>
            </w:r>
            <w:r>
              <w:rPr>
                <w:rFonts w:hint="eastAsia" w:ascii="微软雅黑" w:hAnsi="微软雅黑" w:eastAsia="微软雅黑" w:cs="微软雅黑"/>
                <w:color w:val="auto"/>
                <w:szCs w:val="21"/>
                <w:highlight w:val="none"/>
                <w:lang w:val="en-US" w:eastAsia="zh-CN"/>
              </w:rPr>
              <w:t>1.</w:t>
            </w:r>
            <w:r>
              <w:rPr>
                <w:rFonts w:hint="eastAsia" w:ascii="微软雅黑" w:hAnsi="微软雅黑" w:eastAsia="微软雅黑" w:cs="微软雅黑"/>
                <w:color w:val="auto"/>
                <w:szCs w:val="21"/>
                <w:highlight w:val="none"/>
              </w:rPr>
              <w:t>政务外网用户管理</w:t>
            </w:r>
            <w:bookmarkEnd w:id="76"/>
          </w:p>
          <w:p w14:paraId="65DBF275">
            <w:pPr>
              <w:snapToGrid w:val="0"/>
              <w:spacing w:line="240" w:lineRule="auto"/>
              <w:jc w:val="left"/>
              <w:rPr>
                <w:rFonts w:hint="eastAsia" w:ascii="微软雅黑" w:hAnsi="微软雅黑" w:eastAsia="微软雅黑" w:cs="微软雅黑"/>
                <w:color w:val="auto"/>
                <w:szCs w:val="21"/>
                <w:highlight w:val="none"/>
              </w:rPr>
            </w:pPr>
            <w:bookmarkStart w:id="77" w:name="_Toc6220"/>
            <w:r>
              <w:rPr>
                <w:rFonts w:hint="eastAsia" w:ascii="微软雅黑" w:hAnsi="微软雅黑" w:eastAsia="微软雅黑" w:cs="微软雅黑"/>
                <w:color w:val="auto"/>
                <w:szCs w:val="21"/>
                <w:highlight w:val="none"/>
              </w:rPr>
              <w:t>政务外网用户管理是对使用信息共享及业务协同平台功能模块的用户及外单位用户的管理。用户管理可按需对接零信任服务。</w:t>
            </w:r>
            <w:bookmarkEnd w:id="77"/>
          </w:p>
          <w:p w14:paraId="7C7DD196">
            <w:pPr>
              <w:snapToGrid w:val="0"/>
              <w:spacing w:line="240" w:lineRule="auto"/>
              <w:jc w:val="left"/>
              <w:rPr>
                <w:rFonts w:hint="eastAsia" w:ascii="微软雅黑" w:hAnsi="微软雅黑" w:eastAsia="微软雅黑" w:cs="微软雅黑"/>
                <w:color w:val="auto"/>
                <w:szCs w:val="21"/>
                <w:highlight w:val="none"/>
              </w:rPr>
            </w:pPr>
            <w:bookmarkStart w:id="78" w:name="_Toc32508"/>
            <w:r>
              <w:rPr>
                <w:rFonts w:hint="eastAsia" w:ascii="微软雅黑" w:hAnsi="微软雅黑" w:eastAsia="微软雅黑" w:cs="微软雅黑"/>
                <w:color w:val="auto"/>
                <w:szCs w:val="21"/>
                <w:highlight w:val="none"/>
              </w:rPr>
              <w:t>1.1.6.2.政务外网组织管理</w:t>
            </w:r>
            <w:bookmarkEnd w:id="78"/>
          </w:p>
          <w:p w14:paraId="5B4ECF62">
            <w:pPr>
              <w:snapToGrid w:val="0"/>
              <w:spacing w:line="240" w:lineRule="auto"/>
              <w:jc w:val="left"/>
              <w:rPr>
                <w:rFonts w:hint="eastAsia" w:ascii="微软雅黑" w:hAnsi="微软雅黑" w:eastAsia="微软雅黑" w:cs="微软雅黑"/>
                <w:color w:val="auto"/>
                <w:szCs w:val="21"/>
                <w:highlight w:val="none"/>
              </w:rPr>
            </w:pPr>
            <w:bookmarkStart w:id="79" w:name="_Toc1572"/>
            <w:r>
              <w:rPr>
                <w:rFonts w:hint="eastAsia" w:ascii="微软雅黑" w:hAnsi="微软雅黑" w:eastAsia="微软雅黑" w:cs="微软雅黑"/>
                <w:color w:val="auto"/>
                <w:szCs w:val="21"/>
                <w:highlight w:val="none"/>
              </w:rPr>
              <w:t>政务外网组织管理需支持配置各级组织机构信息，需根据建设实际需要将现有组织映射到系统中统一管理。</w:t>
            </w:r>
            <w:bookmarkEnd w:id="79"/>
          </w:p>
          <w:p w14:paraId="18006F65">
            <w:pPr>
              <w:snapToGrid w:val="0"/>
              <w:spacing w:line="240" w:lineRule="auto"/>
              <w:jc w:val="left"/>
              <w:rPr>
                <w:rFonts w:hint="eastAsia" w:ascii="微软雅黑" w:hAnsi="微软雅黑" w:eastAsia="微软雅黑" w:cs="微软雅黑"/>
                <w:color w:val="auto"/>
                <w:szCs w:val="21"/>
                <w:highlight w:val="none"/>
              </w:rPr>
            </w:pPr>
            <w:bookmarkStart w:id="80" w:name="_Toc31346"/>
            <w:r>
              <w:rPr>
                <w:rFonts w:hint="eastAsia" w:ascii="微软雅黑" w:hAnsi="微软雅黑" w:eastAsia="微软雅黑" w:cs="微软雅黑"/>
                <w:color w:val="auto"/>
                <w:szCs w:val="21"/>
                <w:highlight w:val="none"/>
              </w:rPr>
              <w:t>1.1.6.3.政务外网权限管理</w:t>
            </w:r>
            <w:bookmarkEnd w:id="80"/>
          </w:p>
          <w:p w14:paraId="2AD622F0">
            <w:pPr>
              <w:snapToGrid w:val="0"/>
              <w:spacing w:line="240" w:lineRule="auto"/>
              <w:jc w:val="left"/>
              <w:rPr>
                <w:rFonts w:hint="eastAsia" w:ascii="微软雅黑" w:hAnsi="微软雅黑" w:eastAsia="微软雅黑" w:cs="微软雅黑"/>
                <w:color w:val="auto"/>
                <w:szCs w:val="21"/>
                <w:highlight w:val="none"/>
              </w:rPr>
            </w:pPr>
            <w:bookmarkStart w:id="81" w:name="_Toc3554"/>
            <w:r>
              <w:rPr>
                <w:rFonts w:hint="eastAsia" w:ascii="微软雅黑" w:hAnsi="微软雅黑" w:eastAsia="微软雅黑" w:cs="微软雅黑"/>
                <w:color w:val="auto"/>
                <w:szCs w:val="21"/>
                <w:highlight w:val="none"/>
              </w:rPr>
              <w:t>政务外网权限管理需提供角色管理功能。同时，需支持对接零信任权限服务，支持同步权限服务的配置管理数据，获取协同平台用户调用协同平台服务或数据域内服务的权限，只有具备对应访问权限的用户，才能访问对应的服务。</w:t>
            </w:r>
            <w:bookmarkEnd w:id="81"/>
          </w:p>
          <w:p w14:paraId="1892B981">
            <w:pPr>
              <w:snapToGrid w:val="0"/>
              <w:spacing w:line="240" w:lineRule="auto"/>
              <w:jc w:val="left"/>
              <w:rPr>
                <w:rFonts w:hint="eastAsia" w:ascii="微软雅黑" w:hAnsi="微软雅黑" w:eastAsia="微软雅黑" w:cs="微软雅黑"/>
                <w:color w:val="auto"/>
                <w:szCs w:val="21"/>
                <w:highlight w:val="none"/>
              </w:rPr>
            </w:pPr>
            <w:bookmarkStart w:id="82" w:name="_Toc6521"/>
            <w:r>
              <w:rPr>
                <w:rFonts w:hint="eastAsia" w:ascii="微软雅黑" w:hAnsi="微软雅黑" w:eastAsia="微软雅黑" w:cs="微软雅黑"/>
                <w:color w:val="auto"/>
                <w:szCs w:val="21"/>
                <w:highlight w:val="none"/>
              </w:rPr>
              <w:t>1.2.基础应用模块</w:t>
            </w:r>
            <w:bookmarkEnd w:id="82"/>
          </w:p>
          <w:p w14:paraId="011430BC">
            <w:pPr>
              <w:snapToGrid w:val="0"/>
              <w:spacing w:line="240" w:lineRule="auto"/>
              <w:jc w:val="left"/>
              <w:rPr>
                <w:rFonts w:hint="eastAsia" w:ascii="微软雅黑" w:hAnsi="微软雅黑" w:eastAsia="微软雅黑" w:cs="微软雅黑"/>
                <w:color w:val="auto"/>
                <w:szCs w:val="21"/>
                <w:highlight w:val="none"/>
              </w:rPr>
            </w:pPr>
            <w:bookmarkStart w:id="83" w:name="_Toc8244"/>
            <w:r>
              <w:rPr>
                <w:rFonts w:hint="eastAsia" w:ascii="微软雅黑" w:hAnsi="微软雅黑" w:eastAsia="微软雅黑" w:cs="微软雅黑"/>
                <w:color w:val="auto"/>
                <w:szCs w:val="21"/>
                <w:highlight w:val="none"/>
              </w:rPr>
              <w:t>在公安网中建设基础应用模块，提供基础性的公共应用，能够支持公安用户能够在公安网一站式开展配置数据标准，管理数据资源，分析运营情况工作，从而提高日常的工作效率，提高数据共享安全性，降低工作负担。</w:t>
            </w:r>
            <w:bookmarkEnd w:id="83"/>
          </w:p>
          <w:p w14:paraId="09478466">
            <w:pPr>
              <w:snapToGrid w:val="0"/>
              <w:spacing w:line="240" w:lineRule="auto"/>
              <w:jc w:val="left"/>
              <w:rPr>
                <w:rFonts w:hint="eastAsia" w:ascii="微软雅黑" w:hAnsi="微软雅黑" w:eastAsia="微软雅黑" w:cs="微软雅黑"/>
                <w:color w:val="auto"/>
                <w:szCs w:val="21"/>
                <w:highlight w:val="none"/>
              </w:rPr>
            </w:pPr>
            <w:bookmarkStart w:id="84" w:name="_Toc24049"/>
            <w:r>
              <w:rPr>
                <w:rFonts w:hint="eastAsia" w:ascii="微软雅黑" w:hAnsi="微软雅黑" w:eastAsia="微软雅黑" w:cs="微软雅黑"/>
                <w:color w:val="auto"/>
                <w:szCs w:val="21"/>
                <w:highlight w:val="none"/>
              </w:rPr>
              <w:t>同时将资源管理功能和运营分析功能在政务外网部署，以满足运营人员在政务外网管理的需要。</w:t>
            </w:r>
            <w:bookmarkEnd w:id="84"/>
          </w:p>
          <w:p w14:paraId="13EB9B70">
            <w:pPr>
              <w:snapToGrid w:val="0"/>
              <w:spacing w:line="240" w:lineRule="auto"/>
              <w:jc w:val="left"/>
              <w:rPr>
                <w:rFonts w:hint="eastAsia" w:ascii="微软雅黑" w:hAnsi="微软雅黑" w:eastAsia="微软雅黑" w:cs="微软雅黑"/>
                <w:color w:val="auto"/>
                <w:szCs w:val="21"/>
                <w:highlight w:val="none"/>
              </w:rPr>
            </w:pPr>
            <w:bookmarkStart w:id="85" w:name="_Toc930"/>
            <w:r>
              <w:rPr>
                <w:rFonts w:hint="eastAsia" w:ascii="微软雅黑" w:hAnsi="微软雅黑" w:eastAsia="微软雅黑" w:cs="微软雅黑"/>
                <w:color w:val="auto"/>
                <w:szCs w:val="21"/>
                <w:highlight w:val="none"/>
              </w:rPr>
              <w:t>1.2.1.标准管理</w:t>
            </w:r>
            <w:bookmarkEnd w:id="85"/>
          </w:p>
          <w:p w14:paraId="4AFFB9AA">
            <w:pPr>
              <w:snapToGrid w:val="0"/>
              <w:spacing w:line="240" w:lineRule="auto"/>
              <w:jc w:val="left"/>
              <w:rPr>
                <w:rFonts w:hint="eastAsia" w:ascii="微软雅黑" w:hAnsi="微软雅黑" w:eastAsia="微软雅黑" w:cs="微软雅黑"/>
                <w:color w:val="auto"/>
                <w:szCs w:val="21"/>
                <w:highlight w:val="none"/>
              </w:rPr>
            </w:pPr>
            <w:bookmarkStart w:id="86" w:name="_Toc14278"/>
            <w:r>
              <w:rPr>
                <w:rFonts w:hint="eastAsia" w:ascii="微软雅黑" w:hAnsi="微软雅黑" w:eastAsia="微软雅黑" w:cs="微软雅黑"/>
                <w:color w:val="auto"/>
                <w:szCs w:val="21"/>
                <w:highlight w:val="none"/>
              </w:rPr>
              <w:t>提高标准管理功能，使运营人员能够按照《广西共享政务数据目录及资源元数据编制规范V2》在本系统中配置统一的数据标准和规范，建立共用的、标准的数据定义，包括数据编码标准和数据属性标准，使对外共享的公安数据能够按照政务数据标准进行处理，的从而保证数据处理过程中数据的唯一性、正确性、统一性及可重用性。</w:t>
            </w:r>
            <w:bookmarkEnd w:id="86"/>
          </w:p>
          <w:p w14:paraId="63DA456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标准目录</w:t>
            </w:r>
          </w:p>
          <w:p w14:paraId="74B6DE8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实现用户对数据标准的目录结构进行维护。</w:t>
            </w:r>
          </w:p>
          <w:p w14:paraId="62811EF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1.2.1.2.标准文档</w:t>
            </w:r>
          </w:p>
          <w:p w14:paraId="5B7ABDB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实现通过条件进行标准文档的查询、列表展示和查询结果导出功能。</w:t>
            </w:r>
          </w:p>
          <w:p w14:paraId="38E031C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标准术语</w:t>
            </w:r>
          </w:p>
          <w:p w14:paraId="2E47C54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实现对标准中的专业术语和名称进行解释的语句进行管理，标准术语可与标准文档进行关联管理。</w:t>
            </w:r>
          </w:p>
          <w:p w14:paraId="0E2BA2E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数据标准</w:t>
            </w:r>
          </w:p>
          <w:p w14:paraId="4D4B9CE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数据标准是进行数据标准化的主要依据，用于在数据接入时实现数据标准化，避免脏数据的流入，最终形成可共享可应用的统一标准的数据资源目录。</w:t>
            </w:r>
          </w:p>
          <w:p w14:paraId="385FF897">
            <w:pPr>
              <w:snapToGrid w:val="0"/>
              <w:spacing w:line="240" w:lineRule="auto"/>
              <w:jc w:val="left"/>
              <w:rPr>
                <w:rStyle w:val="53"/>
                <w:rFonts w:hint="eastAsia"/>
                <w:color w:val="auto"/>
                <w:highlight w:val="none"/>
              </w:rPr>
            </w:pPr>
            <w:r>
              <w:rPr>
                <w:rFonts w:hint="eastAsia" w:ascii="微软雅黑" w:hAnsi="微软雅黑" w:eastAsia="微软雅黑" w:cs="微软雅黑"/>
                <w:color w:val="auto"/>
                <w:szCs w:val="21"/>
                <w:highlight w:val="none"/>
              </w:rPr>
              <w:t>1.2.1.5.</w:t>
            </w:r>
            <w:r>
              <w:rPr>
                <w:rFonts w:hint="eastAsia" w:ascii="微软雅黑" w:hAnsi="微软雅黑" w:eastAsia="微软雅黑" w:cs="微软雅黑"/>
                <w:color w:val="auto"/>
                <w:highlight w:val="none"/>
              </w:rPr>
              <w:t>数据标准-标准集</w:t>
            </w:r>
          </w:p>
          <w:p w14:paraId="2D020827">
            <w:pPr>
              <w:snapToGrid w:val="0"/>
              <w:spacing w:line="240" w:lineRule="auto"/>
              <w:jc w:val="left"/>
              <w:rPr>
                <w:rFonts w:hint="eastAsia"/>
                <w:color w:val="auto"/>
                <w:highlight w:val="none"/>
              </w:rPr>
            </w:pPr>
            <w:r>
              <w:rPr>
                <w:rFonts w:hint="eastAsia" w:ascii="微软雅黑" w:hAnsi="微软雅黑" w:eastAsia="微软雅黑" w:cs="微软雅黑"/>
                <w:color w:val="auto"/>
                <w:szCs w:val="21"/>
                <w:highlight w:val="none"/>
                <w:lang w:val="en-US" w:eastAsia="zh-CN"/>
              </w:rPr>
              <w:t>标准集表示将同一行业属性或者业务属性的多个数据标准集中在一个集合中进行管理，是多个数据标准的集合，支持对标准集进行维护，可维护的属性包含标准集名称、引用的标准文档名称、所属目录、标准集描述等。</w:t>
            </w:r>
          </w:p>
          <w:p w14:paraId="69937E78">
            <w:pPr>
              <w:snapToGrid w:val="0"/>
              <w:spacing w:line="240" w:lineRule="auto"/>
              <w:jc w:val="left"/>
              <w:rPr>
                <w:rStyle w:val="53"/>
                <w:rFonts w:hint="eastAsia"/>
                <w:color w:val="auto"/>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highlight w:val="none"/>
              </w:rPr>
              <w:t>标准数据元</w:t>
            </w:r>
          </w:p>
          <w:p w14:paraId="2465F78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元数据管理包括元数据的收集、存储、维护和查询等操作。通过元数据管理，可以更好地理解和利用数据资源，提高数据的质量和价值。</w:t>
            </w:r>
          </w:p>
          <w:p w14:paraId="786F9509">
            <w:pPr>
              <w:snapToGrid w:val="0"/>
              <w:spacing w:line="240" w:lineRule="auto"/>
              <w:jc w:val="left"/>
              <w:rPr>
                <w:rStyle w:val="53"/>
                <w:rFonts w:hint="eastAsia"/>
                <w:color w:val="auto"/>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7</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highlight w:val="none"/>
              </w:rPr>
              <w:t>数据标准-引用代码</w:t>
            </w:r>
          </w:p>
          <w:p w14:paraId="5419A41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数据元和标准编码的引用</w:t>
            </w:r>
            <w:r>
              <w:rPr>
                <w:rFonts w:hint="eastAsia" w:ascii="微软雅黑" w:hAnsi="微软雅黑" w:eastAsia="微软雅黑" w:cs="微软雅黑"/>
                <w:color w:val="auto"/>
                <w:szCs w:val="21"/>
                <w:highlight w:val="none"/>
                <w:lang w:eastAsia="zh-CN"/>
              </w:rPr>
              <w:t>。</w:t>
            </w:r>
          </w:p>
          <w:p w14:paraId="7A9EDCB8">
            <w:pPr>
              <w:snapToGrid w:val="0"/>
              <w:spacing w:line="240" w:lineRule="auto"/>
              <w:jc w:val="left"/>
              <w:rPr>
                <w:rStyle w:val="53"/>
                <w:rFonts w:hint="eastAsia"/>
                <w:color w:val="auto"/>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highlight w:val="none"/>
              </w:rPr>
              <w:t>数据标准-变更记录</w:t>
            </w:r>
          </w:p>
          <w:p w14:paraId="03860EB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变更记录，是对数据标准的全生命管理过程的记录，包括标准第一个版本的详细内容、每次版本变更的内容、版本当前的应用状态以及评审状态。</w:t>
            </w:r>
          </w:p>
          <w:p w14:paraId="30F51EC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9</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标准数据字典</w:t>
            </w:r>
          </w:p>
          <w:p w14:paraId="7CE58CA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实现标准数据字典的新增、修改、删除、导入、导出、信息搜索的维护管理。</w:t>
            </w:r>
          </w:p>
          <w:p w14:paraId="41CA368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10</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标准评审</w:t>
            </w:r>
          </w:p>
          <w:p w14:paraId="239637F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实现标准评审信息的查询、查看、查询结果导出功能。</w:t>
            </w:r>
          </w:p>
          <w:p w14:paraId="128A870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标准变更管理</w:t>
            </w:r>
          </w:p>
          <w:p w14:paraId="21EED1A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随着业务和时间的推移，数据标准会出现不适合目前业务以及数据的情况，数据标准变更管理就是对此情况提供数据标准新增、变更管理。</w:t>
            </w:r>
          </w:p>
          <w:p w14:paraId="4759EFF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标准版本管理</w:t>
            </w:r>
          </w:p>
          <w:p w14:paraId="5E4564F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实现自动保留历史版本以及每次变更的记录，形成数据标准以及标准编码等维度的版本管理。</w:t>
            </w:r>
          </w:p>
          <w:p w14:paraId="38690C7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数据标准检索</w:t>
            </w:r>
          </w:p>
          <w:p w14:paraId="6327E76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实现以数据标准名称为查询条件，支持模糊查询，根据查询内容，展示与此数据标准的相关标准文档、数据标准版本、变更等信息。</w:t>
            </w:r>
          </w:p>
          <w:p w14:paraId="5F36940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标准符合性测试</w:t>
            </w:r>
            <w:r>
              <w:rPr>
                <w:rFonts w:hint="eastAsia" w:ascii="微软雅黑" w:hAnsi="微软雅黑" w:eastAsia="微软雅黑" w:cs="微软雅黑"/>
                <w:color w:val="auto"/>
                <w:highlight w:val="none"/>
              </w:rPr>
              <w:t>-标准规则配置</w:t>
            </w:r>
          </w:p>
          <w:p w14:paraId="0DA47DF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提供面向业务数据表进行标准符合性检测的功能，用户可从数据标准的数据类型、数据长度、数据格式等方面进行标准符合性测试。</w:t>
            </w:r>
          </w:p>
          <w:p w14:paraId="41252787">
            <w:pPr>
              <w:snapToGrid w:val="0"/>
              <w:spacing w:line="240" w:lineRule="auto"/>
              <w:jc w:val="left"/>
              <w:rPr>
                <w:rFonts w:hint="eastAsia" w:ascii="微软雅黑" w:hAnsi="微软雅黑" w:eastAsia="微软雅黑" w:cs="微软雅黑"/>
                <w:color w:val="auto"/>
                <w:szCs w:val="21"/>
                <w:highlight w:val="none"/>
              </w:rPr>
            </w:pPr>
            <w:bookmarkStart w:id="87" w:name="_Toc3444"/>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15</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标准符合性测试-标准映射</w:t>
            </w:r>
          </w:p>
          <w:p w14:paraId="027E0D5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针对指定数据表字段和数据标准的符合性检测，可进行规则映射配置，配置时可自动根据该字段将匹配度最高的标准规则进行映射匹配，用户可自行调整标准规则。</w:t>
            </w:r>
          </w:p>
          <w:p w14:paraId="70086DE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16.</w:t>
            </w:r>
            <w:r>
              <w:rPr>
                <w:rFonts w:hint="eastAsia" w:ascii="微软雅黑" w:hAnsi="微软雅黑" w:eastAsia="微软雅黑" w:cs="微软雅黑"/>
                <w:color w:val="auto"/>
                <w:szCs w:val="21"/>
                <w:highlight w:val="none"/>
              </w:rPr>
              <w:t>标准符合性测试-标准符合性检测</w:t>
            </w:r>
          </w:p>
          <w:p w14:paraId="69F5CBE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通过创建作业任务的形式，根据标准映射中的配置，对指定数据源的指定字段实施数据标准符合性测试，发现不符合标准的数据。</w:t>
            </w:r>
          </w:p>
          <w:p w14:paraId="28C6C68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w:t>
            </w:r>
            <w:r>
              <w:rPr>
                <w:rFonts w:hint="eastAsia" w:ascii="微软雅黑" w:hAnsi="微软雅黑" w:eastAsia="微软雅黑" w:cs="微软雅黑"/>
                <w:color w:val="auto"/>
                <w:szCs w:val="21"/>
                <w:highlight w:val="none"/>
                <w:lang w:val="en-US" w:eastAsia="zh-CN"/>
              </w:rPr>
              <w:t>17</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标准符合性测试-标准测试报告</w:t>
            </w:r>
          </w:p>
          <w:p w14:paraId="6A5E12E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提供数据标准测试报告，报告展示每个检测指标的符合情况以及问题数据情况。</w:t>
            </w:r>
          </w:p>
          <w:p w14:paraId="076202A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1.2.2.资源管理</w:t>
            </w:r>
            <w:bookmarkEnd w:id="87"/>
          </w:p>
          <w:p w14:paraId="654E366D">
            <w:pPr>
              <w:snapToGrid w:val="0"/>
              <w:spacing w:line="240" w:lineRule="auto"/>
              <w:jc w:val="left"/>
              <w:rPr>
                <w:rFonts w:hint="eastAsia" w:ascii="微软雅黑" w:hAnsi="微软雅黑" w:eastAsia="微软雅黑" w:cs="微软雅黑"/>
                <w:color w:val="auto"/>
                <w:szCs w:val="21"/>
                <w:highlight w:val="none"/>
              </w:rPr>
            </w:pPr>
            <w:bookmarkStart w:id="88" w:name="_Toc3271"/>
            <w:r>
              <w:rPr>
                <w:rFonts w:hint="eastAsia" w:ascii="微软雅黑" w:hAnsi="微软雅黑" w:eastAsia="微软雅黑" w:cs="微软雅黑"/>
                <w:color w:val="auto"/>
                <w:szCs w:val="21"/>
                <w:highlight w:val="none"/>
              </w:rPr>
              <w:t>信息共享和业务协同平台包含各种各类的资源，比如：服务资源与数据资源，平台需对这些资源进行统一管理。</w:t>
            </w:r>
            <w:bookmarkEnd w:id="88"/>
          </w:p>
          <w:p w14:paraId="2D630C54">
            <w:pPr>
              <w:snapToGrid w:val="0"/>
              <w:spacing w:line="240" w:lineRule="auto"/>
              <w:jc w:val="left"/>
              <w:rPr>
                <w:rFonts w:hint="eastAsia" w:ascii="微软雅黑" w:hAnsi="微软雅黑" w:eastAsia="微软雅黑" w:cs="微软雅黑"/>
                <w:color w:val="auto"/>
                <w:szCs w:val="21"/>
                <w:highlight w:val="none"/>
              </w:rPr>
            </w:pPr>
            <w:bookmarkStart w:id="89" w:name="_Toc18822"/>
            <w:r>
              <w:rPr>
                <w:rFonts w:hint="eastAsia" w:ascii="微软雅黑" w:hAnsi="微软雅黑" w:eastAsia="微软雅黑" w:cs="微软雅黑"/>
                <w:color w:val="auto"/>
                <w:szCs w:val="21"/>
                <w:highlight w:val="none"/>
              </w:rPr>
              <w:t>将这些资源集成管理，通过权限鉴别进行授权与控制实现资源利用的安全，通过智能推送，实现高效资源共享，大力推进跨部门，跨层级，跨地区、跨系统协同，实现业务系统融合与人的融合。</w:t>
            </w:r>
            <w:bookmarkEnd w:id="89"/>
          </w:p>
          <w:p w14:paraId="74BE0738">
            <w:pPr>
              <w:snapToGrid w:val="0"/>
              <w:spacing w:line="240" w:lineRule="auto"/>
              <w:jc w:val="left"/>
              <w:rPr>
                <w:rFonts w:ascii="微软雅黑" w:hAnsi="微软雅黑" w:eastAsia="微软雅黑" w:cs="微软雅黑"/>
                <w:color w:val="auto"/>
                <w:szCs w:val="21"/>
                <w:highlight w:val="none"/>
              </w:rPr>
            </w:pPr>
            <w:bookmarkStart w:id="90" w:name="_Toc3153"/>
            <w:r>
              <w:rPr>
                <w:rFonts w:hint="eastAsia" w:ascii="微软雅黑" w:hAnsi="微软雅黑" w:eastAsia="微软雅黑" w:cs="微软雅黑"/>
                <w:color w:val="auto"/>
                <w:szCs w:val="21"/>
                <w:highlight w:val="none"/>
              </w:rPr>
              <w:t>数据资源汇聚了各应用系统的数据资源，针对不同业务数据类型构建不同的目录结构。按照业务需求，打通各业务系统之间的“数据孤岛”，推动和加强办公业务信息化数据融合，汇集相关业务信息，避免信息孤岛、数据割据、业务隔绝，推动各业务的数据协同。</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1.2.2.</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新一代公安信息网</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（1）政务、公安共享数据资源目录</w:t>
            </w:r>
          </w:p>
          <w:p w14:paraId="6DB8308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数据资源目录进行增删查改等操作，对各个组织的数据资源进行分类、标注、归档和存储管理。包括数据源管理、数据资源管理、数据资源注册、数据资源更新、数据资源启用、停用数据资源注销和数据资源审核。</w:t>
            </w:r>
          </w:p>
          <w:p w14:paraId="5ADF21C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（2）服务资源管理</w:t>
            </w:r>
            <w:bookmarkEnd w:id="90"/>
          </w:p>
          <w:p w14:paraId="4D97181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提供对外服务资源的管理功能，在公安用户在新一代公安信息网配置好服务资源后，将服务资源同步到共享专网中，在共享专网按照服务资源目录对外提供服务。包括服务构建、服务资源目录和服务安全管理。</w:t>
            </w:r>
          </w:p>
          <w:p w14:paraId="06E55014">
            <w:pPr>
              <w:snapToGrid w:val="0"/>
              <w:spacing w:line="240" w:lineRule="auto"/>
              <w:jc w:val="left"/>
              <w:rPr>
                <w:rFonts w:hint="eastAsia" w:ascii="微软雅黑" w:hAnsi="微软雅黑" w:eastAsia="微软雅黑" w:cs="微软雅黑"/>
                <w:color w:val="auto"/>
                <w:szCs w:val="21"/>
                <w:highlight w:val="none"/>
              </w:rPr>
            </w:pPr>
            <w:bookmarkStart w:id="91" w:name="_Toc7501"/>
            <w:r>
              <w:rPr>
                <w:rFonts w:hint="eastAsia" w:ascii="微软雅黑" w:hAnsi="微软雅黑" w:eastAsia="微软雅黑" w:cs="微软雅黑"/>
                <w:color w:val="auto"/>
                <w:szCs w:val="21"/>
                <w:highlight w:val="none"/>
              </w:rPr>
              <w:t>1.2.3.运营分析</w:t>
            </w:r>
            <w:bookmarkEnd w:id="91"/>
          </w:p>
          <w:p w14:paraId="30460B2C">
            <w:pPr>
              <w:snapToGrid w:val="0"/>
              <w:spacing w:line="240" w:lineRule="auto"/>
              <w:jc w:val="left"/>
              <w:rPr>
                <w:rFonts w:ascii="微软雅黑" w:hAnsi="微软雅黑" w:eastAsia="微软雅黑" w:cs="微软雅黑"/>
                <w:color w:val="auto"/>
                <w:szCs w:val="21"/>
                <w:highlight w:val="none"/>
              </w:rPr>
            </w:pPr>
            <w:bookmarkStart w:id="92" w:name="_Toc20722"/>
            <w:r>
              <w:rPr>
                <w:rFonts w:hint="eastAsia" w:ascii="微软雅黑" w:hAnsi="微软雅黑" w:eastAsia="微软雅黑" w:cs="微软雅黑"/>
                <w:color w:val="auto"/>
                <w:szCs w:val="21"/>
                <w:highlight w:val="none"/>
              </w:rPr>
              <w:t>运营分析提供信息共享及业务协同平台的运维监控及运营统计能力。</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1.2.3.</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.新一代公安信息网</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（1）运维监控</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实时监控网络的状态和性能，包括对服务器、中间件、网络设备等网络元素以及各种应用程序的性能进行监控。</w:t>
            </w:r>
          </w:p>
          <w:p w14:paraId="2E14188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（2）运营分析</w:t>
            </w:r>
          </w:p>
          <w:p w14:paraId="7E9FEDA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对平台运营情况进行分析，包括趋势分析、请求分析、服务分析、服务质量分析和异常行为预警。</w:t>
            </w:r>
          </w:p>
          <w:p w14:paraId="15C78CF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（3）运营统计</w:t>
            </w:r>
          </w:p>
          <w:p w14:paraId="7A8F809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对平台运营相关情况进行统计，包括汇聚情况概览</w:t>
            </w:r>
            <w:r>
              <w:rPr>
                <w:rFonts w:hint="eastAsia" w:ascii="微软雅黑" w:hAnsi="微软雅黑" w:eastAsia="微软雅黑" w:cs="微软雅黑"/>
                <w:color w:val="auto"/>
                <w:szCs w:val="21"/>
                <w:highlight w:val="none"/>
                <w:lang w:eastAsia="zh-CN"/>
              </w:rPr>
              <w:t>、服务情况概览、</w:t>
            </w:r>
            <w:r>
              <w:rPr>
                <w:rFonts w:hint="eastAsia" w:ascii="微软雅黑" w:hAnsi="微软雅黑" w:eastAsia="微软雅黑" w:cs="微软雅黑"/>
                <w:color w:val="auto"/>
                <w:szCs w:val="21"/>
                <w:highlight w:val="none"/>
              </w:rPr>
              <w:t>服务资源统计概览和运营情况概览。</w:t>
            </w:r>
          </w:p>
          <w:p w14:paraId="4BEE62F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1.2.3.2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政务外网</w:t>
            </w:r>
          </w:p>
          <w:p w14:paraId="3FCF64F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政务外网运营统计实现数据汇聚情况的全方位展示，帮助用户掌握资源汇聚情况。</w:t>
            </w:r>
            <w:bookmarkEnd w:id="92"/>
          </w:p>
          <w:p w14:paraId="73AA3DA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1.2.3.3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共享数据全链路</w:t>
            </w:r>
          </w:p>
          <w:p w14:paraId="00FB654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（1）宏观全链路分析</w:t>
            </w:r>
          </w:p>
          <w:p w14:paraId="63ED04D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宏观全链路分析实现数据全链路的统计概览、加工效率分析和成果库构建分析。</w:t>
            </w:r>
          </w:p>
          <w:p w14:paraId="5E089E2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（2）表级全链路分析</w:t>
            </w:r>
          </w:p>
          <w:p w14:paraId="28D5B16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表级全链路分析实现全链路信息展示。</w:t>
            </w:r>
          </w:p>
          <w:p w14:paraId="5DDF9D45">
            <w:pPr>
              <w:snapToGrid w:val="0"/>
              <w:spacing w:line="240" w:lineRule="auto"/>
              <w:jc w:val="left"/>
              <w:rPr>
                <w:rFonts w:hint="eastAsia" w:ascii="微软雅黑" w:hAnsi="微软雅黑" w:eastAsia="微软雅黑" w:cs="微软雅黑"/>
                <w:color w:val="auto"/>
                <w:szCs w:val="21"/>
                <w:highlight w:val="none"/>
              </w:rPr>
            </w:pPr>
            <w:bookmarkStart w:id="93" w:name="_Toc27175"/>
            <w:r>
              <w:rPr>
                <w:rFonts w:hint="eastAsia" w:ascii="微软雅黑" w:hAnsi="微软雅黑" w:eastAsia="微软雅黑" w:cs="微软雅黑"/>
                <w:color w:val="auto"/>
                <w:szCs w:val="21"/>
                <w:highlight w:val="none"/>
              </w:rPr>
              <w:t>▲1.2.4.安全管理</w:t>
            </w:r>
            <w:bookmarkEnd w:id="93"/>
          </w:p>
          <w:p w14:paraId="775EDD4E">
            <w:pPr>
              <w:snapToGrid w:val="0"/>
              <w:spacing w:line="240" w:lineRule="auto"/>
              <w:jc w:val="left"/>
              <w:rPr>
                <w:rFonts w:hint="eastAsia" w:ascii="微软雅黑" w:hAnsi="微软雅黑" w:eastAsia="微软雅黑" w:cs="微软雅黑"/>
                <w:color w:val="auto"/>
                <w:szCs w:val="21"/>
                <w:highlight w:val="none"/>
              </w:rPr>
            </w:pPr>
            <w:bookmarkStart w:id="94" w:name="_Toc2636"/>
            <w:r>
              <w:rPr>
                <w:rFonts w:hint="eastAsia" w:ascii="微软雅黑" w:hAnsi="微软雅黑" w:eastAsia="微软雅黑" w:cs="微软雅黑"/>
                <w:color w:val="auto"/>
                <w:szCs w:val="21"/>
                <w:highlight w:val="none"/>
              </w:rPr>
              <w:t>1.2.4.1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审批管理</w:t>
            </w:r>
            <w:bookmarkEnd w:id="94"/>
          </w:p>
          <w:p w14:paraId="64763528">
            <w:pPr>
              <w:snapToGrid w:val="0"/>
              <w:spacing w:line="240" w:lineRule="auto"/>
              <w:jc w:val="left"/>
              <w:rPr>
                <w:rFonts w:hint="eastAsia" w:ascii="微软雅黑" w:hAnsi="微软雅黑" w:eastAsia="微软雅黑" w:cs="微软雅黑"/>
                <w:color w:val="auto"/>
                <w:szCs w:val="21"/>
                <w:highlight w:val="none"/>
              </w:rPr>
            </w:pPr>
            <w:bookmarkStart w:id="95" w:name="_Toc3586"/>
            <w:r>
              <w:rPr>
                <w:rFonts w:hint="eastAsia" w:ascii="微软雅黑" w:hAnsi="微软雅黑" w:eastAsia="微软雅黑" w:cs="微软雅黑"/>
                <w:color w:val="auto"/>
                <w:szCs w:val="21"/>
                <w:highlight w:val="none"/>
              </w:rPr>
              <w:t>需建设本地化的审批能力，同时需支持对接公安大数据审批服务组件。</w:t>
            </w:r>
            <w:bookmarkEnd w:id="95"/>
          </w:p>
          <w:p w14:paraId="75272259">
            <w:pPr>
              <w:snapToGrid w:val="0"/>
              <w:spacing w:line="240" w:lineRule="auto"/>
              <w:jc w:val="left"/>
              <w:rPr>
                <w:rFonts w:hint="eastAsia" w:ascii="微软雅黑" w:hAnsi="微软雅黑" w:eastAsia="微软雅黑" w:cs="微软雅黑"/>
                <w:color w:val="auto"/>
                <w:szCs w:val="21"/>
                <w:highlight w:val="none"/>
              </w:rPr>
            </w:pPr>
            <w:bookmarkStart w:id="96" w:name="_Toc8221"/>
            <w:r>
              <w:rPr>
                <w:rFonts w:hint="eastAsia" w:ascii="微软雅黑" w:hAnsi="微软雅黑" w:eastAsia="微软雅黑" w:cs="微软雅黑"/>
                <w:color w:val="auto"/>
                <w:szCs w:val="21"/>
                <w:highlight w:val="none"/>
              </w:rPr>
              <w:t>1.2.4.2.审计分析</w:t>
            </w:r>
            <w:bookmarkEnd w:id="96"/>
          </w:p>
          <w:p w14:paraId="6E02ED84">
            <w:pPr>
              <w:snapToGrid w:val="0"/>
              <w:spacing w:line="240" w:lineRule="auto"/>
              <w:jc w:val="left"/>
              <w:rPr>
                <w:rFonts w:hint="eastAsia" w:ascii="微软雅黑" w:hAnsi="微软雅黑" w:eastAsia="微软雅黑" w:cs="微软雅黑"/>
                <w:color w:val="auto"/>
                <w:szCs w:val="21"/>
                <w:highlight w:val="none"/>
              </w:rPr>
            </w:pPr>
            <w:bookmarkStart w:id="97" w:name="_Toc29961"/>
            <w:r>
              <w:rPr>
                <w:rFonts w:hint="eastAsia" w:ascii="微软雅黑" w:hAnsi="微软雅黑" w:eastAsia="微软雅黑" w:cs="微软雅黑"/>
                <w:color w:val="auto"/>
                <w:szCs w:val="21"/>
                <w:highlight w:val="none"/>
              </w:rPr>
              <w:t>需支持对接安审平台审计服务组件能力，按照标准同步平台日志给安审平台。</w:t>
            </w:r>
            <w:bookmarkEnd w:id="97"/>
          </w:p>
          <w:p w14:paraId="4D2E4409">
            <w:pPr>
              <w:snapToGrid w:val="0"/>
              <w:spacing w:line="240" w:lineRule="auto"/>
              <w:jc w:val="left"/>
              <w:rPr>
                <w:rFonts w:ascii="微软雅黑" w:hAnsi="微软雅黑" w:eastAsia="微软雅黑" w:cs="微软雅黑"/>
                <w:color w:val="auto"/>
                <w:szCs w:val="21"/>
                <w:highlight w:val="none"/>
              </w:rPr>
            </w:pPr>
            <w:bookmarkStart w:id="98" w:name="_Toc27584"/>
            <w:r>
              <w:rPr>
                <w:rFonts w:hint="eastAsia" w:ascii="微软雅黑" w:hAnsi="微软雅黑" w:eastAsia="微软雅黑" w:cs="微软雅黑"/>
                <w:color w:val="auto"/>
                <w:szCs w:val="21"/>
                <w:highlight w:val="none"/>
              </w:rPr>
              <w:t>1.2.4.3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操作日志</w:t>
            </w:r>
          </w:p>
          <w:p w14:paraId="55A4233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实现操作日志的列表展示、日志离线下载、日志报告生成、日志检索和日志筛选功能。</w:t>
            </w:r>
          </w:p>
          <w:p w14:paraId="6E4B343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1.2.4.4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分级分类管理</w:t>
            </w:r>
            <w:bookmarkEnd w:id="98"/>
          </w:p>
          <w:p w14:paraId="075832E0">
            <w:pPr>
              <w:snapToGrid w:val="0"/>
              <w:spacing w:line="240" w:lineRule="auto"/>
              <w:jc w:val="left"/>
              <w:rPr>
                <w:rFonts w:hint="eastAsia" w:ascii="微软雅黑" w:hAnsi="微软雅黑" w:eastAsia="微软雅黑" w:cs="微软雅黑"/>
                <w:color w:val="auto"/>
                <w:szCs w:val="21"/>
                <w:highlight w:val="none"/>
              </w:rPr>
            </w:pPr>
            <w:bookmarkStart w:id="99" w:name="_Toc8598"/>
            <w:r>
              <w:rPr>
                <w:rFonts w:hint="eastAsia" w:ascii="微软雅黑" w:hAnsi="微软雅黑" w:eastAsia="微软雅黑" w:cs="微软雅黑"/>
                <w:color w:val="auto"/>
                <w:szCs w:val="21"/>
                <w:highlight w:val="none"/>
              </w:rPr>
              <w:t>分级分类管理需按照招标人行业相关标准要求对数据资源进行分级管理，按照《政务信息资源目录编制指南（试行）》（发改高技〔2017〕1272号）文件对数据进行分类管理。</w:t>
            </w:r>
            <w:bookmarkEnd w:id="99"/>
          </w:p>
          <w:p w14:paraId="04CCD7D7">
            <w:pPr>
              <w:snapToGrid w:val="0"/>
              <w:spacing w:line="240" w:lineRule="auto"/>
              <w:jc w:val="left"/>
              <w:rPr>
                <w:rFonts w:hint="eastAsia" w:ascii="微软雅黑" w:hAnsi="微软雅黑" w:eastAsia="微软雅黑" w:cs="微软雅黑"/>
                <w:color w:val="auto"/>
                <w:szCs w:val="21"/>
                <w:highlight w:val="none"/>
              </w:rPr>
            </w:pPr>
            <w:bookmarkStart w:id="100" w:name="_Toc720"/>
            <w:r>
              <w:rPr>
                <w:rFonts w:hint="eastAsia" w:ascii="微软雅黑" w:hAnsi="微软雅黑" w:eastAsia="微软雅黑" w:cs="微软雅黑"/>
                <w:color w:val="auto"/>
                <w:szCs w:val="21"/>
                <w:highlight w:val="none"/>
              </w:rPr>
              <w:t>1.2.4.</w:t>
            </w:r>
            <w:r>
              <w:rPr>
                <w:rFonts w:ascii="微软雅黑" w:hAnsi="微软雅黑" w:eastAsia="微软雅黑" w:cs="微软雅黑"/>
                <w:color w:val="auto"/>
                <w:szCs w:val="21"/>
                <w:highlight w:val="none"/>
              </w:rPr>
              <w:t>5.</w:t>
            </w:r>
            <w:r>
              <w:rPr>
                <w:rFonts w:hint="eastAsia" w:ascii="微软雅黑" w:hAnsi="微软雅黑" w:eastAsia="微软雅黑" w:cs="微软雅黑"/>
                <w:color w:val="auto"/>
                <w:szCs w:val="21"/>
                <w:highlight w:val="none"/>
              </w:rPr>
              <w:t>安全加固</w:t>
            </w:r>
            <w:bookmarkEnd w:id="100"/>
          </w:p>
          <w:p w14:paraId="0EBCB741">
            <w:pPr>
              <w:snapToGrid w:val="0"/>
              <w:spacing w:line="240" w:lineRule="auto"/>
              <w:jc w:val="left"/>
              <w:rPr>
                <w:rFonts w:hint="eastAsia" w:ascii="微软雅黑" w:hAnsi="微软雅黑" w:eastAsia="微软雅黑" w:cs="微软雅黑"/>
                <w:color w:val="auto"/>
                <w:szCs w:val="21"/>
                <w:highlight w:val="none"/>
              </w:rPr>
            </w:pPr>
            <w:bookmarkStart w:id="101" w:name="_Toc9442"/>
            <w:r>
              <w:rPr>
                <w:rFonts w:hint="eastAsia" w:ascii="微软雅黑" w:hAnsi="微软雅黑" w:eastAsia="微软雅黑" w:cs="微软雅黑"/>
                <w:color w:val="auto"/>
                <w:szCs w:val="21"/>
                <w:highlight w:val="none"/>
              </w:rPr>
              <w:t>通过采取访问控制以及使用审计方面策略、措施，确保共享资源不被非法访问、泄露或更改，从而维护资源的完整性和保密性，全方位地提升平台的安全性与稳定运行。</w:t>
            </w:r>
            <w:bookmarkEnd w:id="101"/>
            <w:r>
              <w:rPr>
                <w:rFonts w:hint="eastAsia" w:ascii="微软雅黑" w:hAnsi="微软雅黑" w:eastAsia="微软雅黑" w:cs="微软雅黑"/>
                <w:color w:val="auto"/>
                <w:szCs w:val="21"/>
                <w:highlight w:val="none"/>
              </w:rPr>
              <w:t>包括口令与授权管理、备份恢复、安全策略和漏洞管理。</w:t>
            </w:r>
          </w:p>
          <w:p w14:paraId="22A39C1B">
            <w:pPr>
              <w:snapToGrid w:val="0"/>
              <w:spacing w:line="240" w:lineRule="auto"/>
              <w:jc w:val="left"/>
              <w:rPr>
                <w:rFonts w:hint="eastAsia" w:ascii="微软雅黑" w:hAnsi="微软雅黑" w:eastAsia="微软雅黑" w:cs="微软雅黑"/>
                <w:color w:val="auto"/>
                <w:szCs w:val="21"/>
                <w:highlight w:val="none"/>
              </w:rPr>
            </w:pPr>
            <w:bookmarkStart w:id="102" w:name="_Toc17309"/>
            <w:r>
              <w:rPr>
                <w:rFonts w:hint="eastAsia" w:ascii="微软雅黑" w:hAnsi="微软雅黑" w:eastAsia="微软雅黑" w:cs="微软雅黑"/>
                <w:color w:val="auto"/>
                <w:szCs w:val="21"/>
                <w:highlight w:val="none"/>
              </w:rPr>
              <w:t>1.2.4.</w:t>
            </w:r>
            <w:r>
              <w:rPr>
                <w:rFonts w:ascii="微软雅黑" w:hAnsi="微软雅黑" w:eastAsia="微软雅黑" w:cs="微软雅黑"/>
                <w:color w:val="auto"/>
                <w:szCs w:val="21"/>
                <w:highlight w:val="none"/>
              </w:rPr>
              <w:t>6.</w:t>
            </w:r>
            <w:r>
              <w:rPr>
                <w:rFonts w:hint="eastAsia" w:ascii="微软雅黑" w:hAnsi="微软雅黑" w:eastAsia="微软雅黑" w:cs="微软雅黑"/>
                <w:color w:val="auto"/>
                <w:szCs w:val="21"/>
                <w:highlight w:val="none"/>
              </w:rPr>
              <w:t>与公安数据安全保障体系对接</w:t>
            </w:r>
            <w:bookmarkEnd w:id="102"/>
          </w:p>
          <w:p w14:paraId="437D071C">
            <w:pPr>
              <w:snapToGrid w:val="0"/>
              <w:spacing w:line="240" w:lineRule="auto"/>
              <w:jc w:val="left"/>
              <w:rPr>
                <w:rFonts w:hint="eastAsia" w:ascii="微软雅黑" w:hAnsi="微软雅黑" w:eastAsia="微软雅黑" w:cs="微软雅黑"/>
                <w:color w:val="auto"/>
                <w:szCs w:val="21"/>
                <w:highlight w:val="none"/>
              </w:rPr>
            </w:pPr>
            <w:bookmarkStart w:id="103" w:name="_Toc5642"/>
            <w:r>
              <w:rPr>
                <w:rFonts w:hint="eastAsia" w:ascii="微软雅黑" w:hAnsi="微软雅黑" w:eastAsia="微软雅黑" w:cs="微软雅黑"/>
                <w:color w:val="auto"/>
                <w:szCs w:val="21"/>
                <w:highlight w:val="none"/>
              </w:rPr>
              <w:t>需通过零信任代理、安全访问通道中权限代理、可信检控，对接公安数据安全保障体系中权限、审计服务。依托公安数据安全保障体系，面向外单位使用公安服务场景，提供服务鉴权能力。提交公安数据审计服务所需的信息共享及业务协同平台所产生的日志。</w:t>
            </w:r>
            <w:bookmarkEnd w:id="103"/>
          </w:p>
          <w:p w14:paraId="7D99B9A3">
            <w:pPr>
              <w:snapToGrid w:val="0"/>
              <w:spacing w:line="240" w:lineRule="auto"/>
              <w:jc w:val="left"/>
              <w:rPr>
                <w:rFonts w:hint="eastAsia" w:ascii="微软雅黑" w:hAnsi="微软雅黑" w:eastAsia="微软雅黑" w:cs="微软雅黑"/>
                <w:color w:val="auto"/>
                <w:szCs w:val="21"/>
                <w:highlight w:val="none"/>
              </w:rPr>
            </w:pPr>
            <w:bookmarkStart w:id="104" w:name="_Toc6807"/>
            <w:r>
              <w:rPr>
                <w:rFonts w:hint="eastAsia" w:ascii="微软雅黑" w:hAnsi="微软雅黑" w:eastAsia="微软雅黑" w:cs="微软雅黑"/>
                <w:color w:val="auto"/>
                <w:szCs w:val="21"/>
                <w:highlight w:val="none"/>
              </w:rPr>
              <w:t>1.2.5.协同调度</w:t>
            </w:r>
            <w:bookmarkEnd w:id="104"/>
          </w:p>
          <w:p w14:paraId="60DC9F4F">
            <w:pPr>
              <w:snapToGrid w:val="0"/>
              <w:spacing w:line="240" w:lineRule="auto"/>
              <w:jc w:val="left"/>
              <w:rPr>
                <w:rFonts w:hint="eastAsia" w:ascii="微软雅黑" w:hAnsi="微软雅黑" w:eastAsia="微软雅黑" w:cs="微软雅黑"/>
                <w:color w:val="auto"/>
                <w:szCs w:val="21"/>
                <w:highlight w:val="none"/>
              </w:rPr>
            </w:pPr>
            <w:bookmarkStart w:id="105" w:name="_Toc16993"/>
            <w:r>
              <w:rPr>
                <w:rFonts w:hint="eastAsia" w:ascii="微软雅黑" w:hAnsi="微软雅黑" w:eastAsia="微软雅黑" w:cs="微软雅黑"/>
                <w:color w:val="auto"/>
                <w:szCs w:val="21"/>
                <w:highlight w:val="none"/>
              </w:rPr>
              <w:t>可建立业务协同场景，并对场景进行审批管理，到期的场景停止服务，场景失效后，也可以删除。支持根据不同部门协同业务的需求，创建、编辑、删除协同场景。通过协同调度管理，使用户能够创建协同调度应用场景，明确协同对象、协同方法、协同要求内容，为协同调度的实施服务和共享管理提供工作指引。建设内容包括：协同场景新建、协同场景编辑、协同场景删除、协同资源选择、协同分析、协同查询。</w:t>
            </w:r>
            <w:bookmarkEnd w:id="105"/>
          </w:p>
          <w:p w14:paraId="3680BDCA">
            <w:pPr>
              <w:snapToGrid w:val="0"/>
              <w:spacing w:line="240" w:lineRule="auto"/>
              <w:jc w:val="left"/>
              <w:rPr>
                <w:rFonts w:hint="eastAsia" w:ascii="微软雅黑" w:hAnsi="微软雅黑" w:eastAsia="微软雅黑" w:cs="微软雅黑"/>
                <w:color w:val="auto"/>
                <w:szCs w:val="21"/>
                <w:highlight w:val="none"/>
              </w:rPr>
            </w:pPr>
            <w:bookmarkStart w:id="106" w:name="_Toc28645"/>
            <w:r>
              <w:rPr>
                <w:rFonts w:hint="eastAsia" w:ascii="微软雅黑" w:hAnsi="微软雅黑" w:eastAsia="微软雅黑" w:cs="微软雅黑"/>
                <w:color w:val="auto"/>
                <w:szCs w:val="21"/>
                <w:highlight w:val="none"/>
              </w:rPr>
              <w:t>▲1.2.6.协同管理</w:t>
            </w:r>
            <w:bookmarkEnd w:id="106"/>
          </w:p>
          <w:p w14:paraId="600BEDDA">
            <w:pPr>
              <w:snapToGrid w:val="0"/>
              <w:spacing w:line="240" w:lineRule="auto"/>
              <w:jc w:val="left"/>
              <w:rPr>
                <w:rFonts w:hint="eastAsia" w:ascii="微软雅黑" w:hAnsi="微软雅黑" w:eastAsia="微软雅黑" w:cs="微软雅黑"/>
                <w:color w:val="auto"/>
                <w:szCs w:val="21"/>
                <w:highlight w:val="none"/>
              </w:rPr>
            </w:pPr>
            <w:bookmarkStart w:id="107" w:name="_Toc26916"/>
            <w:r>
              <w:rPr>
                <w:rFonts w:hint="eastAsia" w:ascii="微软雅黑" w:hAnsi="微软雅黑" w:eastAsia="微软雅黑" w:cs="微软雅黑"/>
                <w:color w:val="auto"/>
                <w:szCs w:val="21"/>
                <w:highlight w:val="none"/>
              </w:rPr>
              <w:t>通过协同管理，使各单位能够对需要的资源进行申请，经管理人员审批后，派发给运营人员进行处理，将处理结果进行归档。建设内容包括：协同发起、业务处理、业务协作与协调、业务反馈与更新、业务完成与归档。</w:t>
            </w:r>
            <w:bookmarkEnd w:id="107"/>
          </w:p>
          <w:p w14:paraId="29FAC532">
            <w:pPr>
              <w:snapToGrid w:val="0"/>
              <w:spacing w:line="240" w:lineRule="auto"/>
              <w:jc w:val="left"/>
              <w:rPr>
                <w:rFonts w:hint="eastAsia" w:ascii="微软雅黑" w:hAnsi="微软雅黑" w:eastAsia="微软雅黑" w:cs="微软雅黑"/>
                <w:color w:val="auto"/>
                <w:szCs w:val="21"/>
                <w:highlight w:val="none"/>
              </w:rPr>
            </w:pPr>
            <w:bookmarkStart w:id="108" w:name="_Toc26291"/>
            <w:r>
              <w:rPr>
                <w:rFonts w:hint="eastAsia" w:ascii="微软雅黑" w:hAnsi="微软雅黑" w:eastAsia="微软雅黑" w:cs="微软雅黑"/>
                <w:color w:val="auto"/>
                <w:szCs w:val="21"/>
                <w:highlight w:val="none"/>
              </w:rPr>
              <w:t>1.2.7.模型管理</w:t>
            </w:r>
            <w:bookmarkEnd w:id="108"/>
          </w:p>
          <w:p w14:paraId="167F78D5">
            <w:pPr>
              <w:snapToGrid w:val="0"/>
              <w:spacing w:line="240" w:lineRule="auto"/>
              <w:jc w:val="left"/>
              <w:rPr>
                <w:rFonts w:ascii="微软雅黑" w:hAnsi="微软雅黑" w:eastAsia="微软雅黑" w:cs="微软雅黑"/>
                <w:color w:val="auto"/>
                <w:szCs w:val="21"/>
                <w:highlight w:val="none"/>
              </w:rPr>
            </w:pPr>
            <w:bookmarkStart w:id="109" w:name="_Toc9745"/>
            <w:r>
              <w:rPr>
                <w:rFonts w:hint="eastAsia" w:ascii="微软雅黑" w:hAnsi="微软雅黑" w:eastAsia="微软雅黑" w:cs="微软雅黑"/>
                <w:color w:val="auto"/>
                <w:szCs w:val="21"/>
                <w:highlight w:val="none"/>
              </w:rPr>
              <w:t>在本平台中实现对业务模型的需求进行管理，审批通过后由大数据平台运营人员进行建模，模型运行的结果同步回本平台，并能够在本平台中查看运行结果。</w:t>
            </w:r>
            <w:r>
              <w:rPr>
                <w:rFonts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1.2.7.</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建模需求申请</w:t>
            </w:r>
          </w:p>
          <w:p w14:paraId="2CDD9D6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实现用户根据业务需求，填写模型需求相关信息，并提交申请。</w:t>
            </w:r>
          </w:p>
          <w:p w14:paraId="5F0C3A3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需求审核</w:t>
            </w:r>
          </w:p>
          <w:p w14:paraId="7FD89EB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实现对需求申请的审批通过及申请退回功能。</w:t>
            </w:r>
          </w:p>
          <w:p w14:paraId="3A76AB7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1.2.7.3.发布管理</w:t>
            </w:r>
          </w:p>
          <w:p w14:paraId="27D0FE4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实现对模型发布的审核及模型发布功能。</w:t>
            </w:r>
          </w:p>
          <w:p w14:paraId="4E6B552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1.2.7.4.下线审核</w:t>
            </w:r>
          </w:p>
          <w:p w14:paraId="1E0CF3C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实现发起下线申请，填写下线申请信息，可以对申请进行审核。</w:t>
            </w:r>
          </w:p>
          <w:p w14:paraId="582DFD4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1.2.7.5.模型任务结果</w:t>
            </w:r>
          </w:p>
          <w:p w14:paraId="6316F6B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实现对模型任务运行结果的查看、下载及对模型分析结果的结构化数据进行渲染的功能。</w:t>
            </w:r>
          </w:p>
          <w:p w14:paraId="64F7729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1.2.7.6.模型使用申请</w:t>
            </w:r>
          </w:p>
          <w:p w14:paraId="639C6A24">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实现对已发布模型的使用申请功能，支持使用方一键提交使用申请，待公安用户审批通过后，方可使用。</w:t>
            </w:r>
          </w:p>
          <w:p w14:paraId="24DA791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1.2.7.7.模型授权管理</w:t>
            </w:r>
            <w:bookmarkEnd w:id="109"/>
          </w:p>
          <w:p w14:paraId="7485E93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实现对模型的使用权限进行授权，公安用户可对模型使用申请审批通过及驳回。</w:t>
            </w:r>
          </w:p>
          <w:p w14:paraId="2CE039FA">
            <w:pPr>
              <w:snapToGrid w:val="0"/>
              <w:spacing w:line="240" w:lineRule="auto"/>
              <w:jc w:val="left"/>
              <w:rPr>
                <w:rFonts w:hint="eastAsia" w:ascii="微软雅黑" w:hAnsi="微软雅黑" w:eastAsia="微软雅黑" w:cs="微软雅黑"/>
                <w:color w:val="auto"/>
                <w:szCs w:val="21"/>
                <w:highlight w:val="none"/>
              </w:rPr>
            </w:pPr>
            <w:bookmarkStart w:id="110" w:name="_Toc16656"/>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.服务对象管理</w:t>
            </w:r>
            <w:bookmarkEnd w:id="110"/>
          </w:p>
          <w:p w14:paraId="216CE38E">
            <w:pPr>
              <w:snapToGrid w:val="0"/>
              <w:spacing w:line="240" w:lineRule="auto"/>
              <w:jc w:val="left"/>
              <w:rPr>
                <w:rFonts w:ascii="微软雅黑" w:hAnsi="微软雅黑" w:eastAsia="微软雅黑" w:cs="微软雅黑"/>
                <w:color w:val="auto"/>
                <w:szCs w:val="21"/>
                <w:highlight w:val="none"/>
              </w:rPr>
            </w:pPr>
            <w:bookmarkStart w:id="111" w:name="_Toc4481"/>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服务对象管理</w:t>
            </w:r>
          </w:p>
          <w:p w14:paraId="03E290C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服务对象管理实现对政务用户服务访问情况的动态管理。</w:t>
            </w:r>
          </w:p>
          <w:p w14:paraId="36C6925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.2.服务对象查询</w:t>
            </w:r>
          </w:p>
          <w:p w14:paraId="04F3A9D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对服务对象进行查询，显示服务对象请求具体情况列表。</w:t>
            </w:r>
          </w:p>
          <w:p w14:paraId="450BCA6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服务对象分析</w:t>
            </w:r>
            <w:bookmarkEnd w:id="111"/>
          </w:p>
          <w:p w14:paraId="5B632F7A">
            <w:pPr>
              <w:snapToGrid w:val="0"/>
              <w:spacing w:line="240" w:lineRule="auto"/>
              <w:jc w:val="left"/>
              <w:rPr>
                <w:rFonts w:ascii="微软雅黑" w:hAnsi="微软雅黑" w:eastAsia="微软雅黑" w:cs="微软雅黑"/>
                <w:color w:val="auto"/>
                <w:szCs w:val="21"/>
                <w:highlight w:val="none"/>
              </w:rPr>
            </w:pPr>
            <w:bookmarkStart w:id="112" w:name="_Toc28005"/>
            <w:r>
              <w:rPr>
                <w:rFonts w:hint="eastAsia" w:ascii="微软雅黑" w:hAnsi="微软雅黑" w:eastAsia="微软雅黑" w:cs="微软雅黑"/>
                <w:color w:val="auto"/>
                <w:szCs w:val="21"/>
                <w:highlight w:val="none"/>
              </w:rPr>
              <w:t>从不同维度分析服务对象的服务使用情况、业务办理情况、部门使用情况分布情况等。</w:t>
            </w:r>
          </w:p>
          <w:p w14:paraId="2AFEB79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.业务协同管理</w:t>
            </w:r>
            <w:bookmarkEnd w:id="112"/>
          </w:p>
          <w:p w14:paraId="1C8C8E5F">
            <w:pPr>
              <w:snapToGrid w:val="0"/>
              <w:spacing w:line="240" w:lineRule="auto"/>
              <w:jc w:val="left"/>
              <w:rPr>
                <w:rFonts w:ascii="微软雅黑" w:hAnsi="微软雅黑" w:eastAsia="微软雅黑" w:cs="微软雅黑"/>
                <w:color w:val="auto"/>
                <w:szCs w:val="21"/>
                <w:highlight w:val="none"/>
              </w:rPr>
            </w:pPr>
            <w:bookmarkStart w:id="113" w:name="_Toc6275"/>
            <w:r>
              <w:rPr>
                <w:rFonts w:hint="eastAsia" w:ascii="微软雅黑" w:hAnsi="微软雅黑" w:eastAsia="微软雅黑" w:cs="微软雅黑"/>
                <w:color w:val="auto"/>
                <w:szCs w:val="21"/>
                <w:highlight w:val="none"/>
              </w:rPr>
              <w:t>实现对采购人统一资源管理与服务平台的接口服务请求数据进行管理，结合鉴权，记录业务系统信息，管理请求频次和规则。</w:t>
            </w:r>
            <w:bookmarkEnd w:id="113"/>
          </w:p>
          <w:p w14:paraId="3008B09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规则管理</w:t>
            </w:r>
          </w:p>
          <w:p w14:paraId="3DB18D44">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可结合鉴权，创建、修改、删除规则。</w:t>
            </w:r>
          </w:p>
          <w:p w14:paraId="79BED5F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频次管理</w:t>
            </w:r>
          </w:p>
          <w:p w14:paraId="4A3A659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能够对不同规则、不同权限、不同业务系统的请求频次进行限制。</w:t>
            </w:r>
          </w:p>
          <w:p w14:paraId="6E77703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权限管理</w:t>
            </w:r>
          </w:p>
          <w:p w14:paraId="42D550F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能够对不同规则进行权限配置。</w:t>
            </w:r>
          </w:p>
          <w:p w14:paraId="6848969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白名单</w:t>
            </w:r>
          </w:p>
          <w:p w14:paraId="6DA7794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经过审批，可创建白名单，同时可以通过查询条件查询白名单，并支持查询结果列表展示和结果导出。</w:t>
            </w:r>
          </w:p>
          <w:p w14:paraId="2FE0607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w:t>
            </w:r>
            <w:r>
              <w:rPr>
                <w:rFonts w:ascii="微软雅黑" w:hAnsi="微软雅黑" w:eastAsia="微软雅黑" w:cs="微软雅黑"/>
                <w:color w:val="auto"/>
                <w:szCs w:val="21"/>
                <w:highlight w:val="none"/>
              </w:rPr>
              <w:t>9</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5.</w:t>
            </w:r>
            <w:r>
              <w:rPr>
                <w:rFonts w:hint="eastAsia" w:ascii="微软雅黑" w:hAnsi="微软雅黑" w:eastAsia="微软雅黑" w:cs="微软雅黑"/>
                <w:color w:val="auto"/>
                <w:szCs w:val="21"/>
                <w:highlight w:val="none"/>
              </w:rPr>
              <w:t>黑名单</w:t>
            </w:r>
          </w:p>
          <w:p w14:paraId="21C6CE6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可创建黑名单，同时可以通过查询条件查询黑名单，并支持查询结果列表展示和结果导出。</w:t>
            </w:r>
          </w:p>
          <w:p w14:paraId="40EA5590">
            <w:pPr>
              <w:snapToGrid w:val="0"/>
              <w:spacing w:line="240" w:lineRule="auto"/>
              <w:jc w:val="left"/>
              <w:rPr>
                <w:rFonts w:hint="eastAsia" w:ascii="微软雅黑" w:hAnsi="微软雅黑" w:eastAsia="微软雅黑" w:cs="微软雅黑"/>
                <w:color w:val="auto"/>
                <w:szCs w:val="21"/>
                <w:highlight w:val="none"/>
              </w:rPr>
            </w:pPr>
            <w:bookmarkStart w:id="114" w:name="_Toc10103"/>
            <w:r>
              <w:rPr>
                <w:rFonts w:hint="eastAsia" w:ascii="微软雅黑" w:hAnsi="微软雅黑" w:eastAsia="微软雅黑" w:cs="微软雅黑"/>
                <w:color w:val="auto"/>
                <w:szCs w:val="21"/>
                <w:highlight w:val="none"/>
              </w:rPr>
              <w:t>1.3.业务协同模块</w:t>
            </w:r>
            <w:bookmarkEnd w:id="114"/>
          </w:p>
          <w:p w14:paraId="107DA56C">
            <w:pPr>
              <w:snapToGrid w:val="0"/>
              <w:spacing w:line="240" w:lineRule="auto"/>
              <w:jc w:val="left"/>
              <w:rPr>
                <w:rFonts w:hint="eastAsia" w:ascii="微软雅黑" w:hAnsi="微软雅黑" w:eastAsia="微软雅黑" w:cs="微软雅黑"/>
                <w:color w:val="auto"/>
                <w:szCs w:val="21"/>
                <w:highlight w:val="none"/>
              </w:rPr>
            </w:pPr>
            <w:bookmarkStart w:id="115" w:name="_Toc9122"/>
            <w:r>
              <w:rPr>
                <w:rFonts w:hint="eastAsia" w:ascii="微软雅黑" w:hAnsi="微软雅黑" w:eastAsia="微软雅黑" w:cs="微软雅黑"/>
                <w:color w:val="auto"/>
                <w:szCs w:val="21"/>
                <w:highlight w:val="none"/>
              </w:rPr>
              <w:t>在共享专网中改造现有业务协同模块，实现采购人与政府各单位能够开展各项信息共享和业务协同服务，使用户能够获得各政府单位的数据资源。支持共享专网与政务外网之间实现库表、文件、API接口三种信息共享与业务协同方式。模块需具备以下特点：标准的服务管理体系、良好的跨平台支持、高可用性、异构数据源的无缝集成、遵循业界主流规范和标准、丰富的预制服务。</w:t>
            </w:r>
            <w:bookmarkEnd w:id="115"/>
          </w:p>
          <w:p w14:paraId="0055DE16">
            <w:pPr>
              <w:snapToGrid w:val="0"/>
              <w:spacing w:line="240" w:lineRule="auto"/>
              <w:jc w:val="left"/>
              <w:rPr>
                <w:rFonts w:hint="eastAsia" w:ascii="微软雅黑" w:hAnsi="微软雅黑" w:eastAsia="微软雅黑" w:cs="微软雅黑"/>
                <w:color w:val="auto"/>
                <w:szCs w:val="21"/>
                <w:highlight w:val="none"/>
              </w:rPr>
            </w:pPr>
            <w:bookmarkStart w:id="116" w:name="_Toc26174"/>
            <w:r>
              <w:rPr>
                <w:rFonts w:hint="eastAsia" w:ascii="微软雅黑" w:hAnsi="微软雅黑" w:eastAsia="微软雅黑" w:cs="微软雅黑"/>
                <w:color w:val="auto"/>
                <w:szCs w:val="21"/>
                <w:highlight w:val="none"/>
              </w:rPr>
              <w:t>本次业务协同改造，通过优化数据流程、扩展共享范围、提高同步性能、加强安全保障方式，实现资源共享、信息互通，促进组织的目标。</w:t>
            </w:r>
            <w:bookmarkEnd w:id="116"/>
          </w:p>
          <w:p w14:paraId="14CF7934">
            <w:pPr>
              <w:snapToGrid w:val="0"/>
              <w:spacing w:line="240" w:lineRule="auto"/>
              <w:jc w:val="left"/>
              <w:rPr>
                <w:rFonts w:hint="eastAsia" w:ascii="微软雅黑" w:hAnsi="微软雅黑" w:eastAsia="微软雅黑" w:cs="微软雅黑"/>
                <w:color w:val="auto"/>
                <w:szCs w:val="21"/>
                <w:highlight w:val="none"/>
              </w:rPr>
            </w:pPr>
            <w:bookmarkStart w:id="117" w:name="_Toc8838"/>
            <w:r>
              <w:rPr>
                <w:rFonts w:hint="eastAsia" w:ascii="微软雅黑" w:hAnsi="微软雅黑" w:eastAsia="微软雅黑" w:cs="微软雅黑"/>
                <w:color w:val="auto"/>
                <w:szCs w:val="21"/>
                <w:highlight w:val="none"/>
              </w:rPr>
              <w:t>1.3.1.业务流转</w:t>
            </w:r>
            <w:bookmarkEnd w:id="117"/>
          </w:p>
          <w:p w14:paraId="47FE4423">
            <w:pPr>
              <w:snapToGrid w:val="0"/>
              <w:spacing w:line="240" w:lineRule="auto"/>
              <w:jc w:val="left"/>
              <w:rPr>
                <w:rFonts w:ascii="微软雅黑" w:hAnsi="微软雅黑" w:eastAsia="微软雅黑" w:cs="微软雅黑"/>
                <w:color w:val="auto"/>
                <w:szCs w:val="21"/>
                <w:highlight w:val="none"/>
              </w:rPr>
            </w:pPr>
            <w:bookmarkStart w:id="118" w:name="_Toc9477"/>
            <w:r>
              <w:rPr>
                <w:rFonts w:hint="eastAsia" w:ascii="微软雅黑" w:hAnsi="微软雅黑" w:eastAsia="微软雅黑" w:cs="微软雅黑"/>
                <w:color w:val="auto"/>
                <w:szCs w:val="21"/>
                <w:highlight w:val="none"/>
              </w:rPr>
              <w:t>业务流转功能需实现业务流转过程中的认证鉴权、请求受理、服务路由、服务通知、日志采集功能。</w:t>
            </w:r>
            <w:bookmarkEnd w:id="118"/>
          </w:p>
          <w:p w14:paraId="722609D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认证鉴权</w:t>
            </w:r>
          </w:p>
          <w:p w14:paraId="5DD3091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业务协同总线通过对接政务外网零信任认证服务、权限服务，实现对服务请求的身份认证和服务访问鉴权。</w:t>
            </w:r>
          </w:p>
          <w:p w14:paraId="19E4790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1.3.1.2.请求受理</w:t>
            </w:r>
          </w:p>
          <w:p w14:paraId="229FA48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实现业务协同平台受理使用方的请求报文。</w:t>
            </w:r>
          </w:p>
          <w:p w14:paraId="5FF3535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1.3.1.3.服务路由</w:t>
            </w:r>
          </w:p>
          <w:p w14:paraId="099AFDE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根据用户信息等，进行服务鉴权验证，如果全部通过则对请求进行转发，转发服务实际访问地址，否则中断请求。</w:t>
            </w:r>
          </w:p>
          <w:p w14:paraId="548907B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.服务通知</w:t>
            </w:r>
          </w:p>
          <w:p w14:paraId="124F474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实现将已完成流转的服务信息进行通知推送。</w:t>
            </w:r>
          </w:p>
          <w:p w14:paraId="7C0D39A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1.3.1.5.日志采集</w:t>
            </w:r>
          </w:p>
          <w:p w14:paraId="0E8B08A3">
            <w:pPr>
              <w:snapToGrid w:val="0"/>
              <w:spacing w:line="240" w:lineRule="auto"/>
              <w:jc w:val="left"/>
              <w:rPr>
                <w:rFonts w:ascii="微软雅黑" w:hAnsi="微软雅黑" w:eastAsia="微软雅黑" w:cs="微软雅黑"/>
                <w:color w:val="auto"/>
                <w:szCs w:val="21"/>
                <w:highlight w:val="none"/>
              </w:rPr>
            </w:pPr>
            <w:bookmarkStart w:id="119" w:name="_Toc27760"/>
            <w:r>
              <w:rPr>
                <w:rFonts w:hint="eastAsia" w:ascii="微软雅黑" w:hAnsi="微软雅黑" w:eastAsia="微软雅黑" w:cs="微软雅黑"/>
                <w:color w:val="auto"/>
                <w:szCs w:val="21"/>
                <w:highlight w:val="none"/>
              </w:rPr>
              <w:t>改造现有系统的日志采集模块，提供对每一次的服务请求、服务提供的日志进行全过程的记录。</w:t>
            </w:r>
          </w:p>
          <w:p w14:paraId="34401B2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1.3.2.业务打包</w:t>
            </w:r>
            <w:bookmarkEnd w:id="119"/>
          </w:p>
          <w:p w14:paraId="48EFAC03">
            <w:pPr>
              <w:snapToGrid w:val="0"/>
              <w:spacing w:line="240" w:lineRule="auto"/>
              <w:jc w:val="left"/>
              <w:rPr>
                <w:rFonts w:ascii="微软雅黑" w:hAnsi="微软雅黑" w:eastAsia="微软雅黑" w:cs="微软雅黑"/>
                <w:color w:val="auto"/>
                <w:szCs w:val="21"/>
                <w:highlight w:val="none"/>
              </w:rPr>
            </w:pPr>
            <w:bookmarkStart w:id="120" w:name="_Toc2732"/>
            <w:r>
              <w:rPr>
                <w:rFonts w:hint="eastAsia" w:ascii="微软雅黑" w:hAnsi="微软雅黑" w:eastAsia="微软雅黑" w:cs="微软雅黑"/>
                <w:color w:val="auto"/>
                <w:szCs w:val="21"/>
                <w:highlight w:val="none"/>
              </w:rPr>
              <w:t>业务打包能够对广西政务信息共享开放平台投递过来的数据，包括库表、文件、接口，进行封装打包，同时能对打包的数据进行解包，还原成原数据格式。</w:t>
            </w:r>
            <w:bookmarkEnd w:id="120"/>
          </w:p>
          <w:p w14:paraId="34457D1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1.3.2.</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.业务打包</w:t>
            </w:r>
          </w:p>
          <w:p w14:paraId="5F76A5A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结合业务协同管理定义的规则和数据格式，对流转过来的数据进行打包。</w:t>
            </w:r>
          </w:p>
          <w:p w14:paraId="4481219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1.3.2.</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.日志记录</w:t>
            </w:r>
          </w:p>
          <w:p w14:paraId="3BA951A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记录打包和解包的行为日志，同时记录打包和解包时，出现的异常和错误信息。</w:t>
            </w:r>
          </w:p>
          <w:p w14:paraId="0E458FA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1.3.2.</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.错误流转</w:t>
            </w:r>
          </w:p>
          <w:p w14:paraId="645029B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在遇到打包和解包异常和错误的情况，如投递的数据格式不符合标准要求导致打包失败、数据量过大、性能瓶颈等异常和错误，将异常和错误流转到下一个节点，由下一个节点进行异常和错误的处理。</w:t>
            </w:r>
          </w:p>
          <w:p w14:paraId="68396D21">
            <w:pPr>
              <w:snapToGrid w:val="0"/>
              <w:spacing w:line="240" w:lineRule="auto"/>
              <w:jc w:val="left"/>
              <w:rPr>
                <w:rFonts w:hint="eastAsia" w:ascii="微软雅黑" w:hAnsi="微软雅黑" w:eastAsia="微软雅黑" w:cs="微软雅黑"/>
                <w:color w:val="auto"/>
                <w:szCs w:val="21"/>
                <w:highlight w:val="none"/>
              </w:rPr>
            </w:pPr>
            <w:bookmarkStart w:id="121" w:name="_Toc28403"/>
            <w:r>
              <w:rPr>
                <w:rFonts w:hint="eastAsia" w:ascii="微软雅黑" w:hAnsi="微软雅黑" w:eastAsia="微软雅黑" w:cs="微软雅黑"/>
                <w:color w:val="auto"/>
                <w:szCs w:val="21"/>
                <w:highlight w:val="none"/>
              </w:rPr>
              <w:t>1.3.3.数据集成</w:t>
            </w:r>
            <w:bookmarkEnd w:id="121"/>
          </w:p>
          <w:p w14:paraId="24562EF5">
            <w:pPr>
              <w:snapToGrid w:val="0"/>
              <w:spacing w:line="240" w:lineRule="auto"/>
              <w:jc w:val="left"/>
              <w:rPr>
                <w:rFonts w:ascii="微软雅黑" w:hAnsi="微软雅黑" w:eastAsia="微软雅黑" w:cs="微软雅黑"/>
                <w:color w:val="auto"/>
                <w:szCs w:val="21"/>
                <w:highlight w:val="none"/>
              </w:rPr>
            </w:pPr>
            <w:bookmarkStart w:id="122" w:name="_Toc28636"/>
            <w:r>
              <w:rPr>
                <w:rFonts w:hint="eastAsia" w:ascii="微软雅黑" w:hAnsi="微软雅黑" w:eastAsia="微软雅黑" w:cs="微软雅黑"/>
                <w:color w:val="auto"/>
                <w:szCs w:val="21"/>
                <w:highlight w:val="none"/>
              </w:rPr>
              <w:t>数据集成能够完成多种异构数据源的数据采集工作，而不需要借助多种数据采集工具。在业务协同总线模块中能够实现可视化抽取模型的设计、定时任务调度、集群并发数据抽取以及抽取过程和结果的监控和分析。</w:t>
            </w:r>
          </w:p>
          <w:p w14:paraId="4B175C0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集成服务器管理</w:t>
            </w:r>
          </w:p>
          <w:p w14:paraId="47C7317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针对平台部署安装的集群环境设备进行管理，支持对主机进行可视化统一管理配置，提供全面的可视化集群监控功能，可在线浏览主机使用情况。</w:t>
            </w:r>
          </w:p>
          <w:p w14:paraId="61B50AA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1.3.3.2.数据交换作业管理</w:t>
            </w:r>
          </w:p>
          <w:p w14:paraId="2348642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现作业的精准控制和全过程管控，包括作业的启动、停止、重启、删除、标签绑定和解绑。</w:t>
            </w:r>
          </w:p>
          <w:p w14:paraId="10E7F03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作业调度策略管理</w:t>
            </w:r>
          </w:p>
          <w:p w14:paraId="38037B8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针对作业调度的策略配置，可对数据交互作业的执行时间、执行次数、执行间隔时间等进行策略配置。</w:t>
            </w:r>
          </w:p>
          <w:p w14:paraId="77127DC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作业标签管理</w:t>
            </w:r>
          </w:p>
          <w:p w14:paraId="25EEF97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实现作业标签的创建、修改和删除，支持批量删除操作。提供标签的使用情况一览表视图。</w:t>
            </w:r>
          </w:p>
          <w:p w14:paraId="6996ABD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1.3.3.5</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任务设计器面板管理</w:t>
            </w:r>
          </w:p>
          <w:p w14:paraId="0B985F6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提供一个图形化可视化的用户面板，内置丰富的ETL功能组件，支持用户通过托拉拽组件、连线、配置等方式完成数据转换作业的逻辑规则设计。</w:t>
            </w:r>
          </w:p>
          <w:p w14:paraId="5CB1A9B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1.3.3.6</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数据集成作业模型管理</w:t>
            </w:r>
          </w:p>
          <w:p w14:paraId="7099E28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可视化的模型设计界面，用户能够将需要的组件从组件包中拖拉拽出来，通过组件间点对点的连线，设计作业模型数据流的方向及数据采集接入、转换和加载的执行过程，同时能够双击打开组件设置，可视化配置组件的属性及任务执行规则，进而完成作业模型的设计，支撑数据转换任务的执行。</w:t>
            </w:r>
          </w:p>
          <w:p w14:paraId="11A45C7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1.3.3.</w:t>
            </w:r>
            <w:r>
              <w:rPr>
                <w:rFonts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rPr>
              <w:t>.数据集成组件管理</w:t>
            </w:r>
          </w:p>
          <w:p w14:paraId="51D9899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提供丰富的ETL功能组件，实现数据清洗、校验、关联、协议转换、字典转换、去重等功能，致力于实现数据的一系列标准化操作，提高数据的价值密度。</w:t>
            </w:r>
          </w:p>
          <w:bookmarkEnd w:id="122"/>
          <w:p w14:paraId="5003EA16">
            <w:pPr>
              <w:snapToGrid w:val="0"/>
              <w:spacing w:line="240" w:lineRule="auto"/>
              <w:jc w:val="left"/>
              <w:rPr>
                <w:rFonts w:hint="eastAsia" w:ascii="微软雅黑" w:hAnsi="微软雅黑" w:eastAsia="微软雅黑" w:cs="微软雅黑"/>
                <w:color w:val="auto"/>
                <w:szCs w:val="21"/>
                <w:highlight w:val="none"/>
              </w:rPr>
            </w:pPr>
            <w:bookmarkStart w:id="123" w:name="_Toc25556"/>
            <w:r>
              <w:rPr>
                <w:rFonts w:hint="eastAsia" w:ascii="微软雅黑" w:hAnsi="微软雅黑" w:eastAsia="微软雅黑" w:cs="微软雅黑"/>
                <w:color w:val="auto"/>
                <w:szCs w:val="21"/>
                <w:highlight w:val="none"/>
              </w:rPr>
              <w:t>1.3.4.业务检测</w:t>
            </w:r>
            <w:bookmarkEnd w:id="123"/>
          </w:p>
          <w:p w14:paraId="3AF4DE2F">
            <w:pPr>
              <w:snapToGrid w:val="0"/>
              <w:spacing w:line="240" w:lineRule="auto"/>
              <w:jc w:val="left"/>
              <w:rPr>
                <w:rFonts w:ascii="微软雅黑" w:hAnsi="微软雅黑" w:eastAsia="微软雅黑" w:cs="微软雅黑"/>
                <w:color w:val="auto"/>
                <w:szCs w:val="21"/>
                <w:highlight w:val="none"/>
              </w:rPr>
            </w:pPr>
            <w:bookmarkStart w:id="124" w:name="_Toc25604"/>
            <w:r>
              <w:rPr>
                <w:rFonts w:hint="eastAsia" w:ascii="微软雅黑" w:hAnsi="微软雅黑" w:eastAsia="微软雅黑" w:cs="微软雅黑"/>
                <w:color w:val="auto"/>
                <w:szCs w:val="21"/>
                <w:highlight w:val="none"/>
              </w:rPr>
              <w:t>改造业务检测功能，可以掌握各个服务提供者和各个服务消费者之间的服务信息，需提供对服务高峰时期访问进行负载均衡，流量检测、优先级检测、请求检测实现服务高可用实现对服务高峰时期访问进行负载均衡，服务流量策略管理、服务优先级管理、服务访问阻断管理。</w:t>
            </w:r>
          </w:p>
          <w:p w14:paraId="24EC04B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链路跟踪</w:t>
            </w:r>
          </w:p>
          <w:p w14:paraId="2339F09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实现通过请求及服务日志，查询服务请求调用链，跟踪、记录服务请求的调用过程。</w:t>
            </w:r>
          </w:p>
          <w:p w14:paraId="0C3C910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优先级检测</w:t>
            </w:r>
          </w:p>
          <w:p w14:paraId="266CB57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实现在流量高峰或突发大流量访问时，能够保障对重要服务的优先调度，延缓对非紧急不重要服务的调度。</w:t>
            </w:r>
          </w:p>
          <w:p w14:paraId="3648BFE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服务流量策略管理</w:t>
            </w:r>
          </w:p>
          <w:p w14:paraId="70B796E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实现对瞬时流量控制设置和流量控制策略设置。</w:t>
            </w:r>
          </w:p>
          <w:p w14:paraId="03178A4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运行监控</w:t>
            </w:r>
          </w:p>
          <w:p w14:paraId="7F6D1B2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实现对服务运行情况进行监控，支持从转发量、响应时间、请求错误返回等维度对服务进行监控。</w:t>
            </w:r>
          </w:p>
          <w:p w14:paraId="41F6142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1.3.4.5</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服务访问阻断管理</w:t>
            </w:r>
          </w:p>
          <w:p w14:paraId="068BF06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实现对使用方、请求用户或服务资源的阻断，</w:t>
            </w:r>
          </w:p>
          <w:p w14:paraId="0405B11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同时通过对服务的访问状态、运行状态和性能状态进行全方位监测。包括服务巡检和服务监控</w:t>
            </w:r>
            <w:bookmarkEnd w:id="124"/>
            <w:r>
              <w:rPr>
                <w:rFonts w:hint="eastAsia" w:ascii="微软雅黑" w:hAnsi="微软雅黑" w:eastAsia="微软雅黑" w:cs="微软雅黑"/>
                <w:color w:val="auto"/>
                <w:szCs w:val="21"/>
                <w:highlight w:val="none"/>
              </w:rPr>
              <w:t>。</w:t>
            </w:r>
          </w:p>
          <w:p w14:paraId="0128533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w:t>
            </w:r>
            <w:r>
              <w:rPr>
                <w:rFonts w:ascii="微软雅黑" w:hAnsi="微软雅黑" w:eastAsia="微软雅黑" w:cs="微软雅黑"/>
                <w:color w:val="auto"/>
                <w:szCs w:val="21"/>
                <w:highlight w:val="none"/>
              </w:rPr>
              <w:t>6.</w:t>
            </w:r>
            <w:r>
              <w:rPr>
                <w:rFonts w:hint="eastAsia" w:ascii="微软雅黑" w:hAnsi="微软雅黑" w:eastAsia="微软雅黑" w:cs="微软雅黑"/>
                <w:color w:val="auto"/>
                <w:szCs w:val="21"/>
                <w:highlight w:val="none"/>
              </w:rPr>
              <w:t>集成服务器监控</w:t>
            </w:r>
          </w:p>
          <w:p w14:paraId="21C2C54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实现对主机上部署的实例角色、磁盘使用情况、物理内存使用情况和监听状态等指标的监控。</w:t>
            </w:r>
          </w:p>
          <w:p w14:paraId="3467F12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w:t>
            </w:r>
            <w:r>
              <w:rPr>
                <w:rFonts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rPr>
              <w:t>实例监控</w:t>
            </w:r>
          </w:p>
          <w:p w14:paraId="4208D9A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实现对实例进行作业调度和执行的情况、资源的使用情况和JVM性能消耗情况等方面的监控，同时支持监控信息的导出。</w:t>
            </w:r>
          </w:p>
          <w:p w14:paraId="50F6A92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1.3.4.</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作业监控</w:t>
            </w:r>
          </w:p>
          <w:p w14:paraId="1DE3A9D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实现对作业运行状态、运行速度、数据流量等方面的监控，同时支持监控信息的导出。</w:t>
            </w:r>
          </w:p>
          <w:p w14:paraId="37D90112">
            <w:pPr>
              <w:snapToGrid w:val="0"/>
              <w:spacing w:line="240" w:lineRule="auto"/>
              <w:jc w:val="left"/>
              <w:rPr>
                <w:rFonts w:hint="eastAsia" w:ascii="微软雅黑" w:hAnsi="微软雅黑" w:eastAsia="微软雅黑" w:cs="微软雅黑"/>
                <w:color w:val="auto"/>
                <w:szCs w:val="21"/>
                <w:highlight w:val="none"/>
              </w:rPr>
            </w:pPr>
            <w:bookmarkStart w:id="125" w:name="_Toc20122"/>
            <w:r>
              <w:rPr>
                <w:rFonts w:hint="eastAsia" w:ascii="微软雅黑" w:hAnsi="微软雅黑" w:eastAsia="微软雅黑" w:cs="微软雅黑"/>
                <w:color w:val="auto"/>
                <w:szCs w:val="21"/>
                <w:highlight w:val="none"/>
              </w:rPr>
              <w:t>▲1.3.5.实例管理</w:t>
            </w:r>
            <w:bookmarkEnd w:id="125"/>
          </w:p>
          <w:p w14:paraId="2AC7F529">
            <w:pPr>
              <w:snapToGrid w:val="0"/>
              <w:spacing w:line="240" w:lineRule="auto"/>
              <w:jc w:val="left"/>
              <w:rPr>
                <w:rFonts w:ascii="微软雅黑" w:hAnsi="微软雅黑" w:eastAsia="微软雅黑" w:cs="微软雅黑"/>
                <w:color w:val="auto"/>
                <w:szCs w:val="21"/>
                <w:highlight w:val="none"/>
              </w:rPr>
            </w:pPr>
            <w:bookmarkStart w:id="126" w:name="_Toc3864"/>
            <w:r>
              <w:rPr>
                <w:rFonts w:hint="eastAsia" w:ascii="微软雅黑" w:hAnsi="微软雅黑" w:eastAsia="微软雅黑" w:cs="微软雅黑"/>
                <w:color w:val="auto"/>
                <w:szCs w:val="21"/>
                <w:highlight w:val="none"/>
              </w:rPr>
              <w:t>实现面向服务节点进行可视化的监控和管理，可查看节点的健康状态和心跳信息，用户能够通过可视化的图像监控不同时间的负载、进程、内存情况，便于运营人员进行可视化运维和快速排查问题。</w:t>
            </w:r>
            <w:bookmarkEnd w:id="126"/>
          </w:p>
          <w:p w14:paraId="25D3862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1.3.5.</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节点管理</w:t>
            </w:r>
          </w:p>
          <w:p w14:paraId="7230BDA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面向服务节点进行可视化监控和管理，可监控节点状态并提供心跳包和节点监控日志，运营人员能够通过可视化的图像监控节点的不同时间的负载、进程、内存等情况。</w:t>
            </w:r>
          </w:p>
          <w:p w14:paraId="0AC118B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1.3.5.</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心跳包</w:t>
            </w:r>
          </w:p>
          <w:p w14:paraId="0A3A59A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服务节点会定时发送心跳信息，平台接收并展示所有接收到的心跳包信息，支持通过关键字对心跳包进行筛选和搜索。</w:t>
            </w:r>
          </w:p>
          <w:p w14:paraId="4C0474D6">
            <w:pPr>
              <w:snapToGrid w:val="0"/>
              <w:spacing w:line="240" w:lineRule="auto"/>
              <w:jc w:val="left"/>
              <w:rPr>
                <w:rFonts w:hint="eastAsia" w:ascii="微软雅黑" w:hAnsi="微软雅黑" w:eastAsia="微软雅黑" w:cs="微软雅黑"/>
                <w:color w:val="auto"/>
                <w:szCs w:val="21"/>
                <w:highlight w:val="none"/>
              </w:rPr>
            </w:pPr>
            <w:bookmarkStart w:id="127" w:name="_Toc18377"/>
            <w:r>
              <w:rPr>
                <w:rFonts w:hint="eastAsia" w:ascii="微软雅黑" w:hAnsi="微软雅黑" w:eastAsia="微软雅黑" w:cs="微软雅黑"/>
                <w:color w:val="auto"/>
                <w:szCs w:val="21"/>
                <w:highlight w:val="none"/>
              </w:rPr>
              <w:t>▲1.3.6.接入管理</w:t>
            </w:r>
            <w:bookmarkEnd w:id="127"/>
          </w:p>
          <w:p w14:paraId="42712D15">
            <w:pPr>
              <w:snapToGrid w:val="0"/>
              <w:spacing w:line="240" w:lineRule="auto"/>
              <w:jc w:val="left"/>
              <w:rPr>
                <w:rFonts w:ascii="微软雅黑" w:hAnsi="微软雅黑" w:eastAsia="微软雅黑" w:cs="微软雅黑"/>
                <w:color w:val="auto"/>
                <w:szCs w:val="21"/>
                <w:highlight w:val="none"/>
              </w:rPr>
            </w:pPr>
            <w:bookmarkStart w:id="128" w:name="_Toc32359"/>
            <w:r>
              <w:rPr>
                <w:rFonts w:hint="eastAsia" w:ascii="微软雅黑" w:hAnsi="微软雅黑" w:eastAsia="微软雅黑" w:cs="微软雅黑"/>
                <w:color w:val="auto"/>
                <w:szCs w:val="21"/>
                <w:highlight w:val="none"/>
              </w:rPr>
              <w:t>统一管理平台的接入方信息，建立并维护接入开发商和接入系统的对应关系，便于追踪服务的来源和去向。</w:t>
            </w:r>
            <w:bookmarkEnd w:id="128"/>
          </w:p>
          <w:p w14:paraId="0977D4A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1.3.6.</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开发商管理</w:t>
            </w:r>
          </w:p>
          <w:p w14:paraId="6E88FF5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用于管理各系统开发商的基本信息，包括开发商的注册、修改、删除、详情查看和查询。</w:t>
            </w:r>
          </w:p>
          <w:p w14:paraId="2DC9804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1.3.6.</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接入系统管理</w:t>
            </w:r>
          </w:p>
          <w:p w14:paraId="092FA59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针对接入至平台的信息系统的管理，包括系统的注册、修改、删除、详情查看和查询。</w:t>
            </w:r>
          </w:p>
          <w:p w14:paraId="68C74A1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1.3.6.</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公安数据接入</w:t>
            </w:r>
          </w:p>
          <w:p w14:paraId="4E37B21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实现公安数据（4</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项）接入本系统平台。</w:t>
            </w:r>
          </w:p>
          <w:p w14:paraId="43D3D43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1.3.6.</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与各政府部门数据接入</w:t>
            </w:r>
          </w:p>
          <w:p w14:paraId="0BBFE0B3">
            <w:pPr>
              <w:snapToGrid w:val="0"/>
              <w:spacing w:line="240" w:lineRule="auto"/>
              <w:jc w:val="left"/>
              <w:rPr>
                <w:rFonts w:hint="eastAsia"/>
                <w:color w:val="auto"/>
                <w:highlight w:val="none"/>
              </w:rPr>
            </w:pPr>
            <w:r>
              <w:rPr>
                <w:rFonts w:hint="eastAsia" w:ascii="微软雅黑" w:hAnsi="微软雅黑" w:eastAsia="微软雅黑" w:cs="微软雅黑"/>
                <w:color w:val="auto"/>
                <w:szCs w:val="21"/>
                <w:highlight w:val="none"/>
              </w:rPr>
              <w:t>实现各政府部门数据（5</w:t>
            </w:r>
            <w:r>
              <w:rPr>
                <w:rFonts w:ascii="微软雅黑" w:hAnsi="微软雅黑" w:eastAsia="微软雅黑" w:cs="微软雅黑"/>
                <w:color w:val="auto"/>
                <w:szCs w:val="21"/>
                <w:highlight w:val="none"/>
              </w:rPr>
              <w:t>0</w:t>
            </w:r>
            <w:r>
              <w:rPr>
                <w:rFonts w:hint="eastAsia" w:ascii="微软雅黑" w:hAnsi="微软雅黑" w:eastAsia="微软雅黑" w:cs="微软雅黑"/>
                <w:color w:val="auto"/>
                <w:szCs w:val="21"/>
                <w:highlight w:val="none"/>
              </w:rPr>
              <w:t>项）接入本系统平台。</w:t>
            </w:r>
          </w:p>
          <w:p w14:paraId="4AEA9B9D">
            <w:pPr>
              <w:snapToGrid w:val="0"/>
              <w:spacing w:line="240" w:lineRule="auto"/>
              <w:jc w:val="left"/>
              <w:rPr>
                <w:rFonts w:hint="eastAsia" w:ascii="微软雅黑" w:hAnsi="微软雅黑" w:eastAsia="微软雅黑" w:cs="微软雅黑"/>
                <w:color w:val="auto"/>
                <w:szCs w:val="21"/>
                <w:highlight w:val="none"/>
              </w:rPr>
            </w:pPr>
            <w:bookmarkStart w:id="129" w:name="_Toc2793"/>
            <w:r>
              <w:rPr>
                <w:rFonts w:hint="eastAsia" w:ascii="微软雅黑" w:hAnsi="微软雅黑" w:eastAsia="微软雅黑" w:cs="微软雅黑"/>
                <w:color w:val="auto"/>
                <w:szCs w:val="21"/>
                <w:highlight w:val="none"/>
              </w:rPr>
              <w:t>1.3.7.负载均衡</w:t>
            </w:r>
            <w:bookmarkEnd w:id="129"/>
          </w:p>
          <w:p w14:paraId="0939BFB2">
            <w:pPr>
              <w:snapToGrid w:val="0"/>
              <w:spacing w:line="240" w:lineRule="auto"/>
              <w:jc w:val="left"/>
              <w:rPr>
                <w:rFonts w:hint="eastAsia" w:ascii="微软雅黑" w:hAnsi="微软雅黑" w:eastAsia="微软雅黑" w:cs="微软雅黑"/>
                <w:color w:val="auto"/>
                <w:szCs w:val="21"/>
                <w:highlight w:val="none"/>
              </w:rPr>
            </w:pPr>
            <w:bookmarkStart w:id="130" w:name="_Toc7429"/>
            <w:r>
              <w:rPr>
                <w:rFonts w:hint="eastAsia" w:ascii="微软雅黑" w:hAnsi="微软雅黑" w:eastAsia="微软雅黑" w:cs="微软雅黑"/>
                <w:color w:val="auto"/>
                <w:szCs w:val="21"/>
                <w:highlight w:val="none"/>
              </w:rPr>
              <w:t>实现业务协同模块新增负载均衡功能，使多个节点或资源之间分担负载，使多个节点或资源之间分担负载，以实现系统的平衡和优化。负载均衡是指将请求分配到多个服务实例上，以达到平衡负载、提高可用性和性能的技术。在应用程序架构中，负载均衡器会根据一定的算法将流量分发到多个后端应用程序或服务器上，从而保证每个后端节点都能够承受适当的负载，同时提供更高的吞吐量和响应速度。</w:t>
            </w:r>
            <w:bookmarkEnd w:id="130"/>
          </w:p>
          <w:p w14:paraId="2888673B">
            <w:pPr>
              <w:snapToGrid w:val="0"/>
              <w:spacing w:line="240" w:lineRule="auto"/>
              <w:jc w:val="left"/>
              <w:rPr>
                <w:rFonts w:hint="eastAsia" w:ascii="微软雅黑" w:hAnsi="微软雅黑" w:eastAsia="微软雅黑" w:cs="微软雅黑"/>
                <w:color w:val="auto"/>
                <w:szCs w:val="21"/>
                <w:highlight w:val="none"/>
              </w:rPr>
            </w:pPr>
            <w:bookmarkStart w:id="131" w:name="_Toc9663"/>
            <w:r>
              <w:rPr>
                <w:rFonts w:hint="eastAsia" w:ascii="微软雅黑" w:hAnsi="微软雅黑" w:eastAsia="微软雅黑" w:cs="微软雅黑"/>
                <w:color w:val="auto"/>
                <w:szCs w:val="21"/>
                <w:highlight w:val="none"/>
              </w:rPr>
              <w:t>▲1.3.8.服务告警</w:t>
            </w:r>
            <w:bookmarkEnd w:id="131"/>
          </w:p>
          <w:p w14:paraId="1186E43F">
            <w:pPr>
              <w:snapToGrid w:val="0"/>
              <w:spacing w:line="240" w:lineRule="auto"/>
              <w:jc w:val="left"/>
              <w:rPr>
                <w:rFonts w:hint="eastAsia" w:ascii="微软雅黑" w:hAnsi="微软雅黑" w:eastAsia="微软雅黑" w:cs="微软雅黑"/>
                <w:color w:val="auto"/>
                <w:szCs w:val="21"/>
                <w:highlight w:val="none"/>
              </w:rPr>
            </w:pPr>
            <w:bookmarkStart w:id="132" w:name="_Toc23703"/>
            <w:r>
              <w:rPr>
                <w:rFonts w:hint="eastAsia" w:ascii="微软雅黑" w:hAnsi="微软雅黑" w:eastAsia="微软雅黑" w:cs="微软雅黑"/>
                <w:color w:val="auto"/>
                <w:szCs w:val="21"/>
                <w:highlight w:val="none"/>
              </w:rPr>
              <w:t>为服务的监听和告警策略提供统一的设定和管理入口，并通过事件管理和故障管理对告警事件进行捕获与管理，同时提供告警处理、告警报表和告警订阅，全面提升服务的监控效率和问题排查效率。</w:t>
            </w:r>
            <w:bookmarkEnd w:id="132"/>
          </w:p>
          <w:p w14:paraId="7809108B">
            <w:pPr>
              <w:snapToGrid w:val="0"/>
              <w:spacing w:line="240" w:lineRule="auto"/>
              <w:jc w:val="left"/>
              <w:rPr>
                <w:rFonts w:ascii="微软雅黑" w:hAnsi="微软雅黑" w:eastAsia="微软雅黑" w:cs="微软雅黑"/>
                <w:color w:val="auto"/>
                <w:szCs w:val="21"/>
                <w:highlight w:val="none"/>
              </w:rPr>
            </w:pPr>
            <w:bookmarkStart w:id="133" w:name="_Toc23145"/>
            <w:r>
              <w:rPr>
                <w:rFonts w:hint="eastAsia" w:ascii="微软雅黑" w:hAnsi="微软雅黑" w:eastAsia="微软雅黑" w:cs="微软雅黑"/>
                <w:color w:val="auto"/>
                <w:szCs w:val="21"/>
                <w:highlight w:val="none"/>
              </w:rPr>
              <w:t>1.3.8.</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告警定义</w:t>
            </w:r>
          </w:p>
          <w:p w14:paraId="55E1DC34">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用于定义告警事件的触发规则，可针对节点和服务分别设置不同的告警规则，系统根据告警规则进行监控、捕获和告警。</w:t>
            </w:r>
          </w:p>
          <w:p w14:paraId="24ADF41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1.3.8.</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告警信息</w:t>
            </w:r>
          </w:p>
          <w:p w14:paraId="7B9D89F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用于统一展示告警事件信息和处理告警事件。</w:t>
            </w:r>
          </w:p>
          <w:p w14:paraId="1D1EF67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1.3.8.</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告警报表</w:t>
            </w:r>
          </w:p>
          <w:p w14:paraId="0588D29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可按时间周期（如按天、按周、按月）、告警类型、处理方式等维度进行统计，生成告警信息的统计报表。支持直接打印报表和发送报表的邮件给干系人。</w:t>
            </w:r>
          </w:p>
          <w:p w14:paraId="6F3878B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1.3.8.</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告警订阅</w:t>
            </w:r>
          </w:p>
          <w:p w14:paraId="7F83072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可根据报表订阅的要求，定时以邮件的形式向用户发送订阅的报表信息。</w:t>
            </w:r>
          </w:p>
          <w:p w14:paraId="16F8927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1.3.9.服务质量</w:t>
            </w:r>
            <w:bookmarkEnd w:id="133"/>
          </w:p>
          <w:p w14:paraId="302C4DFD">
            <w:pPr>
              <w:snapToGrid w:val="0"/>
              <w:spacing w:line="240" w:lineRule="auto"/>
              <w:jc w:val="left"/>
              <w:rPr>
                <w:rFonts w:hint="eastAsia" w:ascii="微软雅黑" w:hAnsi="微软雅黑" w:eastAsia="微软雅黑" w:cs="微软雅黑"/>
                <w:color w:val="auto"/>
                <w:szCs w:val="21"/>
                <w:highlight w:val="none"/>
              </w:rPr>
            </w:pPr>
            <w:bookmarkStart w:id="134" w:name="_Toc31119"/>
            <w:r>
              <w:rPr>
                <w:rFonts w:hint="eastAsia" w:ascii="微软雅黑" w:hAnsi="微软雅黑" w:eastAsia="微软雅黑" w:cs="微软雅黑"/>
                <w:color w:val="auto"/>
                <w:szCs w:val="21"/>
                <w:highlight w:val="none"/>
              </w:rPr>
              <w:t>服务质量根据一定的评价标准来分析服务的质量，同时可根据不同维度的需求定义质量评估模型、生成相应的质量评估报告，便于用户及时发现问题并作出调整措施。</w:t>
            </w:r>
            <w:bookmarkEnd w:id="134"/>
          </w:p>
          <w:p w14:paraId="5A173C65">
            <w:pPr>
              <w:snapToGrid w:val="0"/>
              <w:spacing w:line="240" w:lineRule="auto"/>
              <w:jc w:val="left"/>
              <w:rPr>
                <w:rFonts w:hint="eastAsia" w:ascii="微软雅黑" w:hAnsi="微软雅黑" w:eastAsia="微软雅黑" w:cs="微软雅黑"/>
                <w:color w:val="auto"/>
                <w:szCs w:val="21"/>
                <w:highlight w:val="none"/>
              </w:rPr>
            </w:pPr>
            <w:bookmarkStart w:id="135" w:name="_Toc4924"/>
            <w:r>
              <w:rPr>
                <w:rFonts w:hint="eastAsia" w:ascii="微软雅黑" w:hAnsi="微软雅黑" w:eastAsia="微软雅黑" w:cs="微软雅黑"/>
                <w:color w:val="auto"/>
                <w:szCs w:val="21"/>
                <w:highlight w:val="none"/>
              </w:rPr>
              <w:t>1.3.10.服务安全</w:t>
            </w:r>
            <w:bookmarkEnd w:id="135"/>
          </w:p>
          <w:p w14:paraId="7A63A141">
            <w:pPr>
              <w:snapToGrid w:val="0"/>
              <w:spacing w:line="240" w:lineRule="auto"/>
              <w:jc w:val="left"/>
              <w:rPr>
                <w:rFonts w:hint="eastAsia" w:ascii="微软雅黑" w:hAnsi="微软雅黑" w:eastAsia="微软雅黑" w:cs="微软雅黑"/>
                <w:color w:val="auto"/>
                <w:szCs w:val="21"/>
                <w:highlight w:val="none"/>
              </w:rPr>
            </w:pPr>
            <w:bookmarkStart w:id="136" w:name="_Toc24074"/>
            <w:r>
              <w:rPr>
                <w:rFonts w:hint="eastAsia" w:ascii="微软雅黑" w:hAnsi="微软雅黑" w:eastAsia="微软雅黑" w:cs="微软雅黑"/>
                <w:color w:val="auto"/>
                <w:szCs w:val="21"/>
                <w:highlight w:val="none"/>
              </w:rPr>
              <w:t>数据共享的安全性需要全方位进行考虑，为保障服务内部互联、对外开放的信息安全，提供多种安全策略。</w:t>
            </w:r>
            <w:bookmarkEnd w:id="136"/>
          </w:p>
          <w:p w14:paraId="184C5777">
            <w:pPr>
              <w:snapToGrid w:val="0"/>
              <w:spacing w:line="240" w:lineRule="auto"/>
              <w:jc w:val="left"/>
              <w:rPr>
                <w:rFonts w:ascii="微软雅黑" w:hAnsi="微软雅黑" w:eastAsia="微软雅黑" w:cs="微软雅黑"/>
                <w:color w:val="auto"/>
                <w:szCs w:val="21"/>
                <w:highlight w:val="none"/>
              </w:rPr>
            </w:pPr>
            <w:bookmarkStart w:id="137" w:name="_Toc32395"/>
            <w:r>
              <w:rPr>
                <w:rFonts w:hint="eastAsia" w:ascii="微软雅黑" w:hAnsi="微软雅黑" w:eastAsia="微软雅黑" w:cs="微软雅黑"/>
                <w:color w:val="auto"/>
                <w:szCs w:val="21"/>
                <w:highlight w:val="none"/>
              </w:rPr>
              <w:t>1.3.10.1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服务安全访问控制</w:t>
            </w:r>
          </w:p>
          <w:p w14:paraId="555D2B1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用于服务安全访问，包括AK（AccesKey）和SK（SecretKey）秘钥访问、OAuth认证访问及IP白名单控制访问。</w:t>
            </w:r>
          </w:p>
          <w:p w14:paraId="36F9265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1.3.10.2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服务授权访问控制</w:t>
            </w:r>
          </w:p>
          <w:p w14:paraId="4490154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用于服务授权访问，即可按需选择服务是否需要授权访问。</w:t>
            </w:r>
          </w:p>
          <w:p w14:paraId="597665A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1.3.10.3.服务限时开放控制</w:t>
            </w:r>
          </w:p>
          <w:p w14:paraId="3B4F42D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用于服务限时开放策略的实施，限制服务仅在某一时间内对外开放，允许调用。</w:t>
            </w:r>
          </w:p>
          <w:p w14:paraId="0E09B5B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1.3.10.4</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服务限流开放控制</w:t>
            </w:r>
          </w:p>
          <w:p w14:paraId="3536A2B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用于服务限流开放策略的实施，可设置服务本身的最高请求频率，也可设置服务订阅者调用服务的最高请求频率。</w:t>
            </w:r>
          </w:p>
          <w:p w14:paraId="48C4ADA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▲1.3.11.统计分析</w:t>
            </w:r>
            <w:bookmarkEnd w:id="137"/>
          </w:p>
          <w:p w14:paraId="37E47B42">
            <w:pPr>
              <w:snapToGrid w:val="0"/>
              <w:spacing w:line="240" w:lineRule="auto"/>
              <w:jc w:val="left"/>
              <w:rPr>
                <w:rFonts w:ascii="微软雅黑" w:hAnsi="微软雅黑" w:eastAsia="微软雅黑" w:cs="微软雅黑"/>
                <w:color w:val="auto"/>
                <w:szCs w:val="21"/>
                <w:highlight w:val="none"/>
              </w:rPr>
            </w:pPr>
            <w:bookmarkStart w:id="138" w:name="_Toc249"/>
            <w:r>
              <w:rPr>
                <w:rFonts w:hint="eastAsia" w:ascii="微软雅黑" w:hAnsi="微软雅黑" w:eastAsia="微软雅黑" w:cs="微软雅黑"/>
                <w:color w:val="auto"/>
                <w:szCs w:val="21"/>
                <w:highlight w:val="none"/>
              </w:rPr>
              <w:t>统计分析是系统支撑起数据共享业务可视化特性的关键功能。对于服务的应用情况，系统提供统计分析视图，便于用户更好地掌握数据共享情况。</w:t>
            </w:r>
            <w:bookmarkEnd w:id="138"/>
          </w:p>
          <w:p w14:paraId="76CA071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1.3.11.</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服务统计</w:t>
            </w:r>
          </w:p>
          <w:p w14:paraId="4DB2A6C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可根据不同的统计维度统计，包括服务资源统计、日志资源统计和资源请求与访问统计。</w:t>
            </w:r>
          </w:p>
          <w:p w14:paraId="0AD2077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数据集成统计</w:t>
            </w:r>
          </w:p>
          <w:p w14:paraId="4BE0930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集成统计包括集成数据资源情况统计、集群数据资源各分片情况统计、集群执行速度统计、作业流量Top5统计、历史集群流量统计、当前作业状态统计、每小时作业情况统计、历史作业排队情况统计、集群CPU使用率统计、集群内存使用率统计和集群存储使用情况统计。</w:t>
            </w:r>
          </w:p>
          <w:p w14:paraId="129D478E">
            <w:pPr>
              <w:snapToGrid w:val="0"/>
              <w:spacing w:line="240" w:lineRule="auto"/>
              <w:jc w:val="left"/>
              <w:rPr>
                <w:rFonts w:hint="eastAsia" w:ascii="微软雅黑" w:hAnsi="微软雅黑" w:eastAsia="微软雅黑" w:cs="微软雅黑"/>
                <w:color w:val="auto"/>
                <w:szCs w:val="21"/>
                <w:highlight w:val="none"/>
              </w:rPr>
            </w:pPr>
            <w:bookmarkStart w:id="139" w:name="_Toc22985"/>
            <w:r>
              <w:rPr>
                <w:rFonts w:hint="eastAsia" w:ascii="微软雅黑" w:hAnsi="微软雅黑" w:eastAsia="微软雅黑" w:cs="微软雅黑"/>
                <w:color w:val="auto"/>
                <w:szCs w:val="21"/>
                <w:highlight w:val="none"/>
              </w:rPr>
              <w:t>▲1.3.12.服务测试</w:t>
            </w:r>
            <w:bookmarkEnd w:id="139"/>
          </w:p>
          <w:p w14:paraId="6922D0E3">
            <w:pPr>
              <w:snapToGrid w:val="0"/>
              <w:spacing w:line="240" w:lineRule="auto"/>
              <w:jc w:val="left"/>
              <w:rPr>
                <w:rFonts w:hint="eastAsia" w:ascii="微软雅黑" w:hAnsi="微软雅黑" w:eastAsia="微软雅黑" w:cs="微软雅黑"/>
                <w:color w:val="auto"/>
                <w:szCs w:val="21"/>
                <w:highlight w:val="none"/>
              </w:rPr>
            </w:pPr>
            <w:bookmarkStart w:id="140" w:name="_Toc19261"/>
            <w:r>
              <w:rPr>
                <w:rFonts w:hint="eastAsia" w:ascii="微软雅黑" w:hAnsi="微软雅黑" w:eastAsia="微软雅黑" w:cs="微软雅黑"/>
                <w:color w:val="auto"/>
                <w:szCs w:val="21"/>
                <w:highlight w:val="none"/>
              </w:rPr>
              <w:t>服务测试针对已发布的服务进行测试，系统根据输入的服务参数，返回服务的具体情况，便于管理员掌握服务的连通状态和服务在共享中的实时状态。</w:t>
            </w:r>
            <w:bookmarkEnd w:id="140"/>
          </w:p>
          <w:p w14:paraId="5E004896">
            <w:pPr>
              <w:snapToGrid w:val="0"/>
              <w:spacing w:line="240" w:lineRule="auto"/>
              <w:jc w:val="left"/>
              <w:rPr>
                <w:rFonts w:ascii="微软雅黑" w:hAnsi="微软雅黑" w:eastAsia="微软雅黑" w:cs="微软雅黑"/>
                <w:color w:val="auto"/>
                <w:szCs w:val="21"/>
                <w:highlight w:val="none"/>
              </w:rPr>
            </w:pPr>
            <w:bookmarkStart w:id="141" w:name="_Toc28325"/>
            <w:r>
              <w:rPr>
                <w:rFonts w:hint="eastAsia" w:ascii="微软雅黑" w:hAnsi="微软雅黑" w:eastAsia="微软雅黑" w:cs="微软雅黑"/>
                <w:color w:val="auto"/>
                <w:szCs w:val="21"/>
                <w:highlight w:val="none"/>
              </w:rPr>
              <w:t>1.3.12.1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服务测试</w:t>
            </w:r>
          </w:p>
          <w:p w14:paraId="128716D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用于模拟服务被调用的结果测试，能够模拟不需要鉴权的服务调用及需要AK/SK凭证鉴权或需要OAuth认证鉴权的服务调用。</w:t>
            </w:r>
          </w:p>
          <w:p w14:paraId="6C8850E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1.3.12.2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获取AT测试</w:t>
            </w:r>
          </w:p>
          <w:p w14:paraId="65D62BE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用于模拟OAuth认证鉴权时获取AT的结果测试，通过输入相关参数信息，即可返回此次获取的AT凭证及有效时间。</w:t>
            </w:r>
            <w:bookmarkEnd w:id="141"/>
          </w:p>
          <w:p w14:paraId="51026E12">
            <w:pPr>
              <w:snapToGrid w:val="0"/>
              <w:spacing w:line="240" w:lineRule="auto"/>
              <w:jc w:val="left"/>
              <w:rPr>
                <w:rFonts w:hint="eastAsia" w:ascii="微软雅黑" w:hAnsi="微软雅黑" w:eastAsia="微软雅黑" w:cs="微软雅黑"/>
                <w:color w:val="auto"/>
                <w:szCs w:val="21"/>
                <w:highlight w:val="none"/>
              </w:rPr>
            </w:pPr>
            <w:bookmarkStart w:id="142" w:name="_Toc31819"/>
            <w:r>
              <w:rPr>
                <w:rFonts w:hint="eastAsia" w:ascii="微软雅黑" w:hAnsi="微软雅黑" w:eastAsia="微软雅黑" w:cs="微软雅黑"/>
                <w:color w:val="auto"/>
                <w:szCs w:val="21"/>
                <w:highlight w:val="none"/>
              </w:rPr>
              <w:t>1.4.信息交换模块</w:t>
            </w:r>
            <w:bookmarkEnd w:id="142"/>
          </w:p>
          <w:p w14:paraId="1242646A">
            <w:pPr>
              <w:snapToGrid w:val="0"/>
              <w:spacing w:line="240" w:lineRule="auto"/>
              <w:jc w:val="left"/>
              <w:rPr>
                <w:rFonts w:hint="eastAsia" w:ascii="微软雅黑" w:hAnsi="微软雅黑" w:eastAsia="微软雅黑" w:cs="微软雅黑"/>
                <w:color w:val="auto"/>
                <w:szCs w:val="21"/>
                <w:highlight w:val="none"/>
              </w:rPr>
            </w:pPr>
            <w:bookmarkStart w:id="143" w:name="_Toc13368"/>
            <w:r>
              <w:rPr>
                <w:rFonts w:hint="eastAsia" w:ascii="微软雅黑" w:hAnsi="微软雅黑" w:eastAsia="微软雅黑" w:cs="微软雅黑"/>
                <w:color w:val="auto"/>
                <w:szCs w:val="21"/>
                <w:highlight w:val="none"/>
              </w:rPr>
              <w:t>改造现有信息交换模块功能，实现共享专网与公安网之间通过安全边界进行信息交换，以库表、文件、接口方式提供数据的批量交换。</w:t>
            </w:r>
            <w:bookmarkEnd w:id="143"/>
          </w:p>
          <w:p w14:paraId="773E539F">
            <w:pPr>
              <w:snapToGrid w:val="0"/>
              <w:spacing w:line="240" w:lineRule="auto"/>
              <w:jc w:val="left"/>
              <w:rPr>
                <w:rFonts w:hint="eastAsia" w:ascii="微软雅黑" w:hAnsi="微软雅黑" w:eastAsia="微软雅黑" w:cs="微软雅黑"/>
                <w:color w:val="auto"/>
                <w:szCs w:val="21"/>
                <w:highlight w:val="none"/>
              </w:rPr>
            </w:pPr>
            <w:bookmarkStart w:id="144" w:name="_Toc13605"/>
            <w:r>
              <w:rPr>
                <w:rFonts w:hint="eastAsia" w:ascii="微软雅黑" w:hAnsi="微软雅黑" w:eastAsia="微软雅黑" w:cs="微软雅黑"/>
                <w:color w:val="auto"/>
                <w:szCs w:val="21"/>
                <w:highlight w:val="none"/>
              </w:rPr>
              <w:t>在电子政务外网部署信息交换服务，通过交换任务配置、调度、监控管理功能模块，将外网各协同业务系统需要交换的库表、文件、接口数据保存为json文件，然后将文件调度到外网前置安全区，并通过内外网安全区服务，将json文件摆渡到公安内网前置安全区，公安内网部署的信息交换服务接收到json文件后，负责解析出业务请求，并转发至公安内网的业务中台或者其他业务系统处理。</w:t>
            </w:r>
            <w:bookmarkEnd w:id="144"/>
          </w:p>
          <w:p w14:paraId="2E23F558">
            <w:pPr>
              <w:snapToGrid w:val="0"/>
              <w:spacing w:line="240" w:lineRule="auto"/>
              <w:jc w:val="left"/>
              <w:rPr>
                <w:rFonts w:hint="eastAsia" w:ascii="微软雅黑" w:hAnsi="微软雅黑" w:eastAsia="微软雅黑" w:cs="微软雅黑"/>
                <w:color w:val="auto"/>
                <w:szCs w:val="21"/>
                <w:highlight w:val="none"/>
              </w:rPr>
            </w:pPr>
            <w:bookmarkStart w:id="145" w:name="_Toc10802"/>
            <w:r>
              <w:rPr>
                <w:rFonts w:hint="eastAsia" w:ascii="微软雅黑" w:hAnsi="微软雅黑" w:eastAsia="微软雅黑" w:cs="微软雅黑"/>
                <w:color w:val="auto"/>
                <w:szCs w:val="21"/>
                <w:highlight w:val="none"/>
              </w:rPr>
              <w:t>公安内网的业务中台或者其他业务系统向电子政务外网申请库表、文件、接口数据时，流程与上述外网至内网里程相反。</w:t>
            </w:r>
            <w:bookmarkEnd w:id="145"/>
          </w:p>
          <w:p w14:paraId="36ED11D2">
            <w:pPr>
              <w:snapToGrid w:val="0"/>
              <w:spacing w:line="240" w:lineRule="auto"/>
              <w:jc w:val="left"/>
              <w:rPr>
                <w:rFonts w:ascii="微软雅黑" w:hAnsi="微软雅黑" w:eastAsia="微软雅黑" w:cs="微软雅黑"/>
                <w:color w:val="auto"/>
                <w:szCs w:val="21"/>
                <w:highlight w:val="none"/>
              </w:rPr>
            </w:pPr>
            <w:bookmarkStart w:id="146" w:name="_Toc19902"/>
            <w:r>
              <w:rPr>
                <w:rFonts w:hint="eastAsia" w:ascii="微软雅黑" w:hAnsi="微软雅黑" w:eastAsia="微软雅黑" w:cs="微软雅黑"/>
                <w:color w:val="auto"/>
                <w:szCs w:val="21"/>
                <w:highlight w:val="none"/>
              </w:rPr>
              <w:t>1.4.1.前置区</w:t>
            </w:r>
            <w:bookmarkEnd w:id="146"/>
            <w:bookmarkStart w:id="147" w:name="_Toc23668"/>
          </w:p>
          <w:p w14:paraId="527CBCE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前置区需由前置库、前置文件服务器组成，用于存储业务协同平台与其他单位之间进行批量共享交换的数据。</w:t>
            </w:r>
            <w:bookmarkEnd w:id="147"/>
          </w:p>
          <w:p w14:paraId="44E6C5C2">
            <w:pPr>
              <w:snapToGrid w:val="0"/>
              <w:spacing w:line="240" w:lineRule="auto"/>
              <w:jc w:val="left"/>
              <w:rPr>
                <w:rFonts w:ascii="微软雅黑" w:hAnsi="微软雅黑" w:eastAsia="微软雅黑" w:cs="微软雅黑"/>
                <w:color w:val="auto"/>
                <w:szCs w:val="21"/>
                <w:highlight w:val="none"/>
              </w:rPr>
            </w:pPr>
            <w:bookmarkStart w:id="148" w:name="_Toc32753"/>
            <w:r>
              <w:rPr>
                <w:rFonts w:hint="eastAsia" w:ascii="微软雅黑" w:hAnsi="微软雅黑" w:eastAsia="微软雅黑" w:cs="微软雅黑"/>
                <w:color w:val="auto"/>
                <w:szCs w:val="21"/>
                <w:highlight w:val="none"/>
              </w:rPr>
              <w:t>1.4.1.1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数据库表数据交换</w:t>
            </w:r>
          </w:p>
          <w:p w14:paraId="3060500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实现对数据库的连接，并支持执行数据库查询语句，获取数据库表。</w:t>
            </w:r>
          </w:p>
          <w:p w14:paraId="52E4C03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1.4.1.2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文件资源数据交换</w:t>
            </w:r>
          </w:p>
          <w:p w14:paraId="050639F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实现对文件资源的搬运功能，支持断点续传，将文件资源从存储中通过网络进行搬运。实现文件资源在政务信息共享平台、业务协同总线、业务中台之间的流转交换。</w:t>
            </w:r>
          </w:p>
          <w:p w14:paraId="2A6C2B9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1.4.1.3</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接口服务数据交换</w:t>
            </w:r>
          </w:p>
          <w:p w14:paraId="4E84695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可根据业务协同管理的规则，对服务请求进行代理，包括发送和接收，实现政务信息共享平台、业务协同总线、业务中台请求数据的发送和接收。</w:t>
            </w:r>
          </w:p>
          <w:bookmarkEnd w:id="148"/>
          <w:p w14:paraId="431E83E3">
            <w:pPr>
              <w:snapToGrid w:val="0"/>
              <w:spacing w:line="240" w:lineRule="auto"/>
              <w:jc w:val="left"/>
              <w:rPr>
                <w:rFonts w:ascii="微软雅黑" w:hAnsi="微软雅黑" w:eastAsia="微软雅黑" w:cs="微软雅黑"/>
                <w:color w:val="auto"/>
                <w:szCs w:val="21"/>
                <w:highlight w:val="none"/>
              </w:rPr>
            </w:pPr>
            <w:bookmarkStart w:id="149" w:name="_Toc22437"/>
            <w:r>
              <w:rPr>
                <w:rFonts w:hint="eastAsia" w:ascii="微软雅黑" w:hAnsi="微软雅黑" w:eastAsia="微软雅黑" w:cs="微软雅黑"/>
                <w:color w:val="auto"/>
                <w:szCs w:val="21"/>
                <w:highlight w:val="none"/>
              </w:rPr>
              <w:t>1.4.</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.交换任务调度</w:t>
            </w:r>
            <w:bookmarkEnd w:id="149"/>
            <w:bookmarkStart w:id="150" w:name="_Toc8958"/>
          </w:p>
          <w:p w14:paraId="71317AC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按照数据规模、更新频率、内容特征数据属性特点，需分类实现不同场景下多元化数据抽取汇聚策略。</w:t>
            </w:r>
            <w:bookmarkEnd w:id="150"/>
          </w:p>
          <w:p w14:paraId="039BA1C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.数据抽取汇聚模式</w:t>
            </w:r>
          </w:p>
          <w:p w14:paraId="06380D4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实现各类转换程序和交换任务的灵活定制，方便用户对数据抽取汇聚任务的流程控制和动态处理。</w:t>
            </w:r>
          </w:p>
          <w:p w14:paraId="2F43580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.调度配置</w:t>
            </w:r>
          </w:p>
          <w:p w14:paraId="3800CED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实现按年、月、周、日、小时、分钟、秒定时调度，可选指定有效时间内调度。增量情况下支持实时调度，数据近秒级同步。</w:t>
            </w:r>
          </w:p>
          <w:p w14:paraId="0B3BDAC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.3.数据分流配置</w:t>
            </w:r>
          </w:p>
          <w:p w14:paraId="1727E39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实现对某个字符进行判断分流，例如性别为男的到某个库、性别为女的到另一个库，实现数据判断分流。</w:t>
            </w:r>
          </w:p>
          <w:p w14:paraId="3B6AFA0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.4.3</w:t>
            </w:r>
            <w:r>
              <w:rPr>
                <w:rFonts w:hint="eastAsia" w:ascii="微软雅黑" w:hAnsi="微软雅黑" w:eastAsia="微软雅黑" w:cs="微软雅黑"/>
                <w:color w:val="auto"/>
                <w:szCs w:val="21"/>
                <w:highlight w:val="none"/>
              </w:rPr>
              <w:t>监控管理</w:t>
            </w:r>
          </w:p>
          <w:p w14:paraId="3F04947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需提供面向工具自身及所开发配置数据传输任务的监测器，监控调度节点运行状态及任务调度情况，监控执行节点运行状态及传输任务执行情况。包括</w:t>
            </w:r>
            <w:bookmarkStart w:id="151" w:name="_Toc31960"/>
            <w:r>
              <w:rPr>
                <w:rFonts w:hint="eastAsia" w:ascii="微软雅黑" w:hAnsi="微软雅黑" w:eastAsia="微软雅黑" w:cs="微软雅黑"/>
                <w:color w:val="auto"/>
                <w:szCs w:val="21"/>
                <w:highlight w:val="none"/>
              </w:rPr>
              <w:t>监控管理、采集监控数据和报警提醒。</w:t>
            </w:r>
          </w:p>
          <w:p w14:paraId="74C6F50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1.5.数据服务模块</w:t>
            </w:r>
            <w:bookmarkEnd w:id="151"/>
          </w:p>
          <w:p w14:paraId="78528ACE">
            <w:pPr>
              <w:snapToGrid w:val="0"/>
              <w:spacing w:line="240" w:lineRule="auto"/>
              <w:jc w:val="left"/>
              <w:rPr>
                <w:rFonts w:hint="eastAsia" w:ascii="微软雅黑" w:hAnsi="微软雅黑" w:eastAsia="微软雅黑" w:cs="微软雅黑"/>
                <w:color w:val="auto"/>
                <w:szCs w:val="21"/>
                <w:highlight w:val="none"/>
              </w:rPr>
            </w:pPr>
            <w:bookmarkStart w:id="152" w:name="_Toc21385"/>
            <w:r>
              <w:rPr>
                <w:rFonts w:hint="eastAsia" w:ascii="微软雅黑" w:hAnsi="微软雅黑" w:eastAsia="微软雅黑" w:cs="微软雅黑"/>
                <w:color w:val="auto"/>
                <w:szCs w:val="21"/>
                <w:highlight w:val="none"/>
              </w:rPr>
              <w:t>在共享专网中改造现有数据服务模块，实现在共享专网构建基本的数据服务功能，提供给广西政务信息共享开放平台进行调用，满足各政府单位获取公安数据服务的需求。</w:t>
            </w:r>
            <w:bookmarkEnd w:id="152"/>
          </w:p>
          <w:p w14:paraId="2BBB1B4F">
            <w:pPr>
              <w:snapToGrid w:val="0"/>
              <w:spacing w:line="240" w:lineRule="auto"/>
              <w:jc w:val="left"/>
              <w:rPr>
                <w:rFonts w:hint="eastAsia" w:ascii="微软雅黑" w:hAnsi="微软雅黑" w:eastAsia="微软雅黑" w:cs="微软雅黑"/>
                <w:color w:val="auto"/>
                <w:szCs w:val="21"/>
                <w:highlight w:val="none"/>
              </w:rPr>
            </w:pPr>
            <w:bookmarkStart w:id="153" w:name="_Toc6887"/>
            <w:r>
              <w:rPr>
                <w:rFonts w:hint="eastAsia" w:ascii="微软雅黑" w:hAnsi="微软雅黑" w:eastAsia="微软雅黑" w:cs="微软雅黑"/>
                <w:color w:val="auto"/>
                <w:szCs w:val="21"/>
                <w:highlight w:val="none"/>
              </w:rPr>
              <w:t>▲1.5.1.查询检索</w:t>
            </w:r>
            <w:bookmarkEnd w:id="153"/>
          </w:p>
          <w:p w14:paraId="35A9B0DA">
            <w:pPr>
              <w:snapToGrid w:val="0"/>
              <w:spacing w:line="240" w:lineRule="auto"/>
              <w:jc w:val="left"/>
              <w:rPr>
                <w:rFonts w:ascii="微软雅黑" w:hAnsi="微软雅黑" w:eastAsia="微软雅黑" w:cs="微软雅黑"/>
                <w:color w:val="auto"/>
                <w:szCs w:val="21"/>
                <w:highlight w:val="none"/>
              </w:rPr>
            </w:pPr>
            <w:bookmarkStart w:id="154" w:name="_Toc14107"/>
            <w:r>
              <w:rPr>
                <w:rFonts w:hint="eastAsia" w:ascii="微软雅黑" w:hAnsi="微软雅黑" w:eastAsia="微软雅黑" w:cs="微软雅黑"/>
                <w:color w:val="auto"/>
                <w:szCs w:val="21"/>
                <w:highlight w:val="none"/>
              </w:rPr>
              <w:t>1.5.1.1.查询检索</w:t>
            </w:r>
          </w:p>
          <w:p w14:paraId="4D06272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询检索类服务数据资源情况的查询检索接口、以及各类结构化和非结构化数据的查询检索接口，支持精确/模糊、分类、组合、批量多种查询方式，支持返回数据统计汇总信息、判定查询关键词（实体）是否命中（存在）的信息，以及数据摘要或明细信息。</w:t>
            </w:r>
          </w:p>
          <w:p w14:paraId="4B868A4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.查询检索服务（公安侧）</w:t>
            </w:r>
          </w:p>
          <w:p w14:paraId="1DCA161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提供公安侧资源的查询检索服务，包括9</w:t>
            </w:r>
            <w:r>
              <w:rPr>
                <w:rFonts w:ascii="微软雅黑" w:hAnsi="微软雅黑" w:eastAsia="微软雅黑" w:cs="微软雅黑"/>
                <w:color w:val="auto"/>
                <w:szCs w:val="21"/>
                <w:highlight w:val="none"/>
              </w:rPr>
              <w:t>6</w:t>
            </w:r>
            <w:r>
              <w:rPr>
                <w:rFonts w:hint="eastAsia" w:ascii="微软雅黑" w:hAnsi="微软雅黑" w:eastAsia="微软雅黑" w:cs="微软雅黑"/>
                <w:color w:val="auto"/>
                <w:szCs w:val="21"/>
                <w:highlight w:val="none"/>
              </w:rPr>
              <w:t>类资源。</w:t>
            </w:r>
          </w:p>
          <w:p w14:paraId="6CA5AE2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1.5.1.</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.查询检索服务（政府侧）</w:t>
            </w:r>
          </w:p>
          <w:p w14:paraId="32FC618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提供政府侧资源的查询检索服务，包括</w:t>
            </w:r>
            <w:r>
              <w:rPr>
                <w:rFonts w:ascii="微软雅黑" w:hAnsi="微软雅黑" w:eastAsia="微软雅黑" w:cs="微软雅黑"/>
                <w:color w:val="auto"/>
                <w:szCs w:val="21"/>
                <w:highlight w:val="none"/>
              </w:rPr>
              <w:t>81</w:t>
            </w:r>
            <w:r>
              <w:rPr>
                <w:rFonts w:hint="eastAsia" w:ascii="微软雅黑" w:hAnsi="微软雅黑" w:eastAsia="微软雅黑" w:cs="微软雅黑"/>
                <w:color w:val="auto"/>
                <w:szCs w:val="21"/>
                <w:highlight w:val="none"/>
              </w:rPr>
              <w:t>类资源。</w:t>
            </w:r>
          </w:p>
          <w:p w14:paraId="335AE8E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▲1.5.2.比对订阅</w:t>
            </w:r>
            <w:bookmarkEnd w:id="154"/>
          </w:p>
          <w:p w14:paraId="62F73C30">
            <w:pPr>
              <w:snapToGrid w:val="0"/>
              <w:spacing w:line="240" w:lineRule="auto"/>
              <w:jc w:val="left"/>
              <w:rPr>
                <w:rFonts w:ascii="微软雅黑" w:hAnsi="微软雅黑" w:eastAsia="微软雅黑" w:cs="微软雅黑"/>
                <w:color w:val="auto"/>
                <w:szCs w:val="21"/>
                <w:highlight w:val="none"/>
              </w:rPr>
            </w:pPr>
            <w:bookmarkStart w:id="155" w:name="_Toc6358"/>
            <w:r>
              <w:rPr>
                <w:rFonts w:hint="eastAsia" w:ascii="微软雅黑" w:hAnsi="微软雅黑" w:eastAsia="微软雅黑" w:cs="微软雅黑"/>
                <w:color w:val="auto"/>
                <w:szCs w:val="21"/>
                <w:highlight w:val="none"/>
              </w:rPr>
              <w:t>1.5.2.1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比对订阅规则</w:t>
            </w:r>
          </w:p>
          <w:p w14:paraId="406D7BF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根据输入的比对条件或预先设定好的规则，对结构化数据进行比对，在比中时将比对结果推送到指定位置存储。</w:t>
            </w:r>
          </w:p>
          <w:p w14:paraId="046BEE4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比对订阅服务</w:t>
            </w:r>
          </w:p>
          <w:p w14:paraId="2243E41B">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比对订阅服务能够在实时接入的海量数据中，快速定位业务关注的数据，为各业务系统提供统一标准的信息比对订阅服务接口，满足各业务系统的比对订阅需求。</w:t>
            </w:r>
          </w:p>
          <w:p w14:paraId="2BF8EF8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比对线索管理</w:t>
            </w:r>
          </w:p>
          <w:p w14:paraId="70EC555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实现本地线索的统一接收、统一处理、统一协调比对订阅，同时提供可视化操作界面。</w:t>
            </w:r>
          </w:p>
          <w:p w14:paraId="209536C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比对结果</w:t>
            </w:r>
          </w:p>
          <w:p w14:paraId="6B7863C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实现实时或定期返回比对结果信息，可对比对结果信息进行查询。</w:t>
            </w:r>
          </w:p>
          <w:p w14:paraId="3CA703E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w:t>
            </w:r>
            <w:r>
              <w:rPr>
                <w:rFonts w:ascii="微软雅黑" w:hAnsi="微软雅黑" w:eastAsia="微软雅黑" w:cs="微软雅黑"/>
                <w:color w:val="auto"/>
                <w:szCs w:val="21"/>
                <w:highlight w:val="none"/>
              </w:rPr>
              <w:t>5.</w:t>
            </w:r>
            <w:r>
              <w:rPr>
                <w:rFonts w:hint="eastAsia" w:ascii="微软雅黑" w:hAnsi="微软雅黑" w:eastAsia="微软雅黑" w:cs="微软雅黑"/>
                <w:color w:val="auto"/>
                <w:szCs w:val="21"/>
                <w:highlight w:val="none"/>
              </w:rPr>
              <w:t>比对服务</w:t>
            </w:r>
          </w:p>
          <w:p w14:paraId="549CBD2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提供比对服务。</w:t>
            </w:r>
          </w:p>
          <w:p w14:paraId="6F36E4B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▲1.5.3.信息核验</w:t>
            </w:r>
            <w:bookmarkEnd w:id="155"/>
          </w:p>
          <w:p w14:paraId="35CB0194">
            <w:pPr>
              <w:snapToGrid w:val="0"/>
              <w:spacing w:line="240" w:lineRule="auto"/>
              <w:jc w:val="left"/>
              <w:rPr>
                <w:rFonts w:hint="eastAsia" w:ascii="微软雅黑" w:hAnsi="微软雅黑" w:eastAsia="微软雅黑" w:cs="微软雅黑"/>
                <w:color w:val="auto"/>
                <w:szCs w:val="21"/>
                <w:highlight w:val="none"/>
              </w:rPr>
            </w:pPr>
            <w:bookmarkStart w:id="156" w:name="_Toc21282"/>
            <w:r>
              <w:rPr>
                <w:rFonts w:hint="eastAsia" w:ascii="微软雅黑" w:hAnsi="微软雅黑" w:eastAsia="微软雅黑" w:cs="微软雅黑"/>
                <w:color w:val="auto"/>
                <w:szCs w:val="21"/>
                <w:highlight w:val="none"/>
              </w:rPr>
              <w:t>1.5.3.1.信息核验</w:t>
            </w:r>
            <w:bookmarkEnd w:id="156"/>
          </w:p>
          <w:p w14:paraId="0B339CB7">
            <w:pPr>
              <w:snapToGrid w:val="0"/>
              <w:spacing w:line="240" w:lineRule="auto"/>
              <w:jc w:val="left"/>
              <w:rPr>
                <w:rFonts w:ascii="微软雅黑" w:hAnsi="微软雅黑" w:eastAsia="微软雅黑" w:cs="微软雅黑"/>
                <w:color w:val="auto"/>
                <w:szCs w:val="21"/>
                <w:highlight w:val="none"/>
              </w:rPr>
            </w:pPr>
            <w:bookmarkStart w:id="157" w:name="_Toc19764"/>
            <w:r>
              <w:rPr>
                <w:rFonts w:hint="eastAsia" w:ascii="微软雅黑" w:hAnsi="微软雅黑" w:eastAsia="微软雅黑" w:cs="微软雅黑"/>
                <w:color w:val="auto"/>
                <w:szCs w:val="21"/>
                <w:highlight w:val="none"/>
              </w:rPr>
              <w:t>以两个或两个以上条件执行信息核验服务，反馈多条件核验结果，主要包括身份核验和违法犯罪核验。</w:t>
            </w:r>
          </w:p>
          <w:p w14:paraId="1D15F4A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1.5.3.2</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信息核验服务</w:t>
            </w:r>
          </w:p>
          <w:p w14:paraId="5166BE07">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提供信息核验服务。</w:t>
            </w:r>
          </w:p>
          <w:bookmarkEnd w:id="157"/>
          <w:p w14:paraId="7437EB22">
            <w:pPr>
              <w:snapToGrid w:val="0"/>
              <w:spacing w:line="240" w:lineRule="auto"/>
              <w:jc w:val="left"/>
              <w:rPr>
                <w:rFonts w:hint="eastAsia" w:ascii="微软雅黑" w:hAnsi="微软雅黑" w:eastAsia="微软雅黑" w:cs="微软雅黑"/>
                <w:color w:val="auto"/>
                <w:szCs w:val="21"/>
                <w:highlight w:val="none"/>
              </w:rPr>
            </w:pPr>
            <w:bookmarkStart w:id="158" w:name="_Toc20136"/>
            <w:r>
              <w:rPr>
                <w:rFonts w:hint="eastAsia" w:ascii="微软雅黑" w:hAnsi="微软雅黑" w:eastAsia="微软雅黑" w:cs="微软雅黑"/>
                <w:color w:val="auto"/>
                <w:szCs w:val="21"/>
                <w:highlight w:val="none"/>
              </w:rPr>
              <w:t>1.6.与公共支撑能力对接</w:t>
            </w:r>
            <w:bookmarkEnd w:id="158"/>
            <w:r>
              <w:rPr>
                <w:rFonts w:hint="eastAsia" w:ascii="微软雅黑" w:hAnsi="微软雅黑" w:eastAsia="微软雅黑" w:cs="微软雅黑"/>
                <w:color w:val="auto"/>
                <w:szCs w:val="21"/>
                <w:highlight w:val="none"/>
              </w:rPr>
              <w:t xml:space="preserve"> </w:t>
            </w:r>
          </w:p>
          <w:p w14:paraId="7C3F898B">
            <w:pPr>
              <w:snapToGrid w:val="0"/>
              <w:spacing w:line="240" w:lineRule="auto"/>
              <w:jc w:val="left"/>
              <w:rPr>
                <w:rFonts w:hint="eastAsia" w:ascii="微软雅黑" w:hAnsi="微软雅黑" w:eastAsia="微软雅黑" w:cs="微软雅黑"/>
                <w:color w:val="auto"/>
                <w:szCs w:val="21"/>
                <w:highlight w:val="none"/>
              </w:rPr>
            </w:pPr>
            <w:bookmarkStart w:id="159" w:name="_Toc2600"/>
            <w:r>
              <w:rPr>
                <w:rFonts w:hint="eastAsia" w:ascii="微软雅黑" w:hAnsi="微软雅黑" w:eastAsia="微软雅黑" w:cs="微软雅黑"/>
                <w:color w:val="auto"/>
                <w:szCs w:val="21"/>
                <w:highlight w:val="none"/>
              </w:rPr>
              <w:t>1.6.1.与公安安全边界系统对接</w:t>
            </w:r>
            <w:bookmarkEnd w:id="159"/>
          </w:p>
          <w:p w14:paraId="4E9D6184">
            <w:pPr>
              <w:snapToGrid w:val="0"/>
              <w:spacing w:line="240" w:lineRule="auto"/>
              <w:jc w:val="left"/>
              <w:rPr>
                <w:rFonts w:hint="eastAsia" w:ascii="微软雅黑" w:hAnsi="微软雅黑" w:eastAsia="微软雅黑" w:cs="微软雅黑"/>
                <w:color w:val="auto"/>
                <w:szCs w:val="21"/>
                <w:highlight w:val="none"/>
              </w:rPr>
            </w:pPr>
            <w:bookmarkStart w:id="160" w:name="_Toc2930"/>
            <w:r>
              <w:rPr>
                <w:rFonts w:hint="eastAsia" w:ascii="微软雅黑" w:hAnsi="微软雅黑" w:eastAsia="微软雅黑" w:cs="微软雅黑"/>
                <w:color w:val="auto"/>
                <w:szCs w:val="21"/>
                <w:highlight w:val="none"/>
              </w:rPr>
              <w:t>实现与公安安全边界系统对接，调用服务接口将政务数据从共享专网同步到公安网中，调用服务接口将公安数据从公安网同步到共享专网中。</w:t>
            </w:r>
            <w:bookmarkEnd w:id="160"/>
          </w:p>
          <w:p w14:paraId="4845D065">
            <w:pPr>
              <w:snapToGrid w:val="0"/>
              <w:spacing w:line="240" w:lineRule="auto"/>
              <w:jc w:val="left"/>
              <w:rPr>
                <w:rFonts w:hint="eastAsia" w:ascii="微软雅黑" w:hAnsi="微软雅黑" w:eastAsia="微软雅黑" w:cs="微软雅黑"/>
                <w:color w:val="auto"/>
                <w:szCs w:val="21"/>
                <w:highlight w:val="none"/>
              </w:rPr>
            </w:pPr>
            <w:bookmarkStart w:id="161" w:name="_Toc8546"/>
            <w:r>
              <w:rPr>
                <w:rFonts w:hint="eastAsia" w:ascii="微软雅黑" w:hAnsi="微软雅黑" w:eastAsia="微软雅黑" w:cs="微软雅黑"/>
                <w:color w:val="auto"/>
                <w:szCs w:val="21"/>
                <w:highlight w:val="none"/>
              </w:rPr>
              <w:t>1.6.2.与政务安全边界系统对接</w:t>
            </w:r>
            <w:bookmarkEnd w:id="161"/>
          </w:p>
          <w:p w14:paraId="4509D31C">
            <w:pPr>
              <w:snapToGrid w:val="0"/>
              <w:spacing w:line="240" w:lineRule="auto"/>
              <w:jc w:val="left"/>
              <w:rPr>
                <w:rFonts w:hint="eastAsia" w:ascii="微软雅黑" w:hAnsi="微软雅黑" w:eastAsia="微软雅黑" w:cs="微软雅黑"/>
                <w:color w:val="auto"/>
                <w:szCs w:val="21"/>
                <w:highlight w:val="none"/>
              </w:rPr>
            </w:pPr>
            <w:bookmarkStart w:id="162" w:name="_Toc12955"/>
            <w:r>
              <w:rPr>
                <w:rFonts w:hint="eastAsia" w:ascii="微软雅黑" w:hAnsi="微软雅黑" w:eastAsia="微软雅黑" w:cs="微软雅黑"/>
                <w:color w:val="auto"/>
                <w:szCs w:val="21"/>
                <w:highlight w:val="none"/>
              </w:rPr>
              <w:t>实现与政务安全边界系统对接，调用服务接口将公安数据从共享专网同步到政务外网中，调用服务接口将政务数据从政务外网同步到共享专网中。</w:t>
            </w:r>
            <w:bookmarkEnd w:id="162"/>
          </w:p>
          <w:p w14:paraId="2DB20128">
            <w:pPr>
              <w:snapToGrid w:val="0"/>
              <w:spacing w:line="240" w:lineRule="auto"/>
              <w:jc w:val="left"/>
              <w:rPr>
                <w:rFonts w:hint="eastAsia" w:ascii="微软雅黑" w:hAnsi="微软雅黑" w:eastAsia="微软雅黑" w:cs="微软雅黑"/>
                <w:color w:val="auto"/>
                <w:szCs w:val="21"/>
                <w:highlight w:val="none"/>
              </w:rPr>
            </w:pPr>
            <w:bookmarkStart w:id="163" w:name="_Toc25734"/>
            <w:r>
              <w:rPr>
                <w:rFonts w:hint="eastAsia" w:ascii="微软雅黑" w:hAnsi="微软雅黑" w:eastAsia="微软雅黑" w:cs="微软雅黑"/>
                <w:color w:val="auto"/>
                <w:szCs w:val="21"/>
                <w:highlight w:val="none"/>
              </w:rPr>
              <w:t>1.6.3.与区公安厅零信任体系对接</w:t>
            </w:r>
            <w:bookmarkEnd w:id="163"/>
          </w:p>
          <w:p w14:paraId="18419E2D">
            <w:pPr>
              <w:snapToGrid w:val="0"/>
              <w:spacing w:line="240" w:lineRule="auto"/>
              <w:jc w:val="left"/>
              <w:rPr>
                <w:rFonts w:hint="eastAsia" w:ascii="微软雅黑" w:hAnsi="微软雅黑" w:eastAsia="微软雅黑" w:cs="微软雅黑"/>
                <w:color w:val="auto"/>
                <w:szCs w:val="21"/>
                <w:highlight w:val="none"/>
              </w:rPr>
            </w:pPr>
            <w:bookmarkStart w:id="164" w:name="_Toc16876"/>
            <w:r>
              <w:rPr>
                <w:rFonts w:hint="eastAsia" w:ascii="微软雅黑" w:hAnsi="微软雅黑" w:eastAsia="微软雅黑" w:cs="微软雅黑"/>
                <w:color w:val="auto"/>
                <w:szCs w:val="21"/>
                <w:highlight w:val="none"/>
              </w:rPr>
              <w:t>支持与公安零信任体系对接，实现在用户登录时能够获得零信任体系的认证。</w:t>
            </w:r>
            <w:bookmarkEnd w:id="164"/>
          </w:p>
          <w:p w14:paraId="0E36B834">
            <w:pPr>
              <w:snapToGrid w:val="0"/>
              <w:spacing w:line="240" w:lineRule="auto"/>
              <w:jc w:val="left"/>
              <w:rPr>
                <w:rFonts w:hint="eastAsia" w:ascii="微软雅黑" w:hAnsi="微软雅黑" w:eastAsia="微软雅黑" w:cs="微软雅黑"/>
                <w:color w:val="auto"/>
                <w:szCs w:val="21"/>
                <w:highlight w:val="none"/>
              </w:rPr>
            </w:pPr>
            <w:bookmarkStart w:id="165" w:name="_Toc9333"/>
            <w:r>
              <w:rPr>
                <w:rFonts w:hint="eastAsia" w:ascii="微软雅黑" w:hAnsi="微软雅黑" w:eastAsia="微软雅黑" w:cs="微软雅黑"/>
                <w:color w:val="auto"/>
                <w:szCs w:val="21"/>
                <w:highlight w:val="none"/>
              </w:rPr>
              <w:t>1.6.4.与区公安厅安审平台对接</w:t>
            </w:r>
            <w:bookmarkEnd w:id="165"/>
          </w:p>
          <w:p w14:paraId="6B789D73">
            <w:pPr>
              <w:snapToGrid w:val="0"/>
              <w:spacing w:line="240" w:lineRule="auto"/>
              <w:jc w:val="left"/>
              <w:rPr>
                <w:rFonts w:hint="eastAsia" w:ascii="微软雅黑" w:hAnsi="微软雅黑" w:eastAsia="微软雅黑" w:cs="微软雅黑"/>
                <w:color w:val="auto"/>
                <w:szCs w:val="21"/>
                <w:highlight w:val="none"/>
              </w:rPr>
            </w:pPr>
            <w:bookmarkStart w:id="166" w:name="_Toc20509"/>
            <w:r>
              <w:rPr>
                <w:rFonts w:hint="eastAsia" w:ascii="微软雅黑" w:hAnsi="微软雅黑" w:eastAsia="微软雅黑" w:cs="微软雅黑"/>
                <w:color w:val="auto"/>
                <w:szCs w:val="21"/>
                <w:highlight w:val="none"/>
              </w:rPr>
              <w:t>系统将按照《公安信息系统应用日志安全审计平台日志采集规范》将系统用户的各类登录、查询、新增、删除、修改和日志记录，以及系统运行过程中的业务接口调用、业务数据跨网同步接口日志推送至公安厅安审平台。</w:t>
            </w:r>
            <w:bookmarkEnd w:id="166"/>
          </w:p>
          <w:p w14:paraId="35495B82">
            <w:pPr>
              <w:snapToGrid w:val="0"/>
              <w:spacing w:line="240" w:lineRule="auto"/>
              <w:jc w:val="left"/>
              <w:rPr>
                <w:rFonts w:hint="eastAsia" w:ascii="微软雅黑" w:hAnsi="微软雅黑" w:eastAsia="微软雅黑" w:cs="微软雅黑"/>
                <w:color w:val="auto"/>
                <w:szCs w:val="21"/>
                <w:highlight w:val="none"/>
              </w:rPr>
            </w:pPr>
            <w:bookmarkStart w:id="167" w:name="_Toc18705"/>
            <w:r>
              <w:rPr>
                <w:rFonts w:hint="eastAsia" w:ascii="微软雅黑" w:hAnsi="微软雅黑" w:eastAsia="微软雅黑" w:cs="微软雅黑"/>
                <w:color w:val="auto"/>
                <w:szCs w:val="21"/>
                <w:highlight w:val="none"/>
              </w:rPr>
              <w:t>1.6.5.与区公安厅大数据平台对接</w:t>
            </w:r>
            <w:bookmarkEnd w:id="167"/>
          </w:p>
          <w:p w14:paraId="77F01FC5">
            <w:pPr>
              <w:snapToGrid w:val="0"/>
              <w:spacing w:line="240" w:lineRule="auto"/>
              <w:jc w:val="left"/>
              <w:rPr>
                <w:rFonts w:hint="eastAsia" w:ascii="微软雅黑" w:hAnsi="微软雅黑" w:eastAsia="微软雅黑" w:cs="微软雅黑"/>
                <w:color w:val="auto"/>
                <w:szCs w:val="21"/>
                <w:highlight w:val="none"/>
              </w:rPr>
            </w:pPr>
            <w:bookmarkStart w:id="168" w:name="_Toc18787"/>
            <w:r>
              <w:rPr>
                <w:rFonts w:hint="eastAsia" w:ascii="微软雅黑" w:hAnsi="微软雅黑" w:eastAsia="微软雅黑" w:cs="微软雅黑"/>
                <w:color w:val="auto"/>
                <w:szCs w:val="21"/>
                <w:highlight w:val="none"/>
              </w:rPr>
              <w:t>实现与区公安厅大数据平台对接，获取公安共享数据资源、模型分析结果资源。</w:t>
            </w:r>
            <w:bookmarkEnd w:id="168"/>
          </w:p>
          <w:p w14:paraId="3CAC82A3">
            <w:pPr>
              <w:snapToGrid w:val="0"/>
              <w:spacing w:line="240" w:lineRule="auto"/>
              <w:jc w:val="left"/>
              <w:rPr>
                <w:rFonts w:hint="eastAsia" w:ascii="微软雅黑" w:hAnsi="微软雅黑" w:eastAsia="微软雅黑" w:cs="微软雅黑"/>
                <w:color w:val="auto"/>
                <w:szCs w:val="21"/>
                <w:highlight w:val="none"/>
              </w:rPr>
            </w:pPr>
            <w:bookmarkStart w:id="169" w:name="_Toc22024"/>
            <w:r>
              <w:rPr>
                <w:rFonts w:hint="eastAsia" w:ascii="微软雅黑" w:hAnsi="微软雅黑" w:eastAsia="微软雅黑" w:cs="微软雅黑"/>
                <w:color w:val="auto"/>
                <w:szCs w:val="21"/>
                <w:highlight w:val="none"/>
              </w:rPr>
              <w:t>1.7.业务技术支撑服务</w:t>
            </w:r>
            <w:bookmarkEnd w:id="169"/>
          </w:p>
          <w:p w14:paraId="7C0B4C6E">
            <w:pPr>
              <w:snapToGrid w:val="0"/>
              <w:spacing w:line="240" w:lineRule="auto"/>
              <w:jc w:val="left"/>
              <w:rPr>
                <w:rFonts w:hint="eastAsia" w:ascii="微软雅黑" w:hAnsi="微软雅黑" w:eastAsia="微软雅黑" w:cs="微软雅黑"/>
                <w:color w:val="auto"/>
                <w:szCs w:val="21"/>
                <w:highlight w:val="none"/>
              </w:rPr>
            </w:pPr>
            <w:bookmarkStart w:id="170" w:name="_Toc28229"/>
            <w:r>
              <w:rPr>
                <w:rFonts w:hint="eastAsia" w:ascii="微软雅黑" w:hAnsi="微软雅黑" w:eastAsia="微软雅黑" w:cs="微软雅黑"/>
                <w:color w:val="auto"/>
                <w:szCs w:val="21"/>
                <w:highlight w:val="none"/>
              </w:rPr>
              <w:t>在信息共享和协同平台升级改造后，需以运营服务方式，将已有的数据重新初始化，按照《广西共享政务数据目录及资源元数据编制规范V2》要求进行数据处理，并重新建立检索索引，并将新旧系统的数据和服务无缝迁移，确保提供给第三方的服务不间断。本项目自初验之日起提供1年运营服务，在运营期间，需按照政务单位共享数据要求，经公安审批通过后，按需从公安大数据平台接收基础资源或模型资源数据，同步到共享专网并处理后，以服务方式提供给各政府部门，并在广西政务信息共享开放平台进行服务注册。需按照公安机关共享数据要求，接收各政府部门推送过来的数据资源，经处理后同步到公安网中，并在区厅统一资源管理与服务平台进行服务注册。需配合公安用户开展平台运营分析和日常管理工作，定期对日志数据进行分析，对发现的异常情况及时报告，对发现的问题及时处置，确保平台能够高效、稳定、可靠运行。</w:t>
            </w:r>
            <w:bookmarkEnd w:id="170"/>
          </w:p>
          <w:p w14:paraId="559D0036">
            <w:pPr>
              <w:snapToGrid w:val="0"/>
              <w:spacing w:line="240" w:lineRule="auto"/>
              <w:jc w:val="left"/>
              <w:rPr>
                <w:rFonts w:hint="eastAsia" w:ascii="微软雅黑" w:hAnsi="微软雅黑" w:eastAsia="微软雅黑" w:cs="微软雅黑"/>
                <w:color w:val="auto"/>
                <w:szCs w:val="21"/>
                <w:highlight w:val="none"/>
              </w:rPr>
            </w:pPr>
            <w:bookmarkStart w:id="171" w:name="_Toc9330"/>
            <w:r>
              <w:rPr>
                <w:rFonts w:hint="eastAsia" w:ascii="微软雅黑" w:hAnsi="微软雅黑" w:eastAsia="微软雅黑" w:cs="微软雅黑"/>
                <w:color w:val="auto"/>
                <w:szCs w:val="21"/>
                <w:highlight w:val="none"/>
              </w:rPr>
              <w:t>1.7.1.公安共享数据处理服务</w:t>
            </w:r>
            <w:bookmarkEnd w:id="171"/>
          </w:p>
          <w:p w14:paraId="7BD3D956">
            <w:pPr>
              <w:snapToGrid w:val="0"/>
              <w:spacing w:line="240" w:lineRule="auto"/>
              <w:jc w:val="left"/>
              <w:rPr>
                <w:rFonts w:ascii="微软雅黑" w:hAnsi="微软雅黑" w:eastAsia="微软雅黑" w:cs="微软雅黑"/>
                <w:color w:val="auto"/>
                <w:szCs w:val="21"/>
                <w:highlight w:val="none"/>
              </w:rPr>
            </w:pPr>
            <w:bookmarkStart w:id="172" w:name="_Toc10797"/>
            <w:r>
              <w:rPr>
                <w:rFonts w:hint="eastAsia" w:ascii="微软雅黑" w:hAnsi="微软雅黑" w:eastAsia="微软雅黑" w:cs="微软雅黑"/>
                <w:color w:val="auto"/>
                <w:szCs w:val="21"/>
                <w:highlight w:val="none"/>
              </w:rPr>
              <w:t>改造后需要将现有数据按照《广西共享政务数据目录及资源元数据编制规范V2》标准，经处理后重新入库，对于以后增量数据也需要按照标准进行数据处理再对外共享。</w:t>
            </w:r>
            <w:bookmarkEnd w:id="172"/>
          </w:p>
          <w:p w14:paraId="22D31E1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1.7.1.1</w:t>
            </w:r>
            <w:r>
              <w:rPr>
                <w:rFonts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rPr>
              <w:t>数据目录体系管理</w:t>
            </w:r>
          </w:p>
          <w:p w14:paraId="1B568F3E">
            <w:pPr>
              <w:snapToGrid w:val="0"/>
              <w:spacing w:line="240" w:lineRule="auto"/>
              <w:jc w:val="left"/>
              <w:rPr>
                <w:rFonts w:ascii="微软雅黑" w:hAnsi="微软雅黑" w:eastAsia="微软雅黑" w:cs="微软雅黑"/>
                <w:color w:val="auto"/>
                <w:szCs w:val="21"/>
                <w:highlight w:val="none"/>
              </w:rPr>
            </w:pPr>
            <w:bookmarkStart w:id="173" w:name="_Toc29029"/>
            <w:r>
              <w:rPr>
                <w:rFonts w:hint="eastAsia" w:ascii="微软雅黑" w:hAnsi="微软雅黑" w:eastAsia="微软雅黑" w:cs="微软雅黑"/>
                <w:color w:val="auto"/>
                <w:szCs w:val="21"/>
                <w:highlight w:val="none"/>
              </w:rPr>
              <w:t>数据目录体系管理主要工作包括需求分析、数据识别和收集、数据目录设计、元数据管理和数据目录实施和发布。</w:t>
            </w:r>
          </w:p>
          <w:p w14:paraId="2DD2D56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1.7.1.2.数据集成服务</w:t>
            </w:r>
          </w:p>
          <w:p w14:paraId="6512CCC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数据集成服务主要工作包括需求分析、数据源识别、数据源管理、数据接入、数据映射、数据转换、数据加载和数据集成后的优化。</w:t>
            </w:r>
          </w:p>
          <w:p w14:paraId="40A66BD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1.7.2.政务信息汇集库支撑服务</w:t>
            </w:r>
            <w:bookmarkEnd w:id="173"/>
          </w:p>
          <w:p w14:paraId="56492134">
            <w:pPr>
              <w:snapToGrid w:val="0"/>
              <w:spacing w:line="240" w:lineRule="auto"/>
              <w:jc w:val="left"/>
              <w:rPr>
                <w:rFonts w:hint="eastAsia" w:ascii="微软雅黑" w:hAnsi="微软雅黑" w:eastAsia="微软雅黑" w:cs="微软雅黑"/>
                <w:color w:val="auto"/>
                <w:szCs w:val="21"/>
                <w:highlight w:val="none"/>
              </w:rPr>
            </w:pPr>
            <w:bookmarkStart w:id="174" w:name="_Toc24309"/>
            <w:r>
              <w:rPr>
                <w:rFonts w:hint="eastAsia" w:ascii="微软雅黑" w:hAnsi="微软雅黑" w:eastAsia="微软雅黑" w:cs="微软雅黑"/>
                <w:color w:val="auto"/>
                <w:szCs w:val="21"/>
                <w:highlight w:val="none"/>
              </w:rPr>
              <w:t>政务信息汇集库部署在政务外网，运营人员需辅助公安用户调研共享需求建立库表结构，用于接收广西政务信息共享开放平台的日志数据，接收对其它政府单位推送的政务数据，接收共享专网推送过来的公安共享库表数据和文件数据，并库表数据和文件数据同步到各政府单位业务系统中，解决在同步过程中发生的异常问题。是实现信息共享与业务协同的临时库。</w:t>
            </w:r>
            <w:bookmarkEnd w:id="174"/>
          </w:p>
          <w:p w14:paraId="015F5489">
            <w:pPr>
              <w:snapToGrid w:val="0"/>
              <w:spacing w:line="240" w:lineRule="auto"/>
              <w:jc w:val="left"/>
              <w:rPr>
                <w:rFonts w:hint="eastAsia" w:ascii="微软雅黑" w:hAnsi="微软雅黑" w:eastAsia="微软雅黑" w:cs="微软雅黑"/>
                <w:color w:val="auto"/>
                <w:szCs w:val="21"/>
                <w:highlight w:val="none"/>
              </w:rPr>
            </w:pPr>
            <w:bookmarkStart w:id="175" w:name="_Toc10064"/>
            <w:r>
              <w:rPr>
                <w:rFonts w:hint="eastAsia" w:ascii="微软雅黑" w:hAnsi="微软雅黑" w:eastAsia="微软雅黑" w:cs="微软雅黑"/>
                <w:color w:val="auto"/>
                <w:szCs w:val="21"/>
                <w:highlight w:val="none"/>
              </w:rPr>
              <w:t>1.7.3.政务信息共享库支撑服务</w:t>
            </w:r>
            <w:bookmarkEnd w:id="175"/>
          </w:p>
          <w:p w14:paraId="3253E1E0">
            <w:pPr>
              <w:snapToGrid w:val="0"/>
              <w:spacing w:line="240" w:lineRule="auto"/>
              <w:jc w:val="left"/>
              <w:rPr>
                <w:rFonts w:hint="eastAsia" w:ascii="微软雅黑" w:hAnsi="微软雅黑" w:eastAsia="微软雅黑" w:cs="微软雅黑"/>
                <w:color w:val="auto"/>
                <w:szCs w:val="21"/>
                <w:highlight w:val="none"/>
              </w:rPr>
            </w:pPr>
            <w:bookmarkStart w:id="176" w:name="_Toc19212"/>
            <w:r>
              <w:rPr>
                <w:rFonts w:hint="eastAsia" w:ascii="微软雅黑" w:hAnsi="微软雅黑" w:eastAsia="微软雅黑" w:cs="微软雅黑"/>
                <w:color w:val="auto"/>
                <w:szCs w:val="21"/>
                <w:highlight w:val="none"/>
              </w:rPr>
              <w:t>政务信息共享库部署在共享专网，用于接收广西政务信息共享开放平台的日志数据，接收对其它政府单位推送的政务数据，接收公安网推送过来的公安共享数据，按照政务标准对公安共享数据进行处理，并提供数据给政务信息检索库建立索引，实现信息共享与业务协同的核心数据库。</w:t>
            </w:r>
            <w:bookmarkEnd w:id="176"/>
          </w:p>
          <w:p w14:paraId="3525F14F">
            <w:pPr>
              <w:snapToGrid w:val="0"/>
              <w:spacing w:line="240" w:lineRule="auto"/>
              <w:jc w:val="left"/>
              <w:rPr>
                <w:rFonts w:hint="eastAsia" w:ascii="微软雅黑" w:hAnsi="微软雅黑" w:eastAsia="微软雅黑" w:cs="微软雅黑"/>
                <w:color w:val="auto"/>
                <w:szCs w:val="21"/>
                <w:highlight w:val="none"/>
              </w:rPr>
            </w:pPr>
            <w:bookmarkStart w:id="177" w:name="_Toc6557"/>
            <w:r>
              <w:rPr>
                <w:rFonts w:hint="eastAsia" w:ascii="微软雅黑" w:hAnsi="微软雅黑" w:eastAsia="微软雅黑" w:cs="微软雅黑"/>
                <w:color w:val="auto"/>
                <w:szCs w:val="21"/>
                <w:highlight w:val="none"/>
              </w:rPr>
              <w:t>1.7.4.政务信息检索库支撑服务</w:t>
            </w:r>
            <w:bookmarkEnd w:id="177"/>
          </w:p>
          <w:p w14:paraId="65D2B426">
            <w:pPr>
              <w:snapToGrid w:val="0"/>
              <w:spacing w:line="240" w:lineRule="auto"/>
              <w:jc w:val="left"/>
              <w:rPr>
                <w:rFonts w:hint="eastAsia" w:ascii="微软雅黑" w:hAnsi="微软雅黑" w:eastAsia="微软雅黑" w:cs="微软雅黑"/>
                <w:color w:val="auto"/>
                <w:szCs w:val="21"/>
                <w:highlight w:val="none"/>
              </w:rPr>
            </w:pPr>
            <w:bookmarkStart w:id="178" w:name="_Toc12299"/>
            <w:r>
              <w:rPr>
                <w:rFonts w:hint="eastAsia" w:ascii="微软雅黑" w:hAnsi="微软雅黑" w:eastAsia="微软雅黑" w:cs="微软雅黑"/>
                <w:color w:val="auto"/>
                <w:szCs w:val="21"/>
                <w:highlight w:val="none"/>
              </w:rPr>
              <w:t>政务信息检索库部署在共享专网，在新增政务信息检索时，运营人员需建立检索索引，在注册为服务后，提供给其它政府单位使用，其它政府单位可通过查询检索服务、信息核验服务快速查询查看并获取共享数据。</w:t>
            </w:r>
            <w:bookmarkEnd w:id="178"/>
          </w:p>
          <w:p w14:paraId="03574D6E">
            <w:pPr>
              <w:snapToGrid w:val="0"/>
              <w:spacing w:line="240" w:lineRule="auto"/>
              <w:jc w:val="left"/>
              <w:rPr>
                <w:rFonts w:hint="eastAsia" w:ascii="微软雅黑" w:hAnsi="微软雅黑" w:eastAsia="微软雅黑" w:cs="微软雅黑"/>
                <w:color w:val="auto"/>
                <w:szCs w:val="21"/>
                <w:highlight w:val="none"/>
              </w:rPr>
            </w:pPr>
            <w:bookmarkStart w:id="179" w:name="_Toc6159"/>
            <w:r>
              <w:rPr>
                <w:rFonts w:hint="eastAsia" w:ascii="微软雅黑" w:hAnsi="微软雅黑" w:eastAsia="微软雅黑" w:cs="微软雅黑"/>
                <w:color w:val="auto"/>
                <w:szCs w:val="21"/>
                <w:highlight w:val="none"/>
              </w:rPr>
              <w:t>1.7.5.公安信息共享库支撑服务</w:t>
            </w:r>
            <w:bookmarkEnd w:id="179"/>
          </w:p>
          <w:p w14:paraId="16C3F60D">
            <w:pPr>
              <w:snapToGrid w:val="0"/>
              <w:spacing w:line="240" w:lineRule="auto"/>
              <w:jc w:val="left"/>
              <w:rPr>
                <w:rFonts w:hint="eastAsia" w:ascii="微软雅黑" w:hAnsi="微软雅黑" w:eastAsia="微软雅黑" w:cs="微软雅黑"/>
                <w:color w:val="auto"/>
                <w:szCs w:val="21"/>
                <w:highlight w:val="none"/>
              </w:rPr>
            </w:pPr>
            <w:bookmarkStart w:id="180" w:name="_Toc2314"/>
            <w:r>
              <w:rPr>
                <w:rFonts w:hint="eastAsia" w:ascii="微软雅黑" w:hAnsi="微软雅黑" w:eastAsia="微软雅黑" w:cs="微软雅黑"/>
                <w:color w:val="auto"/>
                <w:szCs w:val="21"/>
                <w:highlight w:val="none"/>
              </w:rPr>
              <w:t>公安信息共享库部署在公安网当中，用于接收政务信息共享库已处理好的政务数据、平台日志数据，接收公安大数据平台可共享的公安基础资源，并将公安基础资源推送给共享专网的政务信息共享库。公安信息共享库是支撑信息共享和业务协同管理工作的核心数据库。</w:t>
            </w:r>
            <w:bookmarkEnd w:id="180"/>
          </w:p>
          <w:p w14:paraId="73816F8B">
            <w:pPr>
              <w:snapToGrid w:val="0"/>
              <w:spacing w:line="240" w:lineRule="auto"/>
              <w:jc w:val="left"/>
              <w:rPr>
                <w:rFonts w:hint="eastAsia" w:ascii="微软雅黑" w:hAnsi="微软雅黑" w:eastAsia="微软雅黑" w:cs="微软雅黑"/>
                <w:color w:val="auto"/>
                <w:szCs w:val="21"/>
                <w:highlight w:val="none"/>
              </w:rPr>
            </w:pPr>
            <w:bookmarkStart w:id="181" w:name="_Toc31286"/>
            <w:r>
              <w:rPr>
                <w:rFonts w:hint="eastAsia" w:ascii="微软雅黑" w:hAnsi="微软雅黑" w:eastAsia="微软雅黑" w:cs="微软雅黑"/>
                <w:color w:val="auto"/>
                <w:szCs w:val="21"/>
                <w:highlight w:val="none"/>
              </w:rPr>
              <w:t>1.7.6.公安共享专题库支撑服务</w:t>
            </w:r>
            <w:bookmarkEnd w:id="181"/>
          </w:p>
          <w:p w14:paraId="33B38E66">
            <w:pPr>
              <w:snapToGrid w:val="0"/>
              <w:spacing w:line="240" w:lineRule="auto"/>
              <w:jc w:val="left"/>
              <w:rPr>
                <w:rFonts w:hint="eastAsia" w:ascii="微软雅黑" w:hAnsi="微软雅黑" w:eastAsia="微软雅黑" w:cs="微软雅黑"/>
                <w:color w:val="auto"/>
                <w:szCs w:val="21"/>
                <w:highlight w:val="none"/>
              </w:rPr>
            </w:pPr>
            <w:bookmarkStart w:id="182" w:name="_Toc23753"/>
            <w:r>
              <w:rPr>
                <w:rFonts w:hint="eastAsia" w:ascii="微软雅黑" w:hAnsi="微软雅黑" w:eastAsia="微软雅黑" w:cs="微软雅黑"/>
                <w:color w:val="auto"/>
                <w:szCs w:val="21"/>
                <w:highlight w:val="none"/>
              </w:rPr>
              <w:t>公安共享专题库部署在公安网当中，运营人员需根据政务业务需要，获取公安大数据平台模型分析的反馈结果，根据反馈结果建立库表结构，并接收公安大数据平台同步的模型资源数据，并在共享专网政务信息共享库建立反馈结果库表结构，将建模分析的结果数据推送给共享专网政务信息共享库。</w:t>
            </w:r>
            <w:bookmarkEnd w:id="182"/>
          </w:p>
          <w:p w14:paraId="79376DC7">
            <w:pPr>
              <w:snapToGrid w:val="0"/>
              <w:spacing w:line="240" w:lineRule="auto"/>
              <w:jc w:val="left"/>
              <w:rPr>
                <w:rFonts w:hint="eastAsia" w:ascii="微软雅黑" w:hAnsi="微软雅黑" w:eastAsia="微软雅黑" w:cs="微软雅黑"/>
                <w:color w:val="auto"/>
                <w:szCs w:val="21"/>
                <w:highlight w:val="none"/>
              </w:rPr>
            </w:pPr>
            <w:bookmarkStart w:id="183" w:name="_Toc19325"/>
            <w:r>
              <w:rPr>
                <w:rFonts w:hint="eastAsia" w:ascii="微软雅黑" w:hAnsi="微软雅黑" w:eastAsia="微软雅黑" w:cs="微软雅黑"/>
                <w:color w:val="auto"/>
                <w:szCs w:val="21"/>
                <w:highlight w:val="none"/>
              </w:rPr>
              <w:t>1.7.7.政务资源目录运营服务</w:t>
            </w:r>
            <w:bookmarkEnd w:id="183"/>
          </w:p>
          <w:p w14:paraId="51900FBC">
            <w:pPr>
              <w:snapToGrid w:val="0"/>
              <w:spacing w:line="240" w:lineRule="auto"/>
              <w:jc w:val="left"/>
              <w:rPr>
                <w:rFonts w:hint="eastAsia" w:ascii="微软雅黑" w:hAnsi="微软雅黑" w:eastAsia="微软雅黑" w:cs="微软雅黑"/>
                <w:color w:val="auto"/>
                <w:szCs w:val="21"/>
                <w:highlight w:val="none"/>
              </w:rPr>
            </w:pPr>
            <w:bookmarkStart w:id="184" w:name="_Toc21002"/>
            <w:r>
              <w:rPr>
                <w:rFonts w:hint="eastAsia" w:ascii="微软雅黑" w:hAnsi="微软雅黑" w:eastAsia="微软雅黑" w:cs="微软雅黑"/>
                <w:color w:val="auto"/>
                <w:szCs w:val="21"/>
                <w:highlight w:val="none"/>
              </w:rPr>
              <w:t>对于公安需要数据在政务共享资源服务目录情况，定期将政务共享资源服务目录同步到本平台政务共享资源服务目录中，运营人员要按照公安需求完善资源目录属性信息，在各警种订阅政务资源目录并审批通过后，运营人员需辅助公安用户联系大发局确认共享方式和更新频率内容，搭建数据传输通道，按照警种要求推送数据到指定库中。</w:t>
            </w:r>
            <w:bookmarkEnd w:id="184"/>
          </w:p>
          <w:p w14:paraId="5422F40D">
            <w:pPr>
              <w:snapToGrid w:val="0"/>
              <w:spacing w:line="240" w:lineRule="auto"/>
              <w:jc w:val="left"/>
              <w:rPr>
                <w:rFonts w:hint="eastAsia" w:ascii="微软雅黑" w:hAnsi="微软雅黑" w:eastAsia="微软雅黑" w:cs="微软雅黑"/>
                <w:color w:val="auto"/>
                <w:szCs w:val="21"/>
                <w:highlight w:val="none"/>
              </w:rPr>
            </w:pPr>
            <w:bookmarkStart w:id="185" w:name="_Toc17557"/>
            <w:r>
              <w:rPr>
                <w:rFonts w:hint="eastAsia" w:ascii="微软雅黑" w:hAnsi="微软雅黑" w:eastAsia="微软雅黑" w:cs="微软雅黑"/>
                <w:color w:val="auto"/>
                <w:szCs w:val="21"/>
                <w:highlight w:val="none"/>
              </w:rPr>
              <w:t>对于公安需要但广西政务信息共享开放平台未提供资源共享的情况，由公安用户联系政务数据提供方，运营人员需提供技术支持服务，搭建数据传输通道，并将政务资源人工注册到本平台政务共享资源服务目录当中。</w:t>
            </w:r>
            <w:bookmarkEnd w:id="185"/>
          </w:p>
          <w:p w14:paraId="2FA15742">
            <w:pPr>
              <w:snapToGrid w:val="0"/>
              <w:spacing w:line="240" w:lineRule="auto"/>
              <w:jc w:val="left"/>
              <w:rPr>
                <w:rFonts w:hint="eastAsia" w:ascii="微软雅黑" w:hAnsi="微软雅黑" w:eastAsia="微软雅黑" w:cs="微软雅黑"/>
                <w:color w:val="auto"/>
                <w:szCs w:val="21"/>
                <w:highlight w:val="none"/>
              </w:rPr>
            </w:pPr>
            <w:bookmarkStart w:id="186" w:name="_Toc8141"/>
            <w:r>
              <w:rPr>
                <w:rFonts w:hint="eastAsia" w:ascii="微软雅黑" w:hAnsi="微软雅黑" w:eastAsia="微软雅黑" w:cs="微软雅黑"/>
                <w:color w:val="auto"/>
                <w:szCs w:val="21"/>
                <w:highlight w:val="none"/>
              </w:rPr>
              <w:t>1.7.8.协同服务注册支撑服务</w:t>
            </w:r>
            <w:bookmarkEnd w:id="186"/>
          </w:p>
          <w:p w14:paraId="7A0A52E5">
            <w:pPr>
              <w:snapToGrid w:val="0"/>
              <w:spacing w:line="240" w:lineRule="auto"/>
              <w:jc w:val="left"/>
              <w:rPr>
                <w:rFonts w:hint="eastAsia" w:ascii="微软雅黑" w:hAnsi="微软雅黑" w:eastAsia="微软雅黑" w:cs="微软雅黑"/>
                <w:color w:val="auto"/>
                <w:szCs w:val="21"/>
                <w:highlight w:val="none"/>
              </w:rPr>
            </w:pPr>
            <w:bookmarkStart w:id="187" w:name="_Toc25932"/>
            <w:r>
              <w:rPr>
                <w:rFonts w:hint="eastAsia" w:ascii="微软雅黑" w:hAnsi="微软雅黑" w:eastAsia="微软雅黑" w:cs="微软雅黑"/>
                <w:color w:val="auto"/>
                <w:szCs w:val="21"/>
                <w:highlight w:val="none"/>
              </w:rPr>
              <w:t>实现将公安、政务的共享数据服务在本平台进行注册，经部门领导审核通过后。将各类协同服务分别注册到广西政务信息共享开放平台和区公安厅统一资源管理与服务平台当中，以满足政务、公安信息共享使用的需要。</w:t>
            </w:r>
            <w:bookmarkEnd w:id="187"/>
          </w:p>
          <w:p w14:paraId="0E271BA6">
            <w:pPr>
              <w:snapToGrid w:val="0"/>
              <w:spacing w:line="240" w:lineRule="auto"/>
              <w:jc w:val="left"/>
              <w:rPr>
                <w:rFonts w:hint="eastAsia" w:ascii="微软雅黑" w:hAnsi="微软雅黑" w:eastAsia="微软雅黑" w:cs="微软雅黑"/>
                <w:color w:val="auto"/>
                <w:szCs w:val="21"/>
                <w:highlight w:val="none"/>
              </w:rPr>
            </w:pPr>
            <w:bookmarkStart w:id="188" w:name="_Toc74"/>
            <w:r>
              <w:rPr>
                <w:rFonts w:hint="eastAsia" w:ascii="微软雅黑" w:hAnsi="微软雅黑" w:eastAsia="微软雅黑" w:cs="微软雅黑"/>
                <w:color w:val="auto"/>
                <w:szCs w:val="21"/>
                <w:highlight w:val="none"/>
              </w:rPr>
              <w:t>1.7.9.日志数据分析服务</w:t>
            </w:r>
            <w:bookmarkEnd w:id="188"/>
          </w:p>
          <w:p w14:paraId="10A270CA">
            <w:pPr>
              <w:snapToGrid w:val="0"/>
              <w:spacing w:line="240" w:lineRule="auto"/>
              <w:jc w:val="left"/>
              <w:rPr>
                <w:rFonts w:hint="eastAsia" w:ascii="微软雅黑" w:hAnsi="微软雅黑" w:eastAsia="微软雅黑" w:cs="微软雅黑"/>
                <w:color w:val="auto"/>
                <w:szCs w:val="21"/>
                <w:highlight w:val="none"/>
              </w:rPr>
            </w:pPr>
            <w:bookmarkStart w:id="189" w:name="_Toc23060"/>
            <w:r>
              <w:rPr>
                <w:rFonts w:hint="eastAsia" w:ascii="微软雅黑" w:hAnsi="微软雅黑" w:eastAsia="微软雅黑" w:cs="微软雅黑"/>
                <w:color w:val="auto"/>
                <w:szCs w:val="21"/>
                <w:highlight w:val="none"/>
              </w:rPr>
              <w:t>本平台需从广西政务信息共享开放平台中获取日志数据，构建完整的信息共享与业务协同服务链条，可进行自动的审计跟踪、保存审计记录和维护详尽的审计日志，管理人员可随时查看，对日志异常情况及时进行预警提醒。</w:t>
            </w:r>
            <w:bookmarkEnd w:id="189"/>
          </w:p>
          <w:p w14:paraId="748D725E">
            <w:pPr>
              <w:snapToGrid w:val="0"/>
              <w:spacing w:line="240" w:lineRule="auto"/>
              <w:jc w:val="left"/>
              <w:rPr>
                <w:rFonts w:hint="eastAsia" w:ascii="微软雅黑" w:hAnsi="微软雅黑" w:eastAsia="微软雅黑" w:cs="微软雅黑"/>
                <w:color w:val="auto"/>
                <w:szCs w:val="21"/>
                <w:highlight w:val="none"/>
              </w:rPr>
            </w:pPr>
            <w:bookmarkStart w:id="190" w:name="_Toc17627"/>
            <w:r>
              <w:rPr>
                <w:rFonts w:hint="eastAsia" w:ascii="微软雅黑" w:hAnsi="微软雅黑" w:eastAsia="微软雅黑" w:cs="微软雅黑"/>
                <w:color w:val="auto"/>
                <w:szCs w:val="21"/>
                <w:highlight w:val="none"/>
              </w:rPr>
              <w:t>1.7.10.业务协同支撑服务</w:t>
            </w:r>
            <w:bookmarkEnd w:id="190"/>
            <w:r>
              <w:rPr>
                <w:rFonts w:hint="eastAsia" w:ascii="微软雅黑" w:hAnsi="微软雅黑" w:eastAsia="微软雅黑" w:cs="微软雅黑"/>
                <w:color w:val="auto"/>
                <w:szCs w:val="21"/>
                <w:highlight w:val="none"/>
              </w:rPr>
              <w:t xml:space="preserve"> </w:t>
            </w:r>
          </w:p>
          <w:p w14:paraId="66EAF494">
            <w:pPr>
              <w:snapToGrid w:val="0"/>
              <w:spacing w:line="240" w:lineRule="auto"/>
              <w:jc w:val="left"/>
              <w:rPr>
                <w:rFonts w:hint="eastAsia" w:ascii="微软雅黑" w:hAnsi="微软雅黑" w:eastAsia="微软雅黑" w:cs="微软雅黑"/>
                <w:color w:val="auto"/>
                <w:szCs w:val="21"/>
                <w:highlight w:val="none"/>
              </w:rPr>
            </w:pPr>
            <w:bookmarkStart w:id="191" w:name="_Toc29379"/>
            <w:r>
              <w:rPr>
                <w:rFonts w:hint="eastAsia" w:ascii="微软雅黑" w:hAnsi="微软雅黑" w:eastAsia="微软雅黑" w:cs="微软雅黑"/>
                <w:color w:val="auto"/>
                <w:szCs w:val="21"/>
                <w:highlight w:val="none"/>
              </w:rPr>
              <w:t>提供开发测试服务、平台升级服务、运营管理服务，对信息共享与业务协同平台进行运营。</w:t>
            </w:r>
            <w:bookmarkEnd w:id="191"/>
          </w:p>
          <w:p w14:paraId="43CB1E7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▲1.7.11.服务响应及完成时间</w:t>
            </w:r>
          </w:p>
          <w:p w14:paraId="0F8B906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（1）日常单个对外查询、订阅比对及核查接口，从大数据平台将数据推送至部门间共享平台后，要求48小时内完成单个接口的数据治理及注册工作。</w:t>
            </w:r>
          </w:p>
          <w:p w14:paraId="6261081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从政务外网汇聚政务数据，单个库表在完成行政审批的情况下，24小时内要能开始接入数据并推送至大数据平台。通过接口轮询获取数据的，在完成行政审批的情况下，72小时内能够开始汇聚数据并推送至大数据平台。</w:t>
            </w:r>
          </w:p>
          <w:p w14:paraId="5AE40870">
            <w:pPr>
              <w:snapToGrid w:val="0"/>
              <w:spacing w:line="240" w:lineRule="auto"/>
              <w:jc w:val="left"/>
              <w:rPr>
                <w:rFonts w:hint="eastAsia" w:ascii="微软雅黑" w:hAnsi="微软雅黑" w:eastAsia="微软雅黑" w:cs="微软雅黑"/>
                <w:color w:val="auto"/>
                <w:szCs w:val="21"/>
                <w:highlight w:val="none"/>
              </w:rPr>
            </w:pPr>
            <w:bookmarkStart w:id="192" w:name="_Toc23106"/>
            <w:r>
              <w:rPr>
                <w:rFonts w:hint="eastAsia" w:ascii="微软雅黑" w:hAnsi="微软雅黑" w:eastAsia="微软雅黑" w:cs="微软雅黑"/>
                <w:color w:val="auto"/>
                <w:szCs w:val="21"/>
                <w:highlight w:val="none"/>
              </w:rPr>
              <w:t>▲2.性能要求</w:t>
            </w:r>
            <w:bookmarkEnd w:id="192"/>
          </w:p>
          <w:p w14:paraId="22966D6B">
            <w:pPr>
              <w:snapToGrid w:val="0"/>
              <w:spacing w:line="240" w:lineRule="auto"/>
              <w:jc w:val="left"/>
              <w:rPr>
                <w:rFonts w:hint="eastAsia" w:ascii="微软雅黑" w:hAnsi="微软雅黑" w:eastAsia="微软雅黑" w:cs="微软雅黑"/>
                <w:color w:val="auto"/>
                <w:szCs w:val="21"/>
                <w:highlight w:val="none"/>
              </w:rPr>
            </w:pPr>
            <w:bookmarkStart w:id="193" w:name="_Toc23636"/>
            <w:r>
              <w:rPr>
                <w:rFonts w:hint="eastAsia" w:ascii="微软雅黑" w:hAnsi="微软雅黑" w:eastAsia="微软雅黑" w:cs="微软雅黑"/>
                <w:color w:val="auto"/>
                <w:szCs w:val="21"/>
                <w:highlight w:val="none"/>
              </w:rPr>
              <w:t>本项目性能要求如下：</w:t>
            </w:r>
            <w:bookmarkEnd w:id="193"/>
          </w:p>
          <w:p w14:paraId="219EF69A">
            <w:pPr>
              <w:snapToGrid w:val="0"/>
              <w:spacing w:line="240" w:lineRule="auto"/>
              <w:jc w:val="left"/>
              <w:rPr>
                <w:rFonts w:hint="eastAsia" w:ascii="微软雅黑" w:hAnsi="微软雅黑" w:eastAsia="微软雅黑" w:cs="微软雅黑"/>
                <w:color w:val="auto"/>
                <w:szCs w:val="21"/>
                <w:highlight w:val="none"/>
              </w:rPr>
            </w:pPr>
            <w:bookmarkStart w:id="194" w:name="_Toc18397"/>
            <w:r>
              <w:rPr>
                <w:rFonts w:hint="eastAsia" w:ascii="微软雅黑" w:hAnsi="微软雅黑" w:eastAsia="微软雅黑" w:cs="微软雅黑"/>
                <w:color w:val="auto"/>
                <w:szCs w:val="21"/>
                <w:highlight w:val="none"/>
              </w:rPr>
              <w:t>2.1.平均登录时间≤3秒钟；</w:t>
            </w:r>
            <w:bookmarkEnd w:id="194"/>
          </w:p>
          <w:p w14:paraId="768C4B80">
            <w:pPr>
              <w:snapToGrid w:val="0"/>
              <w:spacing w:line="240" w:lineRule="auto"/>
              <w:jc w:val="left"/>
              <w:rPr>
                <w:rFonts w:hint="eastAsia" w:ascii="微软雅黑" w:hAnsi="微软雅黑" w:eastAsia="微软雅黑" w:cs="微软雅黑"/>
                <w:color w:val="auto"/>
                <w:szCs w:val="21"/>
                <w:highlight w:val="none"/>
              </w:rPr>
            </w:pPr>
            <w:bookmarkStart w:id="195" w:name="_Toc7603"/>
            <w:r>
              <w:rPr>
                <w:rFonts w:hint="eastAsia" w:ascii="微软雅黑" w:hAnsi="微软雅黑" w:eastAsia="微软雅黑" w:cs="微软雅黑"/>
                <w:color w:val="auto"/>
                <w:szCs w:val="21"/>
                <w:highlight w:val="none"/>
              </w:rPr>
              <w:t>2.2.平均响应时间≤3秒钟；</w:t>
            </w:r>
            <w:bookmarkEnd w:id="195"/>
          </w:p>
          <w:p w14:paraId="1CAAF3A5">
            <w:pPr>
              <w:snapToGrid w:val="0"/>
              <w:spacing w:line="240" w:lineRule="auto"/>
              <w:jc w:val="left"/>
              <w:rPr>
                <w:rFonts w:hint="eastAsia" w:ascii="微软雅黑" w:hAnsi="微软雅黑" w:eastAsia="微软雅黑" w:cs="微软雅黑"/>
                <w:color w:val="auto"/>
                <w:szCs w:val="21"/>
                <w:highlight w:val="none"/>
              </w:rPr>
            </w:pPr>
            <w:bookmarkStart w:id="196" w:name="_Toc18895"/>
            <w:r>
              <w:rPr>
                <w:rFonts w:hint="eastAsia" w:ascii="微软雅黑" w:hAnsi="微软雅黑" w:eastAsia="微软雅黑" w:cs="微软雅黑"/>
                <w:color w:val="auto"/>
                <w:szCs w:val="21"/>
                <w:highlight w:val="none"/>
              </w:rPr>
              <w:t>2.3.简单事务处理（包含各类信息录入、修改、查询业务、主要页面平均响应时间）≤3秒钟；</w:t>
            </w:r>
            <w:bookmarkEnd w:id="196"/>
          </w:p>
          <w:p w14:paraId="0C8C9355">
            <w:pPr>
              <w:snapToGrid w:val="0"/>
              <w:spacing w:line="240" w:lineRule="auto"/>
              <w:jc w:val="left"/>
              <w:rPr>
                <w:rFonts w:hint="eastAsia" w:ascii="微软雅黑" w:hAnsi="微软雅黑" w:eastAsia="微软雅黑" w:cs="微软雅黑"/>
                <w:color w:val="auto"/>
                <w:szCs w:val="21"/>
                <w:highlight w:val="none"/>
              </w:rPr>
            </w:pPr>
            <w:bookmarkStart w:id="197" w:name="_Toc6101"/>
            <w:r>
              <w:rPr>
                <w:rFonts w:hint="eastAsia" w:ascii="微软雅黑" w:hAnsi="微软雅黑" w:eastAsia="微软雅黑" w:cs="微软雅黑"/>
                <w:color w:val="auto"/>
                <w:szCs w:val="21"/>
                <w:highlight w:val="none"/>
              </w:rPr>
              <w:t>2.4.指定时间内附加逻辑组合条件的模糊搜索响应时间≤3秒钟。</w:t>
            </w:r>
            <w:bookmarkEnd w:id="197"/>
          </w:p>
          <w:p w14:paraId="6D3FAC8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2.5.百万条数据的单表查询、统计响应时间应在15秒钟内；百万条数据的多表联合查询、统计响应时间应在60秒钟内。</w:t>
            </w:r>
          </w:p>
          <w:p w14:paraId="0588AB4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2.6.至少支持200个政府部门同时访问单个服务接口，并发量每秒300QPS。</w:t>
            </w:r>
          </w:p>
          <w:p w14:paraId="02D73CC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2.7.读取存储响应时间：单条数据的读取、存储响应时间应在5秒钟以内；批量数据的读取、存储响应时间应在20秒以内。</w:t>
            </w:r>
          </w:p>
          <w:p w14:paraId="1A4BC27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2.8.系统部署撤收时间：单业务系统部署时间应在8小时以内，撤收时间应在30分钟以内；部门应用系统部署时间应在48小时以内，撤收时间应在8小时以内；全系统部署时间应在7天以内，撤收时间应在48小时以内。</w:t>
            </w:r>
          </w:p>
          <w:p w14:paraId="3322A532">
            <w:pPr>
              <w:snapToGrid w:val="0"/>
              <w:spacing w:line="240" w:lineRule="auto"/>
              <w:jc w:val="left"/>
              <w:rPr>
                <w:rFonts w:hint="eastAsia" w:ascii="微软雅黑" w:hAnsi="微软雅黑" w:eastAsia="微软雅黑" w:cs="微软雅黑"/>
                <w:color w:val="auto"/>
                <w:szCs w:val="21"/>
                <w:highlight w:val="none"/>
              </w:rPr>
            </w:pPr>
            <w:bookmarkStart w:id="198" w:name="_Toc25896"/>
            <w:r>
              <w:rPr>
                <w:rFonts w:hint="eastAsia" w:ascii="微软雅黑" w:hAnsi="微软雅黑" w:eastAsia="微软雅黑" w:cs="微软雅黑"/>
                <w:color w:val="auto"/>
                <w:szCs w:val="21"/>
                <w:highlight w:val="none"/>
              </w:rPr>
              <w:t>▲3.可靠性要求</w:t>
            </w:r>
            <w:bookmarkEnd w:id="198"/>
          </w:p>
          <w:p w14:paraId="70DF1E3F">
            <w:pPr>
              <w:snapToGrid w:val="0"/>
              <w:spacing w:line="240" w:lineRule="auto"/>
              <w:jc w:val="left"/>
              <w:rPr>
                <w:rFonts w:hint="eastAsia" w:ascii="微软雅黑" w:hAnsi="微软雅黑" w:eastAsia="微软雅黑" w:cs="微软雅黑"/>
                <w:color w:val="auto"/>
                <w:szCs w:val="21"/>
                <w:highlight w:val="none"/>
              </w:rPr>
            </w:pPr>
            <w:bookmarkStart w:id="199" w:name="_Toc2989"/>
            <w:r>
              <w:rPr>
                <w:rFonts w:hint="eastAsia" w:ascii="微软雅黑" w:hAnsi="微软雅黑" w:eastAsia="微软雅黑" w:cs="微软雅黑"/>
                <w:color w:val="auto"/>
                <w:szCs w:val="21"/>
                <w:highlight w:val="none"/>
              </w:rPr>
              <w:t>本项目为确保有效工作需达到如下指标：</w:t>
            </w:r>
            <w:bookmarkEnd w:id="199"/>
          </w:p>
          <w:p w14:paraId="2A01B698">
            <w:pPr>
              <w:snapToGrid w:val="0"/>
              <w:spacing w:line="240" w:lineRule="auto"/>
              <w:jc w:val="left"/>
              <w:rPr>
                <w:rFonts w:hint="eastAsia" w:ascii="微软雅黑" w:hAnsi="微软雅黑" w:eastAsia="微软雅黑" w:cs="微软雅黑"/>
                <w:color w:val="auto"/>
                <w:szCs w:val="21"/>
                <w:highlight w:val="none"/>
              </w:rPr>
            </w:pPr>
            <w:bookmarkStart w:id="200" w:name="_Toc3728"/>
            <w:r>
              <w:rPr>
                <w:rFonts w:hint="eastAsia" w:ascii="微软雅黑" w:hAnsi="微软雅黑" w:eastAsia="微软雅黑" w:cs="微软雅黑"/>
                <w:color w:val="auto"/>
                <w:szCs w:val="21"/>
                <w:highlight w:val="none"/>
              </w:rPr>
              <w:t>3.1.总体可用率≥99.9%；</w:t>
            </w:r>
            <w:bookmarkEnd w:id="200"/>
          </w:p>
          <w:p w14:paraId="3B214352">
            <w:pPr>
              <w:snapToGrid w:val="0"/>
              <w:spacing w:line="240" w:lineRule="auto"/>
              <w:jc w:val="left"/>
              <w:rPr>
                <w:rFonts w:hint="eastAsia" w:ascii="微软雅黑" w:hAnsi="微软雅黑" w:eastAsia="微软雅黑" w:cs="微软雅黑"/>
                <w:color w:val="auto"/>
                <w:szCs w:val="21"/>
                <w:highlight w:val="none"/>
              </w:rPr>
            </w:pPr>
            <w:bookmarkStart w:id="201" w:name="_Toc31939"/>
            <w:r>
              <w:rPr>
                <w:rFonts w:hint="eastAsia" w:ascii="微软雅黑" w:hAnsi="微软雅黑" w:eastAsia="微软雅黑" w:cs="微软雅黑"/>
                <w:color w:val="auto"/>
                <w:szCs w:val="21"/>
                <w:highlight w:val="none"/>
              </w:rPr>
              <w:t>3.2.系统投入使用率≥95%；</w:t>
            </w:r>
            <w:bookmarkEnd w:id="201"/>
          </w:p>
          <w:p w14:paraId="17EC79B2">
            <w:pPr>
              <w:snapToGrid w:val="0"/>
              <w:spacing w:line="240" w:lineRule="auto"/>
              <w:jc w:val="left"/>
              <w:rPr>
                <w:rFonts w:hint="eastAsia" w:ascii="微软雅黑" w:hAnsi="微软雅黑" w:eastAsia="微软雅黑" w:cs="微软雅黑"/>
                <w:color w:val="auto"/>
                <w:szCs w:val="21"/>
                <w:highlight w:val="none"/>
              </w:rPr>
            </w:pPr>
            <w:bookmarkStart w:id="202" w:name="_Toc32513"/>
            <w:r>
              <w:rPr>
                <w:rFonts w:hint="eastAsia" w:ascii="微软雅黑" w:hAnsi="微软雅黑" w:eastAsia="微软雅黑" w:cs="微软雅黑"/>
                <w:color w:val="auto"/>
                <w:szCs w:val="21"/>
                <w:highlight w:val="none"/>
              </w:rPr>
              <w:t>3.3.数据库应用可用率≥99.9%；</w:t>
            </w:r>
            <w:bookmarkEnd w:id="202"/>
          </w:p>
          <w:p w14:paraId="58FF402B">
            <w:pPr>
              <w:snapToGrid w:val="0"/>
              <w:spacing w:line="240" w:lineRule="auto"/>
              <w:jc w:val="left"/>
              <w:rPr>
                <w:rFonts w:hint="eastAsia" w:ascii="微软雅黑" w:hAnsi="微软雅黑" w:eastAsia="微软雅黑" w:cs="微软雅黑"/>
                <w:color w:val="auto"/>
                <w:szCs w:val="21"/>
                <w:highlight w:val="none"/>
              </w:rPr>
            </w:pPr>
            <w:bookmarkStart w:id="203" w:name="_Toc15730"/>
            <w:r>
              <w:rPr>
                <w:rFonts w:hint="eastAsia" w:ascii="微软雅黑" w:hAnsi="微软雅黑" w:eastAsia="微软雅黑" w:cs="微软雅黑"/>
                <w:color w:val="auto"/>
                <w:szCs w:val="21"/>
                <w:highlight w:val="none"/>
              </w:rPr>
              <w:t>3.4.WEB应用可用率≥99.9%；</w:t>
            </w:r>
            <w:bookmarkEnd w:id="203"/>
          </w:p>
          <w:p w14:paraId="3AA546E4">
            <w:pPr>
              <w:snapToGrid w:val="0"/>
              <w:spacing w:line="240" w:lineRule="auto"/>
              <w:jc w:val="left"/>
              <w:rPr>
                <w:rFonts w:hint="eastAsia" w:ascii="微软雅黑" w:hAnsi="微软雅黑" w:eastAsia="微软雅黑" w:cs="微软雅黑"/>
                <w:color w:val="auto"/>
                <w:szCs w:val="21"/>
                <w:highlight w:val="none"/>
              </w:rPr>
            </w:pPr>
            <w:bookmarkStart w:id="204" w:name="_Toc28560"/>
            <w:r>
              <w:rPr>
                <w:rFonts w:hint="eastAsia" w:ascii="微软雅黑" w:hAnsi="微软雅黑" w:eastAsia="微软雅黑" w:cs="微软雅黑"/>
                <w:color w:val="auto"/>
                <w:szCs w:val="21"/>
                <w:highlight w:val="none"/>
              </w:rPr>
              <w:t>3.5.避免出现无故退出系统或因系统故障导致操作系统或机器无法正常工作。</w:t>
            </w:r>
            <w:bookmarkEnd w:id="204"/>
          </w:p>
          <w:p w14:paraId="0516D391">
            <w:pPr>
              <w:snapToGrid w:val="0"/>
              <w:spacing w:line="240" w:lineRule="auto"/>
              <w:jc w:val="left"/>
              <w:rPr>
                <w:rFonts w:hint="eastAsia" w:ascii="微软雅黑" w:hAnsi="微软雅黑" w:eastAsia="微软雅黑" w:cs="微软雅黑"/>
                <w:color w:val="auto"/>
                <w:szCs w:val="21"/>
                <w:highlight w:val="none"/>
              </w:rPr>
            </w:pPr>
            <w:bookmarkStart w:id="205" w:name="_Toc6675"/>
            <w:r>
              <w:rPr>
                <w:rFonts w:hint="eastAsia" w:ascii="微软雅黑" w:hAnsi="微软雅黑" w:eastAsia="微软雅黑" w:cs="微软雅黑"/>
                <w:color w:val="auto"/>
                <w:szCs w:val="21"/>
                <w:highlight w:val="none"/>
              </w:rPr>
              <w:t>4.安全要求</w:t>
            </w:r>
            <w:bookmarkEnd w:id="205"/>
          </w:p>
          <w:p w14:paraId="6DCD5FD6">
            <w:pPr>
              <w:snapToGrid w:val="0"/>
              <w:spacing w:line="240" w:lineRule="auto"/>
              <w:jc w:val="left"/>
              <w:rPr>
                <w:rFonts w:hint="eastAsia" w:ascii="微软雅黑" w:hAnsi="微软雅黑" w:eastAsia="微软雅黑" w:cs="微软雅黑"/>
                <w:color w:val="auto"/>
                <w:szCs w:val="21"/>
                <w:highlight w:val="none"/>
              </w:rPr>
            </w:pPr>
            <w:bookmarkStart w:id="206" w:name="_Toc31840"/>
            <w:r>
              <w:rPr>
                <w:rFonts w:hint="eastAsia" w:ascii="微软雅黑" w:hAnsi="微软雅黑" w:eastAsia="微软雅黑" w:cs="微软雅黑"/>
                <w:color w:val="auto"/>
                <w:szCs w:val="21"/>
                <w:highlight w:val="none"/>
              </w:rPr>
              <w:t>根据《信息系统密码应用基本要求》（GM/T 0054-2018）标准规范，结合本项目实际情况，应用和数据安全需符合等级保护第二级标准建设。</w:t>
            </w:r>
            <w:bookmarkEnd w:id="206"/>
          </w:p>
          <w:p w14:paraId="4865B2E5">
            <w:pPr>
              <w:snapToGrid w:val="0"/>
              <w:spacing w:line="240" w:lineRule="auto"/>
              <w:jc w:val="left"/>
              <w:rPr>
                <w:rFonts w:hint="eastAsia" w:ascii="微软雅黑" w:hAnsi="微软雅黑" w:eastAsia="微软雅黑" w:cs="微软雅黑"/>
                <w:color w:val="auto"/>
                <w:szCs w:val="21"/>
                <w:highlight w:val="none"/>
              </w:rPr>
            </w:pPr>
            <w:bookmarkStart w:id="207" w:name="_Toc683"/>
            <w:r>
              <w:rPr>
                <w:rFonts w:hint="eastAsia" w:ascii="微软雅黑" w:hAnsi="微软雅黑" w:eastAsia="微软雅黑" w:cs="微软雅黑"/>
                <w:color w:val="auto"/>
                <w:szCs w:val="21"/>
                <w:highlight w:val="none"/>
              </w:rPr>
              <w:t>建设要求如下：</w:t>
            </w:r>
            <w:bookmarkEnd w:id="207"/>
          </w:p>
          <w:p w14:paraId="7ACD0772">
            <w:pPr>
              <w:snapToGrid w:val="0"/>
              <w:spacing w:line="240" w:lineRule="auto"/>
              <w:jc w:val="left"/>
              <w:rPr>
                <w:rFonts w:hint="eastAsia" w:ascii="微软雅黑" w:hAnsi="微软雅黑" w:eastAsia="微软雅黑" w:cs="微软雅黑"/>
                <w:color w:val="auto"/>
                <w:szCs w:val="21"/>
                <w:highlight w:val="none"/>
              </w:rPr>
            </w:pPr>
            <w:bookmarkStart w:id="208" w:name="_Toc12326"/>
            <w:r>
              <w:rPr>
                <w:rFonts w:hint="eastAsia" w:ascii="微软雅黑" w:hAnsi="微软雅黑" w:eastAsia="微软雅黑" w:cs="微软雅黑"/>
                <w:color w:val="auto"/>
                <w:szCs w:val="21"/>
                <w:highlight w:val="none"/>
              </w:rPr>
              <w:t>4.1.使用密码技术对登录的用户进行身份标识和鉴别，实现身份鉴别信息的防截获、防假冒和防重用，保证应用系统用户身份的真实性；</w:t>
            </w:r>
            <w:bookmarkEnd w:id="208"/>
            <w:r>
              <w:rPr>
                <w:rFonts w:hint="eastAsia" w:ascii="微软雅黑" w:hAnsi="微软雅黑" w:eastAsia="微软雅黑" w:cs="微软雅黑"/>
                <w:color w:val="auto"/>
                <w:szCs w:val="21"/>
                <w:highlight w:val="none"/>
              </w:rPr>
              <w:t xml:space="preserve"> </w:t>
            </w:r>
          </w:p>
          <w:p w14:paraId="2ED966F2">
            <w:pPr>
              <w:snapToGrid w:val="0"/>
              <w:spacing w:line="240" w:lineRule="auto"/>
              <w:jc w:val="left"/>
              <w:rPr>
                <w:rFonts w:hint="eastAsia" w:ascii="微软雅黑" w:hAnsi="微软雅黑" w:eastAsia="微软雅黑" w:cs="微软雅黑"/>
                <w:color w:val="auto"/>
                <w:szCs w:val="21"/>
                <w:highlight w:val="none"/>
              </w:rPr>
            </w:pPr>
            <w:bookmarkStart w:id="209" w:name="_Toc20175"/>
            <w:r>
              <w:rPr>
                <w:rFonts w:hint="eastAsia" w:ascii="微软雅黑" w:hAnsi="微软雅黑" w:eastAsia="微软雅黑" w:cs="微软雅黑"/>
                <w:color w:val="auto"/>
                <w:szCs w:val="21"/>
                <w:highlight w:val="none"/>
              </w:rPr>
              <w:t>4.2.使用密码技术的完整性功能来保证业务应用系统访问控制策略、数据库表访问控制信息和重要信息资源敏感标记等信息的完整性；</w:t>
            </w:r>
            <w:bookmarkEnd w:id="209"/>
            <w:r>
              <w:rPr>
                <w:rFonts w:hint="eastAsia" w:ascii="微软雅黑" w:hAnsi="微软雅黑" w:eastAsia="微软雅黑" w:cs="微软雅黑"/>
                <w:color w:val="auto"/>
                <w:szCs w:val="21"/>
                <w:highlight w:val="none"/>
              </w:rPr>
              <w:t xml:space="preserve"> </w:t>
            </w:r>
          </w:p>
          <w:p w14:paraId="279D334B">
            <w:pPr>
              <w:snapToGrid w:val="0"/>
              <w:spacing w:line="240" w:lineRule="auto"/>
              <w:jc w:val="left"/>
              <w:rPr>
                <w:rFonts w:hint="eastAsia" w:ascii="微软雅黑" w:hAnsi="微软雅黑" w:eastAsia="微软雅黑" w:cs="微软雅黑"/>
                <w:color w:val="auto"/>
                <w:szCs w:val="21"/>
                <w:highlight w:val="none"/>
              </w:rPr>
            </w:pPr>
            <w:bookmarkStart w:id="210" w:name="_Toc1268"/>
            <w:r>
              <w:rPr>
                <w:rFonts w:hint="eastAsia" w:ascii="微软雅黑" w:hAnsi="微软雅黑" w:eastAsia="微软雅黑" w:cs="微软雅黑"/>
                <w:color w:val="auto"/>
                <w:szCs w:val="21"/>
                <w:highlight w:val="none"/>
              </w:rPr>
              <w:t>4.3.采用密码技术保证重要数据在传输过程中的机密性，包括但不限于鉴别数据、重要业务数据和重要用户信息等；</w:t>
            </w:r>
            <w:bookmarkEnd w:id="210"/>
            <w:r>
              <w:rPr>
                <w:rFonts w:hint="eastAsia" w:ascii="微软雅黑" w:hAnsi="微软雅黑" w:eastAsia="微软雅黑" w:cs="微软雅黑"/>
                <w:color w:val="auto"/>
                <w:szCs w:val="21"/>
                <w:highlight w:val="none"/>
              </w:rPr>
              <w:t xml:space="preserve"> </w:t>
            </w:r>
          </w:p>
          <w:p w14:paraId="47AEC8D3">
            <w:pPr>
              <w:snapToGrid w:val="0"/>
              <w:spacing w:line="240" w:lineRule="auto"/>
              <w:jc w:val="left"/>
              <w:rPr>
                <w:rFonts w:hint="eastAsia" w:ascii="微软雅黑" w:hAnsi="微软雅黑" w:eastAsia="微软雅黑" w:cs="微软雅黑"/>
                <w:color w:val="auto"/>
                <w:szCs w:val="21"/>
                <w:highlight w:val="none"/>
              </w:rPr>
            </w:pPr>
            <w:bookmarkStart w:id="211" w:name="_Toc21978"/>
            <w:r>
              <w:rPr>
                <w:rFonts w:hint="eastAsia" w:ascii="微软雅黑" w:hAnsi="微软雅黑" w:eastAsia="微软雅黑" w:cs="微软雅黑"/>
                <w:color w:val="auto"/>
                <w:szCs w:val="21"/>
                <w:highlight w:val="none"/>
              </w:rPr>
              <w:t>4.4.采用密码技术保证重要数据在存储过程中的机密性，包括但不限于鉴别数据、重要业务数据和重要用户信息等；</w:t>
            </w:r>
            <w:bookmarkEnd w:id="211"/>
            <w:r>
              <w:rPr>
                <w:rFonts w:hint="eastAsia" w:ascii="微软雅黑" w:hAnsi="微软雅黑" w:eastAsia="微软雅黑" w:cs="微软雅黑"/>
                <w:color w:val="auto"/>
                <w:szCs w:val="21"/>
                <w:highlight w:val="none"/>
              </w:rPr>
              <w:t xml:space="preserve"> </w:t>
            </w:r>
          </w:p>
          <w:p w14:paraId="1B463942">
            <w:pPr>
              <w:snapToGrid w:val="0"/>
              <w:spacing w:line="240" w:lineRule="auto"/>
              <w:jc w:val="left"/>
              <w:rPr>
                <w:rFonts w:hint="eastAsia" w:ascii="微软雅黑" w:hAnsi="微软雅黑" w:eastAsia="微软雅黑" w:cs="微软雅黑"/>
                <w:color w:val="auto"/>
                <w:szCs w:val="21"/>
                <w:highlight w:val="none"/>
              </w:rPr>
            </w:pPr>
            <w:bookmarkStart w:id="212" w:name="_Toc19482"/>
            <w:r>
              <w:rPr>
                <w:rFonts w:hint="eastAsia" w:ascii="微软雅黑" w:hAnsi="微软雅黑" w:eastAsia="微软雅黑" w:cs="微软雅黑"/>
                <w:color w:val="auto"/>
                <w:szCs w:val="21"/>
                <w:highlight w:val="none"/>
              </w:rPr>
              <w:t>4.5.采用密码技术保证重要数据在传输过程中的完整性，包括但不限于鉴别数据、重要业务数据、重要审计数据、重要配置数据、重要视频数据和重要用户信息等；</w:t>
            </w:r>
            <w:bookmarkEnd w:id="212"/>
            <w:r>
              <w:rPr>
                <w:rFonts w:hint="eastAsia" w:ascii="微软雅黑" w:hAnsi="微软雅黑" w:eastAsia="微软雅黑" w:cs="微软雅黑"/>
                <w:color w:val="auto"/>
                <w:szCs w:val="21"/>
                <w:highlight w:val="none"/>
              </w:rPr>
              <w:t xml:space="preserve"> </w:t>
            </w:r>
          </w:p>
          <w:p w14:paraId="2714C3BE">
            <w:pPr>
              <w:snapToGrid w:val="0"/>
              <w:spacing w:line="240" w:lineRule="auto"/>
              <w:jc w:val="left"/>
              <w:rPr>
                <w:rFonts w:hint="eastAsia" w:ascii="微软雅黑" w:hAnsi="微软雅黑" w:eastAsia="微软雅黑" w:cs="微软雅黑"/>
                <w:color w:val="auto"/>
                <w:szCs w:val="21"/>
                <w:highlight w:val="none"/>
              </w:rPr>
            </w:pPr>
            <w:bookmarkStart w:id="213" w:name="_Toc9646"/>
            <w:r>
              <w:rPr>
                <w:rFonts w:hint="eastAsia" w:ascii="微软雅黑" w:hAnsi="微软雅黑" w:eastAsia="微软雅黑" w:cs="微软雅黑"/>
                <w:color w:val="auto"/>
                <w:szCs w:val="21"/>
                <w:highlight w:val="none"/>
              </w:rPr>
              <w:t>4.6.采用密码技术保证重要数据在存储过程中的完整性，包括但不限于鉴别数据、重要业务数据、重要审计数据、重要配置数据、重要视频数据和重要用户信息、重要可执行程序等；</w:t>
            </w:r>
            <w:bookmarkEnd w:id="213"/>
            <w:r>
              <w:rPr>
                <w:rFonts w:hint="eastAsia" w:ascii="微软雅黑" w:hAnsi="微软雅黑" w:eastAsia="微软雅黑" w:cs="微软雅黑"/>
                <w:color w:val="auto"/>
                <w:szCs w:val="21"/>
                <w:highlight w:val="none"/>
              </w:rPr>
              <w:t xml:space="preserve"> </w:t>
            </w:r>
          </w:p>
          <w:p w14:paraId="7196315D">
            <w:pPr>
              <w:snapToGrid w:val="0"/>
              <w:spacing w:line="240" w:lineRule="auto"/>
              <w:jc w:val="left"/>
              <w:rPr>
                <w:rFonts w:hint="eastAsia" w:ascii="微软雅黑" w:hAnsi="微软雅黑" w:eastAsia="微软雅黑" w:cs="微软雅黑"/>
                <w:color w:val="auto"/>
                <w:szCs w:val="21"/>
                <w:highlight w:val="none"/>
              </w:rPr>
            </w:pPr>
            <w:bookmarkStart w:id="214" w:name="_Toc15974"/>
            <w:r>
              <w:rPr>
                <w:rFonts w:hint="eastAsia" w:ascii="微软雅黑" w:hAnsi="微软雅黑" w:eastAsia="微软雅黑" w:cs="微软雅黑"/>
                <w:color w:val="auto"/>
                <w:szCs w:val="21"/>
                <w:highlight w:val="none"/>
              </w:rPr>
              <w:t>4.7.使用密码技术的完整性功能来实现对日志记录完整性的保护；</w:t>
            </w:r>
            <w:bookmarkEnd w:id="214"/>
            <w:r>
              <w:rPr>
                <w:rFonts w:hint="eastAsia" w:ascii="微软雅黑" w:hAnsi="微软雅黑" w:eastAsia="微软雅黑" w:cs="微软雅黑"/>
                <w:color w:val="auto"/>
                <w:szCs w:val="21"/>
                <w:highlight w:val="none"/>
              </w:rPr>
              <w:t xml:space="preserve"> </w:t>
            </w:r>
          </w:p>
          <w:p w14:paraId="7C70497C">
            <w:pPr>
              <w:snapToGrid w:val="0"/>
              <w:spacing w:line="240" w:lineRule="auto"/>
              <w:jc w:val="left"/>
              <w:rPr>
                <w:rFonts w:hint="eastAsia" w:ascii="微软雅黑" w:hAnsi="微软雅黑" w:eastAsia="微软雅黑" w:cs="微软雅黑"/>
                <w:color w:val="auto"/>
                <w:szCs w:val="21"/>
                <w:highlight w:val="none"/>
              </w:rPr>
            </w:pPr>
            <w:bookmarkStart w:id="215" w:name="_Toc13457"/>
            <w:r>
              <w:rPr>
                <w:rFonts w:hint="eastAsia" w:ascii="微软雅黑" w:hAnsi="微软雅黑" w:eastAsia="微软雅黑" w:cs="微软雅黑"/>
                <w:color w:val="auto"/>
                <w:szCs w:val="21"/>
                <w:highlight w:val="none"/>
              </w:rPr>
              <w:t>5.国产适配要求</w:t>
            </w:r>
            <w:bookmarkEnd w:id="215"/>
          </w:p>
          <w:p w14:paraId="3751CAC9">
            <w:pPr>
              <w:snapToGrid w:val="0"/>
              <w:spacing w:line="240" w:lineRule="auto"/>
              <w:ind w:firstLine="0" w:firstLineChars="0"/>
              <w:jc w:val="left"/>
              <w:outlineLvl w:val="9"/>
              <w:rPr>
                <w:rFonts w:hint="eastAsia" w:ascii="微软雅黑" w:hAnsi="微软雅黑" w:eastAsia="微软雅黑" w:cs="微软雅黑"/>
                <w:b w:val="0"/>
                <w:bCs w:val="0"/>
                <w:color w:val="auto"/>
                <w:kern w:val="2"/>
                <w:sz w:val="21"/>
                <w:szCs w:val="21"/>
                <w:highlight w:val="none"/>
                <w:lang w:bidi="ar"/>
              </w:rPr>
            </w:pPr>
            <w:bookmarkStart w:id="216" w:name="_Toc16137"/>
            <w:r>
              <w:rPr>
                <w:rFonts w:hint="eastAsia" w:ascii="微软雅黑" w:hAnsi="微软雅黑" w:eastAsia="微软雅黑" w:cs="微软雅黑"/>
                <w:color w:val="auto"/>
                <w:szCs w:val="21"/>
                <w:highlight w:val="none"/>
              </w:rPr>
              <w:t>根据国家信创工作要求，本项目需要基于广西区公安厅云计算平台信创环境运行，系统建设需遵循信创各项适配工作，包括浏览器、中间件、数据库和操作系统。</w:t>
            </w:r>
            <w:bookmarkEnd w:id="216"/>
          </w:p>
        </w:tc>
      </w:tr>
      <w:tr w14:paraId="44314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55" w:type="dxa"/>
            <w:vAlign w:val="center"/>
          </w:tcPr>
          <w:p w14:paraId="284982B5">
            <w:pPr>
              <w:snapToGrid w:val="0"/>
              <w:spacing w:line="240" w:lineRule="auto"/>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rPr>
              <w:t>3</w:t>
            </w:r>
          </w:p>
        </w:tc>
        <w:tc>
          <w:tcPr>
            <w:tcW w:w="1328" w:type="dxa"/>
            <w:vAlign w:val="center"/>
          </w:tcPr>
          <w:p w14:paraId="2D6EB1D1">
            <w:pPr>
              <w:snapToGrid w:val="0"/>
              <w:spacing w:line="240" w:lineRule="auto"/>
              <w:jc w:val="center"/>
              <w:rPr>
                <w:rFonts w:hint="eastAsia" w:ascii="微软雅黑" w:hAnsi="微软雅黑" w:eastAsia="微软雅黑" w:cs="微软雅黑"/>
                <w:b/>
                <w:bCs/>
                <w:color w:val="auto"/>
                <w:sz w:val="21"/>
                <w:szCs w:val="21"/>
                <w:highlight w:val="none"/>
                <w:lang w:val="en-US"/>
              </w:rPr>
            </w:pPr>
            <w:r>
              <w:rPr>
                <w:rFonts w:hint="eastAsia" w:ascii="微软雅黑" w:hAnsi="微软雅黑" w:eastAsia="微软雅黑" w:cs="微软雅黑"/>
                <w:b/>
                <w:bCs/>
                <w:color w:val="auto"/>
                <w:sz w:val="21"/>
                <w:szCs w:val="21"/>
                <w:highlight w:val="none"/>
              </w:rPr>
              <w:t>大数据实战平台</w:t>
            </w:r>
          </w:p>
        </w:tc>
        <w:tc>
          <w:tcPr>
            <w:tcW w:w="1164" w:type="dxa"/>
            <w:vAlign w:val="center"/>
          </w:tcPr>
          <w:p w14:paraId="5BC619DE">
            <w:pPr>
              <w:snapToGrid w:val="0"/>
              <w:spacing w:line="240" w:lineRule="auto"/>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rPr>
              <w:t>1项</w:t>
            </w:r>
          </w:p>
        </w:tc>
        <w:tc>
          <w:tcPr>
            <w:tcW w:w="5985" w:type="dxa"/>
            <w:vAlign w:val="center"/>
          </w:tcPr>
          <w:p w14:paraId="5A982E3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一、大数据实战平台功能升级</w:t>
            </w:r>
          </w:p>
          <w:p w14:paraId="3C029F6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要求对大数据实战平台内功能实现页面级和数据级分层解耦，相关页面和数据接口通过采购人中台对其他系统开放共享，功能需求如下：</w:t>
            </w:r>
          </w:p>
          <w:p w14:paraId="06B7DF8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1.实战平台</w:t>
            </w:r>
          </w:p>
          <w:p w14:paraId="21DC996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统一门户支持丰富的常用小工具，包括IP归属地查询、IP转换、时间转换、进制转换、MD5转换、字符内容转UTF-8、字符内容转US-ASCII、字符内容转GBK、字符内容转ISO_8859_1、字符内容转UTF-16、字符内容转UTF-16BE、字符内容转UTF-16LE、二维码生成等。</w:t>
            </w:r>
          </w:p>
          <w:p w14:paraId="40D6B05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1.1.1提供手机归属地查询小工具，实现手机号码的归属地及卡类型查询。</w:t>
            </w:r>
          </w:p>
          <w:p w14:paraId="08956C4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1.1.2提供IP归属地查询小工具，实现ip的归属地以及地点查询。</w:t>
            </w:r>
          </w:p>
          <w:p w14:paraId="3591807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1.1.3提供身份证18位转15位小工具，支持将18位身份证号转换为15位身份证号码。</w:t>
            </w:r>
          </w:p>
          <w:p w14:paraId="566D389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1.1.4提供身份证15位转18位小工具，支持将15位身份证号转换为18位身份证号码。</w:t>
            </w:r>
          </w:p>
          <w:p w14:paraId="02982B9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提供</w:t>
            </w:r>
          </w:p>
          <w:p w14:paraId="6913812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1.1.5提供整数IP转点分IP小工具，支持将整数值IP转换为点分IP。</w:t>
            </w:r>
          </w:p>
          <w:p w14:paraId="46985AF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1.1.6提供点分IP转整数IP小工具，支持将点分IP转换为整数值IP。</w:t>
            </w:r>
          </w:p>
          <w:p w14:paraId="6A1531A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1.1.7提供整数值时间转日历值时间小工具，支持将整数值时间转换为日历值。</w:t>
            </w:r>
          </w:p>
          <w:p w14:paraId="0754445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1.1.8提供日历值时间转整数值时间小工具，支持将日历值时间转换为整数值。</w:t>
            </w:r>
          </w:p>
          <w:p w14:paraId="291D6ED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1.1.9提供10进制转16进制小工具，支持将10进制数字转换为16进制。</w:t>
            </w:r>
          </w:p>
          <w:p w14:paraId="766A953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1.1.10提供16进制转10进制小工具，支持将16进制数字转换为10进制。</w:t>
            </w:r>
          </w:p>
          <w:p w14:paraId="3C36BE5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1.1.11提供MD5转换小工具，支持生成制定文件的MD5码。</w:t>
            </w:r>
          </w:p>
          <w:p w14:paraId="2E218AA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1.1.12提供字符内容转UTF-8小工具，支持将文本内容按照UTF-8编码进行转义。</w:t>
            </w:r>
          </w:p>
          <w:p w14:paraId="7AB54DC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1.1.13提供字符内容转US-ASCII小工具，支持将文本内容按照US-ASCII编码进行转义。</w:t>
            </w:r>
          </w:p>
          <w:p w14:paraId="4357031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1.1.14提供字符内容转GBK小工具，支持将文本内容按照GBK编码进行转义。</w:t>
            </w:r>
          </w:p>
          <w:p w14:paraId="3FCAC4B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1.1．15提供字符内容转ISO_8859_1小工具，支持将文本内容按照ISO_8859_1编码进行转义。</w:t>
            </w:r>
          </w:p>
          <w:p w14:paraId="29E0555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1.1.16提供字符内容转UTF-16小工具，支持将文本内容按照UTF-16编码进行转义。</w:t>
            </w:r>
          </w:p>
          <w:p w14:paraId="797E052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1.1.17提供字符内容转UTF-16BE小工具，支持将文本内容按照UTF-16BE编码进行转义。</w:t>
            </w:r>
          </w:p>
          <w:p w14:paraId="5A6CED3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1.1.18提供字符内容转UTF-16LE小工具，支持将文本内容按照UTF-16LE编码进行转义。</w:t>
            </w:r>
          </w:p>
          <w:p w14:paraId="141E26D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1.1.19提供二维码生成小工具，支持生成含有制定文本的二维码。</w:t>
            </w:r>
          </w:p>
          <w:p w14:paraId="49D003D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提供多种消息类型的接收和发送功能，分为预警消息、通知公告、消息权限、对外接口等几个部分，可以实现应用和用户之间的通信以及用户和用户之间的消息通信，解决各应用没有统一的消息交互问题。提供实战待办事项快速入口，为民警提供统一待办事项管理功能。</w:t>
            </w:r>
          </w:p>
          <w:p w14:paraId="7A87D46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1.2.1提供预警消息管理功能，包括消息的接收、展示、筛选、签收、删除、统计。</w:t>
            </w:r>
          </w:p>
          <w:p w14:paraId="0F04392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1.2.2提供通知公告管理功能，支持对通知公告发布、签收，支持通知公告预览及展示，支持筛选、删除、统计等功能。</w:t>
            </w:r>
          </w:p>
          <w:p w14:paraId="2273719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1.2.3提供消息权限管理功能，支持根据不同用户指定消息权限。</w:t>
            </w:r>
          </w:p>
          <w:p w14:paraId="47A7E84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1．2.4提供对外接口功能，支持提供统一的消息推送接口。</w:t>
            </w:r>
          </w:p>
          <w:p w14:paraId="4C7B917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1.3.提供快速入口功能，包括快速入口注册和快速入口获取。</w:t>
            </w:r>
            <w:r>
              <w:rPr>
                <w:rFonts w:ascii="微软雅黑" w:hAnsi="微软雅黑" w:eastAsia="微软雅黑" w:cs="微软雅黑"/>
                <w:color w:val="auto"/>
                <w:szCs w:val="21"/>
                <w:highlight w:val="none"/>
              </w:rPr>
              <w:t xml:space="preserve"> </w:t>
            </w:r>
          </w:p>
          <w:p w14:paraId="7B2436E4">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1.3.1提供快速入口注册功能，支持快速入口注册，方便不同应用间的快速跳转，点击账号时，弹出注册支持的应用，点击应用，跳转到对应的应用界面。</w:t>
            </w:r>
          </w:p>
          <w:p w14:paraId="7533DE4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1.3.2提供快速入口获取功能，支持以</w:t>
            </w:r>
            <w:r>
              <w:rPr>
                <w:rFonts w:ascii="微软雅黑" w:hAnsi="微软雅黑" w:eastAsia="微软雅黑" w:cs="微软雅黑"/>
                <w:color w:val="auto"/>
                <w:szCs w:val="21"/>
                <w:highlight w:val="none"/>
              </w:rPr>
              <w:t>提供链接</w:t>
            </w:r>
            <w:r>
              <w:rPr>
                <w:rFonts w:hint="eastAsia" w:ascii="微软雅黑" w:hAnsi="微软雅黑" w:eastAsia="微软雅黑" w:cs="微软雅黑"/>
                <w:color w:val="auto"/>
                <w:szCs w:val="21"/>
                <w:highlight w:val="none"/>
              </w:rPr>
              <w:t>入口的</w:t>
            </w:r>
            <w:r>
              <w:rPr>
                <w:rFonts w:ascii="微软雅黑" w:hAnsi="微软雅黑" w:eastAsia="微软雅黑" w:cs="微软雅黑"/>
                <w:color w:val="auto"/>
                <w:szCs w:val="21"/>
                <w:highlight w:val="none"/>
              </w:rPr>
              <w:t>方式</w:t>
            </w:r>
            <w:r>
              <w:rPr>
                <w:rFonts w:hint="eastAsia" w:ascii="微软雅黑" w:hAnsi="微软雅黑" w:eastAsia="微软雅黑" w:cs="微软雅黑"/>
                <w:color w:val="auto"/>
                <w:szCs w:val="21"/>
                <w:highlight w:val="none"/>
              </w:rPr>
              <w:t>，</w:t>
            </w:r>
            <w:r>
              <w:rPr>
                <w:rFonts w:ascii="微软雅黑" w:hAnsi="微软雅黑" w:eastAsia="微软雅黑" w:cs="微软雅黑"/>
                <w:color w:val="auto"/>
                <w:szCs w:val="21"/>
                <w:highlight w:val="none"/>
              </w:rPr>
              <w:t>让民警快速访问</w:t>
            </w:r>
            <w:r>
              <w:rPr>
                <w:rFonts w:hint="eastAsia" w:ascii="微软雅黑" w:hAnsi="微软雅黑" w:eastAsia="微软雅黑" w:cs="微软雅黑"/>
                <w:color w:val="auto"/>
                <w:szCs w:val="21"/>
                <w:highlight w:val="none"/>
              </w:rPr>
              <w:t>视综平台、警务基础信息一张图等相关</w:t>
            </w:r>
            <w:r>
              <w:rPr>
                <w:rFonts w:ascii="微软雅黑" w:hAnsi="微软雅黑" w:eastAsia="微软雅黑" w:cs="微软雅黑"/>
                <w:color w:val="auto"/>
                <w:szCs w:val="21"/>
                <w:highlight w:val="none"/>
              </w:rPr>
              <w:t>系统</w:t>
            </w:r>
            <w:r>
              <w:rPr>
                <w:rFonts w:hint="eastAsia" w:ascii="微软雅黑" w:hAnsi="微软雅黑" w:eastAsia="微软雅黑" w:cs="微软雅黑"/>
                <w:color w:val="auto"/>
                <w:szCs w:val="21"/>
                <w:highlight w:val="none"/>
              </w:rPr>
              <w:t>。</w:t>
            </w:r>
          </w:p>
          <w:p w14:paraId="36AC7BA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1.4针对系统使用情况提供在线人数统计和今日访问统计功能。</w:t>
            </w:r>
          </w:p>
          <w:p w14:paraId="66AD381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1.4.1在线人数统计支持实时显示当前系统在线用户数。</w:t>
            </w:r>
          </w:p>
          <w:p w14:paraId="40A13B5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1.4.2今日访问统计支持统计所有实际访问的人数。</w:t>
            </w:r>
          </w:p>
          <w:p w14:paraId="0041FA3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1.5.支持红名单功能，控制查询红名单相关的权限。</w:t>
            </w:r>
          </w:p>
          <w:p w14:paraId="7E9D09D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1.5.1支持在页面添加单个红名单信息。</w:t>
            </w:r>
          </w:p>
          <w:p w14:paraId="09D04EEE">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1.5.2支持通过文件导入的方式批量添加红名单信息。</w:t>
            </w:r>
          </w:p>
          <w:p w14:paraId="0CDBAC7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1.5.3支持校验账号信息是否在红名单内。</w:t>
            </w:r>
          </w:p>
          <w:p w14:paraId="1BCD594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支持用户根据自己喜好上传图片作为统一门户的桌面背景。支持提供多类经典主题风格信息，同时支持用户自定义系统风格，允许用户分享风格信息，包括主题名称、创建时间、作者、头像、是否共享信息，支持对主题的管理。</w:t>
            </w:r>
          </w:p>
          <w:p w14:paraId="3D1A7CB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1.6.1个人主题信息，提供多类经典主题风格信息，同时支持用户自定义系统风格，允许用户分享风格信息，包括主题名称、创建时间、作者、头像、是否共享信息。</w:t>
            </w:r>
          </w:p>
          <w:p w14:paraId="6396769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1.6.2桌面主题设置，支持配置桌面主题。</w:t>
            </w:r>
          </w:p>
          <w:p w14:paraId="5561D80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1.6.3新增桌面主题，支持上传自定义主题图片。</w:t>
            </w:r>
          </w:p>
          <w:p w14:paraId="0CBAEB9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1.6.4桌面主题更改，支持修改当前桌面主题。</w:t>
            </w:r>
          </w:p>
          <w:p w14:paraId="0C3BA1B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1.6.5桌面主题删除，支持删除已有主题。</w:t>
            </w:r>
          </w:p>
          <w:p w14:paraId="3E6BB70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1.6.6当前登录用户信息展示，支持展示当前登录用户信息。</w:t>
            </w:r>
          </w:p>
          <w:p w14:paraId="62CFF66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1.6.7当前登录用户头像展示，支持展示当前用户头像。</w:t>
            </w:r>
          </w:p>
          <w:p w14:paraId="7565913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1.6.8当前登录用户头像图片上传，支持上传当前登录用户头像。</w:t>
            </w:r>
          </w:p>
          <w:p w14:paraId="2EEDD0F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1.6.9当前登录用户头像图片保存，支持保存当前登录用户头像。</w:t>
            </w:r>
          </w:p>
          <w:p w14:paraId="23F2E1E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1.6.10当前登录用户头像图片编辑，支持允许编辑当前登录用户头像。</w:t>
            </w:r>
          </w:p>
          <w:p w14:paraId="351D358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1.7.提供统一水印接口，可以方便各个应用展示用户的水印信息。</w:t>
            </w:r>
          </w:p>
          <w:p w14:paraId="65EA80C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1.8.系统支持对采购人数据中的时空要素进行比对，支持按照时间、 时空类型、时空关系进行精确比对和相似比对；</w:t>
            </w:r>
          </w:p>
          <w:p w14:paraId="57195E3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1.9.系统支持在地图通过感知数据、检索时段对感知数据进行检索，在地图上刻画时空信息并支持导出；</w:t>
            </w:r>
          </w:p>
          <w:p w14:paraId="16220D1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1.10.系统支持通过证件号码、检索时段对证件号码进行数据检索，支持在地图上刻画时空信息并支持导出；</w:t>
            </w:r>
          </w:p>
          <w:p w14:paraId="10B9D5D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1.11.系统支持通过车牌号码、颜色、检索时段进行数据检索，支持在地图上刻画时空信息并支持导出；</w:t>
            </w:r>
          </w:p>
          <w:p w14:paraId="64632F6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1.12.系统支持在地图上通过生物特征、检索时段对进行时空检索，在地图上刻画时空信息并支持导出；</w:t>
            </w:r>
          </w:p>
          <w:p w14:paraId="7C4D1B2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1.13.系统支持在地图上通过硬件地址、检索时段对进行数据检索，在地图上刻画时空信息并支持导出；</w:t>
            </w:r>
          </w:p>
          <w:p w14:paraId="5033A29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1.14.系统支持通过人员、车辆</w:t>
            </w:r>
            <w:r>
              <w:rPr>
                <w:rFonts w:hint="eastAsia" w:ascii="微软雅黑" w:hAnsi="微软雅黑" w:eastAsia="微软雅黑" w:cs="微软雅黑"/>
                <w:color w:val="auto"/>
                <w:szCs w:val="21"/>
                <w:highlight w:val="none"/>
                <w:lang w:val="en-US" w:eastAsia="zh-CN"/>
              </w:rPr>
              <w:t>等</w:t>
            </w:r>
            <w:r>
              <w:rPr>
                <w:rFonts w:hint="eastAsia" w:ascii="微软雅黑" w:hAnsi="微软雅黑" w:eastAsia="微软雅黑" w:cs="微软雅黑"/>
                <w:color w:val="auto"/>
                <w:szCs w:val="21"/>
                <w:highlight w:val="none"/>
              </w:rPr>
              <w:t>感知数据，根据检索时段及检索设备对各数据进行碰撞分析，查询并展示关联信息，多维关联分析数据包括人员、车辆等数据，支持对关联信息进行存档操作，选中可查看关联点位详情，支持驾乘人员比对及图片下载。</w:t>
            </w:r>
          </w:p>
          <w:p w14:paraId="4625109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2.巡防勤务</w:t>
            </w:r>
          </w:p>
          <w:p w14:paraId="4EAE793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2.1.勤务云图</w:t>
            </w:r>
          </w:p>
          <w:p w14:paraId="775CD88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勤务一图展示，综合展现视频监控、</w:t>
            </w:r>
            <w:r>
              <w:rPr>
                <w:rFonts w:hint="eastAsia" w:ascii="微软雅黑" w:hAnsi="微软雅黑" w:eastAsia="微软雅黑" w:cs="微软雅黑"/>
                <w:color w:val="auto"/>
                <w:szCs w:val="21"/>
                <w:highlight w:val="none"/>
                <w:lang w:val="en-US" w:eastAsia="zh-CN"/>
              </w:rPr>
              <w:t>人员</w:t>
            </w:r>
            <w:r>
              <w:rPr>
                <w:rFonts w:hint="eastAsia" w:ascii="微软雅黑" w:hAnsi="微软雅黑" w:eastAsia="微软雅黑" w:cs="微软雅黑"/>
                <w:color w:val="auto"/>
                <w:szCs w:val="21"/>
                <w:highlight w:val="none"/>
              </w:rPr>
              <w:t>特征卡口、车辆卡口、重点场所等各类信息资源。</w:t>
            </w:r>
          </w:p>
          <w:p w14:paraId="75EDF54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2.1.1.巡逻防控</w:t>
            </w:r>
          </w:p>
          <w:p w14:paraId="3340963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平台可查看当天巡逻任务，任务列表的排序根据执勤中、待执勤和已执勤顺序排列，支持输入任务名称关键词以及根据任务状态和执勤单位进行筛选。</w:t>
            </w:r>
          </w:p>
          <w:p w14:paraId="31247C6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点击列表某个巡逻任务后，则地图自动定位至该任务巡区，并且右侧展示该任务执勤人员信息以及周边视频。人员信息包括人员的姓名、负责部门、当前执勤的状态（是否正常上班），周边视频按钮，则可查看该巡区范围内视频设备的视频。</w:t>
            </w:r>
          </w:p>
          <w:p w14:paraId="7BCD346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2.1.2.巡防统计</w:t>
            </w:r>
          </w:p>
          <w:p w14:paraId="2FF2496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可查看当天巡防工作的情况统计，巡防统计列表展示各个部门巡防的任务数、盘查数、见警率。选中某个部门后，右侧可展示该部门下的人员统计及车辆统计数据。人员数据包括巡逻里程、巡逻时长、盘查数、签到数，按照巡逻里程由大到小排列；车辆数据包括巡逻里程、巡逻时长、盘查数、签到数，按照巡逻里程由大到小排列。</w:t>
            </w:r>
          </w:p>
          <w:p w14:paraId="471FF21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2.2.勤务管理</w:t>
            </w:r>
          </w:p>
          <w:p w14:paraId="7FD84C4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2.2.1.勤务管理流程</w:t>
            </w:r>
          </w:p>
          <w:p w14:paraId="5167A4D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巡防任务流程：开始创建巡防任务→班次信息设置→岗位信息设置→巡区信息设置→必到点信息设置→任务创建完成</w:t>
            </w:r>
          </w:p>
          <w:p w14:paraId="4502604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勤务排班流程：选择巡防任务→编组信息设置→选择小组→排班完成。</w:t>
            </w:r>
          </w:p>
          <w:p w14:paraId="2F23ACC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2.2.2.巡防设置</w:t>
            </w:r>
          </w:p>
          <w:p w14:paraId="7CDDAF7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2.2.2.1.巡防岗位设置</w:t>
            </w:r>
          </w:p>
          <w:p w14:paraId="1A4D90E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平台支持巡防岗位管理及新增，岗位信息包含岗位名称、岗位类型、是否启用。可根据岗位名称、岗位类型、岗位状态检索岗位信息。</w:t>
            </w:r>
          </w:p>
          <w:p w14:paraId="79342E0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2.2.2.2.巡防班次设置</w:t>
            </w:r>
          </w:p>
          <w:p w14:paraId="73A61C9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平台支持巡防班次管理及新增，班次信息包含班次名称、班次时间、休息时间。可根据班次名称检索班次信息。</w:t>
            </w:r>
          </w:p>
          <w:p w14:paraId="3589565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2.2.2.3.巡防考核设置</w:t>
            </w:r>
          </w:p>
          <w:p w14:paraId="60DD15F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平台支持巡防考核信息设置，考核项包括出界、久坐异常、缺岗、签到异常、签退异常。可设置单人/单个考核周期的考核总分以及考核周期在每个月几号。</w:t>
            </w:r>
          </w:p>
          <w:p w14:paraId="54457B2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2.2.2.4.异常告警设置</w:t>
            </w:r>
          </w:p>
          <w:p w14:paraId="2C8F048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平台支持对巡防异常告警设置，针对出界、久坐、缺岗、签到异常、签退异常进行设置。如“出界异常”设置为15分钟，则人员的GPS位置离开岗点范围超过15分钟记录为一次出界。</w:t>
            </w:r>
          </w:p>
          <w:p w14:paraId="7677C31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2.2.3.巡防安排.</w:t>
            </w:r>
          </w:p>
          <w:p w14:paraId="08D4D43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2.2.3.1.巡防任务管理</w:t>
            </w:r>
          </w:p>
          <w:p w14:paraId="4C1E0F2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平台支持巡防任务管理及新增巡防任务信息。任务信息包含基础信息、班次/岗位、任务要求。</w:t>
            </w:r>
          </w:p>
          <w:p w14:paraId="7464289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任务基础信息：输入任务名称、选择任务类型、负责部门、任务区域、任务描述。其中任务区域可绑定已有巡区数据，也可在地图上重新绘制巡区。</w:t>
            </w:r>
          </w:p>
          <w:p w14:paraId="4131FF0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班次/岗位：选择班次和要求执勤人员数量，可增加多个班次。</w:t>
            </w:r>
          </w:p>
          <w:p w14:paraId="071C73B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任务要求：分为盘查要求（输入每次执勤要求的盘查数量）和签到要求（选择执勤中需要签到的地点以及需要签到的次数，支持多个签到地点）。</w:t>
            </w:r>
          </w:p>
          <w:p w14:paraId="1860699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支持任务检索，可根据任务名称、任务日期、负责部门、任务状态、创建人检索任务信息。</w:t>
            </w:r>
          </w:p>
          <w:p w14:paraId="5CB2E5F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2.2.3.2.巡防编组管理</w:t>
            </w:r>
          </w:p>
          <w:p w14:paraId="2CF4E20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平台支持巡防编组管理及新增。编组信息包含基础信息和小组成员。可根据小组名称、组员检索编组信息。</w:t>
            </w:r>
          </w:p>
          <w:p w14:paraId="0C128AD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2.2.3.3.巡防勤务排班</w:t>
            </w:r>
          </w:p>
          <w:p w14:paraId="5DE6CA3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平台支持勤务排班，对创建完成的任务进行人员及分组安排。支持批量排班。</w:t>
            </w:r>
          </w:p>
          <w:p w14:paraId="390D2A1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2.2.3.4.我的勤务安排</w:t>
            </w:r>
          </w:p>
          <w:p w14:paraId="5FA60E8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平台支持查看我的勤务安排，当前登录人可查看本人任务情况。</w:t>
            </w:r>
          </w:p>
          <w:p w14:paraId="23CBE3B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2.2.4.巡防监督.</w:t>
            </w:r>
          </w:p>
          <w:p w14:paraId="01C2366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2.2.4.1.巡防执行记录</w:t>
            </w:r>
          </w:p>
          <w:p w14:paraId="516DC5A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平台支持查看人员及部门的执勤记录，包含查看执勤签到记录、盘查记录、异常记录以及执勤时空信息。可根据部门、日期范围、任务、人员查询条件，检索勤务记录信息。</w:t>
            </w:r>
          </w:p>
          <w:p w14:paraId="1DA5790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2.2.4.2.巡防异常告警</w:t>
            </w:r>
          </w:p>
          <w:p w14:paraId="599FAF9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平台支持查看各部门人员的巡防异常告警，包含出界、久坐、缺岗、签到异常、签退异常。可根据部门、日期范围、任务、人员查询条件，检索巡防异常告警信息。</w:t>
            </w:r>
          </w:p>
          <w:p w14:paraId="25122B5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2.2.4.3.异常告警审核</w:t>
            </w:r>
          </w:p>
          <w:p w14:paraId="256408F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平台支持审核异常的执勤信息，对异常的执勤信息可审核通过或驳回。可根据告警审核状态来检索，根据部门、任务、人员做条件检索。</w:t>
            </w:r>
          </w:p>
          <w:p w14:paraId="52D03F4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2.2.4.4.我的异常告警</w:t>
            </w:r>
          </w:p>
          <w:p w14:paraId="1F3C69F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平台支持查看登录人的异常告警信息且能够进行异常告警撤销申请。</w:t>
            </w:r>
          </w:p>
          <w:p w14:paraId="4C9458E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填写申请理由及上传图片信息后提交，可申请异常告警撤销。</w:t>
            </w:r>
          </w:p>
          <w:p w14:paraId="3BD3470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2.2.4.5.我的执行记录</w:t>
            </w:r>
          </w:p>
          <w:p w14:paraId="199B0C4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平台支持查看我的执勤记录，查看执勤签到记录、盘查记录、异常记录以及执勤是时空信息。</w:t>
            </w:r>
          </w:p>
          <w:p w14:paraId="04CABDB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2.2.5.巡防考核.</w:t>
            </w:r>
          </w:p>
          <w:p w14:paraId="21646BD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2.2.2.5.1.人员任务统计</w:t>
            </w:r>
          </w:p>
          <w:p w14:paraId="6ECB9A3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查看执勤人员在执勤过程中的盘查、签到等任务完成情况。统计人员的任务数、出勤率、签到总数、签到率、盘查总数、盘查率。支持excel表格导出。</w:t>
            </w:r>
          </w:p>
          <w:p w14:paraId="09A7094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2.2.5.2.部门任务统计</w:t>
            </w:r>
          </w:p>
          <w:p w14:paraId="2F8B514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查看各部门巡防任务的完成情况。统计部门任务数、排班率、排班人数、出勤率、签到总数、签到率、盘查总数、盘查率。支持excel表格导出。</w:t>
            </w:r>
          </w:p>
          <w:p w14:paraId="32813A5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2.2.5.3.考核统计分析</w:t>
            </w:r>
          </w:p>
          <w:p w14:paraId="027E49B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图形化展示各个部门的巡逻时间和巡逻里程统计信息，可根据部门、时间条件进行检索。并且对各部门的设备包含执法记录仪、布控球、车载记录仪、警用汽车、对讲机进行分别统计在岗时长和巡逻里程。数据支持以excel表格导出。</w:t>
            </w:r>
          </w:p>
          <w:p w14:paraId="67111EA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2.3.力量调配</w:t>
            </w:r>
          </w:p>
          <w:p w14:paraId="37610C5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2.3.1.巡防力量管理</w:t>
            </w:r>
          </w:p>
          <w:p w14:paraId="240BC80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平台支持巡防力量登记录入，包括新增、修改、删除等操作；巡防力量的登记分为基础信息登记（必填项）和详细信息登记（选填项）。</w:t>
            </w:r>
          </w:p>
          <w:p w14:paraId="42C7150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平台支持巡防备勤力量统计；支持巡防力量上报，向上级部门上报巡防力量信息；支持巡防力量分类管理，能根据巡防力量的专业、经验能力等进行分类管理。</w:t>
            </w:r>
          </w:p>
          <w:p w14:paraId="503846C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2.3.2.巡防装备管理</w:t>
            </w:r>
          </w:p>
          <w:p w14:paraId="065B300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巡防装备登记录入，包括新增、修改、删除等操作；装备登记信息分为基础信息和装备信息，基础信息包括装备名称、装备编码、登记部门；装备信息包括装备类型、装备状态、装备型号、生产厂商等信息。</w:t>
            </w:r>
          </w:p>
          <w:p w14:paraId="33FD185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平台并且支持巡防装备分类管理，包括枪支、车辆、移动终端、无人机、巡逻机器人、特种装备等；支持巡防装备到期提醒；支持巡防装备上报，向上级部门上报巡逻装备信息。</w:t>
            </w:r>
          </w:p>
          <w:p w14:paraId="679D376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同时，平台支持查看装备管理记录，并可通过装备名称、装备类型、登记单位、最近借用人、借用时间、归还时间等条件检索。</w:t>
            </w:r>
          </w:p>
          <w:p w14:paraId="4232807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2.3.3.装备维护保养</w:t>
            </w:r>
          </w:p>
          <w:p w14:paraId="2EDDDDA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支持巡防装备到期提醒，使用寿命提醒，借出到期提醒，维护保养记录</w:t>
            </w:r>
          </w:p>
          <w:p w14:paraId="14670B1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3.盘查管理</w:t>
            </w:r>
          </w:p>
          <w:p w14:paraId="247A818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3.1.盘查统计</w:t>
            </w:r>
          </w:p>
          <w:p w14:paraId="74491A2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看当前账号下可见所有警员的盘查汇总数据，包含盘查总数、盘查人数、盘查车辆数、盘查物品次数。选择需要查看的盘查类型，如人员、车辆，输入警员姓名、所属部门、盘查时间，可检索该条件下的盘查数据。数据支持excel导出。</w:t>
            </w:r>
          </w:p>
          <w:p w14:paraId="7F12331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3.2.盘查明细</w:t>
            </w:r>
          </w:p>
          <w:p w14:paraId="0DFCED0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查看当前账号下可见所有警员的盘查明细，包括警员盘查的人、车、物数据。</w:t>
            </w:r>
          </w:p>
          <w:p w14:paraId="7F06887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盘查人信息、被查人信息、盘查结果信息。</w:t>
            </w:r>
          </w:p>
          <w:p w14:paraId="44FE0AF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3.3.战果采集</w:t>
            </w:r>
          </w:p>
          <w:p w14:paraId="272B668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查看当前账号下可见所有警员的战果数据，包括警员盘查的人、车、物和处警战果数据。通过输入警员姓名、所属部门、战果类型、战果产生开始时间和结束时间等检索条件，可检索该条件下的战果数据。</w:t>
            </w:r>
          </w:p>
          <w:p w14:paraId="3635C18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3.4.战果统计</w:t>
            </w:r>
          </w:p>
          <w:p w14:paraId="6D910FE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平台支持图形化展示各个类型战果的数量趋势统计，包含盘查人员统计、盘查车辆统计、盘查物品统计。通过选择需要检索的部门以及战果产生的开始时间和结束时间，查看对应的统计数据图。</w:t>
            </w:r>
          </w:p>
          <w:p w14:paraId="34F862D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并且，平台支持以表格形式展示战果趋势明细和部门战果明细。数据支持excel方式导出。</w:t>
            </w:r>
          </w:p>
          <w:p w14:paraId="7411F7F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3.4.1战果趋势明细列表：展示盘查人员、重点人员、盘查车辆、重点车辆、盘查物品、违禁物品每日的数量。</w:t>
            </w:r>
          </w:p>
          <w:p w14:paraId="7853ABD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3.4.2部门战果明细列表：展示每个部门的盘查人员、重点人员、盘查车辆、重点车辆、盘查物品、违禁物品数量。</w:t>
            </w:r>
          </w:p>
          <w:p w14:paraId="5056AAC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4.应急处置</w:t>
            </w:r>
          </w:p>
          <w:p w14:paraId="47F1737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4.1.图上作战</w:t>
            </w:r>
          </w:p>
          <w:p w14:paraId="6631D07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4.1.1.突然事件上图</w:t>
            </w:r>
          </w:p>
          <w:p w14:paraId="1D42AFA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平台支持对接110接警突然事件，可分为重大突然事件、常规突然事件列表展示（具体划分规则，可根据不同现场的突然事件类型进行归类），支持突然事件处理进度筛选，包括未处理、已派警、已签收、已到达状态下的突然事件数据；未处理下仅包括未处理状态下突然事件、已派警仅包括已派警状态的突然事件、已签收仅包括已签收状态下数据、已到达仅包括已到达状态下突然事件数据。所有突然事件支持按照突然事件编号、事发地点、报警内容进行检索，支持根据突然事件类型、接警单位、接警时段进行过滤。</w:t>
            </w:r>
          </w:p>
          <w:p w14:paraId="44A4965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地图撒点展示突然事件分布情况，点击突然事件图标可展示当前突然事件详情。</w:t>
            </w:r>
          </w:p>
          <w:p w14:paraId="2B225C8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4.1.2.预警上图</w:t>
            </w:r>
          </w:p>
          <w:p w14:paraId="49E074A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预警事件数据，包括人员预警、车辆预警和手动添加的预警事件。支持预警事件处理进度筛选，包括未处理、已派警、已签收、已到达状态下的预警数据；未处理下仅包括未处理状态下预警事件、已派警仅包括已派警状态的预警事件、已签收仅包括已签收状态下预警事件数据、已到达仅包括已到达状态下预警事件数据。同时，所有预警事件支持根据预警内容进行检索，支持根据预警类型、预警时段进行过滤。</w:t>
            </w:r>
          </w:p>
          <w:p w14:paraId="5B52382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地图撒点展示预警分布情况，点击预警图标可展示当前预警详情。</w:t>
            </w:r>
          </w:p>
          <w:p w14:paraId="760852D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4.1.3.突然事件&amp;预警处置流程.</w:t>
            </w:r>
          </w:p>
          <w:p w14:paraId="6676BE3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点击未处警状态的突然事件时，则地图定位该突然事件，且突然事件高亮展示，右侧面板展示附近巡区或者附近距离是否有可用警力。如果有可用警员，则可选中警员发送突然事件。发送成功后，则该突然事件状态变为已派警，突然事件处置页面展示正在处理突然事件的警员信息。如果是需要执行135处置的突然事件，则会展示倒计时。</w:t>
            </w:r>
          </w:p>
          <w:p w14:paraId="64709EA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负责警员接收到发送的突然事件消息，在巡防APP进行确认签收。签收后，系统内突然事件状态变为已签收，人员状态变为已签收。</w:t>
            </w:r>
          </w:p>
          <w:p w14:paraId="335FD40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警员到达突然事件发生地点后，在巡防APP中点击到达，则突然事件状态变为已到达，人员状态也变为已到达。</w:t>
            </w:r>
          </w:p>
          <w:p w14:paraId="2789374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最终，警员在巡防APP完善突然事件处置信息后，提交反馈，则突然事件处置流程结束，突然事件则不会在系统列表中展示。</w:t>
            </w:r>
          </w:p>
          <w:p w14:paraId="27282B8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4.1.4.开启堵控圈</w:t>
            </w:r>
          </w:p>
          <w:p w14:paraId="549C950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在突然事件处理过程中，根据嫌疑人逃跑的方向、速度，平台支持开启堵控圈。选中某个突然事件，点击开启堵控圈按钮，弹出堵控圈设置弹框，选择设置的堵控圈范围，点击确定，则可开启。</w:t>
            </w:r>
          </w:p>
          <w:p w14:paraId="1D6B30B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4.1.5.图上调度</w:t>
            </w:r>
          </w:p>
          <w:p w14:paraId="4DAAD5C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在地图上以突然事件位置为中心联动调阅周边视频。视频调阅的范围，可根据突然事件的实际情况灵活调节。在调阅视频的过程中，可对视频画面进行截图、录像，并关联到突然事件证据库中。</w:t>
            </w:r>
          </w:p>
          <w:p w14:paraId="6BEB66B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操作员可按照突然事件发地址名称进行周边视频的联动调阅。如输入某银行的名称，地图上自动显示该银行的位置及周边视频点位，并实时打开视频图像。</w:t>
            </w:r>
          </w:p>
          <w:p w14:paraId="2EDD96D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如果案发地址为某路口，操作员可按照路口名称进行路口周边视频的联动调阅。如输入</w:t>
            </w:r>
            <w:r>
              <w:rPr>
                <w:rFonts w:hint="eastAsia" w:ascii="微软雅黑" w:hAnsi="微软雅黑" w:eastAsia="微软雅黑" w:cs="微软雅黑"/>
                <w:color w:val="auto"/>
                <w:szCs w:val="21"/>
                <w:highlight w:val="none"/>
                <w:lang w:val="en-US" w:eastAsia="zh-CN"/>
              </w:rPr>
              <w:t>民族大道和东葛路</w:t>
            </w:r>
            <w:r>
              <w:rPr>
                <w:rFonts w:hint="eastAsia" w:ascii="微软雅黑" w:hAnsi="微软雅黑" w:eastAsia="微软雅黑" w:cs="微软雅黑"/>
                <w:color w:val="auto"/>
                <w:szCs w:val="21"/>
                <w:highlight w:val="none"/>
              </w:rPr>
              <w:t>，地图上自动显示该路口的位置及周边视频点位，并实时打开视频图像。</w:t>
            </w:r>
          </w:p>
          <w:p w14:paraId="3597A83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4.1.6.图上组会.</w:t>
            </w:r>
          </w:p>
          <w:p w14:paraId="0253987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支持整合模拟集群、数字集群、固话、视频会议、视频监控、移动视频、多媒体即时消息通信等多种音视频通信手段融合通信。</w:t>
            </w:r>
          </w:p>
          <w:p w14:paraId="4687820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支持对突发事件发生位置周边资源的附近警力、警车、安保力量组群通话。操作员可一键调度，下达指令，实现市区两级图上作战中心、派出所综合图上作战中心与现场民警之间的扁平化融合调度。</w:t>
            </w:r>
          </w:p>
          <w:p w14:paraId="2C7FC44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4.2.预案管理</w:t>
            </w:r>
          </w:p>
          <w:p w14:paraId="4FD0A28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4.2.1.预案整体流程图</w:t>
            </w:r>
          </w:p>
          <w:p w14:paraId="41EF793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预案整体流程：预案创建人员开始创建预案→对预案进行路线绘制→提交预案→预案关联人员排班→提交排班→审核预案→完成。</w:t>
            </w:r>
          </w:p>
          <w:p w14:paraId="61006AC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4.2.2.预案制定</w:t>
            </w:r>
          </w:p>
          <w:p w14:paraId="7285D44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通过填写预案基础信息，包含预案多维信息生成预案。</w:t>
            </w:r>
          </w:p>
          <w:p w14:paraId="6FE974B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预案基本信息创建完成后，需完善路线信息。增加路线描述、绘制路线，增加执勤岗点，填写岗点名称、排序、负责部门、执勤开始时间、执勤结束时间、岗点位置、执勤半径。完成预案制定。</w:t>
            </w:r>
          </w:p>
          <w:p w14:paraId="7932357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4.2.3.预案审核</w:t>
            </w:r>
          </w:p>
          <w:p w14:paraId="7E6194C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预案审核通过则预案状态变为待执勤，等待预案开启。预案审核不通过会提交驳回原因，需修改后再次审核。</w:t>
            </w:r>
          </w:p>
          <w:p w14:paraId="57755BD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4.2.4.预案排班</w:t>
            </w:r>
          </w:p>
          <w:p w14:paraId="034B910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预案制定后，为预案选择警力人员，可通过姓名或者警号搜索，为预案排班。预案排班完成后可提交审核。</w:t>
            </w:r>
          </w:p>
          <w:p w14:paraId="429F874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4.3.态势感知</w:t>
            </w:r>
          </w:p>
          <w:p w14:paraId="2DEDEFE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4.3.1.突然事件安全态势.</w:t>
            </w:r>
          </w:p>
          <w:p w14:paraId="4DBB970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4.3.1.1.突然事件基本信息</w:t>
            </w:r>
          </w:p>
          <w:p w14:paraId="05FF32F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输入突然事件编号、突然事件类型、接警类别、接警单位、始发地址、接警时间可对突然事件进行筛选。选中列表中某条突然事件，可查看对应突然事件详情，包含突然事件编号、接警信息及处境信息，并且可以查看突然事件位置，可跳转至地图屏定位该突然事件。</w:t>
            </w:r>
          </w:p>
          <w:p w14:paraId="140EBB5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4.3.1.2.突然事件趋势统计</w:t>
            </w:r>
          </w:p>
          <w:p w14:paraId="60B1DD5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展示关于突然事件发生趋势的统计分析，可根据修改部门、突然事件类型、突然事件时间范围可重新生成趋势图表。总体突然事件趋势图为当前所选部门下一级子部门的当前突然事件数据以及历史突然事件数据。</w:t>
            </w:r>
          </w:p>
          <w:p w14:paraId="7A33BA5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各部门突然事件趋势图为所选部门下一级子部门在所选时间段内的突然事件发生数量趋势图，可查看突然事件根据时间的动态变化。</w:t>
            </w:r>
          </w:p>
          <w:p w14:paraId="446AB6C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4.3.1.3.突然事件态势分析</w:t>
            </w:r>
          </w:p>
          <w:p w14:paraId="553D133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展示关于突然事件发生同比环比变化数据。支持按照部门、突然事件类型、时间来进行突然事件态势分析的检索。</w:t>
            </w:r>
          </w:p>
          <w:p w14:paraId="26A98C1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二、数图数据融合</w:t>
            </w:r>
          </w:p>
          <w:p w14:paraId="0FB9F88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1.关注人员数据融合升级</w:t>
            </w:r>
          </w:p>
          <w:p w14:paraId="2D45A3F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1.1关注人员添加</w:t>
            </w:r>
          </w:p>
          <w:p w14:paraId="73BFA54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支持与采购人系统对接，允许一键化接收关注人员信息，同时支持人工录入、批量录入关注人员信息。</w:t>
            </w:r>
          </w:p>
          <w:p w14:paraId="28FE97E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1.2关注人员落脚点分析</w:t>
            </w:r>
          </w:p>
          <w:p w14:paraId="751ADECD">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通过分析关注人员实时要素采集情况，</w:t>
            </w:r>
            <w:r>
              <w:rPr>
                <w:rFonts w:hint="eastAsia" w:ascii="微软雅黑" w:hAnsi="微软雅黑" w:eastAsia="微软雅黑" w:cs="微软雅黑"/>
                <w:color w:val="auto"/>
                <w:szCs w:val="21"/>
                <w:highlight w:val="none"/>
                <w:lang w:val="en-US" w:eastAsia="zh-CN"/>
              </w:rPr>
              <w:t>在</w:t>
            </w:r>
            <w:r>
              <w:rPr>
                <w:rFonts w:hint="eastAsia" w:ascii="微软雅黑" w:hAnsi="微软雅黑" w:eastAsia="微软雅黑" w:cs="微软雅黑"/>
                <w:color w:val="auto"/>
                <w:szCs w:val="21"/>
                <w:highlight w:val="none"/>
              </w:rPr>
              <w:t>地图</w:t>
            </w:r>
            <w:r>
              <w:rPr>
                <w:rFonts w:hint="eastAsia" w:ascii="微软雅黑" w:hAnsi="微软雅黑" w:eastAsia="微软雅黑" w:cs="微软雅黑"/>
                <w:color w:val="auto"/>
                <w:szCs w:val="21"/>
                <w:highlight w:val="none"/>
                <w:lang w:val="en-US" w:eastAsia="zh-CN"/>
              </w:rPr>
              <w:t>上</w:t>
            </w:r>
            <w:r>
              <w:rPr>
                <w:rFonts w:hint="eastAsia" w:ascii="微软雅黑" w:hAnsi="微软雅黑" w:eastAsia="微软雅黑" w:cs="微软雅黑"/>
                <w:color w:val="auto"/>
                <w:szCs w:val="21"/>
                <w:highlight w:val="none"/>
              </w:rPr>
              <w:t>展示关注人员</w:t>
            </w:r>
            <w:r>
              <w:rPr>
                <w:rFonts w:hint="eastAsia" w:ascii="微软雅黑" w:hAnsi="微软雅黑" w:eastAsia="微软雅黑" w:cs="微软雅黑"/>
                <w:color w:val="auto"/>
                <w:szCs w:val="21"/>
                <w:highlight w:val="none"/>
                <w:lang w:val="en-US" w:eastAsia="zh-CN"/>
              </w:rPr>
              <w:t>的</w:t>
            </w:r>
            <w:r>
              <w:rPr>
                <w:rFonts w:hint="eastAsia" w:ascii="微软雅黑" w:hAnsi="微软雅黑" w:eastAsia="微软雅黑" w:cs="微软雅黑"/>
                <w:color w:val="auto"/>
                <w:szCs w:val="21"/>
                <w:highlight w:val="none"/>
              </w:rPr>
              <w:t>时空信息、落脚点、活动地排名等</w:t>
            </w:r>
            <w:r>
              <w:rPr>
                <w:rFonts w:hint="eastAsia" w:ascii="微软雅黑" w:hAnsi="微软雅黑" w:eastAsia="微软雅黑" w:cs="微软雅黑"/>
                <w:color w:val="auto"/>
                <w:szCs w:val="21"/>
                <w:highlight w:val="none"/>
                <w:lang w:eastAsia="zh-CN"/>
              </w:rPr>
              <w:t>。</w:t>
            </w:r>
          </w:p>
          <w:p w14:paraId="631C786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1.3关注人员列控信息管理</w:t>
            </w:r>
          </w:p>
          <w:p w14:paraId="5C628A7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支持特定人员分类管理功能</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对人员多要素进行监控分析</w:t>
            </w:r>
            <w:r>
              <w:rPr>
                <w:rFonts w:hint="eastAsia" w:ascii="微软雅黑" w:hAnsi="微软雅黑" w:eastAsia="微软雅黑" w:cs="微软雅黑"/>
                <w:color w:val="auto"/>
                <w:szCs w:val="21"/>
                <w:highlight w:val="none"/>
                <w:lang w:val="en-US" w:eastAsia="zh-CN"/>
              </w:rPr>
              <w:t>及录入</w:t>
            </w:r>
            <w:r>
              <w:rPr>
                <w:rFonts w:hint="eastAsia" w:ascii="微软雅黑" w:hAnsi="微软雅黑" w:eastAsia="微软雅黑" w:cs="微软雅黑"/>
                <w:color w:val="auto"/>
                <w:szCs w:val="21"/>
                <w:highlight w:val="none"/>
              </w:rPr>
              <w:t>，通过融合要素串联分析人员时空信息</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对关注人员</w:t>
            </w:r>
            <w:r>
              <w:rPr>
                <w:rFonts w:hint="eastAsia" w:ascii="微软雅黑" w:hAnsi="微软雅黑" w:eastAsia="微软雅黑" w:cs="微软雅黑"/>
                <w:color w:val="auto"/>
                <w:szCs w:val="21"/>
                <w:highlight w:val="none"/>
                <w:lang w:val="en-US" w:eastAsia="zh-CN"/>
              </w:rPr>
              <w:t>进行</w:t>
            </w:r>
            <w:r>
              <w:rPr>
                <w:rFonts w:hint="eastAsia" w:ascii="微软雅黑" w:hAnsi="微软雅黑" w:eastAsia="微软雅黑" w:cs="微软雅黑"/>
                <w:color w:val="auto"/>
                <w:szCs w:val="21"/>
                <w:highlight w:val="none"/>
              </w:rPr>
              <w:t>列控</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分级</w:t>
            </w:r>
            <w:r>
              <w:rPr>
                <w:rFonts w:hint="eastAsia" w:ascii="微软雅黑" w:hAnsi="微软雅黑" w:eastAsia="微软雅黑" w:cs="微软雅黑"/>
                <w:color w:val="auto"/>
                <w:szCs w:val="21"/>
                <w:highlight w:val="none"/>
                <w:lang w:val="en-US" w:eastAsia="zh-CN"/>
              </w:rPr>
              <w:t>管理</w:t>
            </w:r>
            <w:r>
              <w:rPr>
                <w:rFonts w:hint="eastAsia" w:ascii="微软雅黑" w:hAnsi="微软雅黑" w:eastAsia="微软雅黑" w:cs="微软雅黑"/>
                <w:color w:val="auto"/>
                <w:szCs w:val="21"/>
                <w:highlight w:val="none"/>
              </w:rPr>
              <w:t>。</w:t>
            </w:r>
          </w:p>
          <w:p w14:paraId="1656C8A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1.4关注人员融合查看</w:t>
            </w:r>
          </w:p>
          <w:p w14:paraId="04D9DDE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支持以列表形式展示</w:t>
            </w:r>
            <w:r>
              <w:rPr>
                <w:rFonts w:hint="eastAsia" w:ascii="微软雅黑" w:hAnsi="微软雅黑" w:eastAsia="微软雅黑" w:cs="微软雅黑"/>
                <w:color w:val="auto"/>
                <w:szCs w:val="21"/>
                <w:highlight w:val="none"/>
                <w:lang w:val="en-US" w:eastAsia="zh-CN"/>
              </w:rPr>
              <w:t>及</w:t>
            </w:r>
            <w:r>
              <w:rPr>
                <w:rFonts w:hint="eastAsia" w:ascii="微软雅黑" w:hAnsi="微软雅黑" w:eastAsia="微软雅黑" w:cs="微软雅黑"/>
                <w:color w:val="auto"/>
                <w:szCs w:val="21"/>
                <w:highlight w:val="none"/>
              </w:rPr>
              <w:t>录入信息要素条件查找关注人员信息，如照片、姓名、身份信息、户籍地、所属群体等</w:t>
            </w:r>
            <w:r>
              <w:rPr>
                <w:rFonts w:hint="eastAsia" w:ascii="微软雅黑" w:hAnsi="微软雅黑" w:eastAsia="微软雅黑" w:cs="微软雅黑"/>
                <w:color w:val="auto"/>
                <w:szCs w:val="21"/>
                <w:highlight w:val="none"/>
                <w:lang w:eastAsia="zh-CN"/>
              </w:rPr>
              <w:t>。</w:t>
            </w:r>
          </w:p>
          <w:p w14:paraId="31CEDD22">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1.5关注人员融合管控</w:t>
            </w:r>
          </w:p>
          <w:p w14:paraId="3997D1DF">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支持按人员分类分组、责任组织分组查询重点人员</w:t>
            </w:r>
            <w:r>
              <w:rPr>
                <w:rFonts w:hint="eastAsia" w:ascii="微软雅黑" w:hAnsi="微软雅黑" w:eastAsia="微软雅黑" w:cs="微软雅黑"/>
                <w:color w:val="auto"/>
                <w:szCs w:val="21"/>
                <w:highlight w:val="none"/>
                <w:lang w:eastAsia="zh-CN"/>
              </w:rPr>
              <w:t>。</w:t>
            </w:r>
          </w:p>
          <w:p w14:paraId="12643081">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1.6关注人员融合管理</w:t>
            </w:r>
          </w:p>
          <w:p w14:paraId="42EEBD1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支持展示人员姓名、身份信息、性别、年龄、所属类型、责任组织、责任民警、状态、风险等级</w:t>
            </w:r>
            <w:r>
              <w:rPr>
                <w:rFonts w:hint="eastAsia" w:ascii="微软雅黑" w:hAnsi="微软雅黑" w:eastAsia="微软雅黑" w:cs="微软雅黑"/>
                <w:color w:val="auto"/>
                <w:szCs w:val="21"/>
                <w:highlight w:val="none"/>
                <w:lang w:val="en-US" w:eastAsia="zh-CN"/>
              </w:rPr>
              <w:t>等背景信息及管控信息，</w:t>
            </w:r>
            <w:r>
              <w:rPr>
                <w:rFonts w:hint="eastAsia" w:ascii="微软雅黑" w:hAnsi="微软雅黑" w:eastAsia="微软雅黑" w:cs="微软雅黑"/>
                <w:color w:val="auto"/>
                <w:szCs w:val="21"/>
                <w:highlight w:val="none"/>
              </w:rPr>
              <w:t>支持展示群体特征信息和列控信息</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支持关系图谱展示。</w:t>
            </w:r>
          </w:p>
          <w:p w14:paraId="5DF584E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1.7关注人员融合预警管理</w:t>
            </w:r>
          </w:p>
          <w:p w14:paraId="43C10B2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通过统计关注人员人、感知数据等实时采集信息进行分析判断，</w:t>
            </w:r>
            <w:r>
              <w:rPr>
                <w:rFonts w:hint="eastAsia" w:ascii="微软雅黑" w:hAnsi="微软雅黑" w:eastAsia="微软雅黑" w:cs="微软雅黑"/>
                <w:color w:val="auto"/>
                <w:szCs w:val="21"/>
                <w:highlight w:val="none"/>
                <w:lang w:val="en-US" w:eastAsia="zh-CN"/>
              </w:rPr>
              <w:t>对</w:t>
            </w:r>
            <w:r>
              <w:rPr>
                <w:rFonts w:hint="eastAsia" w:ascii="微软雅黑" w:hAnsi="微软雅黑" w:eastAsia="微软雅黑" w:cs="微软雅黑"/>
                <w:color w:val="auto"/>
                <w:szCs w:val="21"/>
                <w:highlight w:val="none"/>
              </w:rPr>
              <w:t>符合</w:t>
            </w:r>
            <w:r>
              <w:rPr>
                <w:rFonts w:hint="eastAsia" w:ascii="微软雅黑" w:hAnsi="微软雅黑" w:eastAsia="微软雅黑" w:cs="微软雅黑"/>
                <w:color w:val="auto"/>
                <w:szCs w:val="21"/>
                <w:highlight w:val="none"/>
                <w:lang w:val="en-US" w:eastAsia="zh-CN"/>
              </w:rPr>
              <w:t>相关条件</w:t>
            </w:r>
            <w:r>
              <w:rPr>
                <w:rFonts w:hint="eastAsia" w:ascii="微软雅黑" w:hAnsi="微软雅黑" w:eastAsia="微软雅黑" w:cs="微软雅黑"/>
                <w:color w:val="auto"/>
                <w:szCs w:val="21"/>
                <w:highlight w:val="none"/>
              </w:rPr>
              <w:t>进行预警</w:t>
            </w:r>
            <w:r>
              <w:rPr>
                <w:rFonts w:hint="eastAsia" w:ascii="微软雅黑" w:hAnsi="微软雅黑" w:eastAsia="微软雅黑" w:cs="微软雅黑"/>
                <w:color w:val="auto"/>
                <w:szCs w:val="21"/>
                <w:highlight w:val="none"/>
                <w:lang w:val="en-US" w:eastAsia="zh-CN"/>
              </w:rPr>
              <w:t>并可根据条件查看相关告警信息</w:t>
            </w:r>
            <w:r>
              <w:rPr>
                <w:rFonts w:hint="eastAsia" w:ascii="微软雅黑" w:hAnsi="微软雅黑" w:eastAsia="微软雅黑" w:cs="微软雅黑"/>
                <w:color w:val="auto"/>
                <w:szCs w:val="21"/>
                <w:highlight w:val="none"/>
              </w:rPr>
              <w:t>。</w:t>
            </w:r>
          </w:p>
          <w:p w14:paraId="5BFF3008">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1.8时空围栏防控中心</w:t>
            </w:r>
          </w:p>
          <w:p w14:paraId="13C3544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支持地图查看指定防控圈及其出入通道</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展示所有重点场所分布状况；支持快捷定位指定场所</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支持</w:t>
            </w:r>
            <w:r>
              <w:rPr>
                <w:rFonts w:hint="eastAsia" w:ascii="微软雅黑" w:hAnsi="微软雅黑" w:eastAsia="微软雅黑" w:cs="微软雅黑"/>
                <w:color w:val="auto"/>
                <w:szCs w:val="21"/>
                <w:highlight w:val="none"/>
              </w:rPr>
              <w:t>管控对象出入防控圈时告警。</w:t>
            </w:r>
          </w:p>
          <w:p w14:paraId="2BC909E3">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1.9圈层防控布控审批</w:t>
            </w:r>
          </w:p>
          <w:p w14:paraId="1B33BA7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支持按流水号、关联案件、申请人、审批状态等综合检索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支持用户创建、提交、撤回申请；支持负责审批用户可处理拒绝或同意，同意时进入下一流程节点；拒绝时自动终止审批流程。</w:t>
            </w:r>
          </w:p>
          <w:p w14:paraId="425A980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2.时空信息处理</w:t>
            </w:r>
          </w:p>
          <w:p w14:paraId="30FCC53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要求对采购人掌控的时空信息进行数据处理，包括噪声过滤、坐标转换、时空信息分割、时间对齐、停留点检测、图片过滤、归属地解析、时空信息处理、时空信息预处理等：</w:t>
            </w:r>
          </w:p>
          <w:p w14:paraId="322EEA5D">
            <w:pPr>
              <w:numPr>
                <w:ilvl w:val="0"/>
                <w:numId w:val="5"/>
              </w:num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时空特征算法</w:t>
            </w:r>
          </w:p>
          <w:p w14:paraId="5EF96C9A">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支持对人员生物特征的时空信息进行相关分析，包括：特征工程</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关系预测</w:t>
            </w:r>
            <w:r>
              <w:rPr>
                <w:rFonts w:hint="eastAsia" w:eastAsia="微软雅黑"/>
                <w:color w:val="auto"/>
                <w:highlight w:val="none"/>
                <w:lang w:eastAsia="zh-CN"/>
              </w:rPr>
              <w:t>、</w:t>
            </w:r>
            <w:r>
              <w:rPr>
                <w:rFonts w:hint="eastAsia" w:ascii="微软雅黑" w:hAnsi="微软雅黑" w:eastAsia="微软雅黑" w:cs="微软雅黑"/>
                <w:color w:val="auto"/>
                <w:szCs w:val="21"/>
                <w:highlight w:val="none"/>
              </w:rPr>
              <w:t>关系推荐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关系匹配</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关系管理</w:t>
            </w:r>
            <w:r>
              <w:rPr>
                <w:rFonts w:hint="eastAsia" w:ascii="微软雅黑" w:hAnsi="微软雅黑" w:eastAsia="微软雅黑" w:cs="微软雅黑"/>
                <w:color w:val="auto"/>
                <w:szCs w:val="21"/>
                <w:highlight w:val="none"/>
                <w:lang w:val="en-US" w:eastAsia="zh-CN"/>
              </w:rPr>
              <w:t>等</w:t>
            </w:r>
            <w:r>
              <w:rPr>
                <w:rFonts w:hint="eastAsia" w:ascii="微软雅黑" w:hAnsi="微软雅黑" w:eastAsia="微软雅黑" w:cs="微软雅黑"/>
                <w:color w:val="auto"/>
                <w:szCs w:val="21"/>
                <w:highlight w:val="none"/>
                <w:lang w:eastAsia="zh-CN"/>
              </w:rPr>
              <w:t>。</w:t>
            </w:r>
          </w:p>
          <w:p w14:paraId="0B06C93D">
            <w:pPr>
              <w:numPr>
                <w:ilvl w:val="0"/>
                <w:numId w:val="5"/>
              </w:num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时空时空信息存储</w:t>
            </w:r>
          </w:p>
          <w:p w14:paraId="5DE0EEA1">
            <w:pPr>
              <w:numPr>
                <w:ins w:id="0" w:author="12640" w:date=""/>
              </w:numPr>
              <w:snapToGrid w:val="0"/>
              <w:spacing w:line="240" w:lineRule="auto"/>
              <w:jc w:val="left"/>
              <w:rPr>
                <w:rFonts w:hint="default"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将时空信息点数据和相关的模型参数存储在数据库中</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并支持查询和检索功能，包括：</w:t>
            </w:r>
            <w:r>
              <w:rPr>
                <w:rFonts w:hint="eastAsia" w:ascii="微软雅黑" w:hAnsi="微软雅黑" w:eastAsia="微软雅黑" w:cs="微软雅黑"/>
                <w:color w:val="auto"/>
                <w:szCs w:val="21"/>
                <w:highlight w:val="none"/>
              </w:rPr>
              <w:t>模型存储</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时空索引</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时空查询</w:t>
            </w:r>
            <w:r>
              <w:rPr>
                <w:rFonts w:hint="eastAsia" w:ascii="微软雅黑" w:hAnsi="微软雅黑" w:eastAsia="微软雅黑" w:cs="微软雅黑"/>
                <w:color w:val="auto"/>
                <w:szCs w:val="21"/>
                <w:highlight w:val="none"/>
                <w:lang w:eastAsia="zh-CN"/>
              </w:rPr>
              <w:t>。</w:t>
            </w:r>
          </w:p>
          <w:p w14:paraId="0E294AA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5.档案信息获取</w:t>
            </w:r>
          </w:p>
          <w:p w14:paraId="3908912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与采购人内部系统对接</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将</w:t>
            </w:r>
            <w:r>
              <w:rPr>
                <w:rFonts w:hint="eastAsia" w:ascii="微软雅黑" w:hAnsi="微软雅黑" w:eastAsia="微软雅黑" w:cs="微软雅黑"/>
                <w:color w:val="auto"/>
                <w:szCs w:val="21"/>
                <w:highlight w:val="none"/>
              </w:rPr>
              <w:t>获取的</w:t>
            </w:r>
            <w:r>
              <w:rPr>
                <w:rFonts w:hint="eastAsia" w:ascii="微软雅黑" w:hAnsi="微软雅黑" w:eastAsia="微软雅黑" w:cs="微软雅黑"/>
                <w:color w:val="auto"/>
                <w:szCs w:val="21"/>
                <w:highlight w:val="none"/>
                <w:lang w:val="en-US" w:eastAsia="zh-CN"/>
              </w:rPr>
              <w:t>时空等相关</w:t>
            </w:r>
            <w:r>
              <w:rPr>
                <w:rFonts w:hint="eastAsia" w:ascii="微软雅黑" w:hAnsi="微软雅黑" w:eastAsia="微软雅黑" w:cs="微软雅黑"/>
                <w:color w:val="auto"/>
                <w:szCs w:val="21"/>
                <w:highlight w:val="none"/>
              </w:rPr>
              <w:t>信息结合特征运算形成更丰富的档案信息，并提供布控预警服务。</w:t>
            </w:r>
          </w:p>
          <w:p w14:paraId="6916E1C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6.感知数据翻译</w:t>
            </w:r>
          </w:p>
          <w:p w14:paraId="50D6A05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与采购人内部系统对接，实现对感知数据的正反向翻译功能，包括批量翻译、翻译审批状态查询、结果查看、历史翻译结果查看，翻译记录统计等。</w:t>
            </w:r>
          </w:p>
          <w:p w14:paraId="3B56674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7.全息档案融合升级</w:t>
            </w:r>
          </w:p>
          <w:p w14:paraId="15FF7F9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通过比对同时空下的车辆时空信息和人员电磁时空特征，在时空信息高度重合的情况下，将车辆、人员身份信息进行关联。</w:t>
            </w:r>
          </w:p>
          <w:p w14:paraId="6AF7E94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对电磁时空信息和生物特征抓拍卡口生成的生物特征时空信息进行比对，对偏差较大的时空信息点做纠正，形成最终拟合时空信息。</w:t>
            </w:r>
          </w:p>
          <w:p w14:paraId="3A29C95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基于图数资源融合的成果，丰富人员档案信息内容</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丰富车辆档案信息内容</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丰富电磁信息档案信息内容，丰富案件档案信息内容，丰富突然事件档案信息内容，丰富硬件特征串档案信息内容。</w:t>
            </w:r>
          </w:p>
          <w:p w14:paraId="7866283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8.智能检索融合升级</w:t>
            </w:r>
          </w:p>
          <w:p w14:paraId="582E566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实现对资源池内所有原始资源按照指定的检索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包括</w:t>
            </w:r>
            <w:r>
              <w:rPr>
                <w:rFonts w:hint="eastAsia" w:ascii="微软雅黑" w:hAnsi="微软雅黑" w:eastAsia="微软雅黑" w:cs="微软雅黑"/>
                <w:color w:val="auto"/>
                <w:szCs w:val="21"/>
                <w:highlight w:val="none"/>
              </w:rPr>
              <w:t>要素执行一键搜索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要素检索升级</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批量检索升级</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结果操作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JW资源检索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标签信息</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个人检索中心</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基于引入的融合数据资源。</w:t>
            </w:r>
          </w:p>
          <w:p w14:paraId="66AE505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9.多维实战融合升级</w:t>
            </w:r>
          </w:p>
          <w:p w14:paraId="2544B6B4">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实现对</w:t>
            </w:r>
            <w:r>
              <w:rPr>
                <w:rFonts w:hint="eastAsia" w:ascii="微软雅黑" w:hAnsi="微软雅黑" w:eastAsia="微软雅黑" w:cs="微软雅黑"/>
                <w:color w:val="auto"/>
                <w:szCs w:val="21"/>
                <w:highlight w:val="none"/>
                <w:lang w:val="en-US" w:eastAsia="zh-CN"/>
              </w:rPr>
              <w:t>现有数据</w:t>
            </w:r>
            <w:r>
              <w:rPr>
                <w:rFonts w:hint="eastAsia" w:ascii="微软雅黑" w:hAnsi="微软雅黑" w:eastAsia="微软雅黑" w:cs="微软雅黑"/>
                <w:color w:val="auto"/>
                <w:szCs w:val="21"/>
                <w:highlight w:val="none"/>
              </w:rPr>
              <w:t>资源</w:t>
            </w:r>
            <w:r>
              <w:rPr>
                <w:rFonts w:hint="eastAsia" w:ascii="微软雅黑" w:hAnsi="微软雅黑" w:eastAsia="微软雅黑" w:cs="微软雅黑"/>
                <w:color w:val="auto"/>
                <w:szCs w:val="21"/>
                <w:highlight w:val="none"/>
                <w:lang w:val="en-US" w:eastAsia="zh-CN"/>
              </w:rPr>
              <w:t>进行多维实战功能分析，包括提供</w:t>
            </w:r>
            <w:r>
              <w:rPr>
                <w:rFonts w:hint="eastAsia" w:ascii="微软雅黑" w:hAnsi="微软雅黑" w:eastAsia="微软雅黑" w:cs="微软雅黑"/>
                <w:color w:val="auto"/>
                <w:szCs w:val="21"/>
                <w:highlight w:val="none"/>
              </w:rPr>
              <w:t>作战地图</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支持多维实战融合功能</w:t>
            </w:r>
            <w:r>
              <w:rPr>
                <w:rFonts w:hint="eastAsia" w:ascii="微软雅黑" w:hAnsi="微软雅黑" w:eastAsia="微软雅黑" w:cs="微软雅黑"/>
                <w:color w:val="auto"/>
                <w:szCs w:val="21"/>
                <w:highlight w:val="none"/>
                <w:lang w:eastAsia="zh-CN"/>
              </w:rPr>
              <w:t>。</w:t>
            </w:r>
          </w:p>
          <w:p w14:paraId="3D4B194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图上作战融合升级</w:t>
            </w:r>
          </w:p>
          <w:p w14:paraId="75A46C9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10.1</w:t>
            </w:r>
            <w:r>
              <w:rPr>
                <w:rFonts w:hint="eastAsia" w:ascii="微软雅黑" w:hAnsi="微软雅黑" w:eastAsia="微软雅黑" w:cs="微软雅黑"/>
                <w:color w:val="auto"/>
                <w:szCs w:val="21"/>
                <w:highlight w:val="none"/>
              </w:rPr>
              <w:t>提供GIS地图上应用的工具集，包括图层工具、测绘工具、地图复位、一键清屏、批量轨迹上图、轨迹碰撞周边发现、基站表示转换。</w:t>
            </w:r>
          </w:p>
          <w:p w14:paraId="2C04FD0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10.2融合轨迹接口服务</w:t>
            </w:r>
          </w:p>
          <w:p w14:paraId="03F28F05">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融合传统位置与视图数据，建立综合性位置库，用于时空位置回溯、分析等应用。提供位置服务接口，用于对外发布。</w:t>
            </w:r>
          </w:p>
          <w:p w14:paraId="76A7276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rPr>
              <w:t>.操作日志</w:t>
            </w:r>
          </w:p>
          <w:p w14:paraId="39F586D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支持对各类操作生成操作日志</w:t>
            </w:r>
          </w:p>
          <w:p w14:paraId="0E3149F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支持生成操作日志文件</w:t>
            </w:r>
          </w:p>
          <w:p w14:paraId="2F6AC54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异常分析报告：对操作日志中的异常操作行为进行分析，生成异常分析报告</w:t>
            </w:r>
          </w:p>
          <w:p w14:paraId="36B4841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异常分析报告查询：支持异常操作日志的查询展示</w:t>
            </w:r>
          </w:p>
          <w:p w14:paraId="57F2AB7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异常操作统计：支持对异常操作行为从用户、时间等维度进行统计</w:t>
            </w:r>
          </w:p>
          <w:p w14:paraId="023E118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.国产关系型数据库适配</w:t>
            </w:r>
          </w:p>
          <w:p w14:paraId="57705C9A">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.1数据库访问适配</w:t>
            </w:r>
          </w:p>
          <w:p w14:paraId="4D54F81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数据库登录退出：数图融合立体防控平台按照国产数据库技术规范进行登录退出等安全连接</w:t>
            </w:r>
          </w:p>
          <w:p w14:paraId="18CE431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数据库访问：数图融合立体防控平台按照国产数据库技术规范进行数据库访问方式"</w:t>
            </w:r>
          </w:p>
          <w:p w14:paraId="1495566D">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.2数据库管理适配</w:t>
            </w:r>
          </w:p>
          <w:p w14:paraId="5AB5880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增加数据库：数图融合立体防控平台按照国产数据库技术规范进行数据库新增方式适配</w:t>
            </w:r>
          </w:p>
          <w:p w14:paraId="3F6A9A7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删除数据库：数图融合立体防控平台按照国产数据库技术规范进行数据库删除方式适配</w:t>
            </w:r>
          </w:p>
          <w:p w14:paraId="7F05A70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备份数据库：数图融合立体防控平台按照国产数据库技术规范进行数据库备份方式适配</w:t>
            </w:r>
          </w:p>
          <w:p w14:paraId="5E72344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还原数据库：数图融合立体防控平台按照国产数据库技术规范进行数据库还原方式适配</w:t>
            </w:r>
          </w:p>
          <w:p w14:paraId="04F7C530">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.3数据库表</w:t>
            </w:r>
          </w:p>
          <w:p w14:paraId="6ACA637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数据表信息：数图融合立体防控平台按照技术规范生成数据库表（前期调研约450余张表）</w:t>
            </w:r>
          </w:p>
          <w:p w14:paraId="68C147E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数据库表创建：按照技术规范支持新增数据库表</w:t>
            </w:r>
          </w:p>
          <w:p w14:paraId="3345552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数据库表修改：按照技术规范支持数据库表结构和内容的修改操作</w:t>
            </w:r>
          </w:p>
          <w:p w14:paraId="53ABBB1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数据库表删除：按照技术规范支持数据库表的删除操作</w:t>
            </w:r>
          </w:p>
          <w:p w14:paraId="5DAC00E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数据库表查询展示：按照技术规范支持数据库表的查询和展示</w:t>
            </w:r>
          </w:p>
          <w:p w14:paraId="70621C3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数据库表统计：支持对数据库表进行分析和统计</w:t>
            </w:r>
          </w:p>
          <w:p w14:paraId="5235B82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rPr>
              <w:t>.4数据存储过程</w:t>
            </w:r>
          </w:p>
          <w:p w14:paraId="30476D1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存储过程信息库：数图融合立体防控平台按照技术规范生成存储过程信息库（前期调研约200余个）</w:t>
            </w:r>
          </w:p>
          <w:p w14:paraId="2039664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存储过程新增：按照技术规范支持存储过程的新增操作</w:t>
            </w:r>
          </w:p>
          <w:p w14:paraId="0E1BED1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存储过程修改：按照技术规范支持存储过程的修改操作</w:t>
            </w:r>
          </w:p>
          <w:p w14:paraId="6AB6C3C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存储过程删除：按照技术规范支持存储过程的删除操作</w:t>
            </w:r>
          </w:p>
          <w:p w14:paraId="0B0758D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存储过程查询展示：按照技术规范支持存储过程的查询和展示</w:t>
            </w:r>
          </w:p>
          <w:p w14:paraId="0CAE561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存储过程统计：支持对存储过程进行分析和统计</w:t>
            </w:r>
          </w:p>
          <w:p w14:paraId="2BEA311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rPr>
              <w:t>.用户身份认证</w:t>
            </w:r>
          </w:p>
          <w:p w14:paraId="1F27E23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登录用户身份验证：本系统接收到用户登录请求时，调用统一用户及认证服务</w:t>
            </w:r>
          </w:p>
          <w:p w14:paraId="234BEC8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用户身份验证结果：接收统一用户及认证服务返回的用户身份验证结果，并根据验证结果对登录用户进行不同的处理</w:t>
            </w:r>
          </w:p>
          <w:p w14:paraId="231CFB9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统一用户及认证服务接口：统一用户及认证服务接口文件</w:t>
            </w:r>
          </w:p>
          <w:p w14:paraId="5C5F2BA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4</w:t>
            </w:r>
            <w:r>
              <w:rPr>
                <w:rFonts w:hint="eastAsia" w:ascii="微软雅黑" w:hAnsi="微软雅黑" w:eastAsia="微软雅黑" w:cs="微软雅黑"/>
                <w:color w:val="auto"/>
                <w:szCs w:val="21"/>
                <w:highlight w:val="none"/>
              </w:rPr>
              <w:t>.用户权限认证</w:t>
            </w:r>
          </w:p>
          <w:p w14:paraId="38BBFF2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登录用户角色获取：本系统对合法用户调用统一用户及认证服务获取对应的角色</w:t>
            </w:r>
          </w:p>
          <w:p w14:paraId="7AAE6B2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登录用户数据权限获取：本系统调用统一用户及认证服务获取该角色的数据权限范围</w:t>
            </w:r>
          </w:p>
          <w:p w14:paraId="3418284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登录用户菜单权限获取：本系统调用统一用户及认证服务获取该角色的菜单权限范围</w:t>
            </w:r>
          </w:p>
          <w:p w14:paraId="28F1000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角色和权限服务接口：统一用户及认证服务的角色和权限服务接口文件</w:t>
            </w:r>
          </w:p>
          <w:p w14:paraId="4D34298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5</w:t>
            </w:r>
            <w:r>
              <w:rPr>
                <w:rFonts w:hint="eastAsia" w:ascii="微软雅黑" w:hAnsi="微软雅黑" w:eastAsia="微软雅黑" w:cs="微软雅黑"/>
                <w:color w:val="auto"/>
                <w:szCs w:val="21"/>
                <w:highlight w:val="none"/>
              </w:rPr>
              <w:t>.日志记录</w:t>
            </w:r>
          </w:p>
          <w:p w14:paraId="45C0826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用户身份认证操作：调用统一用户及认证服务进行用户身份认证、角色及权限获取操作</w:t>
            </w:r>
          </w:p>
          <w:p w14:paraId="06DB426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日志记录：生成身份认证及权限过去操作记录</w:t>
            </w:r>
          </w:p>
          <w:p w14:paraId="0CB71F8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日志记录文件：记录并存储日志文件</w:t>
            </w:r>
          </w:p>
          <w:p w14:paraId="32BABB5E">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6</w:t>
            </w:r>
            <w:r>
              <w:rPr>
                <w:rFonts w:hint="eastAsia" w:ascii="微软雅黑" w:hAnsi="微软雅黑" w:eastAsia="微软雅黑" w:cs="微软雅黑"/>
                <w:color w:val="auto"/>
                <w:szCs w:val="21"/>
                <w:highlight w:val="none"/>
              </w:rPr>
              <w:t>.登录退出</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包括</w:t>
            </w:r>
            <w:r>
              <w:rPr>
                <w:rFonts w:hint="eastAsia" w:ascii="微软雅黑" w:hAnsi="微软雅黑" w:eastAsia="微软雅黑" w:cs="微软雅黑"/>
                <w:color w:val="auto"/>
                <w:szCs w:val="21"/>
                <w:highlight w:val="none"/>
              </w:rPr>
              <w:t>登录请求</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登录接口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退出请求</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退出接口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登录操作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日志记录</w:t>
            </w:r>
            <w:r>
              <w:rPr>
                <w:rFonts w:hint="eastAsia" w:ascii="微软雅黑" w:hAnsi="微软雅黑" w:eastAsia="微软雅黑" w:cs="微软雅黑"/>
                <w:color w:val="auto"/>
                <w:szCs w:val="21"/>
                <w:highlight w:val="none"/>
                <w:lang w:eastAsia="zh-CN"/>
              </w:rPr>
              <w:t>。</w:t>
            </w:r>
          </w:p>
          <w:p w14:paraId="4F96C75D">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7</w:t>
            </w:r>
            <w:r>
              <w:rPr>
                <w:rFonts w:hint="eastAsia" w:ascii="微软雅黑" w:hAnsi="微软雅黑" w:eastAsia="微软雅黑" w:cs="微软雅黑"/>
                <w:color w:val="auto"/>
                <w:szCs w:val="21"/>
                <w:highlight w:val="none"/>
              </w:rPr>
              <w:t>.数据同步</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包括</w:t>
            </w:r>
            <w:r>
              <w:rPr>
                <w:rFonts w:hint="eastAsia" w:ascii="微软雅黑" w:hAnsi="微软雅黑" w:eastAsia="微软雅黑" w:cs="微软雅黑"/>
                <w:color w:val="auto"/>
                <w:szCs w:val="21"/>
                <w:highlight w:val="none"/>
              </w:rPr>
              <w:t>通信解密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数据信息</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通信解密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通信加密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数据信息</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通信加密</w:t>
            </w:r>
            <w:r>
              <w:rPr>
                <w:rFonts w:hint="eastAsia" w:ascii="微软雅黑" w:hAnsi="微软雅黑" w:eastAsia="微软雅黑" w:cs="微软雅黑"/>
                <w:color w:val="auto"/>
                <w:szCs w:val="21"/>
                <w:highlight w:val="none"/>
                <w:lang w:eastAsia="zh-CN"/>
              </w:rPr>
              <w:t>。</w:t>
            </w:r>
          </w:p>
          <w:p w14:paraId="6513DC5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ascii="微软雅黑" w:hAnsi="微软雅黑" w:eastAsia="微软雅黑" w:cs="微软雅黑"/>
                <w:color w:val="auto"/>
                <w:szCs w:val="21"/>
                <w:highlight w:val="none"/>
              </w:rPr>
              <w:t>8</w:t>
            </w:r>
            <w:r>
              <w:rPr>
                <w:rFonts w:hint="eastAsia" w:ascii="微软雅黑" w:hAnsi="微软雅黑" w:eastAsia="微软雅黑" w:cs="微软雅黑"/>
                <w:color w:val="auto"/>
                <w:szCs w:val="21"/>
                <w:highlight w:val="none"/>
              </w:rPr>
              <w:t>.业务共享</w:t>
            </w:r>
            <w:r>
              <w:rPr>
                <w:rFonts w:hint="eastAsia" w:ascii="微软雅黑" w:hAnsi="微软雅黑" w:eastAsia="微软雅黑" w:cs="微软雅黑"/>
                <w:color w:val="auto"/>
                <w:szCs w:val="21"/>
                <w:highlight w:val="none"/>
                <w:lang w:val="en-US" w:eastAsia="zh-CN"/>
              </w:rPr>
              <w:t>包括</w:t>
            </w:r>
            <w:r>
              <w:rPr>
                <w:rFonts w:hint="eastAsia" w:ascii="微软雅黑" w:hAnsi="微软雅黑" w:eastAsia="微软雅黑" w:cs="微软雅黑"/>
                <w:color w:val="auto"/>
                <w:szCs w:val="21"/>
                <w:highlight w:val="none"/>
              </w:rPr>
              <w:t>单个图码档案查询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批量图码档案查询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单个图码档案结果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批量图码档案结果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单条查询图码档案接口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批量查询图码档案接口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单个车码档案查询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批量车码档案查询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单个车码档案结果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批量车码档案结果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单条查询车码档案接口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批量查询车码档案接口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单个码档案查询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批量码档案查询</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单个码档案结果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批量码档案结果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单条查询码档案接口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批量查询码档案接口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时空信息还原分析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输出时空信息还原分析结果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时空信息还原分析接口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时空时空信息反查分析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输出时空时空信息反查分析结果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时空时空信息反查分析接口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区域碰撞分析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输出区域碰撞分析结果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区域碰撞分析接口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区域驻留分析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输出区域驻留分析结果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区域驻留接口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流窜作案分析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输出流窜作案分析结果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流窜作案分析接口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首次出现分析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输出首次出现分析结果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首次出现分析接口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聚集分析</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输出聚集分析结果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聚集分析接口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多维布控</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布控预警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布控预警接口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接口操作</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操作日志。</w:t>
            </w:r>
          </w:p>
          <w:p w14:paraId="1F748FB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三、视综升级改造</w:t>
            </w:r>
          </w:p>
          <w:p w14:paraId="04EFDA2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1.视图分析应用升级</w:t>
            </w:r>
          </w:p>
          <w:p w14:paraId="10C583E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强化视综图上作战，提供突发事情周边一定范围的视频、生物特征、车辆资源。提供突发事情周边一定范围的非智能感知前端的视频流解析能力调度，民警以列表及GIS地图的方式进行呈现与交互操作对现场情况进行及时的监控和初步的研判分析。</w:t>
            </w:r>
          </w:p>
          <w:p w14:paraId="49442FF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对接突发事情数据后，通过突发事情坐标获取周边感知资源，实现对周边感知资源的查看、智能化应用、算力调度任务下发和结果反馈，围绕突发事情完成视频资源的一站式分析研判</w:t>
            </w:r>
          </w:p>
          <w:p w14:paraId="175AE09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2.结构化能力调度基础服务</w:t>
            </w:r>
          </w:p>
          <w:p w14:paraId="4F675A5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通过统一标准调用各地视频解析能力，通过页面管理视频解析任务，解析进度与呈现解析结果。</w:t>
            </w:r>
          </w:p>
          <w:p w14:paraId="1829D98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3.结构化能力调度结果综合展示</w:t>
            </w:r>
          </w:p>
          <w:p w14:paraId="5B70367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对各算法的解析结果进行统一的处理、过滤与去重，并综合展示结果反馈的地市、算法版本、相似度、特征描述等一项或多项信息。</w:t>
            </w:r>
          </w:p>
          <w:p w14:paraId="7C50151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4.结构化能力调度管理服务</w:t>
            </w:r>
          </w:p>
          <w:p w14:paraId="0D3F051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对通过本系统调度的结构化任务的情况进行展示，包含任务名称、任务描述、任务进度、任务结果总览等一项或多项信息。</w:t>
            </w:r>
          </w:p>
          <w:p w14:paraId="6CA76E0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5.突发事情周边资源检索</w:t>
            </w:r>
          </w:p>
          <w:p w14:paraId="41AABA7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根据突发事情坐标检索并展示一定范围内的视频、人卡、车卡资源，以列表及GIS地图的方式进行呈现与交互操作。</w:t>
            </w:r>
          </w:p>
          <w:p w14:paraId="41EFE2B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6.突发事情周边视频研判分析</w:t>
            </w:r>
          </w:p>
          <w:p w14:paraId="0FBEE67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根据突发事情坐标调度一定范围内的实时视频与历史视频，提供视频画面播放、快进、慢放、暂停、截屏、标记、分析等功能</w:t>
            </w:r>
          </w:p>
          <w:p w14:paraId="084552B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（1）在线视频解析：能够对采购人建设接入的监控视频进行在线实时解析，自动标注时间和位置坐标信息；</w:t>
            </w:r>
          </w:p>
          <w:p w14:paraId="7CB6F9D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（2）历史录像解析：能够对采购人建设接入的监控视频录像进行解析，自动标注时间和位置坐标信息；</w:t>
            </w:r>
          </w:p>
          <w:p w14:paraId="3884961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（3）离线视频解析：能够对自行采集导入的离线线视频进行解析，手工和自动标注时间和位置坐标信息；</w:t>
            </w:r>
          </w:p>
          <w:p w14:paraId="67A17A6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（4）在线移动视频解析：能够对移动执法记录仪等移动视频设备进行解析，自动标注时间和位置时空信息坐标信息；</w:t>
            </w:r>
          </w:p>
          <w:p w14:paraId="410C581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（5）离线移动录像解析：能够对移动的离线录像进行解析，手工和自动标注时间和位置坐标信息。</w:t>
            </w:r>
          </w:p>
          <w:p w14:paraId="688E448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7.突发事情周边生物特征资源研判分析</w:t>
            </w:r>
          </w:p>
          <w:p w14:paraId="43C56EC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根据突发事情坐标调度一定范围内的生物特征资源进行以图搜图，返回以图搜图近似结果，可对目标进行实名化还原，并可关联存在的案件、车辆、档案等信息。</w:t>
            </w:r>
          </w:p>
          <w:p w14:paraId="2EC40C9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（1）生物特征提取：从生物特征图像区域中提取为一组特征值，提取包括不限于人的生理特征、表情特征、生物特征等；并根据结果对关联关系进行检索。</w:t>
            </w:r>
          </w:p>
          <w:p w14:paraId="5DA6BF4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（2）生物行为提取，并根据结果对关联关系进行检索。</w:t>
            </w:r>
          </w:p>
          <w:p w14:paraId="528E45E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8.突发事情周边车辆资源研判分析</w:t>
            </w:r>
          </w:p>
          <w:p w14:paraId="4617227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根据突发事情坐标调度一定范围内的车辆资源进行车牌时空信息检索，</w:t>
            </w:r>
            <w:r>
              <w:rPr>
                <w:rFonts w:hint="eastAsia" w:ascii="微软雅黑" w:hAnsi="微软雅黑" w:eastAsia="微软雅黑" w:cs="微软雅黑"/>
                <w:color w:val="auto"/>
                <w:szCs w:val="21"/>
                <w:highlight w:val="none"/>
                <w:lang w:val="en-US" w:eastAsia="zh-CN"/>
              </w:rPr>
              <w:t>包括</w:t>
            </w:r>
            <w:r>
              <w:rPr>
                <w:rFonts w:hint="eastAsia" w:ascii="微软雅黑" w:hAnsi="微软雅黑" w:eastAsia="微软雅黑" w:cs="微软雅黑"/>
                <w:color w:val="auto"/>
                <w:szCs w:val="21"/>
                <w:highlight w:val="none"/>
              </w:rPr>
              <w:t>车辆以图搜图</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车辆特征提取。</w:t>
            </w:r>
          </w:p>
          <w:p w14:paraId="355A8DF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9.突发事情周边其他资源研判分析</w:t>
            </w:r>
          </w:p>
          <w:p w14:paraId="35A89C5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根据突发事情坐标调度一定范围内其他非人车类别资源进行以图搜图，发现与案件相关的可能线索。并根据结果对关联关系进行检索。</w:t>
            </w:r>
          </w:p>
          <w:p w14:paraId="70FC760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10.</w:t>
            </w:r>
            <w:r>
              <w:rPr>
                <w:rFonts w:hint="eastAsia" w:ascii="微软雅黑" w:hAnsi="微软雅黑" w:eastAsia="微软雅黑" w:cs="微软雅黑"/>
                <w:color w:val="auto"/>
                <w:szCs w:val="21"/>
                <w:highlight w:val="none"/>
              </w:rPr>
              <w:t>视图一人一档</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视图一车一档</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视图智能化应用</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生物特征算法聚合展示</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车辆算法聚合展示</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人车分布式布控模块</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人车告警聚合展示</w:t>
            </w:r>
          </w:p>
          <w:p w14:paraId="691F604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调用多个算法。</w:t>
            </w:r>
          </w:p>
          <w:p w14:paraId="3C0C270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1</w:t>
            </w:r>
            <w:r>
              <w:rPr>
                <w:rFonts w:hint="eastAsia" w:ascii="微软雅黑" w:hAnsi="微软雅黑" w:eastAsia="微软雅黑" w:cs="微软雅黑"/>
                <w:color w:val="auto"/>
                <w:szCs w:val="21"/>
                <w:highlight w:val="none"/>
              </w:rPr>
              <w:t>.统一运维服务平台升级</w:t>
            </w:r>
          </w:p>
          <w:p w14:paraId="2870C0B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将现有用户域的统一运维服务平台的数据采集，巡检模块迁移至至视频专网，在视频专网对各市进行视频图像质量巡检和优化，并接收各市从视频专网级联上传的运维数据。</w:t>
            </w:r>
          </w:p>
          <w:p w14:paraId="01DAE45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在用户域对视频专网传输的数据进行过滤与优化，剔除不合格以及存在问题的数据，并共享至上级管理部门或其它业务系统。</w:t>
            </w:r>
          </w:p>
          <w:p w14:paraId="3FF1338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在数据域的数据展示模块进行统一展示和考核。具体实现以下功能：</w:t>
            </w:r>
          </w:p>
          <w:p w14:paraId="01917E7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1</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算法调度</w:t>
            </w:r>
          </w:p>
          <w:p w14:paraId="5380A0C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在数据域通过统一运维服务平台对应用能力进行集成，提供区厅及各市算法调度能力，为视图应用与融合应用提供应用赋能和算力支持。</w:t>
            </w:r>
          </w:p>
          <w:p w14:paraId="042A233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接口开放</w:t>
            </w:r>
          </w:p>
          <w:p w14:paraId="35AB028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将集成的统一服务与数据接口以统一标准对外开放，为大数据总线以及各业务子系统调取视图能力提供支撑。</w:t>
            </w:r>
          </w:p>
          <w:p w14:paraId="35298F60">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统计分析与考核</w:t>
            </w:r>
          </w:p>
          <w:p w14:paraId="127756BC">
            <w:pPr>
              <w:snapToGrid w:val="0"/>
              <w:spacing w:line="240" w:lineRule="auto"/>
              <w:jc w:val="left"/>
              <w:rPr>
                <w:rFonts w:hint="eastAsia" w:ascii="微软雅黑" w:hAnsi="微软雅黑" w:eastAsia="微软雅黑" w:cs="微软雅黑"/>
                <w:color w:val="auto"/>
                <w:szCs w:val="21"/>
                <w:highlight w:val="none"/>
              </w:rPr>
            </w:pPr>
            <w:r>
              <w:rPr>
                <w:rFonts w:hint="eastAsia" w:ascii="宋体" w:hAnsi="宋体" w:eastAsia="宋体" w:cs="宋体"/>
                <w:color w:val="auto"/>
                <w:szCs w:val="21"/>
                <w:highlight w:val="none"/>
              </w:rPr>
              <w:t>①</w:t>
            </w:r>
            <w:r>
              <w:rPr>
                <w:rFonts w:hint="eastAsia" w:ascii="微软雅黑" w:hAnsi="微软雅黑" w:eastAsia="微软雅黑" w:cs="微软雅黑"/>
                <w:color w:val="auto"/>
                <w:szCs w:val="21"/>
                <w:highlight w:val="none"/>
              </w:rPr>
              <w:t>展示通过统一运维服务平台集成的能力、资源。用户使用情况。</w:t>
            </w:r>
          </w:p>
          <w:p w14:paraId="549D6126">
            <w:pPr>
              <w:snapToGrid w:val="0"/>
              <w:spacing w:line="240" w:lineRule="auto"/>
              <w:jc w:val="left"/>
              <w:rPr>
                <w:rFonts w:hint="eastAsia" w:ascii="微软雅黑" w:hAnsi="微软雅黑" w:eastAsia="微软雅黑" w:cs="微软雅黑"/>
                <w:color w:val="auto"/>
                <w:szCs w:val="21"/>
                <w:highlight w:val="none"/>
              </w:rPr>
            </w:pPr>
            <w:r>
              <w:rPr>
                <w:rFonts w:hint="eastAsia" w:ascii="宋体" w:hAnsi="宋体" w:eastAsia="宋体" w:cs="宋体"/>
                <w:color w:val="auto"/>
                <w:szCs w:val="21"/>
                <w:highlight w:val="none"/>
              </w:rPr>
              <w:t>②</w:t>
            </w:r>
            <w:r>
              <w:rPr>
                <w:rFonts w:hint="eastAsia" w:ascii="微软雅黑" w:hAnsi="微软雅黑" w:eastAsia="微软雅黑" w:cs="微软雅黑"/>
                <w:color w:val="auto"/>
                <w:szCs w:val="21"/>
                <w:highlight w:val="none"/>
              </w:rPr>
              <w:t>各类接入前端设备的数量、在线率、前端质量。应用与接口的调用次数。</w:t>
            </w:r>
          </w:p>
          <w:p w14:paraId="5EC4D730">
            <w:pPr>
              <w:snapToGrid w:val="0"/>
              <w:spacing w:line="240" w:lineRule="auto"/>
              <w:jc w:val="left"/>
              <w:rPr>
                <w:rFonts w:hint="eastAsia" w:ascii="微软雅黑" w:hAnsi="微软雅黑" w:eastAsia="微软雅黑" w:cs="微软雅黑"/>
                <w:color w:val="auto"/>
                <w:szCs w:val="21"/>
                <w:highlight w:val="none"/>
              </w:rPr>
            </w:pPr>
            <w:r>
              <w:rPr>
                <w:rFonts w:hint="eastAsia" w:ascii="宋体" w:hAnsi="宋体" w:eastAsia="宋体" w:cs="宋体"/>
                <w:color w:val="auto"/>
                <w:szCs w:val="21"/>
                <w:highlight w:val="none"/>
              </w:rPr>
              <w:t>③</w:t>
            </w:r>
            <w:r>
              <w:rPr>
                <w:rFonts w:hint="eastAsia" w:ascii="微软雅黑" w:hAnsi="微软雅黑" w:eastAsia="微软雅黑" w:cs="微软雅黑"/>
                <w:color w:val="auto"/>
                <w:szCs w:val="21"/>
                <w:highlight w:val="none"/>
              </w:rPr>
              <w:t>对各市的运维数据按层级统计与展示，并进行考核打分。</w:t>
            </w:r>
          </w:p>
          <w:p w14:paraId="37030262">
            <w:pPr>
              <w:snapToGrid w:val="0"/>
              <w:spacing w:line="240" w:lineRule="auto"/>
              <w:jc w:val="left"/>
              <w:rPr>
                <w:rFonts w:hint="eastAsia" w:ascii="微软雅黑" w:hAnsi="微软雅黑" w:eastAsia="微软雅黑" w:cs="微软雅黑"/>
                <w:color w:val="auto"/>
                <w:szCs w:val="21"/>
                <w:highlight w:val="none"/>
              </w:rPr>
            </w:pPr>
            <w:r>
              <w:rPr>
                <w:rFonts w:hint="eastAsia" w:ascii="宋体" w:hAnsi="宋体" w:eastAsia="宋体" w:cs="宋体"/>
                <w:color w:val="auto"/>
                <w:szCs w:val="21"/>
                <w:highlight w:val="none"/>
              </w:rPr>
              <w:t>④</w:t>
            </w:r>
            <w:r>
              <w:rPr>
                <w:rFonts w:hint="eastAsia" w:ascii="微软雅黑" w:hAnsi="微软雅黑" w:eastAsia="微软雅黑" w:cs="微软雅黑"/>
                <w:color w:val="auto"/>
                <w:szCs w:val="21"/>
                <w:highlight w:val="none"/>
              </w:rPr>
              <w:t>采集视频图像比武提交的答题信息，并进行考核打分。</w:t>
            </w:r>
          </w:p>
          <w:p w14:paraId="37B3930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.视综门户升级</w:t>
            </w:r>
          </w:p>
          <w:p w14:paraId="526297C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（1）通过对视综门户的升级改造，实现对融合应用各子系统与视频图像应用子系统进行集成，提供综合的信息查询能力。</w:t>
            </w:r>
          </w:p>
          <w:p w14:paraId="7957DB4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（2）用户体系改造，将视综系统用户与零信任用户体系进行对接，实现根据零信任用户认证控制系统用户权限。</w:t>
            </w:r>
          </w:p>
          <w:p w14:paraId="57B6861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（3）以案授权，为更好把控采购人信息安全且对视综平台赋能各警种进行量化统计，衡量视综平台建设成果。现需对视综平台与各系统对接相互调用的流程功能、界面进行升级优化。</w:t>
            </w:r>
          </w:p>
          <w:p w14:paraId="03DEDF0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.视综平台零信任体系对接与应用改造</w:t>
            </w:r>
          </w:p>
          <w:p w14:paraId="6987475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.1视综平台各项功能与数据请求对接零信任体系</w:t>
            </w:r>
          </w:p>
          <w:p w14:paraId="09CB738E">
            <w:pPr>
              <w:numPr>
                <w:ilvl w:val="0"/>
                <w:numId w:val="0"/>
              </w:num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.1.1注册：视综注册到零信任平台</w:t>
            </w:r>
          </w:p>
          <w:p w14:paraId="1558EE9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.1.2鉴权：第三方对视综发起请求，视综优先到零信任进行鉴别，认证通过则开放对应权限；</w:t>
            </w:r>
          </w:p>
          <w:p w14:paraId="23EC9AD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.2系统模块需要与警综或三合一报警等案件来源进行关联，同步非涉密案件的基础信息，以便进行视频图像线索与案件的关联，根据案件信息开放分析工具的使用权限。</w:t>
            </w:r>
          </w:p>
          <w:p w14:paraId="03039AE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.权限控制</w:t>
            </w:r>
          </w:p>
          <w:p w14:paraId="10787A6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.1对零信任体系与视综平台交互进行认证：请求零信任接口，进行认证</w:t>
            </w:r>
          </w:p>
          <w:p w14:paraId="281EEFBC">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.2权限：外部发起请求，本系统到零信任进行权限鉴别，通过则给予权限；</w:t>
            </w:r>
          </w:p>
          <w:p w14:paraId="1E79BB2F">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.3授权：零信任返回对应权限，本系统仅授权对应权限，其他权限默认不开放。</w:t>
            </w:r>
          </w:p>
          <w:p w14:paraId="6C6885E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15</w:t>
            </w:r>
            <w:r>
              <w:rPr>
                <w:rFonts w:hint="eastAsia" w:ascii="微软雅黑" w:hAnsi="微软雅黑" w:eastAsia="微软雅黑" w:cs="微软雅黑"/>
                <w:color w:val="auto"/>
                <w:szCs w:val="21"/>
                <w:highlight w:val="none"/>
              </w:rPr>
              <w:t>.因人授权</w:t>
            </w:r>
          </w:p>
          <w:p w14:paraId="4649218B">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15</w:t>
            </w:r>
            <w:r>
              <w:rPr>
                <w:rFonts w:hint="eastAsia" w:ascii="微软雅黑" w:hAnsi="微软雅黑" w:eastAsia="微软雅黑" w:cs="微软雅黑"/>
                <w:color w:val="auto"/>
                <w:szCs w:val="21"/>
                <w:highlight w:val="none"/>
              </w:rPr>
              <w:t>.1系统根据用户角色控制其应用、数据使用权限，对不符合权限的请求，调用因案授权进行权限控制。</w:t>
            </w:r>
          </w:p>
          <w:p w14:paraId="7CBFDC35">
            <w:pPr>
              <w:numPr>
                <w:ilvl w:val="0"/>
                <w:numId w:val="0"/>
              </w:num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15</w:t>
            </w:r>
            <w:r>
              <w:rPr>
                <w:rFonts w:hint="eastAsia" w:ascii="微软雅黑" w:hAnsi="微软雅黑" w:eastAsia="微软雅黑" w:cs="微软雅黑"/>
                <w:color w:val="auto"/>
                <w:sz w:val="21"/>
                <w:szCs w:val="21"/>
                <w:highlight w:val="none"/>
              </w:rPr>
              <w:t>.2因人授权角色</w:t>
            </w:r>
          </w:p>
          <w:p w14:paraId="4A46136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15</w:t>
            </w:r>
            <w:r>
              <w:rPr>
                <w:rFonts w:hint="eastAsia" w:ascii="微软雅黑" w:hAnsi="微软雅黑" w:eastAsia="微软雅黑" w:cs="微软雅黑"/>
                <w:color w:val="auto"/>
                <w:szCs w:val="21"/>
                <w:highlight w:val="none"/>
              </w:rPr>
              <w:t>.2.1一般级：默认用户都是一般级，可以进行视频调阅等基本操作</w:t>
            </w:r>
          </w:p>
          <w:p w14:paraId="52B56681">
            <w:pPr>
              <w:numPr>
                <w:ilvl w:val="0"/>
                <w:numId w:val="0"/>
              </w:num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1</w:t>
            </w: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2.2重要级：重要级涉及要个人信息和车辆信息，需要走申请审批流程，可以临时授权，过期作废。</w:t>
            </w:r>
          </w:p>
          <w:p w14:paraId="569364DD">
            <w:pPr>
              <w:spacing w:line="240" w:lineRule="auto"/>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lang w:val="en-US" w:eastAsia="zh-CN"/>
              </w:rPr>
              <w:t>15</w:t>
            </w:r>
            <w:r>
              <w:rPr>
                <w:rFonts w:hint="eastAsia" w:ascii="微软雅黑" w:hAnsi="微软雅黑" w:eastAsia="微软雅黑" w:cs="微软雅黑"/>
                <w:color w:val="auto"/>
                <w:szCs w:val="21"/>
                <w:highlight w:val="none"/>
              </w:rPr>
              <w:t>.2.3特殊级：特殊级除了重要级的设计个人信息和车辆信息，还涉及到出行信息和轨迹信息，需要走申请审批流程，过期作废；</w:t>
            </w:r>
          </w:p>
          <w:p w14:paraId="6ED68023">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16</w:t>
            </w:r>
            <w:r>
              <w:rPr>
                <w:rFonts w:hint="eastAsia" w:ascii="微软雅黑" w:hAnsi="微软雅黑" w:eastAsia="微软雅黑" w:cs="微软雅黑"/>
                <w:color w:val="auto"/>
                <w:szCs w:val="21"/>
                <w:highlight w:val="none"/>
              </w:rPr>
              <w:t>.因案授权</w:t>
            </w:r>
          </w:p>
          <w:p w14:paraId="41B5CEE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17</w:t>
            </w:r>
            <w:r>
              <w:rPr>
                <w:rFonts w:hint="eastAsia" w:ascii="微软雅黑" w:hAnsi="微软雅黑" w:eastAsia="微软雅黑" w:cs="微软雅黑"/>
                <w:color w:val="auto"/>
                <w:szCs w:val="21"/>
                <w:highlight w:val="none"/>
              </w:rPr>
              <w:t>.1视综平台通过警综平台提供的案件查询接口，</w:t>
            </w:r>
          </w:p>
          <w:p w14:paraId="774CDB3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17</w:t>
            </w:r>
            <w:r>
              <w:rPr>
                <w:rFonts w:hint="eastAsia" w:ascii="微软雅黑" w:hAnsi="微软雅黑" w:eastAsia="微软雅黑" w:cs="微软雅黑"/>
                <w:color w:val="auto"/>
                <w:szCs w:val="21"/>
                <w:highlight w:val="none"/>
              </w:rPr>
              <w:t>.2视综平台向警综平台提交用户身份信息，获取用户关联的案件编号和案件名称等信息，并进行相关授权。</w:t>
            </w:r>
          </w:p>
          <w:p w14:paraId="297B20A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18</w:t>
            </w:r>
            <w:r>
              <w:rPr>
                <w:rFonts w:hint="eastAsia" w:ascii="微软雅黑" w:hAnsi="微软雅黑" w:eastAsia="微软雅黑" w:cs="微软雅黑"/>
                <w:color w:val="auto"/>
                <w:szCs w:val="21"/>
                <w:highlight w:val="none"/>
              </w:rPr>
              <w:t>.战果采集</w:t>
            </w:r>
          </w:p>
          <w:p w14:paraId="42AA377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用户可填报通过联合运用视综平台、警综平台获得的战果。</w:t>
            </w:r>
          </w:p>
          <w:p w14:paraId="3D34E82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19</w:t>
            </w:r>
            <w:r>
              <w:rPr>
                <w:rFonts w:hint="eastAsia" w:ascii="微软雅黑" w:hAnsi="微软雅黑" w:eastAsia="微软雅黑" w:cs="微软雅黑"/>
                <w:color w:val="auto"/>
                <w:szCs w:val="21"/>
                <w:highlight w:val="none"/>
              </w:rPr>
              <w:t>.统计分析</w:t>
            </w:r>
          </w:p>
          <w:p w14:paraId="671EDD49">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19</w:t>
            </w:r>
            <w:r>
              <w:rPr>
                <w:rFonts w:hint="eastAsia" w:ascii="微软雅黑" w:hAnsi="微软雅黑" w:eastAsia="微软雅黑" w:cs="微软雅黑"/>
                <w:color w:val="auto"/>
                <w:szCs w:val="21"/>
                <w:highlight w:val="none"/>
              </w:rPr>
              <w:t>.1按时间、部门、用户、应用模块等维度统计战果</w:t>
            </w:r>
          </w:p>
          <w:p w14:paraId="2F6A77D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19</w:t>
            </w:r>
            <w:r>
              <w:rPr>
                <w:rFonts w:hint="eastAsia" w:ascii="微软雅黑" w:hAnsi="微软雅黑" w:eastAsia="微软雅黑" w:cs="微软雅黑"/>
                <w:color w:val="auto"/>
                <w:szCs w:val="21"/>
                <w:highlight w:val="none"/>
              </w:rPr>
              <w:t>.2视综平台用户通过视综平台及警综平台对接获得的战果及赋能的情况，</w:t>
            </w:r>
          </w:p>
          <w:p w14:paraId="553F435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19</w:t>
            </w:r>
            <w:r>
              <w:rPr>
                <w:rFonts w:hint="eastAsia" w:ascii="微软雅黑" w:hAnsi="微软雅黑" w:eastAsia="微软雅黑" w:cs="微软雅黑"/>
                <w:color w:val="auto"/>
                <w:szCs w:val="21"/>
                <w:highlight w:val="none"/>
              </w:rPr>
              <w:t>.3战果及赋能情况通过列表和图形展示。</w:t>
            </w:r>
          </w:p>
          <w:p w14:paraId="06426D0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.系统管理</w:t>
            </w:r>
          </w:p>
          <w:p w14:paraId="3D20648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.1基于零信任体系的密级类型管理</w:t>
            </w:r>
          </w:p>
          <w:p w14:paraId="07236F9E">
            <w:pPr>
              <w:numPr>
                <w:ilvl w:val="0"/>
                <w:numId w:val="0"/>
              </w:num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0</w:t>
            </w:r>
            <w:r>
              <w:rPr>
                <w:rFonts w:hint="eastAsia" w:ascii="微软雅黑" w:hAnsi="微软雅黑" w:eastAsia="微软雅黑" w:cs="微软雅黑"/>
                <w:color w:val="auto"/>
                <w:sz w:val="21"/>
                <w:szCs w:val="21"/>
                <w:highlight w:val="none"/>
              </w:rPr>
              <w:t>.1.1系统级对接：对在零信任体系认证过的系统，请求零信任验证通过，反之不通过；</w:t>
            </w:r>
          </w:p>
          <w:p w14:paraId="08BBDAF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.1.2服务级对接：要求系统在零信任注册，并且要求此系统的需要对接的服务都要在零信任注册，只有在零信任认证系统通过加上认证服务通过，此服务才能对外提供赋能，反之此服务不可用；</w:t>
            </w:r>
          </w:p>
          <w:p w14:paraId="19568B57">
            <w:pPr>
              <w:numPr>
                <w:ilvl w:val="0"/>
                <w:numId w:val="0"/>
              </w:num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0</w:t>
            </w:r>
            <w:r>
              <w:rPr>
                <w:rFonts w:hint="eastAsia" w:ascii="微软雅黑" w:hAnsi="微软雅黑" w:eastAsia="微软雅黑" w:cs="微软雅黑"/>
                <w:color w:val="auto"/>
                <w:sz w:val="21"/>
                <w:szCs w:val="21"/>
                <w:highlight w:val="none"/>
              </w:rPr>
              <w:t>.1.3功能级对接：要求系统、服务、功能都要在零信任注册才能对外提供功能，反之功能不可用；</w:t>
            </w:r>
          </w:p>
          <w:p w14:paraId="3BCF24E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.2功能权限配置</w:t>
            </w:r>
          </w:p>
          <w:p w14:paraId="072D3509">
            <w:pPr>
              <w:numPr>
                <w:ilvl w:val="0"/>
                <w:numId w:val="0"/>
              </w:num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.2.1要求功能提供方在零信任进行功能注册，也要求请求方在零信任进行注册，两者才可通信；</w:t>
            </w:r>
          </w:p>
          <w:p w14:paraId="22D7B58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.3数据权限配置</w:t>
            </w:r>
          </w:p>
          <w:p w14:paraId="45C65D26">
            <w:pPr>
              <w:snapToGrid w:val="0"/>
              <w:spacing w:line="240" w:lineRule="auto"/>
              <w:jc w:val="lef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.3.1、数据请求方向零信任发起数据请求，零信任进行验证通过或者不通过；</w:t>
            </w:r>
          </w:p>
          <w:p w14:paraId="7CFAD06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.4角色权限管理。</w:t>
            </w:r>
          </w:p>
          <w:p w14:paraId="79BC445A">
            <w:pPr>
              <w:numPr>
                <w:ilvl w:val="0"/>
                <w:numId w:val="0"/>
              </w:num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0</w:t>
            </w:r>
            <w:r>
              <w:rPr>
                <w:rFonts w:hint="eastAsia" w:ascii="微软雅黑" w:hAnsi="微软雅黑" w:eastAsia="微软雅黑" w:cs="微软雅黑"/>
                <w:color w:val="auto"/>
                <w:sz w:val="21"/>
                <w:szCs w:val="21"/>
                <w:highlight w:val="none"/>
              </w:rPr>
              <w:t>.4.1角色权限分为系统级角色、服务级角色、功能级角色；</w:t>
            </w:r>
          </w:p>
          <w:p w14:paraId="2BE71B88">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四、视综平台迁移</w:t>
            </w:r>
          </w:p>
          <w:p w14:paraId="0508CE5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（一）迁移系统数据情况：</w:t>
            </w:r>
          </w:p>
          <w:p w14:paraId="1223088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1.服务器数量：约94台服务器</w:t>
            </w:r>
          </w:p>
          <w:p w14:paraId="64426A71">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2.存量带URL数据：约1400亿数据。</w:t>
            </w:r>
          </w:p>
          <w:p w14:paraId="2B8B85F5">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3.数据存储大小：约3.3PB。</w:t>
            </w:r>
          </w:p>
          <w:p w14:paraId="1C80A1E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4.接口数量总计208个。</w:t>
            </w:r>
          </w:p>
          <w:p w14:paraId="4108042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（二）迁移内容与要求</w:t>
            </w:r>
          </w:p>
          <w:p w14:paraId="28335514">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1.将用户域视综平台迁入数据域，用户域视综平台客户端依托数据域视综平台提供的实名化与大数据服务，对接用户域的区市分布式服务与动态生物特征服务；对接14个市各服务接口</w:t>
            </w:r>
          </w:p>
          <w:p w14:paraId="1A0D1DA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2.将现用户域视图库迁入数据域，用户域搭建保留一个月数据低并发的视图库；</w:t>
            </w:r>
          </w:p>
          <w:p w14:paraId="622D3F0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3.动态生物特征、车辆分析算法保留在用户域，聚档算法与静态生物特征迁入数据域；</w:t>
            </w:r>
          </w:p>
          <w:p w14:paraId="19F7E58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4.用户域视综平台客户端接收二类区的坐标信息，返回指定区域内的实时监控、录像、智能化算法以及结构化服务，由视综平台客户端对数据域及用户域资源进行调度；</w:t>
            </w:r>
          </w:p>
          <w:p w14:paraId="3692087F">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5.用户域多引擎算法平台与用户域视图库负责与市级资源进行交互；</w:t>
            </w:r>
          </w:p>
          <w:p w14:paraId="6F3C6E2C">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6.用户域视图运管与治理平台依托用户域视图库数据进行考核与推送上级管理部门。</w:t>
            </w:r>
          </w:p>
          <w:p w14:paraId="3B7C0B77">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7.迁移过程中保持数据与服务不得中断</w:t>
            </w:r>
          </w:p>
          <w:p w14:paraId="618033B6">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8.迁移数据双边对账与并行，不可丢失数据或存在数据差异</w:t>
            </w:r>
          </w:p>
          <w:p w14:paraId="48D467A9">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五、性能要求</w:t>
            </w:r>
          </w:p>
          <w:p w14:paraId="3AA463FA">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1.可靠性需求：大数据实战平台的系统应用必须稳定、可靠，不因平台系统本身的原因造成死机、停止等故障，系统有效运行时间≥99.9%，系统故障平均间隔时间≥180天。</w:t>
            </w:r>
          </w:p>
          <w:p w14:paraId="3F1BA9A2">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2.在线用户数需求：平台系统需支持最大同时在线用户数≥500，能够保证正常的系统使用。</w:t>
            </w:r>
          </w:p>
          <w:p w14:paraId="465F98B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响应需求：简单业务处理不超过3秒（包含系统登录、信息录入等基础操作业务）；分析、检索类业务，确保50名用户同时使用图上作战、智能检索、档案查询等复杂业务时，需要在2分钟内完成，各类统计分析结果时间不超过5分钟）。</w:t>
            </w:r>
          </w:p>
          <w:p w14:paraId="7FD59DAD">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4.平台需完全满足接口处理机制要求，包括异常处理机制、性能及并发处理控制机制、数据访问安全机制、服务运行状态监控机制、日志审计机制。具体系统并发指标包括：</w:t>
            </w:r>
          </w:p>
          <w:p w14:paraId="55281F3E">
            <w:pPr>
              <w:snapToGrid w:val="0"/>
              <w:spacing w:line="240" w:lineRule="auto"/>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统一实战门户：单节点需达到并发数≥500；</w:t>
            </w:r>
          </w:p>
          <w:p w14:paraId="2FF61AA1">
            <w:pPr>
              <w:snapToGrid w:val="0"/>
              <w:spacing w:line="240" w:lineRule="auto"/>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1"/>
                <w:highlight w:val="none"/>
              </w:rPr>
              <w:t>融合升级应用：单节点需达到并发数≥200。</w:t>
            </w:r>
          </w:p>
        </w:tc>
      </w:tr>
      <w:tr w14:paraId="05EFEA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932" w:type="dxa"/>
            <w:gridSpan w:val="4"/>
            <w:tcBorders>
              <w:top w:val="single" w:color="auto" w:sz="4" w:space="0"/>
              <w:left w:val="single" w:color="auto" w:sz="4" w:space="0"/>
              <w:bottom w:val="single" w:color="auto" w:sz="4" w:space="0"/>
              <w:right w:val="single" w:color="auto" w:sz="4" w:space="0"/>
            </w:tcBorders>
            <w:vAlign w:val="top"/>
          </w:tcPr>
          <w:p w14:paraId="3EB33DF2">
            <w:pPr>
              <w:snapToGrid w:val="0"/>
              <w:spacing w:line="240" w:lineRule="auto"/>
              <w:jc w:val="left"/>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b/>
                <w:color w:val="auto"/>
                <w:sz w:val="21"/>
                <w:szCs w:val="21"/>
                <w:highlight w:val="none"/>
              </w:rPr>
              <w:t>一、商务要求</w:t>
            </w:r>
          </w:p>
        </w:tc>
      </w:tr>
      <w:tr w14:paraId="0B94A1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47CBFF59">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服务期限及地点</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2B92A449">
            <w:pPr>
              <w:snapToGrid w:val="0"/>
              <w:spacing w:line="240" w:lineRule="auto"/>
              <w:ind w:left="0" w:leftChars="0"/>
              <w:jc w:val="left"/>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服务期限：自签订合同之日起180</w:t>
            </w:r>
            <w:r>
              <w:rPr>
                <w:rFonts w:hint="eastAsia" w:ascii="微软雅黑" w:hAnsi="微软雅黑" w:eastAsia="微软雅黑" w:cs="微软雅黑"/>
                <w:color w:val="auto"/>
                <w:sz w:val="21"/>
                <w:szCs w:val="21"/>
                <w:highlight w:val="none"/>
                <w:lang w:val="en-US" w:eastAsia="zh-CN"/>
              </w:rPr>
              <w:t>天</w:t>
            </w:r>
            <w:r>
              <w:rPr>
                <w:rFonts w:hint="eastAsia" w:ascii="微软雅黑" w:hAnsi="微软雅黑" w:eastAsia="微软雅黑" w:cs="微软雅黑"/>
                <w:color w:val="auto"/>
                <w:sz w:val="21"/>
                <w:szCs w:val="21"/>
                <w:highlight w:val="none"/>
              </w:rPr>
              <w:t>内完成系统</w:t>
            </w:r>
            <w:r>
              <w:rPr>
                <w:rFonts w:hint="eastAsia" w:ascii="微软雅黑" w:hAnsi="微软雅黑" w:eastAsia="微软雅黑" w:cs="微软雅黑"/>
                <w:color w:val="auto"/>
                <w:sz w:val="21"/>
                <w:szCs w:val="21"/>
                <w:highlight w:val="none"/>
                <w:lang w:eastAsia="zh-CN"/>
              </w:rPr>
              <w:t>开发、</w:t>
            </w:r>
            <w:r>
              <w:rPr>
                <w:rFonts w:hint="eastAsia" w:ascii="微软雅黑" w:hAnsi="微软雅黑" w:eastAsia="微软雅黑" w:cs="微软雅黑"/>
                <w:color w:val="auto"/>
                <w:sz w:val="21"/>
                <w:szCs w:val="21"/>
                <w:highlight w:val="none"/>
              </w:rPr>
              <w:t>部署上线</w:t>
            </w:r>
            <w:r>
              <w:rPr>
                <w:rFonts w:hint="eastAsia" w:ascii="微软雅黑" w:hAnsi="微软雅黑" w:eastAsia="微软雅黑" w:cs="微软雅黑"/>
                <w:color w:val="auto"/>
                <w:sz w:val="21"/>
                <w:szCs w:val="21"/>
                <w:highlight w:val="none"/>
                <w:lang w:eastAsia="zh-CN"/>
              </w:rPr>
              <w:t>并完成初步验收；</w:t>
            </w:r>
            <w:r>
              <w:rPr>
                <w:rFonts w:hint="eastAsia" w:ascii="微软雅黑" w:hAnsi="微软雅黑" w:eastAsia="微软雅黑" w:cs="微软雅黑"/>
                <w:color w:val="auto"/>
                <w:sz w:val="21"/>
                <w:szCs w:val="21"/>
                <w:highlight w:val="none"/>
                <w:lang w:val="en-US" w:eastAsia="zh-CN"/>
              </w:rPr>
              <w:t>项目竣工后，进入</w:t>
            </w:r>
            <w:r>
              <w:rPr>
                <w:rFonts w:hint="eastAsia" w:ascii="微软雅黑" w:hAnsi="微软雅黑" w:eastAsia="微软雅黑" w:cs="微软雅黑"/>
                <w:color w:val="auto"/>
                <w:szCs w:val="21"/>
                <w:highlight w:val="none"/>
              </w:rPr>
              <w:t>维保服务期间</w:t>
            </w:r>
            <w:r>
              <w:rPr>
                <w:rFonts w:hint="eastAsia" w:ascii="微软雅黑" w:hAnsi="微软雅黑" w:eastAsia="微软雅黑" w:cs="微软雅黑"/>
                <w:color w:val="auto"/>
                <w:szCs w:val="21"/>
                <w:highlight w:val="none"/>
                <w:lang w:eastAsia="zh-CN"/>
              </w:rPr>
              <w:t>，维保期三年。</w:t>
            </w:r>
          </w:p>
          <w:p w14:paraId="5EED6407">
            <w:pPr>
              <w:snapToGrid w:val="0"/>
              <w:spacing w:line="240" w:lineRule="auto"/>
              <w:jc w:val="left"/>
              <w:outlineLvl w:val="9"/>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服务地点：广西壮族自治区南宁市内采购人指定地点。</w:t>
            </w:r>
          </w:p>
        </w:tc>
      </w:tr>
      <w:tr w14:paraId="4A6C0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0C89C409">
            <w:pPr>
              <w:snapToGrid w:val="0"/>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lang w:val="en-US" w:eastAsia="zh-CN"/>
              </w:rPr>
              <w:t>项目建设实施准备</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51597AAD">
            <w:pPr>
              <w:pStyle w:val="23"/>
              <w:snapToGrid w:val="0"/>
              <w:spacing w:line="240" w:lineRule="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rPr>
              <w:t>中标人需根据招标文件、批复初步设计方案及投评材料等编制深化设计方案，经监理单位确认并报厅科信办备案后实施项目建设。</w:t>
            </w:r>
          </w:p>
        </w:tc>
      </w:tr>
      <w:tr w14:paraId="0E251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520242BE">
            <w:pPr>
              <w:wordWrap/>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合同签订时间</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0607443F">
            <w:pPr>
              <w:wordWrap/>
              <w:snapToGrid w:val="0"/>
              <w:spacing w:line="240" w:lineRule="auto"/>
              <w:jc w:val="left"/>
              <w:rPr>
                <w:rFonts w:hint="eastAsia" w:ascii="微软雅黑" w:hAnsi="微软雅黑" w:eastAsia="微软雅黑" w:cs="微软雅黑"/>
                <w:b w:val="0"/>
                <w:color w:val="auto"/>
                <w:sz w:val="21"/>
                <w:szCs w:val="21"/>
                <w:highlight w:val="none"/>
              </w:rPr>
            </w:pPr>
            <w:r>
              <w:rPr>
                <w:rFonts w:hint="eastAsia" w:ascii="微软雅黑" w:hAnsi="微软雅黑" w:eastAsia="微软雅黑" w:cs="微软雅黑"/>
                <w:color w:val="auto"/>
                <w:sz w:val="21"/>
                <w:szCs w:val="21"/>
                <w:highlight w:val="none"/>
              </w:rPr>
              <w:t>中标通知书发出之日起25天内。</w:t>
            </w:r>
          </w:p>
        </w:tc>
      </w:tr>
      <w:tr w14:paraId="4EB042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6D1979D0">
            <w:pPr>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付款方式</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5847C552">
            <w:pPr>
              <w:pStyle w:val="23"/>
              <w:spacing w:line="240" w:lineRule="auto"/>
              <w:outlineLvl w:val="0"/>
              <w:rPr>
                <w:rFonts w:hint="eastAsia" w:ascii="微软雅黑" w:hAnsi="微软雅黑" w:eastAsia="微软雅黑" w:cs="微软雅黑"/>
                <w:color w:val="auto"/>
                <w:kern w:val="0"/>
                <w:sz w:val="21"/>
                <w:szCs w:val="21"/>
                <w:highlight w:val="none"/>
                <w:lang w:bidi="ar"/>
              </w:rPr>
            </w:pPr>
            <w:r>
              <w:rPr>
                <w:rFonts w:hint="eastAsia" w:ascii="微软雅黑" w:hAnsi="微软雅黑" w:eastAsia="微软雅黑" w:cs="微软雅黑"/>
                <w:color w:val="auto"/>
                <w:kern w:val="0"/>
                <w:sz w:val="21"/>
                <w:szCs w:val="21"/>
                <w:highlight w:val="none"/>
                <w:lang w:val="en-US" w:eastAsia="zh-CN" w:bidi="ar"/>
              </w:rPr>
              <w:t>1.</w:t>
            </w:r>
            <w:r>
              <w:rPr>
                <w:rFonts w:hint="eastAsia" w:ascii="微软雅黑" w:hAnsi="微软雅黑" w:eastAsia="微软雅黑" w:cs="微软雅黑"/>
                <w:color w:val="auto"/>
                <w:kern w:val="0"/>
                <w:sz w:val="21"/>
                <w:szCs w:val="21"/>
                <w:highlight w:val="none"/>
                <w:lang w:bidi="ar"/>
              </w:rPr>
              <w:t>本</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bidi="ar"/>
              </w:rPr>
              <w:t>签订合同后15个工作日内，采购人向中标人支付合同总金额</w:t>
            </w:r>
            <w:r>
              <w:rPr>
                <w:rFonts w:hint="eastAsia" w:ascii="微软雅黑" w:hAnsi="微软雅黑" w:eastAsia="微软雅黑" w:cs="微软雅黑"/>
                <w:color w:val="auto"/>
                <w:kern w:val="0"/>
                <w:sz w:val="21"/>
                <w:szCs w:val="21"/>
                <w:highlight w:val="none"/>
                <w:lang w:val="en-US" w:eastAsia="zh-CN" w:bidi="ar"/>
              </w:rPr>
              <w:t>15</w:t>
            </w:r>
            <w:r>
              <w:rPr>
                <w:rFonts w:hint="eastAsia" w:ascii="微软雅黑" w:hAnsi="微软雅黑" w:eastAsia="微软雅黑" w:cs="微软雅黑"/>
                <w:color w:val="auto"/>
                <w:kern w:val="0"/>
                <w:sz w:val="21"/>
                <w:szCs w:val="21"/>
                <w:highlight w:val="none"/>
                <w:lang w:bidi="ar"/>
              </w:rPr>
              <w:t>%的作为合同</w:t>
            </w:r>
            <w:r>
              <w:rPr>
                <w:rFonts w:hint="eastAsia" w:ascii="微软雅黑" w:hAnsi="微软雅黑" w:eastAsia="微软雅黑" w:cs="微软雅黑"/>
                <w:color w:val="auto"/>
                <w:kern w:val="0"/>
                <w:sz w:val="21"/>
                <w:szCs w:val="21"/>
                <w:highlight w:val="none"/>
                <w:lang w:val="en-US" w:eastAsia="zh-CN" w:bidi="ar"/>
              </w:rPr>
              <w:t>预</w:t>
            </w:r>
            <w:r>
              <w:rPr>
                <w:rFonts w:hint="eastAsia" w:ascii="微软雅黑" w:hAnsi="微软雅黑" w:eastAsia="微软雅黑" w:cs="微软雅黑"/>
                <w:color w:val="auto"/>
                <w:kern w:val="0"/>
                <w:sz w:val="21"/>
                <w:szCs w:val="21"/>
                <w:highlight w:val="none"/>
                <w:lang w:bidi="ar"/>
              </w:rPr>
              <w:t>付款。</w:t>
            </w:r>
          </w:p>
          <w:p w14:paraId="49CC674F">
            <w:pPr>
              <w:pStyle w:val="23"/>
              <w:spacing w:line="240" w:lineRule="auto"/>
              <w:outlineLvl w:val="0"/>
              <w:rPr>
                <w:rFonts w:hint="eastAsia" w:ascii="微软雅黑" w:hAnsi="微软雅黑" w:eastAsia="微软雅黑" w:cs="微软雅黑"/>
                <w:color w:val="auto"/>
                <w:kern w:val="0"/>
                <w:sz w:val="21"/>
                <w:szCs w:val="21"/>
                <w:highlight w:val="none"/>
                <w:lang w:bidi="ar"/>
              </w:rPr>
            </w:pPr>
            <w:r>
              <w:rPr>
                <w:rFonts w:hint="eastAsia" w:ascii="微软雅黑" w:hAnsi="微软雅黑" w:eastAsia="微软雅黑" w:cs="微软雅黑"/>
                <w:color w:val="auto"/>
                <w:kern w:val="0"/>
                <w:sz w:val="21"/>
                <w:szCs w:val="21"/>
                <w:highlight w:val="none"/>
                <w:lang w:val="en-US" w:eastAsia="zh-CN" w:bidi="ar"/>
              </w:rPr>
              <w:t>2.</w:t>
            </w:r>
            <w:r>
              <w:rPr>
                <w:rFonts w:hint="eastAsia" w:ascii="微软雅黑" w:hAnsi="微软雅黑" w:eastAsia="微软雅黑" w:cs="微软雅黑"/>
                <w:color w:val="auto"/>
                <w:kern w:val="0"/>
                <w:sz w:val="21"/>
                <w:szCs w:val="21"/>
                <w:highlight w:val="none"/>
                <w:lang w:bidi="ar"/>
              </w:rPr>
              <w:t>本</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bidi="ar"/>
              </w:rPr>
              <w:t>经项目单位组织初步验收通过后，采购人在中标人提出付款申请后15个工作日内向中标人支付</w:t>
            </w:r>
            <w:r>
              <w:rPr>
                <w:rFonts w:hint="eastAsia" w:ascii="微软雅黑" w:hAnsi="微软雅黑" w:eastAsia="微软雅黑" w:cs="微软雅黑"/>
                <w:color w:val="auto"/>
                <w:kern w:val="0"/>
                <w:sz w:val="21"/>
                <w:szCs w:val="21"/>
                <w:highlight w:val="none"/>
                <w:lang w:val="en-US" w:eastAsia="zh-CN" w:bidi="ar"/>
              </w:rPr>
              <w:t>45</w:t>
            </w:r>
            <w:r>
              <w:rPr>
                <w:rFonts w:hint="eastAsia" w:ascii="微软雅黑" w:hAnsi="微软雅黑" w:eastAsia="微软雅黑" w:cs="微软雅黑"/>
                <w:color w:val="auto"/>
                <w:kern w:val="0"/>
                <w:sz w:val="21"/>
                <w:szCs w:val="21"/>
                <w:highlight w:val="none"/>
                <w:lang w:bidi="ar"/>
              </w:rPr>
              <w:t>%的合同款。</w:t>
            </w:r>
          </w:p>
          <w:p w14:paraId="41998057">
            <w:pPr>
              <w:pStyle w:val="23"/>
              <w:spacing w:line="240" w:lineRule="auto"/>
              <w:outlineLvl w:val="0"/>
              <w:rPr>
                <w:rFonts w:hint="eastAsia" w:ascii="微软雅黑" w:hAnsi="微软雅黑" w:eastAsia="微软雅黑" w:cs="微软雅黑"/>
                <w:color w:val="auto"/>
                <w:kern w:val="0"/>
                <w:sz w:val="21"/>
                <w:szCs w:val="21"/>
                <w:highlight w:val="none"/>
                <w:lang w:bidi="ar"/>
              </w:rPr>
            </w:pPr>
            <w:r>
              <w:rPr>
                <w:rFonts w:hint="eastAsia" w:ascii="微软雅黑" w:hAnsi="微软雅黑" w:eastAsia="微软雅黑" w:cs="微软雅黑"/>
                <w:color w:val="auto"/>
                <w:kern w:val="0"/>
                <w:sz w:val="21"/>
                <w:szCs w:val="21"/>
                <w:highlight w:val="none"/>
                <w:lang w:val="en-US" w:eastAsia="zh-CN" w:bidi="ar"/>
              </w:rPr>
              <w:t>3.</w:t>
            </w:r>
            <w:r>
              <w:rPr>
                <w:rFonts w:hint="eastAsia" w:ascii="微软雅黑" w:hAnsi="微软雅黑" w:eastAsia="微软雅黑" w:cs="微软雅黑"/>
                <w:color w:val="auto"/>
                <w:kern w:val="0"/>
                <w:sz w:val="21"/>
                <w:szCs w:val="21"/>
                <w:highlight w:val="none"/>
                <w:lang w:bidi="ar"/>
              </w:rPr>
              <w:t>广西公安数字化改革之技术支撑体系项目分成多个</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bidi="ar"/>
              </w:rPr>
              <w:t>开展建设，建设单位在所有</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bidi="ar"/>
              </w:rPr>
              <w:t>完成建设并实现项目整体建设目标后，统一将广西公安数字化改革之技术支撑体系项目向厅科信办提请初步验收，初步验收通过后，采购人在本</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bidi="ar"/>
              </w:rPr>
              <w:t>中标人提出付款申请后15个工作日内向中标人支付30%的合同款。</w:t>
            </w:r>
          </w:p>
          <w:p w14:paraId="19E50F62">
            <w:pPr>
              <w:pStyle w:val="23"/>
              <w:spacing w:line="240" w:lineRule="auto"/>
              <w:outlineLvl w:val="0"/>
              <w:rPr>
                <w:rFonts w:hint="eastAsia" w:ascii="微软雅黑" w:hAnsi="微软雅黑" w:eastAsia="微软雅黑" w:cs="微软雅黑"/>
                <w:color w:val="auto"/>
                <w:kern w:val="0"/>
                <w:sz w:val="21"/>
                <w:szCs w:val="21"/>
                <w:highlight w:val="none"/>
                <w:lang w:bidi="ar"/>
              </w:rPr>
            </w:pPr>
            <w:r>
              <w:rPr>
                <w:rFonts w:hint="eastAsia" w:ascii="微软雅黑" w:hAnsi="微软雅黑" w:eastAsia="微软雅黑" w:cs="微软雅黑"/>
                <w:color w:val="auto"/>
                <w:kern w:val="0"/>
                <w:sz w:val="21"/>
                <w:szCs w:val="21"/>
                <w:highlight w:val="none"/>
                <w:lang w:val="en-US" w:eastAsia="zh-CN" w:bidi="ar"/>
              </w:rPr>
              <w:t>4.</w:t>
            </w:r>
            <w:r>
              <w:rPr>
                <w:rFonts w:hint="eastAsia" w:ascii="微软雅黑" w:hAnsi="微软雅黑" w:eastAsia="微软雅黑" w:cs="微软雅黑"/>
                <w:color w:val="auto"/>
                <w:kern w:val="0"/>
                <w:sz w:val="21"/>
                <w:szCs w:val="21"/>
                <w:highlight w:val="none"/>
                <w:lang w:bidi="ar"/>
              </w:rPr>
              <w:t>厅科信办组织将项目报广西壮族自治区大数据发展局提请开展竣工验收，在竣工验收通过后，采购人在本</w:t>
            </w:r>
            <w:r>
              <w:rPr>
                <w:rFonts w:hint="eastAsia" w:ascii="微软雅黑" w:hAnsi="微软雅黑" w:eastAsia="微软雅黑" w:cs="微软雅黑"/>
                <w:color w:val="auto"/>
                <w:kern w:val="0"/>
                <w:sz w:val="21"/>
                <w:szCs w:val="21"/>
                <w:highlight w:val="none"/>
                <w:lang w:val="en-US" w:eastAsia="zh-CN" w:bidi="ar"/>
              </w:rPr>
              <w:t xml:space="preserve">项目 </w:t>
            </w:r>
            <w:r>
              <w:rPr>
                <w:rFonts w:hint="eastAsia" w:ascii="微软雅黑" w:hAnsi="微软雅黑" w:eastAsia="微软雅黑" w:cs="微软雅黑"/>
                <w:color w:val="auto"/>
                <w:kern w:val="0"/>
                <w:sz w:val="21"/>
                <w:szCs w:val="21"/>
                <w:highlight w:val="none"/>
                <w:lang w:bidi="ar"/>
              </w:rPr>
              <w:t>中标人提出付款申请后15个工作日内向中标人支付10%的合同款。</w:t>
            </w:r>
          </w:p>
          <w:p w14:paraId="3D5F1543">
            <w:pPr>
              <w:pStyle w:val="23"/>
              <w:spacing w:line="240" w:lineRule="auto"/>
              <w:outlineLvl w:val="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kern w:val="0"/>
                <w:sz w:val="21"/>
                <w:szCs w:val="21"/>
                <w:highlight w:val="none"/>
                <w:lang w:val="en-US" w:eastAsia="zh-CN" w:bidi="ar"/>
              </w:rPr>
              <w:t>5.</w:t>
            </w:r>
            <w:r>
              <w:rPr>
                <w:rFonts w:hint="eastAsia" w:ascii="微软雅黑" w:hAnsi="微软雅黑" w:eastAsia="微软雅黑" w:cs="微软雅黑"/>
                <w:color w:val="auto"/>
                <w:kern w:val="0"/>
                <w:sz w:val="21"/>
                <w:szCs w:val="21"/>
                <w:highlight w:val="none"/>
                <w:lang w:eastAsia="zh-CN" w:bidi="ar"/>
              </w:rPr>
              <w:t>采购人</w:t>
            </w:r>
            <w:r>
              <w:rPr>
                <w:rFonts w:hint="eastAsia" w:ascii="微软雅黑" w:hAnsi="微软雅黑" w:eastAsia="微软雅黑" w:cs="微软雅黑"/>
                <w:color w:val="auto"/>
                <w:kern w:val="0"/>
                <w:sz w:val="21"/>
                <w:szCs w:val="21"/>
                <w:highlight w:val="none"/>
                <w:lang w:bidi="ar"/>
              </w:rPr>
              <w:t xml:space="preserve">付款前，中标人应向采购人提供与支付金额相符的有效发票，且收款方、出具发票方、合同乙方均必须与中标人名称一致。 </w:t>
            </w:r>
          </w:p>
        </w:tc>
      </w:tr>
      <w:tr w14:paraId="1E568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2BA35E04">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投标报价</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609DF94A">
            <w:pPr>
              <w:snapToGrid w:val="0"/>
              <w:spacing w:line="240" w:lineRule="auto"/>
              <w:jc w:val="left"/>
              <w:outlineLvl w:val="9"/>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t>投标报价是完成本项目的全部服务内容及其相关工作所需的全部费用：应包含（但不限于）所有服务有关</w:t>
            </w:r>
            <w:r>
              <w:rPr>
                <w:rFonts w:hint="eastAsia" w:ascii="微软雅黑" w:hAnsi="微软雅黑" w:eastAsia="微软雅黑" w:cs="微软雅黑"/>
                <w:color w:val="auto"/>
                <w:sz w:val="21"/>
                <w:szCs w:val="21"/>
                <w:highlight w:val="none"/>
                <w:lang w:eastAsia="zh-CN"/>
              </w:rPr>
              <w:t>的</w:t>
            </w:r>
            <w:r>
              <w:rPr>
                <w:rFonts w:hint="eastAsia" w:ascii="微软雅黑" w:hAnsi="微软雅黑" w:eastAsia="微软雅黑" w:cs="微软雅黑"/>
                <w:color w:val="auto"/>
                <w:sz w:val="21"/>
                <w:szCs w:val="21"/>
                <w:highlight w:val="none"/>
              </w:rPr>
              <w:t>费用、验收、技术资料归档、培训、项目人员的交通费、住宿费、伙食补助费等各种费用和售后服务、税金及其它费用的总和。</w:t>
            </w:r>
          </w:p>
        </w:tc>
      </w:tr>
      <w:tr w14:paraId="3D798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004A48E9">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lang w:val="en-US" w:eastAsia="zh-CN"/>
              </w:rPr>
              <w:t>人员要求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5BCCB82B">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一、警用地理信息平台升级</w:t>
            </w:r>
          </w:p>
          <w:p w14:paraId="47B589ED">
            <w:pPr>
              <w:snapToGrid w:val="0"/>
              <w:spacing w:line="240" w:lineRule="auto"/>
              <w:jc w:val="left"/>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eastAsia="zh-CN"/>
              </w:rPr>
              <w:t>1</w:t>
            </w:r>
            <w:r>
              <w:rPr>
                <w:rFonts w:hint="eastAsia" w:ascii="微软雅黑" w:hAnsi="微软雅黑" w:eastAsia="微软雅黑" w:cs="微软雅黑"/>
                <w:b/>
                <w:bCs/>
                <w:color w:val="auto"/>
                <w:sz w:val="21"/>
                <w:szCs w:val="21"/>
                <w:highlight w:val="none"/>
                <w:lang w:val="en-US" w:eastAsia="zh-CN"/>
              </w:rPr>
              <w:t>.项目实施人员配备：</w:t>
            </w:r>
          </w:p>
          <w:p w14:paraId="1D0E9037">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项目经理1人，</w:t>
            </w:r>
            <w:r>
              <w:rPr>
                <w:rFonts w:hint="eastAsia" w:ascii="微软雅黑" w:hAnsi="微软雅黑" w:eastAsia="微软雅黑" w:cs="微软雅黑"/>
                <w:color w:val="auto"/>
                <w:sz w:val="21"/>
                <w:szCs w:val="21"/>
                <w:highlight w:val="none"/>
                <w:lang w:val="en-US" w:eastAsia="zh-CN"/>
              </w:rPr>
              <w:t>具备</w:t>
            </w:r>
            <w:r>
              <w:rPr>
                <w:rFonts w:hint="eastAsia" w:ascii="微软雅黑" w:hAnsi="微软雅黑" w:eastAsia="微软雅黑" w:cs="微软雅黑"/>
                <w:color w:val="auto"/>
                <w:sz w:val="21"/>
                <w:szCs w:val="21"/>
                <w:highlight w:val="none"/>
              </w:rPr>
              <w:t>5年以上工作经验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含2年以上项目管理经验；</w:t>
            </w:r>
          </w:p>
          <w:p w14:paraId="08337259">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实施人员9人，具备2年以上项目实施经验。</w:t>
            </w:r>
          </w:p>
          <w:p w14:paraId="51A85E66">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lang w:val="en-US" w:eastAsia="zh-CN"/>
              </w:rPr>
              <w:t>2.项目</w:t>
            </w:r>
            <w:r>
              <w:rPr>
                <w:rFonts w:hint="eastAsia" w:ascii="微软雅黑" w:hAnsi="微软雅黑" w:eastAsia="微软雅黑" w:cs="微软雅黑"/>
                <w:b/>
                <w:bCs/>
                <w:color w:val="auto"/>
                <w:sz w:val="21"/>
                <w:szCs w:val="21"/>
                <w:highlight w:val="none"/>
              </w:rPr>
              <w:t>维保</w:t>
            </w:r>
            <w:r>
              <w:rPr>
                <w:rFonts w:hint="eastAsia" w:ascii="微软雅黑" w:hAnsi="微软雅黑" w:eastAsia="微软雅黑" w:cs="微软雅黑"/>
                <w:b/>
                <w:bCs/>
                <w:color w:val="auto"/>
                <w:sz w:val="21"/>
                <w:szCs w:val="21"/>
                <w:highlight w:val="none"/>
                <w:lang w:val="en-US" w:eastAsia="zh-CN"/>
              </w:rPr>
              <w:t>人员配备</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至少</w:t>
            </w:r>
            <w:r>
              <w:rPr>
                <w:rFonts w:hint="eastAsia" w:ascii="微软雅黑" w:hAnsi="微软雅黑" w:eastAsia="微软雅黑" w:cs="微软雅黑"/>
                <w:color w:val="auto"/>
                <w:sz w:val="21"/>
                <w:szCs w:val="21"/>
                <w:highlight w:val="none"/>
              </w:rPr>
              <w:t>配备</w:t>
            </w:r>
            <w:r>
              <w:rPr>
                <w:rFonts w:hint="eastAsia" w:ascii="微软雅黑" w:hAnsi="微软雅黑" w:eastAsia="微软雅黑" w:cs="微软雅黑"/>
                <w:color w:val="auto"/>
                <w:sz w:val="21"/>
                <w:szCs w:val="21"/>
                <w:highlight w:val="none"/>
                <w:lang w:val="en-US" w:eastAsia="zh-CN"/>
              </w:rPr>
              <w:t>驻场</w:t>
            </w:r>
            <w:r>
              <w:rPr>
                <w:rFonts w:hint="eastAsia" w:ascii="微软雅黑" w:hAnsi="微软雅黑" w:eastAsia="微软雅黑" w:cs="微软雅黑"/>
                <w:color w:val="auto"/>
                <w:sz w:val="21"/>
                <w:szCs w:val="21"/>
                <w:highlight w:val="none"/>
              </w:rPr>
              <w:t>运维工程师2人，</w:t>
            </w:r>
            <w:r>
              <w:rPr>
                <w:rFonts w:hint="eastAsia" w:ascii="微软雅黑" w:hAnsi="微软雅黑" w:eastAsia="微软雅黑" w:cs="微软雅黑"/>
                <w:color w:val="auto"/>
                <w:sz w:val="21"/>
                <w:szCs w:val="21"/>
                <w:highlight w:val="none"/>
                <w:lang w:val="en-US" w:eastAsia="zh-CN"/>
              </w:rPr>
              <w:t>且具备</w:t>
            </w:r>
            <w:r>
              <w:rPr>
                <w:rFonts w:hint="eastAsia" w:ascii="微软雅黑" w:hAnsi="微软雅黑" w:eastAsia="微软雅黑" w:cs="微软雅黑"/>
                <w:color w:val="auto"/>
                <w:sz w:val="21"/>
                <w:szCs w:val="21"/>
                <w:highlight w:val="none"/>
              </w:rPr>
              <w:t>计算机网络工程类专业</w:t>
            </w:r>
            <w:r>
              <w:rPr>
                <w:rFonts w:hint="eastAsia" w:ascii="微软雅黑" w:hAnsi="微软雅黑" w:eastAsia="微软雅黑" w:cs="微软雅黑"/>
                <w:color w:val="auto"/>
                <w:sz w:val="21"/>
                <w:szCs w:val="21"/>
                <w:highlight w:val="none"/>
                <w:lang w:eastAsia="zh-CN"/>
              </w:rPr>
              <w:t>工作</w:t>
            </w:r>
            <w:r>
              <w:rPr>
                <w:rFonts w:hint="eastAsia" w:ascii="微软雅黑" w:hAnsi="微软雅黑" w:eastAsia="微软雅黑" w:cs="微软雅黑"/>
                <w:color w:val="auto"/>
                <w:sz w:val="21"/>
                <w:szCs w:val="21"/>
                <w:highlight w:val="none"/>
                <w:lang w:val="en-US" w:eastAsia="zh-CN"/>
              </w:rPr>
              <w:t>经验</w:t>
            </w:r>
            <w:r>
              <w:rPr>
                <w:rFonts w:hint="eastAsia" w:ascii="微软雅黑" w:hAnsi="微软雅黑" w:eastAsia="微软雅黑" w:cs="微软雅黑"/>
                <w:color w:val="auto"/>
                <w:sz w:val="21"/>
                <w:szCs w:val="21"/>
                <w:highlight w:val="none"/>
              </w:rPr>
              <w:t>。</w:t>
            </w:r>
          </w:p>
          <w:p w14:paraId="7F49324C">
            <w:pPr>
              <w:snapToGrid w:val="0"/>
              <w:spacing w:line="240" w:lineRule="auto"/>
              <w:jc w:val="lef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二、信息共享和业务协同平台</w:t>
            </w:r>
          </w:p>
          <w:p w14:paraId="5AC35B85">
            <w:pPr>
              <w:snapToGrid w:val="0"/>
              <w:spacing w:line="240" w:lineRule="auto"/>
              <w:jc w:val="left"/>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eastAsia="zh-CN"/>
              </w:rPr>
              <w:t>1</w:t>
            </w:r>
            <w:r>
              <w:rPr>
                <w:rFonts w:hint="eastAsia" w:ascii="微软雅黑" w:hAnsi="微软雅黑" w:eastAsia="微软雅黑" w:cs="微软雅黑"/>
                <w:b/>
                <w:bCs/>
                <w:color w:val="auto"/>
                <w:sz w:val="21"/>
                <w:szCs w:val="21"/>
                <w:highlight w:val="none"/>
                <w:lang w:val="en-US" w:eastAsia="zh-CN"/>
              </w:rPr>
              <w:t>.项目实施人员配备：</w:t>
            </w:r>
          </w:p>
          <w:p w14:paraId="60936711">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项目经理1人，</w:t>
            </w:r>
            <w:r>
              <w:rPr>
                <w:rFonts w:hint="eastAsia" w:ascii="微软雅黑" w:hAnsi="微软雅黑" w:eastAsia="微软雅黑" w:cs="微软雅黑"/>
                <w:color w:val="auto"/>
                <w:sz w:val="21"/>
                <w:szCs w:val="21"/>
                <w:highlight w:val="none"/>
                <w:lang w:val="en-US" w:eastAsia="zh-CN"/>
              </w:rPr>
              <w:t>具备</w:t>
            </w:r>
            <w:r>
              <w:rPr>
                <w:rFonts w:hint="eastAsia" w:ascii="微软雅黑" w:hAnsi="微软雅黑" w:eastAsia="微软雅黑" w:cs="微软雅黑"/>
                <w:color w:val="auto"/>
                <w:sz w:val="21"/>
                <w:szCs w:val="21"/>
                <w:highlight w:val="none"/>
              </w:rPr>
              <w:t>5年以上工作经验其中含2年以上项目管理经验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熟悉掌握本项目涉及的系统功能和服务工作，具备专业项目管理知识和经验，具有优秀沟通协调能力；</w:t>
            </w:r>
          </w:p>
          <w:p w14:paraId="36E4FB85">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实施人员7人，具备2年以上项目实施经验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熟悉掌握公安内外部数据资源情况，具备大数据基本的研发能力和项目经验。</w:t>
            </w:r>
          </w:p>
          <w:p w14:paraId="46092953">
            <w:pPr>
              <w:snapToGrid w:val="0"/>
              <w:spacing w:line="240" w:lineRule="auto"/>
              <w:jc w:val="left"/>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lang w:val="en-US" w:eastAsia="zh-CN"/>
              </w:rPr>
              <w:t>2.项目</w:t>
            </w:r>
            <w:r>
              <w:rPr>
                <w:rFonts w:hint="eastAsia" w:ascii="微软雅黑" w:hAnsi="微软雅黑" w:eastAsia="微软雅黑" w:cs="微软雅黑"/>
                <w:b/>
                <w:bCs/>
                <w:color w:val="auto"/>
                <w:sz w:val="21"/>
                <w:szCs w:val="21"/>
                <w:highlight w:val="none"/>
              </w:rPr>
              <w:t>维保</w:t>
            </w:r>
            <w:r>
              <w:rPr>
                <w:rFonts w:hint="eastAsia" w:ascii="微软雅黑" w:hAnsi="微软雅黑" w:eastAsia="微软雅黑" w:cs="微软雅黑"/>
                <w:b/>
                <w:bCs/>
                <w:color w:val="auto"/>
                <w:sz w:val="21"/>
                <w:szCs w:val="21"/>
                <w:highlight w:val="none"/>
                <w:lang w:val="en-US" w:eastAsia="zh-CN"/>
              </w:rPr>
              <w:t>人员配备</w:t>
            </w:r>
            <w:r>
              <w:rPr>
                <w:rFonts w:hint="eastAsia" w:ascii="微软雅黑" w:hAnsi="微软雅黑" w:eastAsia="微软雅黑" w:cs="微软雅黑"/>
                <w:b/>
                <w:bCs/>
                <w:color w:val="auto"/>
                <w:sz w:val="21"/>
                <w:szCs w:val="21"/>
                <w:highlight w:val="none"/>
                <w:lang w:eastAsia="zh-CN"/>
              </w:rPr>
              <w:t>：</w:t>
            </w:r>
          </w:p>
          <w:p w14:paraId="2AFB5F76">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维保负责人</w:t>
            </w:r>
            <w:r>
              <w:rPr>
                <w:rFonts w:hint="eastAsia" w:ascii="微软雅黑" w:hAnsi="微软雅黑" w:eastAsia="微软雅黑" w:cs="微软雅黑"/>
                <w:color w:val="auto"/>
                <w:sz w:val="21"/>
                <w:szCs w:val="21"/>
                <w:highlight w:val="none"/>
              </w:rPr>
              <w:t>（1名</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非驻场</w:t>
            </w:r>
            <w:r>
              <w:rPr>
                <w:rFonts w:hint="eastAsia" w:ascii="微软雅黑" w:hAnsi="微软雅黑" w:eastAsia="微软雅黑" w:cs="微软雅黑"/>
                <w:color w:val="auto"/>
                <w:sz w:val="21"/>
                <w:szCs w:val="21"/>
                <w:highlight w:val="none"/>
              </w:rPr>
              <w:t>），熟悉掌握本项目涉及的系统功能和服务工作，具备专业项目管理知识和经验，具有优秀沟通协调能力。</w:t>
            </w:r>
          </w:p>
          <w:p w14:paraId="7B47F523">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远程技术支持人员（1名</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非驻场</w:t>
            </w:r>
            <w:r>
              <w:rPr>
                <w:rFonts w:hint="eastAsia" w:ascii="微软雅黑" w:hAnsi="微软雅黑" w:eastAsia="微软雅黑" w:cs="微软雅黑"/>
                <w:color w:val="auto"/>
                <w:sz w:val="21"/>
                <w:szCs w:val="21"/>
                <w:highlight w:val="none"/>
              </w:rPr>
              <w:t>），熟悉掌握公安内外部数据资源情况，具备大数据基本的研发能力和项目经验。</w:t>
            </w:r>
          </w:p>
          <w:p w14:paraId="1251DEFA">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技术人员（2名</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驻场</w:t>
            </w:r>
            <w:r>
              <w:rPr>
                <w:rFonts w:hint="eastAsia" w:ascii="微软雅黑" w:hAnsi="微软雅黑" w:eastAsia="微软雅黑" w:cs="微软雅黑"/>
                <w:color w:val="auto"/>
                <w:sz w:val="21"/>
                <w:szCs w:val="21"/>
                <w:highlight w:val="none"/>
              </w:rPr>
              <w:t>），熟悉掌握公安内外部数据资源情况，具备大数据基本的研发能力和项目经验。</w:t>
            </w:r>
          </w:p>
          <w:p w14:paraId="71339036">
            <w:pPr>
              <w:snapToGrid w:val="0"/>
              <w:spacing w:line="240" w:lineRule="auto"/>
              <w:jc w:val="lef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三、大数据实战平台升级改造</w:t>
            </w:r>
          </w:p>
          <w:p w14:paraId="28CA4634">
            <w:pPr>
              <w:snapToGrid w:val="0"/>
              <w:spacing w:line="240" w:lineRule="auto"/>
              <w:jc w:val="left"/>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eastAsia="zh-CN"/>
              </w:rPr>
              <w:t>1</w:t>
            </w:r>
            <w:r>
              <w:rPr>
                <w:rFonts w:hint="eastAsia" w:ascii="微软雅黑" w:hAnsi="微软雅黑" w:eastAsia="微软雅黑" w:cs="微软雅黑"/>
                <w:b/>
                <w:bCs/>
                <w:color w:val="auto"/>
                <w:sz w:val="21"/>
                <w:szCs w:val="21"/>
                <w:highlight w:val="none"/>
                <w:lang w:val="en-US" w:eastAsia="zh-CN"/>
              </w:rPr>
              <w:t>.项目实施人员配备：</w:t>
            </w:r>
          </w:p>
          <w:p w14:paraId="51A0C8F1">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项目经理1人，</w:t>
            </w:r>
            <w:r>
              <w:rPr>
                <w:rFonts w:hint="eastAsia" w:ascii="微软雅黑" w:hAnsi="微软雅黑" w:eastAsia="微软雅黑" w:cs="微软雅黑"/>
                <w:color w:val="auto"/>
                <w:sz w:val="21"/>
                <w:szCs w:val="21"/>
                <w:highlight w:val="none"/>
                <w:lang w:val="en-US" w:eastAsia="zh-CN"/>
              </w:rPr>
              <w:t>具备</w:t>
            </w:r>
            <w:r>
              <w:rPr>
                <w:rFonts w:hint="eastAsia" w:ascii="微软雅黑" w:hAnsi="微软雅黑" w:eastAsia="微软雅黑" w:cs="微软雅黑"/>
                <w:color w:val="auto"/>
                <w:sz w:val="21"/>
                <w:szCs w:val="21"/>
                <w:highlight w:val="none"/>
              </w:rPr>
              <w:t>5年以上工作经验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其中2年以上项目管理经验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熟悉掌握本项目涉及的系统功能和服务工作，具备专业项目管理知识和经验，具有优秀沟通协调能力；</w:t>
            </w:r>
          </w:p>
          <w:p w14:paraId="4E8DC961">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实施人员9人，具备2年以上项目实施经验</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熟悉掌握本项目涉及的系统功能，掌握公安内外部数据资源情况，熟悉掌握大数据实战平台、视综平台运行维护，具备大数据研发能力和项目经验。</w:t>
            </w:r>
          </w:p>
          <w:p w14:paraId="3D0B37AA">
            <w:pPr>
              <w:snapToGrid w:val="0"/>
              <w:spacing w:line="240" w:lineRule="auto"/>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lang w:val="en-US" w:eastAsia="zh-CN"/>
              </w:rPr>
              <w:t>2.项目</w:t>
            </w:r>
            <w:r>
              <w:rPr>
                <w:rFonts w:hint="eastAsia" w:ascii="微软雅黑" w:hAnsi="微软雅黑" w:eastAsia="微软雅黑" w:cs="微软雅黑"/>
                <w:b/>
                <w:bCs/>
                <w:color w:val="auto"/>
                <w:sz w:val="21"/>
                <w:szCs w:val="21"/>
                <w:highlight w:val="none"/>
              </w:rPr>
              <w:t>维保</w:t>
            </w:r>
            <w:r>
              <w:rPr>
                <w:rFonts w:hint="eastAsia" w:ascii="微软雅黑" w:hAnsi="微软雅黑" w:eastAsia="微软雅黑" w:cs="微软雅黑"/>
                <w:b/>
                <w:bCs/>
                <w:color w:val="auto"/>
                <w:sz w:val="21"/>
                <w:szCs w:val="21"/>
                <w:highlight w:val="none"/>
                <w:lang w:val="en-US" w:eastAsia="zh-CN"/>
              </w:rPr>
              <w:t>人员配备</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至少</w:t>
            </w:r>
            <w:r>
              <w:rPr>
                <w:rFonts w:hint="eastAsia" w:ascii="微软雅黑" w:hAnsi="微软雅黑" w:eastAsia="微软雅黑" w:cs="微软雅黑"/>
                <w:color w:val="auto"/>
                <w:sz w:val="21"/>
                <w:szCs w:val="21"/>
                <w:highlight w:val="none"/>
              </w:rPr>
              <w:t>配备</w:t>
            </w:r>
            <w:r>
              <w:rPr>
                <w:rFonts w:hint="eastAsia" w:ascii="微软雅黑" w:hAnsi="微软雅黑" w:eastAsia="微软雅黑" w:cs="微软雅黑"/>
                <w:color w:val="auto"/>
                <w:sz w:val="21"/>
                <w:szCs w:val="21"/>
                <w:highlight w:val="none"/>
                <w:lang w:val="en-US" w:eastAsia="zh-CN"/>
              </w:rPr>
              <w:t>驻场</w:t>
            </w:r>
            <w:r>
              <w:rPr>
                <w:rFonts w:hint="eastAsia" w:ascii="微软雅黑" w:hAnsi="微软雅黑" w:eastAsia="微软雅黑" w:cs="微软雅黑"/>
                <w:color w:val="auto"/>
                <w:sz w:val="21"/>
                <w:szCs w:val="21"/>
                <w:highlight w:val="none"/>
              </w:rPr>
              <w:t>运维工程师8人，</w:t>
            </w:r>
            <w:r>
              <w:rPr>
                <w:rFonts w:hint="eastAsia" w:ascii="微软雅黑" w:hAnsi="微软雅黑" w:eastAsia="微软雅黑" w:cs="微软雅黑"/>
                <w:color w:val="auto"/>
                <w:sz w:val="21"/>
                <w:szCs w:val="21"/>
                <w:highlight w:val="none"/>
                <w:lang w:val="en-US" w:eastAsia="zh-CN"/>
              </w:rPr>
              <w:t>且</w:t>
            </w:r>
            <w:r>
              <w:rPr>
                <w:rFonts w:hint="eastAsia" w:ascii="微软雅黑" w:hAnsi="微软雅黑" w:eastAsia="微软雅黑" w:cs="微软雅黑"/>
                <w:color w:val="auto"/>
                <w:sz w:val="21"/>
                <w:szCs w:val="21"/>
                <w:highlight w:val="none"/>
              </w:rPr>
              <w:t>具备2年以上项目</w:t>
            </w:r>
            <w:r>
              <w:rPr>
                <w:rFonts w:hint="eastAsia" w:ascii="微软雅黑" w:hAnsi="微软雅黑" w:eastAsia="微软雅黑" w:cs="微软雅黑"/>
                <w:color w:val="auto"/>
                <w:sz w:val="21"/>
                <w:szCs w:val="21"/>
                <w:highlight w:val="none"/>
                <w:lang w:eastAsia="zh-CN"/>
              </w:rPr>
              <w:t>运维</w:t>
            </w:r>
            <w:r>
              <w:rPr>
                <w:rFonts w:hint="eastAsia" w:ascii="微软雅黑" w:hAnsi="微软雅黑" w:eastAsia="微软雅黑" w:cs="微软雅黑"/>
                <w:color w:val="auto"/>
                <w:sz w:val="21"/>
                <w:szCs w:val="21"/>
                <w:highlight w:val="none"/>
              </w:rPr>
              <w:t>经验。</w:t>
            </w:r>
          </w:p>
        </w:tc>
      </w:tr>
      <w:tr w14:paraId="57F1BD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427A0B1B">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售后服务</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421F930A">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中标人所供产品提供</w:t>
            </w:r>
            <w:r>
              <w:rPr>
                <w:rFonts w:hint="eastAsia" w:ascii="微软雅黑" w:hAnsi="微软雅黑" w:eastAsia="微软雅黑" w:cs="微软雅黑"/>
                <w:color w:val="auto"/>
                <w:sz w:val="21"/>
                <w:szCs w:val="21"/>
                <w:highlight w:val="none"/>
                <w:lang w:eastAsia="zh-CN"/>
              </w:rPr>
              <w:t>三年</w:t>
            </w:r>
            <w:r>
              <w:rPr>
                <w:rFonts w:hint="eastAsia" w:ascii="微软雅黑" w:hAnsi="微软雅黑" w:eastAsia="微软雅黑" w:cs="微软雅黑"/>
                <w:color w:val="auto"/>
                <w:sz w:val="21"/>
                <w:szCs w:val="21"/>
                <w:highlight w:val="none"/>
              </w:rPr>
              <w:t>免费维保服务，自系统上线并</w:t>
            </w:r>
            <w:r>
              <w:rPr>
                <w:rFonts w:hint="eastAsia" w:ascii="微软雅黑" w:hAnsi="微软雅黑" w:eastAsia="微软雅黑" w:cs="微软雅黑"/>
                <w:color w:val="auto"/>
                <w:sz w:val="21"/>
                <w:szCs w:val="21"/>
                <w:highlight w:val="none"/>
                <w:lang w:eastAsia="zh-CN"/>
              </w:rPr>
              <w:t>竣工验收</w:t>
            </w:r>
            <w:r>
              <w:rPr>
                <w:rFonts w:hint="eastAsia" w:ascii="微软雅黑" w:hAnsi="微软雅黑" w:eastAsia="微软雅黑" w:cs="微软雅黑"/>
                <w:color w:val="auto"/>
                <w:sz w:val="21"/>
                <w:szCs w:val="21"/>
                <w:highlight w:val="none"/>
              </w:rPr>
              <w:t>通过之日起开始计算，维保服务期间，需保障系统正常运行。</w:t>
            </w:r>
          </w:p>
          <w:p w14:paraId="0AEEEC6C">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在系统维保期内，中标人应向采购人提供以下技术支持与服务：在系统交付使用之日起，提供7×24小时的电话支持，并在敏感时期、重大节假日提供技术人员专门值守服务。7×24小时的技术支持和故障响应时间应小于30分钟，即30分钟内有能够处理故障的技术人员到达现场。一般问题在2小时内修复，复杂问题在12小时内修复。</w:t>
            </w:r>
            <w:r>
              <w:rPr>
                <w:rFonts w:hint="eastAsia" w:ascii="微软雅黑" w:hAnsi="微软雅黑" w:eastAsia="微软雅黑" w:cs="微软雅黑"/>
                <w:color w:val="auto"/>
                <w:sz w:val="21"/>
                <w:szCs w:val="21"/>
                <w:highlight w:val="none"/>
                <w:lang w:val="en-US" w:eastAsia="zh-CN"/>
              </w:rPr>
              <w:t>重大活动、</w:t>
            </w:r>
            <w:r>
              <w:rPr>
                <w:rFonts w:hint="eastAsia" w:ascii="微软雅黑" w:hAnsi="微软雅黑" w:eastAsia="微软雅黑" w:cs="微软雅黑"/>
                <w:color w:val="auto"/>
                <w:sz w:val="21"/>
                <w:szCs w:val="21"/>
                <w:highlight w:val="none"/>
              </w:rPr>
              <w:t>节假日或一级勤务</w:t>
            </w:r>
            <w:r>
              <w:rPr>
                <w:rFonts w:hint="eastAsia" w:ascii="微软雅黑" w:hAnsi="微软雅黑" w:eastAsia="微软雅黑" w:cs="微软雅黑"/>
                <w:color w:val="auto"/>
                <w:sz w:val="21"/>
                <w:szCs w:val="21"/>
                <w:highlight w:val="none"/>
                <w:lang w:eastAsia="zh-CN"/>
              </w:rPr>
              <w:t>等</w:t>
            </w:r>
            <w:r>
              <w:rPr>
                <w:rFonts w:hint="eastAsia" w:ascii="微软雅黑" w:hAnsi="微软雅黑" w:eastAsia="微软雅黑" w:cs="微软雅黑"/>
                <w:color w:val="auto"/>
                <w:sz w:val="21"/>
                <w:szCs w:val="21"/>
                <w:highlight w:val="none"/>
              </w:rPr>
              <w:t>需要重大保障场景，中标方需提供原厂工程师现场值守服务。</w:t>
            </w:r>
          </w:p>
          <w:p w14:paraId="2C96D87F">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中标人系统维保期内应每年至少开展一次系统数据备份恢复应急演练工作，确保系统数据备份恢复正常。</w:t>
            </w:r>
          </w:p>
          <w:p w14:paraId="73F61175">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维保期内，中标人除按本合同其他条款的约定免费提供运行维护服务外，还需为采购人提供本项目所使用的信息系统个性化功能完善、统计等定制开发服务，中标人每年提供的该类定制开发服务工作量价值不超过合同总额的5%（含5%），中标人不得向采购人收取任何费用（计算依据以采购人造价标准为准）；当双方在工作量评估存在分歧的时候，可委托第三方进行评估，费用由中标人承担。</w:t>
            </w:r>
          </w:p>
          <w:p w14:paraId="08C8863B">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维保期内，中标人需免费提供软件版本升级。</w:t>
            </w:r>
          </w:p>
          <w:p w14:paraId="2A6D4634">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rPr>
              <w:t>项目实施及维保期间工作所需电脑和其他运维工具由中标人自备。</w:t>
            </w:r>
          </w:p>
          <w:p w14:paraId="3B5C8A4F">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rPr>
              <w:t>中标人需保证对本系统在日常业务工作中与各公安业务系统的一般数据对接工作的正常开展，承担配合各方梳理数据对接需求的责任。</w:t>
            </w:r>
          </w:p>
          <w:p w14:paraId="311818A3">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8.</w:t>
            </w:r>
            <w:r>
              <w:rPr>
                <w:rFonts w:hint="eastAsia" w:ascii="微软雅黑" w:hAnsi="微软雅黑" w:eastAsia="微软雅黑" w:cs="微软雅黑"/>
                <w:color w:val="auto"/>
                <w:sz w:val="21"/>
                <w:szCs w:val="21"/>
                <w:highlight w:val="none"/>
              </w:rPr>
              <w:t>中标人安排人员在采购人实施及驻场期间需要遵守采购人纪律要求开展工作。</w:t>
            </w:r>
          </w:p>
          <w:p w14:paraId="1DFB7CC6">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9.</w:t>
            </w:r>
            <w:r>
              <w:rPr>
                <w:rFonts w:hint="eastAsia" w:ascii="微软雅黑" w:hAnsi="微软雅黑" w:eastAsia="微软雅黑" w:cs="微软雅黑"/>
                <w:color w:val="auto"/>
                <w:sz w:val="21"/>
                <w:szCs w:val="21"/>
                <w:highlight w:val="none"/>
              </w:rPr>
              <w:t>中标人需无条件配合开展施工及维保人员岗前审查、保密教育、保密检查等工作。如因中标人原因发生失泄密事件即终止合同且中标人不得参与后续广西壮族自治区公安厅信息化建设项目投标活动。</w:t>
            </w:r>
          </w:p>
          <w:p w14:paraId="2CCAF908">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rPr>
              <w:t>中标人需向采购人提交团队成员名单（包括开发阶段、实施阶段、质保阶段、运维支持阶段），合同执行期间，实施人员、热线电话、指定联系人发生变化时，应提前一个月告知采购方，待采购方同意后调整人员名单信息。</w:t>
            </w:r>
          </w:p>
        </w:tc>
      </w:tr>
      <w:tr w14:paraId="1526A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2D374A53">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培训要求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72E8B20B">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1.中标人协助采购人完成全区系统推广培训工作，中标人免费提供培训</w:t>
            </w:r>
            <w:r>
              <w:rPr>
                <w:rFonts w:hint="eastAsia" w:ascii="微软雅黑" w:hAnsi="微软雅黑" w:eastAsia="微软雅黑" w:cs="微软雅黑"/>
                <w:color w:val="auto"/>
                <w:sz w:val="21"/>
                <w:szCs w:val="21"/>
                <w:highlight w:val="none"/>
                <w:lang w:val="en-US" w:eastAsia="zh-CN"/>
              </w:rPr>
              <w:t>讲</w:t>
            </w:r>
            <w:r>
              <w:rPr>
                <w:rFonts w:hint="eastAsia" w:ascii="微软雅黑" w:hAnsi="微软雅黑" w:eastAsia="微软雅黑" w:cs="微软雅黑"/>
                <w:color w:val="auto"/>
                <w:sz w:val="21"/>
                <w:szCs w:val="21"/>
                <w:highlight w:val="none"/>
              </w:rPr>
              <w:t>师和电子版教材。</w:t>
            </w:r>
          </w:p>
          <w:p w14:paraId="0E571F14">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2.培训地点：采购人指定地点。</w:t>
            </w:r>
          </w:p>
          <w:p w14:paraId="6032FCA9">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3.培训内容包括：总体方案、设计原则、功能特点、体系结构及实战应用培训等。</w:t>
            </w:r>
          </w:p>
          <w:p w14:paraId="35901D8F">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4.培训方式：培训采用在采购方单位内进行集中培训方式开展，边实施边培训，理论与实践相结合。中标人根据项目需要，制定培训计划，并与采购人确认同意后，作为系统培训的依据。</w:t>
            </w:r>
            <w:r>
              <w:rPr>
                <w:rFonts w:hint="eastAsia" w:ascii="微软雅黑" w:hAnsi="微软雅黑" w:eastAsia="微软雅黑" w:cs="微软雅黑"/>
                <w:color w:val="auto"/>
                <w:sz w:val="21"/>
                <w:szCs w:val="21"/>
                <w:highlight w:val="none"/>
                <w:lang w:val="en-US" w:eastAsia="zh-CN"/>
              </w:rPr>
              <w:t>服务期内</w:t>
            </w:r>
            <w:r>
              <w:rPr>
                <w:rFonts w:hint="eastAsia" w:ascii="微软雅黑" w:hAnsi="微软雅黑" w:eastAsia="微软雅黑" w:cs="微软雅黑"/>
                <w:color w:val="auto"/>
                <w:sz w:val="21"/>
                <w:szCs w:val="21"/>
                <w:highlight w:val="none"/>
              </w:rPr>
              <w:t>培训次数不少于</w:t>
            </w: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次</w:t>
            </w:r>
            <w:r>
              <w:rPr>
                <w:rFonts w:hint="eastAsia" w:ascii="微软雅黑" w:hAnsi="微软雅黑" w:eastAsia="微软雅黑" w:cs="微软雅黑"/>
                <w:color w:val="auto"/>
                <w:sz w:val="21"/>
                <w:szCs w:val="21"/>
                <w:highlight w:val="none"/>
                <w:lang w:eastAsia="zh-CN"/>
              </w:rPr>
              <w:t>，总培训人员不少于</w:t>
            </w:r>
            <w:r>
              <w:rPr>
                <w:rFonts w:hint="eastAsia" w:ascii="微软雅黑" w:hAnsi="微软雅黑" w:eastAsia="微软雅黑" w:cs="微软雅黑"/>
                <w:color w:val="auto"/>
                <w:sz w:val="21"/>
                <w:szCs w:val="21"/>
                <w:highlight w:val="none"/>
                <w:lang w:val="en-US" w:eastAsia="zh-CN"/>
              </w:rPr>
              <w:t>200人次</w:t>
            </w:r>
            <w:r>
              <w:rPr>
                <w:rFonts w:hint="eastAsia" w:ascii="微软雅黑" w:hAnsi="微软雅黑" w:eastAsia="微软雅黑" w:cs="微软雅黑"/>
                <w:color w:val="auto"/>
                <w:sz w:val="21"/>
                <w:szCs w:val="21"/>
                <w:highlight w:val="none"/>
              </w:rPr>
              <w:t>。</w:t>
            </w:r>
          </w:p>
          <w:p w14:paraId="4F5F1BD9">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5.培训分工：采购人负责总体培训工作的安排和规划</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中标人协助采购人完成培训工作，提供培训服务和培训教材。</w:t>
            </w:r>
          </w:p>
        </w:tc>
      </w:tr>
      <w:tr w14:paraId="7B969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6A7F1BBA">
            <w:pPr>
              <w:snapToGrid w:val="0"/>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测评和评估要求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30872DF3">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eastAsia="zh-CN"/>
              </w:rPr>
              <w:t>本项目建设内容</w:t>
            </w:r>
            <w:r>
              <w:rPr>
                <w:rFonts w:hint="eastAsia" w:ascii="微软雅黑" w:hAnsi="微软雅黑" w:eastAsia="微软雅黑" w:cs="微软雅黑"/>
                <w:color w:val="auto"/>
                <w:sz w:val="21"/>
                <w:szCs w:val="21"/>
                <w:highlight w:val="none"/>
              </w:rPr>
              <w:t>按照</w:t>
            </w:r>
            <w:r>
              <w:rPr>
                <w:rFonts w:hint="eastAsia" w:ascii="微软雅黑" w:hAnsi="微软雅黑" w:eastAsia="微软雅黑" w:cs="微软雅黑"/>
                <w:color w:val="auto"/>
                <w:sz w:val="21"/>
                <w:szCs w:val="21"/>
                <w:highlight w:val="none"/>
                <w:lang w:val="en-US" w:eastAsia="zh-CN"/>
              </w:rPr>
              <w:t>已</w:t>
            </w:r>
            <w:r>
              <w:rPr>
                <w:rFonts w:hint="eastAsia" w:ascii="微软雅黑" w:hAnsi="微软雅黑" w:eastAsia="微软雅黑" w:cs="微软雅黑"/>
                <w:color w:val="auto"/>
                <w:sz w:val="21"/>
                <w:szCs w:val="21"/>
                <w:highlight w:val="none"/>
              </w:rPr>
              <w:t>通过第三方软件测评、网络安全等级保护测评（警用地理信息系统平台升级、大数据实战平台按第三级要求进行建设，信息共享与业务协同平台按第二级要求进行建设）、商用密码应用安全性评估（警用地理信息系统平台升级、大数据实战平台按第三级要求进行建设，信息共享与业务协同平台按第二级要求进行建设）的标准进行项目建设；</w:t>
            </w:r>
          </w:p>
          <w:p w14:paraId="5BB9080C">
            <w:pPr>
              <w:snapToGrid w:val="0"/>
              <w:spacing w:line="240" w:lineRule="auto"/>
              <w:jc w:val="lef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2.项目整体初步验收及档案验收前通过第三方软件测评；</w:t>
            </w:r>
          </w:p>
          <w:p w14:paraId="6244EE7A">
            <w:pPr>
              <w:snapToGrid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3.项目整体初步验收及档案验收前通过网络安全等级保护测评，</w:t>
            </w:r>
            <w:r>
              <w:rPr>
                <w:rFonts w:hint="eastAsia" w:ascii="微软雅黑" w:hAnsi="微软雅黑" w:eastAsia="微软雅黑" w:cs="微软雅黑"/>
                <w:color w:val="auto"/>
                <w:sz w:val="21"/>
                <w:szCs w:val="21"/>
                <w:highlight w:val="none"/>
                <w:lang w:eastAsia="zh-CN"/>
              </w:rPr>
              <w:t>结论不为“差”；</w:t>
            </w:r>
          </w:p>
          <w:p w14:paraId="471827FA">
            <w:pPr>
              <w:pStyle w:val="23"/>
              <w:numPr>
                <w:ilvl w:val="0"/>
                <w:numId w:val="0"/>
              </w:numPr>
              <w:spacing w:line="240" w:lineRule="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4.项目整体初步验收及档案验收前通过系统商用密码应安全性评估，</w:t>
            </w:r>
            <w:r>
              <w:rPr>
                <w:rFonts w:hint="eastAsia" w:ascii="微软雅黑" w:hAnsi="微软雅黑" w:eastAsia="微软雅黑" w:cs="微软雅黑"/>
                <w:color w:val="auto"/>
                <w:sz w:val="21"/>
                <w:szCs w:val="21"/>
                <w:highlight w:val="none"/>
                <w:lang w:eastAsia="zh-CN"/>
              </w:rPr>
              <w:t>结论为“基本符合”</w:t>
            </w:r>
            <w:r>
              <w:rPr>
                <w:rFonts w:hint="eastAsia" w:ascii="微软雅黑" w:hAnsi="微软雅黑" w:eastAsia="微软雅黑" w:cs="微软雅黑"/>
                <w:color w:val="auto"/>
                <w:kern w:val="2"/>
                <w:sz w:val="21"/>
                <w:szCs w:val="21"/>
                <w:highlight w:val="none"/>
                <w:lang w:val="en-US" w:eastAsia="zh-CN" w:bidi="ar-SA"/>
              </w:rPr>
              <w:t>或优于“基本符合”；</w:t>
            </w:r>
          </w:p>
          <w:p w14:paraId="0011CED6">
            <w:pPr>
              <w:snapToGrid w:val="0"/>
              <w:spacing w:line="240" w:lineRule="auto"/>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5.中标公司各推荐3家第三方测评机构（包含广西区内1家），经采购人研究确认1家第三方测评机构并报广西壮族自治区公安厅科信办备案后，由采购人委托已备案的第三方测评机构对开展上述评测工作，测评工作中所产生的一切费用由中标人负责。</w:t>
            </w:r>
          </w:p>
        </w:tc>
      </w:tr>
      <w:tr w14:paraId="4B71D8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633B1153">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保密要求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71FBE7AA">
            <w:pPr>
              <w:numPr>
                <w:ilvl w:val="0"/>
                <w:numId w:val="0"/>
              </w:num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kern w:val="2"/>
                <w:sz w:val="21"/>
                <w:szCs w:val="21"/>
                <w:highlight w:val="none"/>
                <w:lang w:val="en-US" w:eastAsia="zh-CN" w:bidi="ar-SA"/>
              </w:rPr>
              <w:t>1.</w:t>
            </w:r>
            <w:r>
              <w:rPr>
                <w:rFonts w:hint="eastAsia" w:ascii="微软雅黑" w:hAnsi="微软雅黑" w:eastAsia="微软雅黑" w:cs="微软雅黑"/>
                <w:color w:val="auto"/>
                <w:sz w:val="21"/>
                <w:szCs w:val="21"/>
                <w:highlight w:val="none"/>
                <w:lang w:val="en-US" w:eastAsia="zh-CN"/>
              </w:rPr>
              <w:t>中标人对履行本合同期间知悉的采购单位秘密负有保密责任，且中标人的保密责任不因本项目合同的终止而终止；</w:t>
            </w:r>
          </w:p>
          <w:p w14:paraId="697E595D">
            <w:pPr>
              <w:numPr>
                <w:ilvl w:val="0"/>
                <w:numId w:val="0"/>
              </w:numPr>
              <w:spacing w:line="240" w:lineRule="auto"/>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2.中标人须无条件配合开展本项目服务人员岗前审查、保密教育、保密检查工作。必须对项目实施过程中获取的相关信息保密（相关信息包括但不限于本项目），如发生失泄密事件即终止合同，且中标人不得参与后续公安厅项目投标活动；</w:t>
            </w:r>
          </w:p>
          <w:p w14:paraId="48D319B2">
            <w:pPr>
              <w:numPr>
                <w:ilvl w:val="0"/>
                <w:numId w:val="0"/>
              </w:numPr>
              <w:spacing w:line="240" w:lineRule="auto"/>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3.中标人须与采购人签订《合作单位保密协议书》，拟投入的服务人员须提交《保密承诺书》，遵守采购人信息安全管理规定，对非权限范围内设备不允许操作。非权限范围内信息不允许访问。未经允许，不可随意在工作环境内拍照、录音、录像等；</w:t>
            </w:r>
          </w:p>
          <w:p w14:paraId="65D3D108">
            <w:pPr>
              <w:numPr>
                <w:ilvl w:val="0"/>
                <w:numId w:val="0"/>
              </w:numPr>
              <w:spacing w:line="240" w:lineRule="auto"/>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4.中标人须严格履行采购人服务规范要求，包括但不限于以下规范：《公安厅机关安全保密管理十条规定》《广西壮族自治区公安厅办公室关于加强厅机关信息系统企业运维人员管理工作的通知》《广西公安信息WA全管理试行规定》《广西公安厅机关公安信息WA全管理实施细则》《厅机关信息系统企业运维人员“十严禁”》《广西公安厅信息系统运维人员行为规范》《运维安全管理要求》及采购人其他各项内部规定。</w:t>
            </w:r>
          </w:p>
        </w:tc>
      </w:tr>
      <w:tr w14:paraId="087591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37CACA36">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廉政责任</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7069CDE8">
            <w:pPr>
              <w:spacing w:line="24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1.投标人须随投标文件附上《廉洁承诺书》，做出不向建设单位工作人员行贿的承诺。未在投标文件中附上《廉洁承诺书》的，视为投标无效。</w:t>
            </w:r>
          </w:p>
          <w:p w14:paraId="211E31E9">
            <w:pPr>
              <w:spacing w:line="240" w:lineRule="auto"/>
              <w:rPr>
                <w:rFonts w:hint="eastAsia"/>
                <w:color w:val="auto"/>
                <w:kern w:val="2"/>
                <w:sz w:val="21"/>
                <w:szCs w:val="24"/>
                <w:highlight w:val="none"/>
                <w:lang w:val="en-US" w:eastAsia="zh-CN" w:bidi="ar-SA"/>
              </w:rPr>
            </w:pPr>
            <w:r>
              <w:rPr>
                <w:rFonts w:hint="eastAsia" w:ascii="微软雅黑" w:hAnsi="微软雅黑" w:eastAsia="微软雅黑" w:cs="微软雅黑"/>
                <w:color w:val="auto"/>
                <w:szCs w:val="21"/>
                <w:highlight w:val="none"/>
              </w:rPr>
              <w:t>2.合同签订后，项目建设单位负责人和中标供应商负责人应当签订《政府采购项目廉政责任承诺书》。</w:t>
            </w:r>
          </w:p>
        </w:tc>
      </w:tr>
      <w:tr w14:paraId="1B681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7D4B88C2">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验收标准</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2B906B73">
            <w:pPr>
              <w:spacing w:line="240" w:lineRule="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0"/>
                <w:sz w:val="21"/>
                <w:szCs w:val="21"/>
                <w:highlight w:val="none"/>
                <w:lang w:eastAsia="zh-CN" w:bidi="ar"/>
              </w:rPr>
              <w:t>根据国家、自治区及公安厅政务信息化项目管理有关规定开展项目建设监理及验收，广西公安数字化改革之技术支撑体系项目分成</w:t>
            </w:r>
            <w:r>
              <w:rPr>
                <w:rFonts w:hint="eastAsia" w:ascii="微软雅黑" w:hAnsi="微软雅黑" w:eastAsia="微软雅黑" w:cs="微软雅黑"/>
                <w:color w:val="auto"/>
                <w:kern w:val="0"/>
                <w:sz w:val="21"/>
                <w:szCs w:val="21"/>
                <w:highlight w:val="none"/>
                <w:lang w:val="en-US" w:eastAsia="zh-CN" w:bidi="ar"/>
              </w:rPr>
              <w:t>多个项目</w:t>
            </w:r>
            <w:r>
              <w:rPr>
                <w:rFonts w:hint="eastAsia" w:ascii="微软雅黑" w:hAnsi="微软雅黑" w:eastAsia="微软雅黑" w:cs="微软雅黑"/>
                <w:color w:val="auto"/>
                <w:kern w:val="0"/>
                <w:sz w:val="21"/>
                <w:szCs w:val="21"/>
                <w:highlight w:val="none"/>
                <w:lang w:eastAsia="zh-CN" w:bidi="ar"/>
              </w:rPr>
              <w:t>开展建设，在各</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eastAsia="zh-CN" w:bidi="ar"/>
              </w:rPr>
              <w:t>建设完成后，由建设单位分别组织对各</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eastAsia="zh-CN" w:bidi="ar"/>
              </w:rPr>
              <w:t>开展初步验收，初步验收合格后进入试运行阶段（</w:t>
            </w:r>
            <w:r>
              <w:rPr>
                <w:rFonts w:hint="eastAsia" w:ascii="微软雅黑" w:hAnsi="微软雅黑" w:eastAsia="微软雅黑" w:cs="微软雅黑"/>
                <w:color w:val="auto"/>
                <w:kern w:val="0"/>
                <w:szCs w:val="21"/>
                <w:highlight w:val="none"/>
                <w:lang w:bidi="ar"/>
              </w:rPr>
              <w:t>试运行</w:t>
            </w:r>
            <w:r>
              <w:rPr>
                <w:rFonts w:hint="eastAsia" w:ascii="微软雅黑" w:hAnsi="微软雅黑" w:eastAsia="微软雅黑" w:cs="微软雅黑"/>
                <w:color w:val="auto"/>
                <w:kern w:val="0"/>
                <w:szCs w:val="21"/>
                <w:highlight w:val="none"/>
                <w:lang w:eastAsia="zh-CN" w:bidi="ar"/>
              </w:rPr>
              <w:t>期不少于一个月</w:t>
            </w:r>
            <w:r>
              <w:rPr>
                <w:rFonts w:hint="eastAsia" w:ascii="微软雅黑" w:hAnsi="微软雅黑" w:eastAsia="微软雅黑" w:cs="微软雅黑"/>
                <w:color w:val="auto"/>
                <w:kern w:val="0"/>
                <w:sz w:val="21"/>
                <w:szCs w:val="21"/>
                <w:highlight w:val="none"/>
                <w:lang w:eastAsia="zh-CN" w:bidi="ar"/>
              </w:rPr>
              <w:t>）；</w:t>
            </w:r>
            <w:r>
              <w:rPr>
                <w:rFonts w:hint="eastAsia" w:ascii="微软雅黑" w:hAnsi="微软雅黑" w:eastAsia="微软雅黑" w:cs="微软雅黑"/>
                <w:color w:val="auto"/>
                <w:kern w:val="0"/>
                <w:sz w:val="21"/>
                <w:szCs w:val="21"/>
                <w:highlight w:val="none"/>
                <w:lang w:val="en-US" w:eastAsia="zh-CN" w:bidi="ar"/>
              </w:rPr>
              <w:t>在上述工作完成</w:t>
            </w:r>
            <w:r>
              <w:rPr>
                <w:rFonts w:hint="eastAsia" w:ascii="微软雅黑" w:hAnsi="微软雅黑" w:eastAsia="微软雅黑" w:cs="微软雅黑"/>
                <w:color w:val="auto"/>
                <w:kern w:val="0"/>
                <w:sz w:val="21"/>
                <w:szCs w:val="21"/>
                <w:highlight w:val="none"/>
                <w:lang w:eastAsia="zh-CN" w:bidi="ar"/>
              </w:rPr>
              <w:t>后，</w:t>
            </w:r>
            <w:r>
              <w:rPr>
                <w:rFonts w:hint="eastAsia" w:ascii="微软雅黑" w:hAnsi="微软雅黑" w:eastAsia="微软雅黑" w:cs="微软雅黑"/>
                <w:color w:val="auto"/>
                <w:kern w:val="0"/>
                <w:sz w:val="21"/>
                <w:szCs w:val="21"/>
                <w:highlight w:val="none"/>
                <w:lang w:val="en-US" w:eastAsia="zh-CN" w:bidi="ar"/>
              </w:rPr>
              <w:t>由</w:t>
            </w:r>
            <w:r>
              <w:rPr>
                <w:rFonts w:hint="eastAsia" w:ascii="微软雅黑" w:hAnsi="微软雅黑" w:eastAsia="微软雅黑" w:cs="微软雅黑"/>
                <w:color w:val="auto"/>
                <w:kern w:val="0"/>
                <w:sz w:val="21"/>
                <w:szCs w:val="21"/>
                <w:highlight w:val="none"/>
                <w:lang w:eastAsia="zh-CN" w:bidi="ar"/>
              </w:rPr>
              <w:t>厅科信办对广西公安数字化改革之技术支撑体系项目（</w:t>
            </w:r>
            <w:r>
              <w:rPr>
                <w:rFonts w:hint="eastAsia" w:ascii="微软雅黑" w:hAnsi="微软雅黑" w:eastAsia="微软雅黑" w:cs="微软雅黑"/>
                <w:color w:val="auto"/>
                <w:kern w:val="0"/>
                <w:sz w:val="21"/>
                <w:szCs w:val="21"/>
                <w:highlight w:val="none"/>
                <w:lang w:val="en-US" w:eastAsia="zh-CN" w:bidi="ar"/>
              </w:rPr>
              <w:t>包含所有项目</w:t>
            </w:r>
            <w:r>
              <w:rPr>
                <w:rFonts w:hint="eastAsia" w:ascii="微软雅黑" w:hAnsi="微软雅黑" w:eastAsia="微软雅黑" w:cs="微软雅黑"/>
                <w:color w:val="auto"/>
                <w:kern w:val="0"/>
                <w:sz w:val="21"/>
                <w:szCs w:val="21"/>
                <w:highlight w:val="none"/>
                <w:lang w:eastAsia="zh-CN" w:bidi="ar"/>
              </w:rPr>
              <w:t>）进行整体初步验收及档案验收，</w:t>
            </w:r>
            <w:r>
              <w:rPr>
                <w:rFonts w:hint="eastAsia" w:ascii="微软雅黑" w:hAnsi="微软雅黑" w:eastAsia="微软雅黑" w:cs="微软雅黑"/>
                <w:color w:val="auto"/>
                <w:kern w:val="0"/>
                <w:sz w:val="21"/>
                <w:szCs w:val="21"/>
                <w:highlight w:val="none"/>
                <w:lang w:val="en-US" w:eastAsia="zh-CN" w:bidi="ar"/>
              </w:rPr>
              <w:t>并</w:t>
            </w:r>
            <w:r>
              <w:rPr>
                <w:rFonts w:hint="eastAsia" w:ascii="微软雅黑" w:hAnsi="微软雅黑" w:eastAsia="微软雅黑" w:cs="微软雅黑"/>
                <w:color w:val="auto"/>
                <w:kern w:val="0"/>
                <w:sz w:val="21"/>
                <w:szCs w:val="21"/>
                <w:highlight w:val="none"/>
                <w:lang w:eastAsia="zh-CN" w:bidi="ar"/>
              </w:rPr>
              <w:t>由</w:t>
            </w:r>
            <w:r>
              <w:rPr>
                <w:rFonts w:hint="eastAsia" w:ascii="微软雅黑" w:hAnsi="微软雅黑" w:eastAsia="微软雅黑" w:cs="微软雅黑"/>
                <w:color w:val="auto"/>
                <w:kern w:val="0"/>
                <w:szCs w:val="21"/>
                <w:highlight w:val="none"/>
                <w:lang w:bidi="ar"/>
              </w:rPr>
              <w:t>公安</w:t>
            </w:r>
            <w:r>
              <w:rPr>
                <w:rFonts w:hint="eastAsia" w:ascii="微软雅黑" w:hAnsi="微软雅黑" w:eastAsia="微软雅黑" w:cs="微软雅黑"/>
                <w:color w:val="auto"/>
                <w:kern w:val="0"/>
                <w:sz w:val="21"/>
                <w:szCs w:val="21"/>
                <w:highlight w:val="none"/>
                <w:lang w:eastAsia="zh-CN" w:bidi="ar"/>
              </w:rPr>
              <w:t>厅科信办向自治区数据局提请开展广西公安数字化改革之技术支撑体系项目竣工验收。</w:t>
            </w:r>
          </w:p>
        </w:tc>
      </w:tr>
      <w:tr w14:paraId="55C05B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090CCA43">
            <w:pPr>
              <w:spacing w:line="240" w:lineRule="auto"/>
              <w:jc w:val="center"/>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知识产权要求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6736F976">
            <w:pPr>
              <w:tabs>
                <w:tab w:val="left" w:pos="180"/>
                <w:tab w:val="left" w:pos="1620"/>
              </w:tabs>
              <w:spacing w:line="240" w:lineRule="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本项目所开发的产品版权归采购人所有，采购人对其具有完全的处置权。</w:t>
            </w:r>
          </w:p>
        </w:tc>
      </w:tr>
      <w:tr w14:paraId="4F020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932" w:type="dxa"/>
            <w:gridSpan w:val="4"/>
            <w:tcBorders>
              <w:top w:val="single" w:color="auto" w:sz="4" w:space="0"/>
              <w:left w:val="single" w:color="auto" w:sz="4" w:space="0"/>
              <w:bottom w:val="single" w:color="auto" w:sz="4" w:space="0"/>
              <w:right w:val="single" w:color="auto" w:sz="4" w:space="0"/>
            </w:tcBorders>
            <w:vAlign w:val="center"/>
          </w:tcPr>
          <w:p w14:paraId="57F3D9A7">
            <w:pPr>
              <w:snapToGrid w:val="0"/>
              <w:spacing w:line="240" w:lineRule="auto"/>
              <w:jc w:val="lef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二、与实现项目目标相关的其他要求</w:t>
            </w:r>
          </w:p>
        </w:tc>
      </w:tr>
      <w:tr w14:paraId="0AC18D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932" w:type="dxa"/>
            <w:gridSpan w:val="4"/>
            <w:tcBorders>
              <w:top w:val="single" w:color="auto" w:sz="4" w:space="0"/>
              <w:left w:val="single" w:color="auto" w:sz="4" w:space="0"/>
              <w:bottom w:val="single" w:color="auto" w:sz="4" w:space="0"/>
              <w:right w:val="single" w:color="auto" w:sz="4" w:space="0"/>
            </w:tcBorders>
            <w:vAlign w:val="center"/>
          </w:tcPr>
          <w:p w14:paraId="52218124">
            <w:pPr>
              <w:snapToGrid w:val="0"/>
              <w:spacing w:line="240" w:lineRule="auto"/>
              <w:jc w:val="lef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（一）投标人的履约能力要求</w:t>
            </w:r>
          </w:p>
        </w:tc>
      </w:tr>
      <w:tr w14:paraId="691EE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5896FC93">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管理体系要求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0A7E7350">
            <w:pPr>
              <w:snapToGrid w:val="0"/>
              <w:spacing w:line="240" w:lineRule="auto"/>
              <w:jc w:val="left"/>
              <w:rPr>
                <w:rFonts w:hint="eastAsia" w:ascii="微软雅黑" w:hAnsi="微软雅黑" w:eastAsia="微软雅黑" w:cs="微软雅黑"/>
                <w:b w:val="0"/>
                <w:color w:val="auto"/>
                <w:sz w:val="21"/>
                <w:szCs w:val="21"/>
                <w:highlight w:val="none"/>
              </w:rPr>
            </w:pPr>
            <w:r>
              <w:rPr>
                <w:rFonts w:hint="eastAsia" w:ascii="微软雅黑" w:hAnsi="微软雅黑" w:eastAsia="微软雅黑" w:cs="微软雅黑"/>
                <w:color w:val="auto"/>
                <w:sz w:val="21"/>
                <w:szCs w:val="21"/>
                <w:highlight w:val="none"/>
              </w:rPr>
              <w:t>详见《第四章  评标方法及评标标准》</w:t>
            </w:r>
          </w:p>
        </w:tc>
      </w:tr>
      <w:tr w14:paraId="72E6A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4453179B">
            <w:pPr>
              <w:snapToGrid w:val="0"/>
              <w:spacing w:line="240" w:lineRule="auto"/>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能力或业绩要求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4C3F06ED">
            <w:pPr>
              <w:snapToGrid w:val="0"/>
              <w:spacing w:line="240" w:lineRule="auto"/>
              <w:jc w:val="left"/>
              <w:rPr>
                <w:rFonts w:hint="eastAsia" w:ascii="微软雅黑" w:hAnsi="微软雅黑" w:eastAsia="微软雅黑" w:cs="微软雅黑"/>
                <w:b w:val="0"/>
                <w:color w:val="auto"/>
                <w:sz w:val="21"/>
                <w:szCs w:val="21"/>
                <w:highlight w:val="none"/>
              </w:rPr>
            </w:pPr>
            <w:r>
              <w:rPr>
                <w:rFonts w:hint="eastAsia" w:ascii="微软雅黑" w:hAnsi="微软雅黑" w:eastAsia="微软雅黑" w:cs="微软雅黑"/>
                <w:color w:val="auto"/>
                <w:sz w:val="21"/>
                <w:szCs w:val="21"/>
                <w:highlight w:val="none"/>
              </w:rPr>
              <w:t>详见《第四章  评标方法及评标标准》</w:t>
            </w:r>
          </w:p>
        </w:tc>
      </w:tr>
      <w:tr w14:paraId="26F54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8932" w:type="dxa"/>
            <w:gridSpan w:val="4"/>
            <w:tcBorders>
              <w:top w:val="single" w:color="auto" w:sz="4" w:space="0"/>
              <w:left w:val="single" w:color="auto" w:sz="4" w:space="0"/>
              <w:bottom w:val="single" w:color="auto" w:sz="4" w:space="0"/>
              <w:right w:val="single" w:color="auto" w:sz="4" w:space="0"/>
            </w:tcBorders>
            <w:vAlign w:val="center"/>
          </w:tcPr>
          <w:p w14:paraId="4309F77B">
            <w:pPr>
              <w:snapToGrid w:val="0"/>
              <w:spacing w:line="240" w:lineRule="auto"/>
              <w:jc w:val="left"/>
              <w:rPr>
                <w:rFonts w:hint="eastAsia" w:ascii="微软雅黑" w:hAnsi="微软雅黑" w:eastAsia="微软雅黑" w:cs="微软雅黑"/>
                <w:bCs w:val="0"/>
                <w:color w:val="auto"/>
                <w:sz w:val="21"/>
                <w:szCs w:val="21"/>
                <w:highlight w:val="none"/>
              </w:rPr>
            </w:pPr>
            <w:r>
              <w:rPr>
                <w:rFonts w:hint="eastAsia" w:ascii="微软雅黑" w:hAnsi="微软雅黑" w:eastAsia="微软雅黑" w:cs="微软雅黑"/>
                <w:b/>
                <w:bCs/>
                <w:color w:val="auto"/>
                <w:sz w:val="21"/>
                <w:szCs w:val="21"/>
                <w:highlight w:val="none"/>
              </w:rPr>
              <w:t>（二）其他要求</w:t>
            </w:r>
          </w:p>
        </w:tc>
      </w:tr>
      <w:tr w14:paraId="66FDF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6C59524A">
            <w:pPr>
              <w:snapToGrid w:val="0"/>
              <w:spacing w:line="240" w:lineRule="auto"/>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违约责任</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322FA603">
            <w:pPr>
              <w:numPr>
                <w:ilvl w:val="-1"/>
                <w:numId w:val="0"/>
              </w:num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1.</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未按</w:t>
            </w:r>
            <w:r>
              <w:rPr>
                <w:rFonts w:hint="eastAsia" w:ascii="微软雅黑" w:hAnsi="微软雅黑" w:eastAsia="微软雅黑" w:cs="微软雅黑"/>
                <w:color w:val="auto"/>
                <w:szCs w:val="21"/>
                <w:highlight w:val="none"/>
              </w:rPr>
              <w:t>合同</w:t>
            </w:r>
            <w:r>
              <w:rPr>
                <w:rFonts w:hint="eastAsia" w:ascii="微软雅黑" w:hAnsi="微软雅黑" w:eastAsia="微软雅黑" w:cs="微软雅黑"/>
                <w:color w:val="auto"/>
                <w:szCs w:val="21"/>
                <w:highlight w:val="none"/>
                <w:lang w:eastAsia="zh-CN"/>
              </w:rPr>
              <w:t>约定的</w:t>
            </w:r>
            <w:r>
              <w:rPr>
                <w:rFonts w:hint="eastAsia" w:ascii="微软雅黑" w:hAnsi="微软雅黑" w:eastAsia="微软雅黑" w:cs="微软雅黑"/>
                <w:color w:val="auto"/>
                <w:szCs w:val="21"/>
                <w:highlight w:val="none"/>
                <w:lang w:bidi="ar"/>
              </w:rPr>
              <w:t>期限提交</w:t>
            </w:r>
            <w:r>
              <w:rPr>
                <w:rFonts w:hint="eastAsia" w:ascii="微软雅黑" w:hAnsi="微软雅黑" w:eastAsia="微软雅黑" w:cs="微软雅黑"/>
                <w:color w:val="auto"/>
                <w:szCs w:val="21"/>
                <w:highlight w:val="none"/>
                <w:lang w:eastAsia="zh-CN" w:bidi="ar"/>
              </w:rPr>
              <w:t>相应</w:t>
            </w:r>
            <w:r>
              <w:rPr>
                <w:rFonts w:hint="eastAsia" w:ascii="微软雅黑" w:hAnsi="微软雅黑" w:eastAsia="微软雅黑" w:cs="微软雅黑"/>
                <w:color w:val="auto"/>
                <w:szCs w:val="21"/>
                <w:highlight w:val="none"/>
                <w:lang w:val="en-US" w:eastAsia="zh-CN" w:bidi="ar"/>
              </w:rPr>
              <w:t>货物及与其相关的服务</w:t>
            </w:r>
            <w:r>
              <w:rPr>
                <w:rFonts w:hint="eastAsia" w:ascii="微软雅黑" w:hAnsi="微软雅黑" w:eastAsia="微软雅黑" w:cs="微软雅黑"/>
                <w:color w:val="auto"/>
                <w:szCs w:val="21"/>
                <w:highlight w:val="none"/>
                <w:lang w:bidi="ar"/>
              </w:rPr>
              <w:t>成果，每逾期一日</w:t>
            </w:r>
            <w:r>
              <w:rPr>
                <w:rFonts w:hint="eastAsia" w:ascii="微软雅黑" w:hAnsi="微软雅黑" w:eastAsia="微软雅黑" w:cs="微软雅黑"/>
                <w:color w:val="auto"/>
                <w:szCs w:val="21"/>
                <w:highlight w:val="none"/>
              </w:rPr>
              <w:t>扣除合同总金额的0.5%作为延迟罚款</w:t>
            </w:r>
            <w:r>
              <w:rPr>
                <w:rFonts w:hint="eastAsia" w:ascii="微软雅黑" w:hAnsi="微软雅黑" w:eastAsia="微软雅黑" w:cs="微软雅黑"/>
                <w:color w:val="auto"/>
                <w:szCs w:val="21"/>
                <w:highlight w:val="none"/>
                <w:lang w:bidi="ar"/>
              </w:rPr>
              <w:t>，</w:t>
            </w:r>
            <w:r>
              <w:rPr>
                <w:rFonts w:hint="eastAsia" w:ascii="微软雅黑" w:hAnsi="微软雅黑" w:eastAsia="微软雅黑" w:cs="微软雅黑"/>
                <w:color w:val="auto"/>
                <w:szCs w:val="21"/>
                <w:highlight w:val="none"/>
              </w:rPr>
              <w:t>最高不超过合同总金额的10%</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bidi="ar"/>
              </w:rPr>
              <w:t>逾期超过</w:t>
            </w:r>
            <w:r>
              <w:rPr>
                <w:rFonts w:hint="eastAsia" w:ascii="微软雅黑" w:hAnsi="微软雅黑" w:eastAsia="微软雅黑" w:cs="微软雅黑"/>
                <w:color w:val="auto"/>
                <w:szCs w:val="21"/>
                <w:highlight w:val="none"/>
                <w:lang w:val="en-US" w:eastAsia="zh-CN" w:bidi="ar"/>
              </w:rPr>
              <w:t>3</w:t>
            </w:r>
            <w:r>
              <w:rPr>
                <w:rFonts w:hint="eastAsia" w:ascii="微软雅黑" w:hAnsi="微软雅黑" w:eastAsia="微软雅黑" w:cs="微软雅黑"/>
                <w:color w:val="auto"/>
                <w:szCs w:val="21"/>
                <w:highlight w:val="none"/>
                <w:lang w:bidi="ar"/>
              </w:rPr>
              <w:t>0日或者</w:t>
            </w:r>
            <w:r>
              <w:rPr>
                <w:rFonts w:hint="eastAsia" w:ascii="微软雅黑" w:hAnsi="微软雅黑" w:eastAsia="微软雅黑" w:cs="微软雅黑"/>
                <w:color w:val="auto"/>
                <w:szCs w:val="21"/>
                <w:highlight w:val="none"/>
                <w:lang w:eastAsia="zh-CN" w:bidi="ar"/>
              </w:rPr>
              <w:t>经整改后</w:t>
            </w:r>
            <w:r>
              <w:rPr>
                <w:rFonts w:hint="eastAsia" w:ascii="微软雅黑" w:hAnsi="微软雅黑" w:eastAsia="微软雅黑" w:cs="微软雅黑"/>
                <w:color w:val="auto"/>
                <w:szCs w:val="21"/>
                <w:highlight w:val="none"/>
                <w:lang w:bidi="ar"/>
              </w:rPr>
              <w:t>再次提交的</w:t>
            </w:r>
            <w:r>
              <w:rPr>
                <w:rFonts w:hint="eastAsia" w:ascii="微软雅黑" w:hAnsi="微软雅黑" w:eastAsia="微软雅黑" w:cs="微软雅黑"/>
                <w:color w:val="auto"/>
                <w:szCs w:val="21"/>
                <w:highlight w:val="none"/>
                <w:lang w:val="en-US" w:eastAsia="zh-CN" w:bidi="ar"/>
              </w:rPr>
              <w:t>服务</w:t>
            </w:r>
            <w:r>
              <w:rPr>
                <w:rFonts w:hint="eastAsia" w:ascii="微软雅黑" w:hAnsi="微软雅黑" w:eastAsia="微软雅黑" w:cs="微软雅黑"/>
                <w:color w:val="auto"/>
                <w:szCs w:val="21"/>
                <w:highlight w:val="none"/>
                <w:lang w:bidi="ar"/>
              </w:rPr>
              <w:t>成果不符合</w:t>
            </w:r>
            <w:r>
              <w:rPr>
                <w:rFonts w:hint="eastAsia" w:ascii="微软雅黑" w:hAnsi="微软雅黑" w:eastAsia="微软雅黑" w:cs="微软雅黑"/>
                <w:color w:val="auto"/>
                <w:szCs w:val="21"/>
                <w:highlight w:val="none"/>
                <w:lang w:eastAsia="zh-CN" w:bidi="ar"/>
              </w:rPr>
              <w:t>采购人要求</w:t>
            </w:r>
            <w:r>
              <w:rPr>
                <w:rFonts w:hint="eastAsia" w:ascii="微软雅黑" w:hAnsi="微软雅黑" w:eastAsia="微软雅黑" w:cs="微软雅黑"/>
                <w:color w:val="auto"/>
                <w:szCs w:val="21"/>
                <w:highlight w:val="none"/>
                <w:lang w:bidi="ar"/>
              </w:rPr>
              <w:t>的，</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有权解除合同</w:t>
            </w:r>
            <w:r>
              <w:rPr>
                <w:rFonts w:hint="eastAsia" w:ascii="微软雅黑" w:hAnsi="微软雅黑" w:eastAsia="微软雅黑" w:cs="微软雅黑"/>
                <w:color w:val="auto"/>
                <w:szCs w:val="21"/>
                <w:highlight w:val="none"/>
                <w:lang w:eastAsia="zh-CN" w:bidi="ar"/>
              </w:rPr>
              <w:t>并</w:t>
            </w:r>
            <w:r>
              <w:rPr>
                <w:rFonts w:hint="eastAsia" w:ascii="微软雅黑" w:hAnsi="微软雅黑" w:eastAsia="微软雅黑" w:cs="微软雅黑"/>
                <w:color w:val="auto"/>
                <w:szCs w:val="21"/>
                <w:highlight w:val="none"/>
                <w:lang w:bidi="ar"/>
              </w:rPr>
              <w:t>没收</w:t>
            </w:r>
            <w:r>
              <w:rPr>
                <w:rFonts w:hint="eastAsia" w:ascii="微软雅黑" w:hAnsi="微软雅黑" w:eastAsia="微软雅黑" w:cs="微软雅黑"/>
                <w:color w:val="auto"/>
                <w:szCs w:val="21"/>
                <w:highlight w:val="none"/>
                <w:lang w:eastAsia="zh-CN" w:bidi="ar"/>
              </w:rPr>
              <w:t>其</w:t>
            </w:r>
            <w:r>
              <w:rPr>
                <w:rFonts w:hint="eastAsia" w:ascii="微软雅黑" w:hAnsi="微软雅黑" w:eastAsia="微软雅黑" w:cs="微软雅黑"/>
                <w:color w:val="auto"/>
                <w:szCs w:val="21"/>
                <w:highlight w:val="none"/>
                <w:lang w:bidi="ar"/>
              </w:rPr>
              <w:t>履约保证金</w:t>
            </w:r>
            <w:r>
              <w:rPr>
                <w:rFonts w:hint="eastAsia" w:ascii="微软雅黑" w:hAnsi="微软雅黑" w:eastAsia="微软雅黑" w:cs="微软雅黑"/>
                <w:color w:val="auto"/>
                <w:szCs w:val="21"/>
                <w:highlight w:val="none"/>
                <w:lang w:eastAsia="zh-CN" w:bidi="ar"/>
              </w:rPr>
              <w:t>且不再</w:t>
            </w:r>
            <w:r>
              <w:rPr>
                <w:rFonts w:hint="eastAsia" w:ascii="微软雅黑" w:hAnsi="微软雅黑" w:eastAsia="微软雅黑" w:cs="微软雅黑"/>
                <w:color w:val="auto"/>
                <w:szCs w:val="21"/>
                <w:highlight w:val="none"/>
                <w:lang w:bidi="ar"/>
              </w:rPr>
              <w:t>支付任何费用</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应当</w:t>
            </w:r>
            <w:r>
              <w:rPr>
                <w:rFonts w:hint="eastAsia" w:ascii="微软雅黑" w:hAnsi="微软雅黑" w:eastAsia="微软雅黑" w:cs="微软雅黑"/>
                <w:color w:val="auto"/>
                <w:szCs w:val="21"/>
                <w:highlight w:val="none"/>
                <w:lang w:eastAsia="zh-CN" w:bidi="ar"/>
              </w:rPr>
              <w:t>于</w:t>
            </w:r>
            <w:r>
              <w:rPr>
                <w:rFonts w:hint="eastAsia" w:ascii="微软雅黑" w:hAnsi="微软雅黑" w:eastAsia="微软雅黑" w:cs="微软雅黑"/>
                <w:color w:val="auto"/>
                <w:szCs w:val="21"/>
                <w:highlight w:val="none"/>
                <w:lang w:bidi="ar"/>
              </w:rPr>
              <w:t>解除合同</w:t>
            </w:r>
            <w:r>
              <w:rPr>
                <w:rFonts w:hint="eastAsia" w:ascii="微软雅黑" w:hAnsi="微软雅黑" w:eastAsia="微软雅黑" w:cs="微软雅黑"/>
                <w:color w:val="auto"/>
                <w:szCs w:val="21"/>
                <w:highlight w:val="none"/>
                <w:lang w:eastAsia="zh-CN" w:bidi="ar"/>
              </w:rPr>
              <w:t>后</w:t>
            </w:r>
            <w:r>
              <w:rPr>
                <w:rFonts w:hint="eastAsia" w:ascii="微软雅黑" w:hAnsi="微软雅黑" w:eastAsia="微软雅黑" w:cs="微软雅黑"/>
                <w:color w:val="auto"/>
                <w:szCs w:val="21"/>
                <w:highlight w:val="none"/>
                <w:lang w:val="en-US" w:eastAsia="zh-CN" w:bidi="ar"/>
              </w:rPr>
              <w:t>15日内</w:t>
            </w:r>
            <w:r>
              <w:rPr>
                <w:rFonts w:hint="eastAsia" w:ascii="微软雅黑" w:hAnsi="微软雅黑" w:eastAsia="微软雅黑" w:cs="微软雅黑"/>
                <w:color w:val="auto"/>
                <w:szCs w:val="21"/>
                <w:highlight w:val="none"/>
                <w:lang w:bidi="ar"/>
              </w:rPr>
              <w:t>全额退还</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已支付</w:t>
            </w:r>
            <w:r>
              <w:rPr>
                <w:rFonts w:hint="eastAsia" w:ascii="微软雅黑" w:hAnsi="微软雅黑" w:eastAsia="微软雅黑" w:cs="微软雅黑"/>
                <w:color w:val="auto"/>
                <w:szCs w:val="21"/>
                <w:highlight w:val="none"/>
                <w:lang w:eastAsia="zh-CN" w:bidi="ar"/>
              </w:rPr>
              <w:t>的</w:t>
            </w:r>
            <w:r>
              <w:rPr>
                <w:rFonts w:hint="eastAsia" w:ascii="微软雅黑" w:hAnsi="微软雅黑" w:eastAsia="微软雅黑" w:cs="微软雅黑"/>
                <w:color w:val="auto"/>
                <w:szCs w:val="21"/>
                <w:highlight w:val="none"/>
                <w:lang w:bidi="ar"/>
              </w:rPr>
              <w:t>费用（逾期退还的，按资金占用期间同期银行贷款利息的两倍支付利息），并且</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应向</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支付相当于合同金额30%的违约金，违约金不足以赔偿</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损失的，</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还须赔偿</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全部损失。</w:t>
            </w:r>
          </w:p>
          <w:p w14:paraId="0E0B2C42">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2</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所提供的</w:t>
            </w:r>
            <w:r>
              <w:rPr>
                <w:rFonts w:hint="eastAsia" w:ascii="微软雅黑" w:hAnsi="微软雅黑" w:eastAsia="微软雅黑" w:cs="微软雅黑"/>
                <w:color w:val="auto"/>
                <w:szCs w:val="21"/>
                <w:highlight w:val="none"/>
                <w:lang w:val="en-US" w:eastAsia="zh-CN" w:bidi="ar"/>
              </w:rPr>
              <w:t>货物及与其相关的服务</w:t>
            </w:r>
            <w:r>
              <w:rPr>
                <w:rFonts w:hint="eastAsia" w:ascii="微软雅黑" w:hAnsi="微软雅黑" w:eastAsia="微软雅黑" w:cs="微软雅黑"/>
                <w:color w:val="auto"/>
                <w:szCs w:val="21"/>
                <w:highlight w:val="none"/>
                <w:lang w:bidi="ar"/>
              </w:rPr>
              <w:t>成果、数量、技术参数要求等不符合本</w:t>
            </w:r>
            <w:r>
              <w:rPr>
                <w:rFonts w:hint="eastAsia" w:ascii="微软雅黑" w:hAnsi="微软雅黑" w:eastAsia="微软雅黑" w:cs="微软雅黑"/>
                <w:color w:val="auto"/>
                <w:szCs w:val="21"/>
                <w:highlight w:val="none"/>
                <w:lang w:eastAsia="zh-CN" w:bidi="ar"/>
              </w:rPr>
              <w:t>项目</w:t>
            </w:r>
            <w:r>
              <w:rPr>
                <w:rFonts w:hint="eastAsia" w:ascii="微软雅黑" w:hAnsi="微软雅黑" w:eastAsia="微软雅黑" w:cs="微软雅黑"/>
                <w:color w:val="auto"/>
                <w:szCs w:val="21"/>
                <w:highlight w:val="none"/>
                <w:lang w:bidi="ar"/>
              </w:rPr>
              <w:t>合同要求的，应及时整改；</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在</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规定期限内不能完成整改的或无正当理由拒绝整改或经整改后仍不能达到</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要求的，</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有权终止合同，违约责任按照本条第1款执行。</w:t>
            </w:r>
          </w:p>
          <w:p w14:paraId="0584D798">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3</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中标后被发现其在投标活动中提供任何虚假材料的，</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有权解除合同，并按照本条第1款追究</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违约责任</w:t>
            </w:r>
            <w:r>
              <w:rPr>
                <w:rFonts w:hint="eastAsia" w:ascii="微软雅黑" w:hAnsi="微软雅黑" w:eastAsia="微软雅黑" w:cs="微软雅黑"/>
                <w:color w:val="auto"/>
                <w:szCs w:val="21"/>
                <w:highlight w:val="none"/>
                <w:lang w:eastAsia="zh-CN" w:bidi="ar"/>
              </w:rPr>
              <w:t>，同时报政府采购监管单位备案</w:t>
            </w:r>
            <w:r>
              <w:rPr>
                <w:rFonts w:hint="eastAsia" w:ascii="微软雅黑" w:hAnsi="微软雅黑" w:eastAsia="微软雅黑" w:cs="微软雅黑"/>
                <w:color w:val="auto"/>
                <w:szCs w:val="21"/>
                <w:highlight w:val="none"/>
                <w:lang w:bidi="ar"/>
              </w:rPr>
              <w:t>。</w:t>
            </w:r>
          </w:p>
          <w:p w14:paraId="6D898125">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4</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有权依据本</w:t>
            </w:r>
            <w:r>
              <w:rPr>
                <w:rFonts w:hint="eastAsia" w:ascii="微软雅黑" w:hAnsi="微软雅黑" w:eastAsia="微软雅黑" w:cs="微软雅黑"/>
                <w:color w:val="auto"/>
                <w:szCs w:val="21"/>
                <w:highlight w:val="none"/>
                <w:lang w:eastAsia="zh-CN" w:bidi="ar"/>
              </w:rPr>
              <w:t>项目</w:t>
            </w:r>
            <w:r>
              <w:rPr>
                <w:rFonts w:hint="eastAsia" w:ascii="微软雅黑" w:hAnsi="微软雅黑" w:eastAsia="微软雅黑" w:cs="微软雅黑"/>
                <w:color w:val="auto"/>
                <w:szCs w:val="21"/>
                <w:highlight w:val="none"/>
                <w:lang w:bidi="ar"/>
              </w:rPr>
              <w:t>合同要求对</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的服务人员进行管理或更换，对于</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要求更换服务人员的，</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应无条件</w:t>
            </w:r>
            <w:r>
              <w:rPr>
                <w:rFonts w:hint="eastAsia" w:ascii="微软雅黑" w:hAnsi="微软雅黑" w:eastAsia="微软雅黑" w:cs="微软雅黑"/>
                <w:color w:val="auto"/>
                <w:szCs w:val="21"/>
                <w:highlight w:val="none"/>
                <w:lang w:eastAsia="zh-CN" w:bidi="ar"/>
              </w:rPr>
              <w:t>在采购人要求的时限内进行</w:t>
            </w:r>
            <w:r>
              <w:rPr>
                <w:rFonts w:hint="eastAsia" w:ascii="微软雅黑" w:hAnsi="微软雅黑" w:eastAsia="微软雅黑" w:cs="微软雅黑"/>
                <w:color w:val="auto"/>
                <w:szCs w:val="21"/>
                <w:highlight w:val="none"/>
                <w:lang w:bidi="ar"/>
              </w:rPr>
              <w:t>更换；</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拒绝服务人员更换的，</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有权终止合同，</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应当</w:t>
            </w:r>
            <w:r>
              <w:rPr>
                <w:rFonts w:hint="eastAsia" w:ascii="微软雅黑" w:hAnsi="微软雅黑" w:eastAsia="微软雅黑" w:cs="微软雅黑"/>
                <w:color w:val="auto"/>
                <w:szCs w:val="21"/>
                <w:highlight w:val="none"/>
                <w:lang w:eastAsia="zh-CN" w:bidi="ar"/>
              </w:rPr>
              <w:t>于</w:t>
            </w:r>
            <w:r>
              <w:rPr>
                <w:rFonts w:hint="eastAsia" w:ascii="微软雅黑" w:hAnsi="微软雅黑" w:eastAsia="微软雅黑" w:cs="微软雅黑"/>
                <w:color w:val="auto"/>
                <w:szCs w:val="21"/>
                <w:highlight w:val="none"/>
                <w:lang w:bidi="ar"/>
              </w:rPr>
              <w:t>解除合同</w:t>
            </w:r>
            <w:r>
              <w:rPr>
                <w:rFonts w:hint="eastAsia" w:ascii="微软雅黑" w:hAnsi="微软雅黑" w:eastAsia="微软雅黑" w:cs="微软雅黑"/>
                <w:color w:val="auto"/>
                <w:szCs w:val="21"/>
                <w:highlight w:val="none"/>
                <w:lang w:eastAsia="zh-CN" w:bidi="ar"/>
              </w:rPr>
              <w:t>后</w:t>
            </w:r>
            <w:r>
              <w:rPr>
                <w:rFonts w:hint="eastAsia" w:ascii="微软雅黑" w:hAnsi="微软雅黑" w:eastAsia="微软雅黑" w:cs="微软雅黑"/>
                <w:color w:val="auto"/>
                <w:szCs w:val="21"/>
                <w:highlight w:val="none"/>
                <w:lang w:val="en-US" w:eastAsia="zh-CN" w:bidi="ar"/>
              </w:rPr>
              <w:t>15日内</w:t>
            </w:r>
            <w:r>
              <w:rPr>
                <w:rFonts w:hint="eastAsia" w:ascii="微软雅黑" w:hAnsi="微软雅黑" w:eastAsia="微软雅黑" w:cs="微软雅黑"/>
                <w:color w:val="auto"/>
                <w:szCs w:val="21"/>
                <w:highlight w:val="none"/>
                <w:lang w:bidi="ar"/>
              </w:rPr>
              <w:t>全额退还</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已支付</w:t>
            </w:r>
            <w:r>
              <w:rPr>
                <w:rFonts w:hint="eastAsia" w:ascii="微软雅黑" w:hAnsi="微软雅黑" w:eastAsia="微软雅黑" w:cs="微软雅黑"/>
                <w:color w:val="auto"/>
                <w:szCs w:val="21"/>
                <w:highlight w:val="none"/>
                <w:lang w:eastAsia="zh-CN" w:bidi="ar"/>
              </w:rPr>
              <w:t>的</w:t>
            </w:r>
            <w:r>
              <w:rPr>
                <w:rFonts w:hint="eastAsia" w:ascii="微软雅黑" w:hAnsi="微软雅黑" w:eastAsia="微软雅黑" w:cs="微软雅黑"/>
                <w:color w:val="auto"/>
                <w:szCs w:val="21"/>
                <w:highlight w:val="none"/>
                <w:lang w:bidi="ar"/>
              </w:rPr>
              <w:t>费用（逾期退还的，按资金占用期间同期银行贷款利息的两倍支付利息），并按本</w:t>
            </w:r>
            <w:r>
              <w:rPr>
                <w:rFonts w:hint="eastAsia" w:ascii="微软雅黑" w:hAnsi="微软雅黑" w:eastAsia="微软雅黑" w:cs="微软雅黑"/>
                <w:color w:val="auto"/>
                <w:szCs w:val="21"/>
                <w:highlight w:val="none"/>
                <w:lang w:eastAsia="zh-CN" w:bidi="ar"/>
              </w:rPr>
              <w:t>项目</w:t>
            </w:r>
            <w:r>
              <w:rPr>
                <w:rFonts w:hint="eastAsia" w:ascii="微软雅黑" w:hAnsi="微软雅黑" w:eastAsia="微软雅黑" w:cs="微软雅黑"/>
                <w:color w:val="auto"/>
                <w:szCs w:val="21"/>
                <w:highlight w:val="none"/>
                <w:lang w:bidi="ar"/>
              </w:rPr>
              <w:t>合同金额的10%计算违约金。</w:t>
            </w:r>
          </w:p>
          <w:p w14:paraId="5DC81B1E">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5</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未按本合同和</w:t>
            </w:r>
            <w:r>
              <w:rPr>
                <w:rFonts w:hint="eastAsia" w:ascii="微软雅黑" w:hAnsi="微软雅黑" w:eastAsia="微软雅黑" w:cs="微软雅黑"/>
                <w:color w:val="auto"/>
                <w:szCs w:val="21"/>
                <w:highlight w:val="none"/>
                <w:lang w:eastAsia="zh-CN" w:bidi="ar"/>
              </w:rPr>
              <w:t>投标</w:t>
            </w:r>
            <w:r>
              <w:rPr>
                <w:rFonts w:hint="eastAsia" w:ascii="微软雅黑" w:hAnsi="微软雅黑" w:eastAsia="微软雅黑" w:cs="微软雅黑"/>
                <w:color w:val="auto"/>
                <w:szCs w:val="21"/>
                <w:highlight w:val="none"/>
                <w:lang w:bidi="ar"/>
              </w:rPr>
              <w:t>文件中</w:t>
            </w:r>
            <w:r>
              <w:rPr>
                <w:rFonts w:hint="eastAsia" w:ascii="微软雅黑" w:hAnsi="微软雅黑" w:eastAsia="微软雅黑" w:cs="微软雅黑"/>
                <w:color w:val="auto"/>
                <w:szCs w:val="21"/>
                <w:highlight w:val="none"/>
                <w:lang w:eastAsia="zh-CN" w:bidi="ar"/>
              </w:rPr>
              <w:t>约定</w:t>
            </w:r>
            <w:r>
              <w:rPr>
                <w:rFonts w:hint="eastAsia" w:ascii="微软雅黑" w:hAnsi="微软雅黑" w:eastAsia="微软雅黑" w:cs="微软雅黑"/>
                <w:color w:val="auto"/>
                <w:szCs w:val="21"/>
                <w:highlight w:val="none"/>
                <w:lang w:bidi="ar"/>
              </w:rPr>
              <w:t>的服务承诺提供售后服务的，每出现一次，</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应按合同金额5%支付违约金；若</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明确拒绝或怠于提供售后服务的，</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有权聘请第三方机构提供售后服务，因此产生的费用均由</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承担。</w:t>
            </w:r>
          </w:p>
          <w:p w14:paraId="2C506339">
            <w:pPr>
              <w:snapToGrid/>
              <w:spacing w:line="240" w:lineRule="auto"/>
              <w:ind w:firstLine="0" w:firstLineChars="0"/>
              <w:rPr>
                <w:rFonts w:hint="eastAsia" w:ascii="微软雅黑" w:hAnsi="微软雅黑" w:eastAsia="微软雅黑" w:cs="微软雅黑"/>
                <w:color w:val="auto"/>
                <w:szCs w:val="21"/>
                <w:highlight w:val="none"/>
                <w:lang w:eastAsia="zh-CN" w:bidi="ar"/>
              </w:rPr>
            </w:pPr>
            <w:r>
              <w:rPr>
                <w:rFonts w:hint="eastAsia" w:ascii="微软雅黑" w:hAnsi="微软雅黑" w:eastAsia="微软雅黑" w:cs="微软雅黑"/>
                <w:color w:val="auto"/>
                <w:szCs w:val="21"/>
                <w:highlight w:val="none"/>
                <w:lang w:val="en-US" w:eastAsia="zh-CN" w:bidi="ar"/>
              </w:rPr>
              <w:t>6</w:t>
            </w:r>
            <w:r>
              <w:rPr>
                <w:rFonts w:hint="eastAsia" w:ascii="微软雅黑" w:hAnsi="微软雅黑" w:eastAsia="微软雅黑" w:cs="微软雅黑"/>
                <w:color w:val="auto"/>
                <w:szCs w:val="21"/>
                <w:highlight w:val="none"/>
                <w:lang w:eastAsia="zh-CN" w:bidi="ar"/>
              </w:rPr>
              <w:t>.</w:t>
            </w:r>
            <w:r>
              <w:rPr>
                <w:rFonts w:hint="eastAsia" w:ascii="微软雅黑" w:hAnsi="微软雅黑" w:eastAsia="微软雅黑" w:cs="微软雅黑"/>
                <w:color w:val="auto"/>
                <w:szCs w:val="21"/>
                <w:highlight w:val="none"/>
                <w:lang w:bidi="ar"/>
              </w:rPr>
              <w:t>如</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违反合同约定及</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要求的信息安全及保密要求，每违反一次收取合同金额2%的违约金，累计不超过合同金额的30%，违约金不足以弥补</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实际损失的，还应支付赔偿金</w:t>
            </w:r>
            <w:r>
              <w:rPr>
                <w:rFonts w:hint="eastAsia" w:ascii="微软雅黑" w:hAnsi="微软雅黑" w:eastAsia="微软雅黑" w:cs="微软雅黑"/>
                <w:color w:val="auto"/>
                <w:szCs w:val="21"/>
                <w:highlight w:val="none"/>
                <w:lang w:eastAsia="zh-CN" w:bidi="ar"/>
              </w:rPr>
              <w:t>；情节严重的采购人</w:t>
            </w:r>
            <w:r>
              <w:rPr>
                <w:rFonts w:hint="eastAsia" w:ascii="微软雅黑" w:hAnsi="微软雅黑" w:eastAsia="微软雅黑" w:cs="微软雅黑"/>
                <w:color w:val="auto"/>
                <w:szCs w:val="21"/>
                <w:highlight w:val="none"/>
                <w:lang w:bidi="ar"/>
              </w:rPr>
              <w:t>有权终止合同</w:t>
            </w:r>
            <w:r>
              <w:rPr>
                <w:rFonts w:hint="eastAsia" w:ascii="微软雅黑" w:hAnsi="微软雅黑" w:eastAsia="微软雅黑" w:cs="微软雅黑"/>
                <w:color w:val="auto"/>
                <w:szCs w:val="21"/>
                <w:highlight w:val="none"/>
                <w:lang w:eastAsia="zh-CN" w:bidi="ar"/>
              </w:rPr>
              <w:t>并移交相关部门处理</w:t>
            </w:r>
            <w:r>
              <w:rPr>
                <w:rFonts w:hint="eastAsia" w:ascii="微软雅黑" w:hAnsi="微软雅黑" w:eastAsia="微软雅黑" w:cs="微软雅黑"/>
                <w:color w:val="auto"/>
                <w:szCs w:val="21"/>
                <w:highlight w:val="none"/>
                <w:lang w:bidi="ar"/>
              </w:rPr>
              <w:t>，</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应当</w:t>
            </w:r>
            <w:r>
              <w:rPr>
                <w:rFonts w:hint="eastAsia" w:ascii="微软雅黑" w:hAnsi="微软雅黑" w:eastAsia="微软雅黑" w:cs="微软雅黑"/>
                <w:color w:val="auto"/>
                <w:szCs w:val="21"/>
                <w:highlight w:val="none"/>
                <w:lang w:eastAsia="zh-CN" w:bidi="ar"/>
              </w:rPr>
              <w:t>于</w:t>
            </w:r>
            <w:r>
              <w:rPr>
                <w:rFonts w:hint="eastAsia" w:ascii="微软雅黑" w:hAnsi="微软雅黑" w:eastAsia="微软雅黑" w:cs="微软雅黑"/>
                <w:color w:val="auto"/>
                <w:szCs w:val="21"/>
                <w:highlight w:val="none"/>
                <w:lang w:bidi="ar"/>
              </w:rPr>
              <w:t>解除合同</w:t>
            </w:r>
            <w:r>
              <w:rPr>
                <w:rFonts w:hint="eastAsia" w:ascii="微软雅黑" w:hAnsi="微软雅黑" w:eastAsia="微软雅黑" w:cs="微软雅黑"/>
                <w:color w:val="auto"/>
                <w:szCs w:val="21"/>
                <w:highlight w:val="none"/>
                <w:lang w:eastAsia="zh-CN" w:bidi="ar"/>
              </w:rPr>
              <w:t>后</w:t>
            </w:r>
            <w:r>
              <w:rPr>
                <w:rFonts w:hint="eastAsia" w:ascii="微软雅黑" w:hAnsi="微软雅黑" w:eastAsia="微软雅黑" w:cs="微软雅黑"/>
                <w:color w:val="auto"/>
                <w:szCs w:val="21"/>
                <w:highlight w:val="none"/>
                <w:lang w:val="en-US" w:eastAsia="zh-CN" w:bidi="ar"/>
              </w:rPr>
              <w:t>15日内</w:t>
            </w:r>
            <w:r>
              <w:rPr>
                <w:rFonts w:hint="eastAsia" w:ascii="微软雅黑" w:hAnsi="微软雅黑" w:eastAsia="微软雅黑" w:cs="微软雅黑"/>
                <w:color w:val="auto"/>
                <w:szCs w:val="21"/>
                <w:highlight w:val="none"/>
                <w:lang w:bidi="ar"/>
              </w:rPr>
              <w:t>全额退还</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已支付</w:t>
            </w:r>
            <w:r>
              <w:rPr>
                <w:rFonts w:hint="eastAsia" w:ascii="微软雅黑" w:hAnsi="微软雅黑" w:eastAsia="微软雅黑" w:cs="微软雅黑"/>
                <w:color w:val="auto"/>
                <w:szCs w:val="21"/>
                <w:highlight w:val="none"/>
                <w:lang w:eastAsia="zh-CN" w:bidi="ar"/>
              </w:rPr>
              <w:t>的</w:t>
            </w:r>
            <w:r>
              <w:rPr>
                <w:rFonts w:hint="eastAsia" w:ascii="微软雅黑" w:hAnsi="微软雅黑" w:eastAsia="微软雅黑" w:cs="微软雅黑"/>
                <w:color w:val="auto"/>
                <w:szCs w:val="21"/>
                <w:highlight w:val="none"/>
                <w:lang w:bidi="ar"/>
              </w:rPr>
              <w:t>费用（逾期退还的，按资金占用期间同期银行贷款利息的两倍支付利息）</w:t>
            </w:r>
            <w:r>
              <w:rPr>
                <w:rFonts w:hint="eastAsia" w:ascii="微软雅黑" w:hAnsi="微软雅黑" w:eastAsia="微软雅黑" w:cs="微软雅黑"/>
                <w:color w:val="auto"/>
                <w:szCs w:val="21"/>
                <w:highlight w:val="none"/>
                <w:lang w:eastAsia="zh-CN" w:bidi="ar"/>
              </w:rPr>
              <w:t>。</w:t>
            </w:r>
          </w:p>
          <w:p w14:paraId="777C84CB">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7</w:t>
            </w:r>
            <w:r>
              <w:rPr>
                <w:rFonts w:hint="eastAsia" w:ascii="微软雅黑" w:hAnsi="微软雅黑" w:eastAsia="微软雅黑" w:cs="微软雅黑"/>
                <w:color w:val="auto"/>
                <w:szCs w:val="21"/>
                <w:highlight w:val="none"/>
                <w:lang w:eastAsia="zh-CN" w:bidi="ar"/>
              </w:rPr>
              <w:t>.</w:t>
            </w:r>
            <w:r>
              <w:rPr>
                <w:rFonts w:hint="eastAsia" w:ascii="微软雅黑" w:hAnsi="微软雅黑" w:eastAsia="微软雅黑" w:cs="微软雅黑"/>
                <w:color w:val="auto"/>
                <w:szCs w:val="21"/>
                <w:highlight w:val="none"/>
                <w:lang w:bidi="ar"/>
              </w:rPr>
              <w:t>本合同项下所指的损失是指</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因</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违约而遭受的全部经济损失（包括但不限于直接损失、间接损失及实现债权的费用，如诉讼费、保全费、财产保全责任险保险费、调查取证费、鉴定费、律师费、差旅费等）。</w:t>
            </w:r>
          </w:p>
          <w:p w14:paraId="4131DC29">
            <w:pPr>
              <w:snapToGrid/>
              <w:spacing w:line="240" w:lineRule="auto"/>
              <w:ind w:firstLine="0" w:firstLineChars="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bidi="ar"/>
              </w:rPr>
              <w:t>8</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有权从未付</w:t>
            </w:r>
            <w:r>
              <w:rPr>
                <w:rFonts w:hint="eastAsia" w:ascii="微软雅黑" w:hAnsi="微软雅黑" w:eastAsia="微软雅黑" w:cs="微软雅黑"/>
                <w:color w:val="auto"/>
                <w:szCs w:val="21"/>
                <w:highlight w:val="none"/>
                <w:lang w:eastAsia="zh-CN" w:bidi="ar"/>
              </w:rPr>
              <w:t>合同</w:t>
            </w:r>
            <w:r>
              <w:rPr>
                <w:rFonts w:hint="eastAsia" w:ascii="微软雅黑" w:hAnsi="微软雅黑" w:eastAsia="微软雅黑" w:cs="微软雅黑"/>
                <w:color w:val="auto"/>
                <w:szCs w:val="21"/>
                <w:highlight w:val="none"/>
                <w:lang w:bidi="ar"/>
              </w:rPr>
              <w:t>价款、履约保证金中先行扣除</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应支付的违约金、赔偿金，不足另补。</w:t>
            </w:r>
          </w:p>
          <w:p w14:paraId="3ADCC606">
            <w:pPr>
              <w:snapToGrid/>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val="en-US" w:eastAsia="zh-CN" w:bidi="ar"/>
              </w:rPr>
              <w:t>9</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提供的成果如侵犯了第三方合法权益而引发的任何纠纷或诉讼，均由</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负责交涉并承担全部责任，由此造成</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损失的，包括但不限于应诉的律师费诉讼费等，均由</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全部赔偿。</w:t>
            </w:r>
          </w:p>
          <w:p w14:paraId="48042365">
            <w:pPr>
              <w:snapToGrid/>
              <w:spacing w:line="240" w:lineRule="auto"/>
              <w:ind w:firstLine="0" w:firstLineChars="0"/>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1"/>
                <w:highlight w:val="none"/>
                <w:lang w:val="en-US" w:eastAsia="zh-CN" w:bidi="ar"/>
              </w:rPr>
              <w:t>10</w:t>
            </w:r>
            <w:r>
              <w:rPr>
                <w:rFonts w:hint="eastAsia" w:ascii="微软雅黑" w:hAnsi="微软雅黑" w:eastAsia="微软雅黑" w:cs="微软雅黑"/>
                <w:color w:val="auto"/>
                <w:szCs w:val="21"/>
                <w:highlight w:val="none"/>
                <w:lang w:eastAsia="zh-CN" w:bidi="ar"/>
              </w:rPr>
              <w:t>.</w:t>
            </w:r>
            <w:r>
              <w:rPr>
                <w:rFonts w:hint="eastAsia" w:ascii="微软雅黑" w:hAnsi="微软雅黑" w:eastAsia="微软雅黑" w:cs="微软雅黑"/>
                <w:color w:val="auto"/>
                <w:szCs w:val="21"/>
                <w:highlight w:val="none"/>
                <w:lang w:bidi="ar"/>
              </w:rPr>
              <w:t>由于</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的原因造成合同不能如期履行的，双方可根据具体情况顺延合同的履行期，对</w:t>
            </w:r>
            <w:r>
              <w:rPr>
                <w:rFonts w:hint="eastAsia" w:ascii="微软雅黑" w:hAnsi="微软雅黑" w:eastAsia="微软雅黑" w:cs="微软雅黑"/>
                <w:color w:val="auto"/>
                <w:szCs w:val="21"/>
                <w:highlight w:val="none"/>
                <w:lang w:eastAsia="zh-CN" w:bidi="ar"/>
              </w:rPr>
              <w:t>中标人</w:t>
            </w:r>
            <w:r>
              <w:rPr>
                <w:rFonts w:hint="eastAsia" w:ascii="微软雅黑" w:hAnsi="微软雅黑" w:eastAsia="微软雅黑" w:cs="微软雅黑"/>
                <w:color w:val="auto"/>
                <w:szCs w:val="21"/>
                <w:highlight w:val="none"/>
                <w:lang w:bidi="ar"/>
              </w:rPr>
              <w:t>因此遭受的实际损失，</w:t>
            </w:r>
            <w:r>
              <w:rPr>
                <w:rFonts w:hint="eastAsia" w:ascii="微软雅黑" w:hAnsi="微软雅黑" w:eastAsia="微软雅黑" w:cs="微软雅黑"/>
                <w:color w:val="auto"/>
                <w:szCs w:val="21"/>
                <w:highlight w:val="none"/>
                <w:lang w:eastAsia="zh-CN" w:bidi="ar"/>
              </w:rPr>
              <w:t>采购人</w:t>
            </w:r>
            <w:r>
              <w:rPr>
                <w:rFonts w:hint="eastAsia" w:ascii="微软雅黑" w:hAnsi="微软雅黑" w:eastAsia="微软雅黑" w:cs="微软雅黑"/>
                <w:color w:val="auto"/>
                <w:szCs w:val="21"/>
                <w:highlight w:val="none"/>
                <w:lang w:bidi="ar"/>
              </w:rPr>
              <w:t>应予以合理补偿。</w:t>
            </w:r>
          </w:p>
        </w:tc>
      </w:tr>
      <w:tr w14:paraId="068AA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7" w:hRule="atLeast"/>
          <w:jc w:val="center"/>
        </w:trPr>
        <w:tc>
          <w:tcPr>
            <w:tcW w:w="1783" w:type="dxa"/>
            <w:gridSpan w:val="2"/>
            <w:tcBorders>
              <w:top w:val="single" w:color="auto" w:sz="4" w:space="0"/>
              <w:left w:val="single" w:color="auto" w:sz="4" w:space="0"/>
              <w:bottom w:val="single" w:color="auto" w:sz="4" w:space="0"/>
              <w:right w:val="single" w:color="auto" w:sz="4" w:space="0"/>
            </w:tcBorders>
            <w:vAlign w:val="center"/>
          </w:tcPr>
          <w:p w14:paraId="63A22B70">
            <w:pPr>
              <w:snapToGrid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供应商其他要求</w:t>
            </w:r>
          </w:p>
        </w:tc>
        <w:tc>
          <w:tcPr>
            <w:tcW w:w="7149" w:type="dxa"/>
            <w:gridSpan w:val="2"/>
            <w:tcBorders>
              <w:top w:val="single" w:color="auto" w:sz="4" w:space="0"/>
              <w:left w:val="single" w:color="auto" w:sz="4" w:space="0"/>
              <w:bottom w:val="single" w:color="auto" w:sz="4" w:space="0"/>
              <w:right w:val="single" w:color="auto" w:sz="4" w:space="0"/>
            </w:tcBorders>
            <w:vAlign w:val="center"/>
          </w:tcPr>
          <w:p w14:paraId="4EAE1683">
            <w:pPr>
              <w:snapToGrid w:val="0"/>
              <w:spacing w:line="240" w:lineRule="auto"/>
              <w:jc w:val="left"/>
              <w:rPr>
                <w:rFonts w:hint="eastAsia" w:ascii="微软雅黑" w:hAnsi="微软雅黑" w:eastAsia="微软雅黑" w:cs="微软雅黑"/>
                <w:color w:val="auto"/>
                <w:sz w:val="21"/>
                <w:szCs w:val="21"/>
                <w:highlight w:val="none"/>
                <w:lang w:eastAsia="zh-CN" w:bidi="ar"/>
              </w:rPr>
            </w:pPr>
            <w:r>
              <w:rPr>
                <w:rFonts w:hint="eastAsia" w:ascii="微软雅黑" w:hAnsi="微软雅黑" w:eastAsia="微软雅黑" w:cs="微软雅黑"/>
                <w:color w:val="auto"/>
                <w:sz w:val="21"/>
                <w:szCs w:val="21"/>
                <w:highlight w:val="none"/>
                <w:lang w:val="en-US" w:eastAsia="zh-CN" w:bidi="ar"/>
              </w:rPr>
              <w:t>1.</w:t>
            </w:r>
            <w:r>
              <w:rPr>
                <w:rFonts w:hint="eastAsia" w:ascii="微软雅黑" w:hAnsi="微软雅黑" w:eastAsia="微软雅黑" w:cs="微软雅黑"/>
                <w:color w:val="auto"/>
                <w:sz w:val="21"/>
                <w:szCs w:val="21"/>
                <w:highlight w:val="none"/>
                <w:lang w:bidi="ar"/>
              </w:rPr>
              <w:t>投标人可根据自身情况编写项目实施方案，内容可以包括但不限于：对项目的理解、</w:t>
            </w:r>
            <w:r>
              <w:rPr>
                <w:rFonts w:hint="eastAsia" w:ascii="微软雅黑" w:hAnsi="微软雅黑" w:eastAsia="微软雅黑" w:cs="微软雅黑"/>
                <w:bCs w:val="0"/>
                <w:color w:val="auto"/>
                <w:sz w:val="21"/>
                <w:szCs w:val="21"/>
                <w:highlight w:val="none"/>
                <w:lang w:bidi="ar"/>
              </w:rPr>
              <w:t>实施方案</w:t>
            </w:r>
            <w:r>
              <w:rPr>
                <w:rFonts w:hint="eastAsia" w:ascii="微软雅黑" w:hAnsi="微软雅黑" w:eastAsia="微软雅黑" w:cs="微软雅黑"/>
                <w:color w:val="auto"/>
                <w:sz w:val="21"/>
                <w:szCs w:val="21"/>
                <w:highlight w:val="none"/>
                <w:lang w:bidi="ar"/>
              </w:rPr>
              <w:t>、</w:t>
            </w:r>
            <w:r>
              <w:rPr>
                <w:rFonts w:hint="eastAsia" w:ascii="微软雅黑" w:hAnsi="微软雅黑" w:eastAsia="微软雅黑" w:cs="微软雅黑"/>
                <w:bCs w:val="0"/>
                <w:color w:val="auto"/>
                <w:sz w:val="21"/>
                <w:szCs w:val="21"/>
                <w:highlight w:val="none"/>
                <w:lang w:bidi="ar"/>
              </w:rPr>
              <w:t>进度保证措施</w:t>
            </w:r>
            <w:r>
              <w:rPr>
                <w:rFonts w:hint="eastAsia" w:ascii="微软雅黑" w:hAnsi="微软雅黑" w:eastAsia="微软雅黑" w:cs="微软雅黑"/>
                <w:color w:val="auto"/>
                <w:sz w:val="21"/>
                <w:szCs w:val="21"/>
                <w:highlight w:val="none"/>
                <w:lang w:bidi="ar"/>
              </w:rPr>
              <w:t>、</w:t>
            </w:r>
            <w:r>
              <w:rPr>
                <w:rFonts w:hint="eastAsia" w:ascii="微软雅黑" w:hAnsi="微软雅黑" w:eastAsia="微软雅黑" w:cs="微软雅黑"/>
                <w:bCs w:val="0"/>
                <w:color w:val="auto"/>
                <w:sz w:val="21"/>
                <w:szCs w:val="21"/>
                <w:highlight w:val="none"/>
                <w:lang w:bidi="ar"/>
              </w:rPr>
              <w:t>服务承诺及后续服务安排、</w:t>
            </w:r>
            <w:r>
              <w:rPr>
                <w:rFonts w:hint="eastAsia" w:ascii="微软雅黑" w:hAnsi="微软雅黑" w:eastAsia="微软雅黑" w:cs="微软雅黑"/>
                <w:color w:val="auto"/>
                <w:sz w:val="21"/>
                <w:szCs w:val="21"/>
                <w:highlight w:val="none"/>
                <w:lang w:bidi="ar"/>
              </w:rPr>
              <w:t>人员配备方案等</w:t>
            </w:r>
            <w:r>
              <w:rPr>
                <w:rFonts w:hint="eastAsia" w:ascii="微软雅黑" w:hAnsi="微软雅黑" w:eastAsia="微软雅黑" w:cs="微软雅黑"/>
                <w:color w:val="auto"/>
                <w:sz w:val="21"/>
                <w:szCs w:val="21"/>
                <w:highlight w:val="none"/>
                <w:lang w:eastAsia="zh-CN" w:bidi="ar"/>
              </w:rPr>
              <w:t>；</w:t>
            </w:r>
          </w:p>
          <w:p w14:paraId="5CCB63AD">
            <w:pPr>
              <w:snapToGrid w:val="0"/>
              <w:spacing w:line="240" w:lineRule="auto"/>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val="en-US" w:eastAsia="zh-CN"/>
              </w:rPr>
              <w:t>2.本项目涉及</w:t>
            </w:r>
            <w:r>
              <w:rPr>
                <w:rFonts w:hint="eastAsia" w:ascii="微软雅黑" w:hAnsi="微软雅黑" w:eastAsia="微软雅黑"/>
                <w:bCs/>
                <w:color w:val="auto"/>
                <w:szCs w:val="21"/>
                <w:highlight w:val="none"/>
                <w:lang w:val="en-US" w:eastAsia="zh-CN"/>
              </w:rPr>
              <w:t>地图数据服务，投标人须在中标后提供地图数据服务厂商的</w:t>
            </w:r>
            <w:r>
              <w:rPr>
                <w:rFonts w:hint="eastAsia" w:ascii="微软雅黑" w:hAnsi="微软雅黑" w:eastAsia="微软雅黑" w:cs="微软雅黑"/>
                <w:color w:val="auto"/>
                <w:szCs w:val="21"/>
                <w:highlight w:val="none"/>
              </w:rPr>
              <w:t>互联网地图服务</w:t>
            </w:r>
            <w:r>
              <w:rPr>
                <w:rFonts w:hint="eastAsia" w:ascii="微软雅黑" w:hAnsi="微软雅黑" w:eastAsia="微软雅黑" w:cs="微软雅黑"/>
                <w:color w:val="auto"/>
                <w:szCs w:val="21"/>
                <w:highlight w:val="none"/>
                <w:lang w:val="en-US" w:eastAsia="zh-CN"/>
              </w:rPr>
              <w:t>乙级及以上</w:t>
            </w:r>
            <w:r>
              <w:rPr>
                <w:rFonts w:hint="eastAsia" w:ascii="微软雅黑" w:hAnsi="微软雅黑" w:eastAsia="微软雅黑" w:cs="微软雅黑"/>
                <w:color w:val="auto"/>
                <w:szCs w:val="21"/>
                <w:highlight w:val="none"/>
              </w:rPr>
              <w:t>测绘资质证书</w:t>
            </w:r>
            <w:r>
              <w:rPr>
                <w:rFonts w:hint="eastAsia" w:ascii="微软雅黑" w:hAnsi="微软雅黑" w:eastAsia="微软雅黑" w:cs="微软雅黑"/>
                <w:color w:val="auto"/>
                <w:szCs w:val="21"/>
                <w:highlight w:val="none"/>
                <w:lang w:val="en-US" w:eastAsia="zh-CN"/>
              </w:rPr>
              <w:t>复印件</w:t>
            </w:r>
            <w:r>
              <w:rPr>
                <w:rFonts w:hint="eastAsia" w:ascii="微软雅黑" w:hAnsi="微软雅黑" w:eastAsia="微软雅黑" w:cs="微软雅黑"/>
                <w:color w:val="auto"/>
                <w:szCs w:val="21"/>
                <w:highlight w:val="none"/>
                <w:lang w:eastAsia="zh-CN"/>
              </w:rPr>
              <w:t>。</w:t>
            </w:r>
          </w:p>
          <w:p w14:paraId="3801B09C">
            <w:pPr>
              <w:numPr>
                <w:ins w:id="1" w:author="12640" w:date=""/>
              </w:numPr>
              <w:snapToGrid w:val="0"/>
              <w:spacing w:line="240" w:lineRule="auto"/>
              <w:jc w:val="left"/>
              <w:rPr>
                <w:rFonts w:hint="eastAsia"/>
                <w:color w:val="auto"/>
                <w:highlight w:val="none"/>
                <w:lang w:eastAsia="zh-CN"/>
              </w:rPr>
            </w:pPr>
          </w:p>
        </w:tc>
      </w:tr>
    </w:tbl>
    <w:p w14:paraId="27D0DEA3">
      <w:pPr>
        <w:tabs>
          <w:tab w:val="left" w:pos="180"/>
          <w:tab w:val="left" w:pos="1620"/>
        </w:tabs>
        <w:spacing w:line="400" w:lineRule="exact"/>
        <w:ind w:firstLine="0" w:firstLineChars="0"/>
        <w:rPr>
          <w:rFonts w:hint="eastAsia" w:ascii="微软雅黑" w:hAnsi="微软雅黑" w:eastAsia="微软雅黑" w:cs="宋体"/>
          <w:b/>
          <w:bCs/>
          <w:color w:val="auto"/>
          <w:szCs w:val="21"/>
          <w:highlight w:val="none"/>
        </w:rPr>
      </w:pPr>
    </w:p>
    <w:p w14:paraId="554E5C71">
      <w:pPr>
        <w:tabs>
          <w:tab w:val="left" w:pos="180"/>
          <w:tab w:val="left" w:pos="1620"/>
        </w:tabs>
        <w:spacing w:line="400" w:lineRule="exact"/>
        <w:ind w:firstLine="420" w:firstLineChars="200"/>
        <w:rPr>
          <w:rFonts w:hint="eastAsia" w:ascii="微软雅黑" w:hAnsi="微软雅黑" w:eastAsia="微软雅黑" w:cs="宋体"/>
          <w:b/>
          <w:bCs/>
          <w:color w:val="auto"/>
          <w:szCs w:val="21"/>
          <w:highlight w:val="none"/>
        </w:rPr>
      </w:pPr>
    </w:p>
    <w:p w14:paraId="09F908B8">
      <w:pPr>
        <w:widowControl/>
        <w:spacing w:line="400" w:lineRule="exact"/>
        <w:jc w:val="left"/>
        <w:rPr>
          <w:rFonts w:ascii="微软雅黑" w:hAnsi="微软雅黑" w:eastAsia="微软雅黑" w:cs="黑体"/>
          <w:color w:val="auto"/>
          <w:sz w:val="32"/>
          <w:szCs w:val="32"/>
          <w:highlight w:val="none"/>
        </w:rPr>
      </w:pPr>
      <w:r>
        <w:rPr>
          <w:rFonts w:hint="eastAsia" w:ascii="微软雅黑" w:hAnsi="微软雅黑" w:eastAsia="微软雅黑"/>
          <w:b/>
          <w:color w:val="auto"/>
          <w:szCs w:val="21"/>
          <w:highlight w:val="none"/>
        </w:rPr>
        <w:br w:type="page"/>
      </w:r>
      <w:bookmarkEnd w:id="56"/>
      <w:bookmarkEnd w:id="57"/>
      <w:r>
        <w:rPr>
          <w:rFonts w:hint="eastAsia" w:ascii="微软雅黑" w:hAnsi="微软雅黑" w:eastAsia="微软雅黑" w:cs="黑体"/>
          <w:color w:val="auto"/>
          <w:sz w:val="32"/>
          <w:szCs w:val="32"/>
          <w:highlight w:val="none"/>
        </w:rPr>
        <w:t>附件1：</w:t>
      </w:r>
    </w:p>
    <w:p w14:paraId="6A879982">
      <w:pPr>
        <w:pStyle w:val="17"/>
        <w:spacing w:line="400" w:lineRule="exact"/>
        <w:jc w:val="cente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t>中小企业划型标准规定</w:t>
      </w:r>
    </w:p>
    <w:p w14:paraId="2E6BA8FA">
      <w:pPr>
        <w:pStyle w:val="17"/>
        <w:spacing w:line="400" w:lineRule="exact"/>
        <w:jc w:val="center"/>
        <w:rPr>
          <w:rFonts w:ascii="微软雅黑" w:hAnsi="微软雅黑" w:eastAsia="微软雅黑"/>
          <w:color w:val="auto"/>
          <w:sz w:val="21"/>
          <w:szCs w:val="21"/>
          <w:highlight w:val="none"/>
        </w:rPr>
      </w:pPr>
      <w:r>
        <w:rPr>
          <w:rFonts w:hint="eastAsia" w:ascii="微软雅黑" w:hAnsi="微软雅黑" w:eastAsia="微软雅黑"/>
          <w:color w:val="auto"/>
          <w:szCs w:val="21"/>
          <w:highlight w:val="none"/>
        </w:rPr>
        <w:t>工信部联企业[2011]300号</w:t>
      </w:r>
    </w:p>
    <w:p w14:paraId="06A2C26B">
      <w:pPr>
        <w:pStyle w:val="17"/>
        <w:spacing w:line="400" w:lineRule="exact"/>
        <w:rPr>
          <w:rFonts w:hint="eastAsia" w:ascii="微软雅黑" w:hAnsi="微软雅黑" w:eastAsia="微软雅黑"/>
          <w:color w:val="auto"/>
          <w:sz w:val="21"/>
          <w:szCs w:val="21"/>
          <w:highlight w:val="none"/>
        </w:rPr>
      </w:pPr>
    </w:p>
    <w:p w14:paraId="7EFA13CA">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一、根据《中华人民共和国中小企业促进法》和《国务院关于进一步促进中小企业发展的若干意见》</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国发</w:t>
      </w:r>
      <w:r>
        <w:rPr>
          <w:rFonts w:ascii="微软雅黑" w:hAnsi="微软雅黑" w:eastAsia="微软雅黑"/>
          <w:color w:val="auto"/>
          <w:sz w:val="21"/>
          <w:szCs w:val="21"/>
          <w:highlight w:val="none"/>
        </w:rPr>
        <w:t>[2009]36</w:t>
      </w:r>
      <w:r>
        <w:rPr>
          <w:rFonts w:hint="eastAsia" w:ascii="微软雅黑" w:hAnsi="微软雅黑" w:eastAsia="微软雅黑"/>
          <w:color w:val="auto"/>
          <w:sz w:val="21"/>
          <w:szCs w:val="21"/>
          <w:highlight w:val="none"/>
        </w:rPr>
        <w:t>号</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，制定本规定。</w:t>
      </w:r>
    </w:p>
    <w:p w14:paraId="05CC6EEF">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二、中小企业划分为中型、小型、微型三种类型，具体标准根据企业从业人员、营业收入、资产总额等指标，结合行业特点制定。</w:t>
      </w:r>
    </w:p>
    <w:p w14:paraId="2489AE08">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4381178">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四、各行业划型标准为：</w:t>
      </w:r>
    </w:p>
    <w:p w14:paraId="044AEC7B">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（一）农、林、牧、渔业。营业收入</w:t>
      </w:r>
      <w:r>
        <w:rPr>
          <w:rFonts w:ascii="微软雅黑" w:hAnsi="微软雅黑" w:eastAsia="微软雅黑"/>
          <w:color w:val="auto"/>
          <w:sz w:val="21"/>
          <w:szCs w:val="21"/>
          <w:highlight w:val="none"/>
        </w:rPr>
        <w:t>20000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万元以下的为微型企业。</w:t>
      </w:r>
    </w:p>
    <w:p w14:paraId="07F04F46">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（二）工业。从业人员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40000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万元以下的为微型企业。</w:t>
      </w:r>
    </w:p>
    <w:p w14:paraId="746B3924">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（三）建筑业。营业收入</w:t>
      </w:r>
      <w:r>
        <w:rPr>
          <w:rFonts w:ascii="微软雅黑" w:hAnsi="微软雅黑" w:eastAsia="微软雅黑"/>
          <w:color w:val="auto"/>
          <w:sz w:val="21"/>
          <w:szCs w:val="21"/>
          <w:highlight w:val="none"/>
        </w:rPr>
        <w:t>80000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80000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6000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万元以下的为微型企业。</w:t>
      </w:r>
    </w:p>
    <w:p w14:paraId="2699942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（四）批发业。从业人员</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40000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万元以下的为微型企业。</w:t>
      </w:r>
    </w:p>
    <w:p w14:paraId="65449544">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（五）零售业。从业人员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20000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1CA0E00F">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（六）交通运输业。从业人员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3000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万元以下的为微型企业。</w:t>
      </w:r>
    </w:p>
    <w:p w14:paraId="6C39665B">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（七）仓储业。从业人员</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78E68681">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（八）邮政业。从业人员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037DC396">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（九）住宿业。从业人员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57E3687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（十）餐饮业。从业人员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45185892">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（十一）信息传输业。从业人员</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3647D8A0">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（十二）软件和信息技术服务业。从业人员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万元以下的为微型企业。</w:t>
      </w:r>
    </w:p>
    <w:p w14:paraId="1C87631D">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（十三）房地产开发经营。营业收入</w:t>
      </w:r>
      <w:r>
        <w:rPr>
          <w:rFonts w:ascii="微软雅黑" w:hAnsi="微软雅黑" w:eastAsia="微软雅黑"/>
          <w:color w:val="auto"/>
          <w:sz w:val="21"/>
          <w:szCs w:val="21"/>
          <w:highlight w:val="none"/>
        </w:rPr>
        <w:t>200000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万元以下的为微型企业。</w:t>
      </w:r>
    </w:p>
    <w:p w14:paraId="6721C538">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（十四）物业管理。从业人员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万元以下的为微型企业。</w:t>
      </w:r>
    </w:p>
    <w:p w14:paraId="4E0DB57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（十五）租赁和商务服务业。从业人员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人以下或资产总额</w:t>
      </w:r>
      <w:r>
        <w:rPr>
          <w:rFonts w:ascii="微软雅黑" w:hAnsi="微软雅黑" w:eastAsia="微软雅黑"/>
          <w:color w:val="auto"/>
          <w:sz w:val="21"/>
          <w:szCs w:val="21"/>
          <w:highlight w:val="none"/>
        </w:rPr>
        <w:t>120000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人及以上，且资产总额</w:t>
      </w:r>
      <w:r>
        <w:rPr>
          <w:rFonts w:ascii="微软雅黑" w:hAnsi="微软雅黑" w:eastAsia="微软雅黑"/>
          <w:color w:val="auto"/>
          <w:sz w:val="21"/>
          <w:szCs w:val="21"/>
          <w:highlight w:val="none"/>
        </w:rPr>
        <w:t>8000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人及以上，且资产总额</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人以下或资产总额</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415C27B0">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（十六）其他未列明行业。从业人员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人以下的为微型企业。</w:t>
      </w:r>
    </w:p>
    <w:p w14:paraId="134F6689">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五、企业类型的划分以统计部门的统计数据为依据。</w:t>
      </w:r>
    </w:p>
    <w:p w14:paraId="6D92E560">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六、本规定适用于在中华人民共和国境内依法设立的各类所有制和各种组织形式的企业。个体工商户和本规定以外的行业，参照本规定进行划型。</w:t>
      </w:r>
    </w:p>
    <w:p w14:paraId="0C4D7F24">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BEC7A31">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八、本规定由工业和信息化部、国家统计局会同有关部门根据《国民经济行业分类》修订情况和企业发展变化情况适时修订。</w:t>
      </w:r>
    </w:p>
    <w:p w14:paraId="6360D07C">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九、本规定由工业和信息化部、国家统计局会同有关部门负责解释。</w:t>
      </w:r>
    </w:p>
    <w:p w14:paraId="1AED6B44">
      <w:pPr>
        <w:pStyle w:val="17"/>
        <w:spacing w:line="440" w:lineRule="exact"/>
        <w:ind w:firstLine="42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十、本规定自发布之日起执行，原国家经贸委、原国家计委、财政部和国家统计局</w:t>
      </w:r>
      <w:r>
        <w:rPr>
          <w:rFonts w:ascii="微软雅黑" w:hAnsi="微软雅黑" w:eastAsia="微软雅黑"/>
          <w:color w:val="auto"/>
          <w:sz w:val="21"/>
          <w:szCs w:val="21"/>
          <w:highlight w:val="none"/>
        </w:rPr>
        <w:t>2003</w:t>
      </w:r>
      <w:r>
        <w:rPr>
          <w:rFonts w:hint="eastAsia" w:ascii="微软雅黑" w:hAnsi="微软雅黑" w:eastAsia="微软雅黑"/>
          <w:color w:val="auto"/>
          <w:sz w:val="21"/>
          <w:szCs w:val="21"/>
          <w:highlight w:val="none"/>
        </w:rPr>
        <w:t>年颁布的《中小企业标准暂行规定》同时废止。</w:t>
      </w:r>
    </w:p>
    <w:p w14:paraId="61298FE6">
      <w:pPr>
        <w:spacing w:line="400" w:lineRule="exact"/>
        <w:rPr>
          <w:rFonts w:hint="eastAsia" w:ascii="微软雅黑" w:hAnsi="微软雅黑" w:eastAsia="微软雅黑" w:cs="宋体"/>
          <w:color w:val="auto"/>
          <w:szCs w:val="21"/>
          <w:highlight w:val="none"/>
        </w:rPr>
      </w:pPr>
    </w:p>
    <w:p w14:paraId="767CC5FA">
      <w:pPr>
        <w:spacing w:before="3"/>
        <w:rPr>
          <w:rFonts w:hint="eastAsia" w:ascii="微软雅黑" w:hAnsi="微软雅黑" w:eastAsia="微软雅黑" w:cs="宋体"/>
          <w:color w:val="auto"/>
          <w:sz w:val="15"/>
          <w:szCs w:val="15"/>
          <w:highlight w:val="none"/>
        </w:rPr>
      </w:pPr>
    </w:p>
    <w:p w14:paraId="5C339F7F">
      <w:pPr>
        <w:widowControl/>
        <w:rPr>
          <w:rFonts w:ascii="微软雅黑" w:hAnsi="微软雅黑" w:eastAsia="微软雅黑" w:cs="宋体"/>
          <w:color w:val="auto"/>
          <w:sz w:val="20"/>
          <w:szCs w:val="20"/>
          <w:highlight w:val="none"/>
        </w:rPr>
        <w:sectPr>
          <w:footerReference r:id="rId8" w:type="first"/>
          <w:footerReference r:id="rId7" w:type="default"/>
          <w:pgSz w:w="11910" w:h="16840"/>
          <w:pgMar w:top="1520" w:right="1500" w:bottom="280" w:left="1680" w:header="720" w:footer="720" w:gutter="0"/>
          <w:pgBorders w:offsetFrom="page">
            <w:top w:val="none" w:sz="0" w:space="0"/>
            <w:left w:val="none" w:sz="0" w:space="0"/>
            <w:bottom w:val="none" w:sz="0" w:space="0"/>
            <w:right w:val="none" w:sz="0" w:space="0"/>
          </w:pgBorders>
          <w:pgNumType w:fmt="decimal" w:start="1"/>
          <w:cols w:space="720" w:num="1"/>
          <w:titlePg/>
          <w:docGrid w:linePitch="286" w:charSpace="0"/>
        </w:sectPr>
      </w:pPr>
    </w:p>
    <w:p w14:paraId="18826164">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微软雅黑" w:hAnsi="微软雅黑" w:eastAsia="微软雅黑"/>
          <w:color w:val="auto"/>
          <w:highlight w:val="none"/>
        </w:rPr>
      </w:pPr>
      <w:bookmarkStart w:id="217" w:name="_Toc25688"/>
      <w:r>
        <w:rPr>
          <w:rFonts w:hint="eastAsia" w:ascii="微软雅黑" w:hAnsi="微软雅黑" w:eastAsia="微软雅黑"/>
          <w:color w:val="auto"/>
          <w:highlight w:val="none"/>
        </w:rPr>
        <w:t>第三章  投标人须知</w:t>
      </w:r>
      <w:bookmarkEnd w:id="217"/>
    </w:p>
    <w:p w14:paraId="301FE5CE">
      <w:pPr>
        <w:jc w:val="center"/>
        <w:outlineLvl w:val="1"/>
        <w:rPr>
          <w:rFonts w:hint="eastAsia" w:ascii="微软雅黑" w:hAnsi="微软雅黑" w:eastAsia="微软雅黑"/>
          <w:color w:val="auto"/>
          <w:sz w:val="36"/>
          <w:szCs w:val="36"/>
          <w:highlight w:val="none"/>
        </w:rPr>
      </w:pPr>
      <w:bookmarkStart w:id="218" w:name="_Toc254970526"/>
      <w:bookmarkStart w:id="219" w:name="_Toc254970667"/>
      <w:r>
        <w:rPr>
          <w:rFonts w:hint="eastAsia" w:ascii="微软雅黑" w:hAnsi="微软雅黑" w:eastAsia="微软雅黑"/>
          <w:color w:val="auto"/>
          <w:sz w:val="36"/>
          <w:szCs w:val="36"/>
          <w:highlight w:val="none"/>
        </w:rPr>
        <w:t>投标人须知前附表</w:t>
      </w:r>
    </w:p>
    <w:tbl>
      <w:tblPr>
        <w:tblStyle w:val="46"/>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02E32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A0E833A">
            <w:pPr>
              <w:snapToGrid w:val="0"/>
              <w:spacing w:line="240" w:lineRule="auto"/>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条款号</w:t>
            </w:r>
          </w:p>
        </w:tc>
        <w:tc>
          <w:tcPr>
            <w:tcW w:w="8175" w:type="dxa"/>
            <w:tcBorders>
              <w:top w:val="single" w:color="auto" w:sz="4" w:space="0"/>
              <w:left w:val="single" w:color="auto" w:sz="4" w:space="0"/>
              <w:bottom w:val="single" w:color="auto" w:sz="4" w:space="0"/>
              <w:right w:val="single" w:color="auto" w:sz="4" w:space="0"/>
            </w:tcBorders>
            <w:vAlign w:val="center"/>
          </w:tcPr>
          <w:p w14:paraId="3A543F44">
            <w:pPr>
              <w:snapToGrid w:val="0"/>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编列内容</w:t>
            </w:r>
          </w:p>
        </w:tc>
      </w:tr>
      <w:tr w14:paraId="4EBE21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CB84201">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p>
        </w:tc>
        <w:tc>
          <w:tcPr>
            <w:tcW w:w="8175" w:type="dxa"/>
            <w:tcBorders>
              <w:top w:val="single" w:color="auto" w:sz="4" w:space="0"/>
              <w:left w:val="single" w:color="auto" w:sz="4" w:space="0"/>
              <w:bottom w:val="single" w:color="auto" w:sz="4" w:space="0"/>
              <w:right w:val="single" w:color="auto" w:sz="4" w:space="0"/>
            </w:tcBorders>
            <w:vAlign w:val="center"/>
          </w:tcPr>
          <w:p w14:paraId="2A65ABEA">
            <w:pPr>
              <w:snapToGrid w:val="0"/>
              <w:spacing w:line="240" w:lineRule="auto"/>
              <w:jc w:val="lef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投标人的资格要求详见招标公告。</w:t>
            </w:r>
          </w:p>
          <w:p w14:paraId="6AADFE8C">
            <w:pPr>
              <w:snapToGrid w:val="0"/>
              <w:spacing w:line="240" w:lineRule="auto"/>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投标人出现下列情形之一的，不得参加政府采购活动：</w:t>
            </w:r>
          </w:p>
          <w:p w14:paraId="75915EC4">
            <w:pPr>
              <w:snapToGrid w:val="0"/>
              <w:spacing w:line="240" w:lineRule="auto"/>
              <w:jc w:val="left"/>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2.1</w:t>
            </w:r>
            <w:r>
              <w:rPr>
                <w:rFonts w:hint="eastAsia" w:ascii="微软雅黑" w:hAnsi="微软雅黑" w:eastAsia="微软雅黑"/>
                <w:color w:val="auto"/>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F233AE8">
            <w:pPr>
              <w:snapToGrid w:val="0"/>
              <w:spacing w:line="240" w:lineRule="auto"/>
              <w:jc w:val="left"/>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2.2</w:t>
            </w:r>
            <w:r>
              <w:rPr>
                <w:rFonts w:hint="eastAsia" w:ascii="微软雅黑" w:hAnsi="微软雅黑" w:eastAsia="微软雅黑"/>
                <w:color w:val="auto"/>
                <w:sz w:val="21"/>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E5A6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9B7015E">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6.1</w:t>
            </w:r>
          </w:p>
        </w:tc>
        <w:tc>
          <w:tcPr>
            <w:tcW w:w="8175" w:type="dxa"/>
            <w:tcBorders>
              <w:top w:val="single" w:color="auto" w:sz="4" w:space="0"/>
              <w:left w:val="single" w:color="auto" w:sz="4" w:space="0"/>
              <w:bottom w:val="single" w:color="auto" w:sz="4" w:space="0"/>
              <w:right w:val="single" w:color="auto" w:sz="4" w:space="0"/>
            </w:tcBorders>
            <w:vAlign w:val="center"/>
          </w:tcPr>
          <w:p w14:paraId="5811B8B4">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本项目是否接受联合体投标：详见招标公告。</w:t>
            </w:r>
          </w:p>
        </w:tc>
      </w:tr>
      <w:tr w14:paraId="049D27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7F31527">
            <w:pPr>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6.2</w:t>
            </w:r>
          </w:p>
        </w:tc>
        <w:tc>
          <w:tcPr>
            <w:tcW w:w="8175" w:type="dxa"/>
            <w:tcBorders>
              <w:top w:val="single" w:color="auto" w:sz="4" w:space="0"/>
              <w:left w:val="single" w:color="auto" w:sz="4" w:space="0"/>
              <w:bottom w:val="single" w:color="auto" w:sz="4" w:space="0"/>
              <w:right w:val="single" w:color="auto" w:sz="4" w:space="0"/>
            </w:tcBorders>
            <w:vAlign w:val="center"/>
          </w:tcPr>
          <w:p w14:paraId="311B449D">
            <w:pPr>
              <w:pStyle w:val="15"/>
              <w:spacing w:line="240" w:lineRule="auto"/>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如接受联合体投标，联合体投标要求如下：</w:t>
            </w:r>
          </w:p>
          <w:p w14:paraId="0746ADD9">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两个以上投标人可以组成一个投标联合体，以一个投标人的身份共同参加投标。联合体投标的，须提供《联合体投标协议书》（格式后附）。</w:t>
            </w:r>
          </w:p>
          <w:p w14:paraId="5FE8057A">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7856B4FE">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联合体各方之间必须签订联合投标协议，协议书必须明确主体方（或者牵头方）并明确约定联合体各方承担的工作和相应的责任（</w:t>
            </w:r>
            <w:r>
              <w:rPr>
                <w:rFonts w:hint="eastAsia" w:ascii="微软雅黑" w:hAnsi="微软雅黑" w:eastAsia="微软雅黑"/>
                <w:b/>
                <w:color w:val="auto"/>
                <w:sz w:val="21"/>
                <w:szCs w:val="21"/>
                <w:highlight w:val="none"/>
              </w:rPr>
              <w:t>各方承担责任与义务的分工必须符合采购需求，否则，联合体投标无效</w:t>
            </w:r>
            <w:r>
              <w:rPr>
                <w:rFonts w:hint="eastAsia" w:ascii="微软雅黑" w:hAnsi="微软雅黑" w:eastAsia="微软雅黑"/>
                <w:color w:val="auto"/>
                <w:sz w:val="21"/>
                <w:szCs w:val="21"/>
                <w:highlight w:val="none"/>
              </w:rPr>
              <w:t>），并将联合投标协议放入投标文件。联合体各方必须共同与采购人签订采购合同，就采购合同约定的事项对采购人承担连带责任。</w:t>
            </w:r>
          </w:p>
          <w:p w14:paraId="472852A1">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4</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以联合体形式参加政府采购活动的，联合体各方不得再单独参加或者与其他投标人另外组成联合体参加同一合同项下的政府采购活动。</w:t>
            </w:r>
          </w:p>
          <w:p w14:paraId="08E5F19D">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联合体中有同类资质的投标人按照联合体分工承担相同工作的，应当按照资质等级较低的投标人确定资质等级。</w:t>
            </w:r>
          </w:p>
          <w:p w14:paraId="59D9E343">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6</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联合体投标业绩、履约能力按照联合体各方其中较高的一方认定并计算（招标文件另有规定的除外）。</w:t>
            </w:r>
          </w:p>
          <w:p w14:paraId="27AAF79D">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7</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投标人为联合体的，可以由联合体中的一方或者多方共同交纳投标保证金，其交纳的保证金对联合体各方均具有约束力。</w:t>
            </w:r>
          </w:p>
          <w:p w14:paraId="3D1E8295">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8</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联合体各方均应按照招标文件的规定提交资格证明文件。</w:t>
            </w:r>
          </w:p>
        </w:tc>
      </w:tr>
      <w:tr w14:paraId="5DA083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59C824B">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7.2</w:t>
            </w:r>
          </w:p>
        </w:tc>
        <w:tc>
          <w:tcPr>
            <w:tcW w:w="8175" w:type="dxa"/>
            <w:tcBorders>
              <w:top w:val="single" w:color="auto" w:sz="4" w:space="0"/>
              <w:left w:val="single" w:color="auto" w:sz="4" w:space="0"/>
              <w:bottom w:val="single" w:color="auto" w:sz="4" w:space="0"/>
              <w:right w:val="single" w:color="auto" w:sz="4" w:space="0"/>
            </w:tcBorders>
            <w:vAlign w:val="center"/>
          </w:tcPr>
          <w:p w14:paraId="6186D11C">
            <w:pPr>
              <w:pStyle w:val="15"/>
              <w:spacing w:line="240" w:lineRule="auto"/>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不允许分包</w:t>
            </w:r>
          </w:p>
          <w:p w14:paraId="79AB0ADB">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□允许分包</w:t>
            </w:r>
          </w:p>
          <w:p w14:paraId="29E22970">
            <w:pPr>
              <w:pStyle w:val="15"/>
              <w:spacing w:line="240" w:lineRule="auto"/>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分包内容：</w:t>
            </w:r>
            <w:r>
              <w:rPr>
                <w:rFonts w:hint="eastAsia" w:ascii="微软雅黑" w:hAnsi="微软雅黑" w:eastAsia="微软雅黑"/>
                <w:color w:val="auto"/>
                <w:sz w:val="21"/>
                <w:szCs w:val="21"/>
                <w:highlight w:val="none"/>
                <w:u w:val="single"/>
              </w:rPr>
              <w:t xml:space="preserve">                           </w:t>
            </w:r>
            <w:r>
              <w:rPr>
                <w:rFonts w:hint="eastAsia" w:ascii="微软雅黑" w:hAnsi="微软雅黑" w:eastAsia="微软雅黑"/>
                <w:color w:val="auto"/>
                <w:sz w:val="21"/>
                <w:szCs w:val="21"/>
                <w:highlight w:val="none"/>
                <w:u w:val="single"/>
                <w:lang w:val="en-US" w:eastAsia="zh-CN"/>
              </w:rPr>
              <w:t xml:space="preserve">        </w:t>
            </w:r>
            <w:r>
              <w:rPr>
                <w:rFonts w:hint="eastAsia" w:ascii="微软雅黑" w:hAnsi="微软雅黑" w:eastAsia="微软雅黑"/>
                <w:color w:val="auto"/>
                <w:sz w:val="21"/>
                <w:szCs w:val="21"/>
                <w:highlight w:val="none"/>
                <w:u w:val="single"/>
              </w:rPr>
              <w:t xml:space="preserve">          。</w:t>
            </w:r>
          </w:p>
          <w:p w14:paraId="36B16995">
            <w:pPr>
              <w:pStyle w:val="15"/>
              <w:spacing w:line="240" w:lineRule="auto"/>
              <w:jc w:val="both"/>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分包金额或者比例：</w:t>
            </w:r>
            <w:r>
              <w:rPr>
                <w:rFonts w:hint="eastAsia" w:ascii="微软雅黑" w:hAnsi="微软雅黑" w:eastAsia="微软雅黑"/>
                <w:color w:val="auto"/>
                <w:sz w:val="21"/>
                <w:szCs w:val="21"/>
                <w:highlight w:val="none"/>
                <w:u w:val="single"/>
              </w:rPr>
              <w:t xml:space="preserve">                                     。</w:t>
            </w:r>
          </w:p>
        </w:tc>
      </w:tr>
      <w:tr w14:paraId="022AB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978" w:type="dxa"/>
            <w:vMerge w:val="restart"/>
            <w:tcBorders>
              <w:top w:val="single" w:color="auto" w:sz="4" w:space="0"/>
              <w:left w:val="single" w:color="auto" w:sz="4" w:space="0"/>
              <w:right w:val="single" w:color="auto" w:sz="4" w:space="0"/>
            </w:tcBorders>
            <w:vAlign w:val="center"/>
          </w:tcPr>
          <w:p w14:paraId="09FB3DA9">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1.2</w:t>
            </w:r>
          </w:p>
        </w:tc>
        <w:tc>
          <w:tcPr>
            <w:tcW w:w="8175" w:type="dxa"/>
            <w:tcBorders>
              <w:top w:val="single" w:color="auto" w:sz="4" w:space="0"/>
              <w:left w:val="single" w:color="auto" w:sz="4" w:space="0"/>
              <w:bottom w:val="single" w:color="auto" w:sz="4" w:space="0"/>
              <w:right w:val="single" w:color="auto" w:sz="4" w:space="0"/>
            </w:tcBorders>
            <w:vAlign w:val="center"/>
          </w:tcPr>
          <w:p w14:paraId="7231274D">
            <w:pPr>
              <w:widowControl/>
              <w:snapToGrid/>
              <w:spacing w:line="240" w:lineRule="auto"/>
              <w:ind w:firstLine="0" w:firstLineChars="0"/>
              <w:jc w:val="left"/>
              <w:rPr>
                <w:rFonts w:ascii="微软雅黑" w:hAnsi="微软雅黑" w:eastAsia="微软雅黑"/>
                <w:color w:val="auto"/>
                <w:sz w:val="21"/>
                <w:szCs w:val="21"/>
                <w:highlight w:val="none"/>
              </w:rPr>
            </w:pPr>
            <w:r>
              <w:rPr>
                <w:rFonts w:hint="eastAsia" w:ascii="Segoe UI Emoji" w:hAnsi="Segoe UI Emoji" w:cs="Segoe UI Emoji"/>
                <w:b w:val="0"/>
                <w:bCs w:val="0"/>
                <w:color w:val="auto"/>
                <w:sz w:val="21"/>
                <w:szCs w:val="21"/>
                <w:highlight w:val="none"/>
                <w:lang w:eastAsia="zh-CN"/>
              </w:rPr>
              <w:t>□</w:t>
            </w:r>
            <w:r>
              <w:rPr>
                <w:rFonts w:hint="eastAsia" w:ascii="微软雅黑" w:hAnsi="微软雅黑" w:eastAsia="微软雅黑"/>
                <w:color w:val="auto"/>
                <w:sz w:val="21"/>
                <w:szCs w:val="21"/>
                <w:highlight w:val="none"/>
              </w:rPr>
              <w:t>不组织现场考察</w:t>
            </w:r>
          </w:p>
          <w:p w14:paraId="1339C6E6">
            <w:pPr>
              <w:widowControl/>
              <w:spacing w:line="240" w:lineRule="auto"/>
              <w:ind w:firstLine="0" w:firstLineChars="0"/>
              <w:jc w:val="left"/>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组织现场考察：</w:t>
            </w:r>
          </w:p>
          <w:p w14:paraId="12E8E2A4">
            <w:pPr>
              <w:widowControl/>
              <w:spacing w:line="240" w:lineRule="auto"/>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因本项目涉及招标单位内部信息，采购人统一提供一次现场进行考察，帮助投标人了解项目情况及具体要求；</w:t>
            </w:r>
          </w:p>
          <w:p w14:paraId="47FFCE40">
            <w:pPr>
              <w:widowControl/>
              <w:spacing w:line="240" w:lineRule="auto"/>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考察交通工具、费用由各投标人自行承担；</w:t>
            </w:r>
          </w:p>
          <w:p w14:paraId="27BBE563">
            <w:pPr>
              <w:widowControl/>
              <w:spacing w:line="240" w:lineRule="auto"/>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投标人授权代表人持针对本项目出具的法定代表人授权委托书或单位介绍信原件、本人身份证原件前往；（需提前一日预约办理手续）</w:t>
            </w:r>
          </w:p>
          <w:p w14:paraId="46324E0B">
            <w:pPr>
              <w:widowControl/>
              <w:spacing w:line="240" w:lineRule="auto"/>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考察时间：2024年</w:t>
            </w:r>
            <w:r>
              <w:rPr>
                <w:rFonts w:hint="eastAsia" w:ascii="微软雅黑" w:hAnsi="微软雅黑" w:eastAsia="微软雅黑" w:cs="微软雅黑"/>
                <w:color w:val="auto"/>
                <w:szCs w:val="21"/>
                <w:highlight w:val="none"/>
                <w:lang w:val="en-US" w:eastAsia="zh-CN"/>
              </w:rPr>
              <w:t>10</w:t>
            </w:r>
            <w:r>
              <w:rPr>
                <w:rFonts w:hint="eastAsia" w:ascii="微软雅黑" w:hAnsi="微软雅黑" w:eastAsia="微软雅黑" w:cs="微软雅黑"/>
                <w:color w:val="auto"/>
                <w:szCs w:val="21"/>
                <w:highlight w:val="none"/>
              </w:rPr>
              <w:t>月</w:t>
            </w:r>
            <w:r>
              <w:rPr>
                <w:rFonts w:hint="eastAsia" w:ascii="微软雅黑" w:hAnsi="微软雅黑" w:eastAsia="微软雅黑" w:cs="微软雅黑"/>
                <w:color w:val="auto"/>
                <w:szCs w:val="21"/>
                <w:highlight w:val="none"/>
                <w:lang w:val="en-US" w:eastAsia="zh-CN"/>
              </w:rPr>
              <w:t>23</w:t>
            </w:r>
            <w:r>
              <w:rPr>
                <w:rFonts w:hint="eastAsia" w:ascii="微软雅黑" w:hAnsi="微软雅黑" w:eastAsia="微软雅黑" w:cs="微软雅黑"/>
                <w:color w:val="auto"/>
                <w:szCs w:val="21"/>
                <w:highlight w:val="none"/>
              </w:rPr>
              <w:t>日</w:t>
            </w:r>
            <w:r>
              <w:rPr>
                <w:rFonts w:hint="eastAsia" w:ascii="微软雅黑" w:hAnsi="微软雅黑" w:eastAsia="微软雅黑" w:cs="微软雅黑"/>
                <w:color w:val="auto"/>
                <w:szCs w:val="21"/>
                <w:highlight w:val="none"/>
                <w:lang w:val="en-US" w:eastAsia="zh-CN"/>
              </w:rPr>
              <w:t>9:00-12:00</w:t>
            </w:r>
            <w:r>
              <w:rPr>
                <w:rFonts w:hint="eastAsia" w:ascii="微软雅黑" w:hAnsi="微软雅黑" w:eastAsia="微软雅黑" w:cs="微软雅黑"/>
                <w:color w:val="auto"/>
                <w:szCs w:val="21"/>
                <w:highlight w:val="none"/>
                <w:lang w:eastAsia="zh-CN"/>
              </w:rPr>
              <w:t>。</w:t>
            </w:r>
          </w:p>
          <w:p w14:paraId="5CB9B570">
            <w:pPr>
              <w:widowControl/>
              <w:spacing w:line="240" w:lineRule="auto"/>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5</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集中地点：南宁市佛子岭路1号广西公安厅，东葛路侧门访客登记处。</w:t>
            </w:r>
          </w:p>
          <w:p w14:paraId="1D95FA0E">
            <w:pPr>
              <w:widowControl/>
              <w:snapToGrid/>
              <w:spacing w:line="240" w:lineRule="auto"/>
              <w:ind w:firstLine="420" w:firstLineChars="200"/>
              <w:jc w:val="left"/>
              <w:rPr>
                <w:rFonts w:hint="eastAsia" w:ascii="微软雅黑" w:hAnsi="微软雅黑" w:eastAsia="微软雅黑"/>
                <w:color w:val="auto"/>
                <w:sz w:val="21"/>
                <w:szCs w:val="21"/>
                <w:highlight w:val="none"/>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联系人：</w:t>
            </w:r>
            <w:r>
              <w:rPr>
                <w:rFonts w:hint="eastAsia" w:ascii="微软雅黑" w:hAnsi="微软雅黑" w:eastAsia="微软雅黑" w:cs="微软雅黑"/>
                <w:color w:val="auto"/>
                <w:szCs w:val="21"/>
                <w:highlight w:val="none"/>
                <w:lang w:val="en-US" w:eastAsia="zh-CN"/>
              </w:rPr>
              <w:t>秦工</w:t>
            </w:r>
            <w:r>
              <w:rPr>
                <w:rFonts w:hint="eastAsia" w:ascii="微软雅黑" w:hAnsi="微软雅黑" w:eastAsia="微软雅黑" w:cs="微软雅黑"/>
                <w:color w:val="auto"/>
                <w:szCs w:val="21"/>
                <w:highlight w:val="none"/>
              </w:rPr>
              <w:t xml:space="preserve"> ，联系电话：0771-2892754</w:t>
            </w:r>
          </w:p>
        </w:tc>
      </w:tr>
      <w:tr w14:paraId="7C5B9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8" w:type="dxa"/>
            <w:vMerge w:val="continue"/>
            <w:tcBorders>
              <w:left w:val="single" w:color="auto" w:sz="4" w:space="0"/>
              <w:bottom w:val="single" w:color="auto" w:sz="4" w:space="0"/>
              <w:right w:val="single" w:color="auto" w:sz="4" w:space="0"/>
            </w:tcBorders>
            <w:vAlign w:val="center"/>
          </w:tcPr>
          <w:p w14:paraId="7F8827CD">
            <w:pPr>
              <w:spacing w:line="240" w:lineRule="auto"/>
              <w:jc w:val="center"/>
              <w:rPr>
                <w:rFonts w:hint="eastAsia" w:ascii="微软雅黑" w:hAnsi="微软雅黑" w:eastAsia="微软雅黑"/>
                <w:color w:val="auto"/>
                <w:sz w:val="21"/>
                <w:szCs w:val="21"/>
                <w:highlight w:val="none"/>
              </w:rPr>
            </w:pPr>
          </w:p>
        </w:tc>
        <w:tc>
          <w:tcPr>
            <w:tcW w:w="8175" w:type="dxa"/>
            <w:tcBorders>
              <w:top w:val="single" w:color="auto" w:sz="4" w:space="0"/>
              <w:left w:val="single" w:color="auto" w:sz="4" w:space="0"/>
              <w:bottom w:val="single" w:color="auto" w:sz="4" w:space="0"/>
              <w:right w:val="single" w:color="auto" w:sz="4" w:space="0"/>
            </w:tcBorders>
            <w:vAlign w:val="center"/>
          </w:tcPr>
          <w:p w14:paraId="4C9C0B64">
            <w:pPr>
              <w:snapToGrid w:val="0"/>
              <w:spacing w:line="240" w:lineRule="auto"/>
              <w:rPr>
                <w:rFonts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不组织召开开标前答疑会</w:t>
            </w:r>
          </w:p>
          <w:p w14:paraId="2DB110A5">
            <w:pPr>
              <w:snapToGrid w:val="0"/>
              <w:spacing w:line="240" w:lineRule="auto"/>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sym w:font="Wingdings 2" w:char="00A3"/>
            </w:r>
            <w:r>
              <w:rPr>
                <w:rFonts w:hint="eastAsia" w:ascii="微软雅黑" w:hAnsi="微软雅黑" w:eastAsia="微软雅黑"/>
                <w:color w:val="auto"/>
                <w:sz w:val="21"/>
                <w:szCs w:val="21"/>
                <w:highlight w:val="none"/>
              </w:rPr>
              <w:t>组织召开开标前答疑会</w:t>
            </w:r>
          </w:p>
          <w:p w14:paraId="4D1691C0">
            <w:pPr>
              <w:snapToGrid w:val="0"/>
              <w:spacing w:line="240" w:lineRule="auto"/>
              <w:rPr>
                <w:rFonts w:hint="eastAsia"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rPr>
              <w:t>会议开始时间：</w:t>
            </w:r>
            <w:r>
              <w:rPr>
                <w:rFonts w:ascii="微软雅黑" w:hAnsi="微软雅黑" w:eastAsia="微软雅黑"/>
                <w:color w:val="auto"/>
                <w:sz w:val="21"/>
                <w:szCs w:val="21"/>
                <w:highlight w:val="none"/>
                <w:u w:val="single"/>
              </w:rPr>
              <w:t xml:space="preserve"> </w:t>
            </w:r>
            <w:r>
              <w:rPr>
                <w:rFonts w:hint="eastAsia" w:ascii="微软雅黑" w:hAnsi="微软雅黑" w:eastAsia="微软雅黑"/>
                <w:color w:val="auto"/>
                <w:sz w:val="21"/>
                <w:szCs w:val="21"/>
                <w:highlight w:val="none"/>
                <w:u w:val="single"/>
                <w:lang w:val="en-US" w:eastAsia="zh-CN"/>
              </w:rPr>
              <w:t>/</w:t>
            </w:r>
          </w:p>
        </w:tc>
      </w:tr>
      <w:tr w14:paraId="7F134C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restart"/>
            <w:tcBorders>
              <w:top w:val="single" w:color="auto" w:sz="4" w:space="0"/>
              <w:left w:val="single" w:color="auto" w:sz="4" w:space="0"/>
              <w:right w:val="single" w:color="auto" w:sz="4" w:space="0"/>
            </w:tcBorders>
            <w:vAlign w:val="center"/>
          </w:tcPr>
          <w:p w14:paraId="0B328697">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13</w:t>
            </w:r>
          </w:p>
        </w:tc>
        <w:tc>
          <w:tcPr>
            <w:tcW w:w="8175" w:type="dxa"/>
            <w:tcBorders>
              <w:top w:val="single" w:color="auto" w:sz="4" w:space="0"/>
              <w:left w:val="single" w:color="auto" w:sz="4" w:space="0"/>
              <w:bottom w:val="single" w:color="auto" w:sz="4" w:space="0"/>
              <w:right w:val="single" w:color="auto" w:sz="4" w:space="0"/>
            </w:tcBorders>
            <w:vAlign w:val="center"/>
          </w:tcPr>
          <w:p w14:paraId="5150FD9B">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Courier New"/>
                <w:b/>
                <w:color w:val="auto"/>
                <w:sz w:val="21"/>
                <w:szCs w:val="21"/>
                <w:highlight w:val="none"/>
              </w:rPr>
              <w:t>报价文件：</w:t>
            </w:r>
          </w:p>
          <w:p w14:paraId="48951AFA">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1.投标函（格式后附）；</w:t>
            </w:r>
            <w:r>
              <w:rPr>
                <w:rFonts w:hint="eastAsia" w:ascii="微软雅黑" w:hAnsi="微软雅黑" w:eastAsia="微软雅黑"/>
                <w:b/>
                <w:color w:val="auto"/>
                <w:sz w:val="21"/>
                <w:szCs w:val="21"/>
                <w:highlight w:val="none"/>
              </w:rPr>
              <w:t>（必须提供，否则按无效投标处理）</w:t>
            </w:r>
          </w:p>
          <w:p w14:paraId="1827A9EC">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2.开标一览表（格式后附）； （</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2DE07975">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3.投标人针对报价需要说明的其他文件和说明（格式自拟）。</w:t>
            </w:r>
          </w:p>
          <w:p w14:paraId="71689E81">
            <w:pPr>
              <w:snapToGrid w:val="0"/>
              <w:spacing w:line="240" w:lineRule="auto"/>
              <w:ind w:left="0" w:leftChars="0" w:firstLine="15"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s="宋体"/>
                <w:b/>
                <w:color w:val="auto"/>
                <w:sz w:val="21"/>
                <w:szCs w:val="21"/>
                <w:highlight w:val="none"/>
              </w:rPr>
              <w:t>注：以上标明“必须提供”的</w:t>
            </w:r>
            <w:r>
              <w:rPr>
                <w:rFonts w:hint="eastAsia" w:ascii="微软雅黑" w:hAnsi="微软雅黑" w:eastAsia="微软雅黑" w:cs="宋体"/>
                <w:b/>
                <w:color w:val="auto"/>
                <w:sz w:val="21"/>
                <w:szCs w:val="21"/>
                <w:highlight w:val="none"/>
                <w:lang w:val="en-US" w:eastAsia="zh-CN"/>
              </w:rPr>
              <w:t>材料</w:t>
            </w:r>
            <w:r>
              <w:rPr>
                <w:rFonts w:hint="eastAsia" w:ascii="微软雅黑" w:hAnsi="微软雅黑" w:eastAsia="微软雅黑" w:cs="宋体"/>
                <w:b/>
                <w:color w:val="auto"/>
                <w:sz w:val="21"/>
                <w:szCs w:val="21"/>
                <w:highlight w:val="none"/>
              </w:rPr>
              <w:t>，</w:t>
            </w:r>
            <w:r>
              <w:rPr>
                <w:rFonts w:hint="eastAsia" w:ascii="微软雅黑" w:hAnsi="微软雅黑" w:eastAsia="微软雅黑"/>
                <w:b/>
                <w:bCs/>
                <w:color w:val="auto"/>
                <w:sz w:val="21"/>
                <w:szCs w:val="21"/>
                <w:highlight w:val="none"/>
              </w:rPr>
              <w:t>必须加盖投标人电子签章</w:t>
            </w:r>
            <w:r>
              <w:rPr>
                <w:rFonts w:hint="eastAsia" w:ascii="微软雅黑" w:hAnsi="微软雅黑" w:eastAsia="微软雅黑"/>
                <w:b/>
                <w:bCs/>
                <w:color w:val="auto"/>
                <w:sz w:val="21"/>
                <w:szCs w:val="21"/>
                <w:highlight w:val="none"/>
                <w:lang w:eastAsia="zh-CN"/>
              </w:rPr>
              <w:t>，</w:t>
            </w:r>
            <w:r>
              <w:rPr>
                <w:rFonts w:hint="eastAsia" w:ascii="微软雅黑" w:hAnsi="微软雅黑" w:eastAsia="微软雅黑"/>
                <w:b/>
                <w:bCs/>
                <w:color w:val="auto"/>
                <w:sz w:val="21"/>
                <w:szCs w:val="21"/>
                <w:highlight w:val="none"/>
              </w:rPr>
              <w:t>格式中有要求法定代表人或者委托代理人签字的，必须按要求签字并加盖投标人电子签章，否则按无效投标处理。</w:t>
            </w:r>
          </w:p>
        </w:tc>
      </w:tr>
      <w:tr w14:paraId="4B111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7313E1DB">
            <w:pPr>
              <w:spacing w:line="240" w:lineRule="auto"/>
              <w:rPr>
                <w:rFonts w:hint="eastAsia" w:ascii="微软雅黑" w:hAnsi="微软雅黑" w:eastAsia="微软雅黑"/>
                <w:color w:val="auto"/>
                <w:sz w:val="21"/>
                <w:szCs w:val="21"/>
                <w:highlight w:val="none"/>
              </w:rPr>
            </w:pPr>
          </w:p>
        </w:tc>
        <w:tc>
          <w:tcPr>
            <w:tcW w:w="8175" w:type="dxa"/>
            <w:tcBorders>
              <w:top w:val="single" w:color="auto" w:sz="4" w:space="0"/>
              <w:left w:val="single" w:color="auto" w:sz="4" w:space="0"/>
              <w:bottom w:val="single" w:color="auto" w:sz="4" w:space="0"/>
              <w:right w:val="single" w:color="auto" w:sz="4" w:space="0"/>
            </w:tcBorders>
            <w:vAlign w:val="center"/>
          </w:tcPr>
          <w:p w14:paraId="40F49D5E">
            <w:pPr>
              <w:snapToGrid w:val="0"/>
              <w:spacing w:line="240" w:lineRule="auto"/>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Courier New"/>
                <w:b/>
                <w:color w:val="auto"/>
                <w:sz w:val="21"/>
                <w:szCs w:val="21"/>
                <w:highlight w:val="none"/>
              </w:rPr>
              <w:t>资格证明文件</w:t>
            </w:r>
          </w:p>
          <w:p w14:paraId="34D772E7">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olor w:val="auto"/>
                <w:sz w:val="21"/>
                <w:szCs w:val="21"/>
                <w:highlight w:val="none"/>
              </w:rPr>
              <w:t>1.投标人为法人或者其他组织的，提供营业执照等证明文件</w:t>
            </w:r>
            <w:r>
              <w:rPr>
                <w:rFonts w:hint="eastAsia" w:ascii="微软雅黑" w:hAnsi="微软雅黑" w:eastAsia="微软雅黑" w:cs="宋体"/>
                <w:color w:val="auto"/>
                <w:sz w:val="21"/>
                <w:szCs w:val="21"/>
                <w:highlight w:val="none"/>
              </w:rPr>
              <w:t>（如营业执照或者事业单位法人证书或者</w:t>
            </w:r>
            <w:r>
              <w:rPr>
                <w:rStyle w:val="82"/>
                <w:rFonts w:ascii="微软雅黑" w:hAnsi="微软雅黑" w:eastAsia="微软雅黑"/>
                <w:color w:val="auto"/>
                <w:sz w:val="21"/>
                <w:szCs w:val="21"/>
                <w:highlight w:val="none"/>
              </w:rPr>
              <w:t>执业许可证</w:t>
            </w:r>
            <w:r>
              <w:rPr>
                <w:rFonts w:hint="eastAsia" w:ascii="微软雅黑" w:hAnsi="微软雅黑" w:eastAsia="微软雅黑" w:cs="宋体"/>
                <w:color w:val="auto"/>
                <w:sz w:val="21"/>
                <w:szCs w:val="21"/>
                <w:highlight w:val="none"/>
              </w:rPr>
              <w:t>或者登记证书等）</w:t>
            </w:r>
            <w:r>
              <w:rPr>
                <w:rFonts w:hint="eastAsia" w:ascii="微软雅黑" w:hAnsi="微软雅黑" w:eastAsia="微软雅黑"/>
                <w:color w:val="auto"/>
                <w:sz w:val="21"/>
                <w:szCs w:val="21"/>
                <w:highlight w:val="none"/>
              </w:rPr>
              <w:t>，投标人为自然人的，提供身份证</w:t>
            </w:r>
            <w:r>
              <w:rPr>
                <w:rFonts w:hint="eastAsia" w:ascii="微软雅黑" w:hAnsi="微软雅黑" w:eastAsia="微软雅黑" w:cs="宋体"/>
                <w:color w:val="auto"/>
                <w:sz w:val="21"/>
                <w:szCs w:val="21"/>
                <w:highlight w:val="none"/>
              </w:rPr>
              <w:t>复印件</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462C9BB7">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宋体"/>
                <w:color w:val="auto"/>
                <w:sz w:val="21"/>
                <w:szCs w:val="21"/>
                <w:highlight w:val="none"/>
              </w:rPr>
              <w:t>2.投标人依法缴纳税收的相关材料（</w:t>
            </w:r>
            <w:r>
              <w:rPr>
                <w:rFonts w:hint="eastAsia" w:ascii="微软雅黑" w:hAnsi="微软雅黑" w:eastAsia="微软雅黑" w:cs="宋体"/>
                <w:color w:val="auto"/>
                <w:sz w:val="21"/>
                <w:szCs w:val="21"/>
                <w:highlight w:val="none"/>
                <w:u w:val="single"/>
                <w:lang w:eastAsia="zh-CN"/>
              </w:rPr>
              <w:t>2024年</w:t>
            </w:r>
            <w:r>
              <w:rPr>
                <w:rFonts w:hint="eastAsia" w:ascii="微软雅黑" w:hAnsi="微软雅黑" w:eastAsia="微软雅黑" w:cs="宋体"/>
                <w:color w:val="auto"/>
                <w:sz w:val="21"/>
                <w:szCs w:val="21"/>
                <w:highlight w:val="none"/>
                <w:u w:val="single"/>
                <w:lang w:val="en-US" w:eastAsia="zh-CN"/>
              </w:rPr>
              <w:t>4</w:t>
            </w:r>
            <w:r>
              <w:rPr>
                <w:rFonts w:hint="eastAsia" w:ascii="微软雅黑" w:hAnsi="微软雅黑" w:eastAsia="微软雅黑" w:cs="宋体"/>
                <w:color w:val="auto"/>
                <w:sz w:val="21"/>
                <w:szCs w:val="21"/>
                <w:highlight w:val="none"/>
                <w:u w:val="single"/>
                <w:lang w:eastAsia="zh-CN"/>
              </w:rPr>
              <w:t>月至2024年</w:t>
            </w:r>
            <w:r>
              <w:rPr>
                <w:rFonts w:hint="eastAsia" w:ascii="微软雅黑" w:hAnsi="微软雅黑" w:eastAsia="微软雅黑" w:cs="宋体"/>
                <w:color w:val="auto"/>
                <w:sz w:val="21"/>
                <w:szCs w:val="21"/>
                <w:highlight w:val="none"/>
                <w:u w:val="single"/>
                <w:lang w:val="en-US" w:eastAsia="zh-CN"/>
              </w:rPr>
              <w:t>9</w:t>
            </w:r>
            <w:r>
              <w:rPr>
                <w:rFonts w:hint="eastAsia" w:ascii="微软雅黑" w:hAnsi="微软雅黑" w:eastAsia="微软雅黑" w:cs="宋体"/>
                <w:color w:val="auto"/>
                <w:sz w:val="21"/>
                <w:szCs w:val="21"/>
                <w:highlight w:val="none"/>
                <w:u w:val="single"/>
                <w:lang w:eastAsia="zh-CN"/>
              </w:rPr>
              <w:t>月</w:t>
            </w:r>
            <w:r>
              <w:rPr>
                <w:rFonts w:hint="eastAsia" w:ascii="微软雅黑" w:hAnsi="微软雅黑" w:eastAsia="微软雅黑" w:cs="宋体"/>
                <w:color w:val="auto"/>
                <w:sz w:val="21"/>
                <w:szCs w:val="21"/>
                <w:highlight w:val="none"/>
                <w:u w:val="single"/>
              </w:rPr>
              <w:t>内</w:t>
            </w:r>
            <w:r>
              <w:rPr>
                <w:rFonts w:hint="eastAsia" w:ascii="微软雅黑" w:hAnsi="微软雅黑" w:eastAsia="微软雅黑" w:cs="宋体"/>
                <w:color w:val="auto"/>
                <w:sz w:val="21"/>
                <w:szCs w:val="21"/>
                <w:highlight w:val="none"/>
              </w:rPr>
              <w:t>连续</w:t>
            </w:r>
            <w:r>
              <w:rPr>
                <w:rFonts w:hint="eastAsia" w:ascii="微软雅黑" w:hAnsi="微软雅黑" w:eastAsia="微软雅黑" w:cs="宋体"/>
                <w:color w:val="auto"/>
                <w:sz w:val="21"/>
                <w:szCs w:val="21"/>
                <w:highlight w:val="none"/>
                <w:u w:val="single"/>
              </w:rPr>
              <w:t>3</w:t>
            </w:r>
            <w:r>
              <w:rPr>
                <w:rFonts w:hint="eastAsia" w:ascii="微软雅黑" w:hAnsi="微软雅黑" w:eastAsia="微软雅黑" w:cs="宋体"/>
                <w:color w:val="auto"/>
                <w:sz w:val="21"/>
                <w:szCs w:val="21"/>
                <w:highlight w:val="none"/>
              </w:rPr>
              <w:t>个月的依法缴纳税收的</w:t>
            </w:r>
            <w:r>
              <w:rPr>
                <w:rFonts w:hint="eastAsia" w:ascii="微软雅黑" w:hAnsi="微软雅黑" w:eastAsia="微软雅黑"/>
                <w:color w:val="auto"/>
                <w:sz w:val="21"/>
                <w:szCs w:val="21"/>
                <w:highlight w:val="none"/>
              </w:rPr>
              <w:t>证明材料</w:t>
            </w:r>
            <w:r>
              <w:rPr>
                <w:rFonts w:hint="eastAsia" w:ascii="微软雅黑" w:hAnsi="微软雅黑" w:eastAsia="微软雅黑" w:cs="宋体"/>
                <w:color w:val="auto"/>
                <w:sz w:val="21"/>
                <w:szCs w:val="21"/>
                <w:highlight w:val="none"/>
              </w:rPr>
              <w:t>复印件；</w:t>
            </w:r>
            <w:r>
              <w:rPr>
                <w:rFonts w:hint="eastAsia" w:ascii="微软雅黑" w:hAnsi="微软雅黑" w:eastAsia="微软雅黑"/>
                <w:color w:val="auto"/>
                <w:sz w:val="21"/>
                <w:szCs w:val="21"/>
                <w:highlight w:val="none"/>
              </w:rPr>
              <w:t>依法免税的供应商，必须提供符合免税条件的证明材料。</w:t>
            </w:r>
            <w:r>
              <w:rPr>
                <w:rFonts w:hint="eastAsia" w:ascii="微软雅黑" w:hAnsi="微软雅黑" w:eastAsia="微软雅黑" w:cs="宋体"/>
                <w:color w:val="auto"/>
                <w:sz w:val="21"/>
                <w:szCs w:val="21"/>
                <w:highlight w:val="none"/>
              </w:rPr>
              <w:t>从</w:t>
            </w:r>
            <w:r>
              <w:rPr>
                <w:rFonts w:hint="eastAsia" w:ascii="微软雅黑" w:hAnsi="微软雅黑" w:eastAsia="微软雅黑"/>
                <w:color w:val="auto"/>
                <w:sz w:val="21"/>
                <w:szCs w:val="21"/>
                <w:highlight w:val="none"/>
              </w:rPr>
              <w:t>成立之日</w:t>
            </w:r>
            <w:r>
              <w:rPr>
                <w:rFonts w:hint="eastAsia" w:ascii="微软雅黑" w:hAnsi="微软雅黑" w:eastAsia="微软雅黑" w:cs="宋体"/>
                <w:color w:val="auto"/>
                <w:sz w:val="21"/>
                <w:szCs w:val="21"/>
                <w:highlight w:val="none"/>
              </w:rPr>
              <w:t>起到投标文件提交截止时间止不足要求月数的，只需提供从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的依法缴纳税收</w:t>
            </w:r>
            <w:r>
              <w:rPr>
                <w:rFonts w:hint="eastAsia" w:ascii="微软雅黑" w:hAnsi="微软雅黑" w:eastAsia="微软雅黑"/>
                <w:color w:val="auto"/>
                <w:sz w:val="21"/>
                <w:szCs w:val="21"/>
                <w:highlight w:val="none"/>
              </w:rPr>
              <w:t>相应证明文件</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2CB43484">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宋体"/>
                <w:color w:val="auto"/>
                <w:sz w:val="21"/>
                <w:szCs w:val="21"/>
                <w:highlight w:val="none"/>
              </w:rPr>
              <w:t>3.投标人依法缴纳社会保障资金的相关材料[</w:t>
            </w:r>
            <w:r>
              <w:rPr>
                <w:rFonts w:hint="eastAsia" w:ascii="微软雅黑" w:hAnsi="微软雅黑" w:eastAsia="微软雅黑" w:cs="宋体"/>
                <w:color w:val="auto"/>
                <w:sz w:val="21"/>
                <w:szCs w:val="21"/>
                <w:highlight w:val="none"/>
                <w:u w:val="single"/>
                <w:lang w:eastAsia="zh-CN"/>
              </w:rPr>
              <w:t>2024年</w:t>
            </w:r>
            <w:r>
              <w:rPr>
                <w:rFonts w:hint="eastAsia" w:ascii="微软雅黑" w:hAnsi="微软雅黑" w:eastAsia="微软雅黑" w:cs="宋体"/>
                <w:color w:val="auto"/>
                <w:sz w:val="21"/>
                <w:szCs w:val="21"/>
                <w:highlight w:val="none"/>
                <w:u w:val="single"/>
                <w:lang w:val="en-US" w:eastAsia="zh-CN"/>
              </w:rPr>
              <w:t>4</w:t>
            </w:r>
            <w:r>
              <w:rPr>
                <w:rFonts w:hint="eastAsia" w:ascii="微软雅黑" w:hAnsi="微软雅黑" w:eastAsia="微软雅黑" w:cs="宋体"/>
                <w:color w:val="auto"/>
                <w:sz w:val="21"/>
                <w:szCs w:val="21"/>
                <w:highlight w:val="none"/>
                <w:u w:val="single"/>
                <w:lang w:eastAsia="zh-CN"/>
              </w:rPr>
              <w:t>月至2024年</w:t>
            </w:r>
            <w:r>
              <w:rPr>
                <w:rFonts w:hint="eastAsia" w:ascii="微软雅黑" w:hAnsi="微软雅黑" w:eastAsia="微软雅黑" w:cs="宋体"/>
                <w:color w:val="auto"/>
                <w:sz w:val="21"/>
                <w:szCs w:val="21"/>
                <w:highlight w:val="none"/>
                <w:u w:val="single"/>
                <w:lang w:val="en-US" w:eastAsia="zh-CN"/>
              </w:rPr>
              <w:t>9</w:t>
            </w:r>
            <w:r>
              <w:rPr>
                <w:rFonts w:hint="eastAsia" w:ascii="微软雅黑" w:hAnsi="微软雅黑" w:eastAsia="微软雅黑" w:cs="宋体"/>
                <w:color w:val="auto"/>
                <w:sz w:val="21"/>
                <w:szCs w:val="21"/>
                <w:highlight w:val="none"/>
                <w:u w:val="single"/>
                <w:lang w:eastAsia="zh-CN"/>
              </w:rPr>
              <w:t>月</w:t>
            </w:r>
            <w:r>
              <w:rPr>
                <w:rFonts w:hint="eastAsia" w:ascii="微软雅黑" w:hAnsi="微软雅黑" w:eastAsia="微软雅黑" w:cs="宋体"/>
                <w:color w:val="auto"/>
                <w:sz w:val="21"/>
                <w:szCs w:val="21"/>
                <w:highlight w:val="none"/>
                <w:u w:val="single"/>
              </w:rPr>
              <w:t>内</w:t>
            </w:r>
            <w:r>
              <w:rPr>
                <w:rFonts w:hint="eastAsia" w:ascii="微软雅黑" w:hAnsi="微软雅黑" w:eastAsia="微软雅黑" w:cs="宋体"/>
                <w:color w:val="auto"/>
                <w:sz w:val="21"/>
                <w:szCs w:val="21"/>
                <w:highlight w:val="none"/>
              </w:rPr>
              <w:t>连续</w:t>
            </w:r>
            <w:r>
              <w:rPr>
                <w:rFonts w:hint="eastAsia" w:ascii="微软雅黑" w:hAnsi="微软雅黑" w:eastAsia="微软雅黑" w:cs="宋体"/>
                <w:color w:val="auto"/>
                <w:sz w:val="21"/>
                <w:szCs w:val="21"/>
                <w:highlight w:val="none"/>
                <w:u w:val="single"/>
              </w:rPr>
              <w:t>3</w:t>
            </w:r>
            <w:r>
              <w:rPr>
                <w:rFonts w:hint="eastAsia" w:ascii="微软雅黑" w:hAnsi="微软雅黑" w:eastAsia="微软雅黑" w:cs="宋体"/>
                <w:color w:val="auto"/>
                <w:sz w:val="21"/>
                <w:szCs w:val="21"/>
                <w:highlight w:val="none"/>
              </w:rPr>
              <w:t>个月的依法缴纳社会保障资金的缴费</w:t>
            </w:r>
            <w:r>
              <w:rPr>
                <w:rFonts w:hint="eastAsia" w:ascii="微软雅黑" w:hAnsi="微软雅黑" w:eastAsia="微软雅黑"/>
                <w:color w:val="auto"/>
                <w:sz w:val="21"/>
                <w:szCs w:val="21"/>
                <w:highlight w:val="none"/>
              </w:rPr>
              <w:t>证明材料</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如：</w:t>
            </w:r>
            <w:r>
              <w:rPr>
                <w:rFonts w:hint="eastAsia" w:ascii="微软雅黑" w:hAnsi="微软雅黑" w:eastAsia="微软雅黑" w:cs="宋体"/>
                <w:color w:val="auto"/>
                <w:sz w:val="21"/>
                <w:szCs w:val="21"/>
                <w:highlight w:val="none"/>
              </w:rPr>
              <w:t>专用收据、社会保险缴纳清单或者社保部门的证明）复印件；</w:t>
            </w:r>
            <w:r>
              <w:rPr>
                <w:rFonts w:hint="eastAsia" w:ascii="微软雅黑" w:hAnsi="微软雅黑" w:eastAsia="微软雅黑"/>
                <w:color w:val="auto"/>
                <w:sz w:val="21"/>
                <w:szCs w:val="21"/>
                <w:highlight w:val="none"/>
              </w:rPr>
              <w:t>依法不需要缴纳社会保障资金的供应商，必须提供相应文件证明不需要缴纳社会保障资金。</w:t>
            </w:r>
            <w:r>
              <w:rPr>
                <w:rFonts w:hint="eastAsia" w:ascii="微软雅黑" w:hAnsi="微软雅黑" w:eastAsia="微软雅黑" w:cs="宋体"/>
                <w:color w:val="auto"/>
                <w:sz w:val="21"/>
                <w:szCs w:val="21"/>
                <w:highlight w:val="none"/>
              </w:rPr>
              <w:t>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到投标文件提交截止时间止不足要求月数的只需提供从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的依法缴纳社会保障资金的</w:t>
            </w:r>
            <w:r>
              <w:rPr>
                <w:rFonts w:hint="eastAsia" w:ascii="微软雅黑" w:hAnsi="微软雅黑" w:eastAsia="微软雅黑"/>
                <w:color w:val="auto"/>
                <w:sz w:val="21"/>
                <w:szCs w:val="21"/>
                <w:highlight w:val="none"/>
              </w:rPr>
              <w:t>相应证明文件</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52FEF54B">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Times New Roman"/>
                <w:color w:val="auto"/>
                <w:sz w:val="21"/>
                <w:szCs w:val="21"/>
                <w:highlight w:val="none"/>
              </w:rPr>
              <w:t>4.投标人财务状况报告（2023年度的</w:t>
            </w:r>
            <w:r>
              <w:rPr>
                <w:rFonts w:hint="eastAsia" w:ascii="微软雅黑" w:hAnsi="微软雅黑" w:eastAsia="微软雅黑" w:cs="Times New Roman"/>
                <w:color w:val="auto"/>
                <w:sz w:val="21"/>
                <w:szCs w:val="21"/>
                <w:highlight w:val="none"/>
                <w:lang w:eastAsia="zh-CN"/>
              </w:rPr>
              <w:t>经第三方审计的</w:t>
            </w:r>
            <w:r>
              <w:rPr>
                <w:rFonts w:hint="eastAsia" w:ascii="微软雅黑" w:hAnsi="微软雅黑" w:eastAsia="微软雅黑" w:cs="Times New Roman"/>
                <w:color w:val="auto"/>
                <w:sz w:val="21"/>
                <w:szCs w:val="21"/>
                <w:highlight w:val="none"/>
              </w:rPr>
              <w:t>财务报表复印件，或者银行出具的资信证明，或者中国人民银行征信中心出具的信用报告（企业投标的提供企业信用报告，自然人投标的提供个人信用报告，</w:t>
            </w:r>
            <w:r>
              <w:rPr>
                <w:rFonts w:hint="eastAsia" w:ascii="微软雅黑" w:hAnsi="微软雅黑" w:eastAsia="微软雅黑"/>
                <w:color w:val="auto"/>
                <w:sz w:val="21"/>
                <w:szCs w:val="21"/>
                <w:highlight w:val="none"/>
              </w:rPr>
              <w:t>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637A67CD">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投标人直接控股、管理关系信息表</w:t>
            </w:r>
            <w:r>
              <w:rPr>
                <w:rFonts w:hint="eastAsia" w:ascii="微软雅黑" w:hAnsi="微软雅黑" w:eastAsia="微软雅黑"/>
                <w:color w:val="auto"/>
                <w:sz w:val="21"/>
                <w:szCs w:val="21"/>
                <w:highlight w:val="none"/>
              </w:rPr>
              <w:t>（格式后附）；（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524BD3C8">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olor w:val="auto"/>
                <w:sz w:val="21"/>
                <w:szCs w:val="21"/>
                <w:highlight w:val="none"/>
              </w:rPr>
              <w:t>6.投标声明（格式后附）；（</w:t>
            </w:r>
            <w:r>
              <w:rPr>
                <w:rFonts w:hint="eastAsia" w:ascii="微软雅黑" w:hAnsi="微软雅黑" w:eastAsia="微软雅黑"/>
                <w:b/>
                <w:color w:val="auto"/>
                <w:sz w:val="21"/>
                <w:szCs w:val="21"/>
                <w:highlight w:val="none"/>
              </w:rPr>
              <w:t>需法定代表人签字或签章，必须提供，否则按无效投标处理</w:t>
            </w:r>
            <w:r>
              <w:rPr>
                <w:rFonts w:hint="eastAsia" w:ascii="微软雅黑" w:hAnsi="微软雅黑" w:eastAsia="微软雅黑"/>
                <w:color w:val="auto"/>
                <w:sz w:val="21"/>
                <w:szCs w:val="21"/>
                <w:highlight w:val="none"/>
              </w:rPr>
              <w:t>）</w:t>
            </w:r>
          </w:p>
          <w:p w14:paraId="2AF835B8">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7.联合体协议书（格式后附）；（</w:t>
            </w:r>
            <w:r>
              <w:rPr>
                <w:rFonts w:hint="eastAsia" w:ascii="微软雅黑" w:hAnsi="微软雅黑" w:eastAsia="微软雅黑"/>
                <w:b/>
                <w:color w:val="auto"/>
                <w:sz w:val="21"/>
                <w:szCs w:val="21"/>
                <w:highlight w:val="none"/>
              </w:rPr>
              <w:t>联合体投标时必须提供，否则按无效投标处理</w:t>
            </w:r>
            <w:r>
              <w:rPr>
                <w:rFonts w:hint="eastAsia" w:ascii="微软雅黑" w:hAnsi="微软雅黑" w:eastAsia="微软雅黑"/>
                <w:color w:val="auto"/>
                <w:sz w:val="21"/>
                <w:szCs w:val="21"/>
                <w:highlight w:val="none"/>
              </w:rPr>
              <w:t>）</w:t>
            </w:r>
          </w:p>
          <w:p w14:paraId="453BA14A">
            <w:pPr>
              <w:snapToGrid w:val="0"/>
              <w:spacing w:line="240" w:lineRule="auto"/>
              <w:ind w:firstLine="14" w:firstLineChars="7"/>
              <w:jc w:val="left"/>
              <w:rPr>
                <w:rFonts w:hint="eastAsia"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8.《中小企业声明函》或监狱企业由省级以上监狱管理局、戒毒管理局（含新疆生产建设兵团）出具的属于监狱企业的证明文件或《残疾人福利性单位声明函》（格式后附）；（</w:t>
            </w:r>
            <w:r>
              <w:rPr>
                <w:rFonts w:hint="eastAsia" w:ascii="微软雅黑" w:hAnsi="微软雅黑" w:eastAsia="微软雅黑"/>
                <w:b/>
                <w:bCs/>
                <w:color w:val="auto"/>
                <w:sz w:val="21"/>
                <w:szCs w:val="21"/>
                <w:highlight w:val="none"/>
                <w:lang w:val="en-US" w:eastAsia="zh-CN"/>
              </w:rPr>
              <w:t>如为专门面向中小企业采购的项目则必须提供，否则响应文件按无效响应处理）</w:t>
            </w:r>
          </w:p>
          <w:p w14:paraId="21C7F7F7">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9</w:t>
            </w:r>
            <w:r>
              <w:rPr>
                <w:rFonts w:hint="eastAsia" w:ascii="微软雅黑" w:hAnsi="微软雅黑" w:eastAsia="微软雅黑"/>
                <w:color w:val="auto"/>
                <w:sz w:val="21"/>
                <w:szCs w:val="21"/>
                <w:highlight w:val="none"/>
              </w:rPr>
              <w:t>.除招标文件规定必须提供以外，投标人认为需要提供的其他证明材料。</w:t>
            </w:r>
          </w:p>
          <w:p w14:paraId="1E1553D7">
            <w:pPr>
              <w:snapToGrid w:val="0"/>
              <w:spacing w:line="240" w:lineRule="auto"/>
              <w:ind w:firstLine="15" w:firstLineChars="7"/>
              <w:jc w:val="left"/>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注：</w:t>
            </w:r>
          </w:p>
          <w:p w14:paraId="7871F6CB">
            <w:pPr>
              <w:snapToGrid w:val="0"/>
              <w:spacing w:line="240" w:lineRule="auto"/>
              <w:ind w:firstLine="15" w:firstLineChars="7"/>
              <w:jc w:val="left"/>
              <w:rPr>
                <w:color w:val="auto"/>
                <w:highlight w:val="none"/>
              </w:rPr>
            </w:pPr>
            <w:r>
              <w:rPr>
                <w:rFonts w:hint="eastAsia" w:ascii="微软雅黑" w:hAnsi="微软雅黑" w:eastAsia="微软雅黑"/>
                <w:b/>
                <w:bCs/>
                <w:color w:val="auto"/>
                <w:sz w:val="21"/>
                <w:szCs w:val="21"/>
                <w:highlight w:val="none"/>
              </w:rPr>
              <w:t>1.</w:t>
            </w:r>
            <w:r>
              <w:rPr>
                <w:rFonts w:hint="eastAsia" w:ascii="微软雅黑" w:hAnsi="微软雅黑" w:eastAsia="微软雅黑"/>
                <w:color w:val="auto"/>
                <w:sz w:val="21"/>
                <w:szCs w:val="21"/>
                <w:highlight w:val="none"/>
              </w:rPr>
              <w:t xml:space="preserve"> </w:t>
            </w:r>
            <w:r>
              <w:rPr>
                <w:rFonts w:hint="eastAsia" w:ascii="微软雅黑" w:hAnsi="微软雅黑" w:eastAsia="微软雅黑"/>
                <w:b/>
                <w:bCs/>
                <w:color w:val="auto"/>
                <w:sz w:val="21"/>
                <w:szCs w:val="21"/>
                <w:highlight w:val="none"/>
              </w:rPr>
              <w:t>以上标明“必须提供”的材料，必须加盖投标人电子签章，格式中有要求法定代表人或者委托代理人签字的，必须按要求签字并加盖投标人电子签章，否则按无效投标处理。</w:t>
            </w:r>
          </w:p>
          <w:p w14:paraId="4608EF0D">
            <w:pPr>
              <w:snapToGrid w:val="0"/>
              <w:spacing w:line="240" w:lineRule="auto"/>
              <w:ind w:firstLine="15" w:firstLineChars="7"/>
              <w:jc w:val="left"/>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2.联合体投标时，第1-5项资格证明文件联合体各方均必须分别提供，</w:t>
            </w:r>
            <w:r>
              <w:rPr>
                <w:rFonts w:hint="eastAsia" w:ascii="微软雅黑" w:hAnsi="微软雅黑" w:eastAsia="微软雅黑"/>
                <w:b/>
                <w:color w:val="auto"/>
                <w:sz w:val="21"/>
                <w:szCs w:val="21"/>
                <w:highlight w:val="none"/>
              </w:rPr>
              <w:t>并由</w:t>
            </w:r>
            <w:r>
              <w:rPr>
                <w:rFonts w:hint="eastAsia" w:ascii="微软雅黑" w:hAnsi="微软雅黑" w:eastAsia="微软雅黑" w:cs="宋体"/>
                <w:b/>
                <w:color w:val="auto"/>
                <w:sz w:val="21"/>
                <w:szCs w:val="21"/>
                <w:highlight w:val="none"/>
              </w:rPr>
              <w:t>联合体</w:t>
            </w:r>
            <w:r>
              <w:rPr>
                <w:rFonts w:hint="eastAsia" w:ascii="微软雅黑" w:hAnsi="微软雅黑" w:eastAsia="微软雅黑"/>
                <w:b/>
                <w:color w:val="auto"/>
                <w:sz w:val="21"/>
                <w:szCs w:val="21"/>
                <w:highlight w:val="none"/>
              </w:rPr>
              <w:t>牵头人加盖电子签章</w:t>
            </w:r>
            <w:r>
              <w:rPr>
                <w:rFonts w:hint="eastAsia" w:ascii="微软雅黑" w:hAnsi="微软雅黑" w:eastAsia="微软雅黑" w:cs="宋体"/>
                <w:b/>
                <w:color w:val="auto"/>
                <w:sz w:val="21"/>
                <w:szCs w:val="21"/>
                <w:highlight w:val="none"/>
              </w:rPr>
              <w:t>，</w:t>
            </w:r>
            <w:r>
              <w:rPr>
                <w:rFonts w:hint="eastAsia" w:ascii="微软雅黑" w:hAnsi="微软雅黑" w:eastAsia="微软雅黑"/>
                <w:b/>
                <w:color w:val="auto"/>
                <w:sz w:val="21"/>
                <w:szCs w:val="21"/>
                <w:highlight w:val="none"/>
              </w:rPr>
              <w:t>规定签字</w:t>
            </w:r>
            <w:r>
              <w:rPr>
                <w:rFonts w:hint="eastAsia" w:ascii="微软雅黑" w:hAnsi="微软雅黑" w:eastAsia="微软雅黑" w:cs="宋体"/>
                <w:b/>
                <w:color w:val="auto"/>
                <w:sz w:val="21"/>
                <w:szCs w:val="21"/>
                <w:highlight w:val="none"/>
              </w:rPr>
              <w:t>处签字</w:t>
            </w:r>
            <w:r>
              <w:rPr>
                <w:rFonts w:hint="eastAsia" w:ascii="微软雅黑" w:hAnsi="微软雅黑" w:eastAsia="微软雅黑"/>
                <w:b/>
                <w:bCs/>
                <w:color w:val="auto"/>
                <w:sz w:val="21"/>
                <w:szCs w:val="21"/>
                <w:highlight w:val="none"/>
              </w:rPr>
              <w:t>（或者电子签名），否则按无效投标</w:t>
            </w:r>
            <w:r>
              <w:rPr>
                <w:rFonts w:hint="eastAsia" w:ascii="微软雅黑" w:hAnsi="微软雅黑" w:eastAsia="微软雅黑" w:cs="Courier New"/>
                <w:b/>
                <w:color w:val="auto"/>
                <w:sz w:val="21"/>
                <w:szCs w:val="21"/>
                <w:highlight w:val="none"/>
              </w:rPr>
              <w:t>处理</w:t>
            </w:r>
            <w:r>
              <w:rPr>
                <w:rFonts w:hint="eastAsia" w:ascii="微软雅黑" w:hAnsi="微软雅黑" w:eastAsia="微软雅黑"/>
                <w:b/>
                <w:bCs/>
                <w:color w:val="auto"/>
                <w:sz w:val="21"/>
                <w:szCs w:val="21"/>
                <w:highlight w:val="none"/>
              </w:rPr>
              <w:t>。</w:t>
            </w:r>
          </w:p>
          <w:p w14:paraId="5E86F725">
            <w:pPr>
              <w:snapToGrid w:val="0"/>
              <w:spacing w:line="240" w:lineRule="auto"/>
              <w:ind w:firstLine="15" w:firstLineChars="7"/>
              <w:jc w:val="left"/>
              <w:rPr>
                <w:rFonts w:hint="default" w:ascii="微软雅黑" w:hAnsi="微软雅黑" w:eastAsia="微软雅黑"/>
                <w:b/>
                <w:bCs/>
                <w:color w:val="auto"/>
                <w:sz w:val="21"/>
                <w:szCs w:val="21"/>
                <w:highlight w:val="none"/>
                <w:lang w:val="en-US" w:eastAsia="zh-CN"/>
              </w:rPr>
            </w:pPr>
            <w:r>
              <w:rPr>
                <w:rFonts w:hint="eastAsia" w:ascii="微软雅黑" w:hAnsi="微软雅黑" w:eastAsia="微软雅黑"/>
                <w:b/>
                <w:bCs/>
                <w:color w:val="auto"/>
                <w:sz w:val="21"/>
                <w:szCs w:val="21"/>
                <w:highlight w:val="none"/>
                <w:lang w:val="en-US" w:eastAsia="zh-CN"/>
              </w:rPr>
              <w:t>3.</w:t>
            </w:r>
            <w:r>
              <w:rPr>
                <w:rFonts w:hint="eastAsia" w:ascii="微软雅黑" w:hAnsi="微软雅黑" w:eastAsia="微软雅黑" w:cs="Times New Roman"/>
                <w:b/>
                <w:bCs/>
                <w:color w:val="000000"/>
                <w:kern w:val="2"/>
                <w:sz w:val="21"/>
                <w:szCs w:val="21"/>
                <w:highlight w:val="none"/>
                <w:lang w:val="en-US" w:eastAsia="zh-CN" w:bidi="ar-SA"/>
              </w:rPr>
              <w:t>分公司参加投标的，应当取得总公司授权，否则投标文件按无效投标处理。</w:t>
            </w:r>
          </w:p>
        </w:tc>
      </w:tr>
      <w:tr w14:paraId="26D406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vAlign w:val="center"/>
          </w:tcPr>
          <w:p w14:paraId="2D873F8F">
            <w:pPr>
              <w:spacing w:line="240" w:lineRule="auto"/>
              <w:rPr>
                <w:rFonts w:hint="eastAsia" w:ascii="微软雅黑" w:hAnsi="微软雅黑" w:eastAsia="微软雅黑"/>
                <w:color w:val="auto"/>
                <w:sz w:val="21"/>
                <w:szCs w:val="21"/>
                <w:highlight w:val="none"/>
              </w:rPr>
            </w:pPr>
          </w:p>
        </w:tc>
        <w:tc>
          <w:tcPr>
            <w:tcW w:w="8175" w:type="dxa"/>
            <w:tcBorders>
              <w:top w:val="single" w:color="auto" w:sz="4" w:space="0"/>
              <w:left w:val="single" w:color="auto" w:sz="4" w:space="0"/>
              <w:bottom w:val="single" w:color="auto" w:sz="4" w:space="0"/>
              <w:right w:val="single" w:color="auto" w:sz="4" w:space="0"/>
            </w:tcBorders>
            <w:vAlign w:val="center"/>
          </w:tcPr>
          <w:p w14:paraId="3E7AFC9F">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b/>
                <w:color w:val="auto"/>
                <w:kern w:val="0"/>
                <w:sz w:val="21"/>
                <w:szCs w:val="21"/>
                <w:highlight w:val="none"/>
                <w:u w:val="none"/>
              </w:rPr>
              <w:t>商务及技术文件</w:t>
            </w:r>
            <w:r>
              <w:rPr>
                <w:rFonts w:hint="eastAsia" w:ascii="微软雅黑" w:hAnsi="微软雅黑" w:eastAsia="微软雅黑" w:cs="Courier New"/>
                <w:b/>
                <w:color w:val="auto"/>
                <w:sz w:val="21"/>
                <w:szCs w:val="21"/>
                <w:highlight w:val="none"/>
              </w:rPr>
              <w:t>：</w:t>
            </w:r>
          </w:p>
          <w:p w14:paraId="1370A6A9">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1.无串通投标行为的承诺函（格式后附）；（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4DBBDB8E">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2.投标保证金提交凭证；（</w:t>
            </w:r>
            <w:r>
              <w:rPr>
                <w:rFonts w:hint="eastAsia" w:ascii="微软雅黑" w:hAnsi="微软雅黑" w:eastAsia="微软雅黑"/>
                <w:b/>
                <w:bCs/>
                <w:color w:val="auto"/>
                <w:sz w:val="21"/>
                <w:szCs w:val="21"/>
                <w:highlight w:val="none"/>
              </w:rPr>
              <w:t>如要求提交投标保证金的则必须提供</w:t>
            </w:r>
            <w:r>
              <w:rPr>
                <w:rFonts w:hint="eastAsia" w:ascii="微软雅黑" w:hAnsi="微软雅黑" w:eastAsia="微软雅黑"/>
                <w:b/>
                <w:color w:val="auto"/>
                <w:sz w:val="21"/>
                <w:szCs w:val="21"/>
                <w:highlight w:val="none"/>
              </w:rPr>
              <w:t>，否则按无效投标处理</w:t>
            </w:r>
            <w:r>
              <w:rPr>
                <w:rFonts w:hint="eastAsia" w:ascii="微软雅黑" w:hAnsi="微软雅黑" w:eastAsia="微软雅黑"/>
                <w:color w:val="auto"/>
                <w:sz w:val="21"/>
                <w:szCs w:val="21"/>
                <w:highlight w:val="none"/>
              </w:rPr>
              <w:t>）</w:t>
            </w:r>
          </w:p>
          <w:p w14:paraId="6357DB45">
            <w:pPr>
              <w:snapToGrid w:val="0"/>
              <w:spacing w:line="240" w:lineRule="auto"/>
              <w:ind w:firstLine="14" w:firstLineChars="7"/>
              <w:jc w:val="lef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3.法定代表人身份证明及法定代表人有效身份证正反面复印件（格式后附）；（</w:t>
            </w:r>
            <w:r>
              <w:rPr>
                <w:rFonts w:hint="eastAsia" w:ascii="微软雅黑" w:hAnsi="微软雅黑" w:eastAsia="微软雅黑" w:cs="宋体"/>
                <w:b/>
                <w:bCs/>
                <w:color w:val="auto"/>
                <w:sz w:val="21"/>
                <w:szCs w:val="21"/>
                <w:highlight w:val="none"/>
              </w:rPr>
              <w:t>除自然人投标外</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67AB4A4D">
            <w:pPr>
              <w:snapToGrid w:val="0"/>
              <w:spacing w:line="240" w:lineRule="auto"/>
              <w:ind w:firstLine="14" w:firstLineChars="7"/>
              <w:jc w:val="lef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4.授权委托书及委托代理人有效身份证正反面复印件（格式后附）；（</w:t>
            </w:r>
            <w:r>
              <w:rPr>
                <w:rFonts w:hint="eastAsia" w:ascii="微软雅黑" w:hAnsi="微软雅黑" w:eastAsia="微软雅黑"/>
                <w:b/>
                <w:color w:val="auto"/>
                <w:sz w:val="21"/>
                <w:szCs w:val="21"/>
                <w:highlight w:val="none"/>
              </w:rPr>
              <w:t>委托时必须提供，否则按无效投标处理</w:t>
            </w:r>
            <w:r>
              <w:rPr>
                <w:rFonts w:hint="eastAsia" w:ascii="微软雅黑" w:hAnsi="微软雅黑" w:eastAsia="微软雅黑"/>
                <w:color w:val="auto"/>
                <w:sz w:val="21"/>
                <w:szCs w:val="21"/>
                <w:highlight w:val="none"/>
              </w:rPr>
              <w:t>）</w:t>
            </w:r>
          </w:p>
          <w:p w14:paraId="572A8F94">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商务要求偏离表（格式后附）；（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2BF90F80">
            <w:pPr>
              <w:snapToGrid w:val="0"/>
              <w:spacing w:line="240" w:lineRule="auto"/>
              <w:ind w:firstLine="14" w:firstLineChars="7"/>
              <w:jc w:val="left"/>
              <w:rPr>
                <w:rFonts w:hint="default" w:eastAsia="微软雅黑"/>
                <w:color w:val="auto"/>
                <w:highlight w:val="none"/>
                <w:lang w:val="en-US" w:eastAsia="zh-CN"/>
              </w:rPr>
            </w:pPr>
            <w:r>
              <w:rPr>
                <w:rFonts w:hint="eastAsia" w:ascii="微软雅黑" w:hAnsi="微软雅黑" w:eastAsia="微软雅黑"/>
                <w:color w:val="auto"/>
                <w:sz w:val="21"/>
                <w:szCs w:val="21"/>
                <w:highlight w:val="none"/>
                <w:lang w:val="en-US" w:eastAsia="zh-CN"/>
              </w:rPr>
              <w:t>6.售后服务承诺（格式自拟）；</w:t>
            </w:r>
          </w:p>
          <w:p w14:paraId="444C36C5">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7.</w:t>
            </w:r>
            <w:r>
              <w:rPr>
                <w:rFonts w:hint="eastAsia" w:ascii="微软雅黑" w:hAnsi="微软雅黑" w:eastAsia="微软雅黑"/>
                <w:color w:val="auto"/>
                <w:sz w:val="21"/>
                <w:szCs w:val="21"/>
                <w:highlight w:val="none"/>
              </w:rPr>
              <w:t>.投标人情况介绍（格式自拟）；</w:t>
            </w:r>
          </w:p>
          <w:p w14:paraId="7529B4F7">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8</w:t>
            </w:r>
            <w:r>
              <w:rPr>
                <w:rFonts w:hint="eastAsia" w:ascii="微软雅黑" w:hAnsi="微软雅黑" w:eastAsia="微软雅黑"/>
                <w:color w:val="auto"/>
                <w:sz w:val="21"/>
                <w:szCs w:val="21"/>
                <w:highlight w:val="none"/>
              </w:rPr>
              <w:t>.联合体协议书（格式后附）；（</w:t>
            </w:r>
            <w:r>
              <w:rPr>
                <w:rFonts w:hint="eastAsia" w:ascii="微软雅黑" w:hAnsi="微软雅黑" w:eastAsia="微软雅黑"/>
                <w:b/>
                <w:color w:val="auto"/>
                <w:sz w:val="21"/>
                <w:szCs w:val="21"/>
                <w:highlight w:val="none"/>
              </w:rPr>
              <w:t>联合体投标时必须提供，否则按无效投标处理</w:t>
            </w:r>
            <w:r>
              <w:rPr>
                <w:rFonts w:hint="eastAsia" w:ascii="微软雅黑" w:hAnsi="微软雅黑" w:eastAsia="微软雅黑"/>
                <w:color w:val="auto"/>
                <w:sz w:val="21"/>
                <w:szCs w:val="21"/>
                <w:highlight w:val="none"/>
              </w:rPr>
              <w:t>）</w:t>
            </w:r>
          </w:p>
          <w:p w14:paraId="42EE61BD">
            <w:pPr>
              <w:snapToGrid w:val="0"/>
              <w:spacing w:line="240" w:lineRule="auto"/>
              <w:ind w:firstLine="0" w:firstLineChars="0"/>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9.</w:t>
            </w:r>
            <w:r>
              <w:rPr>
                <w:rFonts w:hint="eastAsia" w:ascii="微软雅黑" w:hAnsi="微软雅黑" w:eastAsia="微软雅黑"/>
                <w:color w:val="auto"/>
                <w:sz w:val="21"/>
                <w:szCs w:val="21"/>
                <w:highlight w:val="none"/>
              </w:rPr>
              <w:t>技术要求偏离表（格式后附）；</w:t>
            </w:r>
            <w:r>
              <w:rPr>
                <w:rFonts w:hint="eastAsia" w:ascii="微软雅黑" w:hAnsi="微软雅黑" w:eastAsia="微软雅黑"/>
                <w:b/>
                <w:bCs/>
                <w:color w:val="auto"/>
                <w:sz w:val="21"/>
                <w:szCs w:val="21"/>
                <w:highlight w:val="none"/>
              </w:rPr>
              <w:t>（必须提供，否则按无效投标处理）</w:t>
            </w:r>
          </w:p>
          <w:p w14:paraId="38A7A9D2">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10.项目实施方案，</w:t>
            </w:r>
            <w:r>
              <w:rPr>
                <w:rFonts w:hint="eastAsia" w:ascii="微软雅黑" w:hAnsi="微软雅黑" w:eastAsia="微软雅黑"/>
                <w:color w:val="auto"/>
                <w:sz w:val="21"/>
                <w:szCs w:val="21"/>
                <w:highlight w:val="none"/>
                <w:lang w:eastAsia="zh-CN"/>
              </w:rPr>
              <w:t>按招标文件评分</w:t>
            </w:r>
            <w:r>
              <w:rPr>
                <w:rFonts w:hint="eastAsia" w:ascii="微软雅黑" w:hAnsi="微软雅黑" w:eastAsia="微软雅黑"/>
                <w:color w:val="auto"/>
                <w:sz w:val="21"/>
                <w:szCs w:val="21"/>
                <w:highlight w:val="none"/>
              </w:rPr>
              <w:t>内容自拟</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b/>
                <w:bCs/>
                <w:color w:val="auto"/>
                <w:sz w:val="21"/>
                <w:szCs w:val="21"/>
                <w:highlight w:val="none"/>
              </w:rPr>
              <w:t>（必须提供，否则按无效投标处理）</w:t>
            </w:r>
          </w:p>
          <w:p w14:paraId="7F4CFD03">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11.项目实施人员一览表（格式后附）； </w:t>
            </w:r>
          </w:p>
          <w:p w14:paraId="1F876951">
            <w:pPr>
              <w:snapToGrid w:val="0"/>
              <w:spacing w:line="240" w:lineRule="auto"/>
              <w:ind w:firstLine="14" w:firstLineChars="7"/>
              <w:jc w:val="left"/>
              <w:rPr>
                <w:rFonts w:hint="eastAsia" w:ascii="微软雅黑" w:hAnsi="微软雅黑" w:eastAsia="微软雅黑" w:cs="Times New Roman"/>
                <w:color w:val="auto"/>
                <w:szCs w:val="21"/>
                <w:highlight w:val="none"/>
              </w:rPr>
            </w:pPr>
            <w:r>
              <w:rPr>
                <w:rFonts w:hint="eastAsia" w:ascii="微软雅黑" w:hAnsi="微软雅黑" w:eastAsia="微软雅黑" w:cs="Times New Roman"/>
                <w:color w:val="auto"/>
                <w:szCs w:val="21"/>
                <w:highlight w:val="none"/>
              </w:rPr>
              <w:t>1</w:t>
            </w:r>
            <w:r>
              <w:rPr>
                <w:rFonts w:hint="eastAsia" w:ascii="微软雅黑" w:hAnsi="微软雅黑" w:eastAsia="微软雅黑" w:cs="Times New Roman"/>
                <w:color w:val="auto"/>
                <w:szCs w:val="21"/>
                <w:highlight w:val="none"/>
                <w:lang w:val="en-US" w:eastAsia="zh-CN"/>
              </w:rPr>
              <w:t>2</w:t>
            </w:r>
            <w:r>
              <w:rPr>
                <w:rFonts w:hint="eastAsia" w:ascii="微软雅黑" w:hAnsi="微软雅黑" w:eastAsia="微软雅黑" w:cs="Times New Roman"/>
                <w:color w:val="auto"/>
                <w:szCs w:val="21"/>
                <w:highlight w:val="none"/>
              </w:rPr>
              <w:t>.投标人对本项目的合理化建议和改进措施（格式自拟）；</w:t>
            </w:r>
          </w:p>
          <w:p w14:paraId="15AD9D46">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hint="eastAsia" w:ascii="微软雅黑" w:hAnsi="微软雅黑" w:eastAsia="微软雅黑"/>
                <w:color w:val="auto"/>
                <w:sz w:val="21"/>
                <w:szCs w:val="21"/>
                <w:highlight w:val="none"/>
                <w:lang w:val="en-US" w:eastAsia="zh-CN"/>
              </w:rPr>
              <w:t>3</w:t>
            </w:r>
            <w:r>
              <w:rPr>
                <w:rFonts w:hint="eastAsia" w:ascii="微软雅黑" w:hAnsi="微软雅黑" w:eastAsia="微软雅黑"/>
                <w:color w:val="auto"/>
                <w:sz w:val="21"/>
                <w:szCs w:val="21"/>
                <w:highlight w:val="none"/>
              </w:rPr>
              <w:t>.除招标文件规定必须提供以外，投标人认为需要提供的其他证明材料（格式自拟）。（投标人根据“第二章 采购需求”及“第四章 评标方法及评标标准”提供有关证明材料）。</w:t>
            </w:r>
          </w:p>
          <w:p w14:paraId="535989F5">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b/>
                <w:bCs/>
                <w:color w:val="auto"/>
                <w:sz w:val="21"/>
                <w:szCs w:val="21"/>
                <w:highlight w:val="none"/>
              </w:rPr>
              <w:t>注：</w:t>
            </w:r>
            <w:r>
              <w:rPr>
                <w:rFonts w:hint="eastAsia" w:ascii="微软雅黑" w:hAnsi="微软雅黑" w:eastAsia="微软雅黑" w:cs="宋体"/>
                <w:b/>
                <w:color w:val="auto"/>
                <w:sz w:val="21"/>
                <w:szCs w:val="21"/>
                <w:highlight w:val="none"/>
              </w:rPr>
              <w:t>以上标明“必须提供”的</w:t>
            </w:r>
            <w:r>
              <w:rPr>
                <w:rFonts w:hint="eastAsia" w:ascii="微软雅黑" w:hAnsi="微软雅黑" w:eastAsia="微软雅黑" w:cs="宋体"/>
                <w:b/>
                <w:color w:val="auto"/>
                <w:sz w:val="21"/>
                <w:szCs w:val="21"/>
                <w:highlight w:val="none"/>
                <w:lang w:val="en-US" w:eastAsia="zh-CN"/>
              </w:rPr>
              <w:t>材料</w:t>
            </w:r>
            <w:r>
              <w:rPr>
                <w:rFonts w:hint="eastAsia" w:ascii="微软雅黑" w:hAnsi="微软雅黑" w:eastAsia="微软雅黑" w:cs="宋体"/>
                <w:b/>
                <w:color w:val="auto"/>
                <w:sz w:val="21"/>
                <w:szCs w:val="21"/>
                <w:highlight w:val="none"/>
              </w:rPr>
              <w:t>，</w:t>
            </w:r>
            <w:r>
              <w:rPr>
                <w:rFonts w:hint="eastAsia" w:ascii="微软雅黑" w:hAnsi="微软雅黑" w:eastAsia="微软雅黑"/>
                <w:b/>
                <w:bCs/>
                <w:color w:val="auto"/>
                <w:sz w:val="21"/>
                <w:szCs w:val="21"/>
                <w:highlight w:val="none"/>
              </w:rPr>
              <w:t>必须加盖投标人电子签章</w:t>
            </w:r>
            <w:r>
              <w:rPr>
                <w:rFonts w:hint="eastAsia" w:ascii="微软雅黑" w:hAnsi="微软雅黑" w:eastAsia="微软雅黑"/>
                <w:b/>
                <w:bCs/>
                <w:color w:val="auto"/>
                <w:sz w:val="21"/>
                <w:szCs w:val="21"/>
                <w:highlight w:val="none"/>
                <w:lang w:eastAsia="zh-CN"/>
              </w:rPr>
              <w:t>，</w:t>
            </w:r>
            <w:r>
              <w:rPr>
                <w:rFonts w:hint="eastAsia" w:ascii="微软雅黑" w:hAnsi="微软雅黑" w:eastAsia="微软雅黑"/>
                <w:b/>
                <w:bCs/>
                <w:color w:val="auto"/>
                <w:sz w:val="21"/>
                <w:szCs w:val="21"/>
                <w:highlight w:val="none"/>
              </w:rPr>
              <w:t>格式中有要求法定代表人或者委托代理人签字的，必须按要求签字并加盖投标人电子签章，否则按无效投标处理。</w:t>
            </w:r>
          </w:p>
        </w:tc>
      </w:tr>
      <w:tr w14:paraId="6006D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510407A">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16.2</w:t>
            </w:r>
          </w:p>
        </w:tc>
        <w:tc>
          <w:tcPr>
            <w:tcW w:w="8175" w:type="dxa"/>
            <w:tcBorders>
              <w:top w:val="single" w:color="auto" w:sz="4" w:space="0"/>
              <w:left w:val="single" w:color="auto" w:sz="4" w:space="0"/>
              <w:bottom w:val="single" w:color="auto" w:sz="4" w:space="0"/>
              <w:right w:val="single" w:color="auto" w:sz="4" w:space="0"/>
            </w:tcBorders>
            <w:vAlign w:val="center"/>
          </w:tcPr>
          <w:p w14:paraId="204077D6">
            <w:pPr>
              <w:snapToGrid w:val="0"/>
              <w:spacing w:line="240" w:lineRule="auto"/>
              <w:rPr>
                <w:rFonts w:hint="eastAsia" w:ascii="微软雅黑" w:hAnsi="微软雅黑" w:eastAsia="微软雅黑"/>
                <w:b/>
                <w:i/>
                <w:color w:val="auto"/>
                <w:sz w:val="21"/>
                <w:szCs w:val="21"/>
                <w:highlight w:val="none"/>
              </w:rPr>
            </w:pPr>
            <w:r>
              <w:rPr>
                <w:rFonts w:hint="eastAsia" w:ascii="微软雅黑" w:hAnsi="微软雅黑" w:eastAsia="微软雅黑" w:cs="微软雅黑"/>
                <w:color w:val="auto"/>
                <w:sz w:val="21"/>
                <w:szCs w:val="21"/>
                <w:highlight w:val="none"/>
              </w:rPr>
              <w:t>投标报价是完成本项目的全部服务内容及其相关工作所需的全部费用：应包含（但不限于）所有服务有关</w:t>
            </w:r>
            <w:r>
              <w:rPr>
                <w:rFonts w:hint="eastAsia" w:ascii="微软雅黑" w:hAnsi="微软雅黑" w:eastAsia="微软雅黑" w:cs="微软雅黑"/>
                <w:color w:val="auto"/>
                <w:sz w:val="21"/>
                <w:szCs w:val="21"/>
                <w:highlight w:val="none"/>
                <w:lang w:eastAsia="zh-CN"/>
              </w:rPr>
              <w:t>的</w:t>
            </w:r>
            <w:r>
              <w:rPr>
                <w:rFonts w:hint="eastAsia" w:ascii="微软雅黑" w:hAnsi="微软雅黑" w:eastAsia="微软雅黑" w:cs="微软雅黑"/>
                <w:color w:val="auto"/>
                <w:sz w:val="21"/>
                <w:szCs w:val="21"/>
                <w:highlight w:val="none"/>
              </w:rPr>
              <w:t>费用、验收、技术资料归档、培训、项目人员的交通费、住宿费、伙食补助费等各种费用和售后服务、税金及其它费用的总和</w:t>
            </w:r>
            <w:r>
              <w:rPr>
                <w:rFonts w:hint="eastAsia" w:ascii="微软雅黑" w:hAnsi="微软雅黑" w:eastAsia="微软雅黑" w:cs="微软雅黑"/>
                <w:color w:val="auto"/>
                <w:sz w:val="21"/>
                <w:szCs w:val="21"/>
                <w:highlight w:val="none"/>
                <w:lang w:eastAsia="zh-CN"/>
              </w:rPr>
              <w:t>。</w:t>
            </w:r>
          </w:p>
        </w:tc>
      </w:tr>
      <w:tr w14:paraId="536E7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3370AA5">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17.</w:t>
            </w:r>
            <w:r>
              <w:rPr>
                <w:rFonts w:ascii="微软雅黑" w:hAnsi="微软雅黑" w:eastAsia="微软雅黑"/>
                <w:color w:val="auto"/>
                <w:sz w:val="21"/>
                <w:szCs w:val="21"/>
                <w:highlight w:val="none"/>
              </w:rPr>
              <w:t>2</w:t>
            </w:r>
          </w:p>
        </w:tc>
        <w:tc>
          <w:tcPr>
            <w:tcW w:w="8175" w:type="dxa"/>
            <w:tcBorders>
              <w:top w:val="single" w:color="auto" w:sz="4" w:space="0"/>
              <w:left w:val="single" w:color="auto" w:sz="4" w:space="0"/>
              <w:bottom w:val="single" w:color="auto" w:sz="4" w:space="0"/>
              <w:right w:val="single" w:color="auto" w:sz="4" w:space="0"/>
            </w:tcBorders>
            <w:vAlign w:val="center"/>
          </w:tcPr>
          <w:p w14:paraId="416905A8">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投标有效期：自投标截止之日起</w:t>
            </w:r>
            <w:r>
              <w:rPr>
                <w:rFonts w:hint="eastAsia" w:ascii="微软雅黑" w:hAnsi="微软雅黑" w:eastAsia="微软雅黑"/>
                <w:color w:val="auto"/>
                <w:sz w:val="21"/>
                <w:szCs w:val="21"/>
                <w:highlight w:val="none"/>
                <w:u w:val="single"/>
              </w:rPr>
              <w:t>120</w:t>
            </w:r>
            <w:r>
              <w:rPr>
                <w:rFonts w:hint="eastAsia" w:ascii="微软雅黑" w:hAnsi="微软雅黑" w:eastAsia="微软雅黑"/>
                <w:color w:val="auto"/>
                <w:sz w:val="21"/>
                <w:szCs w:val="21"/>
                <w:highlight w:val="none"/>
              </w:rPr>
              <w:t>日。</w:t>
            </w:r>
          </w:p>
        </w:tc>
      </w:tr>
      <w:tr w14:paraId="1D1A7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2BCDAE4A">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18</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vAlign w:val="center"/>
          </w:tcPr>
          <w:p w14:paraId="3297E8BC">
            <w:pPr>
              <w:autoSpaceDE w:val="0"/>
              <w:autoSpaceDN w:val="0"/>
              <w:snapToGrid w:val="0"/>
              <w:spacing w:line="240" w:lineRule="auto"/>
              <w:textAlignment w:val="bottom"/>
              <w:rPr>
                <w:rFonts w:ascii="微软雅黑" w:hAnsi="微软雅黑" w:eastAsia="微软雅黑"/>
                <w:color w:val="auto"/>
                <w:sz w:val="21"/>
                <w:szCs w:val="21"/>
                <w:highlight w:val="none"/>
              </w:rPr>
            </w:pPr>
            <w:r>
              <w:rPr>
                <w:rFonts w:hint="eastAsia" w:ascii="Segoe UI Emoji" w:hAnsi="Segoe UI Emoji" w:cs="Segoe UI Emoji"/>
                <w:b w:val="0"/>
                <w:bCs w:val="0"/>
                <w:color w:val="auto"/>
                <w:sz w:val="21"/>
                <w:szCs w:val="21"/>
                <w:highlight w:val="none"/>
                <w:lang w:eastAsia="zh-CN"/>
              </w:rPr>
              <w:t>□</w:t>
            </w:r>
            <w:r>
              <w:rPr>
                <w:rFonts w:hint="eastAsia" w:ascii="微软雅黑" w:hAnsi="微软雅黑" w:eastAsia="微软雅黑"/>
                <w:color w:val="auto"/>
                <w:sz w:val="21"/>
                <w:szCs w:val="21"/>
                <w:highlight w:val="none"/>
              </w:rPr>
              <w:t>本项目不收取投标保证金。</w:t>
            </w:r>
          </w:p>
          <w:p w14:paraId="00EC3520">
            <w:pPr>
              <w:snapToGrid w:val="0"/>
              <w:spacing w:line="240" w:lineRule="auto"/>
              <w:rPr>
                <w:rFonts w:ascii="微软雅黑" w:hAnsi="微软雅黑" w:eastAsia="微软雅黑"/>
                <w:b w:val="0"/>
                <w:bCs w:val="0"/>
                <w:i w:val="0"/>
                <w:i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本项目收取投标保证金</w:t>
            </w:r>
            <w:r>
              <w:rPr>
                <w:rFonts w:hint="eastAsia" w:ascii="微软雅黑" w:hAnsi="微软雅黑" w:eastAsia="微软雅黑"/>
                <w:color w:val="auto"/>
                <w:sz w:val="21"/>
                <w:szCs w:val="21"/>
                <w:highlight w:val="none"/>
              </w:rPr>
              <w:t>，具体规定如下：</w:t>
            </w:r>
            <w:r>
              <w:rPr>
                <w:rFonts w:hint="eastAsia" w:ascii="微软雅黑" w:hAnsi="微软雅黑" w:eastAsia="微软雅黑"/>
                <w:b w:val="0"/>
                <w:bCs w:val="0"/>
                <w:i w:val="0"/>
                <w:iCs/>
                <w:color w:val="auto"/>
                <w:sz w:val="21"/>
                <w:szCs w:val="21"/>
                <w:highlight w:val="none"/>
              </w:rPr>
              <w:t>[注：根据《广西壮族自治区财政厅关于规范政府采购货物和服务项目保证金管理的通知》（桂财规〔2022〕8号）的规定，保证金的数额不得超过采购项目预算金额的1%]</w:t>
            </w:r>
          </w:p>
          <w:p w14:paraId="5859A690">
            <w:pPr>
              <w:snapToGrid w:val="0"/>
              <w:spacing w:line="240" w:lineRule="auto"/>
              <w:rPr>
                <w:rFonts w:hint="eastAsia" w:ascii="微软雅黑" w:hAnsi="微软雅黑" w:eastAsia="微软雅黑"/>
                <w:b/>
                <w:bCs/>
                <w:color w:val="auto"/>
                <w:sz w:val="21"/>
                <w:szCs w:val="21"/>
                <w:highlight w:val="none"/>
                <w:u w:val="single"/>
              </w:rPr>
            </w:pPr>
            <w:r>
              <w:rPr>
                <w:rFonts w:hint="eastAsia" w:ascii="微软雅黑" w:hAnsi="微软雅黑" w:eastAsia="微软雅黑" w:cs="宋体"/>
                <w:color w:val="auto"/>
                <w:kern w:val="0"/>
                <w:sz w:val="21"/>
                <w:szCs w:val="21"/>
                <w:highlight w:val="none"/>
              </w:rPr>
              <w:t>投标保证金</w:t>
            </w:r>
            <w:r>
              <w:rPr>
                <w:rFonts w:hint="eastAsia" w:ascii="微软雅黑" w:hAnsi="微软雅黑" w:eastAsia="微软雅黑" w:cs="宋体"/>
                <w:color w:val="auto"/>
                <w:kern w:val="0"/>
                <w:sz w:val="21"/>
                <w:szCs w:val="21"/>
                <w:highlight w:val="none"/>
                <w:lang w:eastAsia="zh-CN"/>
              </w:rPr>
              <w:t>：</w:t>
            </w:r>
            <w:r>
              <w:rPr>
                <w:rFonts w:hint="eastAsia" w:ascii="微软雅黑" w:hAnsi="微软雅黑" w:eastAsia="微软雅黑" w:cs="宋体"/>
                <w:b/>
                <w:bCs/>
                <w:color w:val="auto"/>
                <w:kern w:val="0"/>
                <w:sz w:val="21"/>
                <w:szCs w:val="21"/>
                <w:highlight w:val="none"/>
                <w:u w:val="single"/>
                <w:lang w:eastAsia="zh-CN"/>
              </w:rPr>
              <w:t>人民币壹拾万元整（¥1</w:t>
            </w:r>
            <w:r>
              <w:rPr>
                <w:rFonts w:hint="eastAsia" w:ascii="微软雅黑" w:hAnsi="微软雅黑" w:eastAsia="微软雅黑" w:cs="宋体"/>
                <w:b/>
                <w:bCs/>
                <w:color w:val="auto"/>
                <w:kern w:val="0"/>
                <w:sz w:val="21"/>
                <w:szCs w:val="21"/>
                <w:highlight w:val="none"/>
                <w:u w:val="single"/>
                <w:lang w:val="en-US" w:eastAsia="zh-CN"/>
              </w:rPr>
              <w:t>0</w:t>
            </w:r>
            <w:r>
              <w:rPr>
                <w:rFonts w:hint="eastAsia" w:ascii="微软雅黑" w:hAnsi="微软雅黑" w:eastAsia="微软雅黑" w:cs="宋体"/>
                <w:b/>
                <w:bCs/>
                <w:color w:val="auto"/>
                <w:kern w:val="0"/>
                <w:sz w:val="21"/>
                <w:szCs w:val="21"/>
                <w:highlight w:val="none"/>
                <w:u w:val="single"/>
                <w:lang w:eastAsia="zh-CN"/>
              </w:rPr>
              <w:t>0000.00）</w:t>
            </w:r>
          </w:p>
          <w:p w14:paraId="491B0A41">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s="宋体"/>
                <w:color w:val="auto"/>
                <w:kern w:val="0"/>
                <w:sz w:val="21"/>
                <w:szCs w:val="21"/>
                <w:highlight w:val="none"/>
              </w:rPr>
              <w:t>投标保证金的交纳方式：银行转账、支票、汇票、本票或者银行、保险机构出具的保函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s="宋体"/>
                <w:color w:val="auto"/>
                <w:kern w:val="0"/>
                <w:sz w:val="21"/>
                <w:szCs w:val="21"/>
                <w:highlight w:val="none"/>
              </w:rPr>
              <w:t>，禁止采用现钞方式。采用银行转账方式的，在投标截止时间前</w:t>
            </w:r>
            <w:r>
              <w:rPr>
                <w:rFonts w:hint="eastAsia" w:ascii="微软雅黑" w:hAnsi="微软雅黑" w:eastAsia="微软雅黑"/>
                <w:color w:val="auto"/>
                <w:sz w:val="21"/>
                <w:szCs w:val="21"/>
                <w:highlight w:val="none"/>
              </w:rPr>
              <w:t>从投标人账户</w:t>
            </w:r>
            <w:r>
              <w:rPr>
                <w:rFonts w:hint="eastAsia" w:ascii="微软雅黑" w:hAnsi="微软雅黑" w:eastAsia="微软雅黑" w:cs="宋体"/>
                <w:color w:val="auto"/>
                <w:kern w:val="0"/>
                <w:sz w:val="21"/>
                <w:szCs w:val="21"/>
                <w:highlight w:val="none"/>
              </w:rPr>
              <w:t>交至指定账户并且到账</w:t>
            </w:r>
            <w:r>
              <w:rPr>
                <w:rFonts w:hint="eastAsia" w:ascii="微软雅黑" w:hAnsi="微软雅黑" w:eastAsia="微软雅黑" w:cs="宋体"/>
                <w:b/>
                <w:bCs/>
                <w:color w:val="auto"/>
                <w:kern w:val="0"/>
                <w:sz w:val="21"/>
                <w:szCs w:val="21"/>
                <w:highlight w:val="none"/>
                <w:u w:val="single"/>
              </w:rPr>
              <w:t>（开户名称：华新项目管理集团有限公司广西分公司；开户银行：广西北部湾银行南宁市桂雅支行；账号：8001 3500 6188 882）</w:t>
            </w:r>
            <w:r>
              <w:rPr>
                <w:rFonts w:hint="eastAsia" w:ascii="微软雅黑" w:hAnsi="微软雅黑" w:eastAsia="微软雅黑" w:cs="宋体"/>
                <w:color w:val="auto"/>
                <w:kern w:val="0"/>
                <w:sz w:val="21"/>
                <w:szCs w:val="21"/>
                <w:highlight w:val="none"/>
              </w:rPr>
              <w:t>；采用支票、汇票、本票或者保函等方式的，在投标截止时间前，投标人必须递交单独密封的支票、汇票、本票或者保函原件。</w:t>
            </w:r>
            <w:r>
              <w:rPr>
                <w:rFonts w:hint="eastAsia" w:ascii="微软雅黑" w:hAnsi="微软雅黑" w:eastAsia="微软雅黑" w:cs="宋体"/>
                <w:b/>
                <w:color w:val="auto"/>
                <w:kern w:val="0"/>
                <w:sz w:val="21"/>
                <w:szCs w:val="21"/>
                <w:highlight w:val="none"/>
              </w:rPr>
              <w:t>否则视为无效投标保证金。办理缴纳投标保证金手续时，请务必在银行转账单或电汇单的用途栏或空白栏上注明项目名称或项目编号。</w:t>
            </w:r>
          </w:p>
          <w:p w14:paraId="362DBE05">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相关要求：</w:t>
            </w:r>
          </w:p>
          <w:p w14:paraId="41E1CDE1">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1.投标保证金采用银行转账交纳方式，在投标截止时间前交至指定账户并且到账，投标人应将银行转账底单的复印件作为投标保证金提交凭证，</w:t>
            </w:r>
            <w:r>
              <w:rPr>
                <w:rFonts w:ascii="微软雅黑" w:hAnsi="微软雅黑" w:eastAsia="微软雅黑"/>
                <w:color w:val="auto"/>
                <w:sz w:val="21"/>
                <w:szCs w:val="21"/>
                <w:highlight w:val="none"/>
              </w:rPr>
              <w:t>放置于</w:t>
            </w:r>
            <w:r>
              <w:rPr>
                <w:rFonts w:hint="eastAsia" w:ascii="微软雅黑" w:hAnsi="微软雅黑" w:eastAsia="微软雅黑"/>
                <w:color w:val="auto"/>
                <w:sz w:val="21"/>
                <w:szCs w:val="21"/>
                <w:highlight w:val="none"/>
              </w:rPr>
              <w:t>商务及技术文件</w:t>
            </w:r>
            <w:r>
              <w:rPr>
                <w:rFonts w:ascii="微软雅黑" w:hAnsi="微软雅黑" w:eastAsia="微软雅黑"/>
                <w:color w:val="auto"/>
                <w:sz w:val="21"/>
                <w:szCs w:val="21"/>
                <w:highlight w:val="none"/>
              </w:rPr>
              <w:t>中</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否则投标无效</w:t>
            </w:r>
            <w:r>
              <w:rPr>
                <w:rFonts w:hint="eastAsia" w:ascii="微软雅黑" w:hAnsi="微软雅黑" w:eastAsia="微软雅黑"/>
                <w:color w:val="auto"/>
                <w:sz w:val="21"/>
                <w:szCs w:val="21"/>
                <w:highlight w:val="none"/>
              </w:rPr>
              <w:t>。</w:t>
            </w:r>
          </w:p>
          <w:p w14:paraId="437586D8">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2.投标保证金采用支票、汇票、本票或者银行、保险机构出具的保函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olor w:val="auto"/>
                <w:sz w:val="21"/>
                <w:szCs w:val="21"/>
                <w:highlight w:val="none"/>
              </w:rPr>
              <w:t>交纳方式的，投标人应将支票、汇票、本票或者银行、保险机构出具的保函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olor w:val="auto"/>
                <w:sz w:val="21"/>
                <w:szCs w:val="21"/>
                <w:highlight w:val="none"/>
              </w:rPr>
              <w:t>的复印件作为投标保证金提交凭证，放置于商务及技术文件中，</w:t>
            </w:r>
            <w:r>
              <w:rPr>
                <w:rFonts w:hint="eastAsia" w:ascii="微软雅黑" w:hAnsi="微软雅黑" w:eastAsia="微软雅黑"/>
                <w:b/>
                <w:color w:val="auto"/>
                <w:sz w:val="21"/>
                <w:szCs w:val="21"/>
                <w:highlight w:val="none"/>
              </w:rPr>
              <w:t>否则投标无效</w:t>
            </w:r>
            <w:r>
              <w:rPr>
                <w:rFonts w:hint="eastAsia" w:ascii="微软雅黑" w:hAnsi="微软雅黑" w:eastAsia="微软雅黑"/>
                <w:color w:val="auto"/>
                <w:sz w:val="21"/>
                <w:szCs w:val="21"/>
                <w:highlight w:val="none"/>
              </w:rPr>
              <w:t>。投标人必须在投标截止时间前采用现场或邮寄方式（</w:t>
            </w:r>
            <w:r>
              <w:rPr>
                <w:rFonts w:ascii="微软雅黑" w:hAnsi="微软雅黑" w:eastAsia="微软雅黑"/>
                <w:color w:val="auto"/>
                <w:sz w:val="21"/>
                <w:szCs w:val="21"/>
                <w:highlight w:val="none"/>
                <w:u w:val="single"/>
              </w:rPr>
              <w:t>现场提交或邮寄地址：</w:t>
            </w:r>
            <w:r>
              <w:rPr>
                <w:rFonts w:hint="eastAsia" w:ascii="微软雅黑" w:hAnsi="微软雅黑" w:eastAsia="微软雅黑"/>
                <w:color w:val="auto"/>
                <w:sz w:val="21"/>
                <w:szCs w:val="21"/>
                <w:highlight w:val="none"/>
                <w:u w:val="single"/>
                <w:lang w:eastAsia="zh-CN"/>
              </w:rPr>
              <w:t>南宁市中柬路9号利海亚洲国际领峰A座910室</w:t>
            </w:r>
            <w:r>
              <w:rPr>
                <w:rFonts w:ascii="微软雅黑" w:hAnsi="微软雅黑" w:eastAsia="微软雅黑"/>
                <w:color w:val="auto"/>
                <w:sz w:val="21"/>
                <w:szCs w:val="21"/>
                <w:highlight w:val="none"/>
                <w:u w:val="single"/>
              </w:rPr>
              <w:t>，联系人：</w:t>
            </w:r>
            <w:r>
              <w:rPr>
                <w:rFonts w:hint="eastAsia" w:ascii="微软雅黑" w:hAnsi="微软雅黑" w:eastAsia="微软雅黑"/>
                <w:color w:val="auto"/>
                <w:sz w:val="21"/>
                <w:szCs w:val="21"/>
                <w:highlight w:val="none"/>
                <w:u w:val="single"/>
                <w:lang w:val="en-US" w:eastAsia="zh-CN"/>
              </w:rPr>
              <w:t>林玲珍</w:t>
            </w:r>
            <w:r>
              <w:rPr>
                <w:rFonts w:hint="eastAsia" w:ascii="微软雅黑" w:hAnsi="微软雅黑" w:eastAsia="微软雅黑"/>
                <w:color w:val="auto"/>
                <w:sz w:val="21"/>
                <w:szCs w:val="21"/>
                <w:highlight w:val="none"/>
              </w:rPr>
              <w:t>）将</w:t>
            </w:r>
            <w:r>
              <w:rPr>
                <w:rFonts w:hint="eastAsia" w:ascii="微软雅黑" w:hAnsi="微软雅黑" w:eastAsia="微软雅黑" w:cs="宋体"/>
                <w:color w:val="auto"/>
                <w:kern w:val="0"/>
                <w:sz w:val="21"/>
                <w:szCs w:val="21"/>
                <w:highlight w:val="none"/>
              </w:rPr>
              <w:t>单独密封的</w:t>
            </w:r>
            <w:r>
              <w:rPr>
                <w:rFonts w:hint="eastAsia" w:ascii="微软雅黑" w:hAnsi="微软雅黑" w:eastAsia="微软雅黑"/>
                <w:color w:val="auto"/>
                <w:sz w:val="21"/>
                <w:szCs w:val="21"/>
                <w:highlight w:val="none"/>
              </w:rPr>
              <w:t>支票、汇票、本票或者银行、保险机构出具的保函原件提交给采购人或者采购代理机构，未按时提交的</w:t>
            </w:r>
            <w:r>
              <w:rPr>
                <w:rFonts w:hint="eastAsia" w:ascii="微软雅黑" w:hAnsi="微软雅黑" w:eastAsia="微软雅黑"/>
                <w:b/>
                <w:color w:val="auto"/>
                <w:sz w:val="21"/>
                <w:szCs w:val="21"/>
                <w:highlight w:val="none"/>
              </w:rPr>
              <w:t>，投标无效</w:t>
            </w:r>
            <w:r>
              <w:rPr>
                <w:rFonts w:hint="eastAsia" w:ascii="微软雅黑" w:hAnsi="微软雅黑" w:eastAsia="微软雅黑"/>
                <w:color w:val="auto"/>
                <w:sz w:val="21"/>
                <w:szCs w:val="21"/>
                <w:highlight w:val="none"/>
              </w:rPr>
              <w:t>。</w:t>
            </w:r>
          </w:p>
          <w:p w14:paraId="1760A0B5">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hint="eastAsia" w:ascii="微软雅黑" w:hAnsi="微软雅黑" w:eastAsia="微软雅黑" w:cs="宋体"/>
                <w:color w:val="auto"/>
                <w:sz w:val="21"/>
                <w:szCs w:val="21"/>
                <w:highlight w:val="none"/>
              </w:rPr>
              <w:t>.投标人为联合体的，可以由联合体中的一方或者多方共同交纳投标保证金，其交纳的保证金对联合体各方均具有约束力。</w:t>
            </w:r>
          </w:p>
          <w:p w14:paraId="40D24B8F">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 xml:space="preserve">注： </w:t>
            </w:r>
          </w:p>
          <w:p w14:paraId="09731579">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1. 投标保证金在投标截止时间后提交的，或者不按规定交纳方式交纳的，或者未足额交纳的（包含保函额度不足的），视为无效投标保证金。</w:t>
            </w:r>
          </w:p>
          <w:p w14:paraId="06110123">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2.投标人采用现钞方式或者从个人账户（自然人投标除外）转出的投标保证金，视为无效投标保证金。</w:t>
            </w:r>
          </w:p>
          <w:p w14:paraId="0A4A3744">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3.支票、汇票或者本票出现无效或者背书情形的，视为无效投标保证金。</w:t>
            </w:r>
          </w:p>
          <w:p w14:paraId="53C35D3E">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4.保函有效期低于投标有效期的，视为无效投标保证金。</w:t>
            </w:r>
          </w:p>
          <w:p w14:paraId="62D614ED">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5.采用银行、保险机构出具保函的，必须为无条件保函，否则视为无效投标保证金。</w:t>
            </w:r>
          </w:p>
        </w:tc>
      </w:tr>
      <w:tr w14:paraId="7471C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vAlign w:val="center"/>
          </w:tcPr>
          <w:p w14:paraId="1E68CD82">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20</w:t>
            </w:r>
          </w:p>
        </w:tc>
        <w:tc>
          <w:tcPr>
            <w:tcW w:w="8175" w:type="dxa"/>
            <w:tcBorders>
              <w:top w:val="single" w:color="auto" w:sz="4" w:space="0"/>
              <w:left w:val="single" w:color="auto" w:sz="4" w:space="0"/>
              <w:bottom w:val="single" w:color="auto" w:sz="4" w:space="0"/>
              <w:right w:val="single" w:color="auto" w:sz="4" w:space="0"/>
            </w:tcBorders>
            <w:vAlign w:val="center"/>
          </w:tcPr>
          <w:p w14:paraId="2EF67659">
            <w:pPr>
              <w:autoSpaceDE w:val="0"/>
              <w:autoSpaceDN w:val="0"/>
              <w:adjustRightIn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本项目不接受电子备份投标文件；</w:t>
            </w:r>
          </w:p>
        </w:tc>
      </w:tr>
      <w:tr w14:paraId="0FF91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vAlign w:val="center"/>
          </w:tcPr>
          <w:p w14:paraId="552512CF">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21.1</w:t>
            </w:r>
          </w:p>
        </w:tc>
        <w:tc>
          <w:tcPr>
            <w:tcW w:w="8175" w:type="dxa"/>
            <w:tcBorders>
              <w:top w:val="single" w:color="auto" w:sz="4" w:space="0"/>
              <w:left w:val="single" w:color="auto" w:sz="4" w:space="0"/>
              <w:bottom w:val="single" w:color="auto" w:sz="4" w:space="0"/>
              <w:right w:val="single" w:color="auto" w:sz="4" w:space="0"/>
            </w:tcBorders>
            <w:vAlign w:val="center"/>
          </w:tcPr>
          <w:p w14:paraId="29943949">
            <w:pPr>
              <w:snapToGrid w:val="0"/>
              <w:spacing w:line="240" w:lineRule="auto"/>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1.提交投标文件截止时间：详见招标公告</w:t>
            </w:r>
          </w:p>
          <w:p w14:paraId="39AECFE0">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2.投标地点：详见招标公告</w:t>
            </w:r>
          </w:p>
        </w:tc>
      </w:tr>
      <w:tr w14:paraId="260C9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27EB1A8">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23</w:t>
            </w:r>
          </w:p>
        </w:tc>
        <w:tc>
          <w:tcPr>
            <w:tcW w:w="8175" w:type="dxa"/>
            <w:tcBorders>
              <w:top w:val="single" w:color="auto" w:sz="4" w:space="0"/>
              <w:left w:val="single" w:color="auto" w:sz="4" w:space="0"/>
              <w:bottom w:val="single" w:color="auto" w:sz="4" w:space="0"/>
              <w:right w:val="single" w:color="auto" w:sz="4" w:space="0"/>
            </w:tcBorders>
            <w:vAlign w:val="center"/>
          </w:tcPr>
          <w:p w14:paraId="7FD9CD2D">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1.开标时间：详见招标公告</w:t>
            </w:r>
          </w:p>
          <w:p w14:paraId="0C004E8B">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2.开标地点：详见招标公告</w:t>
            </w:r>
          </w:p>
        </w:tc>
      </w:tr>
      <w:tr w14:paraId="6882D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2595377">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24.3（1）</w:t>
            </w:r>
          </w:p>
        </w:tc>
        <w:tc>
          <w:tcPr>
            <w:tcW w:w="8175" w:type="dxa"/>
            <w:tcBorders>
              <w:top w:val="single" w:color="auto" w:sz="4" w:space="0"/>
              <w:left w:val="single" w:color="auto" w:sz="4" w:space="0"/>
              <w:bottom w:val="single" w:color="auto" w:sz="4" w:space="0"/>
              <w:right w:val="single" w:color="auto" w:sz="4" w:space="0"/>
            </w:tcBorders>
            <w:vAlign w:val="center"/>
          </w:tcPr>
          <w:p w14:paraId="15E8F7BA">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电子投标文件解密时间：</w:t>
            </w:r>
            <w:r>
              <w:rPr>
                <w:rFonts w:hint="eastAsia" w:ascii="微软雅黑" w:hAnsi="微软雅黑" w:eastAsia="微软雅黑"/>
                <w:color w:val="auto"/>
                <w:sz w:val="21"/>
                <w:szCs w:val="21"/>
                <w:highlight w:val="none"/>
                <w:u w:val="single"/>
              </w:rPr>
              <w:t>30</w:t>
            </w:r>
            <w:r>
              <w:rPr>
                <w:rFonts w:hint="eastAsia" w:ascii="微软雅黑" w:hAnsi="微软雅黑" w:eastAsia="微软雅黑"/>
                <w:color w:val="auto"/>
                <w:sz w:val="21"/>
                <w:szCs w:val="21"/>
                <w:highlight w:val="none"/>
              </w:rPr>
              <w:t>分钟</w:t>
            </w:r>
          </w:p>
        </w:tc>
      </w:tr>
      <w:tr w14:paraId="36690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3" w:hRule="atLeast"/>
        </w:trPr>
        <w:tc>
          <w:tcPr>
            <w:tcW w:w="978" w:type="dxa"/>
            <w:tcBorders>
              <w:top w:val="single" w:color="auto" w:sz="4" w:space="0"/>
              <w:left w:val="single" w:color="auto" w:sz="4" w:space="0"/>
              <w:bottom w:val="single" w:color="auto" w:sz="4" w:space="0"/>
              <w:right w:val="single" w:color="auto" w:sz="4" w:space="0"/>
            </w:tcBorders>
            <w:vAlign w:val="center"/>
          </w:tcPr>
          <w:p w14:paraId="4E7824C9">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25.3（2）</w:t>
            </w:r>
          </w:p>
        </w:tc>
        <w:tc>
          <w:tcPr>
            <w:tcW w:w="8175" w:type="dxa"/>
            <w:tcBorders>
              <w:top w:val="single" w:color="auto" w:sz="4" w:space="0"/>
              <w:left w:val="single" w:color="auto" w:sz="4" w:space="0"/>
              <w:bottom w:val="single" w:color="auto" w:sz="4" w:space="0"/>
              <w:right w:val="single" w:color="auto" w:sz="4" w:space="0"/>
            </w:tcBorders>
            <w:vAlign w:val="center"/>
          </w:tcPr>
          <w:p w14:paraId="0C571BF4">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采购人或者采购代理机构在资格审查结束前，对投标人进行信用查询。</w:t>
            </w:r>
          </w:p>
          <w:p w14:paraId="376DCD5E">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查询渠道：“信用中国”网站（www.creditchina.gov.cn） 、中国政府采购网（www.ccgp.gov.cn）。</w:t>
            </w:r>
          </w:p>
          <w:p w14:paraId="26288623">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信用查询截止时点：资格审查结束前</w:t>
            </w:r>
          </w:p>
          <w:p w14:paraId="2AAC9FB5">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查询记录和证据留存方式：在查询网站中直接截图查询记录，截图作为在广西政府采购云平台（</w:t>
            </w:r>
            <w:r>
              <w:rPr>
                <w:rFonts w:hint="eastAsia" w:ascii="微软雅黑" w:hAnsi="微软雅黑" w:eastAsia="微软雅黑"/>
                <w:bCs/>
                <w:color w:val="auto"/>
                <w:sz w:val="21"/>
                <w:szCs w:val="21"/>
                <w:highlight w:val="none"/>
              </w:rPr>
              <w:t>https://www.gcy.zfcg.gxzf.gov.cn/</w:t>
            </w:r>
            <w:r>
              <w:rPr>
                <w:rFonts w:hint="eastAsia" w:ascii="微软雅黑" w:hAnsi="微软雅黑" w:eastAsia="微软雅黑"/>
                <w:color w:val="auto"/>
                <w:sz w:val="21"/>
                <w:szCs w:val="21"/>
                <w:highlight w:val="none"/>
              </w:rPr>
              <w:t>）作为附件上传保存。</w:t>
            </w:r>
          </w:p>
          <w:p w14:paraId="29E38D53">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color w:val="auto"/>
                <w:sz w:val="21"/>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03577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6E52C47">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26.1</w:t>
            </w:r>
          </w:p>
        </w:tc>
        <w:tc>
          <w:tcPr>
            <w:tcW w:w="8175" w:type="dxa"/>
            <w:tcBorders>
              <w:top w:val="single" w:color="auto" w:sz="4" w:space="0"/>
              <w:left w:val="single" w:color="auto" w:sz="4" w:space="0"/>
              <w:bottom w:val="single" w:color="auto" w:sz="4" w:space="0"/>
              <w:right w:val="single" w:color="auto" w:sz="4" w:space="0"/>
            </w:tcBorders>
            <w:vAlign w:val="center"/>
          </w:tcPr>
          <w:p w14:paraId="19F93820">
            <w:pPr>
              <w:autoSpaceDE w:val="0"/>
              <w:autoSpaceDN w:val="0"/>
              <w:snapToGrid w:val="0"/>
              <w:spacing w:line="240" w:lineRule="auto"/>
              <w:textAlignment w:val="bottom"/>
              <w:rPr>
                <w:rFonts w:hint="eastAsia" w:ascii="微软雅黑" w:hAnsi="微软雅黑" w:eastAsia="微软雅黑"/>
                <w:color w:val="auto"/>
                <w:sz w:val="21"/>
                <w:szCs w:val="21"/>
                <w:highlight w:val="none"/>
                <w:lang w:eastAsia="zh-CN"/>
              </w:rPr>
            </w:pPr>
            <w:r>
              <w:rPr>
                <w:rFonts w:hint="eastAsia" w:ascii="微软雅黑" w:hAnsi="微软雅黑" w:eastAsia="微软雅黑"/>
                <w:color w:val="auto"/>
                <w:sz w:val="21"/>
                <w:szCs w:val="21"/>
                <w:highlight w:val="none"/>
              </w:rPr>
              <w:t>评标委员会的人数：</w:t>
            </w:r>
            <w:r>
              <w:rPr>
                <w:rFonts w:hint="eastAsia" w:ascii="微软雅黑" w:hAnsi="微软雅黑" w:eastAsia="微软雅黑"/>
                <w:b/>
                <w:bCs/>
                <w:color w:val="auto"/>
                <w:sz w:val="21"/>
                <w:szCs w:val="21"/>
                <w:highlight w:val="none"/>
                <w:u w:val="none"/>
                <w:lang w:val="en-US" w:eastAsia="zh-CN"/>
              </w:rPr>
              <w:t>7</w:t>
            </w:r>
            <w:r>
              <w:rPr>
                <w:rFonts w:hint="eastAsia" w:ascii="微软雅黑" w:hAnsi="微软雅黑" w:eastAsia="微软雅黑"/>
                <w:b/>
                <w:bCs/>
                <w:color w:val="auto"/>
                <w:sz w:val="21"/>
                <w:szCs w:val="21"/>
                <w:highlight w:val="none"/>
                <w:u w:val="none"/>
              </w:rPr>
              <w:t>人</w:t>
            </w:r>
            <w:r>
              <w:rPr>
                <w:rFonts w:hint="eastAsia" w:ascii="微软雅黑" w:hAnsi="微软雅黑" w:eastAsia="微软雅黑"/>
                <w:b/>
                <w:bCs/>
                <w:color w:val="auto"/>
                <w:sz w:val="21"/>
                <w:szCs w:val="21"/>
                <w:highlight w:val="none"/>
                <w:u w:val="none"/>
                <w:lang w:eastAsia="zh-CN"/>
              </w:rPr>
              <w:t>及以上单数。</w:t>
            </w:r>
          </w:p>
        </w:tc>
      </w:tr>
      <w:tr w14:paraId="499FDA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38916B76">
            <w:pPr>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29.1</w:t>
            </w:r>
          </w:p>
        </w:tc>
        <w:tc>
          <w:tcPr>
            <w:tcW w:w="8175" w:type="dxa"/>
            <w:tcBorders>
              <w:top w:val="single" w:color="auto" w:sz="4" w:space="0"/>
              <w:left w:val="single" w:color="auto" w:sz="4" w:space="0"/>
              <w:bottom w:val="single" w:color="auto" w:sz="4" w:space="0"/>
              <w:right w:val="single" w:color="auto" w:sz="4" w:space="0"/>
            </w:tcBorders>
            <w:vAlign w:val="center"/>
          </w:tcPr>
          <w:p w14:paraId="6EFCD7F3">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评标方法：</w:t>
            </w:r>
          </w:p>
          <w:p w14:paraId="01DF87C7">
            <w:pPr>
              <w:autoSpaceDE w:val="0"/>
              <w:autoSpaceDN w:val="0"/>
              <w:snapToGrid w:val="0"/>
              <w:spacing w:line="240" w:lineRule="auto"/>
              <w:textAlignment w:val="bottom"/>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综合评分法</w:t>
            </w:r>
          </w:p>
          <w:p w14:paraId="1131EE1F">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□最低评标价法</w:t>
            </w:r>
          </w:p>
        </w:tc>
      </w:tr>
      <w:tr w14:paraId="31D67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1" w:hRule="atLeast"/>
        </w:trPr>
        <w:tc>
          <w:tcPr>
            <w:tcW w:w="978" w:type="dxa"/>
            <w:tcBorders>
              <w:top w:val="single" w:color="auto" w:sz="4" w:space="0"/>
              <w:left w:val="single" w:color="auto" w:sz="4" w:space="0"/>
              <w:bottom w:val="single" w:color="auto" w:sz="4" w:space="0"/>
              <w:right w:val="single" w:color="auto" w:sz="4" w:space="0"/>
            </w:tcBorders>
            <w:vAlign w:val="center"/>
          </w:tcPr>
          <w:p w14:paraId="689F9EFB">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29</w:t>
            </w:r>
            <w:r>
              <w:rPr>
                <w:rFonts w:ascii="微软雅黑" w:hAnsi="微软雅黑" w:eastAsia="微软雅黑"/>
                <w:color w:val="auto"/>
                <w:sz w:val="21"/>
                <w:szCs w:val="21"/>
                <w:highlight w:val="none"/>
              </w:rPr>
              <w:t>.2</w:t>
            </w:r>
          </w:p>
        </w:tc>
        <w:tc>
          <w:tcPr>
            <w:tcW w:w="8175" w:type="dxa"/>
            <w:tcBorders>
              <w:top w:val="single" w:color="auto" w:sz="4" w:space="0"/>
              <w:left w:val="single" w:color="auto" w:sz="4" w:space="0"/>
              <w:right w:val="single" w:color="auto" w:sz="4" w:space="0"/>
            </w:tcBorders>
            <w:vAlign w:val="center"/>
          </w:tcPr>
          <w:p w14:paraId="44FFB82E">
            <w:pPr>
              <w:rPr>
                <w:color w:val="auto"/>
                <w:highlight w:val="none"/>
              </w:rPr>
            </w:pPr>
          </w:p>
          <w:p w14:paraId="43A95A46">
            <w:pPr>
              <w:snapToGrid/>
              <w:spacing w:line="240" w:lineRule="auto"/>
              <w:rPr>
                <w:rFonts w:hint="eastAsia" w:ascii="微软雅黑" w:hAnsi="微软雅黑" w:eastAsia="微软雅黑" w:cs="Times New Roman"/>
                <w:color w:val="auto"/>
                <w:sz w:val="21"/>
                <w:szCs w:val="21"/>
                <w:highlight w:val="none"/>
              </w:rPr>
            </w:pPr>
            <w:r>
              <w:rPr>
                <w:rFonts w:hint="eastAsia" w:ascii="微软雅黑" w:hAnsi="微软雅黑" w:eastAsia="微软雅黑" w:cs="Times New Roman"/>
                <w:color w:val="auto"/>
                <w:sz w:val="21"/>
                <w:szCs w:val="21"/>
                <w:highlight w:val="none"/>
              </w:rPr>
              <w:t>商务要求评审中允许负偏离的条款数为</w:t>
            </w:r>
            <w:r>
              <w:rPr>
                <w:rFonts w:hint="eastAsia" w:ascii="微软雅黑" w:hAnsi="微软雅黑" w:eastAsia="微软雅黑" w:cs="Times New Roman"/>
                <w:b/>
                <w:bCs/>
                <w:color w:val="auto"/>
                <w:sz w:val="21"/>
                <w:szCs w:val="21"/>
                <w:highlight w:val="none"/>
                <w:u w:val="single"/>
                <w:lang w:eastAsia="zh-CN"/>
              </w:rPr>
              <w:t xml:space="preserve"> </w:t>
            </w:r>
            <w:r>
              <w:rPr>
                <w:rFonts w:hint="eastAsia" w:ascii="微软雅黑" w:hAnsi="微软雅黑" w:eastAsia="微软雅黑" w:cs="Times New Roman"/>
                <w:b/>
                <w:bCs/>
                <w:color w:val="auto"/>
                <w:sz w:val="21"/>
                <w:szCs w:val="21"/>
                <w:highlight w:val="none"/>
                <w:u w:val="single"/>
                <w:lang w:val="en-US" w:eastAsia="zh-CN"/>
              </w:rPr>
              <w:t xml:space="preserve"> 0  </w:t>
            </w:r>
            <w:r>
              <w:rPr>
                <w:rFonts w:hint="eastAsia" w:ascii="微软雅黑" w:hAnsi="微软雅黑" w:eastAsia="微软雅黑" w:cs="Times New Roman"/>
                <w:color w:val="auto"/>
                <w:sz w:val="21"/>
                <w:szCs w:val="21"/>
                <w:highlight w:val="none"/>
              </w:rPr>
              <w:t>项。</w:t>
            </w:r>
          </w:p>
          <w:p w14:paraId="00EB24FC">
            <w:pPr>
              <w:snapToGrid/>
              <w:spacing w:line="240" w:lineRule="auto"/>
              <w:rPr>
                <w:rFonts w:hint="eastAsia"/>
                <w:color w:val="auto"/>
                <w:highlight w:val="none"/>
              </w:rPr>
            </w:pPr>
            <w:r>
              <w:rPr>
                <w:rFonts w:hint="eastAsia" w:ascii="微软雅黑" w:hAnsi="微软雅黑" w:eastAsia="微软雅黑" w:cs="Times New Roman"/>
                <w:color w:val="auto"/>
                <w:sz w:val="21"/>
                <w:szCs w:val="21"/>
                <w:highlight w:val="none"/>
              </w:rPr>
              <w:t>技术要求评审中允许负偏离的条款数为</w:t>
            </w:r>
            <w:r>
              <w:rPr>
                <w:rFonts w:hint="eastAsia" w:ascii="微软雅黑" w:hAnsi="微软雅黑" w:eastAsia="微软雅黑" w:cs="Times New Roman"/>
                <w:b/>
                <w:bCs/>
                <w:color w:val="auto"/>
                <w:sz w:val="21"/>
                <w:szCs w:val="21"/>
                <w:highlight w:val="none"/>
                <w:u w:val="single"/>
                <w:lang w:eastAsia="zh-CN"/>
              </w:rPr>
              <w:t xml:space="preserve"> </w:t>
            </w:r>
            <w:r>
              <w:rPr>
                <w:rFonts w:hint="eastAsia" w:ascii="微软雅黑" w:hAnsi="微软雅黑" w:eastAsia="微软雅黑" w:cs="Times New Roman"/>
                <w:b/>
                <w:bCs/>
                <w:color w:val="auto"/>
                <w:sz w:val="21"/>
                <w:szCs w:val="21"/>
                <w:highlight w:val="none"/>
                <w:u w:val="single"/>
                <w:lang w:val="en-US" w:eastAsia="zh-CN"/>
              </w:rPr>
              <w:t xml:space="preserve"> 0  </w:t>
            </w:r>
            <w:r>
              <w:rPr>
                <w:rFonts w:hint="eastAsia" w:ascii="微软雅黑" w:hAnsi="微软雅黑" w:eastAsia="微软雅黑" w:cs="Times New Roman"/>
                <w:color w:val="auto"/>
                <w:sz w:val="21"/>
                <w:szCs w:val="21"/>
                <w:highlight w:val="none"/>
              </w:rPr>
              <w:t>项。</w:t>
            </w:r>
          </w:p>
        </w:tc>
      </w:tr>
      <w:tr w14:paraId="1096B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vAlign w:val="center"/>
          </w:tcPr>
          <w:p w14:paraId="31D8A0FC">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29.3</w:t>
            </w:r>
          </w:p>
        </w:tc>
        <w:tc>
          <w:tcPr>
            <w:tcW w:w="8175" w:type="dxa"/>
            <w:tcBorders>
              <w:top w:val="single" w:color="auto" w:sz="4" w:space="0"/>
              <w:left w:val="single" w:color="auto" w:sz="4" w:space="0"/>
              <w:right w:val="single" w:color="auto" w:sz="4" w:space="0"/>
            </w:tcBorders>
            <w:vAlign w:val="center"/>
          </w:tcPr>
          <w:p w14:paraId="6083E4BE">
            <w:pPr>
              <w:snapToGrid w:val="0"/>
              <w:spacing w:line="240" w:lineRule="auto"/>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中标候选人推荐数量</w:t>
            </w:r>
            <w:r>
              <w:rPr>
                <w:rFonts w:hint="eastAsia" w:ascii="微软雅黑" w:hAnsi="微软雅黑" w:eastAsia="微软雅黑"/>
                <w:color w:val="auto"/>
                <w:sz w:val="21"/>
                <w:szCs w:val="21"/>
                <w:highlight w:val="none"/>
              </w:rPr>
              <w:t>：</w:t>
            </w:r>
          </w:p>
          <w:p w14:paraId="2583D3E0">
            <w:pPr>
              <w:snapToGrid w:val="0"/>
              <w:spacing w:line="240" w:lineRule="auto"/>
              <w:rPr>
                <w:rFonts w:ascii="微软雅黑" w:hAnsi="微软雅黑" w:eastAsia="微软雅黑"/>
                <w:b/>
                <w:bCs/>
                <w:color w:val="auto"/>
                <w:sz w:val="21"/>
                <w:szCs w:val="21"/>
                <w:highlight w:val="none"/>
                <w:u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b/>
                <w:bCs/>
                <w:color w:val="auto"/>
                <w:sz w:val="21"/>
                <w:szCs w:val="21"/>
                <w:highlight w:val="none"/>
                <w:u w:val="none"/>
              </w:rPr>
              <w:t>3</w:t>
            </w:r>
            <w:r>
              <w:rPr>
                <w:rFonts w:ascii="微软雅黑" w:hAnsi="微软雅黑" w:eastAsia="微软雅黑"/>
                <w:b/>
                <w:bCs/>
                <w:color w:val="auto"/>
                <w:sz w:val="21"/>
                <w:szCs w:val="21"/>
                <w:highlight w:val="none"/>
                <w:u w:val="none"/>
              </w:rPr>
              <w:t>名</w:t>
            </w:r>
          </w:p>
          <w:p w14:paraId="702F6187">
            <w:pPr>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olor w:val="auto"/>
                <w:sz w:val="21"/>
                <w:szCs w:val="21"/>
                <w:highlight w:val="none"/>
              </w:rPr>
              <w:t>□根据[总得分由高到低（综合评分法）/评标报价从低到高（最低评标价法）</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排列次序并全部推荐为中标候选人</w:t>
            </w:r>
          </w:p>
        </w:tc>
      </w:tr>
      <w:tr w14:paraId="568DAF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0D558AA8">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30</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vAlign w:val="center"/>
          </w:tcPr>
          <w:p w14:paraId="2491DCA5">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采用综合评分法的采购项目，采购人确定中标人时，出现中标候选人并列的情形，采购人按以下的方式确定中标人：</w:t>
            </w:r>
          </w:p>
          <w:p w14:paraId="7F23C456">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Times New Roman"/>
                <w:b/>
                <w:bCs/>
                <w:color w:val="auto"/>
                <w:sz w:val="21"/>
                <w:szCs w:val="21"/>
                <w:highlight w:val="none"/>
                <w:u w:val="none"/>
              </w:rPr>
              <w:t>依次按投标报价低的优先、技术评分高的优先、商务评分高的优先、故障响时间短优先的顺序确定；</w:t>
            </w:r>
          </w:p>
          <w:p w14:paraId="222CD3E4">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□随机抽取；</w:t>
            </w:r>
          </w:p>
        </w:tc>
      </w:tr>
      <w:tr w14:paraId="4FEB2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vAlign w:val="center"/>
          </w:tcPr>
          <w:p w14:paraId="19D46CEA">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35</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vAlign w:val="center"/>
          </w:tcPr>
          <w:p w14:paraId="1AD1ED46">
            <w:pPr>
              <w:autoSpaceDE w:val="0"/>
              <w:autoSpaceDN w:val="0"/>
              <w:snapToGrid w:val="0"/>
              <w:spacing w:line="240" w:lineRule="auto"/>
              <w:textAlignment w:val="bottom"/>
              <w:rPr>
                <w:rFonts w:ascii="微软雅黑" w:hAnsi="微软雅黑" w:eastAsia="微软雅黑"/>
                <w:color w:val="auto"/>
                <w:szCs w:val="21"/>
                <w:highlight w:val="none"/>
              </w:rPr>
            </w:pP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rPr>
              <w:t>本项目不收取履约保证金。</w:t>
            </w:r>
          </w:p>
          <w:p w14:paraId="389CB874">
            <w:pPr>
              <w:rPr>
                <w:rFonts w:ascii="微软雅黑" w:hAnsi="微软雅黑" w:eastAsia="微软雅黑"/>
                <w:color w:val="auto"/>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olor w:val="auto"/>
                <w:szCs w:val="21"/>
                <w:highlight w:val="none"/>
              </w:rPr>
              <w:t>本项目收取履约保证金，具体规定如下：</w:t>
            </w:r>
          </w:p>
          <w:p w14:paraId="71BC52A6">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履约保证金金额：</w:t>
            </w:r>
            <w:r>
              <w:rPr>
                <w:rFonts w:hint="eastAsia" w:ascii="微软雅黑" w:hAnsi="微软雅黑" w:eastAsia="微软雅黑"/>
                <w:b/>
                <w:bCs/>
                <w:color w:val="auto"/>
                <w:szCs w:val="21"/>
                <w:highlight w:val="none"/>
                <w:u w:val="single"/>
              </w:rPr>
              <w:t>按合同金额的</w:t>
            </w:r>
            <w:r>
              <w:rPr>
                <w:rFonts w:hint="eastAsia" w:ascii="微软雅黑" w:hAnsi="微软雅黑" w:eastAsia="微软雅黑"/>
                <w:b/>
                <w:bCs/>
                <w:color w:val="auto"/>
                <w:szCs w:val="21"/>
                <w:highlight w:val="none"/>
                <w:u w:val="single"/>
                <w:lang w:val="en-US" w:eastAsia="zh-CN"/>
              </w:rPr>
              <w:t>2</w:t>
            </w:r>
            <w:r>
              <w:rPr>
                <w:rFonts w:hint="eastAsia" w:ascii="微软雅黑" w:hAnsi="微软雅黑" w:eastAsia="微软雅黑"/>
                <w:b/>
                <w:bCs/>
                <w:color w:val="auto"/>
                <w:szCs w:val="21"/>
                <w:highlight w:val="none"/>
                <w:u w:val="single"/>
              </w:rPr>
              <w:t>%收取</w:t>
            </w:r>
            <w:r>
              <w:rPr>
                <w:rFonts w:hint="eastAsia" w:ascii="微软雅黑" w:hAnsi="微软雅黑" w:eastAsia="微软雅黑"/>
                <w:color w:val="auto"/>
                <w:szCs w:val="21"/>
                <w:highlight w:val="none"/>
                <w:u w:val="none"/>
              </w:rPr>
              <w:t>（</w:t>
            </w:r>
            <w:r>
              <w:rPr>
                <w:rFonts w:hint="eastAsia" w:ascii="微软雅黑" w:hAnsi="微软雅黑" w:eastAsia="微软雅黑"/>
                <w:color w:val="auto"/>
                <w:szCs w:val="21"/>
                <w:highlight w:val="none"/>
              </w:rPr>
              <w:t>注：符合《 广西壮族自治区财政厅关于规范政府采购货物和服务项目保证金管理的通知》桂财规〔2022〕8号文件要求的，按照相关要求执行）。</w:t>
            </w:r>
          </w:p>
          <w:p w14:paraId="6605EDF7">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履约保证金递交方式：银行转账、支票、汇票、本票或者金融机构、担保机构出具的保函等非现金方式。</w:t>
            </w:r>
          </w:p>
          <w:p w14:paraId="30103548">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履约保证金缴纳期限:</w:t>
            </w:r>
            <w:r>
              <w:rPr>
                <w:rFonts w:ascii="微软雅黑" w:hAnsi="微软雅黑" w:eastAsia="微软雅黑"/>
                <w:color w:val="auto"/>
                <w:szCs w:val="21"/>
                <w:highlight w:val="none"/>
              </w:rPr>
              <w:t xml:space="preserve"> </w:t>
            </w:r>
            <w:r>
              <w:rPr>
                <w:rFonts w:hint="eastAsia" w:ascii="微软雅黑" w:hAnsi="微软雅黑" w:eastAsia="微软雅黑"/>
                <w:color w:val="auto"/>
                <w:szCs w:val="21"/>
                <w:highlight w:val="none"/>
                <w:u w:val="single"/>
              </w:rPr>
              <w:t>中标人在签订合同之前</w:t>
            </w:r>
            <w:r>
              <w:rPr>
                <w:rFonts w:hint="eastAsia" w:ascii="微软雅黑" w:hAnsi="微软雅黑" w:eastAsia="微软雅黑"/>
                <w:color w:val="auto"/>
                <w:szCs w:val="21"/>
                <w:highlight w:val="none"/>
              </w:rPr>
              <w:t>。</w:t>
            </w:r>
          </w:p>
          <w:p w14:paraId="0C4DC73E">
            <w:pPr>
              <w:autoSpaceDE w:val="0"/>
              <w:autoSpaceDN w:val="0"/>
              <w:snapToGrid w:val="0"/>
              <w:spacing w:line="240" w:lineRule="auto"/>
              <w:textAlignment w:val="bottom"/>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履约保证金退付方式、时间及条件：</w:t>
            </w:r>
            <w:r>
              <w:rPr>
                <w:rFonts w:hint="eastAsia" w:ascii="微软雅黑" w:hAnsi="微软雅黑" w:eastAsia="微软雅黑"/>
                <w:color w:val="auto"/>
                <w:szCs w:val="21"/>
                <w:highlight w:val="none"/>
                <w:u w:val="single"/>
              </w:rPr>
              <w:t>服务期满，待</w:t>
            </w:r>
            <w:r>
              <w:rPr>
                <w:rFonts w:hint="eastAsia" w:ascii="微软雅黑" w:hAnsi="微软雅黑" w:eastAsia="微软雅黑"/>
                <w:color w:val="auto"/>
                <w:szCs w:val="21"/>
                <w:highlight w:val="none"/>
                <w:u w:val="single"/>
                <w:lang w:eastAsia="zh-CN"/>
              </w:rPr>
              <w:t>中标人</w:t>
            </w:r>
            <w:r>
              <w:rPr>
                <w:rFonts w:hint="eastAsia" w:ascii="微软雅黑" w:hAnsi="微软雅黑" w:eastAsia="微软雅黑"/>
                <w:color w:val="auto"/>
                <w:szCs w:val="21"/>
                <w:highlight w:val="none"/>
                <w:u w:val="single"/>
              </w:rPr>
              <w:t>履行完合同全部义务后，如未出现违约事项的，5个工作日内无息返还。由</w:t>
            </w:r>
            <w:r>
              <w:rPr>
                <w:rFonts w:hint="eastAsia" w:ascii="微软雅黑" w:hAnsi="微软雅黑" w:eastAsia="微软雅黑"/>
                <w:color w:val="auto"/>
                <w:szCs w:val="21"/>
                <w:highlight w:val="none"/>
                <w:u w:val="single"/>
                <w:lang w:eastAsia="zh-CN"/>
              </w:rPr>
              <w:t>中标人</w:t>
            </w:r>
            <w:r>
              <w:rPr>
                <w:rFonts w:hint="eastAsia" w:ascii="微软雅黑" w:hAnsi="微软雅黑" w:eastAsia="微软雅黑"/>
                <w:color w:val="auto"/>
                <w:szCs w:val="21"/>
                <w:highlight w:val="none"/>
                <w:u w:val="single"/>
              </w:rPr>
              <w:t>向</w:t>
            </w:r>
            <w:r>
              <w:rPr>
                <w:rFonts w:hint="eastAsia" w:ascii="微软雅黑" w:hAnsi="微软雅黑" w:eastAsia="微软雅黑"/>
                <w:color w:val="auto"/>
                <w:szCs w:val="21"/>
                <w:highlight w:val="none"/>
                <w:u w:val="single"/>
                <w:lang w:eastAsia="zh-CN"/>
              </w:rPr>
              <w:t>采购人</w:t>
            </w:r>
            <w:r>
              <w:rPr>
                <w:rFonts w:hint="eastAsia" w:ascii="微软雅黑" w:hAnsi="微软雅黑" w:eastAsia="微软雅黑"/>
                <w:color w:val="auto"/>
                <w:szCs w:val="21"/>
                <w:highlight w:val="none"/>
                <w:u w:val="single"/>
              </w:rPr>
              <w:t>提供《广西壮族自治区政府采购项目合同验收书》及《政府采购项目履约保证金退付意见书》，</w:t>
            </w:r>
            <w:r>
              <w:rPr>
                <w:rFonts w:hint="eastAsia" w:ascii="微软雅黑" w:hAnsi="微软雅黑" w:eastAsia="微软雅黑"/>
                <w:color w:val="auto"/>
                <w:szCs w:val="21"/>
                <w:highlight w:val="none"/>
                <w:u w:val="single"/>
                <w:lang w:eastAsia="zh-CN"/>
              </w:rPr>
              <w:t>采购人</w:t>
            </w:r>
            <w:r>
              <w:rPr>
                <w:rFonts w:hint="eastAsia" w:ascii="微软雅黑" w:hAnsi="微软雅黑" w:eastAsia="微软雅黑"/>
                <w:color w:val="auto"/>
                <w:szCs w:val="21"/>
                <w:highlight w:val="none"/>
                <w:u w:val="single"/>
              </w:rPr>
              <w:t>在收到合格材料后15个工作日内办理退还手续（不计利息）。</w:t>
            </w:r>
          </w:p>
          <w:p w14:paraId="42B580F6">
            <w:pPr>
              <w:autoSpaceDE w:val="0"/>
              <w:autoSpaceDN w:val="0"/>
              <w:snapToGrid w:val="0"/>
              <w:spacing w:line="240" w:lineRule="auto"/>
              <w:textAlignment w:val="bottom"/>
              <w:rPr>
                <w:color w:val="auto"/>
                <w:highlight w:val="none"/>
              </w:rPr>
            </w:pPr>
            <w:r>
              <w:rPr>
                <w:rFonts w:hint="eastAsia" w:ascii="微软雅黑" w:hAnsi="微软雅黑" w:eastAsia="微软雅黑"/>
                <w:color w:val="auto"/>
                <w:szCs w:val="21"/>
                <w:highlight w:val="none"/>
                <w:u w:val="none"/>
              </w:rPr>
              <w:t>不予退还的情形：</w:t>
            </w:r>
            <w:r>
              <w:rPr>
                <w:rFonts w:hint="eastAsia" w:ascii="微软雅黑" w:hAnsi="微软雅黑" w:eastAsia="微软雅黑"/>
                <w:color w:val="auto"/>
                <w:szCs w:val="21"/>
                <w:highlight w:val="none"/>
                <w:u w:val="single"/>
              </w:rPr>
              <w:t>签订合同后，如中标人不按双方签订的合同规定履约，则其全部履约保证金不予退还。</w:t>
            </w:r>
          </w:p>
          <w:p w14:paraId="5C516AC7">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履约保证金指定账户：</w:t>
            </w:r>
          </w:p>
          <w:p w14:paraId="4AE7EAEF">
            <w:pPr>
              <w:spacing w:line="240" w:lineRule="auto"/>
              <w:ind w:firstLine="0" w:firstLineChars="0"/>
              <w:rPr>
                <w:rFonts w:hint="eastAsia" w:ascii="微软雅黑" w:hAnsi="微软雅黑" w:eastAsia="微软雅黑" w:cs="微软雅黑"/>
                <w:color w:val="auto"/>
                <w:szCs w:val="21"/>
                <w:highlight w:val="none"/>
                <w:u w:val="single"/>
                <w:lang w:bidi="ar"/>
              </w:rPr>
            </w:pPr>
            <w:r>
              <w:rPr>
                <w:rFonts w:hint="eastAsia" w:ascii="微软雅黑" w:hAnsi="微软雅黑" w:eastAsia="微软雅黑" w:cs="微软雅黑"/>
                <w:color w:val="auto"/>
                <w:szCs w:val="21"/>
                <w:highlight w:val="none"/>
                <w:lang w:bidi="ar"/>
              </w:rPr>
              <w:t>开户名称：</w:t>
            </w:r>
            <w:r>
              <w:rPr>
                <w:rFonts w:hint="eastAsia" w:ascii="微软雅黑" w:hAnsi="微软雅黑" w:eastAsia="微软雅黑" w:cs="微软雅黑"/>
                <w:color w:val="auto"/>
                <w:szCs w:val="21"/>
                <w:highlight w:val="none"/>
                <w:u w:val="single"/>
                <w:lang w:bidi="ar"/>
              </w:rPr>
              <w:t>广西壮族自治区公安厅</w:t>
            </w:r>
          </w:p>
          <w:p w14:paraId="42C1A676">
            <w:pPr>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开户银行：</w:t>
            </w:r>
            <w:r>
              <w:rPr>
                <w:rFonts w:hint="eastAsia" w:ascii="微软雅黑" w:hAnsi="微软雅黑" w:eastAsia="微软雅黑" w:cs="微软雅黑"/>
                <w:color w:val="auto"/>
                <w:szCs w:val="21"/>
                <w:highlight w:val="none"/>
                <w:u w:val="single"/>
                <w:lang w:bidi="ar"/>
              </w:rPr>
              <w:t>工行南宁市凤翔北支行</w:t>
            </w:r>
          </w:p>
          <w:p w14:paraId="1DF35831">
            <w:pPr>
              <w:autoSpaceDE/>
              <w:autoSpaceDN/>
              <w:snapToGrid/>
              <w:spacing w:line="240" w:lineRule="auto"/>
              <w:ind w:firstLine="0" w:firstLineChars="0"/>
              <w:textAlignment w:val="auto"/>
              <w:rPr>
                <w:rFonts w:hint="eastAsia" w:ascii="微软雅黑" w:hAnsi="微软雅黑" w:eastAsia="微软雅黑"/>
                <w:color w:val="auto"/>
                <w:szCs w:val="21"/>
                <w:highlight w:val="none"/>
              </w:rPr>
            </w:pPr>
            <w:r>
              <w:rPr>
                <w:rFonts w:hint="eastAsia" w:ascii="微软雅黑" w:hAnsi="微软雅黑" w:eastAsia="微软雅黑" w:cs="微软雅黑"/>
                <w:color w:val="auto"/>
                <w:szCs w:val="21"/>
                <w:highlight w:val="none"/>
                <w:lang w:bidi="ar"/>
              </w:rPr>
              <w:t>银行账号：</w:t>
            </w:r>
            <w:r>
              <w:rPr>
                <w:rFonts w:hint="eastAsia" w:ascii="微软雅黑" w:hAnsi="微软雅黑" w:eastAsia="微软雅黑" w:cs="微软雅黑"/>
                <w:color w:val="auto"/>
                <w:szCs w:val="21"/>
                <w:highlight w:val="none"/>
                <w:u w:val="single"/>
                <w:lang w:bidi="ar"/>
              </w:rPr>
              <w:t>2102109509300002155</w:t>
            </w:r>
          </w:p>
          <w:p w14:paraId="7F477759">
            <w:pPr>
              <w:spacing w:line="240" w:lineRule="auto"/>
              <w:jc w:val="left"/>
              <w:rPr>
                <w:rFonts w:ascii="微软雅黑" w:hAnsi="微软雅黑" w:eastAsia="微软雅黑" w:cs="Courier New"/>
                <w:color w:val="auto"/>
                <w:szCs w:val="21"/>
                <w:highlight w:val="none"/>
              </w:rPr>
            </w:pPr>
            <w:r>
              <w:rPr>
                <w:rFonts w:ascii="微软雅黑" w:hAnsi="微软雅黑" w:eastAsia="微软雅黑" w:cs="Courier New"/>
                <w:color w:val="auto"/>
                <w:szCs w:val="21"/>
                <w:highlight w:val="none"/>
              </w:rPr>
              <w:t>备注：</w:t>
            </w:r>
          </w:p>
          <w:p w14:paraId="456F49AB">
            <w:pPr>
              <w:spacing w:line="240" w:lineRule="auto"/>
              <w:jc w:val="left"/>
              <w:rPr>
                <w:rFonts w:hint="eastAsia" w:ascii="微软雅黑" w:hAnsi="微软雅黑" w:eastAsia="微软雅黑"/>
                <w:b/>
                <w:color w:val="auto"/>
                <w:szCs w:val="21"/>
                <w:highlight w:val="none"/>
              </w:rPr>
            </w:pPr>
            <w:r>
              <w:rPr>
                <w:rFonts w:ascii="微软雅黑" w:hAnsi="微软雅黑" w:eastAsia="微软雅黑"/>
                <w:b/>
                <w:color w:val="auto"/>
                <w:szCs w:val="21"/>
                <w:highlight w:val="none"/>
              </w:rPr>
              <w:t>1.</w:t>
            </w:r>
            <w:r>
              <w:rPr>
                <w:rFonts w:hint="eastAsia" w:ascii="微软雅黑" w:hAnsi="微软雅黑" w:eastAsia="微软雅黑"/>
                <w:b/>
                <w:color w:val="auto"/>
                <w:szCs w:val="21"/>
                <w:highlight w:val="none"/>
              </w:rPr>
              <w:t xml:space="preserve"> 根据《广西壮族自治区财政厅关于贯彻落实政府采购优化营商环境百日攻坚行动方案的通知》（桂财采〔2020〕49号）及《广西壮族自治区财政厅关于规范政府采购货物和服务项目保证金管理的通知》（桂财规〔2022〕8号）的规定，履约保证金数额不得超过政府采购合同金额的5%；政府采购要加大对中小企业发展的扶持力度，对中小企业收取的履约保证金数额不得超过政府采购合同金额的2%</w:t>
            </w:r>
            <w:r>
              <w:rPr>
                <w:rFonts w:hint="eastAsia" w:ascii="微软雅黑" w:hAnsi="微软雅黑" w:eastAsia="微软雅黑" w:cs="宋体"/>
                <w:b/>
                <w:color w:val="auto"/>
                <w:kern w:val="0"/>
                <w:szCs w:val="21"/>
                <w:highlight w:val="none"/>
              </w:rPr>
              <w:t>。</w:t>
            </w:r>
          </w:p>
          <w:p w14:paraId="1F79CA6B">
            <w:pPr>
              <w:spacing w:line="240" w:lineRule="auto"/>
              <w:jc w:val="left"/>
              <w:rPr>
                <w:rFonts w:hint="eastAsia" w:ascii="微软雅黑" w:hAnsi="微软雅黑" w:eastAsia="微软雅黑"/>
                <w:b/>
                <w:color w:val="auto"/>
                <w:szCs w:val="21"/>
                <w:highlight w:val="none"/>
              </w:rPr>
            </w:pPr>
            <w:r>
              <w:rPr>
                <w:rFonts w:ascii="微软雅黑" w:hAnsi="微软雅黑" w:eastAsia="微软雅黑"/>
                <w:b/>
                <w:color w:val="auto"/>
                <w:szCs w:val="21"/>
                <w:highlight w:val="none"/>
              </w:rPr>
              <w:t>2.</w:t>
            </w:r>
            <w:r>
              <w:rPr>
                <w:rFonts w:hint="eastAsia" w:ascii="微软雅黑" w:hAnsi="微软雅黑" w:eastAsia="微软雅黑"/>
                <w:color w:val="auto"/>
                <w:szCs w:val="21"/>
                <w:highlight w:val="none"/>
              </w:rPr>
              <w:t xml:space="preserve"> </w:t>
            </w:r>
            <w:r>
              <w:rPr>
                <w:rFonts w:hint="eastAsia" w:ascii="微软雅黑" w:hAnsi="微软雅黑" w:eastAsia="微软雅黑"/>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微软雅黑" w:hAnsi="微软雅黑" w:eastAsia="微软雅黑"/>
                <w:b/>
                <w:color w:val="auto"/>
                <w:szCs w:val="21"/>
                <w:highlight w:val="none"/>
              </w:rPr>
              <w:br w:type="textWrapping"/>
            </w:r>
            <w:r>
              <w:rPr>
                <w:rFonts w:ascii="微软雅黑" w:hAnsi="微软雅黑" w:eastAsia="微软雅黑"/>
                <w:b/>
                <w:color w:val="auto"/>
                <w:szCs w:val="21"/>
                <w:highlight w:val="none"/>
              </w:rPr>
              <w:t>3.采用银行、保险机构出具的保函的，必须为无条件保函，否则不予签订合同。</w:t>
            </w:r>
          </w:p>
          <w:p w14:paraId="3B07D367">
            <w:pPr>
              <w:spacing w:line="240" w:lineRule="auto"/>
              <w:jc w:val="left"/>
              <w:rPr>
                <w:rFonts w:hint="eastAsia" w:ascii="微软雅黑" w:hAnsi="微软雅黑" w:eastAsia="微软雅黑" w:cs="宋体"/>
                <w:color w:val="auto"/>
                <w:kern w:val="0"/>
                <w:sz w:val="21"/>
                <w:szCs w:val="21"/>
                <w:highlight w:val="none"/>
                <w:lang w:val="en-US" w:eastAsia="zh-CN" w:bidi="ar-SA"/>
              </w:rPr>
            </w:pPr>
            <w:r>
              <w:rPr>
                <w:rFonts w:ascii="微软雅黑" w:hAnsi="微软雅黑" w:eastAsia="微软雅黑"/>
                <w:b/>
                <w:color w:val="auto"/>
                <w:szCs w:val="21"/>
                <w:highlight w:val="none"/>
              </w:rPr>
              <w:t>4.</w:t>
            </w:r>
            <w:r>
              <w:rPr>
                <w:rFonts w:hint="eastAsia" w:ascii="微软雅黑" w:hAnsi="微软雅黑" w:eastAsia="微软雅黑"/>
                <w:b/>
                <w:color w:val="auto"/>
                <w:szCs w:val="21"/>
                <w:highlight w:val="none"/>
              </w:rPr>
              <w:t>投标人为联合体的，由联合体其中一方按规定提交的履约保证金，视为有效履约保证金。</w:t>
            </w:r>
          </w:p>
        </w:tc>
      </w:tr>
      <w:tr w14:paraId="4F911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7F06026">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36.1</w:t>
            </w:r>
          </w:p>
        </w:tc>
        <w:tc>
          <w:tcPr>
            <w:tcW w:w="8175" w:type="dxa"/>
            <w:tcBorders>
              <w:top w:val="single" w:color="auto" w:sz="4" w:space="0"/>
              <w:left w:val="single" w:color="auto" w:sz="4" w:space="0"/>
              <w:bottom w:val="single" w:color="auto" w:sz="4" w:space="0"/>
              <w:right w:val="single" w:color="auto" w:sz="4" w:space="0"/>
            </w:tcBorders>
            <w:vAlign w:val="center"/>
          </w:tcPr>
          <w:p w14:paraId="2602324D">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签订合同携带的证明材料： </w:t>
            </w:r>
          </w:p>
          <w:p w14:paraId="0CC9A587">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委托代理人负责签订合同的，须携带授权委托书及委托代理人身份证原件等其他资格证件。</w:t>
            </w:r>
          </w:p>
          <w:p w14:paraId="690D4F05">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法定代表人负责签订合同的，须携带法定代表人</w:t>
            </w:r>
            <w:r>
              <w:rPr>
                <w:rFonts w:ascii="微软雅黑" w:hAnsi="微软雅黑" w:eastAsia="微软雅黑"/>
                <w:color w:val="auto"/>
                <w:sz w:val="21"/>
                <w:szCs w:val="21"/>
                <w:highlight w:val="none"/>
              </w:rPr>
              <w:t>身份证明原件</w:t>
            </w:r>
            <w:r>
              <w:rPr>
                <w:rFonts w:hint="eastAsia" w:ascii="微软雅黑" w:hAnsi="微软雅黑" w:eastAsia="微软雅黑"/>
                <w:color w:val="auto"/>
                <w:sz w:val="21"/>
                <w:szCs w:val="21"/>
                <w:highlight w:val="none"/>
              </w:rPr>
              <w:t>及</w:t>
            </w:r>
            <w:r>
              <w:rPr>
                <w:rFonts w:ascii="微软雅黑" w:hAnsi="微软雅黑" w:eastAsia="微软雅黑"/>
                <w:color w:val="auto"/>
                <w:sz w:val="21"/>
                <w:szCs w:val="21"/>
                <w:highlight w:val="none"/>
              </w:rPr>
              <w:t>身份证原件</w:t>
            </w:r>
            <w:r>
              <w:rPr>
                <w:rFonts w:hint="eastAsia" w:ascii="微软雅黑" w:hAnsi="微软雅黑" w:eastAsia="微软雅黑"/>
                <w:color w:val="auto"/>
                <w:sz w:val="21"/>
                <w:szCs w:val="21"/>
                <w:highlight w:val="none"/>
              </w:rPr>
              <w:t>等其他证明材料。</w:t>
            </w:r>
          </w:p>
        </w:tc>
      </w:tr>
      <w:tr w14:paraId="76994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301D9B7">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8.2</w:t>
            </w:r>
          </w:p>
        </w:tc>
        <w:tc>
          <w:tcPr>
            <w:tcW w:w="8175" w:type="dxa"/>
            <w:tcBorders>
              <w:top w:val="single" w:color="auto" w:sz="4" w:space="0"/>
              <w:left w:val="single" w:color="auto" w:sz="4" w:space="0"/>
              <w:bottom w:val="single" w:color="auto" w:sz="4" w:space="0"/>
              <w:right w:val="single" w:color="auto" w:sz="4" w:space="0"/>
            </w:tcBorders>
            <w:vAlign w:val="center"/>
          </w:tcPr>
          <w:p w14:paraId="5297E6D8">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接收质疑函方式：以书面形式</w:t>
            </w:r>
          </w:p>
          <w:p w14:paraId="3E351617">
            <w:pPr>
              <w:snapToGrid w:val="0"/>
              <w:spacing w:line="240" w:lineRule="auto"/>
              <w:rPr>
                <w:rFonts w:hint="eastAsia" w:ascii="微软雅黑" w:hAnsi="微软雅黑" w:eastAsia="微软雅黑"/>
                <w:color w:val="auto"/>
                <w:sz w:val="21"/>
                <w:szCs w:val="21"/>
                <w:highlight w:val="none"/>
                <w:u w:val="single"/>
                <w:lang w:eastAsia="zh-CN"/>
              </w:rPr>
            </w:pPr>
            <w:r>
              <w:rPr>
                <w:rFonts w:hint="eastAsia" w:ascii="微软雅黑" w:hAnsi="微软雅黑" w:eastAsia="微软雅黑"/>
                <w:color w:val="auto"/>
                <w:sz w:val="21"/>
                <w:szCs w:val="21"/>
                <w:highlight w:val="none"/>
              </w:rPr>
              <w:t>质疑联系部门及联系方式：</w:t>
            </w:r>
            <w:r>
              <w:rPr>
                <w:rFonts w:hint="eastAsia" w:ascii="微软雅黑" w:hAnsi="微软雅黑" w:eastAsia="微软雅黑"/>
                <w:color w:val="auto"/>
                <w:sz w:val="21"/>
                <w:szCs w:val="21"/>
                <w:highlight w:val="none"/>
                <w:u w:val="single"/>
              </w:rPr>
              <w:t>华新项目管理集团有限公司</w:t>
            </w:r>
            <w:r>
              <w:rPr>
                <w:rFonts w:hint="eastAsia" w:ascii="微软雅黑" w:hAnsi="微软雅黑" w:eastAsia="微软雅黑"/>
                <w:color w:val="auto"/>
                <w:sz w:val="21"/>
                <w:szCs w:val="21"/>
                <w:highlight w:val="none"/>
                <w:u w:val="single"/>
                <w:lang w:val="en-US" w:eastAsia="zh-CN"/>
              </w:rPr>
              <w:t>招标部</w:t>
            </w:r>
            <w:r>
              <w:rPr>
                <w:rFonts w:ascii="微软雅黑" w:hAnsi="微软雅黑" w:eastAsia="微软雅黑"/>
                <w:color w:val="auto"/>
                <w:sz w:val="21"/>
                <w:szCs w:val="21"/>
                <w:highlight w:val="none"/>
                <w:u w:val="single"/>
              </w:rPr>
              <w:t>，联系电话：</w:t>
            </w:r>
            <w:r>
              <w:rPr>
                <w:rFonts w:hint="eastAsia" w:ascii="微软雅黑" w:hAnsi="微软雅黑" w:eastAsia="微软雅黑"/>
                <w:color w:val="auto"/>
                <w:sz w:val="21"/>
                <w:szCs w:val="21"/>
                <w:highlight w:val="none"/>
                <w:u w:val="single"/>
              </w:rPr>
              <w:t>0771-5502082</w:t>
            </w:r>
            <w:r>
              <w:rPr>
                <w:rFonts w:hint="eastAsia" w:ascii="微软雅黑" w:hAnsi="微软雅黑" w:eastAsia="微软雅黑"/>
                <w:color w:val="auto"/>
                <w:sz w:val="21"/>
                <w:szCs w:val="21"/>
                <w:highlight w:val="none"/>
                <w:u w:val="single"/>
                <w:lang w:eastAsia="zh-CN"/>
              </w:rPr>
              <w:t>；</w:t>
            </w:r>
          </w:p>
          <w:p w14:paraId="4A074723">
            <w:pPr>
              <w:snapToGrid w:val="0"/>
              <w:spacing w:line="240" w:lineRule="auto"/>
              <w:rPr>
                <w:rFonts w:hint="eastAsia" w:ascii="微软雅黑" w:hAnsi="微软雅黑" w:eastAsia="微软雅黑"/>
                <w:color w:val="auto"/>
                <w:sz w:val="21"/>
                <w:szCs w:val="21"/>
                <w:highlight w:val="none"/>
                <w:u w:val="single"/>
              </w:rPr>
            </w:pPr>
            <w:r>
              <w:rPr>
                <w:rFonts w:ascii="微软雅黑" w:hAnsi="微软雅黑" w:eastAsia="微软雅黑"/>
                <w:color w:val="auto"/>
                <w:sz w:val="21"/>
                <w:szCs w:val="21"/>
                <w:highlight w:val="none"/>
              </w:rPr>
              <w:t>通讯地址</w:t>
            </w:r>
            <w:r>
              <w:rPr>
                <w:rFonts w:ascii="微软雅黑" w:hAnsi="微软雅黑" w:eastAsia="微软雅黑" w:cs="Helvetica"/>
                <w:color w:val="auto"/>
                <w:sz w:val="21"/>
                <w:szCs w:val="21"/>
                <w:highlight w:val="none"/>
              </w:rPr>
              <w:t>：</w:t>
            </w:r>
            <w:r>
              <w:rPr>
                <w:rFonts w:hint="eastAsia" w:ascii="微软雅黑" w:hAnsi="微软雅黑" w:eastAsia="微软雅黑" w:cs="Helvetica"/>
                <w:color w:val="auto"/>
                <w:sz w:val="21"/>
                <w:szCs w:val="21"/>
                <w:highlight w:val="none"/>
                <w:u w:val="single"/>
              </w:rPr>
              <w:t>华新项目管理集团有限公司</w:t>
            </w:r>
            <w:r>
              <w:rPr>
                <w:rFonts w:ascii="微软雅黑" w:hAnsi="微软雅黑" w:eastAsia="微软雅黑"/>
                <w:color w:val="auto"/>
                <w:sz w:val="21"/>
                <w:szCs w:val="21"/>
                <w:highlight w:val="none"/>
                <w:u w:val="single"/>
              </w:rPr>
              <w:t>（</w:t>
            </w:r>
            <w:r>
              <w:rPr>
                <w:rFonts w:hint="eastAsia" w:ascii="微软雅黑" w:hAnsi="微软雅黑" w:eastAsia="微软雅黑"/>
                <w:color w:val="auto"/>
                <w:sz w:val="21"/>
                <w:szCs w:val="21"/>
                <w:highlight w:val="none"/>
                <w:u w:val="single"/>
                <w:lang w:eastAsia="zh-CN"/>
              </w:rPr>
              <w:t>南宁市中柬路9号利海亚洲国际领峰A座910室</w:t>
            </w:r>
            <w:r>
              <w:rPr>
                <w:rFonts w:ascii="微软雅黑" w:hAnsi="微软雅黑" w:eastAsia="微软雅黑"/>
                <w:color w:val="auto"/>
                <w:sz w:val="21"/>
                <w:szCs w:val="21"/>
                <w:highlight w:val="none"/>
                <w:u w:val="single"/>
              </w:rPr>
              <w:t>）</w:t>
            </w:r>
          </w:p>
          <w:p w14:paraId="0237502B">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业务时间：</w:t>
            </w:r>
            <w:r>
              <w:rPr>
                <w:rFonts w:hint="eastAsia" w:ascii="微软雅黑" w:hAnsi="微软雅黑" w:eastAsia="微软雅黑"/>
                <w:color w:val="auto"/>
                <w:sz w:val="21"/>
                <w:szCs w:val="21"/>
                <w:highlight w:val="none"/>
                <w:u w:val="single"/>
              </w:rPr>
              <w:t>工作日每天上午</w:t>
            </w:r>
            <w:r>
              <w:rPr>
                <w:rFonts w:ascii="微软雅黑" w:hAnsi="微软雅黑" w:eastAsia="微软雅黑"/>
                <w:color w:val="auto"/>
                <w:sz w:val="21"/>
                <w:szCs w:val="21"/>
                <w:highlight w:val="none"/>
                <w:u w:val="single"/>
              </w:rPr>
              <w:t>8</w:t>
            </w:r>
            <w:r>
              <w:rPr>
                <w:rFonts w:hint="eastAsia" w:ascii="微软雅黑" w:hAnsi="微软雅黑" w:eastAsia="微软雅黑"/>
                <w:color w:val="auto"/>
                <w:sz w:val="21"/>
                <w:szCs w:val="21"/>
                <w:highlight w:val="none"/>
                <w:u w:val="single"/>
              </w:rPr>
              <w:t>时</w:t>
            </w:r>
            <w:r>
              <w:rPr>
                <w:rFonts w:hint="eastAsia" w:ascii="微软雅黑" w:hAnsi="微软雅黑" w:eastAsia="微软雅黑"/>
                <w:color w:val="auto"/>
                <w:sz w:val="21"/>
                <w:szCs w:val="21"/>
                <w:highlight w:val="none"/>
                <w:u w:val="single"/>
                <w:lang w:val="en-US" w:eastAsia="zh-CN"/>
              </w:rPr>
              <w:t>3</w:t>
            </w:r>
            <w:r>
              <w:rPr>
                <w:rFonts w:ascii="微软雅黑" w:hAnsi="微软雅黑" w:eastAsia="微软雅黑"/>
                <w:color w:val="auto"/>
                <w:sz w:val="21"/>
                <w:szCs w:val="21"/>
                <w:highlight w:val="none"/>
                <w:u w:val="single"/>
              </w:rPr>
              <w:t>0</w:t>
            </w:r>
            <w:r>
              <w:rPr>
                <w:rFonts w:hint="eastAsia" w:ascii="微软雅黑" w:hAnsi="微软雅黑" w:eastAsia="微软雅黑"/>
                <w:color w:val="auto"/>
                <w:sz w:val="21"/>
                <w:szCs w:val="21"/>
                <w:highlight w:val="none"/>
                <w:u w:val="single"/>
              </w:rPr>
              <w:t>分到</w:t>
            </w:r>
            <w:r>
              <w:rPr>
                <w:rFonts w:ascii="微软雅黑" w:hAnsi="微软雅黑" w:eastAsia="微软雅黑"/>
                <w:color w:val="auto"/>
                <w:sz w:val="21"/>
                <w:szCs w:val="21"/>
                <w:highlight w:val="none"/>
                <w:u w:val="single"/>
              </w:rPr>
              <w:t>12</w:t>
            </w:r>
            <w:r>
              <w:rPr>
                <w:rFonts w:hint="eastAsia" w:ascii="微软雅黑" w:hAnsi="微软雅黑" w:eastAsia="微软雅黑"/>
                <w:color w:val="auto"/>
                <w:sz w:val="21"/>
                <w:szCs w:val="21"/>
                <w:highlight w:val="none"/>
                <w:u w:val="single"/>
              </w:rPr>
              <w:t>时</w:t>
            </w:r>
            <w:r>
              <w:rPr>
                <w:rFonts w:ascii="微软雅黑" w:hAnsi="微软雅黑" w:eastAsia="微软雅黑"/>
                <w:color w:val="auto"/>
                <w:sz w:val="21"/>
                <w:szCs w:val="21"/>
                <w:highlight w:val="none"/>
                <w:u w:val="single"/>
              </w:rPr>
              <w:t>00</w:t>
            </w:r>
            <w:r>
              <w:rPr>
                <w:rFonts w:hint="eastAsia" w:ascii="微软雅黑" w:hAnsi="微软雅黑" w:eastAsia="微软雅黑"/>
                <w:color w:val="auto"/>
                <w:sz w:val="21"/>
                <w:szCs w:val="21"/>
                <w:highlight w:val="none"/>
                <w:u w:val="single"/>
              </w:rPr>
              <w:t>分，下午</w:t>
            </w:r>
            <w:r>
              <w:rPr>
                <w:rFonts w:hint="eastAsia" w:ascii="微软雅黑" w:hAnsi="微软雅黑" w:eastAsia="微软雅黑"/>
                <w:color w:val="auto"/>
                <w:sz w:val="21"/>
                <w:szCs w:val="21"/>
                <w:highlight w:val="none"/>
                <w:u w:val="single"/>
                <w:lang w:val="en-US" w:eastAsia="zh-CN"/>
              </w:rPr>
              <w:t>14</w:t>
            </w:r>
            <w:r>
              <w:rPr>
                <w:rFonts w:hint="eastAsia" w:ascii="微软雅黑" w:hAnsi="微软雅黑" w:eastAsia="微软雅黑"/>
                <w:color w:val="auto"/>
                <w:sz w:val="21"/>
                <w:szCs w:val="21"/>
                <w:highlight w:val="none"/>
                <w:u w:val="single"/>
              </w:rPr>
              <w:t>时</w:t>
            </w:r>
            <w:r>
              <w:rPr>
                <w:rFonts w:hint="eastAsia" w:ascii="微软雅黑" w:hAnsi="微软雅黑" w:eastAsia="微软雅黑"/>
                <w:color w:val="auto"/>
                <w:sz w:val="21"/>
                <w:szCs w:val="21"/>
                <w:highlight w:val="none"/>
                <w:u w:val="single"/>
                <w:lang w:val="en-US" w:eastAsia="zh-CN"/>
              </w:rPr>
              <w:t>3</w:t>
            </w:r>
            <w:r>
              <w:rPr>
                <w:rFonts w:ascii="微软雅黑" w:hAnsi="微软雅黑" w:eastAsia="微软雅黑"/>
                <w:color w:val="auto"/>
                <w:sz w:val="21"/>
                <w:szCs w:val="21"/>
                <w:highlight w:val="none"/>
                <w:u w:val="single"/>
              </w:rPr>
              <w:t>0</w:t>
            </w:r>
            <w:r>
              <w:rPr>
                <w:rFonts w:hint="eastAsia" w:ascii="微软雅黑" w:hAnsi="微软雅黑" w:eastAsia="微软雅黑"/>
                <w:color w:val="auto"/>
                <w:sz w:val="21"/>
                <w:szCs w:val="21"/>
                <w:highlight w:val="none"/>
                <w:u w:val="single"/>
              </w:rPr>
              <w:t>分到</w:t>
            </w:r>
            <w:r>
              <w:rPr>
                <w:rFonts w:ascii="微软雅黑" w:hAnsi="微软雅黑" w:eastAsia="微软雅黑"/>
                <w:color w:val="auto"/>
                <w:sz w:val="21"/>
                <w:szCs w:val="21"/>
                <w:highlight w:val="none"/>
                <w:u w:val="single"/>
              </w:rPr>
              <w:t>6</w:t>
            </w:r>
            <w:r>
              <w:rPr>
                <w:rFonts w:hint="eastAsia" w:ascii="微软雅黑" w:hAnsi="微软雅黑" w:eastAsia="微软雅黑"/>
                <w:color w:val="auto"/>
                <w:sz w:val="21"/>
                <w:szCs w:val="21"/>
                <w:highlight w:val="none"/>
                <w:u w:val="single"/>
              </w:rPr>
              <w:t>时</w:t>
            </w:r>
            <w:r>
              <w:rPr>
                <w:rFonts w:ascii="微软雅黑" w:hAnsi="微软雅黑" w:eastAsia="微软雅黑"/>
                <w:color w:val="auto"/>
                <w:sz w:val="21"/>
                <w:szCs w:val="21"/>
                <w:highlight w:val="none"/>
                <w:u w:val="single"/>
              </w:rPr>
              <w:t>00</w:t>
            </w:r>
            <w:r>
              <w:rPr>
                <w:rFonts w:hint="eastAsia" w:ascii="微软雅黑" w:hAnsi="微软雅黑" w:eastAsia="微软雅黑"/>
                <w:color w:val="auto"/>
                <w:sz w:val="21"/>
                <w:szCs w:val="21"/>
                <w:highlight w:val="none"/>
                <w:u w:val="single"/>
              </w:rPr>
              <w:t>分</w:t>
            </w:r>
            <w:r>
              <w:rPr>
                <w:rFonts w:hint="eastAsia" w:ascii="微软雅黑" w:hAnsi="微软雅黑" w:eastAsia="微软雅黑"/>
                <w:color w:val="auto"/>
                <w:sz w:val="21"/>
                <w:szCs w:val="21"/>
                <w:highlight w:val="none"/>
              </w:rPr>
              <w:t>。</w:t>
            </w:r>
          </w:p>
        </w:tc>
      </w:tr>
      <w:tr w14:paraId="769105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7E4DDA88">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9.1</w:t>
            </w:r>
          </w:p>
        </w:tc>
        <w:tc>
          <w:tcPr>
            <w:tcW w:w="8175" w:type="dxa"/>
            <w:tcBorders>
              <w:top w:val="single" w:color="auto" w:sz="4" w:space="0"/>
              <w:left w:val="single" w:color="auto" w:sz="4" w:space="0"/>
              <w:bottom w:val="single" w:color="auto" w:sz="4" w:space="0"/>
              <w:right w:val="single" w:color="auto" w:sz="4" w:space="0"/>
            </w:tcBorders>
            <w:vAlign w:val="center"/>
          </w:tcPr>
          <w:p w14:paraId="62F53A7C">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1.采购代理费支付方式：</w:t>
            </w:r>
          </w:p>
          <w:p w14:paraId="4046A3A8">
            <w:pPr>
              <w:pStyle w:val="23"/>
              <w:snapToGrid w:val="0"/>
              <w:spacing w:line="240" w:lineRule="auto"/>
              <w:rPr>
                <w:rFonts w:hint="eastAsia" w:ascii="微软雅黑" w:hAnsi="微软雅黑" w:eastAsia="微软雅黑" w:cs="宋体"/>
                <w:b/>
                <w:bCs/>
                <w:color w:val="auto"/>
                <w:sz w:val="21"/>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本项目代理服务费由</w:t>
            </w:r>
            <w:r>
              <w:rPr>
                <w:rFonts w:hint="eastAsia" w:ascii="微软雅黑" w:hAnsi="微软雅黑" w:eastAsia="微软雅黑" w:cs="宋体"/>
                <w:b/>
                <w:bCs/>
                <w:color w:val="auto"/>
                <w:sz w:val="21"/>
                <w:szCs w:val="21"/>
                <w:highlight w:val="none"/>
                <w:u w:val="single"/>
              </w:rPr>
              <w:t>中标人</w:t>
            </w:r>
            <w:r>
              <w:rPr>
                <w:rFonts w:hint="eastAsia" w:ascii="微软雅黑" w:hAnsi="微软雅黑" w:eastAsia="微软雅黑" w:cs="宋体"/>
                <w:b/>
                <w:bCs/>
                <w:color w:val="auto"/>
                <w:sz w:val="21"/>
                <w:szCs w:val="21"/>
                <w:highlight w:val="none"/>
              </w:rPr>
              <w:t>一次性向采购代理机构支付。</w:t>
            </w:r>
          </w:p>
          <w:p w14:paraId="01073027">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□采购人支付。</w:t>
            </w:r>
          </w:p>
          <w:p w14:paraId="524BE8E7">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2.采购代理费收取标准：</w:t>
            </w:r>
          </w:p>
          <w:p w14:paraId="2C88E1B8">
            <w:pPr>
              <w:pStyle w:val="23"/>
              <w:snapToGrid w:val="0"/>
              <w:spacing w:line="240" w:lineRule="auto"/>
              <w:rPr>
                <w:rFonts w:hint="eastAsia" w:ascii="微软雅黑" w:hAnsi="微软雅黑" w:eastAsia="微软雅黑" w:cs="宋体"/>
                <w:color w:val="auto"/>
                <w:sz w:val="21"/>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以分标</w:t>
            </w:r>
            <w:r>
              <w:rPr>
                <w:rFonts w:hint="eastAsia" w:ascii="微软雅黑" w:hAnsi="微软雅黑" w:eastAsia="微软雅黑" w:cs="宋体"/>
                <w:color w:val="auto"/>
                <w:sz w:val="21"/>
                <w:szCs w:val="21"/>
                <w:highlight w:val="none"/>
              </w:rPr>
              <w:t>（</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中标金额/</w:t>
            </w:r>
            <w:r>
              <w:rPr>
                <w:rFonts w:hint="eastAsia" w:ascii="微软雅黑" w:hAnsi="微软雅黑" w:eastAsia="微软雅黑" w:cs="宋体"/>
                <w:color w:val="auto"/>
                <w:sz w:val="21"/>
                <w:szCs w:val="21"/>
                <w:highlight w:val="none"/>
              </w:rPr>
              <w:t>□采购预算/□暂定中标金额/□其他</w:t>
            </w:r>
            <w:r>
              <w:rPr>
                <w:rFonts w:hint="eastAsia" w:ascii="微软雅黑" w:hAnsi="微软雅黑" w:eastAsia="微软雅黑" w:cs="宋体"/>
                <w:color w:val="auto"/>
                <w:sz w:val="21"/>
                <w:szCs w:val="21"/>
                <w:highlight w:val="none"/>
                <w:u w:val="single"/>
              </w:rPr>
              <w:t xml:space="preserve"> </w:t>
            </w:r>
            <w:r>
              <w:rPr>
                <w:rFonts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）为计费额，按本须知正文第</w:t>
            </w:r>
            <w:r>
              <w:rPr>
                <w:rFonts w:ascii="微软雅黑" w:hAnsi="微软雅黑" w:eastAsia="微软雅黑" w:cs="宋体"/>
                <w:color w:val="auto"/>
                <w:sz w:val="21"/>
                <w:szCs w:val="21"/>
                <w:highlight w:val="none"/>
              </w:rPr>
              <w:t>39</w:t>
            </w:r>
            <w:r>
              <w:rPr>
                <w:rFonts w:hint="eastAsia" w:ascii="微软雅黑" w:hAnsi="微软雅黑" w:eastAsia="微软雅黑" w:cs="宋体"/>
                <w:color w:val="auto"/>
                <w:sz w:val="21"/>
                <w:szCs w:val="21"/>
                <w:highlight w:val="none"/>
              </w:rPr>
              <w:t>.</w:t>
            </w:r>
            <w:r>
              <w:rPr>
                <w:rFonts w:ascii="微软雅黑" w:hAnsi="微软雅黑" w:eastAsia="微软雅黑" w:cs="宋体"/>
                <w:color w:val="auto"/>
                <w:sz w:val="21"/>
                <w:szCs w:val="21"/>
                <w:highlight w:val="none"/>
              </w:rPr>
              <w:t>2</w:t>
            </w:r>
            <w:r>
              <w:rPr>
                <w:rFonts w:hint="eastAsia" w:ascii="微软雅黑" w:hAnsi="微软雅黑" w:eastAsia="微软雅黑" w:cs="宋体"/>
                <w:color w:val="auto"/>
                <w:sz w:val="21"/>
                <w:szCs w:val="21"/>
                <w:highlight w:val="none"/>
              </w:rPr>
              <w:t>条规定的收费计算标准（□货物招标/</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服务招标</w:t>
            </w:r>
            <w:r>
              <w:rPr>
                <w:rFonts w:hint="eastAsia" w:ascii="微软雅黑" w:hAnsi="微软雅黑" w:eastAsia="微软雅黑" w:cs="宋体"/>
                <w:color w:val="auto"/>
                <w:sz w:val="21"/>
                <w:szCs w:val="21"/>
                <w:highlight w:val="none"/>
              </w:rPr>
              <w:t>/□工程招标）采用差额定率累进法计算出收费基准价格，采购代理收费以（</w:t>
            </w:r>
            <w:r>
              <w:rPr>
                <w:rFonts w:hint="eastAsia" w:ascii="微软雅黑" w:hAnsi="微软雅黑" w:eastAsia="微软雅黑" w:cs="宋体"/>
                <w:b w:val="0"/>
                <w:bCs w:val="0"/>
                <w:color w:val="auto"/>
                <w:sz w:val="21"/>
                <w:szCs w:val="21"/>
                <w:highlight w:val="none"/>
              </w:rPr>
              <w:t>□收费基准价格/</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收费基准价格下浮</w:t>
            </w:r>
            <w:r>
              <w:rPr>
                <w:rFonts w:hint="eastAsia" w:ascii="微软雅黑" w:hAnsi="微软雅黑" w:eastAsia="微软雅黑" w:cs="宋体"/>
                <w:b/>
                <w:bCs/>
                <w:color w:val="auto"/>
                <w:sz w:val="21"/>
                <w:szCs w:val="21"/>
                <w:highlight w:val="none"/>
                <w:u w:val="single"/>
                <w:lang w:val="en-US" w:eastAsia="zh-CN"/>
              </w:rPr>
              <w:t>30</w:t>
            </w:r>
            <w:r>
              <w:rPr>
                <w:rFonts w:hint="eastAsia" w:ascii="微软雅黑" w:hAnsi="微软雅黑" w:eastAsia="微软雅黑" w:cs="宋体"/>
                <w:b/>
                <w:bCs/>
                <w:color w:val="auto"/>
                <w:sz w:val="21"/>
                <w:szCs w:val="21"/>
                <w:highlight w:val="none"/>
                <w:u w:val="single"/>
              </w:rPr>
              <w:t>%</w:t>
            </w:r>
            <w:r>
              <w:rPr>
                <w:rFonts w:hint="eastAsia" w:ascii="微软雅黑" w:hAnsi="微软雅黑" w:eastAsia="微软雅黑" w:cs="宋体"/>
                <w:b/>
                <w:bCs/>
                <w:color w:val="auto"/>
                <w:sz w:val="21"/>
                <w:szCs w:val="21"/>
                <w:highlight w:val="none"/>
                <w:u w:val="single"/>
                <w:lang w:val="en-US" w:eastAsia="zh-CN"/>
              </w:rPr>
              <w:t xml:space="preserve"> </w:t>
            </w:r>
            <w:r>
              <w:rPr>
                <w:rFonts w:hint="eastAsia" w:ascii="微软雅黑" w:hAnsi="微软雅黑" w:eastAsia="微软雅黑" w:cs="宋体"/>
                <w:color w:val="auto"/>
                <w:sz w:val="21"/>
                <w:szCs w:val="21"/>
                <w:highlight w:val="none"/>
              </w:rPr>
              <w:t>□收费基准价格上浮</w:t>
            </w:r>
            <w:r>
              <w:rPr>
                <w:rFonts w:hint="eastAsia" w:ascii="微软雅黑" w:hAnsi="微软雅黑" w:eastAsia="微软雅黑" w:cs="宋体"/>
                <w:color w:val="auto"/>
                <w:sz w:val="21"/>
                <w:szCs w:val="21"/>
                <w:highlight w:val="none"/>
                <w:u w:val="single"/>
              </w:rPr>
              <w:t xml:space="preserve"> </w:t>
            </w:r>
            <w:r>
              <w:rPr>
                <w:rFonts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u w:val="single"/>
              </w:rPr>
              <w:t>%</w:t>
            </w:r>
            <w:r>
              <w:rPr>
                <w:rFonts w:hint="eastAsia" w:ascii="微软雅黑" w:hAnsi="微软雅黑" w:eastAsia="微软雅黑" w:cs="宋体"/>
                <w:color w:val="auto"/>
                <w:sz w:val="21"/>
                <w:szCs w:val="21"/>
                <w:highlight w:val="none"/>
              </w:rPr>
              <w:t>）收取。</w:t>
            </w:r>
          </w:p>
          <w:p w14:paraId="1C32AE24">
            <w:pPr>
              <w:pStyle w:val="23"/>
              <w:snapToGrid w:val="0"/>
              <w:spacing w:line="240" w:lineRule="auto"/>
              <w:rPr>
                <w:rFonts w:ascii="微软雅黑" w:hAnsi="微软雅黑" w:eastAsia="微软雅黑" w:cs="宋体"/>
                <w:color w:val="auto"/>
                <w:sz w:val="21"/>
                <w:szCs w:val="21"/>
                <w:highlight w:val="none"/>
                <w:u w:val="single"/>
              </w:rPr>
            </w:pPr>
            <w:r>
              <w:rPr>
                <w:rFonts w:hint="eastAsia" w:ascii="微软雅黑" w:hAnsi="微软雅黑" w:eastAsia="微软雅黑" w:cs="宋体"/>
                <w:color w:val="auto"/>
                <w:sz w:val="21"/>
                <w:szCs w:val="21"/>
                <w:highlight w:val="none"/>
              </w:rPr>
              <w:t>□固定采购代理收费</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u w:val="none"/>
              </w:rPr>
              <w:t>。</w:t>
            </w:r>
          </w:p>
          <w:p w14:paraId="610B7290">
            <w:pPr>
              <w:pStyle w:val="23"/>
              <w:snapToGrid w:val="0"/>
              <w:spacing w:line="240" w:lineRule="auto"/>
              <w:rPr>
                <w:rFonts w:hint="eastAsia" w:ascii="微软雅黑" w:hAnsi="微软雅黑" w:eastAsia="微软雅黑" w:cs="宋体"/>
                <w:b/>
                <w:bCs/>
                <w:color w:val="auto"/>
                <w:sz w:val="21"/>
                <w:szCs w:val="21"/>
                <w:highlight w:val="none"/>
                <w:u w:val="single"/>
                <w:lang w:val="en-US" w:eastAsia="zh-CN"/>
              </w:rPr>
            </w:pPr>
            <w:r>
              <w:rPr>
                <w:rFonts w:hint="eastAsia" w:ascii="微软雅黑" w:hAnsi="微软雅黑" w:eastAsia="微软雅黑" w:cs="宋体"/>
                <w:b/>
                <w:bCs/>
                <w:color w:val="auto"/>
                <w:sz w:val="21"/>
                <w:szCs w:val="21"/>
                <w:highlight w:val="none"/>
              </w:rPr>
              <w:t>3</w:t>
            </w:r>
            <w:r>
              <w:rPr>
                <w:rFonts w:ascii="微软雅黑" w:hAnsi="微软雅黑" w:eastAsia="微软雅黑" w:cs="宋体"/>
                <w:b/>
                <w:bCs/>
                <w:color w:val="auto"/>
                <w:sz w:val="21"/>
                <w:szCs w:val="21"/>
                <w:highlight w:val="none"/>
              </w:rPr>
              <w:t xml:space="preserve">. </w:t>
            </w:r>
            <w:r>
              <w:rPr>
                <w:rFonts w:ascii="微软雅黑" w:hAnsi="微软雅黑" w:eastAsia="微软雅黑" w:cs="宋体"/>
                <w:b/>
                <w:bCs/>
                <w:color w:val="auto"/>
                <w:sz w:val="21"/>
                <w:szCs w:val="21"/>
                <w:highlight w:val="none"/>
                <w:u w:val="single"/>
              </w:rPr>
              <w:t>账户名称：</w:t>
            </w:r>
            <w:r>
              <w:rPr>
                <w:rFonts w:hint="eastAsia" w:ascii="微软雅黑" w:hAnsi="微软雅黑" w:eastAsia="微软雅黑" w:cs="宋体"/>
                <w:b/>
                <w:bCs/>
                <w:color w:val="auto"/>
                <w:sz w:val="21"/>
                <w:szCs w:val="21"/>
                <w:highlight w:val="none"/>
                <w:u w:val="single"/>
              </w:rPr>
              <w:t>华新项目管理集团有限公司南宁分公司</w:t>
            </w:r>
            <w:r>
              <w:rPr>
                <w:rFonts w:hint="eastAsia" w:ascii="微软雅黑" w:hAnsi="微软雅黑" w:eastAsia="微软雅黑" w:cs="宋体"/>
                <w:b/>
                <w:bCs/>
                <w:color w:val="auto"/>
                <w:sz w:val="21"/>
                <w:szCs w:val="21"/>
                <w:highlight w:val="none"/>
                <w:u w:val="single"/>
                <w:lang w:val="en-US" w:eastAsia="zh-CN"/>
              </w:rPr>
              <w:t xml:space="preserve"> </w:t>
            </w:r>
          </w:p>
          <w:p w14:paraId="566197D5">
            <w:pPr>
              <w:snapToGrid w:val="0"/>
              <w:spacing w:line="240" w:lineRule="auto"/>
              <w:rPr>
                <w:rFonts w:hint="eastAsia" w:ascii="微软雅黑" w:hAnsi="微软雅黑" w:eastAsia="微软雅黑" w:cs="宋体"/>
                <w:b/>
                <w:bCs/>
                <w:color w:val="auto"/>
                <w:kern w:val="0"/>
                <w:sz w:val="21"/>
                <w:szCs w:val="21"/>
                <w:highlight w:val="none"/>
                <w:u w:val="single"/>
                <w:lang w:eastAsia="zh-CN"/>
              </w:rPr>
            </w:pPr>
            <w:r>
              <w:rPr>
                <w:rFonts w:ascii="微软雅黑" w:hAnsi="微软雅黑" w:eastAsia="微软雅黑" w:cs="宋体"/>
                <w:b/>
                <w:bCs/>
                <w:color w:val="auto"/>
                <w:kern w:val="0"/>
                <w:sz w:val="21"/>
                <w:szCs w:val="21"/>
                <w:highlight w:val="none"/>
                <w:u w:val="single"/>
              </w:rPr>
              <w:t>开户银行：</w:t>
            </w:r>
            <w:r>
              <w:rPr>
                <w:rFonts w:hint="eastAsia" w:ascii="微软雅黑" w:hAnsi="微软雅黑" w:eastAsia="微软雅黑" w:cs="宋体"/>
                <w:b/>
                <w:bCs/>
                <w:color w:val="auto"/>
                <w:kern w:val="0"/>
                <w:sz w:val="21"/>
                <w:szCs w:val="21"/>
                <w:highlight w:val="none"/>
                <w:u w:val="single"/>
                <w:lang w:val="en-US" w:eastAsia="zh-CN"/>
              </w:rPr>
              <w:t xml:space="preserve">中国农业银行股份有限公司南宁江南支行 </w:t>
            </w:r>
          </w:p>
          <w:p w14:paraId="5FB38AC3">
            <w:pPr>
              <w:pStyle w:val="23"/>
              <w:snapToGrid w:val="0"/>
              <w:spacing w:line="240" w:lineRule="auto"/>
              <w:rPr>
                <w:rFonts w:hint="eastAsia" w:ascii="微软雅黑" w:hAnsi="微软雅黑" w:eastAsia="微软雅黑" w:cs="宋体"/>
                <w:color w:val="auto"/>
                <w:sz w:val="21"/>
                <w:szCs w:val="21"/>
                <w:highlight w:val="none"/>
                <w:lang w:eastAsia="zh-CN"/>
              </w:rPr>
            </w:pPr>
            <w:r>
              <w:rPr>
                <w:rFonts w:ascii="微软雅黑" w:hAnsi="微软雅黑" w:eastAsia="微软雅黑" w:cs="宋体"/>
                <w:b/>
                <w:bCs/>
                <w:color w:val="auto"/>
                <w:kern w:val="2"/>
                <w:sz w:val="21"/>
                <w:szCs w:val="21"/>
                <w:highlight w:val="none"/>
                <w:u w:val="single"/>
              </w:rPr>
              <w:t>银行账号：</w:t>
            </w:r>
            <w:r>
              <w:rPr>
                <w:rFonts w:hint="eastAsia" w:ascii="微软雅黑" w:hAnsi="微软雅黑" w:eastAsia="微软雅黑" w:cs="宋体"/>
                <w:b/>
                <w:bCs/>
                <w:color w:val="auto"/>
                <w:kern w:val="2"/>
                <w:sz w:val="21"/>
                <w:szCs w:val="21"/>
                <w:highlight w:val="none"/>
                <w:u w:val="single"/>
              </w:rPr>
              <w:t>20019101040024676</w:t>
            </w:r>
          </w:p>
        </w:tc>
      </w:tr>
      <w:tr w14:paraId="166A7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44D64C4E">
            <w:pPr>
              <w:snapToGrid w:val="0"/>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40.1</w:t>
            </w:r>
          </w:p>
        </w:tc>
        <w:tc>
          <w:tcPr>
            <w:tcW w:w="8175" w:type="dxa"/>
            <w:tcBorders>
              <w:top w:val="single" w:color="auto" w:sz="4" w:space="0"/>
              <w:left w:val="single" w:color="auto" w:sz="4" w:space="0"/>
              <w:bottom w:val="single" w:color="auto" w:sz="4" w:space="0"/>
              <w:right w:val="single" w:color="auto" w:sz="4" w:space="0"/>
            </w:tcBorders>
            <w:vAlign w:val="center"/>
          </w:tcPr>
          <w:p w14:paraId="491DC7EB">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解释：</w:t>
            </w:r>
            <w:r>
              <w:rPr>
                <w:rFonts w:ascii="微软雅黑" w:hAnsi="微软雅黑" w:eastAsia="微软雅黑"/>
                <w:color w:val="auto"/>
                <w:sz w:val="21"/>
                <w:szCs w:val="21"/>
                <w:highlight w:val="none"/>
              </w:rPr>
              <w:t>构成本招标文件的各个组成文件应互为解释，互为说明；除招标文件中有特别规定外，仅适用于招标投标阶段的规定，按</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、招标公告、</w:t>
            </w:r>
            <w:r>
              <w:rPr>
                <w:rFonts w:hint="eastAsia" w:ascii="微软雅黑" w:hAnsi="微软雅黑" w:eastAsia="微软雅黑"/>
                <w:color w:val="auto"/>
                <w:sz w:val="21"/>
                <w:szCs w:val="21"/>
                <w:highlight w:val="none"/>
              </w:rPr>
              <w:t>采购需求、</w:t>
            </w:r>
            <w:r>
              <w:rPr>
                <w:rFonts w:ascii="微软雅黑" w:hAnsi="微软雅黑" w:eastAsia="微软雅黑"/>
                <w:color w:val="auto"/>
                <w:sz w:val="21"/>
                <w:szCs w:val="21"/>
                <w:highlight w:val="none"/>
              </w:rPr>
              <w:t>投标人须知、</w:t>
            </w:r>
            <w:r>
              <w:rPr>
                <w:rFonts w:hint="eastAsia" w:ascii="微软雅黑" w:hAnsi="微软雅黑" w:eastAsia="微软雅黑"/>
                <w:color w:val="auto"/>
                <w:sz w:val="21"/>
                <w:szCs w:val="21"/>
                <w:highlight w:val="none"/>
              </w:rPr>
              <w:t>评标方法及评标标准</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拟签订的合同文本、</w:t>
            </w:r>
            <w:r>
              <w:rPr>
                <w:rFonts w:ascii="微软雅黑" w:hAnsi="微软雅黑" w:eastAsia="微软雅黑"/>
                <w:color w:val="auto"/>
                <w:sz w:val="21"/>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与同步更新的招标文件不一致时以</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为准。按本款前述规定仍不能形成结论的，由</w:t>
            </w:r>
            <w:r>
              <w:rPr>
                <w:rFonts w:hint="eastAsia" w:ascii="微软雅黑" w:hAnsi="微软雅黑" w:eastAsia="微软雅黑"/>
                <w:color w:val="auto"/>
                <w:sz w:val="21"/>
                <w:szCs w:val="21"/>
                <w:highlight w:val="none"/>
              </w:rPr>
              <w:t>采购</w:t>
            </w:r>
            <w:r>
              <w:rPr>
                <w:rFonts w:ascii="微软雅黑" w:hAnsi="微软雅黑" w:eastAsia="微软雅黑"/>
                <w:color w:val="auto"/>
                <w:sz w:val="21"/>
                <w:szCs w:val="21"/>
                <w:highlight w:val="none"/>
              </w:rPr>
              <w:t>人</w:t>
            </w:r>
            <w:r>
              <w:rPr>
                <w:rFonts w:hint="eastAsia" w:ascii="微软雅黑" w:hAnsi="微软雅黑" w:eastAsia="微软雅黑"/>
                <w:color w:val="auto"/>
                <w:sz w:val="21"/>
                <w:szCs w:val="21"/>
                <w:highlight w:val="none"/>
              </w:rPr>
              <w:t>或者采购代理机构</w:t>
            </w:r>
            <w:r>
              <w:rPr>
                <w:rFonts w:ascii="微软雅黑" w:hAnsi="微软雅黑" w:eastAsia="微软雅黑"/>
                <w:color w:val="auto"/>
                <w:sz w:val="21"/>
                <w:szCs w:val="21"/>
                <w:highlight w:val="none"/>
              </w:rPr>
              <w:t>负责解释。</w:t>
            </w:r>
          </w:p>
        </w:tc>
      </w:tr>
      <w:tr w14:paraId="4A98AD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190EB042">
            <w:pPr>
              <w:snapToGrid w:val="0"/>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40.2</w:t>
            </w:r>
          </w:p>
        </w:tc>
        <w:tc>
          <w:tcPr>
            <w:tcW w:w="8175" w:type="dxa"/>
            <w:tcBorders>
              <w:top w:val="single" w:color="auto" w:sz="4" w:space="0"/>
              <w:left w:val="single" w:color="auto" w:sz="4" w:space="0"/>
              <w:bottom w:val="single" w:color="auto" w:sz="4" w:space="0"/>
              <w:right w:val="single" w:color="auto" w:sz="4" w:space="0"/>
            </w:tcBorders>
            <w:vAlign w:val="center"/>
          </w:tcPr>
          <w:p w14:paraId="6F8D0DE2">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26DA4A5">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2.本招标文件所称的“</w:t>
            </w:r>
            <w:r>
              <w:rPr>
                <w:rFonts w:hint="eastAsia" w:ascii="微软雅黑" w:hAnsi="微软雅黑" w:eastAsia="微软雅黑"/>
                <w:color w:val="auto"/>
                <w:sz w:val="21"/>
                <w:szCs w:val="21"/>
                <w:highlight w:val="none"/>
              </w:rPr>
              <w:t>电子签章</w:t>
            </w:r>
            <w:r>
              <w:rPr>
                <w:rFonts w:hint="eastAsia" w:ascii="微软雅黑" w:hAnsi="微软雅黑" w:eastAsia="微软雅黑" w:cs="宋体"/>
                <w:bCs/>
                <w:color w:val="auto"/>
                <w:sz w:val="21"/>
                <w:szCs w:val="21"/>
                <w:highlight w:val="none"/>
              </w:rPr>
              <w:t>”、“电子签名”</w:t>
            </w:r>
            <w:r>
              <w:rPr>
                <w:rFonts w:hint="eastAsia" w:ascii="微软雅黑" w:hAnsi="微软雅黑" w:eastAsia="微软雅黑"/>
                <w:color w:val="auto"/>
                <w:sz w:val="21"/>
                <w:szCs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2056D2E9">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A7C24A0">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7DF0FA6D">
            <w:pPr>
              <w:spacing w:line="240" w:lineRule="auto"/>
              <w:jc w:val="left"/>
              <w:rPr>
                <w:rFonts w:hint="eastAsia" w:ascii="微软雅黑" w:hAnsi="微软雅黑" w:eastAsia="微软雅黑"/>
                <w:color w:val="auto"/>
                <w:sz w:val="21"/>
                <w:szCs w:val="21"/>
                <w:highlight w:val="none"/>
              </w:rPr>
            </w:pPr>
            <w:r>
              <w:rPr>
                <w:rFonts w:hint="eastAsia" w:ascii="微软雅黑" w:hAnsi="微软雅黑" w:eastAsia="微软雅黑" w:cs="宋体"/>
                <w:bCs/>
                <w:color w:val="auto"/>
                <w:sz w:val="21"/>
                <w:szCs w:val="21"/>
                <w:highlight w:val="none"/>
              </w:rPr>
              <w:t>5.</w:t>
            </w:r>
            <w:r>
              <w:rPr>
                <w:rFonts w:hint="eastAsia" w:ascii="微软雅黑" w:hAnsi="微软雅黑" w:eastAsia="微软雅黑" w:cs="宋体"/>
                <w:bCs/>
                <w:color w:val="auto"/>
                <w:kern w:val="0"/>
                <w:sz w:val="21"/>
                <w:szCs w:val="21"/>
                <w:highlight w:val="none"/>
              </w:rPr>
              <w:t>本招标文件所称的“以上”“以下”“以内”“届满”，包括本数；所称的“不满”“超过”“以外”，不包括本数。</w:t>
            </w:r>
          </w:p>
        </w:tc>
      </w:tr>
      <w:tr w14:paraId="592C24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vAlign w:val="center"/>
          </w:tcPr>
          <w:p w14:paraId="5DF3DD73">
            <w:pPr>
              <w:snapToGrid w:val="0"/>
              <w:spacing w:line="240" w:lineRule="auto"/>
              <w:jc w:val="center"/>
              <w:rPr>
                <w:rFonts w:hint="default"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40.3</w:t>
            </w:r>
          </w:p>
        </w:tc>
        <w:tc>
          <w:tcPr>
            <w:tcW w:w="8175" w:type="dxa"/>
            <w:tcBorders>
              <w:top w:val="single" w:color="auto" w:sz="4" w:space="0"/>
              <w:left w:val="single" w:color="auto" w:sz="4" w:space="0"/>
              <w:bottom w:val="single" w:color="auto" w:sz="4" w:space="0"/>
              <w:right w:val="single" w:color="auto" w:sz="4" w:space="0"/>
            </w:tcBorders>
            <w:vAlign w:val="center"/>
          </w:tcPr>
          <w:p w14:paraId="3FA85470">
            <w:pPr>
              <w:spacing w:line="240" w:lineRule="auto"/>
              <w:jc w:val="left"/>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中标人需在中标通知书签发之日后5个工作日内提供2套加电子签章的纸质响应文件给采购人存档。</w:t>
            </w:r>
          </w:p>
        </w:tc>
      </w:tr>
    </w:tbl>
    <w:p w14:paraId="047F5E7F">
      <w:pPr>
        <w:snapToGrid w:val="0"/>
        <w:rPr>
          <w:rFonts w:hint="eastAsia" w:ascii="微软雅黑" w:hAnsi="微软雅黑" w:eastAsia="微软雅黑"/>
          <w:color w:val="auto"/>
          <w:sz w:val="24"/>
          <w:szCs w:val="20"/>
          <w:highlight w:val="none"/>
        </w:rPr>
      </w:pPr>
    </w:p>
    <w:p w14:paraId="71F5A016">
      <w:pPr>
        <w:snapToGrid w:val="0"/>
        <w:rPr>
          <w:rFonts w:hint="eastAsia" w:ascii="微软雅黑" w:hAnsi="微软雅黑" w:eastAsia="微软雅黑"/>
          <w:color w:val="auto"/>
          <w:sz w:val="24"/>
          <w:szCs w:val="20"/>
          <w:highlight w:val="none"/>
        </w:rPr>
      </w:pPr>
    </w:p>
    <w:bookmarkEnd w:id="218"/>
    <w:bookmarkEnd w:id="219"/>
    <w:p w14:paraId="2FFAC5CF">
      <w:pPr>
        <w:pStyle w:val="5"/>
        <w:keepNext w:val="0"/>
        <w:keepLines w:val="0"/>
        <w:jc w:val="center"/>
        <w:rPr>
          <w:rFonts w:hint="eastAsia" w:ascii="微软雅黑" w:hAnsi="微软雅黑" w:eastAsia="微软雅黑"/>
          <w:color w:val="auto"/>
          <w:highlight w:val="none"/>
        </w:rPr>
      </w:pPr>
      <w:r>
        <w:rPr>
          <w:rFonts w:ascii="微软雅黑" w:hAnsi="微软雅黑" w:eastAsia="微软雅黑"/>
          <w:color w:val="auto"/>
          <w:highlight w:val="none"/>
        </w:rPr>
        <w:br w:type="page"/>
      </w:r>
      <w:r>
        <w:rPr>
          <w:rFonts w:hint="eastAsia" w:ascii="微软雅黑" w:hAnsi="微软雅黑" w:eastAsia="微软雅黑"/>
          <w:color w:val="auto"/>
          <w:highlight w:val="none"/>
        </w:rPr>
        <w:t>投标人须知正文</w:t>
      </w:r>
    </w:p>
    <w:p w14:paraId="113CFE22">
      <w:pPr>
        <w:pStyle w:val="5"/>
        <w:keepNext w:val="0"/>
        <w:keepLines w:val="0"/>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一、总  则</w:t>
      </w:r>
    </w:p>
    <w:p w14:paraId="45A17A25">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220" w:name="_Toc254970668"/>
      <w:bookmarkStart w:id="221" w:name="_Toc254970527"/>
      <w:r>
        <w:rPr>
          <w:rFonts w:hint="eastAsia" w:ascii="微软雅黑" w:hAnsi="微软雅黑" w:eastAsia="微软雅黑"/>
          <w:color w:val="auto"/>
          <w:sz w:val="24"/>
          <w:highlight w:val="none"/>
        </w:rPr>
        <w:t>1.适用范围</w:t>
      </w:r>
      <w:bookmarkEnd w:id="220"/>
      <w:bookmarkEnd w:id="221"/>
    </w:p>
    <w:p w14:paraId="29034450">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1179D94">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1.2本招标文件</w:t>
      </w:r>
      <w:r>
        <w:rPr>
          <w:rFonts w:hint="eastAsia" w:ascii="微软雅黑" w:hAnsi="微软雅黑" w:eastAsia="微软雅黑" w:cs="宋体"/>
          <w:color w:val="auto"/>
          <w:spacing w:val="-6"/>
          <w:szCs w:val="21"/>
          <w:highlight w:val="none"/>
        </w:rPr>
        <w:t>适用于本项目的所有采购程序和环节（法律、法规另有规定的，从其规定）。</w:t>
      </w:r>
    </w:p>
    <w:p w14:paraId="76A25A38">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222" w:name="_Toc254970669"/>
      <w:bookmarkStart w:id="223" w:name="_Toc254970528"/>
      <w:r>
        <w:rPr>
          <w:rFonts w:hint="eastAsia" w:ascii="微软雅黑" w:hAnsi="微软雅黑" w:eastAsia="微软雅黑"/>
          <w:color w:val="auto"/>
          <w:sz w:val="24"/>
          <w:highlight w:val="none"/>
        </w:rPr>
        <w:t>2.定义</w:t>
      </w:r>
      <w:bookmarkEnd w:id="222"/>
      <w:bookmarkEnd w:id="223"/>
    </w:p>
    <w:p w14:paraId="0B516130">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2.1“采购人”是指依法进行政府采购的国家机关、事业单位、团体组织。</w:t>
      </w:r>
    </w:p>
    <w:p w14:paraId="31EA01F2">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2.2“采购代理机构”是指政府采购集中采购机构和集中采购机构以外的采购代理机构。</w:t>
      </w:r>
    </w:p>
    <w:p w14:paraId="268137B0">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2.3“供应商”是指向采购人提供货物、工程或者服务的法人、其他组织或者自然人。</w:t>
      </w:r>
    </w:p>
    <w:p w14:paraId="237D8842">
      <w:pPr>
        <w:pStyle w:val="8"/>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2.4“投标人”是指响应招标、参加投标竞争的法人、其他组织或者自然人。</w:t>
      </w:r>
    </w:p>
    <w:p w14:paraId="4BB26CD2">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2.5“服务”是指除货物和工程以外的其他政府采购对象。</w:t>
      </w:r>
    </w:p>
    <w:p w14:paraId="29AA6148">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w:t>
      </w:r>
      <w:r>
        <w:rPr>
          <w:rFonts w:ascii="微软雅黑" w:hAnsi="微软雅黑" w:eastAsia="微软雅黑"/>
          <w:b w:val="0"/>
          <w:color w:val="auto"/>
          <w:sz w:val="21"/>
          <w:szCs w:val="21"/>
          <w:highlight w:val="none"/>
        </w:rPr>
        <w:t>6</w:t>
      </w:r>
      <w:r>
        <w:rPr>
          <w:rFonts w:hint="eastAsia" w:ascii="微软雅黑" w:hAnsi="微软雅黑" w:eastAsia="微软雅黑"/>
          <w:b w:val="0"/>
          <w:color w:val="auto"/>
          <w:sz w:val="21"/>
          <w:szCs w:val="21"/>
          <w:highlight w:val="none"/>
        </w:rPr>
        <w:t>“书面形式”是指合同书、信件和数据电文（包括电报、电传、传真、电子数据交换和电子邮件）等可以有形地表现所载内容的形式。</w:t>
      </w:r>
    </w:p>
    <w:p w14:paraId="4C959BA7">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w:t>
      </w:r>
      <w:r>
        <w:rPr>
          <w:rFonts w:ascii="微软雅黑" w:hAnsi="微软雅黑" w:eastAsia="微软雅黑"/>
          <w:b w:val="0"/>
          <w:color w:val="auto"/>
          <w:sz w:val="21"/>
          <w:szCs w:val="21"/>
          <w:highlight w:val="none"/>
        </w:rPr>
        <w:t>7</w:t>
      </w:r>
      <w:r>
        <w:rPr>
          <w:rFonts w:hint="eastAsia" w:ascii="微软雅黑" w:hAnsi="微软雅黑" w:eastAsia="微软雅黑"/>
          <w:b w:val="0"/>
          <w:color w:val="auto"/>
          <w:sz w:val="21"/>
          <w:szCs w:val="21"/>
          <w:highlight w:val="none"/>
        </w:rPr>
        <w:t>“实质性要求”是指招标文件中已经指明不满足则投标无效的条款，或者不能负偏离的条款，或者采购需求中带“▲”的条款。</w:t>
      </w:r>
    </w:p>
    <w:p w14:paraId="6EB6B379">
      <w:pPr>
        <w:keepNext w:val="0"/>
        <w:keepLines w:val="0"/>
        <w:spacing w:line="420" w:lineRule="exact"/>
        <w:ind w:firstLine="424" w:firstLineChars="202"/>
        <w:jc w:val="left"/>
        <w:rPr>
          <w:rFonts w:hint="eastAsia" w:eastAsia="微软雅黑"/>
          <w:color w:val="auto"/>
          <w:highlight w:val="none"/>
          <w:lang w:val="en-US" w:eastAsia="zh-CN"/>
        </w:rPr>
      </w:pPr>
      <w:r>
        <w:rPr>
          <w:rFonts w:hint="eastAsia" w:ascii="微软雅黑" w:hAnsi="微软雅黑" w:eastAsia="微软雅黑" w:cs="宋体"/>
          <w:color w:val="auto"/>
          <w:szCs w:val="21"/>
          <w:highlight w:val="none"/>
          <w:lang w:val="en-US" w:eastAsia="zh-CN"/>
        </w:rPr>
        <w:t xml:space="preserve">2.8 </w:t>
      </w:r>
      <w:r>
        <w:rPr>
          <w:rFonts w:hint="eastAsia" w:ascii="微软雅黑" w:hAnsi="微软雅黑" w:eastAsia="微软雅黑" w:cs="宋体"/>
          <w:color w:val="auto"/>
          <w:szCs w:val="21"/>
          <w:highlight w:val="none"/>
        </w:rPr>
        <w:t>招标文件中</w:t>
      </w:r>
      <w:r>
        <w:rPr>
          <w:rFonts w:hint="eastAsia" w:ascii="微软雅黑" w:hAnsi="微软雅黑" w:eastAsia="微软雅黑" w:cs="宋体"/>
          <w:color w:val="auto"/>
          <w:szCs w:val="21"/>
          <w:highlight w:val="none"/>
          <w:lang w:eastAsia="zh-CN"/>
        </w:rPr>
        <w:t>“●”为技术重要指标。</w:t>
      </w:r>
    </w:p>
    <w:p w14:paraId="2D8E6153">
      <w:pPr>
        <w:snapToGrid w:val="0"/>
        <w:spacing w:line="400" w:lineRule="exact"/>
        <w:ind w:firstLine="0" w:firstLineChars="0"/>
        <w:jc w:val="left"/>
        <w:rPr>
          <w:rFonts w:ascii="微软雅黑" w:hAnsi="微软雅黑" w:eastAsia="微软雅黑" w:cs="宋体"/>
          <w:color w:val="auto"/>
          <w:szCs w:val="21"/>
          <w:highlight w:val="none"/>
        </w:rPr>
      </w:pPr>
      <w:r>
        <w:rPr>
          <w:rFonts w:hint="eastAsia"/>
          <w:color w:val="auto"/>
          <w:highlight w:val="none"/>
          <w:lang w:val="en-US" w:eastAsia="zh-CN"/>
        </w:rPr>
        <w:t xml:space="preserve">    </w:t>
      </w:r>
      <w:r>
        <w:rPr>
          <w:rFonts w:hint="eastAsia" w:ascii="微软雅黑" w:hAnsi="微软雅黑" w:eastAsia="微软雅黑"/>
          <w:color w:val="auto"/>
          <w:szCs w:val="21"/>
          <w:highlight w:val="none"/>
        </w:rPr>
        <w:t>2.</w:t>
      </w:r>
      <w:r>
        <w:rPr>
          <w:rFonts w:hint="eastAsia" w:ascii="微软雅黑" w:hAnsi="微软雅黑" w:eastAsia="微软雅黑"/>
          <w:color w:val="auto"/>
          <w:szCs w:val="21"/>
          <w:highlight w:val="none"/>
          <w:lang w:val="en-US" w:eastAsia="zh-CN"/>
        </w:rPr>
        <w:t>9</w:t>
      </w:r>
      <w:r>
        <w:rPr>
          <w:rFonts w:hint="eastAsia" w:ascii="微软雅黑" w:hAnsi="微软雅黑" w:eastAsia="微软雅黑" w:cs="宋体"/>
          <w:color w:val="auto"/>
          <w:szCs w:val="21"/>
          <w:highlight w:val="none"/>
        </w:rPr>
        <w:t>“正偏离”，是指投标文件对招标文件“采购需求”中有关条款作出的响应优于条款要求并有利于采购人的情形。</w:t>
      </w:r>
    </w:p>
    <w:p w14:paraId="79025F7D">
      <w:pPr>
        <w:snapToGrid w:val="0"/>
        <w:spacing w:line="400" w:lineRule="exact"/>
        <w:ind w:firstLine="420" w:firstLineChars="200"/>
        <w:jc w:val="left"/>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2.</w:t>
      </w:r>
      <w:r>
        <w:rPr>
          <w:rFonts w:hint="eastAsia" w:ascii="微软雅黑" w:hAnsi="微软雅黑" w:eastAsia="微软雅黑" w:cs="宋体"/>
          <w:color w:val="auto"/>
          <w:szCs w:val="21"/>
          <w:highlight w:val="none"/>
          <w:lang w:val="en-US" w:eastAsia="zh-CN"/>
        </w:rPr>
        <w:t>10</w:t>
      </w:r>
      <w:r>
        <w:rPr>
          <w:rFonts w:hint="eastAsia" w:ascii="微软雅黑" w:hAnsi="微软雅黑" w:eastAsia="微软雅黑" w:cs="宋体"/>
          <w:color w:val="auto"/>
          <w:szCs w:val="21"/>
          <w:highlight w:val="none"/>
        </w:rPr>
        <w:t>“负偏离”，是指投标文件对招标文件“采购需求”中有关条款作出的响应不满足条款要求，导致采购人要求不能得到满足的情形。</w:t>
      </w:r>
    </w:p>
    <w:p w14:paraId="42F38F7F">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2.1</w:t>
      </w:r>
      <w:r>
        <w:rPr>
          <w:rFonts w:hint="eastAsia" w:ascii="微软雅黑" w:hAnsi="微软雅黑" w:eastAsia="微软雅黑"/>
          <w:color w:val="auto"/>
          <w:szCs w:val="21"/>
          <w:highlight w:val="none"/>
          <w:lang w:val="en-US" w:eastAsia="zh-CN"/>
        </w:rPr>
        <w:t>1</w:t>
      </w:r>
      <w:r>
        <w:rPr>
          <w:rFonts w:hint="eastAsia" w:ascii="微软雅黑" w:hAnsi="微软雅黑" w:eastAsia="微软雅黑" w:cs="宋体"/>
          <w:color w:val="auto"/>
          <w:szCs w:val="21"/>
          <w:highlight w:val="none"/>
        </w:rPr>
        <w:t>“允许负偏离的条款”是指采购需求中的不属于“实质性要求”的条款。</w:t>
      </w:r>
      <w:bookmarkStart w:id="224" w:name="_Toc254970529"/>
      <w:bookmarkStart w:id="225" w:name="_Toc254970670"/>
    </w:p>
    <w:p w14:paraId="22FBEEAF">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w:t>
      </w:r>
      <w:bookmarkEnd w:id="224"/>
      <w:bookmarkEnd w:id="225"/>
      <w:r>
        <w:rPr>
          <w:rFonts w:hint="eastAsia" w:ascii="微软雅黑" w:hAnsi="微软雅黑" w:eastAsia="微软雅黑"/>
          <w:color w:val="auto"/>
          <w:sz w:val="24"/>
          <w:highlight w:val="none"/>
        </w:rPr>
        <w:t>投标人的资格要求</w:t>
      </w:r>
    </w:p>
    <w:p w14:paraId="77CD2CDF">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投标人的资格要求详见“投标人须知前附表”。</w:t>
      </w:r>
    </w:p>
    <w:p w14:paraId="782462C9">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226" w:name="_Toc254970530"/>
      <w:bookmarkStart w:id="227" w:name="_Toc254970671"/>
      <w:r>
        <w:rPr>
          <w:rFonts w:hint="eastAsia" w:ascii="微软雅黑" w:hAnsi="微软雅黑" w:eastAsia="微软雅黑"/>
          <w:color w:val="auto"/>
          <w:sz w:val="24"/>
          <w:highlight w:val="none"/>
        </w:rPr>
        <w:t>4.投标委托</w:t>
      </w:r>
      <w:bookmarkEnd w:id="226"/>
      <w:bookmarkEnd w:id="227"/>
    </w:p>
    <w:p w14:paraId="24ECBA00">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投标人代表参加投标活动过程中必须携带个人有效身份证件。如投标人代表不是法定代表人，须持有授权委托书（按第六章要求格式填写）。</w:t>
      </w:r>
    </w:p>
    <w:p w14:paraId="3E73DC78">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228" w:name="_5.投标费用"/>
      <w:bookmarkEnd w:id="228"/>
      <w:bookmarkStart w:id="229" w:name="_Toc254970672"/>
      <w:bookmarkStart w:id="230" w:name="_Toc254970531"/>
      <w:r>
        <w:rPr>
          <w:rFonts w:hint="eastAsia" w:ascii="微软雅黑" w:hAnsi="微软雅黑" w:eastAsia="微软雅黑"/>
          <w:color w:val="auto"/>
          <w:sz w:val="24"/>
          <w:highlight w:val="none"/>
        </w:rPr>
        <w:t>5.投标费用</w:t>
      </w:r>
      <w:bookmarkEnd w:id="229"/>
      <w:bookmarkEnd w:id="230"/>
    </w:p>
    <w:p w14:paraId="37D982E8">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5F16240D">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6.联合体投标</w:t>
      </w:r>
    </w:p>
    <w:p w14:paraId="727C93AD">
      <w:pPr>
        <w:snapToGrid w:val="0"/>
        <w:spacing w:line="400" w:lineRule="exact"/>
        <w:ind w:firstLine="420" w:firstLineChars="200"/>
        <w:jc w:val="lef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6.1本项目是否接受联合体投标，详见“投标人须知前附表”。</w:t>
      </w:r>
    </w:p>
    <w:p w14:paraId="7E318B48">
      <w:pPr>
        <w:snapToGrid w:val="0"/>
        <w:spacing w:line="400" w:lineRule="exact"/>
        <w:ind w:firstLine="420" w:firstLineChars="200"/>
        <w:jc w:val="left"/>
        <w:rPr>
          <w:rFonts w:ascii="微软雅黑" w:hAnsi="微软雅黑" w:eastAsia="微软雅黑"/>
          <w:bCs/>
          <w:color w:val="auto"/>
          <w:szCs w:val="21"/>
          <w:highlight w:val="none"/>
        </w:rPr>
      </w:pPr>
      <w:r>
        <w:rPr>
          <w:rFonts w:hint="eastAsia" w:ascii="微软雅黑" w:hAnsi="微软雅黑" w:eastAsia="微软雅黑"/>
          <w:bCs/>
          <w:color w:val="auto"/>
          <w:szCs w:val="21"/>
          <w:highlight w:val="none"/>
        </w:rPr>
        <w:t>6.2如接受联合体投标，联合体投标要求详见“投标人须知前附表”。</w:t>
      </w:r>
    </w:p>
    <w:p w14:paraId="2995C67C">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bCs/>
          <w:color w:val="auto"/>
          <w:szCs w:val="21"/>
          <w:highlight w:val="none"/>
        </w:rPr>
        <w:t>6.3根据《政府采购促进中小企业发展管理办法》（财库〔2020〕46号）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4B8EA55C">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7.转包与分包             </w:t>
      </w:r>
    </w:p>
    <w:p w14:paraId="05987002">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231" w:name="_Toc254970532"/>
      <w:bookmarkStart w:id="232" w:name="_Toc254970673"/>
      <w:r>
        <w:rPr>
          <w:rFonts w:hint="eastAsia" w:ascii="微软雅黑" w:hAnsi="微软雅黑" w:eastAsia="微软雅黑"/>
          <w:b w:val="0"/>
          <w:color w:val="auto"/>
          <w:sz w:val="21"/>
          <w:szCs w:val="21"/>
          <w:highlight w:val="none"/>
        </w:rPr>
        <w:t>7.1本项目不允许转包。</w:t>
      </w:r>
    </w:p>
    <w:p w14:paraId="1E37EB1E">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5FE5E712">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5405DEF">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8.特别说明</w:t>
      </w:r>
      <w:bookmarkEnd w:id="231"/>
      <w:bookmarkEnd w:id="232"/>
    </w:p>
    <w:p w14:paraId="319246AF">
      <w:pPr>
        <w:pStyle w:val="6"/>
        <w:keepNext w:val="0"/>
        <w:keepLines w:val="0"/>
        <w:spacing w:before="0" w:after="0" w:line="400" w:lineRule="exact"/>
        <w:ind w:firstLine="367" w:firstLineChars="175"/>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5A39D01E">
      <w:pPr>
        <w:pStyle w:val="6"/>
        <w:keepNext w:val="0"/>
        <w:keepLines w:val="0"/>
        <w:spacing w:before="0" w:after="0" w:line="400" w:lineRule="exact"/>
        <w:ind w:firstLine="367" w:firstLineChars="175"/>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8.2投标人应仔细阅读招标文件的所有内容，按照招标文件的要求提交投标文件，并对所提供的全部资料的真实性承担法律责任。</w:t>
      </w:r>
    </w:p>
    <w:p w14:paraId="20D1DBA0">
      <w:pPr>
        <w:pStyle w:val="6"/>
        <w:keepNext w:val="0"/>
        <w:keepLines w:val="0"/>
        <w:spacing w:before="0" w:after="0" w:line="400" w:lineRule="exact"/>
        <w:ind w:firstLine="367" w:firstLineChars="175"/>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22DE65FC">
      <w:pPr>
        <w:pStyle w:val="6"/>
        <w:keepNext w:val="0"/>
        <w:keepLines w:val="0"/>
        <w:spacing w:before="0" w:after="0" w:line="400" w:lineRule="exact"/>
        <w:ind w:left="420" w:leftChars="200"/>
        <w:outlineLvl w:val="2"/>
        <w:rPr>
          <w:rFonts w:ascii="微软雅黑" w:hAnsi="微软雅黑" w:eastAsia="微软雅黑"/>
          <w:color w:val="auto"/>
          <w:sz w:val="24"/>
          <w:highlight w:val="none"/>
        </w:rPr>
      </w:pPr>
      <w:r>
        <w:rPr>
          <w:rFonts w:ascii="微软雅黑" w:hAnsi="微软雅黑" w:eastAsia="微软雅黑"/>
          <w:color w:val="auto"/>
          <w:sz w:val="24"/>
          <w:highlight w:val="none"/>
        </w:rPr>
        <w:t>9.</w:t>
      </w:r>
      <w:r>
        <w:rPr>
          <w:rFonts w:hint="eastAsia" w:ascii="微软雅黑" w:hAnsi="微软雅黑" w:eastAsia="微软雅黑"/>
          <w:color w:val="auto"/>
          <w:sz w:val="24"/>
          <w:highlight w:val="none"/>
        </w:rPr>
        <w:t>回避与串通投标</w:t>
      </w:r>
    </w:p>
    <w:p w14:paraId="22D98388">
      <w:pPr>
        <w:pStyle w:val="6"/>
        <w:keepNext w:val="0"/>
        <w:keepLines w:val="0"/>
        <w:spacing w:before="0" w:after="0" w:line="400" w:lineRule="exact"/>
        <w:ind w:firstLine="367" w:firstLineChars="175"/>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9</w:t>
      </w:r>
      <w:r>
        <w:rPr>
          <w:rFonts w:ascii="微软雅黑" w:hAnsi="微软雅黑" w:eastAsia="微软雅黑"/>
          <w:b w:val="0"/>
          <w:color w:val="auto"/>
          <w:sz w:val="21"/>
          <w:szCs w:val="21"/>
          <w:highlight w:val="none"/>
        </w:rPr>
        <w:t>.1在政府采购活动中，采购人员及相关人员与</w:t>
      </w:r>
      <w:r>
        <w:rPr>
          <w:rFonts w:hint="eastAsia" w:ascii="微软雅黑" w:hAnsi="微软雅黑" w:eastAsia="微软雅黑"/>
          <w:b w:val="0"/>
          <w:color w:val="auto"/>
          <w:sz w:val="21"/>
          <w:szCs w:val="21"/>
          <w:highlight w:val="none"/>
        </w:rPr>
        <w:t>供应商</w:t>
      </w:r>
      <w:r>
        <w:rPr>
          <w:rFonts w:ascii="微软雅黑" w:hAnsi="微软雅黑" w:eastAsia="微软雅黑"/>
          <w:b w:val="0"/>
          <w:color w:val="auto"/>
          <w:sz w:val="21"/>
          <w:szCs w:val="21"/>
          <w:highlight w:val="none"/>
        </w:rPr>
        <w:t>有下列利害关系之一的，应当回避：</w:t>
      </w:r>
    </w:p>
    <w:p w14:paraId="013AD57E">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1</w:t>
      </w:r>
      <w:r>
        <w:rPr>
          <w:rFonts w:ascii="微软雅黑" w:hAnsi="微软雅黑" w:eastAsia="微软雅黑"/>
          <w:color w:val="auto"/>
          <w:kern w:val="2"/>
          <w:sz w:val="21"/>
          <w:highlight w:val="none"/>
        </w:rPr>
        <w:t>）参加采购活动前3年内与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存在劳动关系；</w:t>
      </w:r>
    </w:p>
    <w:p w14:paraId="0C2CE6C0">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2</w:t>
      </w:r>
      <w:r>
        <w:rPr>
          <w:rFonts w:ascii="微软雅黑" w:hAnsi="微软雅黑" w:eastAsia="微软雅黑"/>
          <w:color w:val="auto"/>
          <w:kern w:val="2"/>
          <w:sz w:val="21"/>
          <w:highlight w:val="none"/>
        </w:rPr>
        <w:t>）参加采购活动前3年内担任</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的董事、监事；</w:t>
      </w:r>
    </w:p>
    <w:p w14:paraId="395E4F59">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3</w:t>
      </w:r>
      <w:r>
        <w:rPr>
          <w:rFonts w:ascii="微软雅黑" w:hAnsi="微软雅黑" w:eastAsia="微软雅黑"/>
          <w:color w:val="auto"/>
          <w:kern w:val="2"/>
          <w:sz w:val="21"/>
          <w:highlight w:val="none"/>
        </w:rPr>
        <w:t>）参加采购活动前3年内是</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的控股股东或者实际控制人；</w:t>
      </w:r>
    </w:p>
    <w:p w14:paraId="668A37E1">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4</w:t>
      </w:r>
      <w:r>
        <w:rPr>
          <w:rFonts w:ascii="微软雅黑" w:hAnsi="微软雅黑" w:eastAsia="微软雅黑"/>
          <w:color w:val="auto"/>
          <w:kern w:val="2"/>
          <w:sz w:val="21"/>
          <w:highlight w:val="none"/>
        </w:rPr>
        <w:t>）与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的法定代表人或者负责人有夫妻、直系血亲、三代以内旁系血亲或者近姻亲关系；</w:t>
      </w:r>
    </w:p>
    <w:p w14:paraId="17BCCA10">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5</w:t>
      </w:r>
      <w:r>
        <w:rPr>
          <w:rFonts w:ascii="微软雅黑" w:hAnsi="微软雅黑" w:eastAsia="微软雅黑"/>
          <w:color w:val="auto"/>
          <w:kern w:val="2"/>
          <w:sz w:val="21"/>
          <w:highlight w:val="none"/>
        </w:rPr>
        <w:t>）与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有其他可能影响政府采购活动公平、公正进行的关系。</w:t>
      </w:r>
    </w:p>
    <w:p w14:paraId="26E32185">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认为采购人员及相关人员与其他</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1EBC1017">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9.2</w:t>
      </w:r>
      <w:r>
        <w:rPr>
          <w:rFonts w:hint="eastAsia" w:ascii="微软雅黑" w:hAnsi="微软雅黑" w:eastAsia="微软雅黑"/>
          <w:color w:val="auto"/>
          <w:sz w:val="21"/>
          <w:szCs w:val="21"/>
          <w:highlight w:val="none"/>
        </w:rPr>
        <w:t>有下列情形之一的视为投标人相互串通投标，投标文件将被视为无效：</w:t>
      </w:r>
    </w:p>
    <w:p w14:paraId="3720EFAC">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 xml:space="preserve">（1）不同投标人的投标文件由同一单位或者个人编制； </w:t>
      </w:r>
    </w:p>
    <w:p w14:paraId="5082FA6F">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（2）不同投标人委托同一单位或者个人办理投标事宜；</w:t>
      </w:r>
    </w:p>
    <w:p w14:paraId="3A15DE4D">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（3）不同的投标人的投标文件载明的项目管理员为同一个人；</w:t>
      </w:r>
    </w:p>
    <w:p w14:paraId="50AA9531">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（4）不同投标人的投标文件异常一致或者投标报价呈规律性差异；</w:t>
      </w:r>
    </w:p>
    <w:p w14:paraId="452ECF26">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（5）不同投标人的投标文件相互混装；</w:t>
      </w:r>
    </w:p>
    <w:p w14:paraId="00395FAF">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（6）不同投标人的投标保证金从同一单位或者个人账户转出。</w:t>
      </w:r>
    </w:p>
    <w:p w14:paraId="3A8EE608">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9.3</w:t>
      </w:r>
      <w:r>
        <w:rPr>
          <w:rFonts w:hint="eastAsia" w:ascii="微软雅黑" w:hAnsi="微软雅黑" w:eastAsia="微软雅黑"/>
          <w:b w:val="0"/>
          <w:color w:val="auto"/>
          <w:sz w:val="21"/>
          <w:szCs w:val="21"/>
          <w:highlight w:val="none"/>
        </w:rPr>
        <w:t>供应商有下列情形之一的，属于恶意串通行为，将报同级监督管理部门：</w:t>
      </w:r>
    </w:p>
    <w:p w14:paraId="01E5D180">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（1）供应商直接或者间接从采购人或者采购代理机构处获得其他供应商的相关信息并修改其投标文件或者响应文件；</w:t>
      </w:r>
    </w:p>
    <w:p w14:paraId="13E878CA">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（2）供应商按照采购人或者采购代理机构的授意撤换、修改投标文件或者响应文件；</w:t>
      </w:r>
    </w:p>
    <w:p w14:paraId="581C0DEF">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（3）供应商之间协商报价、技术方案等投标文件或者响应文件的实质性内容；</w:t>
      </w:r>
    </w:p>
    <w:p w14:paraId="44686FA0">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（4）属于同一集团、协会、商会等组织成员的供应商按照该组织要求协同参加政府采购活动；</w:t>
      </w:r>
    </w:p>
    <w:p w14:paraId="439EB31C">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7D67ED4F">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（6）供应商之间商定部分供应商放弃参加政府采购活动或者放弃中标；</w:t>
      </w:r>
    </w:p>
    <w:p w14:paraId="3726E8BE">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（7）供应商与采购人或者采购代理机构之间、供应商相互之间，为谋求特定供应商中标或者排斥其他供应商的其他串通行为。</w:t>
      </w:r>
    </w:p>
    <w:p w14:paraId="5B9C82B8">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p>
    <w:p w14:paraId="05002F50">
      <w:pPr>
        <w:pStyle w:val="5"/>
        <w:keepNext w:val="0"/>
        <w:keepLines w:val="0"/>
        <w:spacing w:line="400" w:lineRule="exact"/>
        <w:jc w:val="center"/>
        <w:outlineLvl w:val="1"/>
        <w:rPr>
          <w:rFonts w:hint="eastAsia" w:ascii="微软雅黑" w:hAnsi="微软雅黑" w:eastAsia="微软雅黑"/>
          <w:color w:val="auto"/>
          <w:highlight w:val="none"/>
        </w:rPr>
      </w:pPr>
      <w:bookmarkStart w:id="233" w:name="_Toc254970675"/>
      <w:bookmarkStart w:id="234" w:name="_Toc254970534"/>
      <w:r>
        <w:rPr>
          <w:rFonts w:hint="eastAsia" w:ascii="微软雅黑" w:hAnsi="微软雅黑" w:eastAsia="微软雅黑"/>
          <w:color w:val="auto"/>
          <w:highlight w:val="none"/>
        </w:rPr>
        <w:t>二、招标文件</w:t>
      </w:r>
      <w:bookmarkEnd w:id="233"/>
      <w:bookmarkEnd w:id="234"/>
    </w:p>
    <w:p w14:paraId="15B8F908">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10.招标文件的组成</w:t>
      </w:r>
    </w:p>
    <w:p w14:paraId="7ED36D1B">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（1）招标公告；</w:t>
      </w:r>
    </w:p>
    <w:p w14:paraId="2336950D">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（2）采购需求； </w:t>
      </w:r>
    </w:p>
    <w:p w14:paraId="3C7DA09A">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（3）投标人须知；</w:t>
      </w:r>
    </w:p>
    <w:p w14:paraId="01708620">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（4）评标方法及评标标准；</w:t>
      </w:r>
    </w:p>
    <w:p w14:paraId="428F4E16">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（5）拟签订的合同文本；</w:t>
      </w:r>
    </w:p>
    <w:p w14:paraId="76960C41">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（6）投标文件格式。</w:t>
      </w:r>
    </w:p>
    <w:p w14:paraId="6935CAA2">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11.招标文件的澄清、修改 、现场考察和答疑会</w:t>
      </w:r>
    </w:p>
    <w:p w14:paraId="45A249C9">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F9620F3">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4C9877B">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1</w:t>
      </w:r>
      <w:r>
        <w:rPr>
          <w:rFonts w:ascii="微软雅黑" w:hAnsi="微软雅黑" w:eastAsia="微软雅黑"/>
          <w:color w:val="auto"/>
          <w:sz w:val="21"/>
          <w:highlight w:val="none"/>
        </w:rPr>
        <w:t>1.2</w:t>
      </w:r>
      <w:bookmarkStart w:id="235" w:name="_Hlk53134511"/>
      <w:r>
        <w:rPr>
          <w:rFonts w:hint="eastAsia" w:ascii="微软雅黑" w:hAnsi="微软雅黑" w:eastAsia="微软雅黑"/>
          <w:color w:val="auto"/>
          <w:sz w:val="21"/>
          <w:highlight w:val="none"/>
        </w:rPr>
        <w:t>采购人或者采购代理机构可以在招标文件提供期限截止后，组织已获取招标文件的潜在投标人现场考察或者召开开标前答疑会，具体详见“投标人须知前附表”。</w:t>
      </w:r>
    </w:p>
    <w:bookmarkEnd w:id="235"/>
    <w:p w14:paraId="4080E861">
      <w:pPr>
        <w:pStyle w:val="5"/>
        <w:keepNext w:val="0"/>
        <w:keepLines w:val="0"/>
        <w:spacing w:line="400" w:lineRule="exact"/>
        <w:jc w:val="center"/>
        <w:outlineLvl w:val="1"/>
        <w:rPr>
          <w:rFonts w:hint="eastAsia" w:ascii="微软雅黑" w:hAnsi="微软雅黑" w:eastAsia="微软雅黑"/>
          <w:color w:val="auto"/>
          <w:highlight w:val="none"/>
        </w:rPr>
      </w:pPr>
      <w:bookmarkStart w:id="236" w:name="_Toc254970676"/>
      <w:bookmarkStart w:id="237" w:name="_Toc254970535"/>
      <w:r>
        <w:rPr>
          <w:rFonts w:hint="eastAsia" w:ascii="微软雅黑" w:hAnsi="微软雅黑" w:eastAsia="微软雅黑"/>
          <w:color w:val="auto"/>
          <w:highlight w:val="none"/>
        </w:rPr>
        <w:t>三、投标文件的编制</w:t>
      </w:r>
      <w:bookmarkEnd w:id="236"/>
      <w:bookmarkEnd w:id="237"/>
    </w:p>
    <w:p w14:paraId="093E17CD">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38" w:name="_Toc254970677"/>
      <w:bookmarkStart w:id="239" w:name="_Toc254970536"/>
      <w:r>
        <w:rPr>
          <w:rFonts w:hint="eastAsia" w:ascii="微软雅黑" w:hAnsi="微软雅黑" w:eastAsia="微软雅黑"/>
          <w:color w:val="auto"/>
          <w:sz w:val="24"/>
          <w:highlight w:val="none"/>
        </w:rPr>
        <w:t>12.投标文件的编制原则</w:t>
      </w:r>
    </w:p>
    <w:p w14:paraId="38F7CAE3">
      <w:pPr>
        <w:snapToGrid w:val="0"/>
        <w:spacing w:line="400" w:lineRule="exact"/>
        <w:ind w:firstLine="420"/>
        <w:jc w:val="left"/>
        <w:rPr>
          <w:rFonts w:hint="eastAsia" w:ascii="微软雅黑" w:hAnsi="微软雅黑" w:eastAsia="微软雅黑" w:cs="Courier New"/>
          <w:color w:val="auto"/>
          <w:szCs w:val="21"/>
          <w:highlight w:val="none"/>
        </w:rPr>
      </w:pPr>
      <w:r>
        <w:rPr>
          <w:rFonts w:ascii="微软雅黑" w:hAnsi="微软雅黑" w:eastAsia="微软雅黑"/>
          <w:color w:val="auto"/>
          <w:szCs w:val="21"/>
          <w:highlight w:val="none"/>
        </w:rPr>
        <w:t>投标人必须按照招标文件的要求编制投标文件。投标文件必须对招标文件提出的要求和条件作出明确响应。</w:t>
      </w:r>
    </w:p>
    <w:p w14:paraId="74228568">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13.投标文件的组成</w:t>
      </w:r>
      <w:bookmarkEnd w:id="238"/>
      <w:bookmarkEnd w:id="239"/>
    </w:p>
    <w:p w14:paraId="7E243633">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投标文件由报价文件、资格证明文件、商务及技术文件三部分组成。</w:t>
      </w:r>
    </w:p>
    <w:p w14:paraId="29018AE5">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240" w:name="_13.1报价文件:_具体材料见“投标人须知前附表”。"/>
      <w:bookmarkEnd w:id="240"/>
      <w:r>
        <w:rPr>
          <w:rFonts w:hint="eastAsia" w:ascii="微软雅黑" w:hAnsi="微软雅黑" w:eastAsia="微软雅黑"/>
          <w:b w:val="0"/>
          <w:color w:val="auto"/>
          <w:sz w:val="21"/>
          <w:szCs w:val="21"/>
          <w:highlight w:val="none"/>
        </w:rPr>
        <w:t>（1）报价文件：</w:t>
      </w:r>
      <w:r>
        <w:rPr>
          <w:rFonts w:ascii="微软雅黑" w:hAnsi="微软雅黑" w:eastAsia="微软雅黑"/>
          <w:b w:val="0"/>
          <w:color w:val="auto"/>
          <w:sz w:val="21"/>
          <w:szCs w:val="21"/>
          <w:highlight w:val="none"/>
        </w:rPr>
        <w:t xml:space="preserve"> 具体材料见“投标人须知前附表”</w:t>
      </w:r>
      <w:r>
        <w:rPr>
          <w:rFonts w:hint="eastAsia" w:ascii="微软雅黑" w:hAnsi="微软雅黑" w:eastAsia="微软雅黑"/>
          <w:b w:val="0"/>
          <w:color w:val="auto"/>
          <w:sz w:val="21"/>
          <w:szCs w:val="21"/>
          <w:highlight w:val="none"/>
        </w:rPr>
        <w:t>。</w:t>
      </w:r>
    </w:p>
    <w:p w14:paraId="7FA715C6">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241" w:name="_13.2资格证明文件：具体材料见“投标人须知前附表”。"/>
      <w:bookmarkEnd w:id="241"/>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2</w:t>
      </w:r>
      <w:r>
        <w:rPr>
          <w:rFonts w:hint="eastAsia" w:ascii="微软雅黑" w:hAnsi="微软雅黑" w:eastAsia="微软雅黑"/>
          <w:b w:val="0"/>
          <w:color w:val="auto"/>
          <w:sz w:val="21"/>
          <w:szCs w:val="21"/>
          <w:highlight w:val="none"/>
        </w:rPr>
        <w:t>）资格证明文件：</w:t>
      </w:r>
      <w:r>
        <w:rPr>
          <w:rFonts w:ascii="微软雅黑" w:hAnsi="微软雅黑" w:eastAsia="微软雅黑"/>
          <w:b w:val="0"/>
          <w:color w:val="auto"/>
          <w:sz w:val="21"/>
          <w:szCs w:val="21"/>
          <w:highlight w:val="none"/>
        </w:rPr>
        <w:t>具体材料见“投标人须知前附表”</w:t>
      </w:r>
      <w:r>
        <w:rPr>
          <w:rFonts w:hint="eastAsia" w:ascii="微软雅黑" w:hAnsi="微软雅黑" w:eastAsia="微软雅黑"/>
          <w:b w:val="0"/>
          <w:color w:val="auto"/>
          <w:sz w:val="21"/>
          <w:szCs w:val="21"/>
          <w:highlight w:val="none"/>
        </w:rPr>
        <w:t>。</w:t>
      </w:r>
    </w:p>
    <w:p w14:paraId="1588987E">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242" w:name="_13.3商务文件:_具体材料见“投标人须知前附表”。"/>
      <w:bookmarkEnd w:id="242"/>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）商务及技术文件：</w:t>
      </w:r>
      <w:r>
        <w:rPr>
          <w:rFonts w:ascii="微软雅黑" w:hAnsi="微软雅黑" w:eastAsia="微软雅黑"/>
          <w:b w:val="0"/>
          <w:color w:val="auto"/>
          <w:sz w:val="21"/>
          <w:szCs w:val="21"/>
          <w:highlight w:val="none"/>
        </w:rPr>
        <w:t>具体材料见“投标人须知前附表”</w:t>
      </w:r>
      <w:r>
        <w:rPr>
          <w:rFonts w:hint="eastAsia" w:ascii="微软雅黑" w:hAnsi="微软雅黑" w:eastAsia="微软雅黑"/>
          <w:b w:val="0"/>
          <w:color w:val="auto"/>
          <w:sz w:val="21"/>
          <w:szCs w:val="21"/>
          <w:highlight w:val="none"/>
        </w:rPr>
        <w:t>。</w:t>
      </w:r>
    </w:p>
    <w:p w14:paraId="7EA332FE">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43" w:name="_13.4技术文件：具体材料见“投标人须知前附表”。"/>
      <w:bookmarkEnd w:id="243"/>
      <w:bookmarkStart w:id="244" w:name="_13.5投标文件电子版：具体材料见“投标人须知前附表”。"/>
      <w:bookmarkEnd w:id="244"/>
      <w:bookmarkStart w:id="245" w:name="_Toc254970678"/>
      <w:bookmarkStart w:id="246" w:name="_Toc254970537"/>
      <w:r>
        <w:rPr>
          <w:rFonts w:hint="eastAsia" w:ascii="微软雅黑" w:hAnsi="微软雅黑" w:eastAsia="微软雅黑"/>
          <w:color w:val="auto"/>
          <w:sz w:val="24"/>
          <w:highlight w:val="none"/>
        </w:rPr>
        <w:t>14.投标文件的语言及计量</w:t>
      </w:r>
      <w:bookmarkEnd w:id="245"/>
      <w:bookmarkEnd w:id="246"/>
    </w:p>
    <w:p w14:paraId="4BDFFC2C">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14.1语言文字</w:t>
      </w:r>
    </w:p>
    <w:p w14:paraId="2AFAD1B8">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C7BEC11">
      <w:pPr>
        <w:pStyle w:val="6"/>
        <w:keepNext w:val="0"/>
        <w:keepLines w:val="0"/>
        <w:spacing w:before="0" w:after="0" w:line="400" w:lineRule="exact"/>
        <w:ind w:firstLine="420" w:firstLineChars="200"/>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14.2投标计量单位</w:t>
      </w:r>
    </w:p>
    <w:p w14:paraId="78555D04">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微软雅黑" w:hAnsi="微软雅黑" w:eastAsia="微软雅黑"/>
          <w:bCs/>
          <w:color w:val="auto"/>
          <w:sz w:val="21"/>
          <w:szCs w:val="21"/>
          <w:highlight w:val="none"/>
        </w:rPr>
        <w:t>，否则视同未响应。</w:t>
      </w:r>
    </w:p>
    <w:p w14:paraId="1ED6EF00">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15.投标的风险</w:t>
      </w:r>
    </w:p>
    <w:p w14:paraId="506B4392">
      <w:pPr>
        <w:pStyle w:val="23"/>
        <w:snapToGrid w:val="0"/>
        <w:spacing w:line="400" w:lineRule="exact"/>
        <w:ind w:firstLine="420" w:firstLineChars="200"/>
        <w:jc w:val="left"/>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投标人没有按照招标文件要求提供全部资料，或者投标人没有对招标文件作出实质性响应是投标人的风险，并可能导致其投标被拒绝。</w:t>
      </w:r>
    </w:p>
    <w:p w14:paraId="78AC5C97">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47" w:name="_Toc254970679"/>
      <w:bookmarkStart w:id="248" w:name="_Toc254970538"/>
      <w:r>
        <w:rPr>
          <w:rFonts w:hint="eastAsia" w:ascii="微软雅黑" w:hAnsi="微软雅黑" w:eastAsia="微软雅黑"/>
          <w:color w:val="auto"/>
          <w:sz w:val="24"/>
          <w:highlight w:val="none"/>
        </w:rPr>
        <w:t>16.投标报价</w:t>
      </w:r>
      <w:bookmarkEnd w:id="247"/>
      <w:bookmarkEnd w:id="248"/>
    </w:p>
    <w:p w14:paraId="496F339C">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16.1投标报价应按“第六章　投标文件格式”中“开标一览表”格式填写。</w:t>
      </w:r>
    </w:p>
    <w:p w14:paraId="7DB52C45">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249" w:name="_16.2投标报价具体定义见投标人须知前附表。"/>
      <w:bookmarkEnd w:id="249"/>
      <w:r>
        <w:rPr>
          <w:rFonts w:hint="eastAsia" w:ascii="微软雅黑" w:hAnsi="微软雅黑" w:eastAsia="微软雅黑"/>
          <w:b w:val="0"/>
          <w:color w:val="auto"/>
          <w:sz w:val="21"/>
          <w:szCs w:val="21"/>
          <w:highlight w:val="none"/>
        </w:rPr>
        <w:t>16.2投标报价具体包括内容详见“投标人须知前附表”。</w:t>
      </w:r>
    </w:p>
    <w:p w14:paraId="78B4E133">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16.3投标人必须就所投每个分标的全部内容分别作完整唯一总价报价，不得存在漏项报价；投标人必须就所投分标的单项内容作唯一报价。</w:t>
      </w:r>
    </w:p>
    <w:p w14:paraId="36E96316">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17.投标有效期</w:t>
      </w:r>
    </w:p>
    <w:p w14:paraId="55E4BFCF">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bookmarkStart w:id="250" w:name="_17.1投标有效期应按“投标人须知中的前附表”规定的期限。"/>
      <w:bookmarkEnd w:id="250"/>
      <w:r>
        <w:rPr>
          <w:rFonts w:hint="eastAsia" w:ascii="微软雅黑" w:hAnsi="微软雅黑" w:eastAsia="微软雅黑"/>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370D29FD">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17.2</w:t>
      </w:r>
      <w:bookmarkStart w:id="251" w:name="_Toc254970681"/>
      <w:bookmarkStart w:id="252" w:name="_Toc254970540"/>
      <w:r>
        <w:rPr>
          <w:rFonts w:hint="eastAsia" w:ascii="微软雅黑" w:hAnsi="微软雅黑" w:eastAsia="微软雅黑"/>
          <w:b w:val="0"/>
          <w:color w:val="auto"/>
          <w:sz w:val="21"/>
          <w:szCs w:val="21"/>
          <w:highlight w:val="none"/>
        </w:rPr>
        <w:t xml:space="preserve"> 投标有效期应按招标文件规定的期限作出承诺，具体详见“投标人须知前附表”。</w:t>
      </w:r>
      <w:r>
        <w:rPr>
          <w:rFonts w:hint="eastAsia" w:ascii="微软雅黑" w:hAnsi="微软雅黑" w:eastAsia="微软雅黑"/>
          <w:color w:val="auto"/>
          <w:sz w:val="21"/>
          <w:szCs w:val="21"/>
          <w:highlight w:val="none"/>
        </w:rPr>
        <w:t>承诺的投标有效期低于招标文件规定期限的，按无效投标处理。</w:t>
      </w:r>
    </w:p>
    <w:p w14:paraId="3647BE92">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17.3投标人的投标文件在投标有效期内均保持有效。</w:t>
      </w:r>
      <w:bookmarkEnd w:id="251"/>
      <w:bookmarkEnd w:id="252"/>
    </w:p>
    <w:p w14:paraId="6C915924">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53" w:name="_18.投标保证金"/>
      <w:bookmarkEnd w:id="253"/>
      <w:bookmarkStart w:id="254" w:name="_Toc254970541"/>
      <w:bookmarkStart w:id="255" w:name="_Toc254970682"/>
      <w:r>
        <w:rPr>
          <w:rFonts w:hint="eastAsia" w:ascii="微软雅黑" w:hAnsi="微软雅黑" w:eastAsia="微软雅黑"/>
          <w:color w:val="auto"/>
          <w:sz w:val="24"/>
          <w:highlight w:val="none"/>
        </w:rPr>
        <w:t>18.投标保证金</w:t>
      </w:r>
      <w:bookmarkEnd w:id="254"/>
      <w:bookmarkEnd w:id="255"/>
    </w:p>
    <w:p w14:paraId="68B22BED">
      <w:pPr>
        <w:pStyle w:val="6"/>
        <w:keepNext w:val="0"/>
        <w:keepLines w:val="0"/>
        <w:spacing w:before="0" w:after="0" w:line="400" w:lineRule="exact"/>
        <w:ind w:left="420" w:leftChars="200"/>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18.1投标人须按“投标人须知前附表” 的规定提交投标保证金。</w:t>
      </w:r>
    </w:p>
    <w:p w14:paraId="3CE13341">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18.2投标保证金的退还</w:t>
      </w:r>
    </w:p>
    <w:p w14:paraId="61D1DB98">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03D0EC64">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18.3除逾期退还投标保证金和终止招标的情形以外，投标保证金不计息。</w:t>
      </w:r>
    </w:p>
    <w:p w14:paraId="3A29086B">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18.4投标人有下列情形之一的，投标保证金将不予退还： </w:t>
      </w:r>
    </w:p>
    <w:p w14:paraId="73625C96">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（1）投标人在投标有效期内撤销投标文件的；</w:t>
      </w:r>
    </w:p>
    <w:p w14:paraId="1DA85C00">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（2）未按规定提交履约保证金的；</w:t>
      </w:r>
    </w:p>
    <w:p w14:paraId="5AA3DE44">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（3）投标人在投标过程中弄虚作假，提供虚假材料的；</w:t>
      </w:r>
    </w:p>
    <w:p w14:paraId="0397B716">
      <w:pPr>
        <w:snapToGrid w:val="0"/>
        <w:spacing w:line="400" w:lineRule="exact"/>
        <w:ind w:firstLine="411" w:firstLineChars="196"/>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（4）中标人无正当理由不与采购人签订合同的；</w:t>
      </w:r>
    </w:p>
    <w:p w14:paraId="24875490">
      <w:pPr>
        <w:snapToGrid w:val="0"/>
        <w:spacing w:line="400" w:lineRule="exact"/>
        <w:ind w:firstLine="420" w:firstLineChars="200"/>
        <w:rPr>
          <w:rFonts w:hint="eastAsia" w:ascii="微软雅黑" w:hAnsi="微软雅黑" w:eastAsia="微软雅黑"/>
          <w:color w:val="auto"/>
          <w:szCs w:val="21"/>
          <w:highlight w:val="none"/>
        </w:rPr>
      </w:pPr>
      <w:bookmarkStart w:id="256" w:name="_Toc254970683"/>
      <w:bookmarkStart w:id="257" w:name="_Toc254970542"/>
      <w:r>
        <w:rPr>
          <w:rFonts w:hint="eastAsia" w:ascii="微软雅黑" w:hAnsi="微软雅黑" w:eastAsia="微软雅黑"/>
          <w:color w:val="auto"/>
          <w:szCs w:val="21"/>
          <w:highlight w:val="none"/>
        </w:rPr>
        <w:t>（5）投标人出现本章第9.2、9.3情形的；</w:t>
      </w:r>
    </w:p>
    <w:p w14:paraId="49521B78">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w:t>
      </w:r>
      <w:r>
        <w:rPr>
          <w:rFonts w:hint="eastAsia" w:ascii="微软雅黑" w:hAnsi="微软雅黑" w:eastAsia="微软雅黑" w:cs="宋体"/>
          <w:color w:val="auto"/>
          <w:szCs w:val="21"/>
          <w:highlight w:val="none"/>
        </w:rPr>
        <w:t>法律法规规定的其他情形</w:t>
      </w:r>
      <w:r>
        <w:rPr>
          <w:rFonts w:hint="eastAsia" w:ascii="微软雅黑" w:hAnsi="微软雅黑" w:eastAsia="微软雅黑"/>
          <w:color w:val="auto"/>
          <w:szCs w:val="21"/>
          <w:highlight w:val="none"/>
        </w:rPr>
        <w:t>。</w:t>
      </w:r>
    </w:p>
    <w:bookmarkEnd w:id="256"/>
    <w:bookmarkEnd w:id="257"/>
    <w:p w14:paraId="0CFBD82B">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19.投标文件的编制</w:t>
      </w:r>
    </w:p>
    <w:p w14:paraId="386193F2">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19.1投标人应按照本项目招标文件规定的格式和顺序和广西政府采购云平台的要求编制并加密。投标文件内容不完整、编排混乱导致投标文件被误读、漏读或者查找不到相关内容的，由此引发的后果由投标人承担。</w:t>
      </w:r>
    </w:p>
    <w:p w14:paraId="6E1FFA57">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258" w:name="_19.2投标文件应按报价文件、资格证明文件、商务文件、技术文件分别编制"/>
      <w:bookmarkEnd w:id="258"/>
      <w:r>
        <w:rPr>
          <w:rFonts w:hint="eastAsia" w:ascii="微软雅黑" w:hAnsi="微软雅黑" w:eastAsia="微软雅黑"/>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0D205482">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19.3投标文件须由投标人在规定位置签字（或者电子签名）、盖章（具体以投标人须知前附表或投标文件格式规定为准），</w:t>
      </w:r>
      <w:r>
        <w:rPr>
          <w:rFonts w:hint="eastAsia" w:ascii="微软雅黑" w:hAnsi="微软雅黑" w:eastAsia="微软雅黑"/>
          <w:bCs/>
          <w:color w:val="auto"/>
          <w:sz w:val="21"/>
          <w:szCs w:val="21"/>
          <w:highlight w:val="none"/>
        </w:rPr>
        <w:t>否则按无效投标处理</w:t>
      </w:r>
      <w:r>
        <w:rPr>
          <w:rFonts w:hint="eastAsia" w:ascii="微软雅黑" w:hAnsi="微软雅黑" w:eastAsia="微软雅黑"/>
          <w:b w:val="0"/>
          <w:color w:val="auto"/>
          <w:sz w:val="21"/>
          <w:szCs w:val="21"/>
          <w:highlight w:val="none"/>
        </w:rPr>
        <w:t>。</w:t>
      </w:r>
    </w:p>
    <w:p w14:paraId="715A2FB1">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微软雅黑" w:hAnsi="微软雅黑" w:eastAsia="微软雅黑"/>
          <w:color w:val="auto"/>
          <w:sz w:val="21"/>
          <w:szCs w:val="21"/>
          <w:highlight w:val="none"/>
        </w:rPr>
        <w:t>否则按无效投标处理</w:t>
      </w:r>
      <w:r>
        <w:rPr>
          <w:rFonts w:hint="eastAsia" w:ascii="微软雅黑" w:hAnsi="微软雅黑" w:eastAsia="微软雅黑"/>
          <w:b w:val="0"/>
          <w:color w:val="auto"/>
          <w:sz w:val="21"/>
          <w:szCs w:val="21"/>
          <w:highlight w:val="none"/>
        </w:rPr>
        <w:t>。</w:t>
      </w:r>
    </w:p>
    <w:p w14:paraId="7C4EB9D9">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5E6E4F6C">
      <w:pPr>
        <w:spacing w:line="400" w:lineRule="exact"/>
        <w:ind w:firstLine="480" w:firstLine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20.电子备份投标文件</w:t>
      </w:r>
    </w:p>
    <w:p w14:paraId="4FDA1187">
      <w:pPr>
        <w:spacing w:line="400" w:lineRule="exact"/>
        <w:ind w:firstLine="420" w:firstLineChars="200"/>
        <w:rPr>
          <w:rFonts w:hint="eastAsia" w:ascii="微软雅黑" w:hAnsi="微软雅黑" w:eastAsia="微软雅黑"/>
          <w:color w:val="auto"/>
          <w:sz w:val="24"/>
          <w:highlight w:val="none"/>
        </w:rPr>
      </w:pPr>
      <w:r>
        <w:rPr>
          <w:rFonts w:hint="eastAsia" w:ascii="微软雅黑" w:hAnsi="微软雅黑" w:eastAsia="微软雅黑"/>
          <w:color w:val="auto"/>
          <w:highlight w:val="none"/>
        </w:rPr>
        <w:t>电子备份投标文件是指通过在线编制生成且后缀名为“</w:t>
      </w:r>
      <w:r>
        <w:rPr>
          <w:rFonts w:ascii="微软雅黑" w:hAnsi="微软雅黑" w:eastAsia="微软雅黑"/>
          <w:color w:val="auto"/>
          <w:highlight w:val="none"/>
        </w:rPr>
        <w:t>bfbs</w:t>
      </w:r>
      <w:r>
        <w:rPr>
          <w:rFonts w:hint="eastAsia" w:ascii="微软雅黑" w:hAnsi="微软雅黑" w:eastAsia="微软雅黑"/>
          <w:color w:val="auto"/>
          <w:highlight w:val="none"/>
        </w:rPr>
        <w:t>”的文件，是否接受电子备份投标文件</w:t>
      </w:r>
      <w:r>
        <w:rPr>
          <w:rFonts w:hint="eastAsia" w:ascii="微软雅黑" w:hAnsi="微软雅黑" w:eastAsia="微软雅黑"/>
          <w:bCs/>
          <w:color w:val="auto"/>
          <w:szCs w:val="21"/>
          <w:highlight w:val="none"/>
        </w:rPr>
        <w:t>详见在“投标人须知前附表”。</w:t>
      </w:r>
    </w:p>
    <w:p w14:paraId="24BB648C">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21.投标文件的提交</w:t>
      </w:r>
    </w:p>
    <w:p w14:paraId="164CAC63">
      <w:pPr>
        <w:spacing w:line="400" w:lineRule="exact"/>
        <w:ind w:firstLine="420" w:firstLineChars="200"/>
        <w:rPr>
          <w:rFonts w:hint="eastAsia" w:ascii="微软雅黑" w:hAnsi="微软雅黑" w:eastAsia="微软雅黑"/>
          <w:b/>
          <w:color w:val="auto"/>
          <w:highlight w:val="none"/>
        </w:rPr>
      </w:pPr>
      <w:bookmarkStart w:id="259" w:name="_21.1投标人必须在“投标人须知中的前附表”规定的投标文件接收时间和投"/>
      <w:bookmarkEnd w:id="259"/>
      <w:r>
        <w:rPr>
          <w:rFonts w:hint="eastAsia" w:ascii="微软雅黑" w:hAnsi="微软雅黑" w:eastAsia="微软雅黑"/>
          <w:bCs/>
          <w:color w:val="auto"/>
          <w:szCs w:val="21"/>
          <w:highlight w:val="none"/>
        </w:rPr>
        <w:t>21.1投标人必须在“投标人须知前附表”规定的</w:t>
      </w:r>
      <w:r>
        <w:rPr>
          <w:rFonts w:hint="eastAsia" w:ascii="微软雅黑" w:hAnsi="微软雅黑" w:eastAsia="微软雅黑"/>
          <w:color w:val="auto"/>
          <w:szCs w:val="21"/>
          <w:highlight w:val="none"/>
        </w:rPr>
        <w:t>提交投标文件截止时间前将</w:t>
      </w:r>
      <w:r>
        <w:rPr>
          <w:rFonts w:hint="eastAsia" w:ascii="微软雅黑" w:hAnsi="微软雅黑" w:eastAsia="微软雅黑"/>
          <w:bCs/>
          <w:color w:val="auto"/>
          <w:szCs w:val="21"/>
          <w:highlight w:val="none"/>
        </w:rPr>
        <w:t>电子投标文件提交至投标地点。电子投标文件应在制作完成后，</w:t>
      </w:r>
      <w:r>
        <w:rPr>
          <w:rFonts w:ascii="微软雅黑" w:hAnsi="微软雅黑" w:eastAsia="微软雅黑"/>
          <w:bCs/>
          <w:color w:val="auto"/>
          <w:szCs w:val="21"/>
          <w:highlight w:val="none"/>
        </w:rPr>
        <w:t>在投标截止时间前</w:t>
      </w:r>
      <w:r>
        <w:rPr>
          <w:rFonts w:hint="eastAsia" w:ascii="微软雅黑" w:hAnsi="微软雅黑" w:eastAsia="微软雅黑"/>
          <w:bCs/>
          <w:color w:val="auto"/>
          <w:szCs w:val="21"/>
          <w:highlight w:val="none"/>
        </w:rPr>
        <w:t>通过有效数字证书（CA认证锁）进行电子签章、加密，然后通过网络将加密的电子投标文件递交至</w:t>
      </w:r>
      <w:r>
        <w:rPr>
          <w:rFonts w:hint="eastAsia" w:ascii="微软雅黑" w:hAnsi="微软雅黑" w:eastAsia="微软雅黑"/>
          <w:b/>
          <w:color w:val="auto"/>
          <w:szCs w:val="21"/>
          <w:highlight w:val="none"/>
        </w:rPr>
        <w:t>广西政府采购云平台</w:t>
      </w:r>
      <w:r>
        <w:rPr>
          <w:rFonts w:hint="eastAsia" w:ascii="微软雅黑" w:hAnsi="微软雅黑" w:eastAsia="微软雅黑"/>
          <w:bCs/>
          <w:color w:val="auto"/>
          <w:szCs w:val="21"/>
          <w:highlight w:val="none"/>
        </w:rPr>
        <w:t xml:space="preserve">。 </w:t>
      </w:r>
      <w:r>
        <w:rPr>
          <w:rFonts w:hint="eastAsia" w:ascii="微软雅黑" w:hAnsi="微软雅黑" w:eastAsia="微软雅黑"/>
          <w:b/>
          <w:color w:val="auto"/>
          <w:highlight w:val="none"/>
        </w:rPr>
        <w:t xml:space="preserve"> </w:t>
      </w:r>
    </w:p>
    <w:p w14:paraId="727490DF">
      <w:pPr>
        <w:spacing w:line="400" w:lineRule="exact"/>
        <w:ind w:firstLine="420" w:firstLineChars="200"/>
        <w:rPr>
          <w:rFonts w:hint="eastAsia" w:ascii="微软雅黑" w:hAnsi="微软雅黑" w:eastAsia="微软雅黑"/>
          <w:b/>
          <w:color w:val="auto"/>
          <w:szCs w:val="20"/>
          <w:highlight w:val="none"/>
        </w:rPr>
      </w:pPr>
      <w:r>
        <w:rPr>
          <w:rFonts w:hint="eastAsia" w:ascii="微软雅黑" w:hAnsi="微软雅黑" w:eastAsia="微软雅黑"/>
          <w:b/>
          <w:color w:val="auto"/>
          <w:szCs w:val="21"/>
          <w:highlight w:val="none"/>
        </w:rPr>
        <w:t>21.</w:t>
      </w:r>
      <w:r>
        <w:rPr>
          <w:rFonts w:ascii="微软雅黑" w:hAnsi="微软雅黑" w:eastAsia="微软雅黑"/>
          <w:b/>
          <w:color w:val="auto"/>
          <w:szCs w:val="21"/>
          <w:highlight w:val="none"/>
        </w:rPr>
        <w:t>2</w:t>
      </w:r>
      <w:r>
        <w:rPr>
          <w:rFonts w:hint="eastAsia" w:ascii="微软雅黑" w:hAnsi="微软雅黑" w:eastAsia="微软雅黑"/>
          <w:b/>
          <w:color w:val="auto"/>
          <w:szCs w:val="21"/>
          <w:highlight w:val="none"/>
        </w:rPr>
        <w:t>未在规定时间内提交或者未按照招标文件要求加密的电子投标文件，广西政府采购云平台将拒收。</w:t>
      </w:r>
    </w:p>
    <w:p w14:paraId="236963FB">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22. 投标文件的补充、修改、撤回与退回</w:t>
      </w:r>
    </w:p>
    <w:p w14:paraId="19E02CCB">
      <w:pPr>
        <w:snapToGrid w:val="0"/>
        <w:spacing w:line="400" w:lineRule="exact"/>
        <w:ind w:firstLine="420"/>
        <w:jc w:val="left"/>
        <w:rPr>
          <w:rFonts w:hint="eastAsia" w:ascii="微软雅黑" w:hAnsi="微软雅黑" w:eastAsia="微软雅黑"/>
          <w:color w:val="auto"/>
          <w:szCs w:val="21"/>
          <w:highlight w:val="none"/>
        </w:rPr>
      </w:pPr>
      <w:bookmarkStart w:id="260" w:name="_Toc254970543"/>
      <w:bookmarkStart w:id="261" w:name="_Toc254970684"/>
      <w:r>
        <w:rPr>
          <w:rFonts w:ascii="微软雅黑" w:hAnsi="微软雅黑" w:eastAsia="微软雅黑" w:cs="宋体"/>
          <w:color w:val="auto"/>
          <w:szCs w:val="21"/>
          <w:highlight w:val="none"/>
        </w:rPr>
        <w:t>22</w:t>
      </w:r>
      <w:r>
        <w:rPr>
          <w:rFonts w:hint="eastAsia" w:ascii="微软雅黑" w:hAnsi="微软雅黑" w:eastAsia="微软雅黑" w:cs="宋体"/>
          <w:color w:val="auto"/>
          <w:szCs w:val="21"/>
          <w:highlight w:val="none"/>
        </w:rPr>
        <w:t>.1</w:t>
      </w:r>
      <w:r>
        <w:rPr>
          <w:rFonts w:hint="eastAsia" w:ascii="微软雅黑" w:hAnsi="微软雅黑" w:eastAsia="微软雅黑"/>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微软雅黑" w:hAnsi="微软雅黑" w:eastAsia="微软雅黑" w:cs="宋体"/>
          <w:color w:val="auto"/>
          <w:szCs w:val="21"/>
          <w:highlight w:val="none"/>
        </w:rPr>
        <w:t>（补充、修改或者撤回方式可</w:t>
      </w:r>
      <w:r>
        <w:rPr>
          <w:rFonts w:hint="eastAsia" w:ascii="微软雅黑" w:hAnsi="微软雅黑" w:eastAsia="微软雅黑"/>
          <w:color w:val="auto"/>
          <w:szCs w:val="21"/>
          <w:highlight w:val="none"/>
        </w:rPr>
        <w:t>登录</w:t>
      </w:r>
      <w:r>
        <w:rPr>
          <w:rFonts w:hint="eastAsia" w:ascii="微软雅黑" w:hAnsi="微软雅黑" w:eastAsia="微软雅黑" w:cs="宋体"/>
          <w:color w:val="auto"/>
          <w:kern w:val="0"/>
          <w:szCs w:val="21"/>
          <w:highlight w:val="none"/>
        </w:rPr>
        <w:t>广西政府采购云平台，</w:t>
      </w:r>
      <w:r>
        <w:rPr>
          <w:rFonts w:hint="eastAsia" w:ascii="微软雅黑" w:hAnsi="微软雅黑" w:eastAsia="微软雅黑"/>
          <w:color w:val="auto"/>
          <w:szCs w:val="21"/>
          <w:highlight w:val="none"/>
        </w:rPr>
        <w:t>依次进入“服务中心”中查看</w:t>
      </w:r>
      <w:r>
        <w:rPr>
          <w:rFonts w:hint="eastAsia" w:ascii="微软雅黑" w:hAnsi="微软雅黑" w:eastAsia="微软雅黑" w:cs="宋体"/>
          <w:color w:val="auto"/>
          <w:szCs w:val="21"/>
          <w:highlight w:val="none"/>
        </w:rPr>
        <w:t xml:space="preserve"> “电子投标文件制作与投送教程”）</w:t>
      </w:r>
    </w:p>
    <w:bookmarkEnd w:id="260"/>
    <w:bookmarkEnd w:id="261"/>
    <w:p w14:paraId="37ED044B">
      <w:pPr>
        <w:pStyle w:val="111"/>
        <w:spacing w:before="0" w:line="400" w:lineRule="exact"/>
        <w:ind w:firstLine="420"/>
        <w:rPr>
          <w:rFonts w:hint="eastAsia"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22.</w:t>
      </w:r>
      <w:r>
        <w:rPr>
          <w:rFonts w:hint="eastAsia" w:ascii="微软雅黑" w:hAnsi="微软雅黑" w:eastAsia="微软雅黑" w:cs="宋体"/>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395828AD">
      <w:pPr>
        <w:spacing w:line="400" w:lineRule="exact"/>
        <w:ind w:firstLine="420" w:firstLineChars="200"/>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22.</w:t>
      </w:r>
      <w:r>
        <w:rPr>
          <w:rFonts w:ascii="微软雅黑" w:hAnsi="微软雅黑" w:eastAsia="微软雅黑" w:cs="宋体"/>
          <w:color w:val="auto"/>
          <w:szCs w:val="21"/>
          <w:highlight w:val="none"/>
        </w:rPr>
        <w:t>3</w:t>
      </w:r>
      <w:r>
        <w:rPr>
          <w:rFonts w:hint="eastAsia" w:ascii="微软雅黑" w:hAnsi="微软雅黑" w:eastAsia="微软雅黑" w:cs="宋体"/>
          <w:color w:val="auto"/>
          <w:szCs w:val="21"/>
          <w:highlight w:val="none"/>
        </w:rPr>
        <w:t>在投标截止时间后，采购人和采购代理机构对已提交的投标文件概不退回。</w:t>
      </w:r>
    </w:p>
    <w:p w14:paraId="2931C3B6">
      <w:pPr>
        <w:pStyle w:val="5"/>
        <w:keepNext w:val="0"/>
        <w:keepLines w:val="0"/>
        <w:spacing w:line="400" w:lineRule="exact"/>
        <w:jc w:val="center"/>
        <w:outlineLvl w:val="1"/>
        <w:rPr>
          <w:rFonts w:hint="eastAsia" w:ascii="微软雅黑" w:hAnsi="微软雅黑" w:eastAsia="微软雅黑"/>
          <w:color w:val="auto"/>
          <w:highlight w:val="none"/>
        </w:rPr>
      </w:pPr>
      <w:bookmarkStart w:id="262" w:name="_Toc254970685"/>
      <w:bookmarkStart w:id="263" w:name="_Toc254970544"/>
      <w:r>
        <w:rPr>
          <w:rFonts w:hint="eastAsia" w:ascii="微软雅黑" w:hAnsi="微软雅黑" w:eastAsia="微软雅黑"/>
          <w:color w:val="auto"/>
          <w:highlight w:val="none"/>
        </w:rPr>
        <w:t>四、开    标</w:t>
      </w:r>
      <w:bookmarkEnd w:id="262"/>
      <w:bookmarkEnd w:id="263"/>
    </w:p>
    <w:p w14:paraId="291F638E">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64" w:name="_23.开标时间和地点"/>
      <w:bookmarkEnd w:id="264"/>
      <w:r>
        <w:rPr>
          <w:rFonts w:hint="eastAsia" w:ascii="微软雅黑" w:hAnsi="微软雅黑" w:eastAsia="微软雅黑"/>
          <w:color w:val="auto"/>
          <w:sz w:val="24"/>
          <w:highlight w:val="none"/>
        </w:rPr>
        <w:t>23.开标时间和地点</w:t>
      </w:r>
    </w:p>
    <w:p w14:paraId="32524B69">
      <w:pPr>
        <w:spacing w:line="400" w:lineRule="exact"/>
        <w:ind w:firstLine="420" w:firstLineChars="200"/>
        <w:rPr>
          <w:rFonts w:hint="eastAsia" w:ascii="微软雅黑" w:hAnsi="微软雅黑" w:eastAsia="微软雅黑"/>
          <w:bCs/>
          <w:color w:val="auto"/>
          <w:highlight w:val="none"/>
        </w:rPr>
      </w:pPr>
      <w:r>
        <w:rPr>
          <w:rFonts w:hint="eastAsia" w:ascii="微软雅黑" w:hAnsi="微软雅黑" w:eastAsia="微软雅黑"/>
          <w:bCs/>
          <w:color w:val="auto"/>
          <w:highlight w:val="none"/>
        </w:rPr>
        <w:t>开标时间及地点详见“投标人须知前附表”</w:t>
      </w:r>
    </w:p>
    <w:p w14:paraId="45E8B98E">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24.开标程序</w:t>
      </w:r>
    </w:p>
    <w:p w14:paraId="463CFA0D">
      <w:pPr>
        <w:pStyle w:val="8"/>
        <w:spacing w:line="400" w:lineRule="exact"/>
        <w:rPr>
          <w:rFonts w:ascii="微软雅黑" w:hAnsi="微软雅黑" w:eastAsia="微软雅黑"/>
          <w:color w:val="auto"/>
          <w:highlight w:val="none"/>
        </w:rPr>
      </w:pPr>
      <w:r>
        <w:rPr>
          <w:rFonts w:hint="eastAsia" w:ascii="微软雅黑" w:hAnsi="微软雅黑" w:eastAsia="微软雅黑"/>
          <w:color w:val="auto"/>
          <w:highlight w:val="none"/>
        </w:rPr>
        <w:t>2</w:t>
      </w:r>
      <w:r>
        <w:rPr>
          <w:rFonts w:ascii="微软雅黑" w:hAnsi="微软雅黑" w:eastAsia="微软雅黑"/>
          <w:color w:val="auto"/>
          <w:highlight w:val="none"/>
        </w:rPr>
        <w:t>4.1</w:t>
      </w:r>
      <w:r>
        <w:rPr>
          <w:rFonts w:hint="eastAsia" w:ascii="微软雅黑" w:hAnsi="微软雅黑" w:eastAsia="微软雅黑"/>
          <w:color w:val="auto"/>
          <w:highlight w:val="none"/>
        </w:rPr>
        <w:t>提交投标文件截止时间止，投标人不足3家的，不得开标。</w:t>
      </w:r>
    </w:p>
    <w:p w14:paraId="5E9C9D8B">
      <w:pPr>
        <w:pStyle w:val="8"/>
        <w:spacing w:line="400" w:lineRule="exact"/>
        <w:rPr>
          <w:rFonts w:ascii="微软雅黑" w:hAnsi="微软雅黑" w:eastAsia="微软雅黑"/>
          <w:color w:val="auto"/>
          <w:highlight w:val="none"/>
        </w:rPr>
      </w:pPr>
      <w:r>
        <w:rPr>
          <w:rFonts w:hint="eastAsia" w:ascii="微软雅黑" w:hAnsi="微软雅黑" w:eastAsia="微软雅黑"/>
          <w:color w:val="auto"/>
          <w:highlight w:val="none"/>
        </w:rPr>
        <w:t>24.</w:t>
      </w:r>
      <w:r>
        <w:rPr>
          <w:rFonts w:ascii="微软雅黑" w:hAnsi="微软雅黑" w:eastAsia="微软雅黑"/>
          <w:color w:val="auto"/>
          <w:highlight w:val="none"/>
        </w:rPr>
        <w:t>2</w:t>
      </w:r>
      <w:r>
        <w:rPr>
          <w:rFonts w:hint="eastAsia" w:ascii="微软雅黑" w:hAnsi="微软雅黑" w:eastAsia="微软雅黑"/>
          <w:color w:val="auto"/>
          <w:highlight w:val="none"/>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2B0954F8">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24.</w:t>
      </w:r>
      <w:r>
        <w:rPr>
          <w:rFonts w:ascii="微软雅黑" w:hAnsi="微软雅黑" w:eastAsia="微软雅黑"/>
          <w:color w:val="auto"/>
          <w:highlight w:val="none"/>
        </w:rPr>
        <w:t>3</w:t>
      </w:r>
      <w:r>
        <w:rPr>
          <w:rFonts w:hint="eastAsia" w:ascii="微软雅黑" w:hAnsi="微软雅黑" w:eastAsia="微软雅黑"/>
          <w:color w:val="auto"/>
          <w:highlight w:val="none"/>
        </w:rPr>
        <w:t>开标程序</w:t>
      </w:r>
    </w:p>
    <w:p w14:paraId="37961669">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微软雅黑" w:hAnsi="微软雅黑" w:eastAsia="微软雅黑"/>
          <w:bCs/>
          <w:color w:val="auto"/>
          <w:szCs w:val="21"/>
          <w:highlight w:val="none"/>
        </w:rPr>
        <w:t>“投标人须知前附表”</w:t>
      </w:r>
      <w:r>
        <w:rPr>
          <w:rFonts w:hint="eastAsia" w:ascii="微软雅黑" w:hAnsi="微软雅黑" w:eastAsia="微软雅黑"/>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ascii="微软雅黑" w:hAnsi="微软雅黑" w:eastAsia="微软雅黑"/>
          <w:b/>
          <w:color w:val="auto"/>
          <w:highlight w:val="none"/>
        </w:rPr>
        <w:t>投标人</w:t>
      </w:r>
      <w:r>
        <w:rPr>
          <w:rFonts w:hint="eastAsia" w:ascii="微软雅黑" w:hAnsi="微软雅黑" w:eastAsia="微软雅黑"/>
          <w:b/>
          <w:color w:val="auto"/>
          <w:highlight w:val="none"/>
        </w:rPr>
        <w:t>未在</w:t>
      </w:r>
      <w:r>
        <w:rPr>
          <w:rFonts w:ascii="微软雅黑" w:hAnsi="微软雅黑" w:eastAsia="微软雅黑"/>
          <w:b/>
          <w:color w:val="auto"/>
          <w:highlight w:val="none"/>
        </w:rPr>
        <w:t>规定的时间内解密</w:t>
      </w:r>
      <w:r>
        <w:rPr>
          <w:rFonts w:hint="eastAsia" w:ascii="微软雅黑" w:hAnsi="微软雅黑" w:eastAsia="微软雅黑"/>
          <w:b/>
          <w:color w:val="auto"/>
          <w:highlight w:val="none"/>
        </w:rPr>
        <w:t>投标文件</w:t>
      </w:r>
      <w:r>
        <w:rPr>
          <w:rFonts w:ascii="微软雅黑" w:hAnsi="微软雅黑" w:eastAsia="微软雅黑"/>
          <w:b/>
          <w:color w:val="auto"/>
          <w:highlight w:val="none"/>
        </w:rPr>
        <w:t>或</w:t>
      </w:r>
      <w:r>
        <w:rPr>
          <w:rFonts w:hint="eastAsia" w:ascii="微软雅黑" w:hAnsi="微软雅黑" w:eastAsia="微软雅黑"/>
          <w:b/>
          <w:color w:val="auto"/>
          <w:highlight w:val="none"/>
        </w:rPr>
        <w:t>者</w:t>
      </w:r>
      <w:r>
        <w:rPr>
          <w:rFonts w:ascii="微软雅黑" w:hAnsi="微软雅黑" w:eastAsia="微软雅黑"/>
          <w:b/>
          <w:color w:val="auto"/>
          <w:highlight w:val="none"/>
        </w:rPr>
        <w:t>解密失败的</w:t>
      </w:r>
      <w:r>
        <w:rPr>
          <w:rFonts w:hint="eastAsia" w:ascii="微软雅黑" w:hAnsi="微软雅黑" w:eastAsia="微软雅黑"/>
          <w:b/>
          <w:color w:val="auto"/>
          <w:highlight w:val="none"/>
        </w:rPr>
        <w:t>，</w:t>
      </w:r>
      <w:r>
        <w:rPr>
          <w:rFonts w:hint="eastAsia" w:ascii="微软雅黑" w:hAnsi="微软雅黑" w:eastAsia="微软雅黑"/>
          <w:b/>
          <w:color w:val="auto"/>
          <w:szCs w:val="21"/>
          <w:highlight w:val="none"/>
        </w:rPr>
        <w:t>投标人的投标文件作无效处理</w:t>
      </w:r>
      <w:r>
        <w:rPr>
          <w:rFonts w:ascii="微软雅黑" w:hAnsi="微软雅黑" w:eastAsia="微软雅黑"/>
          <w:b/>
          <w:color w:val="auto"/>
          <w:highlight w:val="none"/>
        </w:rPr>
        <w:t>。</w:t>
      </w:r>
    </w:p>
    <w:p w14:paraId="45AFF05A">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（2）电子唱标。投标文件解密结束，宣布的内容均在广西政府采购云平台远程开标大厅展示，具体详见</w:t>
      </w:r>
      <w:r>
        <w:rPr>
          <w:rFonts w:hint="eastAsia" w:ascii="微软雅黑" w:hAnsi="微软雅黑" w:eastAsia="微软雅黑"/>
          <w:bCs/>
          <w:color w:val="auto"/>
          <w:highlight w:val="none"/>
        </w:rPr>
        <w:t>“投标人须知前附表”</w:t>
      </w:r>
      <w:r>
        <w:rPr>
          <w:rFonts w:hint="eastAsia" w:ascii="微软雅黑" w:hAnsi="微软雅黑" w:eastAsia="微软雅黑"/>
          <w:color w:val="auto"/>
          <w:highlight w:val="none"/>
        </w:rPr>
        <w:t>；</w:t>
      </w:r>
    </w:p>
    <w:p w14:paraId="538A78C4">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1B2677A4">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F193FFB">
      <w:pPr>
        <w:pStyle w:val="8"/>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（5）开标结束。</w:t>
      </w:r>
    </w:p>
    <w:p w14:paraId="450ABB1E">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特别说明：如遇广西政府采购云平台电子化开标或评审程序调整的，按调整后执行。</w:t>
      </w:r>
    </w:p>
    <w:p w14:paraId="0E5DB278">
      <w:pPr>
        <w:pStyle w:val="23"/>
        <w:snapToGrid w:val="0"/>
        <w:spacing w:line="400" w:lineRule="exact"/>
        <w:ind w:left="689" w:leftChars="228" w:hanging="210" w:hangingChars="100"/>
        <w:rPr>
          <w:rFonts w:hint="eastAsia" w:ascii="微软雅黑" w:hAnsi="微软雅黑" w:eastAsia="微软雅黑"/>
          <w:color w:val="auto"/>
          <w:sz w:val="21"/>
          <w:highlight w:val="none"/>
        </w:rPr>
      </w:pPr>
    </w:p>
    <w:p w14:paraId="5216D2C7">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五、资格审查</w:t>
      </w:r>
    </w:p>
    <w:p w14:paraId="4213F275">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25.资格审查</w:t>
      </w:r>
    </w:p>
    <w:p w14:paraId="495C42A9">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25.1</w:t>
      </w:r>
      <w:r>
        <w:rPr>
          <w:rFonts w:ascii="微软雅黑" w:hAnsi="微软雅黑" w:eastAsia="微软雅黑"/>
          <w:b w:val="0"/>
          <w:color w:val="auto"/>
          <w:sz w:val="21"/>
          <w:szCs w:val="21"/>
          <w:highlight w:val="none"/>
        </w:rPr>
        <w:t>开标结束后，</w:t>
      </w:r>
      <w:r>
        <w:rPr>
          <w:rFonts w:hint="eastAsia" w:ascii="微软雅黑" w:hAnsi="微软雅黑" w:eastAsia="微软雅黑"/>
          <w:b w:val="0"/>
          <w:color w:val="auto"/>
          <w:sz w:val="21"/>
          <w:szCs w:val="21"/>
          <w:highlight w:val="none"/>
        </w:rPr>
        <w:t>采购人或者采购代理机构通过电子开评标系统依据招标文件对电子投标文件进行线上资格审查</w:t>
      </w:r>
      <w:r>
        <w:rPr>
          <w:rFonts w:ascii="微软雅黑" w:hAnsi="微软雅黑" w:eastAsia="微软雅黑"/>
          <w:b w:val="0"/>
          <w:color w:val="auto"/>
          <w:sz w:val="21"/>
          <w:szCs w:val="21"/>
          <w:highlight w:val="none"/>
        </w:rPr>
        <w:t>。</w:t>
      </w:r>
    </w:p>
    <w:p w14:paraId="59012B4C">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10B1E18A">
      <w:pPr>
        <w:pStyle w:val="6"/>
        <w:keepNext w:val="0"/>
        <w:keepLines w:val="0"/>
        <w:numPr>
          <w:ilvl w:val="0"/>
          <w:numId w:val="0"/>
        </w:numPr>
        <w:spacing w:before="0" w:after="0" w:line="400" w:lineRule="exact"/>
        <w:ind w:firstLine="420" w:firstLineChars="200"/>
        <w:rPr>
          <w:rFonts w:hint="eastAsia" w:ascii="微软雅黑" w:hAnsi="微软雅黑" w:eastAsia="微软雅黑"/>
          <w:color w:val="auto"/>
          <w:sz w:val="21"/>
          <w:szCs w:val="21"/>
          <w:highlight w:val="none"/>
        </w:rPr>
      </w:pPr>
      <w:bookmarkStart w:id="265" w:name="_25.3_投标人有下列情形之一的，资格审查不通过而导致其投标无效："/>
      <w:bookmarkEnd w:id="265"/>
      <w:r>
        <w:rPr>
          <w:rFonts w:hint="eastAsia" w:ascii="微软雅黑" w:hAnsi="微软雅黑" w:eastAsia="微软雅黑"/>
          <w:color w:val="auto"/>
          <w:sz w:val="21"/>
          <w:szCs w:val="21"/>
          <w:highlight w:val="none"/>
        </w:rPr>
        <w:t>25.3 投标人有下列情形之一的，资格审查不通过，作无效投标处理：</w:t>
      </w:r>
    </w:p>
    <w:p w14:paraId="6CA7F769">
      <w:pPr>
        <w:pStyle w:val="23"/>
        <w:snapToGrid w:val="0"/>
        <w:spacing w:line="400" w:lineRule="exact"/>
        <w:ind w:firstLine="420" w:firstLineChars="200"/>
        <w:rPr>
          <w:rFonts w:ascii="微软雅黑" w:hAnsi="微软雅黑" w:eastAsia="微软雅黑"/>
          <w:b/>
          <w:color w:val="auto"/>
          <w:sz w:val="21"/>
          <w:highlight w:val="none"/>
        </w:rPr>
      </w:pPr>
      <w:r>
        <w:rPr>
          <w:rFonts w:hint="eastAsia" w:ascii="微软雅黑" w:hAnsi="微软雅黑" w:eastAsia="微软雅黑"/>
          <w:b/>
          <w:color w:val="auto"/>
          <w:sz w:val="21"/>
          <w:highlight w:val="none"/>
        </w:rPr>
        <w:t>（1）不具备招标文件中规定的资格要求的；</w:t>
      </w:r>
    </w:p>
    <w:p w14:paraId="5D553D0B">
      <w:pPr>
        <w:pStyle w:val="23"/>
        <w:snapToGrid w:val="0"/>
        <w:spacing w:line="400" w:lineRule="exact"/>
        <w:ind w:firstLine="420" w:firstLineChars="200"/>
        <w:rPr>
          <w:rFonts w:ascii="微软雅黑" w:hAnsi="微软雅黑" w:eastAsia="微软雅黑"/>
          <w:b/>
          <w:color w:val="auto"/>
          <w:sz w:val="21"/>
          <w:highlight w:val="none"/>
        </w:rPr>
      </w:pPr>
      <w:r>
        <w:rPr>
          <w:rFonts w:hint="eastAsia" w:ascii="微软雅黑" w:hAnsi="微软雅黑" w:eastAsia="微软雅黑"/>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5A90A7AF">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659C4171">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（4）投标文件中的资格证明文件缺少任一项“投标人须知前附表”资格证明文件规定“必须提供”的文件资料的；</w:t>
      </w:r>
    </w:p>
    <w:p w14:paraId="69D6AC38">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（5）投标文件中的资格证明文件出现任一项不符合“投标人须知前附表”资格证明文件规定“必须提供”的文件资料要求或者无效的。</w:t>
      </w:r>
    </w:p>
    <w:p w14:paraId="1BA77827">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color w:val="auto"/>
          <w:sz w:val="21"/>
          <w:szCs w:val="21"/>
          <w:highlight w:val="none"/>
        </w:rPr>
        <w:t>25.4</w:t>
      </w:r>
      <w:r>
        <w:rPr>
          <w:rFonts w:ascii="微软雅黑" w:hAnsi="微软雅黑" w:eastAsia="微软雅黑"/>
          <w:color w:val="auto"/>
          <w:sz w:val="21"/>
          <w:szCs w:val="21"/>
          <w:highlight w:val="none"/>
        </w:rPr>
        <w:t>合格投标人不足3家的，不得评标。</w:t>
      </w:r>
    </w:p>
    <w:p w14:paraId="387D1BB6">
      <w:pPr>
        <w:pStyle w:val="23"/>
        <w:snapToGrid w:val="0"/>
        <w:spacing w:line="400" w:lineRule="exact"/>
        <w:ind w:left="689" w:leftChars="228" w:hanging="210" w:hangingChars="100"/>
        <w:rPr>
          <w:rFonts w:hint="eastAsia" w:ascii="微软雅黑" w:hAnsi="微软雅黑" w:eastAsia="微软雅黑"/>
          <w:color w:val="auto"/>
          <w:sz w:val="21"/>
          <w:highlight w:val="none"/>
        </w:rPr>
      </w:pPr>
    </w:p>
    <w:p w14:paraId="2921A593">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六、评   标</w:t>
      </w:r>
    </w:p>
    <w:p w14:paraId="47DDB5D7">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66" w:name="_26.组建评标委员会"/>
      <w:bookmarkEnd w:id="266"/>
      <w:r>
        <w:rPr>
          <w:rFonts w:hint="eastAsia" w:ascii="微软雅黑" w:hAnsi="微软雅黑" w:eastAsia="微软雅黑"/>
          <w:color w:val="auto"/>
          <w:sz w:val="24"/>
          <w:highlight w:val="none"/>
        </w:rPr>
        <w:t>26.组建评标委员会</w:t>
      </w:r>
    </w:p>
    <w:p w14:paraId="2DD0A617">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26.1评标委员会由采购人代表和评审专家组成，具体人数详见“投标人须知前附表”，其中评审专家不得少于成员总数的三分之二。</w:t>
      </w:r>
    </w:p>
    <w:p w14:paraId="703550E4">
      <w:pPr>
        <w:pStyle w:val="23"/>
        <w:snapToGrid w:val="0"/>
        <w:spacing w:line="400" w:lineRule="exact"/>
        <w:ind w:left="2" w:leftChars="1"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26.2参加过采购项目前期咨询论证的专家，不得参加该采购项目的评审活动。</w:t>
      </w:r>
    </w:p>
    <w:p w14:paraId="781C4B64">
      <w:pPr>
        <w:pStyle w:val="23"/>
        <w:snapToGrid w:val="0"/>
        <w:spacing w:line="400" w:lineRule="exact"/>
        <w:ind w:left="2" w:leftChars="1"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26.3</w:t>
      </w:r>
      <w:r>
        <w:rPr>
          <w:rFonts w:hint="eastAsia" w:ascii="微软雅黑" w:hAnsi="微软雅黑" w:eastAsia="微软雅黑"/>
          <w:bCs/>
          <w:color w:val="auto"/>
          <w:sz w:val="21"/>
          <w:highlight w:val="none"/>
        </w:rPr>
        <w:t>采购代理机构应当基于广西政府采购云平台抽（选）取评审专家。</w:t>
      </w:r>
    </w:p>
    <w:p w14:paraId="3A07C653">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27.评标的依据</w:t>
      </w:r>
    </w:p>
    <w:p w14:paraId="6ADCD77D">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评标委员会以</w:t>
      </w:r>
      <w:r>
        <w:rPr>
          <w:rFonts w:hint="eastAsia" w:ascii="微软雅黑" w:hAnsi="微软雅黑" w:eastAsia="微软雅黑" w:cs="宋体"/>
          <w:color w:val="auto"/>
          <w:sz w:val="21"/>
          <w:highlight w:val="none"/>
        </w:rPr>
        <w:t>“第四章 评标方法和评标标准”</w:t>
      </w:r>
      <w:r>
        <w:rPr>
          <w:rFonts w:hint="eastAsia" w:ascii="微软雅黑" w:hAnsi="微软雅黑" w:eastAsia="微软雅黑"/>
          <w:color w:val="auto"/>
          <w:sz w:val="21"/>
          <w:highlight w:val="none"/>
        </w:rPr>
        <w:t>为依据对投标文件进行评审，</w:t>
      </w:r>
      <w:r>
        <w:rPr>
          <w:rFonts w:ascii="微软雅黑" w:hAnsi="微软雅黑" w:eastAsia="微软雅黑"/>
          <w:color w:val="auto"/>
          <w:sz w:val="21"/>
          <w:highlight w:val="none"/>
        </w:rPr>
        <w:t>没有规定的方法、评审因素和标准，不作为评标依据。</w:t>
      </w:r>
    </w:p>
    <w:p w14:paraId="15967293">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28.评标原则</w:t>
      </w:r>
    </w:p>
    <w:p w14:paraId="311ACEFE">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AFD64D9">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28.2</w:t>
      </w:r>
      <w:bookmarkStart w:id="267" w:name="_28.3评标方法。本项目将按须知前附表规定的评标办法进行评标，具体评标"/>
      <w:bookmarkEnd w:id="267"/>
      <w:r>
        <w:rPr>
          <w:rFonts w:hint="eastAsia" w:ascii="微软雅黑" w:hAnsi="微软雅黑" w:eastAsia="微软雅黑"/>
          <w:color w:val="auto"/>
          <w:sz w:val="21"/>
          <w:highlight w:val="none"/>
        </w:rPr>
        <w:t>评委表决。评标委员会成员对需要共同认定的事项存在争议的，应当按照少数服从多数的原则作出结论。</w:t>
      </w:r>
    </w:p>
    <w:p w14:paraId="4E176F7E">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28.</w:t>
      </w:r>
      <w:r>
        <w:rPr>
          <w:rFonts w:ascii="微软雅黑" w:hAnsi="微软雅黑" w:eastAsia="微软雅黑"/>
          <w:color w:val="auto"/>
          <w:sz w:val="21"/>
          <w:highlight w:val="none"/>
        </w:rPr>
        <w:t>3</w:t>
      </w:r>
      <w:r>
        <w:rPr>
          <w:rFonts w:hint="eastAsia" w:ascii="微软雅黑" w:hAnsi="微软雅黑" w:eastAsia="微软雅黑"/>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86EA7DA">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8.4</w:t>
      </w:r>
      <w:r>
        <w:rPr>
          <w:rFonts w:hint="eastAsia" w:ascii="微软雅黑" w:hAnsi="微软雅黑" w:eastAsia="微软雅黑"/>
          <w:color w:val="auto"/>
          <w:sz w:val="21"/>
          <w:highlight w:val="none"/>
        </w:rPr>
        <w:t>评标过程的监控。本项目电子评标过程实行网上留痕、全程录音、录像监控，</w:t>
      </w:r>
      <w:r>
        <w:rPr>
          <w:rFonts w:hint="eastAsia" w:ascii="微软雅黑" w:hAnsi="微软雅黑" w:eastAsia="微软雅黑"/>
          <w:b/>
          <w:color w:val="auto"/>
          <w:sz w:val="21"/>
          <w:highlight w:val="none"/>
        </w:rPr>
        <w:t>投标人在评标过程中所进行的试图影响评标结果的不公正活动，可能导致其投标按无效处理。</w:t>
      </w:r>
    </w:p>
    <w:p w14:paraId="4A849EAA">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29.评标方法及中标候选人推荐</w:t>
      </w:r>
    </w:p>
    <w:p w14:paraId="53143887">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9.1</w:t>
      </w:r>
      <w:r>
        <w:rPr>
          <w:rFonts w:hint="eastAsia" w:ascii="微软雅黑" w:hAnsi="微软雅黑" w:eastAsia="微软雅黑"/>
          <w:color w:val="auto"/>
          <w:sz w:val="21"/>
          <w:highlight w:val="none"/>
        </w:rPr>
        <w:t>本项目的评标方法详见“投标人须知前附表”。</w:t>
      </w:r>
    </w:p>
    <w:p w14:paraId="36B13A29">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9.2</w:t>
      </w:r>
      <w:r>
        <w:rPr>
          <w:rFonts w:ascii="微软雅黑" w:hAnsi="微软雅黑" w:eastAsia="微软雅黑" w:cs="宋体"/>
          <w:color w:val="auto"/>
          <w:sz w:val="21"/>
          <w:highlight w:val="none"/>
        </w:rPr>
        <w:t xml:space="preserve"> </w:t>
      </w:r>
      <w:r>
        <w:rPr>
          <w:rFonts w:hint="eastAsia" w:ascii="微软雅黑" w:hAnsi="微软雅黑" w:eastAsia="微软雅黑" w:cs="宋体"/>
          <w:color w:val="auto"/>
          <w:sz w:val="21"/>
          <w:highlight w:val="none"/>
        </w:rPr>
        <w:t>商务/技术要求</w:t>
      </w:r>
      <w:r>
        <w:rPr>
          <w:rFonts w:hint="eastAsia" w:ascii="微软雅黑" w:hAnsi="微软雅黑" w:eastAsia="微软雅黑"/>
          <w:color w:val="auto"/>
          <w:sz w:val="21"/>
          <w:highlight w:val="none"/>
        </w:rPr>
        <w:t>允许负偏离的条款数</w:t>
      </w:r>
      <w:r>
        <w:rPr>
          <w:rFonts w:ascii="微软雅黑" w:hAnsi="微软雅黑" w:eastAsia="微软雅黑"/>
          <w:color w:val="auto"/>
          <w:sz w:val="21"/>
          <w:highlight w:val="none"/>
        </w:rPr>
        <w:t>详见</w:t>
      </w:r>
      <w:r>
        <w:rPr>
          <w:rFonts w:hint="eastAsia" w:ascii="微软雅黑" w:hAnsi="微软雅黑" w:eastAsia="微软雅黑"/>
          <w:color w:val="auto"/>
          <w:sz w:val="21"/>
          <w:highlight w:val="none"/>
        </w:rPr>
        <w:t>“投标人须知前附表”。</w:t>
      </w:r>
    </w:p>
    <w:p w14:paraId="028AFF35">
      <w:pPr>
        <w:pStyle w:val="23"/>
        <w:snapToGrid w:val="0"/>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9.3</w:t>
      </w:r>
      <w:r>
        <w:rPr>
          <w:rFonts w:ascii="微软雅黑" w:hAnsi="微软雅黑" w:eastAsia="微软雅黑" w:cs="宋体"/>
          <w:color w:val="auto"/>
          <w:sz w:val="21"/>
          <w:highlight w:val="none"/>
        </w:rPr>
        <w:t xml:space="preserve"> </w:t>
      </w:r>
      <w:r>
        <w:rPr>
          <w:rFonts w:ascii="微软雅黑" w:hAnsi="微软雅黑" w:eastAsia="微软雅黑"/>
          <w:color w:val="auto"/>
          <w:sz w:val="21"/>
          <w:highlight w:val="none"/>
        </w:rPr>
        <w:t>中标候选人推荐数量详见</w:t>
      </w:r>
      <w:r>
        <w:rPr>
          <w:rFonts w:hint="eastAsia" w:ascii="微软雅黑" w:hAnsi="微软雅黑" w:eastAsia="微软雅黑"/>
          <w:color w:val="auto"/>
          <w:sz w:val="21"/>
          <w:highlight w:val="none"/>
        </w:rPr>
        <w:t>“投标人须知前附表”。</w:t>
      </w:r>
    </w:p>
    <w:p w14:paraId="45F5D3B6">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29.</w:t>
      </w:r>
      <w:r>
        <w:rPr>
          <w:rFonts w:ascii="微软雅黑" w:hAnsi="微软雅黑" w:eastAsia="微软雅黑"/>
          <w:color w:val="auto"/>
          <w:sz w:val="21"/>
          <w:highlight w:val="none"/>
        </w:rPr>
        <w:t>4</w:t>
      </w:r>
      <w:r>
        <w:rPr>
          <w:rFonts w:hint="eastAsia" w:ascii="微软雅黑" w:hAnsi="微软雅黑" w:eastAsia="微软雅黑"/>
          <w:color w:val="auto"/>
          <w:sz w:val="21"/>
          <w:highlight w:val="none"/>
        </w:rPr>
        <w:t xml:space="preserve"> 电子交易活动的中止。采购过程中出现以下情形，导致电子交易平台无法正常运行，或者无法保证电子交易的公平、公正和安全时，采购代理机构可以中止电子交易活动：</w:t>
      </w:r>
    </w:p>
    <w:p w14:paraId="51B259DD">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（1）电子交易平台发生故障而无法登录访问的； </w:t>
      </w:r>
    </w:p>
    <w:p w14:paraId="36ED4C0C">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（2）电子交易平台应用或数据库出现错误，不能进行正常操作的；</w:t>
      </w:r>
    </w:p>
    <w:p w14:paraId="04720C5F">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（3）电子交易平台发现严重安全漏洞，有潜在泄密危险的；</w:t>
      </w:r>
    </w:p>
    <w:p w14:paraId="6C7350F0">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（4）病毒发作导致不能进行正常操作的； </w:t>
      </w:r>
    </w:p>
    <w:p w14:paraId="161530DC">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（5）其他无法保证电子交易的公平、公正和安全的情况。</w:t>
      </w:r>
    </w:p>
    <w:p w14:paraId="30C0D4FC">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2F6E45EC">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29.5出现下列情形之一的，应予废标：</w:t>
      </w:r>
    </w:p>
    <w:p w14:paraId="13F5FDFA">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（1）符合专业条件的供应商或者对招标文件作实质响应的供应商不足三家的；</w:t>
      </w:r>
    </w:p>
    <w:p w14:paraId="72051DF8">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（2）出现影响采购公正的违法、违规行为的；</w:t>
      </w:r>
    </w:p>
    <w:p w14:paraId="73484FB3">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（3）投标人的报价均超过了采购预算，采购人不能支付的；</w:t>
      </w:r>
    </w:p>
    <w:p w14:paraId="2AD008F4">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（4）因重大变故，采购任务取消的。</w:t>
      </w:r>
    </w:p>
    <w:p w14:paraId="6E8EFAB4">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废标后，采购人应当将废标理由通知所有投标人。</w:t>
      </w:r>
    </w:p>
    <w:p w14:paraId="6F062512">
      <w:pPr>
        <w:pStyle w:val="23"/>
        <w:snapToGrid w:val="0"/>
        <w:spacing w:line="400" w:lineRule="exact"/>
        <w:rPr>
          <w:rFonts w:hint="eastAsia" w:ascii="微软雅黑" w:hAnsi="微软雅黑" w:eastAsia="微软雅黑"/>
          <w:color w:val="auto"/>
          <w:sz w:val="21"/>
          <w:highlight w:val="none"/>
        </w:rPr>
      </w:pPr>
    </w:p>
    <w:p w14:paraId="69A88AFC">
      <w:pPr>
        <w:pStyle w:val="5"/>
        <w:keepNext w:val="0"/>
        <w:keepLines w:val="0"/>
        <w:spacing w:line="400" w:lineRule="exact"/>
        <w:jc w:val="center"/>
        <w:outlineLvl w:val="1"/>
        <w:rPr>
          <w:rFonts w:hint="eastAsia" w:ascii="微软雅黑" w:hAnsi="微软雅黑" w:eastAsia="微软雅黑"/>
          <w:color w:val="auto"/>
          <w:highlight w:val="none"/>
        </w:rPr>
      </w:pPr>
      <w:bookmarkStart w:id="268" w:name="_Toc254970546"/>
      <w:bookmarkStart w:id="269" w:name="_Toc254970687"/>
      <w:r>
        <w:rPr>
          <w:rFonts w:hint="eastAsia" w:ascii="微软雅黑" w:hAnsi="微软雅黑" w:eastAsia="微软雅黑"/>
          <w:color w:val="auto"/>
          <w:highlight w:val="none"/>
        </w:rPr>
        <w:t>七、</w:t>
      </w:r>
      <w:bookmarkEnd w:id="268"/>
      <w:bookmarkEnd w:id="269"/>
      <w:r>
        <w:rPr>
          <w:rFonts w:hint="eastAsia" w:ascii="微软雅黑" w:hAnsi="微软雅黑" w:eastAsia="微软雅黑"/>
          <w:color w:val="auto"/>
          <w:highlight w:val="none"/>
        </w:rPr>
        <w:t>中标和合同</w:t>
      </w:r>
    </w:p>
    <w:p w14:paraId="7F1B0D12">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30</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确定中标人</w:t>
      </w:r>
    </w:p>
    <w:p w14:paraId="4216F254">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30.1</w:t>
      </w:r>
      <w:r>
        <w:rPr>
          <w:rFonts w:hint="eastAsia" w:ascii="微软雅黑" w:hAnsi="微软雅黑" w:eastAsia="微软雅黑"/>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533E2DAA">
      <w:pPr>
        <w:snapToGrid w:val="0"/>
        <w:spacing w:line="400" w:lineRule="exact"/>
        <w:ind w:firstLine="420" w:firstLineChars="200"/>
        <w:rPr>
          <w:rFonts w:hint="eastAsia" w:ascii="微软雅黑" w:hAnsi="微软雅黑" w:eastAsia="微软雅黑" w:cs="Courier New"/>
          <w:color w:val="auto"/>
          <w:szCs w:val="21"/>
          <w:highlight w:val="none"/>
        </w:rPr>
      </w:pPr>
      <w:r>
        <w:rPr>
          <w:rFonts w:ascii="微软雅黑" w:hAnsi="微软雅黑" w:eastAsia="微软雅黑" w:cs="Courier New"/>
          <w:color w:val="auto"/>
          <w:szCs w:val="21"/>
          <w:highlight w:val="none"/>
        </w:rPr>
        <w:t>30.2</w:t>
      </w:r>
      <w:r>
        <w:rPr>
          <w:rFonts w:hint="eastAsia" w:ascii="微软雅黑" w:hAnsi="微软雅黑" w:eastAsia="微软雅黑"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1FB9DA54">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31. 结果公告</w:t>
      </w:r>
    </w:p>
    <w:p w14:paraId="1A9DB820">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1.1</w:t>
      </w:r>
      <w:r>
        <w:rPr>
          <w:rFonts w:hint="eastAsia" w:ascii="微软雅黑" w:hAnsi="微软雅黑" w:eastAsia="微软雅黑"/>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614CCA8B">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以上信息查询记录及相关证据与招标文件一并保</w:t>
      </w:r>
      <w:r>
        <w:rPr>
          <w:rFonts w:hint="eastAsia" w:ascii="微软雅黑" w:hAnsi="微软雅黑" w:eastAsia="微软雅黑"/>
          <w:color w:val="auto"/>
          <w:szCs w:val="21"/>
          <w:highlight w:val="none"/>
          <w:lang w:val="en-US" w:eastAsia="zh-CN"/>
        </w:rPr>
        <w:tab/>
      </w:r>
      <w:r>
        <w:rPr>
          <w:rFonts w:hint="eastAsia" w:ascii="微软雅黑" w:hAnsi="微软雅黑" w:eastAsia="微软雅黑"/>
          <w:color w:val="auto"/>
          <w:szCs w:val="21"/>
          <w:highlight w:val="none"/>
        </w:rPr>
        <w:t>存。</w:t>
      </w:r>
    </w:p>
    <w:p w14:paraId="041152C9">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54947832">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32.发出中标通知书</w:t>
      </w:r>
    </w:p>
    <w:p w14:paraId="7067BFA5">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 xml:space="preserve">   </w:t>
      </w:r>
      <w:r>
        <w:rPr>
          <w:rFonts w:hint="eastAsia" w:ascii="微软雅黑" w:hAnsi="微软雅黑" w:eastAsia="微软雅黑"/>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5DF41684">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33. 无义务解释未中标原因</w:t>
      </w:r>
    </w:p>
    <w:p w14:paraId="78C12EB5">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采购代理机构无义务向未中标的投标人解释未中标原因。</w:t>
      </w:r>
    </w:p>
    <w:p w14:paraId="4D0EF254">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34.合同授予标准</w:t>
      </w:r>
    </w:p>
    <w:p w14:paraId="54928569">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s="Courier New"/>
          <w:color w:val="auto"/>
          <w:szCs w:val="21"/>
          <w:highlight w:val="none"/>
        </w:rPr>
        <w:t>合同将授予被确定实质上响应招标文件要求，具备履行合同能力的中标人。</w:t>
      </w:r>
    </w:p>
    <w:p w14:paraId="1CDCA1C7">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35.履约保证金</w:t>
      </w:r>
    </w:p>
    <w:p w14:paraId="23320327">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270" w:name="_39.1中标人须于签订合同前按本须知前附表规定的金额转账或电汇到指定账"/>
      <w:bookmarkEnd w:id="270"/>
      <w:r>
        <w:rPr>
          <w:rFonts w:ascii="微软雅黑" w:hAnsi="微软雅黑" w:eastAsia="微软雅黑"/>
          <w:b w:val="0"/>
          <w:color w:val="auto"/>
          <w:sz w:val="21"/>
          <w:szCs w:val="21"/>
          <w:highlight w:val="none"/>
        </w:rPr>
        <w:t xml:space="preserve"> </w:t>
      </w: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5</w:t>
      </w:r>
      <w:r>
        <w:rPr>
          <w:rFonts w:hint="eastAsia" w:ascii="微软雅黑" w:hAnsi="微软雅黑" w:eastAsia="微软雅黑"/>
          <w:b w:val="0"/>
          <w:color w:val="auto"/>
          <w:sz w:val="21"/>
          <w:szCs w:val="21"/>
          <w:highlight w:val="none"/>
        </w:rPr>
        <w:t>.1 履约保证金的金额、提交方式、缴纳期限、退付的时间和条件详见 “投标人须知前附表”。中标人未按规定提交履约保证金的，视为拒绝与采购人签订合同。</w:t>
      </w:r>
    </w:p>
    <w:p w14:paraId="04E3809D">
      <w:pPr>
        <w:pStyle w:val="6"/>
        <w:keepNext w:val="0"/>
        <w:keepLines w:val="0"/>
        <w:spacing w:before="0" w:after="0" w:line="400" w:lineRule="exact"/>
        <w:ind w:firstLine="315" w:firstLineChars="15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w:t>
      </w:r>
      <w:r>
        <w:rPr>
          <w:rFonts w:hint="eastAsia" w:ascii="微软雅黑" w:hAnsi="微软雅黑" w:eastAsia="微软雅黑"/>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21F3E757">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36.签订合同</w:t>
      </w:r>
    </w:p>
    <w:p w14:paraId="1825803F">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271" w:name="_40.1投标人接到中标通知书后，按须知前附表规定向采购人出示相关资格证"/>
      <w:bookmarkEnd w:id="271"/>
      <w:r>
        <w:rPr>
          <w:rFonts w:hint="eastAsia" w:ascii="微软雅黑" w:hAnsi="微软雅黑" w:eastAsia="微软雅黑"/>
          <w:b w:val="0"/>
          <w:color w:val="auto"/>
          <w:sz w:val="21"/>
          <w:szCs w:val="21"/>
          <w:highlight w:val="none"/>
        </w:rPr>
        <w:t xml:space="preserve"> </w:t>
      </w:r>
      <w:r>
        <w:rPr>
          <w:rFonts w:hint="eastAsia" w:ascii="微软雅黑" w:hAnsi="微软雅黑" w:eastAsia="微软雅黑"/>
          <w:color w:val="auto"/>
          <w:sz w:val="21"/>
          <w:szCs w:val="21"/>
          <w:highlight w:val="none"/>
        </w:rPr>
        <w:t>36.1签订电子采购合同：中标人领取电子中标通知书后，</w:t>
      </w:r>
      <w:r>
        <w:rPr>
          <w:rFonts w:hint="eastAsia" w:ascii="微软雅黑" w:hAnsi="微软雅黑" w:eastAsia="微软雅黑"/>
          <w:color w:val="auto"/>
          <w:kern w:val="0"/>
          <w:sz w:val="21"/>
          <w:szCs w:val="21"/>
          <w:highlight w:val="none"/>
        </w:rPr>
        <w:t>在</w:t>
      </w:r>
      <w:r>
        <w:rPr>
          <w:rFonts w:hint="eastAsia" w:ascii="微软雅黑" w:hAnsi="微软雅黑" w:eastAsia="微软雅黑"/>
          <w:color w:val="auto"/>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0D5606D6">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0557CDD4">
      <w:pPr>
        <w:pStyle w:val="6"/>
        <w:keepNext w:val="0"/>
        <w:keepLines w:val="0"/>
        <w:numPr>
          <w:ilvl w:val="0"/>
          <w:numId w:val="0"/>
        </w:numPr>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36.2签订合同时间：按中标通知书规定的时间与采购人签订合同。</w:t>
      </w:r>
    </w:p>
    <w:p w14:paraId="74F1D093">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36.</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761E5C3A">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FC09C96">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73BC8593">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36.6</w:t>
      </w:r>
      <w:r>
        <w:rPr>
          <w:rFonts w:hint="eastAsia" w:ascii="微软雅黑" w:hAnsi="微软雅黑" w:eastAsia="微软雅黑" w:cs="仿宋_GB2312"/>
          <w:color w:val="auto"/>
          <w:szCs w:val="21"/>
          <w:highlight w:val="none"/>
        </w:rPr>
        <w:t>如签订合同并生效后，供应商无故拒绝或延期，除按照合同条款处理外，将承担相应的法律责任。</w:t>
      </w:r>
    </w:p>
    <w:p w14:paraId="510F6FC8">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36.7</w:t>
      </w:r>
      <w:r>
        <w:rPr>
          <w:rFonts w:hint="eastAsia" w:ascii="微软雅黑" w:hAnsi="微软雅黑" w:eastAsia="微软雅黑" w:cs="宋体"/>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6294B671">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72" w:name="_41.政府采购合同公告"/>
      <w:bookmarkEnd w:id="272"/>
      <w:r>
        <w:rPr>
          <w:rFonts w:hint="eastAsia" w:ascii="微软雅黑" w:hAnsi="微软雅黑" w:eastAsia="微软雅黑"/>
          <w:color w:val="auto"/>
          <w:sz w:val="24"/>
          <w:highlight w:val="none"/>
        </w:rPr>
        <w:t>37.政府采购合同公告</w:t>
      </w:r>
    </w:p>
    <w:p w14:paraId="2F4C03DC">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采购人或者受托采购代理机构应当自政府采购合同签订之日起2个工作日内，将政府采购合同在省级以上人民政府财政部门指定的媒体上公告，</w:t>
      </w:r>
      <w:r>
        <w:rPr>
          <w:rFonts w:ascii="微软雅黑" w:hAnsi="微软雅黑" w:eastAsia="微软雅黑"/>
          <w:color w:val="auto"/>
          <w:sz w:val="21"/>
          <w:highlight w:val="none"/>
        </w:rPr>
        <w:t>但政府采购合同中涉及国家秘密、商业秘密的内容除外。</w:t>
      </w:r>
    </w:p>
    <w:p w14:paraId="43FACEDB">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w:t>
      </w:r>
      <w:r>
        <w:rPr>
          <w:rFonts w:ascii="微软雅黑" w:hAnsi="微软雅黑" w:eastAsia="微软雅黑"/>
          <w:color w:val="auto"/>
          <w:sz w:val="24"/>
          <w:highlight w:val="none"/>
        </w:rPr>
        <w:t>8.</w:t>
      </w:r>
      <w:r>
        <w:rPr>
          <w:rFonts w:hint="eastAsia" w:ascii="微软雅黑" w:hAnsi="微软雅黑" w:eastAsia="微软雅黑"/>
          <w:color w:val="auto"/>
          <w:sz w:val="24"/>
          <w:highlight w:val="none"/>
        </w:rPr>
        <w:t xml:space="preserve"> 询问、质疑和投诉</w:t>
      </w:r>
    </w:p>
    <w:p w14:paraId="6DE13AA3">
      <w:pPr>
        <w:pStyle w:val="8"/>
        <w:spacing w:line="400" w:lineRule="exact"/>
        <w:rPr>
          <w:rFonts w:hint="eastAsia" w:ascii="微软雅黑" w:hAnsi="微软雅黑" w:eastAsia="微软雅黑"/>
          <w:color w:val="auto"/>
          <w:szCs w:val="21"/>
          <w:highlight w:val="none"/>
        </w:rPr>
      </w:pPr>
      <w:r>
        <w:rPr>
          <w:rFonts w:ascii="微软雅黑" w:hAnsi="微软雅黑" w:eastAsia="微软雅黑"/>
          <w:color w:val="auto"/>
          <w:szCs w:val="21"/>
          <w:highlight w:val="none"/>
        </w:rPr>
        <w:t>38.1</w:t>
      </w:r>
      <w:r>
        <w:rPr>
          <w:rFonts w:hint="eastAsia" w:ascii="微软雅黑" w:hAnsi="微软雅黑" w:eastAsia="微软雅黑"/>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66E8DA71">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38</w:t>
      </w:r>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2</w:t>
      </w:r>
      <w:r>
        <w:rPr>
          <w:rFonts w:hint="eastAsia" w:ascii="微软雅黑" w:hAnsi="微软雅黑" w:eastAsia="微软雅黑"/>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10ABCD9B">
      <w:pPr>
        <w:pStyle w:val="23"/>
        <w:snapToGrid w:val="0"/>
        <w:spacing w:line="400" w:lineRule="exact"/>
        <w:ind w:firstLine="420" w:firstLineChars="200"/>
        <w:rPr>
          <w:rFonts w:ascii="微软雅黑" w:hAnsi="微软雅黑" w:eastAsia="微软雅黑"/>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1</w:t>
      </w:r>
      <w:r>
        <w:rPr>
          <w:rFonts w:ascii="微软雅黑" w:hAnsi="微软雅黑" w:eastAsia="微软雅黑"/>
          <w:color w:val="auto"/>
          <w:sz w:val="21"/>
          <w:highlight w:val="none"/>
        </w:rPr>
        <w:t>）对可以质疑的</w:t>
      </w:r>
      <w:r>
        <w:rPr>
          <w:rFonts w:hint="eastAsia" w:ascii="微软雅黑" w:hAnsi="微软雅黑" w:eastAsia="微软雅黑"/>
          <w:color w:val="auto"/>
          <w:sz w:val="21"/>
          <w:highlight w:val="none"/>
        </w:rPr>
        <w:t>招标</w:t>
      </w:r>
      <w:r>
        <w:rPr>
          <w:rFonts w:ascii="微软雅黑" w:hAnsi="微软雅黑" w:eastAsia="微软雅黑"/>
          <w:color w:val="auto"/>
          <w:sz w:val="21"/>
          <w:highlight w:val="none"/>
        </w:rPr>
        <w:t>文件提出质疑的，为收到</w:t>
      </w:r>
      <w:r>
        <w:rPr>
          <w:rFonts w:hint="eastAsia" w:ascii="微软雅黑" w:hAnsi="微软雅黑" w:eastAsia="微软雅黑"/>
          <w:color w:val="auto"/>
          <w:sz w:val="21"/>
          <w:highlight w:val="none"/>
        </w:rPr>
        <w:t>招标</w:t>
      </w:r>
      <w:r>
        <w:rPr>
          <w:rFonts w:ascii="微软雅黑" w:hAnsi="微软雅黑" w:eastAsia="微软雅黑"/>
          <w:color w:val="auto"/>
          <w:sz w:val="21"/>
          <w:highlight w:val="none"/>
        </w:rPr>
        <w:t>文件之日</w:t>
      </w:r>
      <w:r>
        <w:rPr>
          <w:rFonts w:hint="eastAsia" w:ascii="微软雅黑" w:hAnsi="微软雅黑" w:eastAsia="微软雅黑"/>
          <w:color w:val="auto"/>
          <w:sz w:val="21"/>
          <w:highlight w:val="none"/>
        </w:rPr>
        <w:t>或者招标文件公告期限届满之日</w:t>
      </w:r>
      <w:r>
        <w:rPr>
          <w:rFonts w:ascii="微软雅黑" w:hAnsi="微软雅黑" w:eastAsia="微软雅黑"/>
          <w:color w:val="auto"/>
          <w:sz w:val="21"/>
          <w:highlight w:val="none"/>
        </w:rPr>
        <w:t>；</w:t>
      </w:r>
    </w:p>
    <w:p w14:paraId="77161D32">
      <w:pPr>
        <w:pStyle w:val="23"/>
        <w:snapToGrid w:val="0"/>
        <w:spacing w:line="400" w:lineRule="exact"/>
        <w:ind w:firstLine="420" w:firstLineChars="200"/>
        <w:rPr>
          <w:rFonts w:hint="eastAsia" w:ascii="微软雅黑" w:hAnsi="微软雅黑" w:eastAsia="微软雅黑"/>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）对</w:t>
      </w:r>
      <w:r>
        <w:rPr>
          <w:rFonts w:hint="eastAsia" w:ascii="微软雅黑" w:hAnsi="微软雅黑" w:eastAsia="微软雅黑"/>
          <w:color w:val="auto"/>
          <w:sz w:val="21"/>
          <w:highlight w:val="none"/>
        </w:rPr>
        <w:t>采购</w:t>
      </w:r>
      <w:r>
        <w:rPr>
          <w:rFonts w:ascii="微软雅黑" w:hAnsi="微软雅黑" w:eastAsia="微软雅黑"/>
          <w:color w:val="auto"/>
          <w:sz w:val="21"/>
          <w:highlight w:val="none"/>
        </w:rPr>
        <w:t>过程提出质疑的，为各采购程序环节结束之日；</w:t>
      </w:r>
    </w:p>
    <w:p w14:paraId="612624D4">
      <w:pPr>
        <w:pStyle w:val="23"/>
        <w:snapToGrid w:val="0"/>
        <w:spacing w:line="400" w:lineRule="exact"/>
        <w:ind w:firstLine="420" w:firstLineChars="200"/>
        <w:rPr>
          <w:rFonts w:hint="eastAsia" w:ascii="微软雅黑" w:hAnsi="微软雅黑" w:eastAsia="微软雅黑"/>
          <w:bCs/>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3</w:t>
      </w:r>
      <w:r>
        <w:rPr>
          <w:rFonts w:ascii="微软雅黑" w:hAnsi="微软雅黑" w:eastAsia="微软雅黑"/>
          <w:color w:val="auto"/>
          <w:sz w:val="21"/>
          <w:highlight w:val="none"/>
        </w:rPr>
        <w:t>）对中标结果提出质疑的，为中标结果公告期限届满之日。</w:t>
      </w:r>
    </w:p>
    <w:p w14:paraId="40C31D73">
      <w:pPr>
        <w:pStyle w:val="6"/>
        <w:keepNext w:val="0"/>
        <w:keepLines w:val="0"/>
        <w:spacing w:before="0" w:after="0" w:line="400" w:lineRule="exact"/>
        <w:ind w:firstLine="315" w:firstLineChars="150"/>
        <w:rPr>
          <w:rFonts w:ascii="微软雅黑" w:hAnsi="微软雅黑" w:eastAsia="微软雅黑"/>
          <w:b w:val="0"/>
          <w:color w:val="auto"/>
          <w:sz w:val="21"/>
          <w:szCs w:val="21"/>
          <w:highlight w:val="none"/>
        </w:rPr>
      </w:pPr>
      <w:bookmarkStart w:id="273" w:name="_9.2质疑、投诉应当采用书面形式，质疑函、投诉书均应明确阐述招标文件、"/>
      <w:bookmarkEnd w:id="273"/>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38</w:t>
      </w:r>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 xml:space="preserve"> </w:t>
      </w:r>
      <w:r>
        <w:rPr>
          <w:rFonts w:ascii="微软雅黑" w:hAnsi="微软雅黑" w:eastAsia="微软雅黑"/>
          <w:b w:val="0"/>
          <w:bCs/>
          <w:color w:val="auto"/>
          <w:sz w:val="21"/>
          <w:highlight w:val="none"/>
        </w:rPr>
        <w:t>供应商提出质疑应当提交质疑函和必要的证明材料</w:t>
      </w:r>
      <w:r>
        <w:rPr>
          <w:rFonts w:hint="eastAsia" w:ascii="微软雅黑" w:hAnsi="微软雅黑" w:eastAsia="微软雅黑"/>
          <w:b w:val="0"/>
          <w:bCs/>
          <w:color w:val="auto"/>
          <w:sz w:val="21"/>
          <w:highlight w:val="none"/>
        </w:rPr>
        <w:t>，</w:t>
      </w:r>
      <w:r>
        <w:rPr>
          <w:rFonts w:ascii="微软雅黑" w:hAnsi="微软雅黑" w:eastAsia="微软雅黑"/>
          <w:b w:val="0"/>
          <w:bCs/>
          <w:color w:val="auto"/>
          <w:sz w:val="21"/>
          <w:highlight w:val="none"/>
        </w:rPr>
        <w:t>针对同一采购程序环节的质疑</w:t>
      </w:r>
      <w:r>
        <w:rPr>
          <w:rFonts w:hint="eastAsia" w:ascii="微软雅黑" w:hAnsi="微软雅黑" w:eastAsia="微软雅黑"/>
          <w:b w:val="0"/>
          <w:bCs/>
          <w:color w:val="auto"/>
          <w:sz w:val="21"/>
          <w:highlight w:val="none"/>
        </w:rPr>
        <w:t>必须</w:t>
      </w:r>
      <w:r>
        <w:rPr>
          <w:rFonts w:ascii="微软雅黑" w:hAnsi="微软雅黑" w:eastAsia="微软雅黑"/>
          <w:b w:val="0"/>
          <w:bCs/>
          <w:color w:val="auto"/>
          <w:sz w:val="21"/>
          <w:highlight w:val="none"/>
        </w:rPr>
        <w:t>在法定质疑期内一次性提出。质疑函应当包括下列内容</w:t>
      </w:r>
      <w:r>
        <w:rPr>
          <w:rFonts w:hint="eastAsia" w:ascii="微软雅黑" w:hAnsi="微软雅黑" w:eastAsia="微软雅黑"/>
          <w:b w:val="0"/>
          <w:bCs/>
          <w:color w:val="auto"/>
          <w:sz w:val="21"/>
          <w:highlight w:val="none"/>
        </w:rPr>
        <w:t>（质疑函格式后附）</w:t>
      </w:r>
      <w:r>
        <w:rPr>
          <w:rFonts w:ascii="微软雅黑" w:hAnsi="微软雅黑" w:eastAsia="微软雅黑"/>
          <w:b w:val="0"/>
          <w:bCs/>
          <w:color w:val="auto"/>
          <w:sz w:val="21"/>
          <w:highlight w:val="none"/>
        </w:rPr>
        <w:t>：</w:t>
      </w:r>
    </w:p>
    <w:p w14:paraId="6C0FC4EF">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1</w:t>
      </w:r>
      <w:r>
        <w:rPr>
          <w:rFonts w:ascii="微软雅黑" w:hAnsi="微软雅黑" w:eastAsia="微软雅黑"/>
          <w:bCs/>
          <w:color w:val="auto"/>
          <w:sz w:val="21"/>
          <w:highlight w:val="none"/>
        </w:rPr>
        <w:t>）供应商的姓名或者名称、地址、邮编、联系人及联系电话；</w:t>
      </w:r>
    </w:p>
    <w:p w14:paraId="1A951085">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2</w:t>
      </w:r>
      <w:r>
        <w:rPr>
          <w:rFonts w:ascii="微软雅黑" w:hAnsi="微软雅黑" w:eastAsia="微软雅黑"/>
          <w:bCs/>
          <w:color w:val="auto"/>
          <w:sz w:val="21"/>
          <w:highlight w:val="none"/>
        </w:rPr>
        <w:t>）质疑项目的名称、编号；</w:t>
      </w:r>
    </w:p>
    <w:p w14:paraId="236D4DAD">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3</w:t>
      </w:r>
      <w:r>
        <w:rPr>
          <w:rFonts w:ascii="微软雅黑" w:hAnsi="微软雅黑" w:eastAsia="微软雅黑"/>
          <w:bCs/>
          <w:color w:val="auto"/>
          <w:sz w:val="21"/>
          <w:highlight w:val="none"/>
        </w:rPr>
        <w:t>）具体、明确的质疑事项和与质疑事项相关的请求；</w:t>
      </w:r>
    </w:p>
    <w:p w14:paraId="0ED6E976">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4</w:t>
      </w:r>
      <w:r>
        <w:rPr>
          <w:rFonts w:ascii="微软雅黑" w:hAnsi="微软雅黑" w:eastAsia="微软雅黑"/>
          <w:bCs/>
          <w:color w:val="auto"/>
          <w:sz w:val="21"/>
          <w:highlight w:val="none"/>
        </w:rPr>
        <w:t>）事实依据；</w:t>
      </w:r>
    </w:p>
    <w:p w14:paraId="45F7CCDB">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5</w:t>
      </w:r>
      <w:r>
        <w:rPr>
          <w:rFonts w:ascii="微软雅黑" w:hAnsi="微软雅黑" w:eastAsia="微软雅黑"/>
          <w:bCs/>
          <w:color w:val="auto"/>
          <w:sz w:val="21"/>
          <w:highlight w:val="none"/>
        </w:rPr>
        <w:t>）必要的法律依据；</w:t>
      </w:r>
    </w:p>
    <w:p w14:paraId="2FF9B095">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6</w:t>
      </w:r>
      <w:r>
        <w:rPr>
          <w:rFonts w:ascii="微软雅黑" w:hAnsi="微软雅黑" w:eastAsia="微软雅黑"/>
          <w:bCs/>
          <w:color w:val="auto"/>
          <w:sz w:val="21"/>
          <w:highlight w:val="none"/>
        </w:rPr>
        <w:t>）提出质疑的日期。</w:t>
      </w:r>
    </w:p>
    <w:p w14:paraId="15737815">
      <w:pPr>
        <w:pStyle w:val="23"/>
        <w:snapToGrid w:val="0"/>
        <w:spacing w:line="400" w:lineRule="exact"/>
        <w:ind w:firstLine="420" w:firstLineChars="200"/>
        <w:rPr>
          <w:rFonts w:hint="eastAsia" w:ascii="微软雅黑" w:hAnsi="微软雅黑" w:eastAsia="微软雅黑"/>
          <w:bCs/>
          <w:color w:val="auto"/>
          <w:sz w:val="21"/>
          <w:highlight w:val="none"/>
        </w:rPr>
      </w:pPr>
      <w:r>
        <w:rPr>
          <w:rFonts w:ascii="微软雅黑" w:hAnsi="微软雅黑" w:eastAsia="微软雅黑"/>
          <w:bCs/>
          <w:color w:val="auto"/>
          <w:sz w:val="21"/>
          <w:highlight w:val="none"/>
        </w:rPr>
        <w:t>供应商为自然人的，应当由本人签字；供应商为法人或者其他组织的，应当由法定代表人、主要负责人，或者其委托代理人签字或者盖章，并加盖公章</w:t>
      </w:r>
      <w:r>
        <w:rPr>
          <w:rFonts w:hint="eastAsia" w:ascii="微软雅黑" w:hAnsi="微软雅黑" w:eastAsia="微软雅黑"/>
          <w:bCs/>
          <w:color w:val="auto"/>
          <w:sz w:val="21"/>
          <w:highlight w:val="none"/>
        </w:rPr>
        <w:t>。</w:t>
      </w:r>
    </w:p>
    <w:p w14:paraId="6DEE2BAB">
      <w:pPr>
        <w:pStyle w:val="6"/>
        <w:keepNext w:val="0"/>
        <w:keepLines w:val="0"/>
        <w:snapToGrid w:val="0"/>
        <w:spacing w:before="0" w:after="0" w:line="400" w:lineRule="exact"/>
        <w:ind w:firstLine="420" w:firstLineChars="200"/>
        <w:rPr>
          <w:rFonts w:hint="eastAsia" w:ascii="微软雅黑" w:hAnsi="微软雅黑" w:eastAsia="微软雅黑"/>
          <w:b w:val="0"/>
          <w:bCs/>
          <w:color w:val="auto"/>
          <w:sz w:val="21"/>
          <w:szCs w:val="21"/>
          <w:highlight w:val="none"/>
        </w:rPr>
      </w:pPr>
      <w:r>
        <w:rPr>
          <w:rFonts w:ascii="微软雅黑" w:hAnsi="微软雅黑" w:eastAsia="微软雅黑"/>
          <w:b w:val="0"/>
          <w:color w:val="auto"/>
          <w:sz w:val="21"/>
          <w:szCs w:val="21"/>
          <w:highlight w:val="none"/>
        </w:rPr>
        <w:t>3</w:t>
      </w:r>
      <w:r>
        <w:rPr>
          <w:rFonts w:ascii="微软雅黑" w:hAnsi="微软雅黑" w:eastAsia="微软雅黑"/>
          <w:b w:val="0"/>
          <w:bCs/>
          <w:color w:val="auto"/>
          <w:sz w:val="21"/>
          <w:szCs w:val="21"/>
          <w:highlight w:val="none"/>
        </w:rPr>
        <w:t>8.4</w:t>
      </w:r>
      <w:r>
        <w:rPr>
          <w:rFonts w:hint="eastAsia" w:ascii="微软雅黑" w:hAnsi="微软雅黑" w:eastAsia="微软雅黑"/>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7F208139">
      <w:pPr>
        <w:pStyle w:val="23"/>
        <w:snapToGrid w:val="0"/>
        <w:spacing w:line="400" w:lineRule="exact"/>
        <w:rPr>
          <w:rFonts w:hint="eastAsia" w:ascii="微软雅黑" w:hAnsi="微软雅黑" w:eastAsia="微软雅黑"/>
          <w:bCs/>
          <w:color w:val="auto"/>
          <w:sz w:val="21"/>
          <w:highlight w:val="none"/>
        </w:rPr>
      </w:pPr>
      <w:r>
        <w:rPr>
          <w:rFonts w:hint="eastAsia" w:ascii="微软雅黑" w:hAnsi="微软雅黑" w:eastAsia="微软雅黑"/>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3F6CC8AF">
      <w:pPr>
        <w:pStyle w:val="23"/>
        <w:snapToGrid w:val="0"/>
        <w:spacing w:line="400" w:lineRule="exact"/>
        <w:rPr>
          <w:rFonts w:hint="eastAsia" w:ascii="微软雅黑" w:hAnsi="微软雅黑" w:eastAsia="微软雅黑"/>
          <w:bCs/>
          <w:color w:val="auto"/>
          <w:sz w:val="21"/>
          <w:highlight w:val="none"/>
        </w:rPr>
      </w:pPr>
      <w:r>
        <w:rPr>
          <w:rFonts w:hint="eastAsia" w:ascii="微软雅黑" w:hAnsi="微软雅黑" w:eastAsia="微软雅黑"/>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0A0144CC">
      <w:pPr>
        <w:pStyle w:val="23"/>
        <w:snapToGrid w:val="0"/>
        <w:spacing w:line="400" w:lineRule="exact"/>
        <w:ind w:firstLine="420"/>
        <w:rPr>
          <w:rFonts w:ascii="微软雅黑" w:hAnsi="微软雅黑" w:eastAsia="微软雅黑"/>
          <w:bCs/>
          <w:color w:val="auto"/>
          <w:sz w:val="21"/>
          <w:highlight w:val="none"/>
        </w:rPr>
      </w:pPr>
      <w:r>
        <w:rPr>
          <w:rFonts w:hint="eastAsia" w:ascii="微软雅黑" w:hAnsi="微软雅黑" w:eastAsia="微软雅黑"/>
          <w:bCs/>
          <w:color w:val="auto"/>
          <w:sz w:val="21"/>
          <w:highlight w:val="none"/>
        </w:rPr>
        <w:t>质疑答复导致中标结果改变的，采购人或者采购代理机构应当将有关情况书面报告本级财政部门。</w:t>
      </w:r>
    </w:p>
    <w:p w14:paraId="3039A6F8">
      <w:pPr>
        <w:pStyle w:val="23"/>
        <w:snapToGrid w:val="0"/>
        <w:spacing w:line="400" w:lineRule="exact"/>
        <w:ind w:firstLine="420" w:firstLineChars="200"/>
        <w:rPr>
          <w:rFonts w:hint="eastAsia" w:ascii="微软雅黑" w:hAnsi="微软雅黑" w:eastAsia="微软雅黑"/>
          <w:color w:val="auto"/>
          <w:sz w:val="21"/>
          <w:highlight w:val="none"/>
        </w:rPr>
      </w:pPr>
      <w:r>
        <w:rPr>
          <w:rFonts w:ascii="微软雅黑" w:hAnsi="微软雅黑" w:eastAsia="微软雅黑"/>
          <w:color w:val="auto"/>
          <w:sz w:val="21"/>
          <w:highlight w:val="none"/>
        </w:rPr>
        <w:t>38</w:t>
      </w:r>
      <w:r>
        <w:rPr>
          <w:rFonts w:hint="eastAsia" w:ascii="微软雅黑" w:hAnsi="微软雅黑" w:eastAsia="微软雅黑"/>
          <w:color w:val="auto"/>
          <w:sz w:val="21"/>
          <w:highlight w:val="none"/>
        </w:rPr>
        <w:t>.</w:t>
      </w:r>
      <w:r>
        <w:rPr>
          <w:rFonts w:ascii="微软雅黑" w:hAnsi="微软雅黑" w:eastAsia="微软雅黑"/>
          <w:color w:val="auto"/>
          <w:sz w:val="21"/>
          <w:highlight w:val="none"/>
        </w:rPr>
        <w:t>5</w:t>
      </w:r>
      <w:r>
        <w:rPr>
          <w:rFonts w:hint="eastAsia" w:ascii="微软雅黑" w:hAnsi="微软雅黑" w:eastAsia="微软雅黑"/>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53290088">
      <w:pPr>
        <w:pStyle w:val="5"/>
        <w:keepNext w:val="0"/>
        <w:keepLines w:val="0"/>
        <w:spacing w:before="240" w:after="240" w:line="400" w:lineRule="exact"/>
        <w:jc w:val="center"/>
        <w:outlineLvl w:val="1"/>
        <w:rPr>
          <w:rFonts w:hint="eastAsia" w:ascii="微软雅黑" w:hAnsi="微软雅黑" w:eastAsia="微软雅黑"/>
          <w:color w:val="auto"/>
          <w:highlight w:val="none"/>
        </w:rPr>
      </w:pPr>
      <w:bookmarkStart w:id="274" w:name="_八、其他事项"/>
      <w:bookmarkEnd w:id="274"/>
      <w:r>
        <w:rPr>
          <w:rFonts w:hint="eastAsia" w:ascii="微软雅黑" w:hAnsi="微软雅黑" w:eastAsia="微软雅黑"/>
          <w:color w:val="auto"/>
          <w:highlight w:val="none"/>
        </w:rPr>
        <w:t>八、其他事项</w:t>
      </w:r>
    </w:p>
    <w:p w14:paraId="6651132A">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275" w:name="_42.代理服务费"/>
      <w:bookmarkEnd w:id="275"/>
      <w:r>
        <w:rPr>
          <w:rFonts w:hint="eastAsia" w:ascii="微软雅黑" w:hAnsi="微软雅黑" w:eastAsia="微软雅黑"/>
          <w:color w:val="auto"/>
          <w:sz w:val="24"/>
          <w:highlight w:val="none"/>
        </w:rPr>
        <w:t>3</w:t>
      </w:r>
      <w:r>
        <w:rPr>
          <w:rFonts w:ascii="微软雅黑" w:hAnsi="微软雅黑" w:eastAsia="微软雅黑"/>
          <w:color w:val="auto"/>
          <w:sz w:val="24"/>
          <w:highlight w:val="none"/>
        </w:rPr>
        <w:t>9</w:t>
      </w:r>
      <w:r>
        <w:rPr>
          <w:rFonts w:hint="eastAsia" w:ascii="微软雅黑" w:hAnsi="微软雅黑" w:eastAsia="微软雅黑"/>
          <w:color w:val="auto"/>
          <w:sz w:val="24"/>
          <w:highlight w:val="none"/>
        </w:rPr>
        <w:t>.代理服务费</w:t>
      </w:r>
    </w:p>
    <w:p w14:paraId="4C2B35FD">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9</w:t>
      </w:r>
      <w:r>
        <w:rPr>
          <w:rFonts w:hint="eastAsia" w:ascii="微软雅黑" w:hAnsi="微软雅黑" w:eastAsia="微软雅黑"/>
          <w:b w:val="0"/>
          <w:color w:val="auto"/>
          <w:sz w:val="21"/>
          <w:szCs w:val="21"/>
          <w:highlight w:val="none"/>
        </w:rPr>
        <w:t>.1代理服务收取标准及缴费账户详见“投标人须知前附表”，投标人为联合体的，可以由联合体中的一方或者多方共同交纳代理服务费。</w:t>
      </w:r>
    </w:p>
    <w:p w14:paraId="19816EDB">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9</w:t>
      </w:r>
      <w:r>
        <w:rPr>
          <w:rFonts w:hint="eastAsia" w:ascii="微软雅黑" w:hAnsi="微软雅黑" w:eastAsia="微软雅黑"/>
          <w:b w:val="0"/>
          <w:color w:val="auto"/>
          <w:sz w:val="21"/>
          <w:szCs w:val="21"/>
          <w:highlight w:val="none"/>
        </w:rPr>
        <w:t>.2代理服务收费标准：</w:t>
      </w:r>
    </w:p>
    <w:tbl>
      <w:tblPr>
        <w:tblStyle w:val="4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2"/>
        <w:gridCol w:w="1721"/>
        <w:gridCol w:w="1750"/>
        <w:gridCol w:w="1455"/>
      </w:tblGrid>
      <w:tr w14:paraId="718A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tcBorders>
              <w:tl2br w:val="single" w:color="auto" w:sz="4" w:space="0"/>
            </w:tcBorders>
            <w:vAlign w:val="top"/>
          </w:tcPr>
          <w:p w14:paraId="1F5D7142">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费率</w:t>
            </w:r>
          </w:p>
          <w:p w14:paraId="67688FF7">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中标金额</w:t>
            </w:r>
          </w:p>
        </w:tc>
        <w:tc>
          <w:tcPr>
            <w:tcW w:w="1721" w:type="dxa"/>
            <w:vAlign w:val="center"/>
          </w:tcPr>
          <w:p w14:paraId="3A0A4075">
            <w:pPr>
              <w:spacing w:line="400" w:lineRule="exact"/>
              <w:ind w:firstLine="105" w:firstLineChars="50"/>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货物招标</w:t>
            </w:r>
          </w:p>
        </w:tc>
        <w:tc>
          <w:tcPr>
            <w:tcW w:w="1750" w:type="dxa"/>
            <w:vAlign w:val="center"/>
          </w:tcPr>
          <w:p w14:paraId="54694D1E">
            <w:pPr>
              <w:spacing w:line="400" w:lineRule="exact"/>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服务招标</w:t>
            </w:r>
          </w:p>
        </w:tc>
        <w:tc>
          <w:tcPr>
            <w:tcW w:w="1455" w:type="dxa"/>
            <w:vAlign w:val="center"/>
          </w:tcPr>
          <w:p w14:paraId="1D4819DF">
            <w:pPr>
              <w:spacing w:line="400" w:lineRule="exact"/>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工程招标</w:t>
            </w:r>
          </w:p>
        </w:tc>
      </w:tr>
      <w:tr w14:paraId="0DF1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0E930EF3">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100万元以下</w:t>
            </w:r>
          </w:p>
        </w:tc>
        <w:tc>
          <w:tcPr>
            <w:tcW w:w="1721" w:type="dxa"/>
            <w:vAlign w:val="top"/>
          </w:tcPr>
          <w:p w14:paraId="1818F638">
            <w:pPr>
              <w:spacing w:line="400" w:lineRule="exact"/>
              <w:rPr>
                <w:rFonts w:ascii="微软雅黑" w:hAnsi="微软雅黑" w:eastAsia="微软雅黑"/>
                <w:color w:val="auto"/>
                <w:szCs w:val="21"/>
                <w:highlight w:val="none"/>
              </w:rPr>
            </w:pP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1.5% </w:t>
            </w: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 </w:t>
            </w:r>
            <w:r>
              <w:rPr>
                <w:rFonts w:hint="eastAsia" w:ascii="微软雅黑" w:hAnsi="微软雅黑" w:eastAsia="微软雅黑" w:cs="宋体"/>
                <w:color w:val="auto"/>
                <w:kern w:val="0"/>
                <w:szCs w:val="21"/>
                <w:highlight w:val="none"/>
              </w:rPr>
              <w:t xml:space="preserve">    </w:t>
            </w:r>
          </w:p>
        </w:tc>
        <w:tc>
          <w:tcPr>
            <w:tcW w:w="1750" w:type="dxa"/>
            <w:vAlign w:val="top"/>
          </w:tcPr>
          <w:p w14:paraId="7F253F91">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1.5%</w:t>
            </w:r>
          </w:p>
        </w:tc>
        <w:tc>
          <w:tcPr>
            <w:tcW w:w="1455" w:type="dxa"/>
            <w:vAlign w:val="top"/>
          </w:tcPr>
          <w:p w14:paraId="0BEF38AA">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1.0% </w:t>
            </w:r>
          </w:p>
        </w:tc>
      </w:tr>
      <w:tr w14:paraId="722F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79B3859D">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100万元～500万元</w:t>
            </w:r>
          </w:p>
        </w:tc>
        <w:tc>
          <w:tcPr>
            <w:tcW w:w="1721" w:type="dxa"/>
            <w:vAlign w:val="top"/>
          </w:tcPr>
          <w:p w14:paraId="337EE3C8">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1.1% </w:t>
            </w:r>
            <w:r>
              <w:rPr>
                <w:rFonts w:hint="eastAsia" w:ascii="微软雅黑" w:hAnsi="微软雅黑" w:eastAsia="微软雅黑" w:cs="宋体"/>
                <w:color w:val="auto"/>
                <w:kern w:val="0"/>
                <w:szCs w:val="21"/>
                <w:highlight w:val="none"/>
              </w:rPr>
              <w:t xml:space="preserve">                </w:t>
            </w:r>
          </w:p>
        </w:tc>
        <w:tc>
          <w:tcPr>
            <w:tcW w:w="1750" w:type="dxa"/>
            <w:vAlign w:val="top"/>
          </w:tcPr>
          <w:p w14:paraId="7D7DA6C4">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0.8%</w:t>
            </w:r>
          </w:p>
        </w:tc>
        <w:tc>
          <w:tcPr>
            <w:tcW w:w="1455" w:type="dxa"/>
            <w:vAlign w:val="top"/>
          </w:tcPr>
          <w:p w14:paraId="76A5D768">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0.7% </w:t>
            </w:r>
          </w:p>
        </w:tc>
      </w:tr>
      <w:tr w14:paraId="7C8A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214B7D8C">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500万元～1000万元</w:t>
            </w:r>
          </w:p>
        </w:tc>
        <w:tc>
          <w:tcPr>
            <w:tcW w:w="1721" w:type="dxa"/>
            <w:vAlign w:val="top"/>
          </w:tcPr>
          <w:p w14:paraId="67988897">
            <w:pPr>
              <w:spacing w:line="400" w:lineRule="exact"/>
              <w:rPr>
                <w:rFonts w:ascii="微软雅黑" w:hAnsi="微软雅黑" w:eastAsia="微软雅黑"/>
                <w:color w:val="auto"/>
                <w:szCs w:val="21"/>
                <w:highlight w:val="none"/>
              </w:rPr>
            </w:pP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0.8% </w:t>
            </w:r>
            <w:r>
              <w:rPr>
                <w:rFonts w:hint="eastAsia" w:ascii="微软雅黑" w:hAnsi="微软雅黑" w:eastAsia="微软雅黑" w:cs="宋体"/>
                <w:color w:val="auto"/>
                <w:kern w:val="0"/>
                <w:szCs w:val="21"/>
                <w:highlight w:val="none"/>
              </w:rPr>
              <w:t xml:space="preserve">               </w:t>
            </w:r>
          </w:p>
        </w:tc>
        <w:tc>
          <w:tcPr>
            <w:tcW w:w="1750" w:type="dxa"/>
            <w:vAlign w:val="top"/>
          </w:tcPr>
          <w:p w14:paraId="350C890C">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0.45%</w:t>
            </w:r>
          </w:p>
        </w:tc>
        <w:tc>
          <w:tcPr>
            <w:tcW w:w="1455" w:type="dxa"/>
            <w:vAlign w:val="top"/>
          </w:tcPr>
          <w:p w14:paraId="28C006A5">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0.55%</w:t>
            </w:r>
          </w:p>
        </w:tc>
      </w:tr>
      <w:tr w14:paraId="4B0E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6C11703D">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1000万元～5000万元</w:t>
            </w:r>
          </w:p>
        </w:tc>
        <w:tc>
          <w:tcPr>
            <w:tcW w:w="1721" w:type="dxa"/>
            <w:vAlign w:val="top"/>
          </w:tcPr>
          <w:p w14:paraId="58BE9E7C">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0.5% </w:t>
            </w:r>
            <w:r>
              <w:rPr>
                <w:rFonts w:hint="eastAsia" w:ascii="微软雅黑" w:hAnsi="微软雅黑" w:eastAsia="微软雅黑" w:cs="宋体"/>
                <w:color w:val="auto"/>
                <w:kern w:val="0"/>
                <w:szCs w:val="21"/>
                <w:highlight w:val="none"/>
              </w:rPr>
              <w:t xml:space="preserve">               </w:t>
            </w:r>
          </w:p>
        </w:tc>
        <w:tc>
          <w:tcPr>
            <w:tcW w:w="1750" w:type="dxa"/>
            <w:vAlign w:val="top"/>
          </w:tcPr>
          <w:p w14:paraId="507CA408">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0.25%</w:t>
            </w:r>
          </w:p>
        </w:tc>
        <w:tc>
          <w:tcPr>
            <w:tcW w:w="1455" w:type="dxa"/>
            <w:vAlign w:val="top"/>
          </w:tcPr>
          <w:p w14:paraId="1C75CBA8">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0.35% </w:t>
            </w:r>
          </w:p>
        </w:tc>
      </w:tr>
      <w:tr w14:paraId="1DA2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719F5F2E">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5000万元～1亿元</w:t>
            </w:r>
          </w:p>
        </w:tc>
        <w:tc>
          <w:tcPr>
            <w:tcW w:w="1721" w:type="dxa"/>
            <w:vAlign w:val="top"/>
          </w:tcPr>
          <w:p w14:paraId="2EB7646A">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0.25% </w:t>
            </w: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 </w:t>
            </w:r>
            <w:r>
              <w:rPr>
                <w:rFonts w:hint="eastAsia" w:ascii="微软雅黑" w:hAnsi="微软雅黑" w:eastAsia="微软雅黑" w:cs="宋体"/>
                <w:color w:val="auto"/>
                <w:kern w:val="0"/>
                <w:szCs w:val="21"/>
                <w:highlight w:val="none"/>
              </w:rPr>
              <w:t xml:space="preserve">         </w:t>
            </w:r>
          </w:p>
        </w:tc>
        <w:tc>
          <w:tcPr>
            <w:tcW w:w="1750" w:type="dxa"/>
            <w:vAlign w:val="top"/>
          </w:tcPr>
          <w:p w14:paraId="2753747C">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0.1%</w:t>
            </w:r>
          </w:p>
        </w:tc>
        <w:tc>
          <w:tcPr>
            <w:tcW w:w="1455" w:type="dxa"/>
            <w:vAlign w:val="top"/>
          </w:tcPr>
          <w:p w14:paraId="26A8BD3C">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0.2%</w:t>
            </w:r>
          </w:p>
        </w:tc>
      </w:tr>
      <w:tr w14:paraId="3DFC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3AA2B8F9">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1亿元～5亿元</w:t>
            </w:r>
          </w:p>
        </w:tc>
        <w:tc>
          <w:tcPr>
            <w:tcW w:w="1721" w:type="dxa"/>
            <w:vAlign w:val="top"/>
          </w:tcPr>
          <w:p w14:paraId="32AD998B">
            <w:pPr>
              <w:spacing w:line="400" w:lineRule="exact"/>
              <w:ind w:firstLine="210" w:firstLineChars="1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0.05%</w:t>
            </w:r>
          </w:p>
        </w:tc>
        <w:tc>
          <w:tcPr>
            <w:tcW w:w="1750" w:type="dxa"/>
            <w:vAlign w:val="top"/>
          </w:tcPr>
          <w:p w14:paraId="24534B52">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0.05%</w:t>
            </w:r>
          </w:p>
        </w:tc>
        <w:tc>
          <w:tcPr>
            <w:tcW w:w="1455" w:type="dxa"/>
            <w:vAlign w:val="top"/>
          </w:tcPr>
          <w:p w14:paraId="1DF73E60">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0.05%</w:t>
            </w:r>
          </w:p>
        </w:tc>
      </w:tr>
      <w:tr w14:paraId="3E0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4184AC1E">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5亿元～10亿元</w:t>
            </w:r>
          </w:p>
        </w:tc>
        <w:tc>
          <w:tcPr>
            <w:tcW w:w="1721" w:type="dxa"/>
            <w:vAlign w:val="top"/>
          </w:tcPr>
          <w:p w14:paraId="2F3A1F1E">
            <w:pPr>
              <w:spacing w:line="400" w:lineRule="exact"/>
              <w:ind w:firstLine="105" w:firstLineChars="5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0.035%</w:t>
            </w:r>
          </w:p>
        </w:tc>
        <w:tc>
          <w:tcPr>
            <w:tcW w:w="1750" w:type="dxa"/>
            <w:vAlign w:val="top"/>
          </w:tcPr>
          <w:p w14:paraId="71690EFB">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0.035%</w:t>
            </w:r>
          </w:p>
        </w:tc>
        <w:tc>
          <w:tcPr>
            <w:tcW w:w="1455" w:type="dxa"/>
            <w:vAlign w:val="top"/>
          </w:tcPr>
          <w:p w14:paraId="3B1556B0">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0.035%</w:t>
            </w:r>
          </w:p>
        </w:tc>
      </w:tr>
      <w:tr w14:paraId="7FD9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451F5369">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10亿元～50亿元</w:t>
            </w:r>
          </w:p>
        </w:tc>
        <w:tc>
          <w:tcPr>
            <w:tcW w:w="1721" w:type="dxa"/>
            <w:vAlign w:val="top"/>
          </w:tcPr>
          <w:p w14:paraId="0085D7C9">
            <w:pPr>
              <w:spacing w:line="400" w:lineRule="exact"/>
              <w:ind w:firstLine="105" w:firstLineChars="5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c>
          <w:tcPr>
            <w:tcW w:w="1750" w:type="dxa"/>
            <w:vAlign w:val="top"/>
          </w:tcPr>
          <w:p w14:paraId="128BABD5">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c>
          <w:tcPr>
            <w:tcW w:w="1455" w:type="dxa"/>
            <w:vAlign w:val="top"/>
          </w:tcPr>
          <w:p w14:paraId="67EB01FA">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r>
      <w:tr w14:paraId="793E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0F3EDF01">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50亿元～100亿元</w:t>
            </w:r>
          </w:p>
        </w:tc>
        <w:tc>
          <w:tcPr>
            <w:tcW w:w="1721" w:type="dxa"/>
            <w:vAlign w:val="top"/>
          </w:tcPr>
          <w:p w14:paraId="32FCE71D">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0.006%</w:t>
            </w:r>
          </w:p>
        </w:tc>
        <w:tc>
          <w:tcPr>
            <w:tcW w:w="1750" w:type="dxa"/>
            <w:vAlign w:val="top"/>
          </w:tcPr>
          <w:p w14:paraId="30D42953">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0.006%</w:t>
            </w:r>
          </w:p>
        </w:tc>
        <w:tc>
          <w:tcPr>
            <w:tcW w:w="1455" w:type="dxa"/>
            <w:vAlign w:val="top"/>
          </w:tcPr>
          <w:p w14:paraId="51125925">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0.006%</w:t>
            </w:r>
          </w:p>
        </w:tc>
      </w:tr>
      <w:tr w14:paraId="56AF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2" w:type="dxa"/>
            <w:vAlign w:val="top"/>
          </w:tcPr>
          <w:p w14:paraId="4C08ACEC">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100亿以上</w:t>
            </w:r>
          </w:p>
        </w:tc>
        <w:tc>
          <w:tcPr>
            <w:tcW w:w="1721" w:type="dxa"/>
            <w:vAlign w:val="top"/>
          </w:tcPr>
          <w:p w14:paraId="0F98313D">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0.004%</w:t>
            </w:r>
          </w:p>
        </w:tc>
        <w:tc>
          <w:tcPr>
            <w:tcW w:w="1750" w:type="dxa"/>
            <w:vAlign w:val="top"/>
          </w:tcPr>
          <w:p w14:paraId="49B7C83B">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0.004%</w:t>
            </w:r>
          </w:p>
        </w:tc>
        <w:tc>
          <w:tcPr>
            <w:tcW w:w="1455" w:type="dxa"/>
            <w:vAlign w:val="top"/>
          </w:tcPr>
          <w:p w14:paraId="2F2BB7A6">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0.004%</w:t>
            </w:r>
          </w:p>
        </w:tc>
      </w:tr>
    </w:tbl>
    <w:p w14:paraId="7D58BAC4">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olor w:val="auto"/>
          <w:szCs w:val="21"/>
          <w:highlight w:val="none"/>
        </w:rPr>
        <w:t>注：</w:t>
      </w:r>
      <w:r>
        <w:rPr>
          <w:rFonts w:ascii="微软雅黑" w:hAnsi="微软雅黑" w:eastAsia="微软雅黑" w:cs="宋体"/>
          <w:color w:val="auto"/>
          <w:szCs w:val="21"/>
          <w:highlight w:val="none"/>
        </w:rPr>
        <w:t xml:space="preserve"> </w:t>
      </w:r>
    </w:p>
    <w:p w14:paraId="02ED5B01">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（1）</w:t>
      </w:r>
      <w:r>
        <w:rPr>
          <w:rFonts w:ascii="微软雅黑" w:hAnsi="微软雅黑" w:eastAsia="微软雅黑" w:cs="宋体"/>
          <w:color w:val="auto"/>
          <w:szCs w:val="21"/>
          <w:highlight w:val="none"/>
        </w:rPr>
        <w:t>按本表费率计算的收费为</w:t>
      </w:r>
      <w:r>
        <w:rPr>
          <w:rFonts w:hint="eastAsia" w:ascii="微软雅黑" w:hAnsi="微软雅黑" w:eastAsia="微软雅黑" w:cs="宋体"/>
          <w:color w:val="auto"/>
          <w:szCs w:val="21"/>
          <w:highlight w:val="none"/>
        </w:rPr>
        <w:t>采购</w:t>
      </w:r>
      <w:r>
        <w:rPr>
          <w:rFonts w:ascii="微软雅黑" w:hAnsi="微软雅黑" w:eastAsia="微软雅黑" w:cs="宋体"/>
          <w:color w:val="auto"/>
          <w:szCs w:val="21"/>
          <w:highlight w:val="none"/>
        </w:rPr>
        <w:t>代理的收费基准价格</w:t>
      </w:r>
      <w:r>
        <w:rPr>
          <w:rFonts w:hint="eastAsia" w:ascii="微软雅黑" w:hAnsi="微软雅黑" w:eastAsia="微软雅黑" w:cs="宋体"/>
          <w:color w:val="auto"/>
          <w:szCs w:val="21"/>
          <w:highlight w:val="none"/>
        </w:rPr>
        <w:t>；</w:t>
      </w:r>
    </w:p>
    <w:p w14:paraId="559C9624">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（2）采购</w:t>
      </w:r>
      <w:r>
        <w:rPr>
          <w:rFonts w:ascii="微软雅黑" w:hAnsi="微软雅黑" w:eastAsia="微软雅黑" w:cs="宋体"/>
          <w:color w:val="auto"/>
          <w:szCs w:val="21"/>
          <w:highlight w:val="none"/>
        </w:rPr>
        <w:t>代理收费按差额定率累进法计算。</w:t>
      </w:r>
    </w:p>
    <w:p w14:paraId="7D158B65">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例如：某</w:t>
      </w:r>
      <w:r>
        <w:rPr>
          <w:rFonts w:hint="eastAsia" w:ascii="微软雅黑" w:hAnsi="微软雅黑" w:eastAsia="微软雅黑" w:cs="宋体"/>
          <w:color w:val="auto"/>
          <w:szCs w:val="21"/>
          <w:highlight w:val="none"/>
        </w:rPr>
        <w:t>服务采购</w:t>
      </w:r>
      <w:r>
        <w:rPr>
          <w:rFonts w:ascii="微软雅黑" w:hAnsi="微软雅黑" w:eastAsia="微软雅黑" w:cs="宋体"/>
          <w:color w:val="auto"/>
          <w:szCs w:val="21"/>
          <w:highlight w:val="none"/>
        </w:rPr>
        <w:t>代理业务</w:t>
      </w:r>
      <w:r>
        <w:rPr>
          <w:rFonts w:hint="eastAsia" w:ascii="微软雅黑" w:hAnsi="微软雅黑" w:eastAsia="微软雅黑" w:cs="宋体"/>
          <w:color w:val="auto"/>
          <w:szCs w:val="21"/>
          <w:highlight w:val="none"/>
        </w:rPr>
        <w:t>中标</w:t>
      </w:r>
      <w:r>
        <w:rPr>
          <w:rFonts w:ascii="微软雅黑" w:hAnsi="微软雅黑" w:eastAsia="微软雅黑" w:cs="宋体"/>
          <w:color w:val="auto"/>
          <w:szCs w:val="21"/>
          <w:highlight w:val="none"/>
        </w:rPr>
        <w:t>金额</w:t>
      </w:r>
      <w:r>
        <w:rPr>
          <w:rFonts w:hint="eastAsia" w:ascii="微软雅黑" w:hAnsi="微软雅黑" w:eastAsia="微软雅黑" w:cs="宋体"/>
          <w:color w:val="auto"/>
          <w:szCs w:val="21"/>
          <w:highlight w:val="none"/>
        </w:rPr>
        <w:t>或者暂定价</w:t>
      </w:r>
      <w:r>
        <w:rPr>
          <w:rFonts w:ascii="微软雅黑" w:hAnsi="微软雅黑" w:eastAsia="微软雅黑" w:cs="宋体"/>
          <w:color w:val="auto"/>
          <w:szCs w:val="21"/>
          <w:highlight w:val="none"/>
        </w:rPr>
        <w:t>为200万元，计算</w:t>
      </w:r>
      <w:r>
        <w:rPr>
          <w:rFonts w:hint="eastAsia" w:ascii="微软雅黑" w:hAnsi="微软雅黑" w:eastAsia="微软雅黑" w:cs="宋体"/>
          <w:color w:val="auto"/>
          <w:szCs w:val="21"/>
          <w:highlight w:val="none"/>
        </w:rPr>
        <w:t>采购</w:t>
      </w:r>
      <w:r>
        <w:rPr>
          <w:rFonts w:ascii="微软雅黑" w:hAnsi="微软雅黑" w:eastAsia="微软雅黑" w:cs="宋体"/>
          <w:color w:val="auto"/>
          <w:szCs w:val="21"/>
          <w:highlight w:val="none"/>
        </w:rPr>
        <w:t>代理收费额如下：</w:t>
      </w:r>
    </w:p>
    <w:p w14:paraId="772D54D5">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100 万元×l.5 %＝ 1.5 万元</w:t>
      </w:r>
    </w:p>
    <w:p w14:paraId="47D33DCC">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 200 － 100 ）万元 ×0.8%＝0.8万元</w:t>
      </w:r>
    </w:p>
    <w:p w14:paraId="190FE81B">
      <w:pPr>
        <w:pStyle w:val="23"/>
        <w:snapToGrid w:val="0"/>
        <w:spacing w:line="400" w:lineRule="exact"/>
        <w:ind w:firstLine="420" w:firstLineChars="200"/>
        <w:rPr>
          <w:rFonts w:ascii="微软雅黑" w:hAnsi="微软雅黑" w:eastAsia="微软雅黑" w:cs="宋体"/>
          <w:color w:val="auto"/>
          <w:sz w:val="21"/>
          <w:highlight w:val="none"/>
        </w:rPr>
      </w:pPr>
      <w:r>
        <w:rPr>
          <w:rFonts w:ascii="微软雅黑" w:hAnsi="微软雅黑" w:eastAsia="微软雅黑" w:cs="宋体"/>
          <w:color w:val="auto"/>
          <w:sz w:val="21"/>
          <w:highlight w:val="none"/>
        </w:rPr>
        <w:t>合计收费＝ 1.5</w:t>
      </w:r>
      <w:r>
        <w:rPr>
          <w:rFonts w:hint="eastAsia" w:ascii="微软雅黑" w:hAnsi="微软雅黑" w:eastAsia="微软雅黑" w:cs="宋体"/>
          <w:color w:val="auto"/>
          <w:sz w:val="21"/>
          <w:highlight w:val="none"/>
        </w:rPr>
        <w:t>+</w:t>
      </w:r>
      <w:r>
        <w:rPr>
          <w:rFonts w:ascii="微软雅黑" w:hAnsi="微软雅黑" w:eastAsia="微软雅黑" w:cs="宋体"/>
          <w:color w:val="auto"/>
          <w:sz w:val="21"/>
          <w:highlight w:val="none"/>
        </w:rPr>
        <w:t>0.8＝ 2.3（万元）</w:t>
      </w:r>
    </w:p>
    <w:p w14:paraId="4D4217F9">
      <w:pPr>
        <w:pStyle w:val="6"/>
        <w:keepNext w:val="0"/>
        <w:keepLines w:val="0"/>
        <w:spacing w:before="0" w:after="0" w:line="400" w:lineRule="exact"/>
        <w:ind w:left="420" w:leftChars="200"/>
        <w:rPr>
          <w:rFonts w:ascii="微软雅黑" w:hAnsi="微软雅黑" w:eastAsia="微软雅黑"/>
          <w:color w:val="auto"/>
          <w:sz w:val="24"/>
          <w:highlight w:val="none"/>
        </w:rPr>
      </w:pPr>
      <w:r>
        <w:rPr>
          <w:rFonts w:ascii="微软雅黑" w:hAnsi="微软雅黑" w:eastAsia="微软雅黑"/>
          <w:color w:val="auto"/>
          <w:sz w:val="24"/>
          <w:highlight w:val="none"/>
        </w:rPr>
        <w:t>40. 需要补充的其他内容</w:t>
      </w:r>
    </w:p>
    <w:p w14:paraId="4C671212">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40.1本招标文件解释规则详见“投标人须知前附表”。</w:t>
      </w:r>
    </w:p>
    <w:p w14:paraId="0A3A210E">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40.2 其他事项详见“投标人须知前附表”。</w:t>
      </w:r>
    </w:p>
    <w:p w14:paraId="3800302B">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2966BB41">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BFD7B90">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（2）在工程采购项目中，工程由中小企业承建，即工程施工单位为中小企业，不对其中涉及的货物的制造商和服务的承接商作出要求；</w:t>
      </w:r>
    </w:p>
    <w:p w14:paraId="3CDCB3D8">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7F51AFEA">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92845E0">
      <w:pPr>
        <w:pStyle w:val="23"/>
        <w:spacing w:line="400" w:lineRule="exact"/>
        <w:ind w:firstLine="420" w:firstLineChars="200"/>
        <w:rPr>
          <w:rFonts w:hint="eastAsia" w:ascii="微软雅黑" w:hAnsi="微软雅黑" w:eastAsia="微软雅黑"/>
          <w:color w:val="auto"/>
          <w:highlight w:val="none"/>
        </w:rPr>
      </w:pPr>
      <w:r>
        <w:rPr>
          <w:rFonts w:hint="eastAsia" w:ascii="微软雅黑" w:hAnsi="微软雅黑" w:eastAsia="微软雅黑" w:cs="宋体"/>
          <w:color w:val="auto"/>
          <w:sz w:val="21"/>
          <w:highlight w:val="none"/>
        </w:rPr>
        <w:t>依据本招标文件规定享受扶持政策获得政府采购合同的，小微企业不得将合同分包给大中型企业，中型企业不得将合同分包给大型企业。</w:t>
      </w:r>
      <w:r>
        <w:rPr>
          <w:rFonts w:ascii="微软雅黑" w:hAnsi="微软雅黑" w:eastAsia="微软雅黑"/>
          <w:color w:val="auto"/>
          <w:highlight w:val="none"/>
        </w:rPr>
        <w:br w:type="page"/>
      </w:r>
    </w:p>
    <w:p w14:paraId="40DF442C">
      <w:pPr>
        <w:pStyle w:val="23"/>
        <w:snapToGrid w:val="0"/>
        <w:spacing w:before="120" w:after="120"/>
        <w:rPr>
          <w:rFonts w:hint="eastAsia" w:ascii="微软雅黑" w:hAnsi="微软雅黑" w:eastAsia="微软雅黑"/>
          <w:color w:val="auto"/>
          <w:highlight w:val="none"/>
        </w:rPr>
      </w:pPr>
    </w:p>
    <w:p w14:paraId="7C6DEA10">
      <w:pPr>
        <w:pStyle w:val="23"/>
        <w:snapToGrid w:val="0"/>
        <w:spacing w:before="120" w:after="120"/>
        <w:rPr>
          <w:rFonts w:hint="eastAsia" w:ascii="微软雅黑" w:hAnsi="微软雅黑" w:eastAsia="微软雅黑"/>
          <w:color w:val="auto"/>
          <w:highlight w:val="none"/>
        </w:rPr>
      </w:pPr>
    </w:p>
    <w:p w14:paraId="5EC28769">
      <w:pPr>
        <w:pStyle w:val="23"/>
        <w:snapToGrid w:val="0"/>
        <w:spacing w:before="120" w:after="120"/>
        <w:rPr>
          <w:rFonts w:hint="eastAsia" w:ascii="微软雅黑" w:hAnsi="微软雅黑" w:eastAsia="微软雅黑"/>
          <w:color w:val="auto"/>
          <w:highlight w:val="none"/>
        </w:rPr>
      </w:pPr>
    </w:p>
    <w:p w14:paraId="58AAA46B">
      <w:pPr>
        <w:pStyle w:val="23"/>
        <w:snapToGrid w:val="0"/>
        <w:spacing w:before="120" w:after="120"/>
        <w:rPr>
          <w:rFonts w:hint="eastAsia" w:ascii="微软雅黑" w:hAnsi="微软雅黑" w:eastAsia="微软雅黑"/>
          <w:color w:val="auto"/>
          <w:highlight w:val="none"/>
        </w:rPr>
      </w:pPr>
    </w:p>
    <w:p w14:paraId="5C83BBFE">
      <w:pPr>
        <w:pStyle w:val="23"/>
        <w:snapToGrid w:val="0"/>
        <w:spacing w:before="120" w:after="120"/>
        <w:rPr>
          <w:rFonts w:hint="eastAsia" w:ascii="微软雅黑" w:hAnsi="微软雅黑" w:eastAsia="微软雅黑"/>
          <w:color w:val="auto"/>
          <w:highlight w:val="none"/>
        </w:rPr>
      </w:pPr>
    </w:p>
    <w:p w14:paraId="7CE37604">
      <w:pPr>
        <w:pStyle w:val="23"/>
        <w:snapToGrid w:val="0"/>
        <w:spacing w:before="120" w:after="120"/>
        <w:rPr>
          <w:rFonts w:hint="eastAsia" w:ascii="微软雅黑" w:hAnsi="微软雅黑" w:eastAsia="微软雅黑"/>
          <w:color w:val="auto"/>
          <w:highlight w:val="none"/>
        </w:rPr>
      </w:pPr>
    </w:p>
    <w:p w14:paraId="30C5C7BE">
      <w:pPr>
        <w:pStyle w:val="23"/>
        <w:snapToGrid w:val="0"/>
        <w:spacing w:before="120" w:after="120"/>
        <w:rPr>
          <w:rFonts w:hint="eastAsia" w:ascii="微软雅黑" w:hAnsi="微软雅黑" w:eastAsia="微软雅黑"/>
          <w:color w:val="auto"/>
          <w:highlight w:val="none"/>
        </w:rPr>
      </w:pPr>
    </w:p>
    <w:p w14:paraId="0F93F326">
      <w:pPr>
        <w:pStyle w:val="23"/>
        <w:snapToGrid w:val="0"/>
        <w:spacing w:before="120" w:after="120"/>
        <w:rPr>
          <w:rFonts w:hint="eastAsia" w:ascii="微软雅黑" w:hAnsi="微软雅黑" w:eastAsia="微软雅黑"/>
          <w:color w:val="auto"/>
          <w:highlight w:val="none"/>
        </w:rPr>
      </w:pPr>
    </w:p>
    <w:p w14:paraId="59508354">
      <w:pPr>
        <w:pStyle w:val="23"/>
        <w:snapToGrid w:val="0"/>
        <w:spacing w:before="120" w:after="120"/>
        <w:rPr>
          <w:rFonts w:hint="eastAsia" w:ascii="微软雅黑" w:hAnsi="微软雅黑" w:eastAsia="微软雅黑"/>
          <w:color w:val="auto"/>
          <w:highlight w:val="none"/>
        </w:rPr>
      </w:pPr>
    </w:p>
    <w:p w14:paraId="20D10488">
      <w:pPr>
        <w:pStyle w:val="3"/>
        <w:jc w:val="center"/>
        <w:rPr>
          <w:rFonts w:hint="eastAsia" w:ascii="微软雅黑" w:hAnsi="微软雅黑" w:eastAsia="微软雅黑"/>
          <w:color w:val="auto"/>
          <w:highlight w:val="none"/>
        </w:rPr>
      </w:pPr>
      <w:bookmarkStart w:id="276" w:name="_Toc254970689"/>
      <w:bookmarkStart w:id="277" w:name="_Toc330456896"/>
      <w:bookmarkStart w:id="278" w:name="_Toc15687"/>
      <w:bookmarkStart w:id="279" w:name="_Toc254970548"/>
      <w:r>
        <w:rPr>
          <w:rFonts w:hint="eastAsia" w:ascii="微软雅黑" w:hAnsi="微软雅黑" w:eastAsia="微软雅黑"/>
          <w:color w:val="auto"/>
          <w:highlight w:val="none"/>
        </w:rPr>
        <w:t>第四章  评标方法及评标标准</w:t>
      </w:r>
      <w:bookmarkEnd w:id="276"/>
      <w:bookmarkEnd w:id="277"/>
      <w:bookmarkEnd w:id="278"/>
      <w:bookmarkEnd w:id="279"/>
    </w:p>
    <w:p w14:paraId="1FBBA77D">
      <w:pPr>
        <w:rPr>
          <w:rFonts w:hint="eastAsia" w:ascii="微软雅黑" w:hAnsi="微软雅黑" w:eastAsia="微软雅黑"/>
          <w:color w:val="auto"/>
          <w:highlight w:val="none"/>
        </w:rPr>
      </w:pPr>
      <w:bookmarkStart w:id="280" w:name="_Toc254970549"/>
      <w:bookmarkStart w:id="281" w:name="_Toc254970690"/>
    </w:p>
    <w:bookmarkEnd w:id="280"/>
    <w:bookmarkEnd w:id="281"/>
    <w:p w14:paraId="6A721B10">
      <w:pPr>
        <w:rPr>
          <w:rFonts w:hint="eastAsia" w:ascii="微软雅黑" w:hAnsi="微软雅黑" w:eastAsia="微软雅黑"/>
          <w:color w:val="auto"/>
          <w:highlight w:val="none"/>
        </w:rPr>
      </w:pPr>
    </w:p>
    <w:p w14:paraId="383FF831">
      <w:pPr>
        <w:rPr>
          <w:rFonts w:hint="eastAsia" w:ascii="微软雅黑" w:hAnsi="微软雅黑" w:eastAsia="微软雅黑"/>
          <w:color w:val="auto"/>
          <w:highlight w:val="none"/>
        </w:rPr>
      </w:pPr>
    </w:p>
    <w:p w14:paraId="4F1ECDB8">
      <w:pPr>
        <w:rPr>
          <w:rFonts w:hint="eastAsia" w:ascii="微软雅黑" w:hAnsi="微软雅黑" w:eastAsia="微软雅黑"/>
          <w:color w:val="auto"/>
          <w:highlight w:val="none"/>
        </w:rPr>
      </w:pPr>
    </w:p>
    <w:p w14:paraId="0F84AE6C">
      <w:pPr>
        <w:rPr>
          <w:rFonts w:hint="eastAsia" w:ascii="微软雅黑" w:hAnsi="微软雅黑" w:eastAsia="微软雅黑"/>
          <w:color w:val="auto"/>
          <w:highlight w:val="none"/>
        </w:rPr>
      </w:pPr>
    </w:p>
    <w:p w14:paraId="51411759">
      <w:pPr>
        <w:rPr>
          <w:rFonts w:hint="eastAsia" w:ascii="微软雅黑" w:hAnsi="微软雅黑" w:eastAsia="微软雅黑"/>
          <w:color w:val="auto"/>
          <w:highlight w:val="none"/>
        </w:rPr>
      </w:pPr>
    </w:p>
    <w:p w14:paraId="7639A7AB">
      <w:pPr>
        <w:rPr>
          <w:rFonts w:hint="eastAsia" w:ascii="微软雅黑" w:hAnsi="微软雅黑" w:eastAsia="微软雅黑"/>
          <w:color w:val="auto"/>
          <w:highlight w:val="none"/>
        </w:rPr>
      </w:pPr>
    </w:p>
    <w:p w14:paraId="13604843">
      <w:pPr>
        <w:rPr>
          <w:rFonts w:hint="eastAsia" w:ascii="微软雅黑" w:hAnsi="微软雅黑" w:eastAsia="微软雅黑"/>
          <w:color w:val="auto"/>
          <w:highlight w:val="none"/>
        </w:rPr>
      </w:pPr>
    </w:p>
    <w:p w14:paraId="52E64E5A">
      <w:pPr>
        <w:rPr>
          <w:rFonts w:hint="eastAsia" w:ascii="微软雅黑" w:hAnsi="微软雅黑" w:eastAsia="微软雅黑"/>
          <w:color w:val="auto"/>
          <w:highlight w:val="none"/>
        </w:rPr>
      </w:pPr>
    </w:p>
    <w:p w14:paraId="49589F57">
      <w:pPr>
        <w:rPr>
          <w:rFonts w:hint="eastAsia" w:ascii="微软雅黑" w:hAnsi="微软雅黑" w:eastAsia="微软雅黑"/>
          <w:color w:val="auto"/>
          <w:highlight w:val="none"/>
        </w:rPr>
      </w:pPr>
    </w:p>
    <w:p w14:paraId="5384E7C9">
      <w:pPr>
        <w:rPr>
          <w:rFonts w:hint="eastAsia" w:ascii="微软雅黑" w:hAnsi="微软雅黑" w:eastAsia="微软雅黑"/>
          <w:color w:val="auto"/>
          <w:highlight w:val="none"/>
        </w:rPr>
      </w:pPr>
    </w:p>
    <w:p w14:paraId="2D8CE3F6">
      <w:pPr>
        <w:spacing w:before="120" w:beforeLines="50" w:after="120" w:afterLines="50" w:line="400" w:lineRule="exact"/>
        <w:rPr>
          <w:rFonts w:hint="eastAsia" w:ascii="微软雅黑" w:hAnsi="微软雅黑" w:eastAsia="微软雅黑"/>
          <w:b/>
          <w:color w:val="auto"/>
          <w:sz w:val="24"/>
          <w:highlight w:val="none"/>
        </w:rPr>
      </w:pPr>
    </w:p>
    <w:p w14:paraId="2BB5D31E">
      <w:pPr>
        <w:spacing w:before="120" w:beforeLines="50" w:after="120" w:afterLines="50" w:line="400" w:lineRule="exact"/>
        <w:rPr>
          <w:rFonts w:hint="eastAsia" w:ascii="微软雅黑" w:hAnsi="微软雅黑" w:eastAsia="微软雅黑"/>
          <w:b/>
          <w:color w:val="auto"/>
          <w:sz w:val="24"/>
          <w:highlight w:val="none"/>
        </w:rPr>
      </w:pPr>
    </w:p>
    <w:p w14:paraId="264BF232">
      <w:pPr>
        <w:pStyle w:val="5"/>
        <w:keepNext w:val="0"/>
        <w:keepLines w:val="0"/>
        <w:spacing w:line="400" w:lineRule="exact"/>
        <w:jc w:val="center"/>
        <w:outlineLvl w:val="1"/>
        <w:rPr>
          <w:rFonts w:ascii="微软雅黑" w:hAnsi="微软雅黑" w:eastAsia="微软雅黑"/>
          <w:color w:val="auto"/>
          <w:highlight w:val="none"/>
        </w:rPr>
      </w:pPr>
      <w:r>
        <w:rPr>
          <w:rFonts w:hint="eastAsia" w:ascii="微软雅黑" w:hAnsi="微软雅黑" w:eastAsia="微软雅黑"/>
          <w:color w:val="auto"/>
          <w:highlight w:val="none"/>
        </w:rPr>
        <w:br w:type="page"/>
      </w:r>
      <w:r>
        <w:rPr>
          <w:rFonts w:hint="eastAsia" w:ascii="微软雅黑" w:hAnsi="微软雅黑" w:eastAsia="微软雅黑"/>
          <w:color w:val="auto"/>
          <w:highlight w:val="none"/>
        </w:rPr>
        <w:t>一、评标方法</w:t>
      </w:r>
    </w:p>
    <w:p w14:paraId="38A536B6">
      <w:pPr>
        <w:pStyle w:val="23"/>
        <w:spacing w:line="400" w:lineRule="exact"/>
        <w:ind w:firstLine="420"/>
        <w:rPr>
          <w:rFonts w:ascii="微软雅黑" w:hAnsi="微软雅黑" w:eastAsia="微软雅黑"/>
          <w:color w:val="auto"/>
          <w:sz w:val="21"/>
          <w:highlight w:val="none"/>
        </w:rPr>
      </w:pPr>
      <w:r>
        <w:rPr>
          <w:rFonts w:hint="eastAsia" w:ascii="微软雅黑" w:hAnsi="微软雅黑" w:eastAsia="微软雅黑"/>
          <w:color w:val="auto"/>
          <w:sz w:val="21"/>
          <w:highlight w:val="none"/>
        </w:rPr>
        <w:t>综合评分法，是指投标文件满足招标文件全部实质性要求，且按照评审因素的量化指标评审得分最高的投标人为中标候选人的评标方法。</w:t>
      </w:r>
    </w:p>
    <w:p w14:paraId="389C4013">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二、评标程序</w:t>
      </w:r>
    </w:p>
    <w:p w14:paraId="291758E2">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1.符合性审查</w:t>
      </w:r>
    </w:p>
    <w:p w14:paraId="18BA859E">
      <w:pPr>
        <w:pStyle w:val="23"/>
        <w:snapToGrid w:val="0"/>
        <w:spacing w:line="400" w:lineRule="exact"/>
        <w:ind w:left="1" w:firstLine="42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评标委员会应当对符合资格的投标人的投标文件进行投标报价、商务、技术等实质性内容符合性审查，以确定其是否满足招标文件的实质性要求。</w:t>
      </w:r>
    </w:p>
    <w:p w14:paraId="25B22DBF">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符合性审查不通过而导致投标无效的情形</w:t>
      </w:r>
    </w:p>
    <w:p w14:paraId="43B220F4">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投标人的投标文件中存在对招标文件的任何实质性要求和条件的负偏离，将被视为投标无效。</w:t>
      </w:r>
    </w:p>
    <w:p w14:paraId="47CE5F8F">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2.1在报价评审时，如发现下列情形之一的，将被视为投标无效：</w:t>
      </w:r>
    </w:p>
    <w:p w14:paraId="170FA743">
      <w:pPr>
        <w:pStyle w:val="8"/>
        <w:numPr>
          <w:ilvl w:val="0"/>
          <w:numId w:val="6"/>
        </w:numPr>
        <w:spacing w:line="400" w:lineRule="exact"/>
        <w:ind w:firstLine="396" w:firstLineChars="200"/>
        <w:rPr>
          <w:rFonts w:hint="eastAsia" w:ascii="微软雅黑" w:hAnsi="微软雅黑" w:eastAsia="微软雅黑"/>
          <w:b/>
          <w:color w:val="auto"/>
          <w:spacing w:val="-6"/>
          <w:szCs w:val="21"/>
          <w:highlight w:val="none"/>
        </w:rPr>
      </w:pPr>
      <w:r>
        <w:rPr>
          <w:rFonts w:hint="eastAsia" w:ascii="微软雅黑" w:hAnsi="微软雅黑" w:eastAsia="微软雅黑"/>
          <w:b/>
          <w:color w:val="auto"/>
          <w:spacing w:val="-6"/>
          <w:szCs w:val="21"/>
          <w:highlight w:val="none"/>
        </w:rPr>
        <w:t>报价文件未提供“投标人须知前附表”第13条</w:t>
      </w:r>
      <w:r>
        <w:rPr>
          <w:rFonts w:hint="eastAsia" w:ascii="微软雅黑" w:hAnsi="微软雅黑" w:eastAsia="微软雅黑"/>
          <w:b/>
          <w:color w:val="auto"/>
          <w:szCs w:val="21"/>
          <w:highlight w:val="none"/>
        </w:rPr>
        <w:t>“报价文件”</w:t>
      </w:r>
      <w:r>
        <w:rPr>
          <w:rFonts w:hint="eastAsia" w:ascii="微软雅黑" w:hAnsi="微软雅黑" w:eastAsia="微软雅黑"/>
          <w:b/>
          <w:color w:val="auto"/>
          <w:spacing w:val="-6"/>
          <w:szCs w:val="21"/>
          <w:highlight w:val="none"/>
        </w:rPr>
        <w:t>规定中“必须提供”的文件资料的；</w:t>
      </w:r>
    </w:p>
    <w:p w14:paraId="4C7A301C">
      <w:pPr>
        <w:pStyle w:val="8"/>
        <w:numPr>
          <w:ilvl w:val="0"/>
          <w:numId w:val="6"/>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未采用人民币报价或者未按照招标文件标明的币种报价的；</w:t>
      </w:r>
    </w:p>
    <w:p w14:paraId="2AE84A03">
      <w:pPr>
        <w:pStyle w:val="8"/>
        <w:numPr>
          <w:ilvl w:val="0"/>
          <w:numId w:val="6"/>
        </w:numPr>
        <w:spacing w:line="400" w:lineRule="exact"/>
        <w:ind w:left="-2" w:firstLine="422"/>
        <w:rPr>
          <w:rFonts w:hint="eastAsia" w:ascii="微软雅黑" w:hAnsi="微软雅黑" w:eastAsia="微软雅黑"/>
          <w:b/>
          <w:color w:val="auto"/>
          <w:spacing w:val="-6"/>
          <w:szCs w:val="21"/>
          <w:highlight w:val="none"/>
        </w:rPr>
      </w:pPr>
      <w:r>
        <w:rPr>
          <w:rFonts w:hint="eastAsia" w:ascii="微软雅黑" w:hAnsi="微软雅黑" w:eastAsia="微软雅黑"/>
          <w:b/>
          <w:color w:val="auto"/>
          <w:spacing w:val="-6"/>
          <w:szCs w:val="21"/>
          <w:highlight w:val="none"/>
        </w:rPr>
        <w:t>各分标报价超出招标文件相应分标规定最高限价，或者超出相应分标采购预算金额的；</w:t>
      </w:r>
    </w:p>
    <w:p w14:paraId="040B61E1">
      <w:pPr>
        <w:pStyle w:val="8"/>
        <w:numPr>
          <w:ilvl w:val="0"/>
          <w:numId w:val="6"/>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02B8511A">
      <w:pPr>
        <w:pStyle w:val="8"/>
        <w:numPr>
          <w:ilvl w:val="0"/>
          <w:numId w:val="6"/>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修正后的报价，投标人不确认的；</w:t>
      </w:r>
    </w:p>
    <w:p w14:paraId="44692354">
      <w:pPr>
        <w:pStyle w:val="8"/>
        <w:numPr>
          <w:ilvl w:val="0"/>
          <w:numId w:val="6"/>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投标人属于本章第</w:t>
      </w:r>
      <w:r>
        <w:rPr>
          <w:rFonts w:ascii="微软雅黑" w:hAnsi="微软雅黑" w:eastAsia="微软雅黑"/>
          <w:b/>
          <w:color w:val="auto"/>
          <w:szCs w:val="21"/>
          <w:highlight w:val="none"/>
        </w:rPr>
        <w:t>5.1</w:t>
      </w:r>
      <w:r>
        <w:rPr>
          <w:rFonts w:hint="eastAsia" w:ascii="微软雅黑" w:hAnsi="微软雅黑" w:eastAsia="微软雅黑"/>
          <w:b/>
          <w:color w:val="auto"/>
          <w:szCs w:val="21"/>
          <w:highlight w:val="none"/>
        </w:rPr>
        <w:t>条（2）或者第5</w:t>
      </w:r>
      <w:r>
        <w:rPr>
          <w:rFonts w:ascii="微软雅黑" w:hAnsi="微软雅黑" w:eastAsia="微软雅黑"/>
          <w:b/>
          <w:color w:val="auto"/>
          <w:szCs w:val="21"/>
          <w:highlight w:val="none"/>
        </w:rPr>
        <w:t>.2条</w:t>
      </w:r>
      <w:r>
        <w:rPr>
          <w:rFonts w:hint="eastAsia" w:ascii="微软雅黑" w:hAnsi="微软雅黑" w:eastAsia="微软雅黑"/>
          <w:b/>
          <w:color w:val="auto"/>
          <w:szCs w:val="21"/>
          <w:highlight w:val="none"/>
        </w:rPr>
        <w:t>（2）项情形的。</w:t>
      </w:r>
    </w:p>
    <w:p w14:paraId="128F7FE5">
      <w:pPr>
        <w:pStyle w:val="8"/>
        <w:numPr>
          <w:ilvl w:val="0"/>
          <w:numId w:val="6"/>
        </w:numPr>
        <w:spacing w:line="400" w:lineRule="exact"/>
        <w:ind w:firstLine="396"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pacing w:val="-6"/>
          <w:szCs w:val="21"/>
          <w:highlight w:val="none"/>
        </w:rPr>
        <w:t>报价文件</w:t>
      </w:r>
      <w:r>
        <w:rPr>
          <w:rFonts w:hint="eastAsia" w:ascii="微软雅黑" w:hAnsi="微软雅黑" w:eastAsia="微软雅黑"/>
          <w:b/>
          <w:color w:val="auto"/>
          <w:szCs w:val="21"/>
          <w:highlight w:val="none"/>
        </w:rPr>
        <w:t>响应的标的数量及单位与招标文件要求实质性不一致的。</w:t>
      </w:r>
    </w:p>
    <w:p w14:paraId="14CAAFC1">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2.2在商务及技术评审时，如发现下列情形之一的，将被视为投标无效：</w:t>
      </w:r>
    </w:p>
    <w:p w14:paraId="5E65B6DF">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投标文件未按招标文件要求签署、盖章的；</w:t>
      </w:r>
    </w:p>
    <w:p w14:paraId="70CC4033">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 xml:space="preserve">委托代理人未能出具有效身份证或者出具的身份证与授权委托书中的信息不符的； </w:t>
      </w:r>
    </w:p>
    <w:p w14:paraId="012723C0">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为无效投标保证金的或者未按照招标文件的规定提交投标保证金的；</w:t>
      </w:r>
    </w:p>
    <w:p w14:paraId="2A284265">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投标文件未提供“投标人须知前附表”第13条“商务及技术文件”规定中“必须提供”或者“委托时必须提供”的文件资料的；</w:t>
      </w:r>
    </w:p>
    <w:p w14:paraId="6AB2E9B8">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商务要求评审允许负偏离的条款数超过“投标人须知前附表”规定项数的；</w:t>
      </w:r>
    </w:p>
    <w:p w14:paraId="7A836682">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投标文件的实质性内容未使用中文表述、使用计量单位不符合招标文件要求的；</w:t>
      </w:r>
    </w:p>
    <w:p w14:paraId="03747084">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投标文件中的文件资料因填写不齐全或者内容虚假或者出现其他情形而导致被评标委员会认定无效的；</w:t>
      </w:r>
    </w:p>
    <w:p w14:paraId="4082F215">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投标文件含有采购人不能接受的附加条件的；</w:t>
      </w:r>
    </w:p>
    <w:p w14:paraId="4C9C47AE">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属于投标人须知正文第</w:t>
      </w:r>
      <w:r>
        <w:rPr>
          <w:rFonts w:ascii="微软雅黑" w:hAnsi="微软雅黑" w:eastAsia="微软雅黑"/>
          <w:b/>
          <w:color w:val="auto"/>
          <w:szCs w:val="21"/>
          <w:highlight w:val="none"/>
        </w:rPr>
        <w:t>9.2</w:t>
      </w:r>
      <w:r>
        <w:rPr>
          <w:rFonts w:hint="eastAsia" w:ascii="微软雅黑" w:hAnsi="微软雅黑" w:eastAsia="微软雅黑"/>
          <w:b/>
          <w:color w:val="auto"/>
          <w:szCs w:val="21"/>
          <w:highlight w:val="none"/>
        </w:rPr>
        <w:t>条情形的；</w:t>
      </w:r>
    </w:p>
    <w:p w14:paraId="4126DC31">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投标文件标注的项目名称或者项目编号与招标文件标注的项目名称或者项目编号不一致的；</w:t>
      </w:r>
    </w:p>
    <w:p w14:paraId="34CBEB7C">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投标文件中承诺的投标有效期低于招标文件要求的期限的；</w:t>
      </w:r>
    </w:p>
    <w:p w14:paraId="7139A696">
      <w:pPr>
        <w:numPr>
          <w:ilvl w:val="0"/>
          <w:numId w:val="7"/>
        </w:numPr>
        <w:snapToGrid w:val="0"/>
        <w:spacing w:line="400" w:lineRule="exact"/>
        <w:ind w:firstLine="420" w:firstLineChars="200"/>
        <w:rPr>
          <w:rFonts w:ascii="微软雅黑" w:hAnsi="微软雅黑" w:eastAsia="微软雅黑"/>
          <w:b/>
          <w:color w:val="auto"/>
          <w:szCs w:val="21"/>
          <w:highlight w:val="none"/>
        </w:rPr>
      </w:pPr>
      <w:r>
        <w:rPr>
          <w:rFonts w:hint="eastAsia" w:ascii="微软雅黑" w:hAnsi="微软雅黑" w:eastAsia="微软雅黑"/>
          <w:b/>
          <w:color w:val="auto"/>
          <w:szCs w:val="21"/>
          <w:highlight w:val="none"/>
        </w:rPr>
        <w:t>虚假投标，或者出现其他情形而导致被评标委员会认定无效的；</w:t>
      </w:r>
    </w:p>
    <w:p w14:paraId="046FF8B9">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招标文件未载明允许提供备选（替代）投标方案或明确不允许提供备选（替代）投标方案时，投标人提供了备选（替代）投标方案的；</w:t>
      </w:r>
    </w:p>
    <w:p w14:paraId="0B24F020">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未响应招标文件实质性要求的。</w:t>
      </w:r>
    </w:p>
    <w:p w14:paraId="6093090C">
      <w:pPr>
        <w:numPr>
          <w:ilvl w:val="0"/>
          <w:numId w:val="7"/>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法律、法规和招标文件规定的其他无效情形。</w:t>
      </w:r>
    </w:p>
    <w:p w14:paraId="4433646B">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澄清补正</w:t>
      </w:r>
    </w:p>
    <w:p w14:paraId="428B2665">
      <w:pPr>
        <w:spacing w:line="400" w:lineRule="exact"/>
        <w:ind w:firstLine="420" w:firstLineChars="200"/>
        <w:rPr>
          <w:rFonts w:hint="eastAsia" w:ascii="微软雅黑" w:hAnsi="微软雅黑" w:eastAsia="微软雅黑" w:cs="Courier New"/>
          <w:b/>
          <w:color w:val="auto"/>
          <w:szCs w:val="21"/>
          <w:highlight w:val="none"/>
        </w:rPr>
      </w:pPr>
      <w:r>
        <w:rPr>
          <w:rFonts w:hint="eastAsia" w:ascii="微软雅黑" w:hAnsi="微软雅黑" w:eastAsia="微软雅黑"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268DDB8B">
      <w:pPr>
        <w:spacing w:line="400" w:lineRule="exact"/>
        <w:ind w:firstLine="420" w:firstLineChars="200"/>
        <w:rPr>
          <w:rFonts w:hint="eastAsia" w:ascii="微软雅黑" w:hAnsi="微软雅黑" w:eastAsia="微软雅黑" w:cs="Courier New"/>
          <w:color w:val="auto"/>
          <w:szCs w:val="21"/>
          <w:highlight w:val="none"/>
        </w:rPr>
      </w:pPr>
      <w:r>
        <w:rPr>
          <w:rFonts w:hint="eastAsia" w:ascii="微软雅黑" w:hAnsi="微软雅黑" w:eastAsia="微软雅黑"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127E43E5">
      <w:pPr>
        <w:spacing w:line="400" w:lineRule="exact"/>
        <w:ind w:firstLine="420" w:firstLineChars="200"/>
        <w:rPr>
          <w:rFonts w:hint="eastAsia" w:ascii="微软雅黑" w:hAnsi="微软雅黑" w:eastAsia="微软雅黑" w:cs="Courier New"/>
          <w:color w:val="auto"/>
          <w:szCs w:val="21"/>
          <w:highlight w:val="none"/>
        </w:rPr>
      </w:pPr>
      <w:r>
        <w:rPr>
          <w:rFonts w:hint="eastAsia" w:ascii="微软雅黑" w:hAnsi="微软雅黑" w:eastAsia="微软雅黑" w:cs="Courier New"/>
          <w:color w:val="auto"/>
          <w:szCs w:val="21"/>
          <w:highlight w:val="none"/>
        </w:rPr>
        <w:t>未按评标委员会的要求作出明确澄清、说明或者更正的投标人的投标文件将按照有利于采购人的原则由评标委员会进行判定。</w:t>
      </w:r>
    </w:p>
    <w:p w14:paraId="501F6A23">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w:t>
      </w:r>
      <w:r>
        <w:rPr>
          <w:rFonts w:hint="eastAsia" w:ascii="微软雅黑" w:hAnsi="微软雅黑" w:eastAsia="微软雅黑"/>
          <w:color w:val="auto"/>
          <w:sz w:val="21"/>
          <w:szCs w:val="21"/>
          <w:highlight w:val="none"/>
        </w:rPr>
        <w:t>投标文件修正</w:t>
      </w:r>
    </w:p>
    <w:p w14:paraId="1A6ECD8D">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4</w:t>
      </w:r>
      <w:r>
        <w:rPr>
          <w:rFonts w:hint="eastAsia" w:ascii="微软雅黑" w:hAnsi="微软雅黑" w:eastAsia="微软雅黑"/>
          <w:b w:val="0"/>
          <w:color w:val="auto"/>
          <w:sz w:val="21"/>
          <w:szCs w:val="21"/>
          <w:highlight w:val="none"/>
        </w:rPr>
        <w:t xml:space="preserve">.1投标文件报价出现前后不一致的，按照下列规定修正： </w:t>
      </w:r>
    </w:p>
    <w:p w14:paraId="677BE492">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（1）投标文件中开标一览表（报价表）内容与投标文件中相应内容不一致的，以开标一览表（报价表）为准；</w:t>
      </w:r>
    </w:p>
    <w:p w14:paraId="2A63CEF3">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（2）大写金额和小写金额不一致的，以大写金额为准；</w:t>
      </w:r>
    </w:p>
    <w:p w14:paraId="67D23737">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（3）单价金额小数点或者百分比有明显错位的，以开标一览表的总价为准，并修改单价；</w:t>
      </w:r>
    </w:p>
    <w:p w14:paraId="5E3BD66D">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（4）总价金额与按单价汇总金额不一致的，以单价金额计算结果为准。</w:t>
      </w:r>
    </w:p>
    <w:p w14:paraId="39D34685">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同时出现两种以上不一致的，按照以上（1）-（4）规定的顺序修正。修正后的报价经投标人确认后产生约束力，投标人不确认的，</w:t>
      </w:r>
      <w:r>
        <w:rPr>
          <w:rFonts w:hint="eastAsia" w:ascii="微软雅黑" w:hAnsi="微软雅黑" w:eastAsia="微软雅黑"/>
          <w:b/>
          <w:color w:val="auto"/>
          <w:kern w:val="2"/>
          <w:sz w:val="21"/>
          <w:highlight w:val="none"/>
        </w:rPr>
        <w:t>其投标无效</w:t>
      </w:r>
      <w:r>
        <w:rPr>
          <w:rFonts w:hint="eastAsia" w:ascii="微软雅黑" w:hAnsi="微软雅黑" w:eastAsia="微软雅黑"/>
          <w:color w:val="auto"/>
          <w:sz w:val="21"/>
          <w:highlight w:val="none"/>
        </w:rPr>
        <w:t>。</w:t>
      </w:r>
    </w:p>
    <w:p w14:paraId="2C5276AC">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 xml:space="preserve">    4</w:t>
      </w:r>
      <w:r>
        <w:rPr>
          <w:rFonts w:hint="eastAsia" w:ascii="微软雅黑" w:hAnsi="微软雅黑" w:eastAsia="微软雅黑"/>
          <w:b w:val="0"/>
          <w:color w:val="auto"/>
          <w:sz w:val="21"/>
          <w:szCs w:val="21"/>
          <w:highlight w:val="none"/>
        </w:rPr>
        <w:t>.2经投标人确认修正后的报价若超过采购预算金额或者最高限价，</w:t>
      </w:r>
      <w:r>
        <w:rPr>
          <w:rFonts w:hint="eastAsia" w:ascii="微软雅黑" w:hAnsi="微软雅黑" w:eastAsia="微软雅黑"/>
          <w:color w:val="auto"/>
          <w:sz w:val="21"/>
          <w:szCs w:val="21"/>
          <w:highlight w:val="none"/>
        </w:rPr>
        <w:t>投标人的投标文件作无效投标处理</w:t>
      </w:r>
      <w:r>
        <w:rPr>
          <w:rFonts w:hint="eastAsia" w:ascii="微软雅黑" w:hAnsi="微软雅黑" w:eastAsia="微软雅黑"/>
          <w:b w:val="0"/>
          <w:color w:val="auto"/>
          <w:sz w:val="21"/>
          <w:szCs w:val="21"/>
          <w:highlight w:val="none"/>
        </w:rPr>
        <w:t>。</w:t>
      </w:r>
    </w:p>
    <w:p w14:paraId="2C5BABF4">
      <w:pPr>
        <w:snapToGrid w:val="0"/>
        <w:spacing w:line="400" w:lineRule="exact"/>
        <w:ind w:firstLine="420" w:firstLineChars="200"/>
        <w:rPr>
          <w:rFonts w:hint="eastAsia" w:ascii="微软雅黑" w:hAnsi="微软雅黑" w:eastAsia="微软雅黑"/>
          <w:color w:val="auto"/>
          <w:szCs w:val="21"/>
          <w:highlight w:val="none"/>
        </w:rPr>
      </w:pPr>
      <w:r>
        <w:rPr>
          <w:rFonts w:ascii="微软雅黑" w:hAnsi="微软雅黑" w:eastAsia="微软雅黑"/>
          <w:color w:val="auto"/>
          <w:szCs w:val="21"/>
          <w:highlight w:val="none"/>
        </w:rPr>
        <w:t>4</w:t>
      </w:r>
      <w:r>
        <w:rPr>
          <w:rFonts w:hint="eastAsia" w:ascii="微软雅黑" w:hAnsi="微软雅黑" w:eastAsia="微软雅黑"/>
          <w:color w:val="auto"/>
          <w:szCs w:val="21"/>
          <w:highlight w:val="none"/>
        </w:rPr>
        <w:t>.3经投标人确认修正后的报价作为签订合同的依据，并以此报价计算价格分。</w:t>
      </w:r>
    </w:p>
    <w:p w14:paraId="45A46B60">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比较与评价</w:t>
      </w:r>
    </w:p>
    <w:p w14:paraId="7F804823">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5.1采用综合评分法的</w:t>
      </w:r>
    </w:p>
    <w:p w14:paraId="62652526">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（1）评标委员会按照招标文件中规定的评标方法及评标标准，对符合性审查合格的投标文件进行商务和技术评估，综合比较与评价。</w:t>
      </w:r>
    </w:p>
    <w:p w14:paraId="0708C86F">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（2）评标委员会独立对每个投标人的投标文件进行评价，并汇总每个投标人的得分。</w:t>
      </w:r>
    </w:p>
    <w:p w14:paraId="0F4178A2">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微软雅黑" w:hAnsi="微软雅黑" w:eastAsia="微软雅黑"/>
          <w:b/>
          <w:color w:val="auto"/>
          <w:szCs w:val="21"/>
          <w:highlight w:val="none"/>
        </w:rPr>
        <w:t>投标人不能证明其报价合理性的，评标委员会应当将其作为无效投标处理。</w:t>
      </w:r>
    </w:p>
    <w:p w14:paraId="0170B2F7">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（3）评标委员会按照招标文件中规定的评标方法和标准计算各投标人的报价得分。在计算过程中，不得去掉最高报价或者最低报价。</w:t>
      </w:r>
    </w:p>
    <w:p w14:paraId="6433F528">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（4）各投标人的得分为所有评委的有效评分的算术平均数。</w:t>
      </w:r>
    </w:p>
    <w:p w14:paraId="123B839A">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（5）评标委员会按照招标文件中的规定推荐中标候选人。</w:t>
      </w:r>
    </w:p>
    <w:p w14:paraId="473FEC93">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04BAFBE">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5.2采用</w:t>
      </w:r>
      <w:r>
        <w:rPr>
          <w:rFonts w:hint="eastAsia" w:ascii="微软雅黑" w:hAnsi="微软雅黑" w:eastAsia="微软雅黑"/>
          <w:color w:val="auto"/>
          <w:highlight w:val="none"/>
        </w:rPr>
        <w:t>最低评标价法</w:t>
      </w:r>
      <w:r>
        <w:rPr>
          <w:rFonts w:hint="eastAsia" w:ascii="微软雅黑" w:hAnsi="微软雅黑" w:eastAsia="微软雅黑"/>
          <w:color w:val="auto"/>
          <w:szCs w:val="21"/>
          <w:highlight w:val="none"/>
        </w:rPr>
        <w:t>的</w:t>
      </w:r>
    </w:p>
    <w:p w14:paraId="49D77398">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（1）评标委员会按照招标文件中规定的评标方法及评标标准，对符合性审查合格的投标文件报价进行比较。</w:t>
      </w:r>
    </w:p>
    <w:p w14:paraId="6B3EBDAC">
      <w:pPr>
        <w:snapToGrid w:val="0"/>
        <w:spacing w:line="400" w:lineRule="exact"/>
        <w:ind w:firstLine="424" w:firstLineChars="202"/>
        <w:jc w:val="left"/>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微软雅黑" w:hAnsi="微软雅黑" w:eastAsia="微软雅黑"/>
          <w:b/>
          <w:color w:val="auto"/>
          <w:szCs w:val="21"/>
          <w:highlight w:val="none"/>
        </w:rPr>
        <w:t>投标人不能证明其报价合理性的，评标委员会将其作为无效投标处理。</w:t>
      </w:r>
    </w:p>
    <w:p w14:paraId="52C37039">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（3）评标委员会按照招标文件中的规定推荐中标候选人。</w:t>
      </w:r>
    </w:p>
    <w:p w14:paraId="07AA5019">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67D60456">
      <w:pPr>
        <w:snapToGrid w:val="0"/>
        <w:spacing w:line="400" w:lineRule="exact"/>
        <w:ind w:firstLine="0" w:firstLineChars="0"/>
        <w:jc w:val="center"/>
        <w:outlineLvl w:val="1"/>
        <w:rPr>
          <w:rFonts w:hint="eastAsia" w:ascii="微软雅黑" w:hAnsi="微软雅黑" w:eastAsia="微软雅黑"/>
          <w:color w:val="auto"/>
          <w:highlight w:val="none"/>
        </w:rPr>
      </w:pPr>
      <w:r>
        <w:rPr>
          <w:rFonts w:ascii="微软雅黑" w:hAnsi="微软雅黑" w:eastAsia="微软雅黑"/>
          <w:color w:val="auto"/>
          <w:highlight w:val="none"/>
        </w:rPr>
        <w:br w:type="page"/>
      </w:r>
      <w:bookmarkStart w:id="282" w:name="_Hlk71707917"/>
      <w:r>
        <w:rPr>
          <w:rFonts w:ascii="微软雅黑" w:hAnsi="微软雅黑" w:eastAsia="微软雅黑" w:cs="宋体"/>
          <w:b/>
          <w:bCs/>
          <w:color w:val="auto"/>
          <w:sz w:val="32"/>
          <w:szCs w:val="32"/>
          <w:highlight w:val="none"/>
        </w:rPr>
        <w:t>三</w:t>
      </w:r>
      <w:r>
        <w:rPr>
          <w:rFonts w:hint="eastAsia" w:ascii="微软雅黑" w:hAnsi="微软雅黑" w:eastAsia="微软雅黑" w:cs="宋体"/>
          <w:b/>
          <w:bCs/>
          <w:color w:val="auto"/>
          <w:sz w:val="32"/>
          <w:szCs w:val="32"/>
          <w:highlight w:val="none"/>
        </w:rPr>
        <w:t>、评标标准</w:t>
      </w:r>
    </w:p>
    <w:p w14:paraId="6E2A9F7F">
      <w:pPr>
        <w:pStyle w:val="5"/>
        <w:keepNext w:val="0"/>
        <w:keepLines w:val="0"/>
        <w:jc w:val="center"/>
        <w:rPr>
          <w:rFonts w:hint="eastAsia" w:ascii="微软雅黑" w:hAnsi="微软雅黑" w:eastAsia="微软雅黑"/>
          <w:color w:val="auto"/>
          <w:highlight w:val="none"/>
        </w:rPr>
      </w:pPr>
      <w:r>
        <w:rPr>
          <w:rFonts w:hint="eastAsia" w:ascii="微软雅黑" w:hAnsi="微软雅黑" w:eastAsia="微软雅黑"/>
          <w:color w:val="auto"/>
          <w:highlight w:val="none"/>
        </w:rPr>
        <w:t>综合评分法</w:t>
      </w:r>
    </w:p>
    <w:p w14:paraId="46C5AB70">
      <w:pPr>
        <w:pStyle w:val="6"/>
        <w:keepNext w:val="0"/>
        <w:keepLines w:val="0"/>
        <w:numPr>
          <w:ilvl w:val="-1"/>
          <w:numId w:val="0"/>
        </w:numPr>
        <w:spacing w:before="0" w:after="0" w:line="400" w:lineRule="exact"/>
        <w:ind w:left="0" w:leftChars="0"/>
        <w:outlineLvl w:val="2"/>
        <w:rPr>
          <w:rFonts w:hint="eastAsia"/>
          <w:color w:val="auto"/>
          <w:highlight w:val="none"/>
        </w:rPr>
      </w:pPr>
    </w:p>
    <w:tbl>
      <w:tblPr>
        <w:tblStyle w:val="46"/>
        <w:tblpPr w:leftFromText="181" w:rightFromText="181" w:vertAnchor="text" w:horzAnchor="page" w:tblpX="1798" w:tblpY="18"/>
        <w:tblOverlap w:val="never"/>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87"/>
        <w:gridCol w:w="1068"/>
        <w:gridCol w:w="6051"/>
      </w:tblGrid>
      <w:tr w14:paraId="5552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19" w:type="dxa"/>
            <w:vAlign w:val="center"/>
          </w:tcPr>
          <w:p w14:paraId="690CB067">
            <w:pPr>
              <w:snapToGrid w:val="0"/>
              <w:jc w:val="center"/>
              <w:rPr>
                <w:rFonts w:hint="eastAsia" w:ascii="微软雅黑" w:hAnsi="微软雅黑" w:eastAsia="微软雅黑" w:cs="微软雅黑"/>
                <w:b/>
                <w:bCs/>
                <w:color w:val="auto"/>
                <w:szCs w:val="21"/>
                <w:highlight w:val="none"/>
                <w:lang w:eastAsia="zh-CN"/>
              </w:rPr>
            </w:pPr>
            <w:r>
              <w:rPr>
                <w:rFonts w:hint="eastAsia" w:ascii="微软雅黑" w:hAnsi="微软雅黑" w:eastAsia="微软雅黑" w:cs="微软雅黑"/>
                <w:b/>
                <w:bCs/>
                <w:color w:val="auto"/>
                <w:szCs w:val="21"/>
                <w:highlight w:val="none"/>
                <w:lang w:eastAsia="zh-CN"/>
              </w:rPr>
              <w:t>序号</w:t>
            </w:r>
          </w:p>
        </w:tc>
        <w:tc>
          <w:tcPr>
            <w:tcW w:w="1955" w:type="dxa"/>
            <w:gridSpan w:val="2"/>
            <w:vAlign w:val="center"/>
          </w:tcPr>
          <w:p w14:paraId="31CC6800">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评定项目</w:t>
            </w:r>
          </w:p>
        </w:tc>
        <w:tc>
          <w:tcPr>
            <w:tcW w:w="6051" w:type="dxa"/>
            <w:vAlign w:val="center"/>
          </w:tcPr>
          <w:p w14:paraId="7284B4E2">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评分标准</w:t>
            </w:r>
          </w:p>
        </w:tc>
      </w:tr>
      <w:tr w14:paraId="7F00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9" w:hRule="atLeast"/>
        </w:trPr>
        <w:tc>
          <w:tcPr>
            <w:tcW w:w="519" w:type="dxa"/>
            <w:vAlign w:val="center"/>
          </w:tcPr>
          <w:p w14:paraId="64CB1FC6">
            <w:pPr>
              <w:snapToGrid w:val="0"/>
              <w:jc w:val="center"/>
              <w:rPr>
                <w:rFonts w:hint="eastAsia" w:ascii="微软雅黑" w:hAnsi="微软雅黑" w:eastAsia="微软雅黑" w:cs="微软雅黑"/>
                <w:b w:val="0"/>
                <w:bCs w:val="0"/>
                <w:color w:val="auto"/>
                <w:szCs w:val="21"/>
                <w:highlight w:val="none"/>
                <w:lang w:val="en-US" w:eastAsia="zh-CN"/>
              </w:rPr>
            </w:pPr>
            <w:r>
              <w:rPr>
                <w:rFonts w:hint="eastAsia" w:ascii="微软雅黑" w:hAnsi="微软雅黑" w:eastAsia="微软雅黑" w:cs="微软雅黑"/>
                <w:b w:val="0"/>
                <w:bCs w:val="0"/>
                <w:color w:val="auto"/>
                <w:szCs w:val="21"/>
                <w:highlight w:val="none"/>
                <w:lang w:val="en-US" w:eastAsia="zh-CN"/>
              </w:rPr>
              <w:t>1</w:t>
            </w:r>
          </w:p>
        </w:tc>
        <w:tc>
          <w:tcPr>
            <w:tcW w:w="1955" w:type="dxa"/>
            <w:gridSpan w:val="2"/>
            <w:vAlign w:val="center"/>
          </w:tcPr>
          <w:p w14:paraId="1FD60BF2">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价格分（满分</w:t>
            </w:r>
            <w:r>
              <w:rPr>
                <w:rFonts w:hint="eastAsia" w:ascii="微软雅黑" w:hAnsi="微软雅黑" w:eastAsia="微软雅黑" w:cs="微软雅黑"/>
                <w:b/>
                <w:bCs/>
                <w:color w:val="auto"/>
                <w:szCs w:val="21"/>
                <w:highlight w:val="none"/>
                <w:lang w:val="en-US" w:eastAsia="zh-CN"/>
              </w:rPr>
              <w:t>1</w:t>
            </w:r>
            <w:r>
              <w:rPr>
                <w:rFonts w:hint="eastAsia" w:ascii="微软雅黑" w:hAnsi="微软雅黑" w:eastAsia="微软雅黑" w:cs="微软雅黑"/>
                <w:b/>
                <w:bCs/>
                <w:color w:val="auto"/>
                <w:szCs w:val="21"/>
                <w:highlight w:val="none"/>
              </w:rPr>
              <w:t>0分）</w:t>
            </w:r>
          </w:p>
        </w:tc>
        <w:tc>
          <w:tcPr>
            <w:tcW w:w="6051" w:type="dxa"/>
            <w:vAlign w:val="center"/>
          </w:tcPr>
          <w:p w14:paraId="0500AF49">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（1）评标报价为投标人的投标报价进行政策性扣除后的价格，评标报价只是作为评标时使用。最终中标人的中标金额等于投标报价。</w:t>
            </w:r>
          </w:p>
          <w:p w14:paraId="16F54B54">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（2）政策性扣除计算方法。</w:t>
            </w:r>
          </w:p>
          <w:p w14:paraId="17F73D92">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政府采购促进中小企业发展管理办法》（财库〔2020〕46号）及《广西壮族自治区财政厅关于贯彻落实政府采购支持中小企业发展政策的通知》（桂财采〔2022〕31号）的规定，投标人在其投标文件中提供《中小企业声明函》，且服务全部由小微企业承接对其投标报价给予10%（范围为10%-20%）的扣除，扣除后的价格为评标报价，即评标报价=投标报价×（1-10 %）。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标报价，即评标报价=投标报价×（1-4%）。除上述情况外，评标报价=投标报价。</w:t>
            </w:r>
          </w:p>
          <w:p w14:paraId="22A92851">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518FB9C3">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7CE32BC1">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（5）满足招标文件要求且评标报价最低的评标报价为评标基准价，其价格分为满分。</w:t>
            </w:r>
          </w:p>
          <w:p w14:paraId="1EEBF93E">
            <w:pPr>
              <w:snapToGrid/>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（6）价格分计算公式：</w:t>
            </w:r>
          </w:p>
          <w:p w14:paraId="16180A3D">
            <w:pPr>
              <w:snapToGrid/>
              <w:ind w:firstLine="420" w:firstLineChars="200"/>
              <w:jc w:val="left"/>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价格分=（评标基准价／评标报价）×10分</w:t>
            </w:r>
          </w:p>
          <w:p w14:paraId="7FB4AD5B">
            <w:pPr>
              <w:snapToGrid/>
              <w:ind w:firstLine="0" w:firstLineChars="0"/>
              <w:jc w:val="left"/>
              <w:rPr>
                <w:rFonts w:hint="eastAsia" w:ascii="微软雅黑" w:hAnsi="微软雅黑" w:eastAsia="微软雅黑" w:cs="微软雅黑"/>
                <w:color w:val="auto"/>
                <w:szCs w:val="21"/>
                <w:highlight w:val="none"/>
              </w:rPr>
            </w:pPr>
          </w:p>
          <w:p w14:paraId="781D47EE">
            <w:pPr>
              <w:snapToGrid/>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注：评标委员会认为投标人的报价明显低于其他通过符合性审查投标人的报价，有可能影响产品</w:t>
            </w:r>
            <w:r>
              <w:rPr>
                <w:rFonts w:hint="eastAsia" w:ascii="微软雅黑" w:hAnsi="微软雅黑" w:eastAsia="微软雅黑" w:cs="微软雅黑"/>
                <w:color w:val="auto"/>
                <w:szCs w:val="21"/>
                <w:highlight w:val="none"/>
                <w:lang w:eastAsia="zh-CN"/>
              </w:rPr>
              <w:t>（服务）</w:t>
            </w:r>
            <w:r>
              <w:rPr>
                <w:rFonts w:hint="eastAsia" w:ascii="微软雅黑" w:hAnsi="微软雅黑" w:eastAsia="微软雅黑" w:cs="微软雅黑"/>
                <w:color w:val="auto"/>
                <w:szCs w:val="21"/>
                <w:highlight w:val="none"/>
              </w:rPr>
              <w:t>质量或者不能诚信履约的，应当要求其在评标现场合理的时间内提供书面说明，必要时提交相关证明材料；投标人不能证明其报价合理性的，评标委员会应当将其作为无效投标处理。</w:t>
            </w:r>
          </w:p>
        </w:tc>
      </w:tr>
      <w:tr w14:paraId="52D8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restart"/>
            <w:vAlign w:val="center"/>
          </w:tcPr>
          <w:p w14:paraId="3946779D">
            <w:pPr>
              <w:snapToGrid w:val="0"/>
              <w:jc w:val="center"/>
              <w:rPr>
                <w:rFonts w:hint="default" w:ascii="微软雅黑" w:hAnsi="微软雅黑" w:eastAsia="微软雅黑" w:cs="微软雅黑"/>
                <w:b w:val="0"/>
                <w:bCs w:val="0"/>
                <w:color w:val="auto"/>
                <w:szCs w:val="21"/>
                <w:highlight w:val="none"/>
                <w:lang w:val="en-US" w:eastAsia="zh-CN"/>
              </w:rPr>
            </w:pPr>
            <w:r>
              <w:rPr>
                <w:rFonts w:hint="eastAsia" w:ascii="微软雅黑" w:hAnsi="微软雅黑" w:eastAsia="微软雅黑" w:cs="微软雅黑"/>
                <w:b w:val="0"/>
                <w:bCs w:val="0"/>
                <w:color w:val="auto"/>
                <w:szCs w:val="21"/>
                <w:highlight w:val="none"/>
                <w:lang w:val="en-US" w:eastAsia="zh-CN"/>
              </w:rPr>
              <w:t>2</w:t>
            </w:r>
          </w:p>
        </w:tc>
        <w:tc>
          <w:tcPr>
            <w:tcW w:w="887" w:type="dxa"/>
            <w:vMerge w:val="restart"/>
            <w:vAlign w:val="center"/>
          </w:tcPr>
          <w:p w14:paraId="77495634">
            <w:pPr>
              <w:snapToGrid w:val="0"/>
              <w:jc w:val="center"/>
              <w:rPr>
                <w:rFonts w:hint="eastAsia" w:ascii="微软雅黑" w:hAnsi="微软雅黑" w:eastAsia="微软雅黑" w:cs="微软雅黑"/>
                <w:b w:val="0"/>
                <w:bCs w:val="0"/>
                <w:color w:val="auto"/>
                <w:szCs w:val="21"/>
                <w:highlight w:val="none"/>
              </w:rPr>
            </w:pPr>
            <w:r>
              <w:rPr>
                <w:rFonts w:hint="eastAsia" w:ascii="微软雅黑" w:hAnsi="微软雅黑" w:eastAsia="微软雅黑" w:cs="微软雅黑"/>
                <w:b/>
                <w:bCs/>
                <w:color w:val="auto"/>
                <w:szCs w:val="21"/>
                <w:highlight w:val="none"/>
                <w:lang w:val="en-US" w:eastAsia="zh-CN"/>
              </w:rPr>
              <w:t>项目实施方案分（满分78分）</w:t>
            </w:r>
          </w:p>
        </w:tc>
        <w:tc>
          <w:tcPr>
            <w:tcW w:w="1068" w:type="dxa"/>
            <w:vAlign w:val="center"/>
          </w:tcPr>
          <w:p w14:paraId="7AEA7A69">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技术方案分（满分23分）</w:t>
            </w:r>
          </w:p>
        </w:tc>
        <w:tc>
          <w:tcPr>
            <w:tcW w:w="6051" w:type="dxa"/>
            <w:vAlign w:val="center"/>
          </w:tcPr>
          <w:p w14:paraId="6C7221CD">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bCs/>
                <w:color w:val="auto"/>
                <w:szCs w:val="21"/>
                <w:highlight w:val="none"/>
              </w:rPr>
              <w:t>一档（</w:t>
            </w:r>
            <w:r>
              <w:rPr>
                <w:rFonts w:hint="eastAsia" w:ascii="微软雅黑" w:hAnsi="微软雅黑" w:eastAsia="微软雅黑" w:cs="微软雅黑"/>
                <w:b/>
                <w:bCs/>
                <w:color w:val="auto"/>
                <w:szCs w:val="21"/>
                <w:highlight w:val="none"/>
                <w:lang w:val="en-US" w:eastAsia="zh-CN"/>
              </w:rPr>
              <w:t>5</w:t>
            </w:r>
            <w:r>
              <w:rPr>
                <w:rFonts w:hint="eastAsia" w:ascii="微软雅黑" w:hAnsi="微软雅黑" w:eastAsia="微软雅黑" w:cs="微软雅黑"/>
                <w:b/>
                <w:bCs/>
                <w:color w:val="auto"/>
                <w:szCs w:val="21"/>
                <w:highlight w:val="none"/>
              </w:rPr>
              <w:t>分）：</w:t>
            </w:r>
            <w:r>
              <w:rPr>
                <w:rFonts w:hint="eastAsia" w:ascii="微软雅黑" w:hAnsi="微软雅黑" w:eastAsia="微软雅黑" w:cs="微软雅黑"/>
                <w:color w:val="auto"/>
                <w:szCs w:val="21"/>
                <w:highlight w:val="none"/>
              </w:rPr>
              <w:t>对项目背景和基本情况、项目涉及的相关政策法律有</w:t>
            </w:r>
            <w:r>
              <w:rPr>
                <w:rFonts w:hint="eastAsia" w:ascii="微软雅黑" w:hAnsi="微软雅黑" w:eastAsia="微软雅黑" w:cs="微软雅黑"/>
                <w:color w:val="auto"/>
                <w:szCs w:val="21"/>
                <w:highlight w:val="none"/>
                <w:lang w:val="en-US" w:eastAsia="zh-CN"/>
              </w:rPr>
              <w:t>简单</w:t>
            </w:r>
            <w:r>
              <w:rPr>
                <w:rFonts w:hint="eastAsia" w:ascii="微软雅黑" w:hAnsi="微软雅黑" w:eastAsia="微软雅黑" w:cs="微软雅黑"/>
                <w:color w:val="auto"/>
                <w:szCs w:val="21"/>
                <w:highlight w:val="none"/>
              </w:rPr>
              <w:t>了解但未掌握资料或资料掌握情况少。实施方案内容缺乏先进性和可操作性，方案措施考虑不周全。</w:t>
            </w:r>
          </w:p>
          <w:p w14:paraId="6717BB99">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bCs/>
                <w:color w:val="auto"/>
                <w:szCs w:val="21"/>
                <w:highlight w:val="none"/>
              </w:rPr>
              <w:t>二档（</w:t>
            </w:r>
            <w:r>
              <w:rPr>
                <w:rFonts w:hint="eastAsia" w:ascii="微软雅黑" w:hAnsi="微软雅黑" w:eastAsia="微软雅黑" w:cs="微软雅黑"/>
                <w:b/>
                <w:bCs/>
                <w:color w:val="auto"/>
                <w:szCs w:val="21"/>
                <w:highlight w:val="none"/>
                <w:lang w:val="en-US" w:eastAsia="zh-CN"/>
              </w:rPr>
              <w:t>14</w:t>
            </w:r>
            <w:r>
              <w:rPr>
                <w:rFonts w:hint="eastAsia" w:ascii="微软雅黑" w:hAnsi="微软雅黑" w:eastAsia="微软雅黑" w:cs="微软雅黑"/>
                <w:b/>
                <w:bCs/>
                <w:color w:val="auto"/>
                <w:szCs w:val="21"/>
                <w:highlight w:val="none"/>
              </w:rPr>
              <w:t>分）：</w:t>
            </w:r>
            <w:r>
              <w:rPr>
                <w:rFonts w:hint="eastAsia" w:ascii="微软雅黑" w:hAnsi="微软雅黑" w:eastAsia="微软雅黑" w:cs="微软雅黑"/>
                <w:color w:val="auto"/>
                <w:szCs w:val="21"/>
                <w:highlight w:val="none"/>
                <w:lang w:eastAsia="zh-CN"/>
              </w:rPr>
              <w:t>在上一档的基础上，</w:t>
            </w:r>
            <w:r>
              <w:rPr>
                <w:rFonts w:hint="eastAsia" w:ascii="微软雅黑" w:hAnsi="微软雅黑" w:eastAsia="微软雅黑" w:cs="微软雅黑"/>
                <w:color w:val="auto"/>
                <w:szCs w:val="21"/>
                <w:highlight w:val="none"/>
              </w:rPr>
              <w:t>对项目背景和基本情况</w:t>
            </w:r>
            <w:r>
              <w:rPr>
                <w:rFonts w:hint="eastAsia" w:ascii="微软雅黑" w:hAnsi="微软雅黑" w:eastAsia="微软雅黑" w:cs="微软雅黑"/>
                <w:color w:val="auto"/>
                <w:szCs w:val="21"/>
                <w:highlight w:val="none"/>
                <w:lang w:val="en-US" w:eastAsia="zh-CN"/>
              </w:rPr>
              <w:t>较为</w:t>
            </w:r>
            <w:r>
              <w:rPr>
                <w:rFonts w:hint="eastAsia" w:ascii="微软雅黑" w:hAnsi="微软雅黑" w:eastAsia="微软雅黑" w:cs="微软雅黑"/>
                <w:color w:val="auto"/>
                <w:szCs w:val="21"/>
                <w:highlight w:val="none"/>
              </w:rPr>
              <w:t>了解，对项目涉及的相关政策法律了解，资料掌握情况完整。实施方案内容完整，详细描述了实现方式，技术方案可行，具有一定的先进性和可操作性，满足项目要求，能够保证项目质量，方案措施对项目实施有一定的保障性。</w:t>
            </w:r>
          </w:p>
          <w:p w14:paraId="43CB42F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rPr>
              <w:t>三档（</w:t>
            </w:r>
            <w:r>
              <w:rPr>
                <w:rFonts w:hint="eastAsia" w:ascii="微软雅黑" w:hAnsi="微软雅黑" w:eastAsia="微软雅黑" w:cs="微软雅黑"/>
                <w:b/>
                <w:bCs/>
                <w:color w:val="auto"/>
                <w:szCs w:val="21"/>
                <w:highlight w:val="none"/>
                <w:lang w:val="en-US" w:eastAsia="zh-CN"/>
              </w:rPr>
              <w:t>23</w:t>
            </w:r>
            <w:r>
              <w:rPr>
                <w:rFonts w:hint="eastAsia" w:ascii="微软雅黑" w:hAnsi="微软雅黑" w:eastAsia="微软雅黑" w:cs="微软雅黑"/>
                <w:b/>
                <w:bCs/>
                <w:color w:val="auto"/>
                <w:szCs w:val="21"/>
                <w:highlight w:val="none"/>
              </w:rPr>
              <w:t>分）：</w:t>
            </w:r>
            <w:r>
              <w:rPr>
                <w:rFonts w:hint="eastAsia" w:ascii="微软雅黑" w:hAnsi="微软雅黑" w:eastAsia="微软雅黑" w:cs="微软雅黑"/>
                <w:color w:val="auto"/>
                <w:szCs w:val="21"/>
                <w:highlight w:val="none"/>
                <w:lang w:eastAsia="zh-CN"/>
              </w:rPr>
              <w:t>在上一档的基础上，</w:t>
            </w:r>
            <w:r>
              <w:rPr>
                <w:rFonts w:hint="eastAsia" w:ascii="微软雅黑" w:hAnsi="微软雅黑" w:eastAsia="微软雅黑" w:cs="微软雅黑"/>
                <w:color w:val="auto"/>
                <w:szCs w:val="21"/>
                <w:highlight w:val="none"/>
              </w:rPr>
              <w:t>对项目背景和基本情况理解把握准确，对项目涉及的相关政策法律了解到位，资料掌握详实，能较深入分析项目现状，提出针对项目的见解。实施方案内容具体完善，详细描述了实现方式，完全满足项目要求，措施切实可行，技术方案具有先进性和可操作性，质量保证措施合理，能切实地确保项目质量。投标人对流域存在问题、薄弱环节及治理需求有充分认识，针对项目要求的主要论证方向和突出问题，提出了具体可行的研究方案设想的。</w:t>
            </w:r>
          </w:p>
        </w:tc>
      </w:tr>
      <w:tr w14:paraId="46D4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5FC0BA4F">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3CFDB7D6">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36343B7E">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技术参数分（满分6分）</w:t>
            </w:r>
          </w:p>
          <w:p w14:paraId="5B15ACB5">
            <w:pPr>
              <w:snapToGrid w:val="0"/>
              <w:jc w:val="center"/>
              <w:rPr>
                <w:rFonts w:hint="eastAsia" w:ascii="微软雅黑" w:hAnsi="微软雅黑" w:eastAsia="微软雅黑" w:cs="微软雅黑"/>
                <w:b/>
                <w:bCs/>
                <w:color w:val="auto"/>
                <w:szCs w:val="21"/>
                <w:highlight w:val="none"/>
                <w:lang w:val="en-US" w:eastAsia="zh-CN"/>
              </w:rPr>
            </w:pPr>
          </w:p>
        </w:tc>
        <w:tc>
          <w:tcPr>
            <w:tcW w:w="6051" w:type="dxa"/>
            <w:vAlign w:val="center"/>
          </w:tcPr>
          <w:p w14:paraId="379F640E">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采购</w:t>
            </w:r>
            <w:r>
              <w:rPr>
                <w:rFonts w:hint="eastAsia" w:ascii="微软雅黑" w:hAnsi="微软雅黑" w:eastAsia="微软雅黑" w:cs="微软雅黑"/>
                <w:color w:val="auto"/>
                <w:szCs w:val="21"/>
                <w:highlight w:val="none"/>
                <w:lang w:val="en-US" w:eastAsia="zh-CN"/>
              </w:rPr>
              <w:t>技术</w:t>
            </w:r>
            <w:r>
              <w:rPr>
                <w:rFonts w:hint="eastAsia" w:ascii="微软雅黑" w:hAnsi="微软雅黑" w:eastAsia="微软雅黑" w:cs="微软雅黑"/>
                <w:color w:val="auto"/>
                <w:szCs w:val="21"/>
                <w:highlight w:val="none"/>
              </w:rPr>
              <w:t>需求中带“▲”的</w:t>
            </w:r>
            <w:r>
              <w:rPr>
                <w:rFonts w:hint="eastAsia" w:ascii="微软雅黑" w:hAnsi="微软雅黑" w:eastAsia="微软雅黑" w:cs="微软雅黑"/>
                <w:color w:val="auto"/>
                <w:szCs w:val="21"/>
                <w:highlight w:val="none"/>
                <w:lang w:val="en-US" w:eastAsia="zh-CN"/>
              </w:rPr>
              <w:t>关键</w:t>
            </w:r>
            <w:r>
              <w:rPr>
                <w:rFonts w:hint="eastAsia" w:ascii="微软雅黑" w:hAnsi="微软雅黑" w:eastAsia="微软雅黑" w:cs="微软雅黑"/>
                <w:color w:val="auto"/>
                <w:szCs w:val="21"/>
                <w:highlight w:val="none"/>
              </w:rPr>
              <w:t>技术参数</w:t>
            </w:r>
            <w:r>
              <w:rPr>
                <w:rFonts w:hint="eastAsia" w:ascii="微软雅黑" w:hAnsi="微软雅黑" w:eastAsia="微软雅黑" w:cs="微软雅黑"/>
                <w:color w:val="auto"/>
                <w:szCs w:val="21"/>
                <w:highlight w:val="none"/>
                <w:lang w:val="en-US" w:eastAsia="zh-CN"/>
              </w:rPr>
              <w:t>每有</w:t>
            </w:r>
            <w:r>
              <w:rPr>
                <w:rFonts w:hint="default" w:ascii="微软雅黑" w:hAnsi="微软雅黑" w:eastAsia="微软雅黑" w:cs="微软雅黑"/>
                <w:color w:val="auto"/>
                <w:szCs w:val="21"/>
                <w:highlight w:val="none"/>
                <w:lang w:val="en-US"/>
              </w:rPr>
              <w:t>优于招标文件要求（</w:t>
            </w:r>
            <w:r>
              <w:rPr>
                <w:rFonts w:hint="eastAsia" w:ascii="微软雅黑" w:hAnsi="微软雅黑" w:eastAsia="微软雅黑" w:cs="微软雅黑"/>
                <w:color w:val="auto"/>
                <w:szCs w:val="21"/>
                <w:highlight w:val="none"/>
                <w:lang w:val="en-US" w:eastAsia="zh-CN"/>
              </w:rPr>
              <w:t>正偏离</w:t>
            </w:r>
            <w:r>
              <w:rPr>
                <w:rFonts w:hint="default" w:ascii="微软雅黑" w:hAnsi="微软雅黑" w:eastAsia="微软雅黑" w:cs="微软雅黑"/>
                <w:color w:val="auto"/>
                <w:szCs w:val="21"/>
                <w:highlight w:val="none"/>
                <w:lang w:val="en-US"/>
              </w:rPr>
              <w:t>）</w:t>
            </w:r>
            <w:r>
              <w:rPr>
                <w:rFonts w:hint="eastAsia" w:ascii="微软雅黑" w:hAnsi="微软雅黑" w:eastAsia="微软雅黑" w:cs="微软雅黑"/>
                <w:color w:val="auto"/>
                <w:szCs w:val="21"/>
                <w:highlight w:val="none"/>
                <w:lang w:val="en-US" w:eastAsia="zh-CN"/>
              </w:rPr>
              <w:t>1项</w:t>
            </w:r>
            <w:r>
              <w:rPr>
                <w:rFonts w:hint="eastAsia" w:ascii="微软雅黑" w:hAnsi="微软雅黑" w:eastAsia="微软雅黑" w:cs="微软雅黑"/>
                <w:color w:val="auto"/>
                <w:szCs w:val="21"/>
                <w:highlight w:val="none"/>
              </w:rPr>
              <w:t>且在投标文件中提供相关证明材料</w:t>
            </w:r>
            <w:r>
              <w:rPr>
                <w:rFonts w:hint="eastAsia" w:ascii="微软雅黑" w:hAnsi="微软雅黑" w:eastAsia="微软雅黑" w:cs="微软雅黑"/>
                <w:color w:val="auto"/>
                <w:szCs w:val="21"/>
                <w:highlight w:val="none"/>
                <w:lang w:eastAsia="zh-CN"/>
              </w:rPr>
              <w:t>（符合参数的功能界面截图等有效的佐证材料</w:t>
            </w:r>
            <w:r>
              <w:rPr>
                <w:rFonts w:hint="eastAsia" w:ascii="微软雅黑" w:hAnsi="微软雅黑" w:eastAsia="微软雅黑" w:cs="微软雅黑"/>
                <w:color w:val="auto"/>
                <w:szCs w:val="21"/>
                <w:highlight w:val="none"/>
                <w:lang w:val="en-US" w:eastAsia="zh-CN"/>
              </w:rPr>
              <w:t>并加盖单位公章</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的得</w:t>
            </w:r>
            <w:r>
              <w:rPr>
                <w:rFonts w:hint="eastAsia" w:ascii="微软雅黑" w:hAnsi="微软雅黑" w:eastAsia="微软雅黑" w:cs="微软雅黑"/>
                <w:color w:val="auto"/>
                <w:szCs w:val="21"/>
                <w:highlight w:val="none"/>
                <w:lang w:val="en-US" w:eastAsia="zh-CN"/>
              </w:rPr>
              <w:t>0.3</w:t>
            </w:r>
            <w:r>
              <w:rPr>
                <w:rFonts w:hint="eastAsia" w:ascii="微软雅黑" w:hAnsi="微软雅黑" w:eastAsia="微软雅黑" w:cs="微软雅黑"/>
                <w:color w:val="auto"/>
                <w:szCs w:val="21"/>
                <w:highlight w:val="none"/>
              </w:rPr>
              <w:t>分</w:t>
            </w:r>
            <w:r>
              <w:rPr>
                <w:rFonts w:hint="eastAsia" w:ascii="微软雅黑" w:hAnsi="微软雅黑" w:eastAsia="微软雅黑" w:cs="微软雅黑"/>
                <w:color w:val="auto"/>
                <w:szCs w:val="21"/>
                <w:highlight w:val="none"/>
                <w:lang w:eastAsia="zh-CN"/>
              </w:rPr>
              <w:t>，提供证明材料</w:t>
            </w:r>
            <w:r>
              <w:rPr>
                <w:rFonts w:hint="eastAsia" w:ascii="微软雅黑" w:hAnsi="微软雅黑" w:eastAsia="微软雅黑" w:cs="微软雅黑"/>
                <w:color w:val="auto"/>
                <w:szCs w:val="21"/>
                <w:highlight w:val="none"/>
                <w:lang w:val="en-US" w:eastAsia="zh-CN"/>
              </w:rPr>
              <w:t>无法佐证或证明材料不符合要求或不提供的不得分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本项</w:t>
            </w:r>
            <w:r>
              <w:rPr>
                <w:rFonts w:hint="eastAsia" w:ascii="微软雅黑" w:hAnsi="微软雅黑" w:eastAsia="微软雅黑" w:cs="微软雅黑"/>
                <w:color w:val="auto"/>
                <w:szCs w:val="21"/>
                <w:highlight w:val="none"/>
              </w:rPr>
              <w:t>满分</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分</w:t>
            </w:r>
            <w:r>
              <w:rPr>
                <w:rFonts w:hint="eastAsia" w:ascii="微软雅黑" w:hAnsi="微软雅黑" w:eastAsia="微软雅黑" w:cs="微软雅黑"/>
                <w:color w:val="auto"/>
                <w:szCs w:val="21"/>
                <w:highlight w:val="none"/>
                <w:lang w:eastAsia="zh-CN"/>
              </w:rPr>
              <w:t>。</w:t>
            </w:r>
          </w:p>
        </w:tc>
      </w:tr>
      <w:tr w14:paraId="4029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2C0BF88A">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3E721D21">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0AACED6E">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功能演示分（满分26分）</w:t>
            </w:r>
          </w:p>
        </w:tc>
        <w:tc>
          <w:tcPr>
            <w:tcW w:w="6051" w:type="dxa"/>
            <w:vAlign w:val="center"/>
          </w:tcPr>
          <w:p w14:paraId="3D59B5BA">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每个系统演示时间10分钟，答辩时间5分钟，演示及答辩的内容如下：</w:t>
            </w:r>
          </w:p>
          <w:p w14:paraId="662733B9">
            <w:pPr>
              <w:snapToGrid w:val="0"/>
              <w:jc w:val="left"/>
              <w:rPr>
                <w:rFonts w:hint="default"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一、警用地理信息平台:</w:t>
            </w:r>
          </w:p>
          <w:p w14:paraId="35882842">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1、警务地理信息平台演示：</w:t>
            </w:r>
          </w:p>
          <w:p w14:paraId="746A79D1">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（1）矢量地图配图服务：投标人准备广西壮族自治区矢量地图数据和路况数据，演示同套数据支持不同风格地图切换（样式大于5种）功能，修改样式时地图渲染同步改变。</w:t>
            </w:r>
          </w:p>
          <w:p w14:paraId="354FDB9E">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（2）三维地图数据渲染服务：投标人自行准备数据，演示倾斜摄影、高精度道路、精细化模型在同一浏览器、页面下与二维地图无缝叠加、切换，实现二三维一体化多图合一。</w:t>
            </w:r>
          </w:p>
          <w:p w14:paraId="60872BB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（3）授权监控服务：演示硬件、服务监控和拨测功能；演示数据、地图授权管理功能</w:t>
            </w:r>
          </w:p>
          <w:p w14:paraId="1D247F5A">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2、地址服务演示：</w:t>
            </w:r>
          </w:p>
          <w:p w14:paraId="50728215">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（4）数据接入服务：针对多源地址数据，演示数据库对接和离线文件对接两种方式接入。</w:t>
            </w:r>
          </w:p>
          <w:p w14:paraId="4378D763">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（5）数据治理服务：投标人自行准备数据，演示治理任务查看、治理结果查看、回溯、统计下载。</w:t>
            </w:r>
          </w:p>
          <w:p w14:paraId="5904B030">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（6）地址引用匹配服务：投标人自行准备数据，演示正向、逆向地址匹配功能。实现地址数据的空间化，支持批量地址匹配。</w:t>
            </w:r>
          </w:p>
          <w:p w14:paraId="5B40E1A6">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（7）地址校验服务：演示地址比对判重、标准地址空间信息校验。</w:t>
            </w:r>
          </w:p>
          <w:p w14:paraId="6C11AC8F">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（8）地址搜索服务：演示地址关键字查询、周边查询、方位查询、五级行政区划查询。</w:t>
            </w:r>
          </w:p>
          <w:p w14:paraId="65876B35">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（9）地址质检服务：投标人自行准备数据，演示质检任务以及质检后问题数据的查询、筛选，下载和结果统计。</w:t>
            </w:r>
          </w:p>
          <w:p w14:paraId="50E3A21E">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3、关键服务功能演示：</w:t>
            </w:r>
          </w:p>
          <w:p w14:paraId="02205534">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（10）封控圈计算服务：投标人自行准备数据，演示自定义时间车辆可达范围计算。</w:t>
            </w:r>
          </w:p>
          <w:p w14:paraId="2C7B1B3B">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（11）资源中心服务：投标人自行准备数据，演示地理数据和公安行业数据管理。</w:t>
            </w:r>
          </w:p>
          <w:p w14:paraId="5FC00ABD">
            <w:pPr>
              <w:snapToGrid w:val="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二、信息共享与业务协同平台：</w:t>
            </w:r>
          </w:p>
          <w:p w14:paraId="14EA5F86">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1、演示服务资源管理功能：</w:t>
            </w:r>
          </w:p>
          <w:p w14:paraId="2030C0CB">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（1）要求以广西区厅执法办案系统为例，通过开发商注册，服务资源注册、服务资源发布、服务资源申请，查看服务详细规范情况，为不同部门提供服务。</w:t>
            </w:r>
          </w:p>
          <w:p w14:paraId="6E6B9684">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2、演示服务质量评估报告功能：</w:t>
            </w:r>
          </w:p>
          <w:p w14:paraId="0BF64A74">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（2）要求从服务次数、服务流量和服务告警的维度进行服务质量评估定义，系统可根据评估定义，按模板、按时间周期生成服务质量评估报告。</w:t>
            </w:r>
          </w:p>
          <w:p w14:paraId="4E70EEB8">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3、演示服务资源统计分析功能：</w:t>
            </w:r>
          </w:p>
          <w:p w14:paraId="6A6CB063">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（3）要求服务资源统计可按类型、状态、申请数；服务请求日志统计可按请求量、数据流量进行统计，资源请求和访问统计可按开发商、接入系统、服务等维度进行统计。</w:t>
            </w:r>
          </w:p>
          <w:p w14:paraId="0A208DD7">
            <w:pPr>
              <w:snapToGrid w:val="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三、大数据实战平台：</w:t>
            </w:r>
          </w:p>
          <w:p w14:paraId="6A9C6922">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1、大数据实战平台:</w:t>
            </w:r>
          </w:p>
          <w:p w14:paraId="46E0774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演示关注人员掌控融合升级功能，演示内容包括敏感区域规则设置分析、出界入界规则设置分析、聚集预警规则设置分析、触网预警规则设置分析、关注群体规则设置分析功能，演示功能需要体现图数数据的融合应用。</w:t>
            </w:r>
          </w:p>
          <w:p w14:paraId="06037E45">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（2）演示多维实战融合应用功能，演示内容包括单维查询、融合时空信息、时空信息比对、区域碰撞、区域驻留功能，演示功能需要体现图数数据的融合应用。</w:t>
            </w:r>
          </w:p>
          <w:p w14:paraId="38F1512E">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2、数图融合：</w:t>
            </w:r>
          </w:p>
          <w:p w14:paraId="06F83DFB">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全息档案融合升级演示，抽取一个全息档案打开详情查看，（1）档案静态内容应包括：人员登记信息、车辆登记信息、关系图谱等。（2）档案动态内容应包括：电磁特征关联推荐列表、置信度及关联起止时间、车牌关联推荐列表、置信度及关联起止时间、数图最后位置信息、落脚点分析。</w:t>
            </w:r>
          </w:p>
          <w:p w14:paraId="087A00F5">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（4）管控预警模型演示，</w:t>
            </w:r>
            <w:r>
              <w:rPr>
                <w:rFonts w:hint="default" w:ascii="Calibri" w:hAnsi="Calibri" w:eastAsia="微软雅黑" w:cs="Calibri"/>
                <w:color w:val="auto"/>
                <w:szCs w:val="21"/>
                <w:highlight w:val="none"/>
                <w:lang w:val="en-US" w:eastAsia="zh-CN"/>
              </w:rPr>
              <w:t>①</w:t>
            </w:r>
            <w:r>
              <w:rPr>
                <w:rFonts w:hint="eastAsia" w:ascii="微软雅黑" w:hAnsi="微软雅黑" w:eastAsia="微软雅黑" w:cs="微软雅黑"/>
                <w:color w:val="auto"/>
                <w:szCs w:val="21"/>
                <w:highlight w:val="none"/>
                <w:lang w:val="en-US" w:eastAsia="zh-CN"/>
              </w:rPr>
              <w:t>关注人员管控预警模型类型应包括出现（触网）、聚集、伴随、出入圈层等。</w:t>
            </w:r>
            <w:r>
              <w:rPr>
                <w:rFonts w:hint="default" w:ascii="Calibri" w:hAnsi="Calibri" w:eastAsia="微软雅黑" w:cs="Calibri"/>
                <w:color w:val="auto"/>
                <w:szCs w:val="21"/>
                <w:highlight w:val="none"/>
                <w:lang w:val="en-US" w:eastAsia="zh-CN"/>
              </w:rPr>
              <w:t>②</w:t>
            </w:r>
            <w:r>
              <w:rPr>
                <w:rFonts w:hint="eastAsia" w:ascii="微软雅黑" w:hAnsi="微软雅黑" w:eastAsia="微软雅黑" w:cs="微软雅黑"/>
                <w:color w:val="auto"/>
                <w:szCs w:val="21"/>
                <w:highlight w:val="none"/>
                <w:lang w:val="en-US" w:eastAsia="zh-CN"/>
              </w:rPr>
              <w:t>出现（触网）、聚集、伴随、出入圈层等预警模型创建设置应支持时段设置、区域设置、名单设置、归属地设置、阈值设置、预警接收人等参数设置。</w:t>
            </w:r>
            <w:r>
              <w:rPr>
                <w:rFonts w:hint="default" w:ascii="Calibri" w:hAnsi="Calibri" w:eastAsia="微软雅黑" w:cs="Calibri"/>
                <w:color w:val="auto"/>
                <w:szCs w:val="21"/>
                <w:highlight w:val="none"/>
                <w:lang w:val="en-US" w:eastAsia="zh-CN"/>
              </w:rPr>
              <w:t>③</w:t>
            </w:r>
            <w:r>
              <w:rPr>
                <w:rFonts w:hint="eastAsia" w:ascii="微软雅黑" w:hAnsi="微软雅黑" w:eastAsia="微软雅黑" w:cs="微软雅黑"/>
                <w:color w:val="auto"/>
                <w:szCs w:val="21"/>
                <w:highlight w:val="none"/>
                <w:lang w:val="en-US" w:eastAsia="zh-CN"/>
              </w:rPr>
              <w:t>历史预警以列表展示，内容包括人员的基本信息、预警时间、预警地点。各个模型预警信息展示总计数量和处理数量。预警记录支持详情查看，支持预警单条、多条批量处置。</w:t>
            </w:r>
          </w:p>
          <w:p w14:paraId="76A013C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（5）时空围栏融合升级演示，</w:t>
            </w:r>
            <w:r>
              <w:rPr>
                <w:rFonts w:hint="default" w:ascii="Calibri" w:hAnsi="Calibri" w:eastAsia="微软雅黑" w:cs="Calibri"/>
                <w:color w:val="auto"/>
                <w:szCs w:val="21"/>
                <w:highlight w:val="none"/>
                <w:lang w:val="en-US" w:eastAsia="zh-CN"/>
              </w:rPr>
              <w:t>①</w:t>
            </w:r>
            <w:r>
              <w:rPr>
                <w:rFonts w:hint="eastAsia" w:ascii="微软雅黑" w:hAnsi="微软雅黑" w:eastAsia="微软雅黑" w:cs="微软雅黑"/>
                <w:color w:val="auto"/>
                <w:szCs w:val="21"/>
                <w:highlight w:val="none"/>
                <w:lang w:val="en-US" w:eastAsia="zh-CN"/>
              </w:rPr>
              <w:t>新建圈层操作，包括在地图圈层划定、圈层通道设置、圈层分类命名等。</w:t>
            </w:r>
            <w:r>
              <w:rPr>
                <w:rFonts w:hint="default" w:ascii="Calibri" w:hAnsi="Calibri" w:eastAsia="微软雅黑" w:cs="Calibri"/>
                <w:color w:val="auto"/>
                <w:szCs w:val="21"/>
                <w:highlight w:val="none"/>
                <w:lang w:val="en-US" w:eastAsia="zh-CN"/>
              </w:rPr>
              <w:t>②</w:t>
            </w:r>
            <w:r>
              <w:rPr>
                <w:rFonts w:hint="eastAsia" w:ascii="微软雅黑" w:hAnsi="微软雅黑" w:eastAsia="微软雅黑" w:cs="微软雅黑"/>
                <w:color w:val="auto"/>
                <w:szCs w:val="21"/>
                <w:highlight w:val="none"/>
                <w:lang w:val="en-US" w:eastAsia="zh-CN"/>
              </w:rPr>
              <w:t>所有圈层以列表形式展示，支持进入具体圈层展示出入圈层人员记录，记录支持身份信息、电磁信息等具体要素过滤搜索，支持过滤关注人员展示。</w:t>
            </w:r>
          </w:p>
          <w:p w14:paraId="224637E0">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（6）多维技战法演示，</w:t>
            </w:r>
            <w:r>
              <w:rPr>
                <w:rFonts w:hint="default" w:ascii="Calibri" w:hAnsi="Calibri" w:eastAsia="微软雅黑" w:cs="Calibri"/>
                <w:color w:val="auto"/>
                <w:szCs w:val="21"/>
                <w:highlight w:val="none"/>
                <w:lang w:val="en-US" w:eastAsia="zh-CN"/>
              </w:rPr>
              <w:t>①</w:t>
            </w:r>
            <w:r>
              <w:rPr>
                <w:rFonts w:hint="eastAsia" w:ascii="微软雅黑" w:hAnsi="微软雅黑" w:eastAsia="微软雅黑" w:cs="微软雅黑"/>
                <w:color w:val="auto"/>
                <w:szCs w:val="21"/>
                <w:highlight w:val="none"/>
                <w:lang w:val="en-US" w:eastAsia="zh-CN"/>
              </w:rPr>
              <w:t>支持多维分析（以车找码、以码找车、以码找码）、时空信息反查、多维时空信息比对、多维时空信息融合、码信号驻留分析等功能。</w:t>
            </w:r>
            <w:r>
              <w:rPr>
                <w:rFonts w:hint="default" w:ascii="Calibri" w:hAnsi="Calibri" w:eastAsia="微软雅黑" w:cs="Calibri"/>
                <w:color w:val="auto"/>
                <w:szCs w:val="21"/>
                <w:highlight w:val="none"/>
                <w:lang w:val="en-US" w:eastAsia="zh-CN"/>
              </w:rPr>
              <w:t>②</w:t>
            </w:r>
            <w:r>
              <w:rPr>
                <w:rFonts w:hint="eastAsia" w:ascii="微软雅黑" w:hAnsi="微软雅黑" w:eastAsia="微软雅黑" w:cs="微软雅黑"/>
                <w:color w:val="auto"/>
                <w:szCs w:val="21"/>
                <w:highlight w:val="none"/>
                <w:lang w:val="en-US" w:eastAsia="zh-CN"/>
              </w:rPr>
              <w:t>支持车牌、电磁特征码等多维数据多条时空信息同时查询上图展示，并支持过滤同点碰撞时空信息。</w:t>
            </w:r>
            <w:r>
              <w:rPr>
                <w:rFonts w:hint="default" w:ascii="Calibri" w:hAnsi="Calibri" w:eastAsia="微软雅黑" w:cs="Calibri"/>
                <w:color w:val="auto"/>
                <w:szCs w:val="21"/>
                <w:highlight w:val="none"/>
                <w:lang w:val="en-US" w:eastAsia="zh-CN"/>
              </w:rPr>
              <w:t>③</w:t>
            </w:r>
            <w:r>
              <w:rPr>
                <w:rFonts w:hint="eastAsia" w:ascii="微软雅黑" w:hAnsi="微软雅黑" w:eastAsia="微软雅黑" w:cs="微软雅黑"/>
                <w:color w:val="auto"/>
                <w:szCs w:val="21"/>
                <w:highlight w:val="none"/>
                <w:lang w:val="en-US" w:eastAsia="zh-CN"/>
              </w:rPr>
              <w:t>支持从系统重选定的数据源作为多个集合，然后对集合进行交集、并集、差集等公式运算。</w:t>
            </w:r>
          </w:p>
          <w:p w14:paraId="6559E4C4">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3、图上作战:</w:t>
            </w:r>
          </w:p>
          <w:p w14:paraId="7A33D5EA">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7）演示图上作战巡防沙盘功能，能够在图上绘制巡区，设置巡区所属单位，设置巡区的必巡点，设置必巡点的时间间隔，设置必巡点关联巡逻警组，设置必巡点签到时间与结束时间，设置完毕后保存切换至勤务云图展示所设置内容；</w:t>
            </w:r>
          </w:p>
          <w:p w14:paraId="46C979D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（8）演示图上作战勤务云图功能，能够在勤务云图展示勤务方案，展示各单位的责任区，展示方案中的巡区，展示视频监控分布位置，展示实时移动设备位置，展示实时警力位置；</w:t>
            </w:r>
          </w:p>
          <w:p w14:paraId="7F6D8314">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（9）演示图上作战视频调度功能，能够在图上作战调取执法记录仪实时画面（系统时间需与记录仪画面相差小于1分钟），能够调取视频监控实时画面（系统时间需与监控画面相差小于1分钟）；</w:t>
            </w:r>
          </w:p>
          <w:p w14:paraId="0FF3AF45">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（10）演示图上作战组会功能，能够在图上作战进行移动通信设备双向语音通话，能够通过地图选点对周边移动通信设备进行组会双向语音通话；</w:t>
            </w:r>
          </w:p>
          <w:p w14:paraId="4D64A9C9">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（11）提供警情周边一定范围的视频前端的结构化解析能力调度，解析出画面中的人、车对象；</w:t>
            </w:r>
          </w:p>
          <w:p w14:paraId="51C56039">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（12）能够实时对接不少于15万路智能感知前端抓拍数据的实时接入，确保系统的并发吞吐能力。</w:t>
            </w:r>
          </w:p>
          <w:p w14:paraId="7E1F1F10">
            <w:pPr>
              <w:snapToGrid w:val="0"/>
              <w:jc w:val="left"/>
              <w:rPr>
                <w:rFonts w:hint="eastAsia" w:ascii="微软雅黑" w:hAnsi="微软雅黑" w:eastAsia="微软雅黑" w:cs="微软雅黑"/>
                <w:b/>
                <w:bCs/>
                <w:color w:val="auto"/>
                <w:szCs w:val="21"/>
                <w:highlight w:val="none"/>
                <w:lang w:val="en-US" w:eastAsia="zh-CN"/>
              </w:rPr>
            </w:pPr>
          </w:p>
          <w:p w14:paraId="52BA1008">
            <w:pPr>
              <w:snapToGrid w:val="0"/>
              <w:ind w:firstLine="0" w:firstLineChars="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评分办法（满分26分）：</w:t>
            </w:r>
          </w:p>
          <w:p w14:paraId="259ECCA0">
            <w:pPr>
              <w:snapToGrid w:val="0"/>
              <w:ind w:firstLine="0" w:firstLineChars="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1.</w:t>
            </w:r>
            <w:r>
              <w:rPr>
                <w:rFonts w:hint="default" w:ascii="微软雅黑" w:hAnsi="微软雅黑" w:eastAsia="微软雅黑" w:cs="微软雅黑"/>
                <w:b/>
                <w:bCs/>
                <w:color w:val="auto"/>
                <w:szCs w:val="21"/>
                <w:highlight w:val="none"/>
                <w:lang w:val="en-US" w:eastAsia="zh-CN"/>
              </w:rPr>
              <w:t>总计</w:t>
            </w:r>
            <w:r>
              <w:rPr>
                <w:rFonts w:hint="eastAsia" w:ascii="微软雅黑" w:hAnsi="微软雅黑" w:eastAsia="微软雅黑" w:cs="微软雅黑"/>
                <w:b/>
                <w:bCs/>
                <w:color w:val="auto"/>
                <w:szCs w:val="21"/>
                <w:highlight w:val="none"/>
                <w:lang w:val="en-US" w:eastAsia="zh-CN"/>
              </w:rPr>
              <w:t>3个系统26个功能模块，由投标人进行在线演示，评标委员会根据演示情况进行评审。</w:t>
            </w:r>
          </w:p>
          <w:p w14:paraId="0C35B5F5">
            <w:pPr>
              <w:snapToGrid w:val="0"/>
              <w:ind w:firstLine="0" w:firstLineChars="0"/>
              <w:jc w:val="left"/>
              <w:rPr>
                <w:rFonts w:hint="default"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（1）使用</w:t>
            </w:r>
            <w:r>
              <w:rPr>
                <w:rFonts w:hint="eastAsia" w:ascii="微软雅黑" w:hAnsi="微软雅黑" w:eastAsia="微软雅黑" w:cs="微软雅黑"/>
                <w:b/>
                <w:bCs/>
                <w:color w:val="auto"/>
                <w:szCs w:val="21"/>
                <w:highlight w:val="none"/>
                <w:lang w:val="en-US" w:eastAsia="zh-CN"/>
              </w:rPr>
              <w:t>系统部署</w:t>
            </w:r>
            <w:r>
              <w:rPr>
                <w:rFonts w:hint="eastAsia" w:ascii="微软雅黑" w:hAnsi="微软雅黑" w:eastAsia="微软雅黑" w:cs="微软雅黑"/>
                <w:b/>
                <w:bCs/>
                <w:color w:val="auto"/>
                <w:szCs w:val="21"/>
                <w:highlight w:val="none"/>
                <w:lang w:val="en-US" w:eastAsia="zh-CN"/>
              </w:rPr>
              <w:t>演示功能且清晰具体的，完全满足演示要求的，每个功能模块得1分；演示功能基本完整、能清晰展示大部分功能，基本满足演示要求的，</w:t>
            </w:r>
            <w:r>
              <w:rPr>
                <w:rFonts w:hint="default" w:ascii="微软雅黑" w:hAnsi="微软雅黑" w:eastAsia="微软雅黑" w:cs="微软雅黑"/>
                <w:b/>
                <w:bCs/>
                <w:color w:val="auto"/>
                <w:szCs w:val="21"/>
                <w:highlight w:val="none"/>
                <w:lang w:val="en-US" w:eastAsia="zh-CN"/>
              </w:rPr>
              <w:t>得</w:t>
            </w:r>
            <w:r>
              <w:rPr>
                <w:rFonts w:hint="eastAsia" w:ascii="微软雅黑" w:hAnsi="微软雅黑" w:eastAsia="微软雅黑" w:cs="微软雅黑"/>
                <w:b/>
                <w:bCs/>
                <w:color w:val="auto"/>
                <w:szCs w:val="21"/>
                <w:highlight w:val="none"/>
                <w:lang w:val="en-US" w:eastAsia="zh-CN"/>
              </w:rPr>
              <w:t>0.8</w:t>
            </w:r>
            <w:r>
              <w:rPr>
                <w:rFonts w:hint="default" w:ascii="微软雅黑" w:hAnsi="微软雅黑" w:eastAsia="微软雅黑" w:cs="微软雅黑"/>
                <w:b/>
                <w:bCs/>
                <w:color w:val="auto"/>
                <w:szCs w:val="21"/>
                <w:highlight w:val="none"/>
                <w:lang w:val="en-US" w:eastAsia="zh-CN"/>
              </w:rPr>
              <w:t>分</w:t>
            </w:r>
            <w:r>
              <w:rPr>
                <w:rFonts w:hint="eastAsia" w:ascii="微软雅黑" w:hAnsi="微软雅黑" w:eastAsia="微软雅黑" w:cs="微软雅黑"/>
                <w:b/>
                <w:bCs/>
                <w:color w:val="auto"/>
                <w:szCs w:val="21"/>
                <w:highlight w:val="none"/>
                <w:lang w:val="en-US" w:eastAsia="zh-CN"/>
              </w:rPr>
              <w:t>；</w:t>
            </w:r>
            <w:r>
              <w:rPr>
                <w:rFonts w:hint="default" w:ascii="微软雅黑" w:hAnsi="微软雅黑" w:eastAsia="微软雅黑" w:cs="微软雅黑"/>
                <w:b/>
                <w:bCs/>
                <w:color w:val="auto"/>
                <w:szCs w:val="21"/>
                <w:highlight w:val="none"/>
                <w:lang w:val="en-US" w:eastAsia="zh-CN"/>
              </w:rPr>
              <w:t>不满足</w:t>
            </w:r>
            <w:r>
              <w:rPr>
                <w:rFonts w:hint="eastAsia" w:ascii="微软雅黑" w:hAnsi="微软雅黑" w:eastAsia="微软雅黑" w:cs="微软雅黑"/>
                <w:b/>
                <w:bCs/>
                <w:color w:val="auto"/>
                <w:szCs w:val="21"/>
                <w:highlight w:val="none"/>
                <w:lang w:val="en-US" w:eastAsia="zh-CN"/>
              </w:rPr>
              <w:t>演示要求的，</w:t>
            </w:r>
            <w:r>
              <w:rPr>
                <w:rFonts w:hint="default" w:ascii="微软雅黑" w:hAnsi="微软雅黑" w:eastAsia="微软雅黑" w:cs="微软雅黑"/>
                <w:b/>
                <w:bCs/>
                <w:color w:val="auto"/>
                <w:szCs w:val="21"/>
                <w:highlight w:val="none"/>
                <w:lang w:val="en-US" w:eastAsia="zh-CN"/>
              </w:rPr>
              <w:t>得0分；</w:t>
            </w:r>
          </w:p>
          <w:p w14:paraId="2E838490">
            <w:pPr>
              <w:snapToGrid w:val="0"/>
              <w:ind w:firstLine="0" w:firstLineChars="0"/>
              <w:jc w:val="left"/>
              <w:rPr>
                <w:rFonts w:hint="default"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（2）使用设计原型演示功能且清晰具体的，完全满足演示要求的，每个功能模块得0.8分；演示功能基本完整、能清晰展示大部分功能，基本满足演示要求的，</w:t>
            </w:r>
            <w:r>
              <w:rPr>
                <w:rFonts w:hint="default" w:ascii="微软雅黑" w:hAnsi="微软雅黑" w:eastAsia="微软雅黑" w:cs="微软雅黑"/>
                <w:b/>
                <w:bCs/>
                <w:color w:val="auto"/>
                <w:szCs w:val="21"/>
                <w:highlight w:val="none"/>
                <w:lang w:val="en-US" w:eastAsia="zh-CN"/>
              </w:rPr>
              <w:t>得</w:t>
            </w:r>
            <w:r>
              <w:rPr>
                <w:rFonts w:hint="eastAsia" w:ascii="微软雅黑" w:hAnsi="微软雅黑" w:eastAsia="微软雅黑" w:cs="微软雅黑"/>
                <w:b/>
                <w:bCs/>
                <w:color w:val="auto"/>
                <w:szCs w:val="21"/>
                <w:highlight w:val="none"/>
                <w:lang w:val="en-US" w:eastAsia="zh-CN"/>
              </w:rPr>
              <w:t>0.6</w:t>
            </w:r>
            <w:r>
              <w:rPr>
                <w:rFonts w:hint="default" w:ascii="微软雅黑" w:hAnsi="微软雅黑" w:eastAsia="微软雅黑" w:cs="微软雅黑"/>
                <w:b/>
                <w:bCs/>
                <w:color w:val="auto"/>
                <w:szCs w:val="21"/>
                <w:highlight w:val="none"/>
                <w:lang w:val="en-US" w:eastAsia="zh-CN"/>
              </w:rPr>
              <w:t>分</w:t>
            </w:r>
            <w:r>
              <w:rPr>
                <w:rFonts w:hint="eastAsia" w:ascii="微软雅黑" w:hAnsi="微软雅黑" w:eastAsia="微软雅黑" w:cs="微软雅黑"/>
                <w:b/>
                <w:bCs/>
                <w:color w:val="auto"/>
                <w:szCs w:val="21"/>
                <w:highlight w:val="none"/>
                <w:lang w:val="en-US" w:eastAsia="zh-CN"/>
              </w:rPr>
              <w:t>；</w:t>
            </w:r>
            <w:r>
              <w:rPr>
                <w:rFonts w:hint="default" w:ascii="微软雅黑" w:hAnsi="微软雅黑" w:eastAsia="微软雅黑" w:cs="微软雅黑"/>
                <w:b/>
                <w:bCs/>
                <w:color w:val="auto"/>
                <w:szCs w:val="21"/>
                <w:highlight w:val="none"/>
                <w:lang w:val="en-US" w:eastAsia="zh-CN"/>
              </w:rPr>
              <w:t>不满足</w:t>
            </w:r>
            <w:r>
              <w:rPr>
                <w:rFonts w:hint="eastAsia" w:ascii="微软雅黑" w:hAnsi="微软雅黑" w:eastAsia="微软雅黑" w:cs="微软雅黑"/>
                <w:b/>
                <w:bCs/>
                <w:color w:val="auto"/>
                <w:szCs w:val="21"/>
                <w:highlight w:val="none"/>
                <w:lang w:val="en-US" w:eastAsia="zh-CN"/>
              </w:rPr>
              <w:t>演示要求的，</w:t>
            </w:r>
            <w:r>
              <w:rPr>
                <w:rFonts w:hint="default" w:ascii="微软雅黑" w:hAnsi="微软雅黑" w:eastAsia="微软雅黑" w:cs="微软雅黑"/>
                <w:b/>
                <w:bCs/>
                <w:color w:val="auto"/>
                <w:szCs w:val="21"/>
                <w:highlight w:val="none"/>
                <w:lang w:val="en-US" w:eastAsia="zh-CN"/>
              </w:rPr>
              <w:t>得0分；</w:t>
            </w:r>
          </w:p>
          <w:p w14:paraId="5981A705">
            <w:pPr>
              <w:snapToGrid w:val="0"/>
              <w:ind w:firstLine="0" w:firstLineChars="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（3）使用PPT演示功能且清晰具体的，完全满足演示要求的每个功能模块，得0.6分；演示功能基本完整、能清晰展示大部分功能，基本满足演示要求的，</w:t>
            </w:r>
            <w:r>
              <w:rPr>
                <w:rFonts w:hint="default" w:ascii="微软雅黑" w:hAnsi="微软雅黑" w:eastAsia="微软雅黑" w:cs="微软雅黑"/>
                <w:b/>
                <w:bCs/>
                <w:color w:val="auto"/>
                <w:szCs w:val="21"/>
                <w:highlight w:val="none"/>
                <w:lang w:val="en-US" w:eastAsia="zh-CN"/>
              </w:rPr>
              <w:t>得</w:t>
            </w:r>
            <w:r>
              <w:rPr>
                <w:rFonts w:hint="eastAsia" w:ascii="微软雅黑" w:hAnsi="微软雅黑" w:eastAsia="微软雅黑" w:cs="微软雅黑"/>
                <w:b/>
                <w:bCs/>
                <w:color w:val="auto"/>
                <w:szCs w:val="21"/>
                <w:highlight w:val="none"/>
                <w:lang w:val="en-US" w:eastAsia="zh-CN"/>
              </w:rPr>
              <w:t>0.4</w:t>
            </w:r>
            <w:r>
              <w:rPr>
                <w:rFonts w:hint="default" w:ascii="微软雅黑" w:hAnsi="微软雅黑" w:eastAsia="微软雅黑" w:cs="微软雅黑"/>
                <w:b/>
                <w:bCs/>
                <w:color w:val="auto"/>
                <w:szCs w:val="21"/>
                <w:highlight w:val="none"/>
                <w:lang w:val="en-US" w:eastAsia="zh-CN"/>
              </w:rPr>
              <w:t>分</w:t>
            </w:r>
            <w:r>
              <w:rPr>
                <w:rFonts w:hint="eastAsia" w:ascii="微软雅黑" w:hAnsi="微软雅黑" w:eastAsia="微软雅黑" w:cs="微软雅黑"/>
                <w:b/>
                <w:bCs/>
                <w:color w:val="auto"/>
                <w:szCs w:val="21"/>
                <w:highlight w:val="none"/>
                <w:lang w:val="en-US" w:eastAsia="zh-CN"/>
              </w:rPr>
              <w:t>；</w:t>
            </w:r>
            <w:r>
              <w:rPr>
                <w:rFonts w:hint="default" w:ascii="微软雅黑" w:hAnsi="微软雅黑" w:eastAsia="微软雅黑" w:cs="微软雅黑"/>
                <w:b/>
                <w:bCs/>
                <w:color w:val="auto"/>
                <w:szCs w:val="21"/>
                <w:highlight w:val="none"/>
                <w:lang w:val="en-US" w:eastAsia="zh-CN"/>
              </w:rPr>
              <w:t>不满足</w:t>
            </w:r>
            <w:r>
              <w:rPr>
                <w:rFonts w:hint="eastAsia" w:ascii="微软雅黑" w:hAnsi="微软雅黑" w:eastAsia="微软雅黑" w:cs="微软雅黑"/>
                <w:b/>
                <w:bCs/>
                <w:color w:val="auto"/>
                <w:szCs w:val="21"/>
                <w:highlight w:val="none"/>
                <w:lang w:val="en-US" w:eastAsia="zh-CN"/>
              </w:rPr>
              <w:t>演示要求的，</w:t>
            </w:r>
            <w:r>
              <w:rPr>
                <w:rFonts w:hint="default" w:ascii="微软雅黑" w:hAnsi="微软雅黑" w:eastAsia="微软雅黑" w:cs="微软雅黑"/>
                <w:b/>
                <w:bCs/>
                <w:color w:val="auto"/>
                <w:szCs w:val="21"/>
                <w:highlight w:val="none"/>
                <w:lang w:val="en-US" w:eastAsia="zh-CN"/>
              </w:rPr>
              <w:t>得0分</w:t>
            </w:r>
            <w:r>
              <w:rPr>
                <w:rFonts w:hint="eastAsia" w:ascii="微软雅黑" w:hAnsi="微软雅黑" w:eastAsia="微软雅黑" w:cs="微软雅黑"/>
                <w:b/>
                <w:bCs/>
                <w:color w:val="auto"/>
                <w:szCs w:val="21"/>
                <w:highlight w:val="none"/>
                <w:lang w:val="en-US" w:eastAsia="zh-CN"/>
              </w:rPr>
              <w:t>。</w:t>
            </w:r>
          </w:p>
        </w:tc>
      </w:tr>
      <w:tr w14:paraId="4CD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49A57328">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627B576B">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6FE46D77">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进度保证措施（满分5分）</w:t>
            </w:r>
          </w:p>
        </w:tc>
        <w:tc>
          <w:tcPr>
            <w:tcW w:w="6051" w:type="dxa"/>
            <w:vAlign w:val="center"/>
          </w:tcPr>
          <w:p w14:paraId="6AFEE917">
            <w:pPr>
              <w:snapToGrid w:val="0"/>
              <w:ind w:firstLine="0" w:firstLineChars="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一档（1分）：</w:t>
            </w:r>
            <w:r>
              <w:rPr>
                <w:rFonts w:hint="eastAsia" w:ascii="微软雅黑" w:hAnsi="微软雅黑" w:eastAsia="微软雅黑" w:cs="微软雅黑"/>
                <w:color w:val="auto"/>
                <w:szCs w:val="21"/>
                <w:highlight w:val="none"/>
                <w:lang w:val="en-US" w:eastAsia="zh-CN"/>
              </w:rPr>
              <w:t>提供了简单的项目计划与时间表，但缺少关键信息或内容逻辑不合理；提供了项目团队成员的角色、职责及工作量分配，但不够详细，缺乏物资清单及采购计划；识别了极少风险因素，缺乏预防和缓解措施；建立了内部沟通渠道，但沟通效果不佳，与采购人的工作沟通存在较大问题；使用的监控工具和方法缺乏有效的项目进度控制；</w:t>
            </w:r>
          </w:p>
          <w:p w14:paraId="2812F15E">
            <w:pPr>
              <w:snapToGrid w:val="0"/>
              <w:ind w:firstLine="0" w:firstLineChars="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二档（3分）：</w:t>
            </w:r>
            <w:r>
              <w:rPr>
                <w:rFonts w:hint="eastAsia" w:ascii="微软雅黑" w:hAnsi="微软雅黑" w:eastAsia="微软雅黑" w:cs="微软雅黑"/>
                <w:color w:val="auto"/>
                <w:szCs w:val="21"/>
                <w:highlight w:val="none"/>
                <w:lang w:val="en-US" w:eastAsia="zh-CN"/>
              </w:rPr>
              <w:t>提供了较完整的项目计划与时间表，但缺少部分关键细节，时间表相对合理，但缺乏具体的缓冲时间规划；提供了项目团队成员的角色、职责及工作量分配，但不够详细，列出了必需的物资清单，但缺乏详细的采购计划；识别了部分风险因素，但风险评估不够全面，制定了预防和缓解措施，但缺乏具体的备选方案和应急计划；建立了内部沟通渠道，但沟通频率和工具选择不够理想，与采购人的工作沟通存在一定的延迟或不及时；使用简单的监控工具和方法监控项目进度，但缺乏定期审核，制定了质量控制标准，但检验程序不够完善；</w:t>
            </w:r>
          </w:p>
          <w:p w14:paraId="3B014582">
            <w:pPr>
              <w:snapToGrid w:val="0"/>
              <w:ind w:firstLine="0" w:firstLineChars="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三档（5分）：</w:t>
            </w:r>
            <w:r>
              <w:rPr>
                <w:rFonts w:hint="eastAsia" w:ascii="微软雅黑" w:hAnsi="微软雅黑" w:eastAsia="微软雅黑" w:cs="微软雅黑"/>
                <w:color w:val="auto"/>
                <w:szCs w:val="21"/>
                <w:highlight w:val="none"/>
                <w:lang w:val="en-US" w:eastAsia="zh-CN"/>
              </w:rPr>
              <w:t>提供了详细且合理的项目计划与时间表，包括关键事项记录和时间节点，并使用甘特图或其他项目管理工具清晰展示了项目计划；明确了项目团队成员的角色、职责及工作量分配，列出了必需的物资清单及采购计划，并描述了物资供应的风险管理和应对策略；准确识别了可能影响项目进度的风险因素，并对其进行了评估，制定了详细的预防和缓解措施，包括备选方案和应急计划；建立了高效的内部沟通渠道和会议制度，确保信息畅通，设立了专门的沟通平台和工具，定期提交项目进度报告，并与采购人的工作沟通顺畅，能及时通知并协商项目事宜；使用有效的工具和方法监控项目进度，定期审核项目计划与实际进度的偏差，制定了质量控制标准和检验程序，对已完成的工作进行定期审查。</w:t>
            </w:r>
          </w:p>
        </w:tc>
      </w:tr>
      <w:tr w14:paraId="0262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0E972B1E">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5114CDF1">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69C6309C">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服务保障方案（满分10分）</w:t>
            </w:r>
          </w:p>
        </w:tc>
        <w:tc>
          <w:tcPr>
            <w:tcW w:w="6051" w:type="dxa"/>
            <w:vAlign w:val="center"/>
          </w:tcPr>
          <w:p w14:paraId="178A8E4E">
            <w:pPr>
              <w:snapToGrid w:val="0"/>
              <w:ind w:firstLine="0" w:firstLineChars="0"/>
              <w:jc w:val="left"/>
              <w:rPr>
                <w:rFonts w:hint="eastAsia" w:ascii="微软雅黑" w:hAnsi="微软雅黑" w:eastAsia="微软雅黑" w:cs="微软雅黑"/>
                <w:b w:val="0"/>
                <w:bCs w:val="0"/>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一档(1分):</w:t>
            </w:r>
            <w:r>
              <w:rPr>
                <w:rFonts w:hint="eastAsia" w:ascii="微软雅黑" w:hAnsi="微软雅黑" w:eastAsia="微软雅黑" w:cs="微软雅黑"/>
                <w:b w:val="0"/>
                <w:bCs w:val="0"/>
                <w:color w:val="auto"/>
                <w:szCs w:val="21"/>
                <w:highlight w:val="none"/>
                <w:lang w:val="en-US" w:eastAsia="zh-CN"/>
              </w:rPr>
              <w:t>具有服务保障方案，方案内容单，基本可行，能满足采购文件基本要求；</w:t>
            </w:r>
          </w:p>
          <w:p w14:paraId="573CE516">
            <w:pPr>
              <w:snapToGrid w:val="0"/>
              <w:ind w:firstLine="0" w:firstLineChars="0"/>
              <w:jc w:val="left"/>
              <w:rPr>
                <w:rFonts w:hint="eastAsia" w:ascii="微软雅黑" w:hAnsi="微软雅黑" w:eastAsia="微软雅黑" w:cs="微软雅黑"/>
                <w:b w:val="0"/>
                <w:bCs w:val="0"/>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二档(6分):</w:t>
            </w:r>
            <w:r>
              <w:rPr>
                <w:rFonts w:hint="eastAsia" w:ascii="微软雅黑" w:hAnsi="微软雅黑" w:eastAsia="微软雅黑" w:cs="微软雅黑"/>
                <w:b w:val="0"/>
                <w:bCs w:val="0"/>
                <w:color w:val="auto"/>
                <w:szCs w:val="21"/>
                <w:highlight w:val="none"/>
                <w:lang w:val="en-US" w:eastAsia="zh-CN"/>
              </w:rPr>
              <w:t>服务保障方案较详细，服务保障体系较完善;服务保障承诺完全满足采购文件要求；</w:t>
            </w:r>
            <w:r>
              <w:rPr>
                <w:rFonts w:hint="eastAsia" w:ascii="微软雅黑" w:hAnsi="微软雅黑" w:eastAsia="微软雅黑" w:cs="微软雅黑"/>
                <w:b w:val="0"/>
                <w:bCs w:val="0"/>
                <w:color w:val="auto"/>
                <w:szCs w:val="21"/>
                <w:highlight w:val="none"/>
                <w:lang w:val="en-US" w:eastAsia="zh-CN"/>
              </w:rPr>
              <w:t>服务团队负责人具有信息系统项目管理工程师证书或系统规划与管理师高级职业资格证书或信息技术相关专业同等级别其他证书；</w:t>
            </w:r>
          </w:p>
          <w:p w14:paraId="738B59CD">
            <w:pPr>
              <w:snapToGrid w:val="0"/>
              <w:ind w:firstLine="0" w:firstLineChars="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三档(10分):</w:t>
            </w:r>
            <w:r>
              <w:rPr>
                <w:rFonts w:hint="eastAsia" w:ascii="微软雅黑" w:hAnsi="微软雅黑" w:eastAsia="微软雅黑" w:cs="微软雅黑"/>
                <w:b w:val="0"/>
                <w:bCs w:val="0"/>
                <w:color w:val="auto"/>
                <w:szCs w:val="21"/>
                <w:highlight w:val="none"/>
                <w:lang w:val="en-US" w:eastAsia="zh-CN"/>
              </w:rPr>
              <w:t>服务保障方案详实，服务保障体系完善，对采购人的现状及需求的理解非常到位，方案详细具体，整体方案可行性、完整性、保障措施良好后续维护针对性强，有良好的保障和支持体系，项目实施风险控制方法可行，服务团队人员配备优于采购文件要求;运维服务团队负责人(可兼任其中一个子项目服务经理)、子项目服务经理均具有</w:t>
            </w:r>
            <w:r>
              <w:rPr>
                <w:rFonts w:hint="eastAsia" w:ascii="微软雅黑" w:hAnsi="微软雅黑" w:eastAsia="微软雅黑" w:cs="微软雅黑"/>
                <w:b w:val="0"/>
                <w:bCs w:val="0"/>
                <w:color w:val="auto"/>
                <w:szCs w:val="21"/>
                <w:highlight w:val="none"/>
                <w:lang w:val="en-US" w:eastAsia="zh-CN"/>
              </w:rPr>
              <w:t>信息系统项目管理工程师证书或系统规划与管理师高级职业资格证书或高级系统架构设计师证书或信息技术相关专业同等级别其他证书。</w:t>
            </w:r>
          </w:p>
          <w:p w14:paraId="1DE4F803">
            <w:pPr>
              <w:snapToGrid w:val="0"/>
              <w:jc w:val="left"/>
              <w:rPr>
                <w:rFonts w:hint="eastAsia" w:ascii="微软雅黑" w:hAnsi="微软雅黑" w:eastAsia="微软雅黑" w:cs="微软雅黑"/>
                <w:b/>
                <w:bCs/>
                <w:color w:val="auto"/>
                <w:szCs w:val="21"/>
                <w:highlight w:val="none"/>
                <w:lang w:eastAsia="zh-CN"/>
              </w:rPr>
            </w:pPr>
          </w:p>
          <w:p w14:paraId="78234481">
            <w:pPr>
              <w:snapToGrid w:val="0"/>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val="0"/>
                <w:bCs w:val="0"/>
                <w:color w:val="auto"/>
                <w:szCs w:val="21"/>
                <w:highlight w:val="none"/>
                <w:lang w:eastAsia="zh-CN"/>
              </w:rPr>
              <w:t>注：</w:t>
            </w:r>
            <w:r>
              <w:rPr>
                <w:rFonts w:hint="eastAsia" w:ascii="微软雅黑" w:hAnsi="微软雅黑" w:eastAsia="微软雅黑" w:cs="微软雅黑"/>
                <w:b w:val="0"/>
                <w:bCs w:val="0"/>
                <w:color w:val="auto"/>
                <w:szCs w:val="21"/>
                <w:highlight w:val="none"/>
              </w:rPr>
              <w:t>未提供服务</w:t>
            </w:r>
            <w:r>
              <w:rPr>
                <w:rFonts w:hint="eastAsia" w:ascii="微软雅黑" w:hAnsi="微软雅黑" w:eastAsia="微软雅黑" w:cs="微软雅黑"/>
                <w:b w:val="0"/>
                <w:bCs w:val="0"/>
                <w:color w:val="auto"/>
                <w:szCs w:val="21"/>
                <w:highlight w:val="none"/>
                <w:lang w:val="en-US" w:eastAsia="zh-CN"/>
              </w:rPr>
              <w:t>保障方案</w:t>
            </w:r>
            <w:r>
              <w:rPr>
                <w:rFonts w:hint="eastAsia" w:ascii="微软雅黑" w:hAnsi="微软雅黑" w:eastAsia="微软雅黑" w:cs="微软雅黑"/>
                <w:b w:val="0"/>
                <w:bCs w:val="0"/>
                <w:color w:val="auto"/>
                <w:szCs w:val="21"/>
                <w:highlight w:val="none"/>
              </w:rPr>
              <w:t>或提供的方案与本项目不符或不合理的</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不得分，</w:t>
            </w:r>
            <w:r>
              <w:rPr>
                <w:rFonts w:hint="eastAsia" w:ascii="微软雅黑" w:hAnsi="微软雅黑" w:eastAsia="微软雅黑" w:cs="微软雅黑"/>
                <w:b w:val="0"/>
                <w:bCs w:val="0"/>
                <w:color w:val="auto"/>
                <w:szCs w:val="21"/>
                <w:highlight w:val="none"/>
              </w:rPr>
              <w:t>提供人员的资格</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职称</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证书复印件（或扫描件）</w:t>
            </w:r>
            <w:r>
              <w:rPr>
                <w:rFonts w:hint="eastAsia" w:ascii="微软雅黑" w:hAnsi="微软雅黑" w:eastAsia="微软雅黑" w:cs="微软雅黑"/>
                <w:b w:val="0"/>
                <w:bCs w:val="0"/>
                <w:color w:val="auto"/>
                <w:szCs w:val="21"/>
                <w:highlight w:val="none"/>
                <w:lang w:val="en-US" w:eastAsia="zh-CN"/>
              </w:rPr>
              <w:t>并加盖单位公章。</w:t>
            </w:r>
          </w:p>
        </w:tc>
      </w:tr>
      <w:tr w14:paraId="7FED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7A637B8D">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438064C9">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47CB4F37">
            <w:pPr>
              <w:snapToGrid w:val="0"/>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Cs w:val="21"/>
                <w:highlight w:val="none"/>
                <w:lang w:val="en-US" w:eastAsia="zh-CN"/>
              </w:rPr>
              <w:t>人员配备（满分8分）</w:t>
            </w:r>
          </w:p>
        </w:tc>
        <w:tc>
          <w:tcPr>
            <w:tcW w:w="6051" w:type="dxa"/>
            <w:vAlign w:val="center"/>
          </w:tcPr>
          <w:p w14:paraId="4E291F32">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1.项目负责人具备</w:t>
            </w:r>
            <w:r>
              <w:rPr>
                <w:rFonts w:hint="eastAsia" w:ascii="微软雅黑" w:hAnsi="微软雅黑" w:eastAsia="微软雅黑" w:cs="微软雅黑"/>
                <w:color w:val="auto"/>
                <w:szCs w:val="21"/>
                <w:highlight w:val="none"/>
                <w:lang w:eastAsia="zh-CN"/>
              </w:rPr>
              <w:t>信息系统项目管理师证书</w:t>
            </w:r>
            <w:r>
              <w:rPr>
                <w:rFonts w:hint="eastAsia" w:ascii="微软雅黑" w:hAnsi="微软雅黑" w:eastAsia="微软雅黑" w:cs="微软雅黑"/>
                <w:color w:val="auto"/>
                <w:szCs w:val="21"/>
                <w:highlight w:val="none"/>
                <w:lang w:val="en-US" w:eastAsia="zh-CN"/>
              </w:rPr>
              <w:t>或</w:t>
            </w:r>
            <w:r>
              <w:rPr>
                <w:rFonts w:hint="eastAsia" w:ascii="微软雅黑" w:hAnsi="微软雅黑" w:eastAsia="微软雅黑" w:cs="微软雅黑"/>
                <w:b w:val="0"/>
                <w:bCs w:val="0"/>
                <w:color w:val="auto"/>
                <w:szCs w:val="21"/>
                <w:highlight w:val="none"/>
                <w:lang w:val="en-US" w:eastAsia="zh-CN"/>
              </w:rPr>
              <w:t>信息技术相关专业</w:t>
            </w:r>
            <w:r>
              <w:rPr>
                <w:rFonts w:hint="eastAsia" w:ascii="微软雅黑" w:hAnsi="微软雅黑" w:eastAsia="微软雅黑" w:cs="微软雅黑"/>
                <w:color w:val="auto"/>
                <w:szCs w:val="21"/>
                <w:highlight w:val="none"/>
                <w:lang w:val="en-US" w:eastAsia="zh-CN"/>
              </w:rPr>
              <w:t>同等级别其他证书的，得2</w:t>
            </w:r>
            <w:r>
              <w:rPr>
                <w:rFonts w:hint="eastAsia" w:ascii="微软雅黑" w:hAnsi="微软雅黑" w:eastAsia="微软雅黑" w:cs="微软雅黑"/>
                <w:color w:val="auto"/>
                <w:szCs w:val="21"/>
                <w:highlight w:val="none"/>
              </w:rPr>
              <w:t>分，满分</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分；</w:t>
            </w:r>
          </w:p>
          <w:p w14:paraId="1790FB1B">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项目</w:t>
            </w:r>
            <w:r>
              <w:rPr>
                <w:rFonts w:hint="eastAsia" w:ascii="微软雅黑" w:hAnsi="微软雅黑" w:eastAsia="微软雅黑" w:cs="微软雅黑"/>
                <w:color w:val="auto"/>
                <w:szCs w:val="21"/>
                <w:highlight w:val="none"/>
                <w:lang w:val="en-US" w:eastAsia="zh-CN"/>
              </w:rPr>
              <w:t>组</w:t>
            </w:r>
            <w:r>
              <w:rPr>
                <w:rFonts w:hint="eastAsia" w:ascii="微软雅黑" w:hAnsi="微软雅黑" w:eastAsia="微软雅黑" w:cs="微软雅黑"/>
                <w:color w:val="auto"/>
                <w:szCs w:val="21"/>
                <w:highlight w:val="none"/>
              </w:rPr>
              <w:t>成员具</w:t>
            </w:r>
            <w:r>
              <w:rPr>
                <w:rFonts w:hint="eastAsia" w:ascii="微软雅黑" w:hAnsi="微软雅黑" w:eastAsia="微软雅黑" w:cs="微软雅黑"/>
                <w:color w:val="auto"/>
                <w:szCs w:val="21"/>
                <w:highlight w:val="none"/>
                <w:lang w:val="en-US" w:eastAsia="zh-CN"/>
              </w:rPr>
              <w:t>有</w:t>
            </w:r>
            <w:r>
              <w:rPr>
                <w:rFonts w:hint="eastAsia" w:ascii="微软雅黑" w:hAnsi="微软雅黑" w:eastAsia="微软雅黑" w:cs="微软雅黑"/>
                <w:color w:val="auto"/>
                <w:szCs w:val="21"/>
                <w:highlight w:val="none"/>
              </w:rPr>
              <w:t>注册信息安全专业人员CISP证书</w:t>
            </w:r>
            <w:r>
              <w:rPr>
                <w:rFonts w:hint="eastAsia" w:ascii="微软雅黑" w:hAnsi="微软雅黑" w:eastAsia="微软雅黑" w:cs="微软雅黑"/>
                <w:color w:val="auto"/>
                <w:szCs w:val="21"/>
                <w:highlight w:val="none"/>
                <w:lang w:val="en-US" w:eastAsia="zh-CN"/>
              </w:rPr>
              <w:t>的，每提供一个的1分，本项满分2分；</w:t>
            </w:r>
          </w:p>
          <w:p w14:paraId="2BB3D92F">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项目组成员</w:t>
            </w:r>
            <w:r>
              <w:rPr>
                <w:rFonts w:hint="eastAsia" w:ascii="微软雅黑" w:hAnsi="微软雅黑" w:eastAsia="微软雅黑" w:cs="微软雅黑"/>
                <w:color w:val="auto"/>
                <w:szCs w:val="21"/>
                <w:highlight w:val="none"/>
              </w:rPr>
              <w:t>具有信息技术相关专业中级及以上工程师职称</w:t>
            </w:r>
            <w:r>
              <w:rPr>
                <w:rFonts w:hint="eastAsia" w:ascii="微软雅黑" w:hAnsi="微软雅黑" w:eastAsia="微软雅黑" w:cs="微软雅黑"/>
                <w:color w:val="auto"/>
                <w:szCs w:val="21"/>
                <w:highlight w:val="none"/>
                <w:lang w:val="en-US" w:eastAsia="zh-CN"/>
              </w:rPr>
              <w:t>证书的，每提供一个</w:t>
            </w:r>
            <w:r>
              <w:rPr>
                <w:rFonts w:hint="eastAsia" w:ascii="微软雅黑" w:hAnsi="微软雅黑" w:eastAsia="微软雅黑" w:cs="微软雅黑"/>
                <w:color w:val="auto"/>
                <w:szCs w:val="21"/>
                <w:highlight w:val="none"/>
              </w:rPr>
              <w:t>得1分，</w:t>
            </w:r>
            <w:r>
              <w:rPr>
                <w:rFonts w:hint="eastAsia" w:ascii="微软雅黑" w:hAnsi="微软雅黑" w:eastAsia="微软雅黑" w:cs="微软雅黑"/>
                <w:color w:val="auto"/>
                <w:szCs w:val="21"/>
                <w:highlight w:val="none"/>
                <w:lang w:val="en-US" w:eastAsia="zh-CN"/>
              </w:rPr>
              <w:t>本项</w:t>
            </w:r>
            <w:r>
              <w:rPr>
                <w:rFonts w:hint="eastAsia" w:ascii="微软雅黑" w:hAnsi="微软雅黑" w:eastAsia="微软雅黑" w:cs="微软雅黑"/>
                <w:color w:val="auto"/>
                <w:szCs w:val="21"/>
                <w:highlight w:val="none"/>
              </w:rPr>
              <w:t>满分</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分。</w:t>
            </w:r>
          </w:p>
          <w:p w14:paraId="4A2D3423">
            <w:pPr>
              <w:snapToGrid w:val="0"/>
              <w:jc w:val="left"/>
              <w:rPr>
                <w:rFonts w:hint="eastAsia" w:ascii="微软雅黑" w:hAnsi="微软雅黑" w:eastAsia="微软雅黑" w:cs="微软雅黑"/>
                <w:color w:val="auto"/>
                <w:szCs w:val="21"/>
                <w:highlight w:val="none"/>
              </w:rPr>
            </w:pPr>
          </w:p>
          <w:p w14:paraId="645E97B7">
            <w:pPr>
              <w:snapToGrid w:val="0"/>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注：</w:t>
            </w:r>
            <w:r>
              <w:rPr>
                <w:rFonts w:hint="eastAsia" w:ascii="微软雅黑" w:hAnsi="微软雅黑" w:eastAsia="微软雅黑" w:cs="微软雅黑"/>
                <w:b w:val="0"/>
                <w:bCs w:val="0"/>
                <w:color w:val="auto"/>
                <w:szCs w:val="21"/>
                <w:highlight w:val="none"/>
              </w:rPr>
              <w:t>拟投入本项目的</w:t>
            </w:r>
            <w:r>
              <w:rPr>
                <w:rFonts w:hint="eastAsia" w:ascii="微软雅黑" w:hAnsi="微软雅黑" w:eastAsia="微软雅黑" w:cs="微软雅黑"/>
                <w:b w:val="0"/>
                <w:bCs w:val="0"/>
                <w:color w:val="auto"/>
                <w:szCs w:val="21"/>
                <w:highlight w:val="none"/>
                <w:lang w:val="en-US" w:eastAsia="zh-CN"/>
              </w:rPr>
              <w:t>相关</w:t>
            </w:r>
            <w:r>
              <w:rPr>
                <w:rFonts w:hint="eastAsia" w:ascii="微软雅黑" w:hAnsi="微软雅黑" w:eastAsia="微软雅黑" w:cs="微软雅黑"/>
                <w:b w:val="0"/>
                <w:bCs w:val="0"/>
                <w:color w:val="auto"/>
                <w:szCs w:val="21"/>
                <w:highlight w:val="none"/>
              </w:rPr>
              <w:t>人员必须为投标人在职人员</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以上人员</w:t>
            </w:r>
            <w:r>
              <w:rPr>
                <w:rFonts w:hint="eastAsia" w:ascii="微软雅黑" w:hAnsi="微软雅黑" w:eastAsia="微软雅黑" w:cs="微软雅黑"/>
                <w:b w:val="0"/>
                <w:bCs w:val="0"/>
                <w:color w:val="auto"/>
                <w:szCs w:val="21"/>
                <w:highlight w:val="none"/>
                <w:lang w:val="en-US" w:eastAsia="zh-CN"/>
              </w:rPr>
              <w:t>需提供相关有效的</w:t>
            </w:r>
            <w:r>
              <w:rPr>
                <w:rFonts w:hint="eastAsia" w:ascii="微软雅黑" w:hAnsi="微软雅黑" w:eastAsia="微软雅黑" w:cs="微软雅黑"/>
                <w:b w:val="0"/>
                <w:bCs w:val="0"/>
                <w:color w:val="auto"/>
                <w:szCs w:val="21"/>
                <w:highlight w:val="none"/>
              </w:rPr>
              <w:t>资格证书复印件（或扫描件）</w:t>
            </w:r>
            <w:r>
              <w:rPr>
                <w:rFonts w:hint="eastAsia" w:ascii="微软雅黑" w:hAnsi="微软雅黑" w:eastAsia="微软雅黑" w:cs="微软雅黑"/>
                <w:b w:val="0"/>
                <w:bCs w:val="0"/>
                <w:color w:val="auto"/>
                <w:szCs w:val="21"/>
                <w:highlight w:val="none"/>
                <w:lang w:val="en-US" w:eastAsia="zh-CN"/>
              </w:rPr>
              <w:t>或</w:t>
            </w:r>
            <w:r>
              <w:rPr>
                <w:rFonts w:hint="eastAsia" w:ascii="微软雅黑" w:hAnsi="微软雅黑" w:eastAsia="微软雅黑" w:cs="微软雅黑"/>
                <w:b w:val="0"/>
                <w:bCs w:val="0"/>
                <w:color w:val="auto"/>
                <w:szCs w:val="21"/>
                <w:highlight w:val="none"/>
              </w:rPr>
              <w:t>职称</w:t>
            </w:r>
            <w:r>
              <w:rPr>
                <w:rFonts w:hint="eastAsia" w:ascii="微软雅黑" w:hAnsi="微软雅黑" w:eastAsia="微软雅黑" w:cs="微软雅黑"/>
                <w:b w:val="0"/>
                <w:bCs w:val="0"/>
                <w:color w:val="auto"/>
                <w:szCs w:val="21"/>
                <w:highlight w:val="none"/>
                <w:lang w:val="en-US" w:eastAsia="zh-CN"/>
              </w:rPr>
              <w:t>证书</w:t>
            </w:r>
            <w:r>
              <w:rPr>
                <w:rFonts w:hint="eastAsia" w:ascii="微软雅黑" w:hAnsi="微软雅黑" w:eastAsia="微软雅黑" w:cs="微软雅黑"/>
                <w:b w:val="0"/>
                <w:bCs w:val="0"/>
                <w:color w:val="auto"/>
                <w:szCs w:val="21"/>
                <w:highlight w:val="none"/>
              </w:rPr>
              <w:t>复印件（或扫描件）、</w:t>
            </w:r>
            <w:r>
              <w:rPr>
                <w:rFonts w:hint="eastAsia" w:ascii="微软雅黑" w:hAnsi="微软雅黑" w:eastAsia="微软雅黑" w:cs="微软雅黑"/>
                <w:b w:val="0"/>
                <w:bCs w:val="0"/>
                <w:color w:val="auto"/>
                <w:szCs w:val="21"/>
                <w:highlight w:val="none"/>
                <w:lang w:val="en-US" w:eastAsia="zh-CN"/>
              </w:rPr>
              <w:t>毕业证</w:t>
            </w:r>
            <w:r>
              <w:rPr>
                <w:rFonts w:hint="eastAsia" w:ascii="微软雅黑" w:hAnsi="微软雅黑" w:eastAsia="微软雅黑" w:cs="微软雅黑"/>
                <w:b w:val="0"/>
                <w:bCs w:val="0"/>
                <w:color w:val="auto"/>
                <w:szCs w:val="21"/>
                <w:highlight w:val="none"/>
              </w:rPr>
              <w:t>复印件（或扫描件）</w:t>
            </w:r>
            <w:r>
              <w:rPr>
                <w:rFonts w:hint="eastAsia" w:ascii="微软雅黑" w:hAnsi="微软雅黑" w:eastAsia="微软雅黑" w:cs="微软雅黑"/>
                <w:b w:val="0"/>
                <w:bCs w:val="0"/>
                <w:color w:val="auto"/>
                <w:szCs w:val="21"/>
                <w:highlight w:val="none"/>
                <w:lang w:val="en-US" w:eastAsia="zh-CN"/>
              </w:rPr>
              <w:t>及</w:t>
            </w:r>
            <w:r>
              <w:rPr>
                <w:rFonts w:hint="eastAsia" w:ascii="微软雅黑" w:hAnsi="微软雅黑" w:eastAsia="微软雅黑" w:cs="微软雅黑"/>
                <w:b w:val="0"/>
                <w:bCs w:val="0"/>
                <w:color w:val="auto"/>
                <w:szCs w:val="21"/>
                <w:highlight w:val="none"/>
              </w:rPr>
              <w:t>投标截止时间</w:t>
            </w:r>
            <w:r>
              <w:rPr>
                <w:rFonts w:hint="eastAsia" w:ascii="微软雅黑" w:hAnsi="微软雅黑" w:eastAsia="微软雅黑" w:cs="微软雅黑"/>
                <w:b w:val="0"/>
                <w:bCs w:val="0"/>
                <w:color w:val="auto"/>
                <w:szCs w:val="21"/>
                <w:highlight w:val="none"/>
                <w:lang w:val="en-US" w:eastAsia="zh-CN"/>
              </w:rPr>
              <w:t>前近半年</w:t>
            </w:r>
            <w:r>
              <w:rPr>
                <w:rFonts w:hint="eastAsia" w:ascii="微软雅黑" w:hAnsi="微软雅黑" w:eastAsia="微软雅黑" w:cs="微软雅黑"/>
                <w:b w:val="0"/>
                <w:bCs w:val="0"/>
                <w:color w:val="auto"/>
                <w:szCs w:val="21"/>
                <w:highlight w:val="none"/>
              </w:rPr>
              <w:t>内</w:t>
            </w:r>
            <w:r>
              <w:rPr>
                <w:rFonts w:hint="eastAsia" w:ascii="微软雅黑" w:hAnsi="微软雅黑" w:eastAsia="微软雅黑" w:cs="微软雅黑"/>
                <w:b w:val="0"/>
                <w:bCs w:val="0"/>
                <w:color w:val="auto"/>
                <w:szCs w:val="21"/>
                <w:highlight w:val="none"/>
                <w:lang w:val="en-US" w:eastAsia="zh-CN"/>
              </w:rPr>
              <w:t>任意1</w:t>
            </w:r>
            <w:r>
              <w:rPr>
                <w:rFonts w:hint="eastAsia" w:ascii="微软雅黑" w:hAnsi="微软雅黑" w:eastAsia="微软雅黑" w:cs="微软雅黑"/>
                <w:b w:val="0"/>
                <w:bCs w:val="0"/>
                <w:color w:val="auto"/>
                <w:szCs w:val="21"/>
                <w:highlight w:val="none"/>
              </w:rPr>
              <w:t>个月投标人为</w:t>
            </w:r>
            <w:r>
              <w:rPr>
                <w:rFonts w:hint="eastAsia" w:ascii="微软雅黑" w:hAnsi="微软雅黑" w:eastAsia="微软雅黑" w:cs="微软雅黑"/>
                <w:b w:val="0"/>
                <w:bCs w:val="0"/>
                <w:color w:val="auto"/>
                <w:szCs w:val="21"/>
                <w:highlight w:val="none"/>
                <w:lang w:val="en-US" w:eastAsia="zh-CN"/>
              </w:rPr>
              <w:t>其缴纳社保的证明材料复印件（或扫描件）或劳动合同复印件（或扫描件）并加盖单位公章。</w:t>
            </w:r>
          </w:p>
        </w:tc>
      </w:tr>
      <w:tr w14:paraId="1C44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restart"/>
            <w:vAlign w:val="center"/>
          </w:tcPr>
          <w:p w14:paraId="2E89A939">
            <w:pPr>
              <w:snapToGrid w:val="0"/>
              <w:jc w:val="center"/>
              <w:rPr>
                <w:rFonts w:hint="eastAsia" w:ascii="微软雅黑" w:hAnsi="微软雅黑" w:eastAsia="微软雅黑" w:cs="微软雅黑"/>
                <w:b w:val="0"/>
                <w:bCs w:val="0"/>
                <w:color w:val="auto"/>
                <w:szCs w:val="21"/>
                <w:highlight w:val="none"/>
                <w:lang w:val="en-US" w:eastAsia="zh-CN"/>
              </w:rPr>
            </w:pPr>
            <w:r>
              <w:rPr>
                <w:rFonts w:hint="eastAsia" w:ascii="微软雅黑" w:hAnsi="微软雅黑" w:eastAsia="微软雅黑" w:cs="微软雅黑"/>
                <w:b w:val="0"/>
                <w:bCs w:val="0"/>
                <w:color w:val="auto"/>
                <w:szCs w:val="21"/>
                <w:highlight w:val="none"/>
                <w:lang w:val="en-US" w:eastAsia="zh-CN"/>
              </w:rPr>
              <w:t>3</w:t>
            </w:r>
          </w:p>
        </w:tc>
        <w:tc>
          <w:tcPr>
            <w:tcW w:w="887" w:type="dxa"/>
            <w:vMerge w:val="restart"/>
            <w:vAlign w:val="center"/>
          </w:tcPr>
          <w:p w14:paraId="1FAA731F">
            <w:pPr>
              <w:snapToGrid w:val="0"/>
              <w:jc w:val="center"/>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bCs/>
                <w:color w:val="auto"/>
                <w:szCs w:val="21"/>
                <w:highlight w:val="none"/>
                <w:lang w:val="en-US" w:eastAsia="zh-CN"/>
              </w:rPr>
              <w:t>履约能力分（满分12分）</w:t>
            </w:r>
          </w:p>
        </w:tc>
        <w:tc>
          <w:tcPr>
            <w:tcW w:w="1068" w:type="dxa"/>
            <w:vAlign w:val="center"/>
          </w:tcPr>
          <w:p w14:paraId="70B2D227">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信誉实力分（满分3分）</w:t>
            </w:r>
          </w:p>
        </w:tc>
        <w:tc>
          <w:tcPr>
            <w:tcW w:w="6051" w:type="dxa"/>
            <w:vAlign w:val="center"/>
          </w:tcPr>
          <w:p w14:paraId="2B143688">
            <w:pPr>
              <w:snapToGrid/>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供应商具有</w:t>
            </w:r>
            <w:r>
              <w:rPr>
                <w:rFonts w:hint="eastAsia" w:ascii="微软雅黑" w:hAnsi="微软雅黑" w:eastAsia="微软雅黑" w:cs="微软雅黑"/>
                <w:color w:val="auto"/>
                <w:szCs w:val="21"/>
                <w:highlight w:val="none"/>
                <w:lang w:val="en-US" w:eastAsia="zh-CN"/>
              </w:rPr>
              <w:t>有效的</w:t>
            </w:r>
            <w:r>
              <w:rPr>
                <w:rFonts w:hint="eastAsia" w:ascii="微软雅黑" w:hAnsi="微软雅黑" w:eastAsia="微软雅黑" w:cs="微软雅黑"/>
                <w:color w:val="auto"/>
                <w:szCs w:val="21"/>
                <w:highlight w:val="none"/>
              </w:rPr>
              <w:t>ISO9001质量管理体系认证证书、ISO20000 IT服务管理体系认证证书、ISO27001信息安全管理体系认证证书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每</w:t>
            </w:r>
            <w:r>
              <w:rPr>
                <w:rFonts w:hint="eastAsia" w:ascii="微软雅黑" w:hAnsi="微软雅黑" w:eastAsia="微软雅黑" w:cs="微软雅黑"/>
                <w:color w:val="auto"/>
                <w:szCs w:val="21"/>
                <w:highlight w:val="none"/>
                <w:lang w:val="en-US" w:eastAsia="zh-CN"/>
              </w:rPr>
              <w:t>提供一个证书</w:t>
            </w:r>
            <w:r>
              <w:rPr>
                <w:rFonts w:hint="eastAsia" w:ascii="微软雅黑" w:hAnsi="微软雅黑" w:eastAsia="微软雅黑" w:cs="微软雅黑"/>
                <w:color w:val="auto"/>
                <w:szCs w:val="21"/>
                <w:highlight w:val="none"/>
              </w:rPr>
              <w:t>得1分</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本项满分</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分</w:t>
            </w:r>
            <w:r>
              <w:rPr>
                <w:rFonts w:hint="eastAsia" w:ascii="微软雅黑" w:hAnsi="微软雅黑" w:eastAsia="微软雅黑" w:cs="微软雅黑"/>
                <w:color w:val="auto"/>
                <w:szCs w:val="21"/>
                <w:highlight w:val="none"/>
                <w:lang w:eastAsia="zh-CN"/>
              </w:rPr>
              <w:t>。</w:t>
            </w:r>
          </w:p>
          <w:p w14:paraId="14DD04AD">
            <w:pPr>
              <w:snapToGrid/>
              <w:jc w:val="left"/>
              <w:rPr>
                <w:rFonts w:hint="eastAsia" w:ascii="微软雅黑" w:hAnsi="微软雅黑" w:eastAsia="微软雅黑" w:cs="微软雅黑"/>
                <w:color w:val="auto"/>
                <w:szCs w:val="21"/>
                <w:highlight w:val="none"/>
              </w:rPr>
            </w:pPr>
          </w:p>
          <w:p w14:paraId="7B8DC05E">
            <w:pPr>
              <w:snapToGrid/>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注：提供有效的证书复印件（或扫描件）并加盖</w:t>
            </w:r>
            <w:r>
              <w:rPr>
                <w:rFonts w:hint="eastAsia" w:ascii="微软雅黑" w:hAnsi="微软雅黑" w:eastAsia="微软雅黑" w:cs="微软雅黑"/>
                <w:color w:val="auto"/>
                <w:szCs w:val="21"/>
                <w:highlight w:val="none"/>
                <w:lang w:val="en-US" w:eastAsia="zh-CN"/>
              </w:rPr>
              <w:t>单位公章。</w:t>
            </w:r>
          </w:p>
        </w:tc>
      </w:tr>
      <w:tr w14:paraId="1AEB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19" w:type="dxa"/>
            <w:vMerge w:val="continue"/>
            <w:vAlign w:val="center"/>
          </w:tcPr>
          <w:p w14:paraId="6200F5B5">
            <w:pPr>
              <w:snapToGrid w:val="0"/>
              <w:jc w:val="center"/>
              <w:rPr>
                <w:rFonts w:hint="eastAsia" w:ascii="微软雅黑" w:hAnsi="微软雅黑" w:eastAsia="微软雅黑" w:cs="微软雅黑"/>
                <w:b w:val="0"/>
                <w:bCs w:val="0"/>
                <w:color w:val="auto"/>
                <w:szCs w:val="21"/>
                <w:highlight w:val="none"/>
              </w:rPr>
            </w:pPr>
          </w:p>
        </w:tc>
        <w:tc>
          <w:tcPr>
            <w:tcW w:w="887" w:type="dxa"/>
            <w:vMerge w:val="continue"/>
            <w:vAlign w:val="center"/>
          </w:tcPr>
          <w:p w14:paraId="749059E6">
            <w:pPr>
              <w:snapToGrid w:val="0"/>
              <w:jc w:val="center"/>
              <w:rPr>
                <w:rFonts w:hint="eastAsia" w:ascii="微软雅黑" w:hAnsi="微软雅黑" w:eastAsia="微软雅黑" w:cs="微软雅黑"/>
                <w:b w:val="0"/>
                <w:bCs w:val="0"/>
                <w:color w:val="auto"/>
                <w:szCs w:val="21"/>
                <w:highlight w:val="none"/>
              </w:rPr>
            </w:pPr>
          </w:p>
        </w:tc>
        <w:tc>
          <w:tcPr>
            <w:tcW w:w="1068" w:type="dxa"/>
            <w:vAlign w:val="center"/>
          </w:tcPr>
          <w:p w14:paraId="304B3FD5">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业绩分（满分9分）</w:t>
            </w:r>
          </w:p>
        </w:tc>
        <w:tc>
          <w:tcPr>
            <w:tcW w:w="6051" w:type="dxa"/>
            <w:vAlign w:val="center"/>
          </w:tcPr>
          <w:p w14:paraId="7F541E59">
            <w:pPr>
              <w:snapToGrid w:val="0"/>
              <w:jc w:val="left"/>
              <w:rPr>
                <w:rFonts w:hint="eastAsia" w:ascii="微软雅黑" w:hAnsi="微软雅黑" w:eastAsia="微软雅黑" w:cs="微软雅黑"/>
                <w:strike/>
                <w:color w:val="auto"/>
                <w:szCs w:val="21"/>
                <w:highlight w:val="none"/>
              </w:rPr>
            </w:pPr>
            <w:r>
              <w:rPr>
                <w:rFonts w:hint="eastAsia" w:ascii="微软雅黑" w:hAnsi="微软雅黑" w:eastAsia="微软雅黑" w:cs="微软雅黑"/>
                <w:color w:val="auto"/>
                <w:szCs w:val="21"/>
                <w:highlight w:val="none"/>
              </w:rPr>
              <w:t>2020年1月1日至投标截止时间止，投标人</w:t>
            </w:r>
            <w:r>
              <w:rPr>
                <w:rFonts w:hint="eastAsia" w:ascii="微软雅黑" w:hAnsi="微软雅黑" w:eastAsia="微软雅黑" w:cs="微软雅黑"/>
                <w:color w:val="auto"/>
                <w:szCs w:val="21"/>
                <w:highlight w:val="none"/>
                <w:lang w:val="en-US" w:eastAsia="zh-CN"/>
              </w:rPr>
              <w:t>具</w:t>
            </w:r>
            <w:r>
              <w:rPr>
                <w:rFonts w:hint="eastAsia" w:ascii="微软雅黑" w:hAnsi="微软雅黑" w:eastAsia="微软雅黑" w:cs="微软雅黑"/>
                <w:color w:val="auto"/>
                <w:szCs w:val="21"/>
                <w:highlight w:val="none"/>
              </w:rPr>
              <w:t>有类似</w:t>
            </w:r>
            <w:r>
              <w:rPr>
                <w:rFonts w:hint="eastAsia" w:ascii="微软雅黑" w:hAnsi="微软雅黑" w:eastAsia="微软雅黑" w:cs="微软雅黑"/>
                <w:color w:val="auto"/>
                <w:szCs w:val="21"/>
                <w:highlight w:val="none"/>
                <w:lang w:val="en-US" w:eastAsia="zh-CN"/>
              </w:rPr>
              <w:t>业绩（</w:t>
            </w:r>
            <w:r>
              <w:rPr>
                <w:rFonts w:hint="eastAsia" w:ascii="微软雅黑" w:hAnsi="微软雅黑" w:eastAsia="微软雅黑" w:cs="微软雅黑"/>
                <w:color w:val="auto"/>
                <w:szCs w:val="21"/>
                <w:highlight w:val="none"/>
              </w:rPr>
              <w:t>软件开发类项目</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，每</w:t>
            </w:r>
            <w:r>
              <w:rPr>
                <w:rFonts w:hint="eastAsia" w:ascii="微软雅黑" w:hAnsi="微软雅黑" w:eastAsia="微软雅黑" w:cs="微软雅黑"/>
                <w:color w:val="auto"/>
                <w:szCs w:val="21"/>
                <w:highlight w:val="none"/>
                <w:lang w:val="en-US" w:eastAsia="zh-CN"/>
              </w:rPr>
              <w:t>提供1个</w:t>
            </w:r>
            <w:r>
              <w:rPr>
                <w:rFonts w:hint="eastAsia" w:ascii="微软雅黑" w:hAnsi="微软雅黑" w:eastAsia="微软雅黑" w:cs="微软雅黑"/>
                <w:color w:val="auto"/>
                <w:szCs w:val="21"/>
                <w:highlight w:val="none"/>
              </w:rPr>
              <w:t>得</w:t>
            </w:r>
            <w:r>
              <w:rPr>
                <w:rFonts w:hint="eastAsia" w:ascii="微软雅黑" w:hAnsi="微软雅黑" w:eastAsia="微软雅黑" w:cs="微软雅黑"/>
                <w:color w:val="auto"/>
                <w:szCs w:val="21"/>
                <w:highlight w:val="none"/>
                <w:lang w:val="en-US" w:eastAsia="zh-CN"/>
              </w:rPr>
              <w:t>1</w:t>
            </w:r>
            <w:r>
              <w:rPr>
                <w:rFonts w:hint="eastAsia" w:ascii="微软雅黑" w:hAnsi="微软雅黑" w:eastAsia="微软雅黑" w:cs="微软雅黑"/>
                <w:color w:val="auto"/>
                <w:szCs w:val="21"/>
                <w:highlight w:val="none"/>
              </w:rPr>
              <w:t>分，满分</w:t>
            </w:r>
            <w:r>
              <w:rPr>
                <w:rFonts w:hint="eastAsia" w:ascii="微软雅黑" w:hAnsi="微软雅黑" w:eastAsia="微软雅黑" w:cs="微软雅黑"/>
                <w:color w:val="auto"/>
                <w:szCs w:val="21"/>
                <w:highlight w:val="none"/>
                <w:lang w:val="en-US" w:eastAsia="zh-CN"/>
              </w:rPr>
              <w:t>9</w:t>
            </w:r>
            <w:r>
              <w:rPr>
                <w:rFonts w:hint="eastAsia" w:ascii="微软雅黑" w:hAnsi="微软雅黑" w:eastAsia="微软雅黑" w:cs="微软雅黑"/>
                <w:color w:val="auto"/>
                <w:szCs w:val="21"/>
                <w:highlight w:val="none"/>
              </w:rPr>
              <w:t>分</w:t>
            </w:r>
            <w:r>
              <w:rPr>
                <w:rFonts w:hint="eastAsia" w:ascii="微软雅黑" w:hAnsi="微软雅黑" w:eastAsia="微软雅黑" w:cs="微软雅黑"/>
                <w:color w:val="auto"/>
                <w:szCs w:val="21"/>
                <w:highlight w:val="none"/>
                <w:lang w:eastAsia="zh-CN"/>
              </w:rPr>
              <w:t>。</w:t>
            </w:r>
          </w:p>
          <w:p w14:paraId="66A5E467">
            <w:pPr>
              <w:snapToGrid w:val="0"/>
              <w:jc w:val="left"/>
              <w:rPr>
                <w:rFonts w:hint="eastAsia" w:ascii="微软雅黑" w:hAnsi="微软雅黑" w:eastAsia="微软雅黑" w:cs="微软雅黑"/>
                <w:color w:val="auto"/>
                <w:szCs w:val="21"/>
                <w:highlight w:val="none"/>
              </w:rPr>
            </w:pPr>
          </w:p>
          <w:p w14:paraId="1EA11D88">
            <w:pPr>
              <w:snapToGrid w:val="0"/>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注：</w:t>
            </w:r>
            <w:r>
              <w:rPr>
                <w:rFonts w:hint="eastAsia" w:ascii="微软雅黑" w:hAnsi="微软雅黑" w:eastAsia="微软雅黑" w:cs="微软雅黑"/>
                <w:color w:val="auto"/>
                <w:szCs w:val="21"/>
                <w:highlight w:val="none"/>
                <w:lang w:val="en-US" w:eastAsia="zh-CN"/>
              </w:rPr>
              <w:t>业绩时间以签订合同（协议）时间为准，</w:t>
            </w:r>
            <w:r>
              <w:rPr>
                <w:rFonts w:hint="eastAsia" w:ascii="微软雅黑" w:hAnsi="微软雅黑" w:eastAsia="微软雅黑" w:cs="微软雅黑"/>
                <w:color w:val="auto"/>
                <w:szCs w:val="21"/>
                <w:highlight w:val="none"/>
              </w:rPr>
              <w:t>投标文件提供业绩合同</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协议</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的关键页（包括采购内容、签约日期、双方盖章）复印件加盖投标人公章，否则不得分。</w:t>
            </w:r>
          </w:p>
        </w:tc>
      </w:tr>
      <w:tr w14:paraId="5B8C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4E767A32">
            <w:pPr>
              <w:snapToGrid w:val="0"/>
              <w:jc w:val="center"/>
              <w:rPr>
                <w:rFonts w:hint="eastAsia" w:ascii="微软雅黑" w:hAnsi="微软雅黑" w:eastAsia="微软雅黑" w:cs="微软雅黑"/>
                <w:b/>
                <w:bCs/>
                <w:color w:val="auto"/>
                <w:szCs w:val="21"/>
                <w:highlight w:val="none"/>
              </w:rPr>
            </w:pPr>
          </w:p>
        </w:tc>
        <w:tc>
          <w:tcPr>
            <w:tcW w:w="1955" w:type="dxa"/>
            <w:gridSpan w:val="2"/>
            <w:vAlign w:val="center"/>
          </w:tcPr>
          <w:p w14:paraId="536BAD84">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总得分</w:t>
            </w:r>
          </w:p>
        </w:tc>
        <w:tc>
          <w:tcPr>
            <w:tcW w:w="6051" w:type="dxa"/>
            <w:vAlign w:val="center"/>
          </w:tcPr>
          <w:p w14:paraId="337EA0EE">
            <w:pPr>
              <w:snapToGrid w:val="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总得分=1+2+3</w:t>
            </w:r>
          </w:p>
        </w:tc>
      </w:tr>
    </w:tbl>
    <w:p w14:paraId="703CDEC8">
      <w:pPr>
        <w:pStyle w:val="23"/>
        <w:spacing w:line="360" w:lineRule="auto"/>
        <w:ind w:firstLine="420"/>
        <w:rPr>
          <w:rFonts w:hint="eastAsia" w:ascii="微软雅黑" w:hAnsi="微软雅黑" w:eastAsia="微软雅黑"/>
          <w:bCs/>
          <w:color w:val="auto"/>
          <w:sz w:val="21"/>
          <w:highlight w:val="none"/>
          <w:lang w:eastAsia="zh-CN"/>
        </w:rPr>
      </w:pPr>
      <w:r>
        <w:rPr>
          <w:rFonts w:hint="eastAsia" w:ascii="微软雅黑" w:hAnsi="微软雅黑" w:eastAsia="微软雅黑"/>
          <w:bCs/>
          <w:color w:val="auto"/>
          <w:sz w:val="21"/>
          <w:highlight w:val="none"/>
        </w:rPr>
        <w:t>注：计分方法按四舍五入取至百分位</w:t>
      </w:r>
      <w:r>
        <w:rPr>
          <w:rFonts w:hint="eastAsia" w:ascii="微软雅黑" w:hAnsi="微软雅黑" w:eastAsia="微软雅黑"/>
          <w:bCs/>
          <w:color w:val="auto"/>
          <w:sz w:val="21"/>
          <w:highlight w:val="none"/>
          <w:lang w:eastAsia="zh-CN"/>
        </w:rPr>
        <w:t>。</w:t>
      </w:r>
    </w:p>
    <w:p w14:paraId="54557969">
      <w:pPr>
        <w:pStyle w:val="5"/>
        <w:keepNext w:val="0"/>
        <w:keepLines w:val="0"/>
        <w:jc w:val="center"/>
        <w:rPr>
          <w:rFonts w:ascii="微软雅黑" w:hAnsi="微软雅黑" w:eastAsia="微软雅黑"/>
          <w:color w:val="auto"/>
          <w:highlight w:val="none"/>
        </w:rPr>
        <w:sectPr>
          <w:headerReference r:id="rId9" w:type="default"/>
          <w:footerReference r:id="rId10"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282"/>
    <w:p w14:paraId="4B3CA6F3">
      <w:pPr>
        <w:pStyle w:val="23"/>
        <w:spacing w:line="360" w:lineRule="auto"/>
        <w:ind w:firstLine="420"/>
        <w:outlineLvl w:val="1"/>
        <w:rPr>
          <w:rFonts w:ascii="微软雅黑" w:hAnsi="微软雅黑" w:eastAsia="微软雅黑"/>
          <w:color w:val="auto"/>
          <w:sz w:val="30"/>
          <w:szCs w:val="30"/>
          <w:highlight w:val="none"/>
        </w:rPr>
      </w:pPr>
      <w:r>
        <w:rPr>
          <w:rFonts w:hint="eastAsia" w:ascii="微软雅黑" w:hAnsi="微软雅黑" w:eastAsia="微软雅黑"/>
          <w:color w:val="auto"/>
          <w:sz w:val="30"/>
          <w:szCs w:val="30"/>
          <w:highlight w:val="none"/>
        </w:rPr>
        <w:t>四、中标候选人推荐原则</w:t>
      </w:r>
    </w:p>
    <w:p w14:paraId="5137D9B0">
      <w:pPr>
        <w:pStyle w:val="23"/>
        <w:spacing w:line="360" w:lineRule="auto"/>
        <w:ind w:firstLine="420" w:firstLineChars="200"/>
        <w:contextualSpacing/>
        <w:rPr>
          <w:rFonts w:ascii="微软雅黑" w:hAnsi="微软雅黑" w:eastAsia="微软雅黑"/>
          <w:color w:val="auto"/>
          <w:sz w:val="21"/>
          <w:highlight w:val="none"/>
        </w:rPr>
      </w:pPr>
      <w:r>
        <w:rPr>
          <w:rFonts w:hint="eastAsia" w:ascii="微软雅黑" w:hAnsi="微软雅黑" w:eastAsia="微软雅黑"/>
          <w:color w:val="auto"/>
          <w:sz w:val="21"/>
          <w:highlight w:val="none"/>
        </w:rPr>
        <w:t>1</w:t>
      </w: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评标委员会根据原始评标记录和评标结果编写评标报告，并通过电子交易平台向采购人、采购代理机构提交。</w:t>
      </w:r>
    </w:p>
    <w:p w14:paraId="6FAB1056">
      <w:pPr>
        <w:pStyle w:val="23"/>
        <w:spacing w:line="360" w:lineRule="auto"/>
        <w:ind w:firstLine="420" w:firstLineChars="200"/>
        <w:contextualSpacing/>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评标委员会将根据总得分由高到低排列次序并推荐中标候选人。得分相同的，以投标报价由低到高顺序排列。得分相同且投标报价相同的并列，投标文件满足招标文件全部实质性要求，且按照投标人须知前附表</w:t>
      </w:r>
      <w:r>
        <w:rPr>
          <w:rFonts w:ascii="微软雅黑" w:hAnsi="微软雅黑" w:eastAsia="微软雅黑"/>
          <w:color w:val="auto"/>
          <w:sz w:val="21"/>
          <w:highlight w:val="none"/>
        </w:rPr>
        <w:t>30.1</w:t>
      </w:r>
      <w:r>
        <w:rPr>
          <w:rFonts w:hint="eastAsia" w:ascii="微软雅黑" w:hAnsi="微软雅黑" w:eastAsia="微软雅黑"/>
          <w:color w:val="auto"/>
          <w:sz w:val="21"/>
          <w:highlight w:val="none"/>
        </w:rPr>
        <w:t>约定的评审因素的量化指标评审得分最高的投标人为排名第一的中标候选人。</w:t>
      </w:r>
    </w:p>
    <w:p w14:paraId="0D9D4537">
      <w:pPr>
        <w:pStyle w:val="5"/>
        <w:keepNext w:val="0"/>
        <w:keepLines w:val="0"/>
        <w:jc w:val="center"/>
        <w:rPr>
          <w:rFonts w:hint="eastAsia" w:ascii="微软雅黑" w:hAnsi="微软雅黑" w:eastAsia="微软雅黑"/>
          <w:b w:val="0"/>
          <w:color w:val="auto"/>
          <w:sz w:val="24"/>
          <w:highlight w:val="none"/>
        </w:rPr>
      </w:pPr>
      <w:r>
        <w:rPr>
          <w:rFonts w:ascii="微软雅黑" w:hAnsi="微软雅黑" w:eastAsia="微软雅黑"/>
          <w:b w:val="0"/>
          <w:color w:val="auto"/>
          <w:sz w:val="24"/>
          <w:highlight w:val="none"/>
        </w:rPr>
        <w:br w:type="page"/>
      </w:r>
    </w:p>
    <w:p w14:paraId="679462FF">
      <w:pPr>
        <w:spacing w:before="120" w:beforeLines="50" w:after="120" w:afterLines="50" w:line="400" w:lineRule="exact"/>
        <w:rPr>
          <w:rFonts w:hint="eastAsia" w:ascii="微软雅黑" w:hAnsi="微软雅黑" w:eastAsia="微软雅黑"/>
          <w:b/>
          <w:color w:val="auto"/>
          <w:sz w:val="24"/>
          <w:highlight w:val="none"/>
        </w:rPr>
      </w:pPr>
    </w:p>
    <w:p w14:paraId="13DF0952">
      <w:pPr>
        <w:spacing w:before="120" w:beforeLines="50" w:after="120" w:afterLines="50" w:line="400" w:lineRule="exact"/>
        <w:rPr>
          <w:rFonts w:hint="eastAsia" w:ascii="微软雅黑" w:hAnsi="微软雅黑" w:eastAsia="微软雅黑"/>
          <w:b/>
          <w:color w:val="auto"/>
          <w:sz w:val="24"/>
          <w:highlight w:val="none"/>
        </w:rPr>
      </w:pPr>
    </w:p>
    <w:p w14:paraId="59AF43E1">
      <w:pPr>
        <w:spacing w:before="120" w:beforeLines="50" w:after="120" w:afterLines="50" w:line="400" w:lineRule="exact"/>
        <w:rPr>
          <w:rFonts w:hint="eastAsia" w:ascii="微软雅黑" w:hAnsi="微软雅黑" w:eastAsia="微软雅黑"/>
          <w:b/>
          <w:color w:val="auto"/>
          <w:sz w:val="24"/>
          <w:highlight w:val="none"/>
        </w:rPr>
      </w:pPr>
    </w:p>
    <w:p w14:paraId="71AA0E74">
      <w:pPr>
        <w:spacing w:before="120" w:beforeLines="50" w:after="120" w:afterLines="50" w:line="400" w:lineRule="exact"/>
        <w:rPr>
          <w:rFonts w:hint="eastAsia" w:ascii="微软雅黑" w:hAnsi="微软雅黑" w:eastAsia="微软雅黑"/>
          <w:b/>
          <w:color w:val="auto"/>
          <w:sz w:val="24"/>
          <w:highlight w:val="none"/>
        </w:rPr>
      </w:pPr>
    </w:p>
    <w:p w14:paraId="48A4136B">
      <w:pPr>
        <w:spacing w:before="120" w:beforeLines="50" w:after="120" w:afterLines="50" w:line="400" w:lineRule="exact"/>
        <w:rPr>
          <w:rFonts w:hint="eastAsia" w:ascii="微软雅黑" w:hAnsi="微软雅黑" w:eastAsia="微软雅黑"/>
          <w:b/>
          <w:color w:val="auto"/>
          <w:sz w:val="24"/>
          <w:highlight w:val="none"/>
        </w:rPr>
      </w:pPr>
    </w:p>
    <w:p w14:paraId="5F5C52ED">
      <w:pPr>
        <w:spacing w:before="120" w:beforeLines="50" w:after="120" w:afterLines="50" w:line="400" w:lineRule="exact"/>
        <w:rPr>
          <w:rFonts w:hint="eastAsia" w:ascii="微软雅黑" w:hAnsi="微软雅黑" w:eastAsia="微软雅黑"/>
          <w:b/>
          <w:color w:val="auto"/>
          <w:sz w:val="24"/>
          <w:highlight w:val="none"/>
        </w:rPr>
      </w:pPr>
    </w:p>
    <w:p w14:paraId="21D1E77C">
      <w:pPr>
        <w:spacing w:before="120" w:beforeLines="50" w:after="120" w:afterLines="50" w:line="400" w:lineRule="exact"/>
        <w:rPr>
          <w:rFonts w:hint="eastAsia" w:ascii="微软雅黑" w:hAnsi="微软雅黑" w:eastAsia="微软雅黑"/>
          <w:b/>
          <w:color w:val="auto"/>
          <w:sz w:val="24"/>
          <w:highlight w:val="none"/>
        </w:rPr>
      </w:pPr>
    </w:p>
    <w:p w14:paraId="093DB4E6">
      <w:pPr>
        <w:spacing w:before="120" w:beforeLines="50" w:after="120" w:afterLines="50" w:line="400" w:lineRule="exact"/>
        <w:rPr>
          <w:rFonts w:hint="eastAsia" w:ascii="微软雅黑" w:hAnsi="微软雅黑" w:eastAsia="微软雅黑"/>
          <w:b/>
          <w:color w:val="auto"/>
          <w:sz w:val="24"/>
          <w:highlight w:val="none"/>
        </w:rPr>
      </w:pPr>
    </w:p>
    <w:p w14:paraId="17B0C172">
      <w:pPr>
        <w:spacing w:before="120" w:beforeLines="50" w:after="120" w:afterLines="50" w:line="400" w:lineRule="exact"/>
        <w:rPr>
          <w:rFonts w:hint="eastAsia" w:ascii="微软雅黑" w:hAnsi="微软雅黑" w:eastAsia="微软雅黑"/>
          <w:b/>
          <w:color w:val="auto"/>
          <w:sz w:val="24"/>
          <w:highlight w:val="none"/>
        </w:rPr>
      </w:pPr>
    </w:p>
    <w:p w14:paraId="3BE13CEB">
      <w:pPr>
        <w:pStyle w:val="3"/>
        <w:jc w:val="center"/>
        <w:rPr>
          <w:rFonts w:hint="eastAsia" w:ascii="微软雅黑" w:hAnsi="微软雅黑" w:eastAsia="微软雅黑"/>
          <w:color w:val="auto"/>
          <w:highlight w:val="none"/>
        </w:rPr>
      </w:pPr>
      <w:bookmarkStart w:id="283" w:name="_Toc25250"/>
      <w:r>
        <w:rPr>
          <w:rFonts w:hint="eastAsia" w:ascii="微软雅黑" w:hAnsi="微软雅黑" w:eastAsia="微软雅黑"/>
          <w:color w:val="auto"/>
          <w:highlight w:val="none"/>
        </w:rPr>
        <w:t>第五章  拟签订的合同文本</w:t>
      </w:r>
      <w:bookmarkEnd w:id="283"/>
    </w:p>
    <w:p w14:paraId="54F50149">
      <w:pPr>
        <w:snapToGrid w:val="0"/>
        <w:jc w:val="center"/>
        <w:rPr>
          <w:rFonts w:hint="eastAsia" w:ascii="微软雅黑" w:hAnsi="微软雅黑" w:eastAsia="微软雅黑"/>
          <w:bCs/>
          <w:color w:val="auto"/>
          <w:sz w:val="32"/>
          <w:szCs w:val="32"/>
          <w:highlight w:val="none"/>
        </w:rPr>
      </w:pPr>
    </w:p>
    <w:p w14:paraId="4CB8E7E4">
      <w:pPr>
        <w:snapToGrid w:val="0"/>
        <w:jc w:val="center"/>
        <w:rPr>
          <w:rFonts w:hint="eastAsia" w:ascii="微软雅黑" w:hAnsi="微软雅黑" w:eastAsia="微软雅黑"/>
          <w:bCs/>
          <w:color w:val="auto"/>
          <w:sz w:val="32"/>
          <w:szCs w:val="32"/>
          <w:highlight w:val="none"/>
        </w:rPr>
      </w:pPr>
    </w:p>
    <w:p w14:paraId="7FF24172">
      <w:pPr>
        <w:snapToGrid w:val="0"/>
        <w:jc w:val="center"/>
        <w:rPr>
          <w:rFonts w:hint="eastAsia" w:ascii="微软雅黑" w:hAnsi="微软雅黑" w:eastAsia="微软雅黑"/>
          <w:bCs/>
          <w:color w:val="auto"/>
          <w:sz w:val="32"/>
          <w:szCs w:val="32"/>
          <w:highlight w:val="none"/>
        </w:rPr>
      </w:pPr>
    </w:p>
    <w:p w14:paraId="6455D242">
      <w:pPr>
        <w:snapToGrid w:val="0"/>
        <w:jc w:val="center"/>
        <w:rPr>
          <w:rFonts w:hint="eastAsia" w:ascii="微软雅黑" w:hAnsi="微软雅黑" w:eastAsia="微软雅黑"/>
          <w:bCs/>
          <w:color w:val="auto"/>
          <w:sz w:val="32"/>
          <w:szCs w:val="32"/>
          <w:highlight w:val="none"/>
        </w:rPr>
      </w:pPr>
    </w:p>
    <w:p w14:paraId="4BA68E1C">
      <w:pPr>
        <w:snapToGrid w:val="0"/>
        <w:jc w:val="center"/>
        <w:rPr>
          <w:rFonts w:hint="eastAsia" w:ascii="微软雅黑" w:hAnsi="微软雅黑" w:eastAsia="微软雅黑"/>
          <w:bCs/>
          <w:color w:val="auto"/>
          <w:sz w:val="32"/>
          <w:szCs w:val="32"/>
          <w:highlight w:val="none"/>
        </w:rPr>
      </w:pPr>
    </w:p>
    <w:p w14:paraId="2AAA3E82">
      <w:pPr>
        <w:snapToGrid w:val="0"/>
        <w:jc w:val="center"/>
        <w:rPr>
          <w:rFonts w:hint="eastAsia" w:ascii="微软雅黑" w:hAnsi="微软雅黑" w:eastAsia="微软雅黑"/>
          <w:bCs/>
          <w:color w:val="auto"/>
          <w:sz w:val="32"/>
          <w:szCs w:val="32"/>
          <w:highlight w:val="none"/>
        </w:rPr>
      </w:pPr>
    </w:p>
    <w:p w14:paraId="3D26C043">
      <w:pPr>
        <w:snapToGrid w:val="0"/>
        <w:jc w:val="center"/>
        <w:rPr>
          <w:rFonts w:hint="eastAsia" w:ascii="微软雅黑" w:hAnsi="微软雅黑" w:eastAsia="微软雅黑"/>
          <w:bCs/>
          <w:color w:val="auto"/>
          <w:sz w:val="32"/>
          <w:szCs w:val="32"/>
          <w:highlight w:val="none"/>
        </w:rPr>
      </w:pPr>
    </w:p>
    <w:p w14:paraId="03DC0216">
      <w:pPr>
        <w:snapToGrid w:val="0"/>
        <w:spacing w:before="120" w:line="360" w:lineRule="auto"/>
        <w:jc w:val="center"/>
        <w:outlineLvl w:val="1"/>
        <w:rPr>
          <w:rFonts w:hint="eastAsia" w:ascii="微软雅黑" w:hAnsi="微软雅黑" w:eastAsia="微软雅黑" w:cs="微软雅黑"/>
          <w:b/>
          <w:color w:val="auto"/>
          <w:sz w:val="32"/>
          <w:szCs w:val="32"/>
          <w:highlight w:val="none"/>
        </w:rPr>
      </w:pPr>
      <w:r>
        <w:rPr>
          <w:rFonts w:ascii="微软雅黑" w:hAnsi="微软雅黑" w:eastAsia="微软雅黑"/>
          <w:bCs/>
          <w:color w:val="auto"/>
          <w:highlight w:val="none"/>
        </w:rPr>
        <w:br w:type="page"/>
      </w:r>
      <w:r>
        <w:rPr>
          <w:rFonts w:hint="eastAsia" w:ascii="宋体" w:hAnsi="宋体" w:cs="宋体"/>
          <w:b/>
          <w:bCs/>
          <w:color w:val="auto"/>
          <w:sz w:val="44"/>
          <w:szCs w:val="44"/>
          <w:highlight w:val="none"/>
        </w:rPr>
        <w:t>广西壮族自治区政府采购合同</w:t>
      </w:r>
    </w:p>
    <w:p w14:paraId="497C4943">
      <w:pPr>
        <w:snapToGrid w:val="0"/>
        <w:spacing w:before="120" w:line="360" w:lineRule="auto"/>
        <w:ind w:right="0"/>
        <w:jc w:val="both"/>
        <w:outlineLvl w:val="1"/>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color w:val="auto"/>
          <w:szCs w:val="21"/>
          <w:highlight w:val="none"/>
        </w:rPr>
        <w:t>采购计划号：</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r>
        <w:rPr>
          <w:rFonts w:hint="eastAsia" w:ascii="微软雅黑" w:hAnsi="微软雅黑" w:eastAsia="微软雅黑" w:cs="微软雅黑"/>
          <w:bCs/>
          <w:color w:val="auto"/>
          <w:szCs w:val="21"/>
          <w:highlight w:val="none"/>
        </w:rPr>
        <w:t>合同编号：</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p>
    <w:p w14:paraId="1C316055">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采购人（甲方）：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供应商（乙方）：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14:paraId="2C70E6E2">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项目编号：</w:t>
      </w:r>
      <w:r>
        <w:rPr>
          <w:rFonts w:hint="eastAsia" w:ascii="微软雅黑" w:hAnsi="微软雅黑" w:eastAsia="微软雅黑" w:cs="微软雅黑"/>
          <w:color w:val="auto"/>
          <w:szCs w:val="21"/>
          <w:highlight w:val="none"/>
          <w:u w:val="single"/>
        </w:rPr>
        <w:t xml:space="preserve">                          </w:t>
      </w:r>
    </w:p>
    <w:p w14:paraId="5AF015D8">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签订地点：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签订时间：</w:t>
      </w:r>
      <w:r>
        <w:rPr>
          <w:rFonts w:hint="eastAsia" w:ascii="微软雅黑" w:hAnsi="微软雅黑" w:eastAsia="微软雅黑" w:cs="微软雅黑"/>
          <w:color w:val="auto"/>
          <w:szCs w:val="21"/>
          <w:highlight w:val="none"/>
          <w:u w:val="single"/>
        </w:rPr>
        <w:t xml:space="preserve">                        </w:t>
      </w:r>
    </w:p>
    <w:p w14:paraId="513A703C">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本合同为中小企业预留合同：</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w:t>
      </w:r>
    </w:p>
    <w:p w14:paraId="1F16E464">
      <w:pPr>
        <w:spacing w:line="360" w:lineRule="auto"/>
        <w:ind w:firstLine="420" w:firstLineChars="200"/>
        <w:rPr>
          <w:rFonts w:hint="eastAsia" w:ascii="微软雅黑" w:hAnsi="微软雅黑" w:eastAsia="微软雅黑" w:cs="微软雅黑"/>
          <w:color w:val="auto"/>
          <w:szCs w:val="21"/>
          <w:highlight w:val="none"/>
        </w:rPr>
      </w:pPr>
    </w:p>
    <w:p w14:paraId="3FF2561A">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根据</w:t>
      </w:r>
      <w:r>
        <w:rPr>
          <w:rFonts w:hint="eastAsia" w:ascii="微软雅黑" w:hAnsi="微软雅黑" w:eastAsia="微软雅黑" w:cs="微软雅黑"/>
          <w:color w:val="auto"/>
          <w:szCs w:val="21"/>
          <w:highlight w:val="none"/>
        </w:rPr>
        <w:t>《中华人民共和国政府采购法》《政府采购货物和服务招标投标管理办法》《中华人民共和国民法典》</w:t>
      </w:r>
      <w:r>
        <w:rPr>
          <w:rFonts w:hint="eastAsia" w:ascii="微软雅黑" w:hAnsi="微软雅黑" w:eastAsia="微软雅黑" w:cs="微软雅黑"/>
          <w:color w:val="auto"/>
          <w:szCs w:val="21"/>
          <w:highlight w:val="none"/>
          <w:lang w:bidi="ar"/>
        </w:rPr>
        <w:t>等法律、法规规定，按照招标文件规定条款和乙方投标文件及其承诺，甲乙双方签订本合同。</w:t>
      </w:r>
    </w:p>
    <w:p w14:paraId="27E5D705">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第一条　合同标的</w:t>
      </w:r>
    </w:p>
    <w:p w14:paraId="4C8EDB79">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1、合同总金额：</w:t>
      </w:r>
      <w:r>
        <w:rPr>
          <w:rFonts w:hint="eastAsia" w:ascii="微软雅黑" w:hAnsi="微软雅黑" w:eastAsia="微软雅黑" w:cs="微软雅黑"/>
          <w:color w:val="auto"/>
          <w:szCs w:val="21"/>
          <w:highlight w:val="none"/>
          <w:u w:val="single"/>
          <w:lang w:val="en-US" w:eastAsia="zh-CN" w:bidi="ar"/>
        </w:rPr>
        <w:t>人民币</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u w:val="single"/>
          <w:lang w:eastAsia="zh-CN" w:bidi="ar"/>
        </w:rPr>
        <w:t>（</w:t>
      </w:r>
      <w:r>
        <w:rPr>
          <w:rFonts w:hint="eastAsia" w:ascii="微软雅黑" w:hAnsi="微软雅黑" w:eastAsia="微软雅黑" w:cs="微软雅黑"/>
          <w:color w:val="auto"/>
          <w:szCs w:val="21"/>
          <w:highlight w:val="none"/>
          <w:u w:val="single"/>
          <w:lang w:val="en-US" w:eastAsia="zh-CN" w:bidi="ar"/>
        </w:rPr>
        <w:t xml:space="preserve">¥                   </w:t>
      </w:r>
      <w:r>
        <w:rPr>
          <w:rFonts w:hint="eastAsia" w:ascii="微软雅黑" w:hAnsi="微软雅黑" w:eastAsia="微软雅黑" w:cs="微软雅黑"/>
          <w:color w:val="auto"/>
          <w:szCs w:val="21"/>
          <w:highlight w:val="none"/>
          <w:u w:val="single"/>
          <w:lang w:eastAsia="zh-CN" w:bidi="ar"/>
        </w:rPr>
        <w:t>）</w:t>
      </w:r>
    </w:p>
    <w:p w14:paraId="797EABD0">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2、服务内容一览表（详见附件中的响应报价表）</w:t>
      </w:r>
    </w:p>
    <w:p w14:paraId="6F68445B">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3、合同总金额包含满足</w:t>
      </w:r>
      <w:r>
        <w:rPr>
          <w:rFonts w:hint="eastAsia" w:ascii="微软雅黑" w:hAnsi="微软雅黑" w:eastAsia="微软雅黑" w:cs="微软雅黑"/>
          <w:color w:val="auto"/>
          <w:szCs w:val="21"/>
          <w:highlight w:val="none"/>
        </w:rPr>
        <w:t>本项目服务所有运输、装卸、安装、售后服务、税金、利润及其他所有可能发生的一切费用</w:t>
      </w:r>
      <w:r>
        <w:rPr>
          <w:rFonts w:hint="eastAsia" w:ascii="微软雅黑" w:hAnsi="微软雅黑" w:eastAsia="微软雅黑" w:cs="微软雅黑"/>
          <w:color w:val="auto"/>
          <w:szCs w:val="21"/>
          <w:highlight w:val="none"/>
          <w:lang w:bidi="ar"/>
        </w:rPr>
        <w:t>。</w:t>
      </w:r>
    </w:p>
    <w:p w14:paraId="6FAAE018">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第二条　质量保证</w:t>
      </w:r>
    </w:p>
    <w:p w14:paraId="1E56A857">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乙方所提供的服务及服务内容必须与投标文件承诺相一致，有国家强制性标准的，还必须符合国家强制性标准的规定，没有国家强制性标准但有其他强制性标准的，必须符合其他强制性标准的规定。</w:t>
      </w:r>
    </w:p>
    <w:p w14:paraId="15E01D98">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第三条　权利保证</w:t>
      </w:r>
    </w:p>
    <w:p w14:paraId="52D898D8">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1、乙方应保证所提供服务在使用时不会侵犯任何第三方的专利权、商标权、工业设计权等知识产权及其他合法权利，且所有权、处分权等没有受到任何限制。</w:t>
      </w:r>
    </w:p>
    <w:p w14:paraId="6989296F">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6E6FDA0D">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第四条　交付和验收</w:t>
      </w:r>
    </w:p>
    <w:p w14:paraId="6A9D64EA">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1、服务期限：</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u w:val="single"/>
          <w:lang w:val="en-US" w:eastAsia="zh-CN" w:bidi="ar"/>
        </w:rPr>
        <w:t xml:space="preserve">    </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，服务地点：</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w:t>
      </w:r>
    </w:p>
    <w:p w14:paraId="7E4813DF">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2、乙方应按投标文件的承诺向甲方提供相应的服务，并提供所服务内容的相关技术资料。</w:t>
      </w:r>
    </w:p>
    <w:p w14:paraId="5568D8F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3、乙方提供不符合投标文件和本合同规定的服务成果，甲方有权拒绝接受。</w:t>
      </w:r>
    </w:p>
    <w:p w14:paraId="7E06F99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4、乙方完成服务后应及时书面通知甲方进行验收，甲方应在收到通知后五个工作日内进行验收，逾期不开始验收的，乙方可视同验收合格。验收合格后由甲乙双方签署验收单并加盖甲方公章，甲乙双方各执一份。</w:t>
      </w:r>
    </w:p>
    <w:p w14:paraId="22F75AE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5、甲乙双方应按照《广西壮族自治区政府采购项目履约验收管理办法》、双方合同、投标文件验收。</w:t>
      </w:r>
    </w:p>
    <w:p w14:paraId="10CC6B1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6、甲方在初步验收或者</w:t>
      </w:r>
      <w:r>
        <w:rPr>
          <w:rFonts w:hint="eastAsia" w:ascii="微软雅黑" w:hAnsi="微软雅黑" w:eastAsia="微软雅黑" w:cs="微软雅黑"/>
          <w:color w:val="auto"/>
          <w:szCs w:val="21"/>
          <w:highlight w:val="none"/>
          <w:lang w:eastAsia="zh-CN" w:bidi="ar"/>
        </w:rPr>
        <w:t>竣工验收</w:t>
      </w:r>
      <w:r>
        <w:rPr>
          <w:rFonts w:hint="eastAsia" w:ascii="微软雅黑" w:hAnsi="微软雅黑" w:eastAsia="微软雅黑" w:cs="微软雅黑"/>
          <w:color w:val="auto"/>
          <w:szCs w:val="21"/>
          <w:highlight w:val="none"/>
          <w:lang w:bidi="ar"/>
        </w:rPr>
        <w:t>过程中如发现乙方提供的服务成果不满足投标文件及本合同规定的，可暂缓向乙方付款，直到乙方及时完善并提交相应的服务成果且经甲方验收合格后，方可办理付款。</w:t>
      </w:r>
    </w:p>
    <w:p w14:paraId="374859D0">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7、甲方验收时以书面形式提出异议的，乙方应自收到甲方书面异议后五个工作日内及时予以解决，否则甲方有权不出具服务验收合格单。</w:t>
      </w:r>
    </w:p>
    <w:p w14:paraId="2742BE31">
      <w:pPr>
        <w:snapToGrid w:val="0"/>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第五条  售后服务及培训</w:t>
      </w:r>
    </w:p>
    <w:p w14:paraId="0664F0EE">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1、乙方应按照国家有关法律法规和本合同所附的《售后服务承诺》要求为甲方提供相应的售后服务。</w:t>
      </w:r>
    </w:p>
    <w:p w14:paraId="1CA8E15A">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2、甲方应提供必要测试条件（如场地、电源、水源等）。</w:t>
      </w:r>
    </w:p>
    <w:p w14:paraId="3261647B">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3、乙方负责甲方有关人员的培训。培训时间、地点：</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w:t>
      </w:r>
    </w:p>
    <w:p w14:paraId="2775378F">
      <w:pPr>
        <w:snapToGrid w:val="0"/>
        <w:spacing w:line="360" w:lineRule="auto"/>
        <w:ind w:firstLine="420" w:firstLineChars="200"/>
        <w:rPr>
          <w:rFonts w:hint="eastAsia" w:ascii="微软雅黑" w:hAnsi="微软雅黑" w:eastAsia="微软雅黑" w:cs="微软雅黑"/>
          <w:b/>
          <w:color w:val="auto"/>
          <w:szCs w:val="21"/>
          <w:highlight w:val="none"/>
          <w:lang w:bidi="ar"/>
        </w:rPr>
      </w:pPr>
      <w:r>
        <w:rPr>
          <w:rFonts w:hint="eastAsia" w:ascii="微软雅黑" w:hAnsi="微软雅黑" w:eastAsia="微软雅黑" w:cs="微软雅黑"/>
          <w:b/>
          <w:color w:val="auto"/>
          <w:szCs w:val="21"/>
          <w:highlight w:val="none"/>
          <w:lang w:bidi="ar"/>
        </w:rPr>
        <w:t>第六条　付款方式</w:t>
      </w:r>
    </w:p>
    <w:p w14:paraId="1C0E8087">
      <w:pPr>
        <w:snapToGrid w:val="0"/>
        <w:spacing w:line="360" w:lineRule="auto"/>
        <w:ind w:firstLine="420" w:firstLineChars="200"/>
        <w:rPr>
          <w:rFonts w:hint="eastAsia" w:ascii="微软雅黑" w:hAnsi="微软雅黑" w:eastAsia="微软雅黑" w:cs="微软雅黑"/>
          <w:b/>
          <w:color w:val="auto"/>
          <w:szCs w:val="21"/>
          <w:highlight w:val="none"/>
          <w:u w:val="single"/>
          <w:lang w:bidi="ar"/>
        </w:rPr>
      </w:pPr>
      <w:r>
        <w:rPr>
          <w:rFonts w:hint="eastAsia" w:ascii="微软雅黑" w:hAnsi="微软雅黑" w:eastAsia="微软雅黑" w:cs="微软雅黑"/>
          <w:b/>
          <w:color w:val="auto"/>
          <w:szCs w:val="21"/>
          <w:highlight w:val="none"/>
          <w:u w:val="single"/>
          <w:lang w:bidi="ar"/>
        </w:rPr>
        <w:t xml:space="preserve">                                                </w:t>
      </w:r>
    </w:p>
    <w:p w14:paraId="74EB0DA5">
      <w:pPr>
        <w:snapToGrid w:val="0"/>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第七条　履约保证金</w:t>
      </w:r>
    </w:p>
    <w:p w14:paraId="61C541AF">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1、履约保证金：按合同金额的</w:t>
      </w:r>
      <w:r>
        <w:rPr>
          <w:rFonts w:hint="eastAsia" w:ascii="微软雅黑" w:hAnsi="微软雅黑" w:eastAsia="微软雅黑" w:cs="微软雅黑"/>
          <w:color w:val="auto"/>
          <w:szCs w:val="21"/>
          <w:highlight w:val="none"/>
          <w:lang w:val="en-US" w:eastAsia="zh-CN" w:bidi="ar"/>
        </w:rPr>
        <w:t>2</w:t>
      </w:r>
      <w:r>
        <w:rPr>
          <w:rFonts w:hint="eastAsia" w:ascii="微软雅黑" w:hAnsi="微软雅黑" w:eastAsia="微软雅黑" w:cs="微软雅黑"/>
          <w:color w:val="auto"/>
          <w:szCs w:val="21"/>
          <w:highlight w:val="none"/>
          <w:lang w:bidi="ar"/>
        </w:rPr>
        <w:t>%收取。</w:t>
      </w:r>
    </w:p>
    <w:p w14:paraId="36F55545">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2、履约保证金递交时间：签订合同后5个工作日内由乙方转入甲方指定保证金账户：</w:t>
      </w:r>
    </w:p>
    <w:p w14:paraId="75F37AA1">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开户名称：广西壮族自治区公安厅</w:t>
      </w:r>
    </w:p>
    <w:p w14:paraId="132D7020">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开户银行：工行南宁市凤翔北支行</w:t>
      </w:r>
    </w:p>
    <w:p w14:paraId="60A2DD91">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银行账号：2102109509300002155</w:t>
      </w:r>
    </w:p>
    <w:p w14:paraId="1C94065C">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3、履约保证金递交方式：银行转账、支票、汇票、本票或者金融机构、担保机构出具的保函等非现金方式。</w:t>
      </w:r>
    </w:p>
    <w:p w14:paraId="7524F24C">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4、履约保证金退付方式、时间及条件：服务期满，待乙方履行完合同全部义务后，如未出现违约事项的，5个工作日内无息返还。由乙方向甲方提供《广西壮族自治区政府采购项目合同验收书》及《政府采购项目履约保证金退付意见书》，甲方在收到合格材料后15个工作日内办理退还手续（不计利息）。</w:t>
      </w:r>
    </w:p>
    <w:p w14:paraId="59068C46">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第八条  税费</w:t>
      </w:r>
    </w:p>
    <w:p w14:paraId="1AA44074">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本合同执行中相关的一切税费均由乙方负担，合同另有约定的除外。</w:t>
      </w:r>
    </w:p>
    <w:p w14:paraId="74B8C7DD">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第九条　违约责任</w:t>
      </w:r>
    </w:p>
    <w:p w14:paraId="79BC3A9C">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乙方未按期限提交成果，每逾期一日乙方应向甲方支付合同总额10‰的违约金，逾期超过10日或者修订后再次提交的成果不符合约定的，甲方有权解除合同、没收履约保证金并拒绝支付任何费用，已经支付的费用乙方应当全额退还（逾期退还的，按资金占用期间同期银行贷款利息的两倍支付利息），并且乙方应向甲方支付相当于合同金额30%的违约金，违约金不足以赔偿甲方损失的，乙方还须赔偿甲方全部损失。</w:t>
      </w:r>
    </w:p>
    <w:p w14:paraId="518C9EF4">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2、乙方提供的成果如侵犯了第三方合法权益而引发的任何纠纷或诉讼，均由乙方负责交涉并承担全部责任，由此造成甲方损失的，包括但不限于应诉的律师费诉讼费等，均由乙方全部赔偿。</w:t>
      </w:r>
    </w:p>
    <w:p w14:paraId="33FA2B8B">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3、由于甲方的原因造成合同不能如期履行的，双方可根据具体情况顺延合同的履行期，对乙方因此遭受的实际损失，甲方应予以合理补偿。</w:t>
      </w:r>
    </w:p>
    <w:p w14:paraId="03D16911">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4、乙方所提供的服务成果、数量、技术参数要求等不符合本合同要求的，应及时整改；乙方在甲方规定期限内不能完成整改的或无正当理由拒绝整改或经整改后仍不能达到甲方要求的，甲方有权终止合同，违约责任按照本条第1款执行。</w:t>
      </w:r>
    </w:p>
    <w:p w14:paraId="32EA7670">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5、乙方中标后被发现其在投标活动中提供任何虚假材料的，甲方有权解除合同，并按照本条第1款追究乙方违约责任。</w:t>
      </w:r>
    </w:p>
    <w:p w14:paraId="5C112266">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6、甲方有权依据招标文件、响应文件对乙方的服务人员进行管理或要求更换，对于甲方要求更换服务人员的，乙方应无条件及时更换；乙方拒绝更换的，甲方有权终止合同，追回已付款项，并按本合同金额的10%计算违约金。</w:t>
      </w:r>
    </w:p>
    <w:p w14:paraId="7ABE893E">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7、除因甲方自身原因外，若因乙方操作造成甲方系统数据丢失、泄密的，乙方应按合同金额的30%支付违约金，违约金不足以弥补甲方损失的，乙方还应支付赔偿金。</w:t>
      </w:r>
    </w:p>
    <w:p w14:paraId="00936867">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8、乙方未按本合同和响应文件中规定的服务承诺提供售后服务的，每出现一次，乙方应按合同金额5%支付违约金；若乙方明确拒绝或怠于提供售后服务的，甲方有权聘请第三方机构提供售后服务，因此产生的费用均由乙方承担。</w:t>
      </w:r>
    </w:p>
    <w:p w14:paraId="1C060D9C">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9、如乙方违反合同约定及甲方要求的信息安全及保密要求，每违反一次收取合同金额2%的违约金，累计不超过合同金额的30%，违约金不足以弥补甲方实际损失的，还应支付赔偿金。</w:t>
      </w:r>
    </w:p>
    <w:p w14:paraId="5CE962CF">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10、本合同项下所指的损失是指甲方因乙方违约而遭受的全部经济损失（包括但不限于直接损失、间接损失及实现债权的费用，如诉讼费、保全费、财产保全责任险保险费、调查取证费、鉴定费、律师费、差旅费等）。</w:t>
      </w:r>
    </w:p>
    <w:p w14:paraId="7C4B88E9">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11、甲方有权从未付价款、履约保证金中先行扣除乙方应支付的违约金、赔偿金，不足另补。</w:t>
      </w:r>
    </w:p>
    <w:p w14:paraId="51039193">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第十条  不可抗力事件处理</w:t>
      </w:r>
    </w:p>
    <w:p w14:paraId="16F42DE8">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1、在合同有效期内，任何一方因不可抗力事件导致不能履行合同，则合同履行期可延长，其延长期与不可抗力影响期相同。</w:t>
      </w:r>
    </w:p>
    <w:p w14:paraId="167F2D86">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2、不可抗力事件发生后，应立即通知对方，并寄送有关权威机构出具的证明。</w:t>
      </w:r>
    </w:p>
    <w:p w14:paraId="134853E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3、不可抗力事件延续一百二十天以上，双方应通过友好协商，确定是否继续履行合同。</w:t>
      </w:r>
    </w:p>
    <w:p w14:paraId="41418FB7">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第十一条  合同争议解决</w:t>
      </w:r>
    </w:p>
    <w:p w14:paraId="3F2BB838">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1、因服务质量问题发生争议的，应邀请国家认可的质量检测机构进行鉴定。服务符合标准的，鉴定费由甲方承担；服务不符合标准的，鉴定费由乙方承担。</w:t>
      </w:r>
    </w:p>
    <w:p w14:paraId="0A475E73">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2、因履行本合同引起的或者与本合同有关的争议，甲乙双方应首先通过友好协商解决，如果协商不能解决，可向甲方所在地有管辖权的人民法院提起诉讼。</w:t>
      </w:r>
    </w:p>
    <w:p w14:paraId="58815EB3">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3、诉讼期间，本合同继续履行。</w:t>
      </w:r>
    </w:p>
    <w:p w14:paraId="7878EDAD">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第十二条  合同生效及其他</w:t>
      </w:r>
    </w:p>
    <w:p w14:paraId="2133CBB6">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1、合同经双方法定代表人或者授权代表签字并加盖单位公章后生效（委托代理人签字的需后附法定代表人授权委托书，格式自拟）。</w:t>
      </w:r>
    </w:p>
    <w:p w14:paraId="7B0C8354">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2、合同执行中涉及采购资金和采购内容修改或者补充的，须经财政部门审批，并签书面补充协议报财政部门备案，方可作为主合同不可分割的一部分。</w:t>
      </w:r>
    </w:p>
    <w:p w14:paraId="66E4F1A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3、本合同未尽事宜，遵照《中华人民共和国民法典》有关条文执行。</w:t>
      </w:r>
    </w:p>
    <w:p w14:paraId="683C69DD">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第十三条　合同的变更、终止与转让</w:t>
      </w:r>
    </w:p>
    <w:p w14:paraId="15C287B2">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1、除《中华人民共和国政府采购法》第五十条规定的情形外，本合同一经签订，甲乙双方不得擅自变更、中止或者终止。</w:t>
      </w:r>
    </w:p>
    <w:p w14:paraId="0B7FE0C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2、乙方不得擅自转让其应履行的合同义务。</w:t>
      </w:r>
    </w:p>
    <w:p w14:paraId="5E63CC64">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第十四条　签订本合同依据</w:t>
      </w:r>
    </w:p>
    <w:p w14:paraId="253801CC">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1、中标通知书；</w:t>
      </w:r>
    </w:p>
    <w:p w14:paraId="79BEC0B4">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2、开标一览表；</w:t>
      </w:r>
    </w:p>
    <w:p w14:paraId="12D6632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3、投标函；</w:t>
      </w:r>
    </w:p>
    <w:p w14:paraId="771F9391">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4、商务条款偏离表和服务需求偏离表；</w:t>
      </w:r>
    </w:p>
    <w:p w14:paraId="1841354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5、售后服务方案；</w:t>
      </w:r>
    </w:p>
    <w:p w14:paraId="2126214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6、</w:t>
      </w:r>
      <w:r>
        <w:rPr>
          <w:rFonts w:hint="eastAsia" w:ascii="微软雅黑" w:hAnsi="微软雅黑" w:eastAsia="微软雅黑" w:cs="微软雅黑"/>
          <w:color w:val="auto"/>
          <w:highlight w:val="none"/>
          <w:lang w:bidi="ar"/>
        </w:rPr>
        <w:t>其他合同文件</w:t>
      </w:r>
      <w:r>
        <w:rPr>
          <w:rFonts w:hint="eastAsia" w:ascii="微软雅黑" w:hAnsi="微软雅黑" w:eastAsia="微软雅黑" w:cs="微软雅黑"/>
          <w:color w:val="auto"/>
          <w:szCs w:val="21"/>
          <w:highlight w:val="none"/>
          <w:lang w:bidi="ar"/>
        </w:rPr>
        <w:t>。</w:t>
      </w:r>
    </w:p>
    <w:p w14:paraId="77236ABA">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7、上述合同文件互相补充和解释。如果合同文件之间存在矛盾或者不一致之处，以上述文件的排列顺序在先者为准。</w:t>
      </w:r>
    </w:p>
    <w:p w14:paraId="39119D26">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第十五条　</w:t>
      </w:r>
      <w:r>
        <w:rPr>
          <w:rFonts w:hint="eastAsia" w:ascii="微软雅黑" w:hAnsi="微软雅黑" w:eastAsia="微软雅黑" w:cs="微软雅黑"/>
          <w:color w:val="auto"/>
          <w:szCs w:val="21"/>
          <w:highlight w:val="none"/>
          <w:lang w:bidi="ar"/>
        </w:rPr>
        <w:t>本合同一式四份，具有同等法律效力，财政部门（政府采购监管部门）、采购代理机构各一份，甲乙双方各一份（可根据需要另增加）。</w:t>
      </w:r>
    </w:p>
    <w:p w14:paraId="00F533C8">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本合同自签订之日起2个工作日内，甲方应当将采购合同在广西壮族自治区财政厅指定的媒体上公告。</w:t>
      </w:r>
    </w:p>
    <w:tbl>
      <w:tblPr>
        <w:tblStyle w:val="4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14:paraId="4D2D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264" w:type="dxa"/>
            <w:vAlign w:val="center"/>
          </w:tcPr>
          <w:p w14:paraId="01EE9E5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甲方（公章）：           </w:t>
            </w:r>
          </w:p>
          <w:p w14:paraId="2964C42B">
            <w:pPr>
              <w:snapToGrid w:val="0"/>
              <w:spacing w:line="360" w:lineRule="atLeast"/>
              <w:rPr>
                <w:rFonts w:hint="eastAsia" w:ascii="微软雅黑" w:hAnsi="微软雅黑" w:eastAsia="微软雅黑" w:cs="微软雅黑"/>
                <w:color w:val="auto"/>
                <w:szCs w:val="21"/>
                <w:highlight w:val="none"/>
              </w:rPr>
            </w:pPr>
          </w:p>
          <w:p w14:paraId="41A57086">
            <w:pPr>
              <w:snapToGrid w:val="0"/>
              <w:spacing w:line="360" w:lineRule="atLeast"/>
              <w:ind w:firstLine="945" w:firstLineChars="450"/>
              <w:jc w:val="righ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年   月   日</w:t>
            </w:r>
          </w:p>
        </w:tc>
        <w:tc>
          <w:tcPr>
            <w:tcW w:w="4264" w:type="dxa"/>
            <w:vAlign w:val="center"/>
          </w:tcPr>
          <w:p w14:paraId="543A3C70">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乙方（公章）：              </w:t>
            </w:r>
          </w:p>
          <w:p w14:paraId="2F854B0E">
            <w:pPr>
              <w:snapToGrid w:val="0"/>
              <w:spacing w:line="360" w:lineRule="atLeast"/>
              <w:rPr>
                <w:rFonts w:hint="eastAsia" w:ascii="微软雅黑" w:hAnsi="微软雅黑" w:eastAsia="微软雅黑" w:cs="微软雅黑"/>
                <w:color w:val="auto"/>
                <w:szCs w:val="21"/>
                <w:highlight w:val="none"/>
              </w:rPr>
            </w:pPr>
          </w:p>
          <w:p w14:paraId="4E6CB17E">
            <w:pPr>
              <w:snapToGrid w:val="0"/>
              <w:spacing w:line="360" w:lineRule="atLeast"/>
              <w:jc w:val="righ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年   月   日</w:t>
            </w:r>
          </w:p>
        </w:tc>
      </w:tr>
      <w:tr w14:paraId="2BC4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6C8BD8E9">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单位地址：</w:t>
            </w:r>
          </w:p>
        </w:tc>
        <w:tc>
          <w:tcPr>
            <w:tcW w:w="4264" w:type="dxa"/>
            <w:vAlign w:val="center"/>
          </w:tcPr>
          <w:p w14:paraId="4EB88250">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单位地址：</w:t>
            </w:r>
          </w:p>
        </w:tc>
      </w:tr>
      <w:tr w14:paraId="53D8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3139ABA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法定代表人：</w:t>
            </w:r>
          </w:p>
        </w:tc>
        <w:tc>
          <w:tcPr>
            <w:tcW w:w="4264" w:type="dxa"/>
            <w:vAlign w:val="center"/>
          </w:tcPr>
          <w:p w14:paraId="391B83DE">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法定代表人：</w:t>
            </w:r>
          </w:p>
        </w:tc>
      </w:tr>
      <w:tr w14:paraId="044A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5DE7E25C">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委托代理人</w:t>
            </w:r>
            <w:r>
              <w:rPr>
                <w:rFonts w:hint="eastAsia" w:ascii="微软雅黑" w:hAnsi="微软雅黑" w:eastAsia="微软雅黑" w:cs="微软雅黑"/>
                <w:color w:val="auto"/>
                <w:sz w:val="15"/>
                <w:szCs w:val="15"/>
                <w:highlight w:val="none"/>
              </w:rPr>
              <w:t>（说明：委托代理人签署合同须提交法定代表人签字的授权文件作为本合同的附件）</w:t>
            </w:r>
            <w:r>
              <w:rPr>
                <w:rFonts w:hint="eastAsia" w:ascii="微软雅黑" w:hAnsi="微软雅黑" w:eastAsia="微软雅黑" w:cs="微软雅黑"/>
                <w:color w:val="auto"/>
                <w:szCs w:val="21"/>
                <w:highlight w:val="none"/>
              </w:rPr>
              <w:t>：</w:t>
            </w:r>
          </w:p>
          <w:p w14:paraId="3D43CBA2">
            <w:pPr>
              <w:snapToGrid w:val="0"/>
              <w:spacing w:line="360" w:lineRule="atLeast"/>
              <w:rPr>
                <w:rFonts w:hint="eastAsia" w:ascii="微软雅黑" w:hAnsi="微软雅黑" w:eastAsia="微软雅黑" w:cs="微软雅黑"/>
                <w:color w:val="auto"/>
                <w:szCs w:val="21"/>
                <w:highlight w:val="none"/>
              </w:rPr>
            </w:pPr>
          </w:p>
          <w:p w14:paraId="5768E2B0">
            <w:pPr>
              <w:snapToGrid w:val="0"/>
              <w:spacing w:line="360" w:lineRule="atLeast"/>
              <w:rPr>
                <w:rFonts w:hint="eastAsia" w:ascii="微软雅黑" w:hAnsi="微软雅黑" w:eastAsia="微软雅黑" w:cs="微软雅黑"/>
                <w:color w:val="auto"/>
                <w:szCs w:val="21"/>
                <w:highlight w:val="none"/>
              </w:rPr>
            </w:pPr>
          </w:p>
        </w:tc>
        <w:tc>
          <w:tcPr>
            <w:tcW w:w="4264" w:type="dxa"/>
            <w:vAlign w:val="center"/>
          </w:tcPr>
          <w:p w14:paraId="5136B6E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委托代理人</w:t>
            </w:r>
            <w:r>
              <w:rPr>
                <w:rFonts w:hint="eastAsia" w:ascii="微软雅黑" w:hAnsi="微软雅黑" w:eastAsia="微软雅黑" w:cs="微软雅黑"/>
                <w:color w:val="auto"/>
                <w:sz w:val="15"/>
                <w:szCs w:val="15"/>
                <w:highlight w:val="none"/>
              </w:rPr>
              <w:t>（说明：委托代理人签署合同须提交法定代表人签字的授权文件作为本合同的附件。同时提供单位营业执照（复印件）、法定代表人身份证（复印件）及身份证明文件（原件）留存为合同附件）</w:t>
            </w:r>
            <w:r>
              <w:rPr>
                <w:rFonts w:hint="eastAsia" w:ascii="微软雅黑" w:hAnsi="微软雅黑" w:eastAsia="微软雅黑" w:cs="微软雅黑"/>
                <w:color w:val="auto"/>
                <w:szCs w:val="21"/>
                <w:highlight w:val="none"/>
              </w:rPr>
              <w:t>：</w:t>
            </w:r>
          </w:p>
          <w:p w14:paraId="006CA18A">
            <w:pPr>
              <w:snapToGrid w:val="0"/>
              <w:spacing w:line="360" w:lineRule="atLeast"/>
              <w:rPr>
                <w:rFonts w:hint="eastAsia" w:ascii="微软雅黑" w:hAnsi="微软雅黑" w:eastAsia="微软雅黑" w:cs="微软雅黑"/>
                <w:color w:val="auto"/>
                <w:szCs w:val="21"/>
                <w:highlight w:val="none"/>
              </w:rPr>
            </w:pPr>
          </w:p>
        </w:tc>
      </w:tr>
      <w:tr w14:paraId="0CBC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4A5BDD18">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电话：</w:t>
            </w:r>
          </w:p>
        </w:tc>
        <w:tc>
          <w:tcPr>
            <w:tcW w:w="4264" w:type="dxa"/>
            <w:vAlign w:val="center"/>
          </w:tcPr>
          <w:p w14:paraId="6795992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电话：</w:t>
            </w:r>
          </w:p>
        </w:tc>
      </w:tr>
      <w:tr w14:paraId="6115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5AFA0672">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电子邮箱：</w:t>
            </w:r>
          </w:p>
        </w:tc>
        <w:tc>
          <w:tcPr>
            <w:tcW w:w="4264" w:type="dxa"/>
            <w:vAlign w:val="center"/>
          </w:tcPr>
          <w:p w14:paraId="557F130D">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电子邮箱：</w:t>
            </w:r>
          </w:p>
        </w:tc>
      </w:tr>
      <w:tr w14:paraId="0D021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51A11564">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开户银行：</w:t>
            </w:r>
          </w:p>
        </w:tc>
        <w:tc>
          <w:tcPr>
            <w:tcW w:w="4264" w:type="dxa"/>
            <w:vAlign w:val="center"/>
          </w:tcPr>
          <w:p w14:paraId="13F2A580">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开户银行：</w:t>
            </w:r>
          </w:p>
        </w:tc>
      </w:tr>
      <w:tr w14:paraId="4D23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3BEEFB27">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账号：</w:t>
            </w:r>
          </w:p>
        </w:tc>
        <w:tc>
          <w:tcPr>
            <w:tcW w:w="4264" w:type="dxa"/>
            <w:vAlign w:val="center"/>
          </w:tcPr>
          <w:p w14:paraId="071B8329">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账号：</w:t>
            </w:r>
          </w:p>
        </w:tc>
      </w:tr>
      <w:tr w14:paraId="4C27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15D4276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纳税人识别号或统一社会信用代码：</w:t>
            </w:r>
          </w:p>
        </w:tc>
        <w:tc>
          <w:tcPr>
            <w:tcW w:w="4264" w:type="dxa"/>
            <w:vAlign w:val="center"/>
          </w:tcPr>
          <w:p w14:paraId="634E075B">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纳税人识别号或统一社会信用代码：</w:t>
            </w:r>
          </w:p>
        </w:tc>
      </w:tr>
      <w:tr w14:paraId="3D05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264" w:type="dxa"/>
            <w:vAlign w:val="center"/>
          </w:tcPr>
          <w:p w14:paraId="4F1ECCB2">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邮政编码：</w:t>
            </w:r>
          </w:p>
        </w:tc>
        <w:tc>
          <w:tcPr>
            <w:tcW w:w="4264" w:type="dxa"/>
            <w:vAlign w:val="center"/>
          </w:tcPr>
          <w:p w14:paraId="697CAD7A">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邮政编码：</w:t>
            </w:r>
          </w:p>
        </w:tc>
      </w:tr>
    </w:tbl>
    <w:p w14:paraId="51EA25AB">
      <w:pPr>
        <w:snapToGrid w:val="0"/>
        <w:jc w:val="center"/>
        <w:rPr>
          <w:rFonts w:hint="eastAsia" w:ascii="微软雅黑" w:hAnsi="微软雅黑" w:eastAsia="微软雅黑" w:cs="微软雅黑"/>
          <w:bCs/>
          <w:color w:val="auto"/>
          <w:sz w:val="32"/>
          <w:szCs w:val="32"/>
          <w:highlight w:val="none"/>
        </w:rPr>
      </w:pPr>
    </w:p>
    <w:p w14:paraId="204CCA8F">
      <w:pPr>
        <w:snapToGrid w:val="0"/>
        <w:jc w:val="center"/>
        <w:rPr>
          <w:rFonts w:hint="eastAsia" w:ascii="微软雅黑" w:hAnsi="微软雅黑" w:eastAsia="微软雅黑"/>
          <w:bCs/>
          <w:color w:val="auto"/>
          <w:sz w:val="32"/>
          <w:szCs w:val="32"/>
          <w:highlight w:val="none"/>
        </w:rPr>
      </w:pPr>
    </w:p>
    <w:p w14:paraId="09D03782">
      <w:pPr>
        <w:snapToGrid w:val="0"/>
        <w:jc w:val="center"/>
        <w:rPr>
          <w:rFonts w:hint="eastAsia" w:ascii="微软雅黑" w:hAnsi="微软雅黑" w:eastAsia="微软雅黑"/>
          <w:bCs/>
          <w:color w:val="auto"/>
          <w:sz w:val="32"/>
          <w:szCs w:val="32"/>
          <w:highlight w:val="none"/>
        </w:rPr>
      </w:pPr>
    </w:p>
    <w:p w14:paraId="1993E853">
      <w:pPr>
        <w:snapToGrid w:val="0"/>
        <w:jc w:val="center"/>
        <w:rPr>
          <w:rFonts w:hint="eastAsia" w:ascii="微软雅黑" w:hAnsi="微软雅黑" w:eastAsia="微软雅黑"/>
          <w:bCs/>
          <w:color w:val="auto"/>
          <w:sz w:val="32"/>
          <w:szCs w:val="32"/>
          <w:highlight w:val="none"/>
        </w:rPr>
      </w:pPr>
    </w:p>
    <w:p w14:paraId="5A2FC6F2">
      <w:pPr>
        <w:snapToGrid w:val="0"/>
        <w:jc w:val="center"/>
        <w:rPr>
          <w:rFonts w:hint="eastAsia" w:ascii="微软雅黑" w:hAnsi="微软雅黑" w:eastAsia="微软雅黑"/>
          <w:bCs/>
          <w:color w:val="auto"/>
          <w:sz w:val="32"/>
          <w:szCs w:val="32"/>
          <w:highlight w:val="none"/>
        </w:rPr>
      </w:pPr>
    </w:p>
    <w:p w14:paraId="166F54BD">
      <w:pPr>
        <w:snapToGrid w:val="0"/>
        <w:jc w:val="center"/>
        <w:rPr>
          <w:rFonts w:hint="eastAsia" w:ascii="微软雅黑" w:hAnsi="微软雅黑" w:eastAsia="微软雅黑"/>
          <w:bCs/>
          <w:color w:val="auto"/>
          <w:sz w:val="32"/>
          <w:szCs w:val="32"/>
          <w:highlight w:val="none"/>
        </w:rPr>
      </w:pPr>
    </w:p>
    <w:p w14:paraId="7CC78655">
      <w:pPr>
        <w:snapToGrid w:val="0"/>
        <w:jc w:val="center"/>
        <w:rPr>
          <w:rFonts w:hint="eastAsia" w:ascii="微软雅黑" w:hAnsi="微软雅黑" w:eastAsia="微软雅黑"/>
          <w:bCs/>
          <w:color w:val="auto"/>
          <w:sz w:val="32"/>
          <w:szCs w:val="32"/>
          <w:highlight w:val="none"/>
        </w:rPr>
      </w:pPr>
    </w:p>
    <w:p w14:paraId="30BA0A56">
      <w:pPr>
        <w:snapToGrid w:val="0"/>
        <w:jc w:val="center"/>
        <w:rPr>
          <w:rFonts w:hint="eastAsia" w:ascii="微软雅黑" w:hAnsi="微软雅黑" w:eastAsia="微软雅黑"/>
          <w:bCs/>
          <w:color w:val="auto"/>
          <w:sz w:val="32"/>
          <w:szCs w:val="32"/>
          <w:highlight w:val="none"/>
        </w:rPr>
      </w:pPr>
    </w:p>
    <w:p w14:paraId="188C4D84">
      <w:pPr>
        <w:pStyle w:val="3"/>
        <w:jc w:val="center"/>
        <w:rPr>
          <w:rFonts w:hint="eastAsia" w:ascii="微软雅黑" w:hAnsi="微软雅黑" w:eastAsia="微软雅黑"/>
          <w:color w:val="auto"/>
          <w:highlight w:val="none"/>
        </w:rPr>
      </w:pPr>
      <w:bookmarkStart w:id="284" w:name="_Toc25289"/>
      <w:r>
        <w:rPr>
          <w:rFonts w:hint="eastAsia" w:ascii="微软雅黑" w:hAnsi="微软雅黑" w:eastAsia="微软雅黑"/>
          <w:color w:val="auto"/>
          <w:highlight w:val="none"/>
        </w:rPr>
        <w:t>第六章　投标文件格式</w:t>
      </w:r>
      <w:bookmarkEnd w:id="284"/>
    </w:p>
    <w:p w14:paraId="672ADA20">
      <w:pPr>
        <w:snapToGrid w:val="0"/>
        <w:spacing w:before="50" w:after="50"/>
        <w:outlineLvl w:val="1"/>
        <w:rPr>
          <w:rFonts w:hint="eastAsia" w:ascii="微软雅黑" w:hAnsi="微软雅黑" w:eastAsia="微软雅黑"/>
          <w:color w:val="auto"/>
          <w:sz w:val="32"/>
          <w:szCs w:val="20"/>
          <w:highlight w:val="none"/>
        </w:rPr>
      </w:pPr>
    </w:p>
    <w:p w14:paraId="5C75DA3F">
      <w:pPr>
        <w:snapToGrid w:val="0"/>
        <w:spacing w:before="50" w:after="50"/>
        <w:outlineLvl w:val="1"/>
        <w:rPr>
          <w:rFonts w:hint="eastAsia" w:ascii="微软雅黑" w:hAnsi="微软雅黑" w:eastAsia="微软雅黑"/>
          <w:color w:val="auto"/>
          <w:sz w:val="32"/>
          <w:szCs w:val="20"/>
          <w:highlight w:val="none"/>
        </w:rPr>
      </w:pPr>
    </w:p>
    <w:p w14:paraId="453CEC16">
      <w:pPr>
        <w:snapToGrid w:val="0"/>
        <w:spacing w:before="50" w:after="50"/>
        <w:outlineLvl w:val="1"/>
        <w:rPr>
          <w:rFonts w:hint="eastAsia" w:ascii="微软雅黑" w:hAnsi="微软雅黑" w:eastAsia="微软雅黑"/>
          <w:color w:val="auto"/>
          <w:sz w:val="32"/>
          <w:szCs w:val="20"/>
          <w:highlight w:val="none"/>
        </w:rPr>
      </w:pPr>
    </w:p>
    <w:p w14:paraId="79CF84C1">
      <w:pPr>
        <w:snapToGrid w:val="0"/>
        <w:spacing w:before="50" w:after="50"/>
        <w:outlineLvl w:val="1"/>
        <w:rPr>
          <w:rFonts w:hint="eastAsia" w:ascii="微软雅黑" w:hAnsi="微软雅黑" w:eastAsia="微软雅黑"/>
          <w:color w:val="auto"/>
          <w:sz w:val="32"/>
          <w:szCs w:val="20"/>
          <w:highlight w:val="none"/>
        </w:rPr>
      </w:pPr>
    </w:p>
    <w:p w14:paraId="084CA000">
      <w:pPr>
        <w:snapToGrid w:val="0"/>
        <w:spacing w:before="50" w:after="50"/>
        <w:outlineLvl w:val="1"/>
        <w:rPr>
          <w:rFonts w:hint="eastAsia" w:ascii="微软雅黑" w:hAnsi="微软雅黑" w:eastAsia="微软雅黑"/>
          <w:color w:val="auto"/>
          <w:sz w:val="32"/>
          <w:szCs w:val="20"/>
          <w:highlight w:val="none"/>
        </w:rPr>
      </w:pPr>
    </w:p>
    <w:p w14:paraId="50C4C169">
      <w:pPr>
        <w:snapToGrid w:val="0"/>
        <w:spacing w:before="50" w:after="50"/>
        <w:outlineLvl w:val="1"/>
        <w:rPr>
          <w:rFonts w:hint="eastAsia" w:ascii="微软雅黑" w:hAnsi="微软雅黑" w:eastAsia="微软雅黑"/>
          <w:color w:val="auto"/>
          <w:sz w:val="32"/>
          <w:szCs w:val="20"/>
          <w:highlight w:val="none"/>
        </w:rPr>
      </w:pPr>
    </w:p>
    <w:p w14:paraId="3E64268B">
      <w:pPr>
        <w:snapToGrid w:val="0"/>
        <w:spacing w:before="50" w:after="50"/>
        <w:outlineLvl w:val="1"/>
        <w:rPr>
          <w:rFonts w:hint="eastAsia" w:ascii="微软雅黑" w:hAnsi="微软雅黑" w:eastAsia="微软雅黑"/>
          <w:color w:val="auto"/>
          <w:sz w:val="32"/>
          <w:szCs w:val="20"/>
          <w:highlight w:val="none"/>
        </w:rPr>
      </w:pPr>
    </w:p>
    <w:p w14:paraId="21199864">
      <w:pPr>
        <w:snapToGrid w:val="0"/>
        <w:spacing w:before="50" w:after="50"/>
        <w:outlineLvl w:val="1"/>
        <w:rPr>
          <w:rFonts w:hint="eastAsia" w:ascii="微软雅黑" w:hAnsi="微软雅黑" w:eastAsia="微软雅黑"/>
          <w:color w:val="auto"/>
          <w:sz w:val="32"/>
          <w:szCs w:val="20"/>
          <w:highlight w:val="none"/>
        </w:rPr>
      </w:pPr>
    </w:p>
    <w:p w14:paraId="67E85EF8">
      <w:pPr>
        <w:rPr>
          <w:rFonts w:hint="eastAsia" w:ascii="微软雅黑" w:hAnsi="微软雅黑" w:eastAsia="微软雅黑"/>
          <w:b/>
          <w:color w:val="auto"/>
          <w:sz w:val="28"/>
          <w:szCs w:val="28"/>
          <w:highlight w:val="none"/>
        </w:rPr>
      </w:pPr>
      <w:r>
        <w:rPr>
          <w:rFonts w:ascii="微软雅黑" w:hAnsi="微软雅黑" w:eastAsia="微软雅黑"/>
          <w:color w:val="auto"/>
          <w:sz w:val="32"/>
          <w:szCs w:val="20"/>
          <w:highlight w:val="none"/>
        </w:rPr>
        <w:br w:type="page"/>
      </w:r>
      <w:bookmarkStart w:id="285" w:name="_Toc19686836"/>
      <w:bookmarkStart w:id="286" w:name="_Toc254970698"/>
      <w:bookmarkStart w:id="287" w:name="_Toc254970557"/>
      <w:r>
        <w:rPr>
          <w:rFonts w:hint="eastAsia" w:ascii="微软雅黑" w:hAnsi="微软雅黑" w:eastAsia="微软雅黑"/>
          <w:b/>
          <w:color w:val="auto"/>
          <w:sz w:val="28"/>
          <w:szCs w:val="28"/>
          <w:highlight w:val="none"/>
        </w:rPr>
        <w:t>一、报价文件格式</w:t>
      </w:r>
      <w:bookmarkEnd w:id="285"/>
    </w:p>
    <w:p w14:paraId="0ED8B146">
      <w:pPr>
        <w:snapToGrid w:val="0"/>
        <w:spacing w:before="120" w:beforeLines="50" w:after="50" w:line="360" w:lineRule="auto"/>
        <w:ind w:left="142"/>
        <w:jc w:val="left"/>
        <w:rPr>
          <w:rFonts w:hint="eastAsia" w:ascii="微软雅黑" w:hAnsi="微软雅黑" w:eastAsia="微软雅黑"/>
          <w:color w:val="auto"/>
          <w:sz w:val="24"/>
          <w:szCs w:val="20"/>
          <w:highlight w:val="none"/>
        </w:rPr>
      </w:pPr>
      <w:r>
        <w:rPr>
          <w:rFonts w:hint="eastAsia" w:ascii="微软雅黑" w:hAnsi="微软雅黑" w:eastAsia="微软雅黑"/>
          <w:b/>
          <w:color w:val="auto"/>
          <w:sz w:val="24"/>
          <w:highlight w:val="none"/>
        </w:rPr>
        <w:t xml:space="preserve">1. 报价文件封面格式： </w:t>
      </w:r>
    </w:p>
    <w:p w14:paraId="4A393545">
      <w:pPr>
        <w:snapToGrid w:val="0"/>
        <w:spacing w:before="120" w:beforeLines="50" w:after="50" w:line="360" w:lineRule="auto"/>
        <w:ind w:left="142"/>
        <w:jc w:val="center"/>
        <w:rPr>
          <w:rFonts w:hint="eastAsia" w:ascii="微软雅黑" w:hAnsi="微软雅黑" w:eastAsia="微软雅黑"/>
          <w:bCs/>
          <w:color w:val="auto"/>
          <w:sz w:val="48"/>
          <w:szCs w:val="48"/>
          <w:highlight w:val="none"/>
        </w:rPr>
      </w:pPr>
      <w:r>
        <w:rPr>
          <w:rFonts w:hint="eastAsia" w:ascii="微软雅黑" w:hAnsi="微软雅黑" w:eastAsia="微软雅黑"/>
          <w:bCs/>
          <w:color w:val="auto"/>
          <w:sz w:val="48"/>
          <w:szCs w:val="48"/>
          <w:highlight w:val="none"/>
        </w:rPr>
        <w:t>电子投标文件</w:t>
      </w:r>
    </w:p>
    <w:p w14:paraId="43875FF3">
      <w:pPr>
        <w:snapToGrid w:val="0"/>
        <w:spacing w:before="120" w:beforeLines="50" w:after="50" w:line="400" w:lineRule="exact"/>
        <w:rPr>
          <w:rFonts w:hint="eastAsia" w:ascii="微软雅黑" w:hAnsi="微软雅黑" w:eastAsia="微软雅黑"/>
          <w:bCs/>
          <w:color w:val="auto"/>
          <w:sz w:val="32"/>
          <w:szCs w:val="20"/>
          <w:highlight w:val="none"/>
        </w:rPr>
      </w:pPr>
      <w:r>
        <w:rPr>
          <w:rFonts w:hint="eastAsia" w:ascii="微软雅黑" w:hAnsi="微软雅黑" w:eastAsia="微软雅黑"/>
          <w:color w:val="auto"/>
          <w:sz w:val="24"/>
          <w:highlight w:val="none"/>
        </w:rPr>
        <w:t xml:space="preserve">                 </w:t>
      </w:r>
    </w:p>
    <w:p w14:paraId="3C3CC81F">
      <w:pPr>
        <w:snapToGrid w:val="0"/>
        <w:spacing w:before="120" w:beforeLines="50" w:after="50" w:line="400" w:lineRule="exact"/>
        <w:jc w:val="center"/>
        <w:rPr>
          <w:rFonts w:hint="eastAsia" w:ascii="微软雅黑" w:hAnsi="微软雅黑" w:eastAsia="微软雅黑"/>
          <w:bCs/>
          <w:color w:val="auto"/>
          <w:sz w:val="24"/>
          <w:szCs w:val="20"/>
          <w:highlight w:val="none"/>
        </w:rPr>
      </w:pPr>
    </w:p>
    <w:p w14:paraId="4334E55E">
      <w:pPr>
        <w:snapToGrid w:val="0"/>
        <w:spacing w:before="120" w:beforeLines="50" w:after="50" w:line="400" w:lineRule="exact"/>
        <w:jc w:val="center"/>
        <w:rPr>
          <w:rFonts w:hint="eastAsia" w:ascii="微软雅黑" w:hAnsi="微软雅黑" w:eastAsia="微软雅黑"/>
          <w:b/>
          <w:bCs/>
          <w:color w:val="auto"/>
          <w:sz w:val="32"/>
          <w:szCs w:val="32"/>
          <w:highlight w:val="none"/>
        </w:rPr>
      </w:pPr>
      <w:r>
        <w:rPr>
          <w:rFonts w:hint="eastAsia" w:ascii="微软雅黑" w:hAnsi="微软雅黑" w:eastAsia="微软雅黑"/>
          <w:b/>
          <w:bCs/>
          <w:color w:val="auto"/>
          <w:sz w:val="32"/>
          <w:szCs w:val="32"/>
          <w:highlight w:val="none"/>
        </w:rPr>
        <w:t>报价文件</w:t>
      </w:r>
    </w:p>
    <w:p w14:paraId="3AF3B82A">
      <w:pPr>
        <w:snapToGrid w:val="0"/>
        <w:spacing w:before="120" w:beforeLines="50" w:after="50" w:line="400" w:lineRule="exact"/>
        <w:rPr>
          <w:rFonts w:hint="eastAsia" w:ascii="微软雅黑" w:hAnsi="微软雅黑" w:eastAsia="微软雅黑"/>
          <w:bCs/>
          <w:color w:val="auto"/>
          <w:sz w:val="24"/>
          <w:szCs w:val="20"/>
          <w:highlight w:val="none"/>
        </w:rPr>
      </w:pPr>
    </w:p>
    <w:p w14:paraId="2B470CBF">
      <w:pPr>
        <w:snapToGrid w:val="0"/>
        <w:spacing w:before="120" w:beforeLines="50" w:after="50" w:line="400" w:lineRule="exact"/>
        <w:rPr>
          <w:rFonts w:hint="eastAsia" w:ascii="微软雅黑" w:hAnsi="微软雅黑" w:eastAsia="微软雅黑"/>
          <w:bCs/>
          <w:color w:val="auto"/>
          <w:sz w:val="24"/>
          <w:szCs w:val="20"/>
          <w:highlight w:val="none"/>
        </w:rPr>
      </w:pPr>
    </w:p>
    <w:p w14:paraId="46AF0C6B">
      <w:pPr>
        <w:snapToGrid w:val="0"/>
        <w:spacing w:before="120" w:beforeLines="50" w:after="50" w:line="400" w:lineRule="exact"/>
        <w:rPr>
          <w:rFonts w:hint="eastAsia" w:ascii="微软雅黑" w:hAnsi="微软雅黑" w:eastAsia="微软雅黑"/>
          <w:bCs/>
          <w:color w:val="auto"/>
          <w:sz w:val="24"/>
          <w:szCs w:val="20"/>
          <w:highlight w:val="none"/>
        </w:rPr>
      </w:pPr>
    </w:p>
    <w:p w14:paraId="5BECA6AB">
      <w:pPr>
        <w:snapToGrid w:val="0"/>
        <w:spacing w:before="120" w:beforeLines="50" w:after="50" w:line="400" w:lineRule="exact"/>
        <w:rPr>
          <w:rFonts w:hint="eastAsia" w:ascii="微软雅黑" w:hAnsi="微软雅黑" w:eastAsia="微软雅黑"/>
          <w:bCs/>
          <w:color w:val="auto"/>
          <w:sz w:val="24"/>
          <w:szCs w:val="20"/>
          <w:highlight w:val="none"/>
        </w:rPr>
      </w:pPr>
    </w:p>
    <w:p w14:paraId="00BA2EC4">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 xml:space="preserve">项目名称： </w:t>
      </w:r>
    </w:p>
    <w:p w14:paraId="5B601C53">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24889EC3">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 xml:space="preserve">项目编号： </w:t>
      </w:r>
    </w:p>
    <w:p w14:paraId="6895DD44">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4370BA01">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1BF61607">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1CAA4BFB">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投标人名称：</w:t>
      </w:r>
    </w:p>
    <w:p w14:paraId="264CDBC8">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297A6B54">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投标人地址：</w:t>
      </w:r>
    </w:p>
    <w:p w14:paraId="62D13519">
      <w:pPr>
        <w:pStyle w:val="8"/>
        <w:snapToGrid w:val="0"/>
        <w:spacing w:before="50" w:after="50" w:line="400" w:lineRule="exact"/>
        <w:ind w:firstLine="960" w:firstLineChars="400"/>
        <w:rPr>
          <w:rFonts w:hint="eastAsia" w:ascii="微软雅黑" w:hAnsi="微软雅黑" w:eastAsia="微软雅黑"/>
          <w:bCs/>
          <w:color w:val="auto"/>
          <w:sz w:val="24"/>
          <w:szCs w:val="24"/>
          <w:highlight w:val="none"/>
        </w:rPr>
      </w:pPr>
    </w:p>
    <w:p w14:paraId="561EF3F8">
      <w:pPr>
        <w:snapToGrid w:val="0"/>
        <w:spacing w:before="120" w:beforeLines="50" w:after="50" w:line="400" w:lineRule="exact"/>
        <w:rPr>
          <w:rFonts w:hint="eastAsia" w:ascii="微软雅黑" w:hAnsi="微软雅黑" w:eastAsia="微软雅黑"/>
          <w:color w:val="auto"/>
          <w:sz w:val="30"/>
          <w:szCs w:val="20"/>
          <w:highlight w:val="none"/>
        </w:rPr>
      </w:pPr>
      <w:r>
        <w:rPr>
          <w:rFonts w:hint="eastAsia" w:ascii="微软雅黑" w:hAnsi="微软雅黑" w:eastAsia="微软雅黑"/>
          <w:color w:val="auto"/>
          <w:sz w:val="24"/>
          <w:highlight w:val="none"/>
        </w:rPr>
        <w:t xml:space="preserve">                                   年  月  日</w:t>
      </w:r>
    </w:p>
    <w:p w14:paraId="31DBC60F">
      <w:pPr>
        <w:snapToGrid w:val="0"/>
        <w:spacing w:before="120" w:beforeLines="50" w:after="50" w:line="360" w:lineRule="auto"/>
        <w:jc w:val="left"/>
        <w:rPr>
          <w:rFonts w:hint="eastAsia" w:ascii="微软雅黑" w:hAnsi="微软雅黑" w:eastAsia="微软雅黑"/>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2.</w:t>
      </w:r>
      <w:r>
        <w:rPr>
          <w:rFonts w:hint="eastAsia" w:ascii="微软雅黑" w:hAnsi="微软雅黑" w:eastAsia="微软雅黑"/>
          <w:b/>
          <w:bCs/>
          <w:color w:val="auto"/>
          <w:sz w:val="24"/>
          <w:highlight w:val="none"/>
        </w:rPr>
        <w:t>报价文件目录</w:t>
      </w:r>
    </w:p>
    <w:p w14:paraId="76A07DC1">
      <w:pPr>
        <w:snapToGrid w:val="0"/>
        <w:spacing w:before="50" w:after="120" w:afterLines="50" w:line="360" w:lineRule="auto"/>
        <w:jc w:val="left"/>
        <w:rPr>
          <w:rFonts w:ascii="微软雅黑" w:hAnsi="微软雅黑" w:eastAsia="微软雅黑"/>
          <w:b/>
          <w:color w:val="auto"/>
          <w:sz w:val="24"/>
          <w:highlight w:val="none"/>
        </w:rPr>
      </w:pPr>
      <w:r>
        <w:rPr>
          <w:rFonts w:hint="eastAsia" w:ascii="微软雅黑" w:hAnsi="微软雅黑" w:eastAsia="微软雅黑"/>
          <w:color w:val="auto"/>
          <w:szCs w:val="21"/>
          <w:highlight w:val="none"/>
        </w:rPr>
        <w:t>根据招标文件规定及投标人提供的材料自行编写目录。</w:t>
      </w:r>
    </w:p>
    <w:p w14:paraId="2E622EE0">
      <w:pPr>
        <w:snapToGrid w:val="0"/>
        <w:spacing w:before="120" w:beforeLines="50" w:after="50"/>
        <w:rPr>
          <w:rFonts w:hint="eastAsia" w:ascii="微软雅黑" w:hAnsi="微软雅黑" w:eastAsia="微软雅黑"/>
          <w:b/>
          <w:color w:val="auto"/>
          <w:sz w:val="24"/>
          <w:highlight w:val="none"/>
        </w:rPr>
      </w:pPr>
    </w:p>
    <w:p w14:paraId="60B68064">
      <w:pPr>
        <w:snapToGrid w:val="0"/>
        <w:spacing w:before="120" w:beforeLines="50" w:after="50"/>
        <w:rPr>
          <w:rFonts w:hint="eastAsia" w:ascii="微软雅黑" w:hAnsi="微软雅黑" w:eastAsia="微软雅黑"/>
          <w:b/>
          <w:color w:val="auto"/>
          <w:sz w:val="24"/>
          <w:highlight w:val="none"/>
        </w:rPr>
      </w:pPr>
    </w:p>
    <w:p w14:paraId="7807919C">
      <w:pPr>
        <w:snapToGrid w:val="0"/>
        <w:spacing w:before="120" w:beforeLines="50" w:after="50"/>
        <w:rPr>
          <w:rFonts w:hint="eastAsia" w:ascii="微软雅黑" w:hAnsi="微软雅黑" w:eastAsia="微软雅黑"/>
          <w:b/>
          <w:color w:val="auto"/>
          <w:sz w:val="24"/>
          <w:highlight w:val="none"/>
        </w:rPr>
      </w:pPr>
    </w:p>
    <w:p w14:paraId="754CBB92">
      <w:pPr>
        <w:snapToGrid w:val="0"/>
        <w:spacing w:before="120" w:beforeLines="50" w:after="50"/>
        <w:ind w:left="142"/>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 投标函格式：</w:t>
      </w:r>
    </w:p>
    <w:p w14:paraId="652ECD95">
      <w:pPr>
        <w:snapToGrid w:val="0"/>
        <w:spacing w:before="120" w:beforeLines="50" w:after="50" w:line="320" w:lineRule="exact"/>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投 标 函</w:t>
      </w:r>
    </w:p>
    <w:p w14:paraId="64AD993A">
      <w:pPr>
        <w:snapToGrid w:val="0"/>
        <w:spacing w:line="38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致：</w:t>
      </w:r>
      <w:r>
        <w:rPr>
          <w:rFonts w:hint="eastAsia" w:ascii="微软雅黑" w:hAnsi="微软雅黑" w:eastAsia="微软雅黑"/>
          <w:color w:val="auto"/>
          <w:szCs w:val="21"/>
          <w:highlight w:val="none"/>
          <w:u w:val="single"/>
        </w:rPr>
        <w:t>采购人名称</w:t>
      </w:r>
      <w:r>
        <w:rPr>
          <w:rFonts w:hint="eastAsia" w:ascii="微软雅黑" w:hAnsi="微软雅黑" w:eastAsia="微软雅黑"/>
          <w:color w:val="auto"/>
          <w:szCs w:val="21"/>
          <w:highlight w:val="none"/>
        </w:rPr>
        <w:t>：</w:t>
      </w:r>
    </w:p>
    <w:p w14:paraId="1268E5D5">
      <w:pPr>
        <w:snapToGrid w:val="0"/>
        <w:spacing w:line="380" w:lineRule="exact"/>
        <w:ind w:firstLine="48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根据贵方</w:t>
      </w:r>
      <w:r>
        <w:rPr>
          <w:rFonts w:hint="eastAsia" w:ascii="微软雅黑" w:hAnsi="微软雅黑" w:eastAsia="微软雅黑"/>
          <w:color w:val="auto"/>
          <w:szCs w:val="21"/>
          <w:highlight w:val="none"/>
          <w:u w:val="single"/>
        </w:rPr>
        <w:t xml:space="preserve"> 项目名称</w:t>
      </w: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）的招标文件，签字代表______</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（姓名）经正式授权并代表投标人</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（投标人名称）提交投标文件。</w:t>
      </w:r>
    </w:p>
    <w:p w14:paraId="3CC85CE7">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据此函，我方宣布同意如下：</w:t>
      </w:r>
    </w:p>
    <w:p w14:paraId="7CBFBDB8">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4810C233">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2.我方在投标之前已经完全理解并接受招标文件的各项规定和要求，对招标文件的合理性、合法性不再有异议。</w:t>
      </w:r>
    </w:p>
    <w:p w14:paraId="754C128E">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3.本投标有效期自投标截止之日起</w:t>
      </w:r>
      <w:r>
        <w:rPr>
          <w:rFonts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日。</w:t>
      </w:r>
    </w:p>
    <w:p w14:paraId="79ECE01F">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4.如中标，本投标文件至本项目合同履行完毕止均保持有效，我方将按“招标文件”及政府采购法律、法规的规定履行合同责任和义务。</w:t>
      </w:r>
    </w:p>
    <w:p w14:paraId="6CDF69ED">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5.我方同意按照贵方要求提供与投标有关的一切数据或者资料。</w:t>
      </w:r>
    </w:p>
    <w:p w14:paraId="1C647386">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6.我方向贵方提交的所有投标文件、资料都是准确的和真实的。</w:t>
      </w:r>
    </w:p>
    <w:p w14:paraId="64D2FD07">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7.以上事项如有虚假或者隐瞒，我方愿意承担一切后果，并不再寻求任何旨在减轻或者免除法律责任的辩解。</w:t>
      </w:r>
    </w:p>
    <w:p w14:paraId="3ACF8CAB">
      <w:pPr>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8.根据</w:t>
      </w:r>
      <w:r>
        <w:rPr>
          <w:rFonts w:ascii="微软雅黑" w:hAnsi="微软雅黑" w:eastAsia="微软雅黑"/>
          <w:color w:val="auto"/>
          <w:szCs w:val="21"/>
          <w:highlight w:val="none"/>
        </w:rPr>
        <w:t>《中华人民共和国政府采购法实施条例》第五十条要求对政府采购合同进行公告</w:t>
      </w:r>
      <w:r>
        <w:rPr>
          <w:rFonts w:hint="eastAsia" w:ascii="微软雅黑" w:hAnsi="微软雅黑" w:eastAsia="微软雅黑"/>
          <w:color w:val="auto"/>
          <w:szCs w:val="21"/>
          <w:highlight w:val="none"/>
        </w:rPr>
        <w:t>，</w:t>
      </w:r>
      <w:r>
        <w:rPr>
          <w:rFonts w:ascii="微软雅黑" w:hAnsi="微软雅黑" w:eastAsia="微软雅黑"/>
          <w:color w:val="auto"/>
          <w:szCs w:val="21"/>
          <w:highlight w:val="none"/>
        </w:rPr>
        <w:t>但政府采购合同中涉及国家秘密、商业秘密的内容除外。</w:t>
      </w:r>
      <w:r>
        <w:rPr>
          <w:rFonts w:hint="eastAsia" w:ascii="微软雅黑" w:hAnsi="微软雅黑" w:eastAsia="微软雅黑"/>
          <w:color w:val="auto"/>
          <w:szCs w:val="21"/>
          <w:highlight w:val="none"/>
        </w:rPr>
        <w:t>我方就对本次投标文件进行注明如下：（两项内容中必须选择一项）</w:t>
      </w:r>
    </w:p>
    <w:p w14:paraId="74EB50A1">
      <w:pPr>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□我方本次投标文件</w:t>
      </w:r>
      <w:r>
        <w:rPr>
          <w:rFonts w:ascii="微软雅黑" w:hAnsi="微软雅黑" w:eastAsia="微软雅黑" w:cs="宋体"/>
          <w:color w:val="auto"/>
          <w:kern w:val="0"/>
          <w:szCs w:val="21"/>
          <w:highlight w:val="none"/>
        </w:rPr>
        <w:t>内容中</w:t>
      </w:r>
      <w:r>
        <w:rPr>
          <w:rFonts w:hint="eastAsia" w:ascii="微软雅黑" w:hAnsi="微软雅黑" w:eastAsia="微软雅黑"/>
          <w:color w:val="auto"/>
          <w:szCs w:val="21"/>
          <w:highlight w:val="none"/>
        </w:rPr>
        <w:t>未</w:t>
      </w:r>
      <w:r>
        <w:rPr>
          <w:rFonts w:ascii="微软雅黑" w:hAnsi="微软雅黑" w:eastAsia="微软雅黑" w:cs="宋体"/>
          <w:color w:val="auto"/>
          <w:kern w:val="0"/>
          <w:szCs w:val="21"/>
          <w:highlight w:val="none"/>
        </w:rPr>
        <w:t>涉及商业秘密</w:t>
      </w:r>
      <w:r>
        <w:rPr>
          <w:rFonts w:hint="eastAsia" w:ascii="微软雅黑" w:hAnsi="微软雅黑" w:eastAsia="微软雅黑" w:cs="宋体"/>
          <w:color w:val="auto"/>
          <w:kern w:val="0"/>
          <w:szCs w:val="21"/>
          <w:highlight w:val="none"/>
        </w:rPr>
        <w:t>；</w:t>
      </w:r>
    </w:p>
    <w:p w14:paraId="618342CC">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□我方本次投标文件</w:t>
      </w:r>
      <w:r>
        <w:rPr>
          <w:rFonts w:ascii="微软雅黑" w:hAnsi="微软雅黑" w:eastAsia="微软雅黑" w:cs="宋体"/>
          <w:color w:val="auto"/>
          <w:kern w:val="0"/>
          <w:szCs w:val="21"/>
          <w:highlight w:val="none"/>
        </w:rPr>
        <w:t>涉及商业秘密</w:t>
      </w:r>
      <w:r>
        <w:rPr>
          <w:rFonts w:hint="eastAsia" w:ascii="微软雅黑" w:hAnsi="微软雅黑" w:eastAsia="微软雅黑" w:cs="宋体"/>
          <w:color w:val="auto"/>
          <w:kern w:val="0"/>
          <w:szCs w:val="21"/>
          <w:highlight w:val="none"/>
        </w:rPr>
        <w:t>的</w:t>
      </w:r>
      <w:r>
        <w:rPr>
          <w:rFonts w:ascii="微软雅黑" w:hAnsi="微软雅黑" w:eastAsia="微软雅黑" w:cs="宋体"/>
          <w:color w:val="auto"/>
          <w:kern w:val="0"/>
          <w:szCs w:val="21"/>
          <w:highlight w:val="none"/>
        </w:rPr>
        <w:t>内容</w:t>
      </w:r>
      <w:r>
        <w:rPr>
          <w:rFonts w:hint="eastAsia" w:ascii="微软雅黑" w:hAnsi="微软雅黑" w:eastAsia="微软雅黑" w:cs="宋体"/>
          <w:color w:val="auto"/>
          <w:kern w:val="0"/>
          <w:szCs w:val="21"/>
          <w:highlight w:val="none"/>
        </w:rPr>
        <w:t>有：</w:t>
      </w:r>
      <w:r>
        <w:rPr>
          <w:rFonts w:hint="eastAsia" w:ascii="微软雅黑" w:hAnsi="微软雅黑" w:eastAsia="微软雅黑" w:cs="宋体"/>
          <w:color w:val="auto"/>
          <w:kern w:val="0"/>
          <w:szCs w:val="21"/>
          <w:highlight w:val="none"/>
          <w:u w:val="single"/>
        </w:rPr>
        <w:t xml:space="preserve">                         </w:t>
      </w:r>
      <w:r>
        <w:rPr>
          <w:rFonts w:hint="eastAsia" w:ascii="微软雅黑" w:hAnsi="微软雅黑" w:eastAsia="微软雅黑" w:cs="宋体"/>
          <w:color w:val="auto"/>
          <w:kern w:val="0"/>
          <w:szCs w:val="21"/>
          <w:highlight w:val="none"/>
        </w:rPr>
        <w:t>；</w:t>
      </w:r>
    </w:p>
    <w:p w14:paraId="1EF592A7">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9.与本项目有关的一切正式往来信函请寄：</w:t>
      </w:r>
    </w:p>
    <w:p w14:paraId="79535A42">
      <w:pPr>
        <w:snapToGrid w:val="0"/>
        <w:spacing w:line="380" w:lineRule="exact"/>
        <w:ind w:firstLine="420" w:firstLineChars="200"/>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地址：</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邮编：</w:t>
      </w:r>
      <w:r>
        <w:rPr>
          <w:rFonts w:hint="eastAsia" w:ascii="微软雅黑" w:hAnsi="微软雅黑" w:eastAsia="微软雅黑"/>
          <w:color w:val="auto"/>
          <w:szCs w:val="21"/>
          <w:highlight w:val="none"/>
          <w:u w:val="single"/>
        </w:rPr>
        <w:t xml:space="preserve">            </w:t>
      </w:r>
    </w:p>
    <w:p w14:paraId="52CCF68A">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联系人：</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电话：</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传真：</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电子邮箱：</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p>
    <w:p w14:paraId="055BEE2E">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投标人名称：</w:t>
      </w:r>
      <w:r>
        <w:rPr>
          <w:rFonts w:hint="eastAsia" w:ascii="微软雅黑" w:hAnsi="微软雅黑" w:eastAsia="微软雅黑"/>
          <w:color w:val="auto"/>
          <w:szCs w:val="21"/>
          <w:highlight w:val="none"/>
          <w:u w:val="single"/>
        </w:rPr>
        <w:t xml:space="preserve">                </w:t>
      </w:r>
    </w:p>
    <w:p w14:paraId="46B1E00E">
      <w:pPr>
        <w:snapToGrid w:val="0"/>
        <w:spacing w:line="38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开户银行：</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银行账号：</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w:t>
      </w:r>
    </w:p>
    <w:p w14:paraId="4DD35502">
      <w:pPr>
        <w:snapToGrid w:val="0"/>
        <w:spacing w:line="380" w:lineRule="exact"/>
        <w:ind w:firstLine="420" w:firstLineChars="200"/>
        <w:jc w:val="left"/>
        <w:rPr>
          <w:rFonts w:hint="eastAsia" w:ascii="微软雅黑" w:hAnsi="微软雅黑" w:eastAsia="微软雅黑"/>
          <w:color w:val="auto"/>
          <w:szCs w:val="21"/>
          <w:highlight w:val="none"/>
        </w:rPr>
      </w:pPr>
    </w:p>
    <w:p w14:paraId="0D7C1F15">
      <w:pPr>
        <w:snapToGrid w:val="0"/>
        <w:spacing w:line="38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法定代表人或者委托代理人（签字或者电子签名）：_______ </w:t>
      </w:r>
    </w:p>
    <w:p w14:paraId="04C8E9E5">
      <w:pPr>
        <w:pStyle w:val="23"/>
        <w:snapToGrid w:val="0"/>
        <w:spacing w:before="295" w:after="295" w:line="380" w:lineRule="exact"/>
        <w:jc w:val="center"/>
        <w:rPr>
          <w:rFonts w:hint="eastAsia" w:ascii="微软雅黑" w:hAnsi="微软雅黑" w:eastAsia="微软雅黑"/>
          <w:color w:val="auto"/>
          <w:sz w:val="21"/>
          <w:highlight w:val="none"/>
          <w:u w:val="single"/>
        </w:rPr>
      </w:pPr>
      <w:r>
        <w:rPr>
          <w:rFonts w:hint="eastAsia" w:ascii="微软雅黑" w:hAnsi="微软雅黑" w:eastAsia="微软雅黑"/>
          <w:color w:val="auto"/>
          <w:sz w:val="21"/>
          <w:highlight w:val="none"/>
        </w:rPr>
        <w:t xml:space="preserve"> </w:t>
      </w:r>
      <w:r>
        <w:rPr>
          <w:rFonts w:ascii="微软雅黑" w:hAnsi="微软雅黑" w:eastAsia="微软雅黑"/>
          <w:color w:val="auto"/>
          <w:sz w:val="21"/>
          <w:highlight w:val="none"/>
        </w:rPr>
        <w:t xml:space="preserve">                                    </w:t>
      </w:r>
      <w:r>
        <w:rPr>
          <w:rFonts w:hint="eastAsia" w:ascii="微软雅黑" w:hAnsi="微软雅黑" w:eastAsia="微软雅黑"/>
          <w:color w:val="auto"/>
          <w:sz w:val="21"/>
          <w:highlight w:val="none"/>
        </w:rPr>
        <w:t>投标人名称（电子签章）：</w:t>
      </w:r>
    </w:p>
    <w:p w14:paraId="3CCD8B83">
      <w:pPr>
        <w:pStyle w:val="23"/>
        <w:snapToGrid w:val="0"/>
        <w:spacing w:before="295" w:after="295" w:line="380" w:lineRule="exact"/>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                                                </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年</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月</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日</w:t>
      </w:r>
    </w:p>
    <w:p w14:paraId="1FC736AC">
      <w:pPr>
        <w:snapToGrid w:val="0"/>
        <w:spacing w:before="120" w:beforeLines="50" w:after="50"/>
        <w:jc w:val="left"/>
        <w:rPr>
          <w:rFonts w:hint="eastAsia" w:ascii="微软雅黑" w:hAnsi="微软雅黑" w:eastAsia="微软雅黑"/>
          <w:b/>
          <w:color w:val="auto"/>
          <w:sz w:val="24"/>
          <w:szCs w:val="20"/>
          <w:highlight w:val="none"/>
        </w:rPr>
      </w:pPr>
      <w:r>
        <w:rPr>
          <w:rFonts w:ascii="微软雅黑" w:hAnsi="微软雅黑" w:eastAsia="微软雅黑"/>
          <w:color w:val="auto"/>
          <w:highlight w:val="none"/>
          <w:u w:val="single"/>
        </w:rPr>
        <w:br w:type="page"/>
      </w:r>
      <w:r>
        <w:rPr>
          <w:rFonts w:hint="eastAsia" w:ascii="微软雅黑" w:hAnsi="微软雅黑" w:eastAsia="微软雅黑"/>
          <w:b/>
          <w:color w:val="auto"/>
          <w:sz w:val="24"/>
          <w:highlight w:val="none"/>
        </w:rPr>
        <w:t>4. 开标一览表（服务类格式）</w:t>
      </w:r>
    </w:p>
    <w:p w14:paraId="566790B6">
      <w:pPr>
        <w:snapToGrid w:val="0"/>
        <w:spacing w:before="50" w:after="50"/>
        <w:jc w:val="center"/>
        <w:rPr>
          <w:rFonts w:hint="eastAsia" w:ascii="微软雅黑" w:hAnsi="微软雅黑" w:eastAsia="微软雅黑"/>
          <w:b/>
          <w:color w:val="auto"/>
          <w:sz w:val="30"/>
          <w:highlight w:val="none"/>
          <w:lang w:eastAsia="zh-CN"/>
        </w:rPr>
      </w:pPr>
      <w:r>
        <w:rPr>
          <w:rFonts w:hint="eastAsia" w:ascii="微软雅黑" w:hAnsi="微软雅黑" w:eastAsia="微软雅黑"/>
          <w:b/>
          <w:color w:val="auto"/>
          <w:sz w:val="30"/>
          <w:highlight w:val="none"/>
        </w:rPr>
        <w:t>开标一览表</w:t>
      </w:r>
    </w:p>
    <w:p w14:paraId="3DF014FE">
      <w:pPr>
        <w:snapToGrid w:val="0"/>
        <w:spacing w:before="50" w:after="50"/>
        <w:jc w:val="center"/>
        <w:rPr>
          <w:rFonts w:hint="eastAsia" w:ascii="微软雅黑" w:hAnsi="微软雅黑" w:eastAsia="微软雅黑"/>
          <w:b/>
          <w:color w:val="auto"/>
          <w:sz w:val="30"/>
          <w:szCs w:val="20"/>
          <w:highlight w:val="none"/>
        </w:rPr>
      </w:pPr>
    </w:p>
    <w:p w14:paraId="53EA46D6">
      <w:pPr>
        <w:snapToGrid w:val="0"/>
        <w:spacing w:before="50" w:after="50" w:line="400" w:lineRule="exact"/>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项目名称：</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rPr>
        <w:t xml:space="preserve">         </w:t>
      </w: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分标：</w:t>
      </w:r>
      <w:r>
        <w:rPr>
          <w:rFonts w:hint="eastAsia" w:ascii="微软雅黑" w:hAnsi="微软雅黑" w:eastAsia="微软雅黑"/>
          <w:color w:val="auto"/>
          <w:szCs w:val="21"/>
          <w:highlight w:val="none"/>
          <w:u w:val="single"/>
        </w:rPr>
        <w:t xml:space="preserve">           </w:t>
      </w:r>
    </w:p>
    <w:p w14:paraId="51901C8B">
      <w:pPr>
        <w:snapToGrid w:val="0"/>
        <w:spacing w:before="50" w:after="50"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投标人名称：</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单位：元</w:t>
      </w:r>
    </w:p>
    <w:tbl>
      <w:tblPr>
        <w:tblStyle w:val="46"/>
        <w:tblW w:w="852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070"/>
        <w:gridCol w:w="1718"/>
        <w:gridCol w:w="1271"/>
        <w:gridCol w:w="1498"/>
        <w:gridCol w:w="1068"/>
      </w:tblGrid>
      <w:tr w14:paraId="304E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3" w:type="dxa"/>
            <w:tcBorders>
              <w:top w:val="single" w:color="auto" w:sz="4" w:space="0"/>
              <w:left w:val="single" w:color="auto" w:sz="4" w:space="0"/>
              <w:bottom w:val="single" w:color="auto" w:sz="4" w:space="0"/>
              <w:right w:val="single" w:color="auto" w:sz="4" w:space="0"/>
            </w:tcBorders>
            <w:vAlign w:val="center"/>
          </w:tcPr>
          <w:p w14:paraId="4AC29753">
            <w:pPr>
              <w:spacing w:line="400" w:lineRule="exact"/>
              <w:jc w:val="center"/>
              <w:rPr>
                <w:rFonts w:ascii="微软雅黑" w:hAnsi="微软雅黑" w:eastAsia="微软雅黑" w:cs="仿宋_GB2312"/>
                <w:b w:val="0"/>
                <w:bCs w:val="0"/>
                <w:color w:val="auto"/>
                <w:szCs w:val="21"/>
                <w:highlight w:val="none"/>
              </w:rPr>
            </w:pPr>
            <w:r>
              <w:rPr>
                <w:rFonts w:ascii="微软雅黑" w:hAnsi="微软雅黑" w:eastAsia="微软雅黑" w:cs="仿宋_GB2312"/>
                <w:b w:val="0"/>
                <w:bCs w:val="0"/>
                <w:color w:val="auto"/>
                <w:szCs w:val="21"/>
                <w:highlight w:val="none"/>
              </w:rPr>
              <w:t>序号</w:t>
            </w:r>
          </w:p>
        </w:tc>
        <w:tc>
          <w:tcPr>
            <w:tcW w:w="2070" w:type="dxa"/>
            <w:tcBorders>
              <w:top w:val="single" w:color="auto" w:sz="4" w:space="0"/>
              <w:left w:val="single" w:color="auto" w:sz="4" w:space="0"/>
              <w:bottom w:val="single" w:color="auto" w:sz="4" w:space="0"/>
              <w:right w:val="single" w:color="auto" w:sz="4" w:space="0"/>
            </w:tcBorders>
            <w:vAlign w:val="center"/>
          </w:tcPr>
          <w:p w14:paraId="5A0CAD06">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b w:val="0"/>
                <w:bCs w:val="0"/>
                <w:color w:val="auto"/>
                <w:szCs w:val="21"/>
                <w:highlight w:val="none"/>
              </w:rPr>
              <w:t>标的</w:t>
            </w:r>
            <w:r>
              <w:rPr>
                <w:rFonts w:hint="eastAsia" w:ascii="微软雅黑" w:hAnsi="微软雅黑" w:eastAsia="微软雅黑"/>
                <w:b w:val="0"/>
                <w:bCs w:val="0"/>
                <w:color w:val="auto"/>
                <w:szCs w:val="21"/>
                <w:highlight w:val="none"/>
                <w:lang w:eastAsia="zh-CN"/>
              </w:rPr>
              <w:t>（</w:t>
            </w:r>
            <w:r>
              <w:rPr>
                <w:rFonts w:hint="eastAsia" w:ascii="微软雅黑" w:hAnsi="微软雅黑" w:eastAsia="微软雅黑"/>
                <w:b w:val="0"/>
                <w:bCs w:val="0"/>
                <w:color w:val="auto"/>
                <w:szCs w:val="21"/>
                <w:highlight w:val="none"/>
                <w:lang w:val="en-US" w:eastAsia="zh-CN"/>
              </w:rPr>
              <w:t>服务</w:t>
            </w:r>
            <w:r>
              <w:rPr>
                <w:rFonts w:hint="eastAsia" w:ascii="微软雅黑" w:hAnsi="微软雅黑" w:eastAsia="微软雅黑"/>
                <w:b w:val="0"/>
                <w:bCs w:val="0"/>
                <w:color w:val="auto"/>
                <w:szCs w:val="21"/>
                <w:highlight w:val="none"/>
                <w:lang w:eastAsia="zh-CN"/>
              </w:rPr>
              <w:t>）</w:t>
            </w:r>
            <w:r>
              <w:rPr>
                <w:rFonts w:hint="eastAsia" w:ascii="微软雅黑" w:hAnsi="微软雅黑" w:eastAsia="微软雅黑"/>
                <w:b w:val="0"/>
                <w:bCs w:val="0"/>
                <w:color w:val="auto"/>
                <w:szCs w:val="21"/>
                <w:highlight w:val="none"/>
              </w:rPr>
              <w:t>的名称</w:t>
            </w:r>
          </w:p>
        </w:tc>
        <w:tc>
          <w:tcPr>
            <w:tcW w:w="1718" w:type="dxa"/>
            <w:tcBorders>
              <w:top w:val="single" w:color="auto" w:sz="4" w:space="0"/>
              <w:left w:val="single" w:color="auto" w:sz="4" w:space="0"/>
              <w:bottom w:val="single" w:color="auto" w:sz="4" w:space="0"/>
              <w:right w:val="single" w:color="auto" w:sz="4" w:space="0"/>
            </w:tcBorders>
            <w:vAlign w:val="center"/>
          </w:tcPr>
          <w:p w14:paraId="2E9F4FDA">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数量及单位</w:t>
            </w:r>
          </w:p>
        </w:tc>
        <w:tc>
          <w:tcPr>
            <w:tcW w:w="1271" w:type="dxa"/>
            <w:tcBorders>
              <w:top w:val="single" w:color="auto" w:sz="4" w:space="0"/>
              <w:left w:val="single" w:color="auto" w:sz="4" w:space="0"/>
              <w:bottom w:val="single" w:color="auto" w:sz="4" w:space="0"/>
              <w:right w:val="single" w:color="auto" w:sz="4" w:space="0"/>
            </w:tcBorders>
            <w:vAlign w:val="center"/>
          </w:tcPr>
          <w:p w14:paraId="1949467F">
            <w:pPr>
              <w:spacing w:line="400" w:lineRule="exact"/>
              <w:jc w:val="center"/>
              <w:rPr>
                <w:rFonts w:hint="eastAsia" w:ascii="微软雅黑" w:hAnsi="微软雅黑" w:eastAsia="微软雅黑" w:cs="仿宋_GB2312"/>
                <w:b w:val="0"/>
                <w:bCs w:val="0"/>
                <w:color w:val="auto"/>
                <w:szCs w:val="21"/>
                <w:highlight w:val="none"/>
                <w:lang w:eastAsia="zh-CN"/>
              </w:rPr>
            </w:pPr>
            <w:r>
              <w:rPr>
                <w:rFonts w:hint="eastAsia" w:ascii="微软雅黑" w:hAnsi="微软雅黑" w:eastAsia="微软雅黑" w:cs="仿宋_GB2312"/>
                <w:b w:val="0"/>
                <w:bCs w:val="0"/>
                <w:color w:val="auto"/>
                <w:szCs w:val="21"/>
                <w:highlight w:val="none"/>
              </w:rPr>
              <w:t>单价</w:t>
            </w:r>
            <w:r>
              <w:rPr>
                <w:rFonts w:hint="eastAsia" w:ascii="微软雅黑" w:hAnsi="微软雅黑" w:eastAsia="微软雅黑" w:cs="仿宋_GB2312"/>
                <w:b w:val="0"/>
                <w:bCs w:val="0"/>
                <w:color w:val="auto"/>
                <w:szCs w:val="21"/>
                <w:highlight w:val="none"/>
                <w:lang w:eastAsia="zh-CN"/>
              </w:rPr>
              <w:t>（</w:t>
            </w:r>
            <w:r>
              <w:rPr>
                <w:rFonts w:hint="eastAsia" w:ascii="微软雅黑" w:hAnsi="微软雅黑" w:eastAsia="微软雅黑" w:cs="仿宋_GB2312"/>
                <w:b w:val="0"/>
                <w:bCs w:val="0"/>
                <w:color w:val="auto"/>
                <w:szCs w:val="21"/>
                <w:highlight w:val="none"/>
                <w:lang w:val="en-US" w:eastAsia="zh-CN"/>
              </w:rPr>
              <w:t>元</w:t>
            </w:r>
            <w:r>
              <w:rPr>
                <w:rFonts w:hint="eastAsia" w:ascii="微软雅黑" w:hAnsi="微软雅黑" w:eastAsia="微软雅黑" w:cs="仿宋_GB2312"/>
                <w:b w:val="0"/>
                <w:bCs w:val="0"/>
                <w:color w:val="auto"/>
                <w:szCs w:val="21"/>
                <w:highlight w:val="none"/>
                <w:lang w:eastAsia="zh-CN"/>
              </w:rPr>
              <w:t>）</w:t>
            </w:r>
          </w:p>
        </w:tc>
        <w:tc>
          <w:tcPr>
            <w:tcW w:w="1498" w:type="dxa"/>
            <w:tcBorders>
              <w:top w:val="single" w:color="auto" w:sz="4" w:space="0"/>
              <w:left w:val="single" w:color="auto" w:sz="4" w:space="0"/>
              <w:bottom w:val="single" w:color="auto" w:sz="4" w:space="0"/>
              <w:right w:val="single" w:color="auto" w:sz="4" w:space="0"/>
            </w:tcBorders>
            <w:vAlign w:val="center"/>
          </w:tcPr>
          <w:p w14:paraId="250CBF29">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总价</w:t>
            </w:r>
            <w:r>
              <w:rPr>
                <w:rFonts w:hint="eastAsia" w:ascii="微软雅黑" w:hAnsi="微软雅黑" w:eastAsia="微软雅黑" w:cs="仿宋_GB2312"/>
                <w:b w:val="0"/>
                <w:bCs w:val="0"/>
                <w:color w:val="auto"/>
                <w:szCs w:val="21"/>
                <w:highlight w:val="none"/>
                <w:lang w:eastAsia="zh-CN"/>
              </w:rPr>
              <w:t>（</w:t>
            </w:r>
            <w:r>
              <w:rPr>
                <w:rFonts w:hint="eastAsia" w:ascii="微软雅黑" w:hAnsi="微软雅黑" w:eastAsia="微软雅黑" w:cs="仿宋_GB2312"/>
                <w:b w:val="0"/>
                <w:bCs w:val="0"/>
                <w:color w:val="auto"/>
                <w:szCs w:val="21"/>
                <w:highlight w:val="none"/>
                <w:lang w:val="en-US" w:eastAsia="zh-CN"/>
              </w:rPr>
              <w:t>元</w:t>
            </w:r>
            <w:r>
              <w:rPr>
                <w:rFonts w:hint="eastAsia" w:ascii="微软雅黑" w:hAnsi="微软雅黑" w:eastAsia="微软雅黑" w:cs="仿宋_GB2312"/>
                <w:b w:val="0"/>
                <w:bCs w:val="0"/>
                <w:color w:val="auto"/>
                <w:szCs w:val="21"/>
                <w:highlight w:val="none"/>
                <w:lang w:eastAsia="zh-CN"/>
              </w:rPr>
              <w:t>）</w:t>
            </w:r>
          </w:p>
        </w:tc>
        <w:tc>
          <w:tcPr>
            <w:tcW w:w="1068" w:type="dxa"/>
            <w:tcBorders>
              <w:top w:val="single" w:color="auto" w:sz="4" w:space="0"/>
              <w:left w:val="single" w:color="auto" w:sz="4" w:space="0"/>
              <w:bottom w:val="single" w:color="auto" w:sz="4" w:space="0"/>
              <w:right w:val="single" w:color="auto" w:sz="4" w:space="0"/>
            </w:tcBorders>
            <w:vAlign w:val="center"/>
          </w:tcPr>
          <w:p w14:paraId="737AB048">
            <w:pPr>
              <w:spacing w:line="400" w:lineRule="exact"/>
              <w:jc w:val="center"/>
              <w:rPr>
                <w:rFonts w:ascii="微软雅黑" w:hAnsi="微软雅黑" w:eastAsia="微软雅黑" w:cs="仿宋_GB2312"/>
                <w:b w:val="0"/>
                <w:bCs w:val="0"/>
                <w:color w:val="auto"/>
                <w:szCs w:val="21"/>
                <w:highlight w:val="none"/>
              </w:rPr>
            </w:pPr>
            <w:r>
              <w:rPr>
                <w:rFonts w:ascii="微软雅黑" w:hAnsi="微软雅黑" w:eastAsia="微软雅黑" w:cs="仿宋_GB2312"/>
                <w:b w:val="0"/>
                <w:bCs w:val="0"/>
                <w:color w:val="auto"/>
                <w:szCs w:val="21"/>
                <w:highlight w:val="none"/>
              </w:rPr>
              <w:t>备注</w:t>
            </w:r>
          </w:p>
        </w:tc>
      </w:tr>
      <w:tr w14:paraId="3D2A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903" w:type="dxa"/>
            <w:tcBorders>
              <w:top w:val="single" w:color="auto" w:sz="4" w:space="0"/>
              <w:left w:val="single" w:color="auto" w:sz="4" w:space="0"/>
              <w:bottom w:val="single" w:color="auto" w:sz="4" w:space="0"/>
              <w:right w:val="single" w:color="auto" w:sz="4" w:space="0"/>
            </w:tcBorders>
            <w:vAlign w:val="center"/>
          </w:tcPr>
          <w:p w14:paraId="5D8063FC">
            <w:pPr>
              <w:spacing w:line="400" w:lineRule="exact"/>
              <w:jc w:val="center"/>
              <w:rPr>
                <w:rFonts w:ascii="微软雅黑" w:hAnsi="微软雅黑" w:eastAsia="微软雅黑" w:cs="仿宋_GB2312"/>
                <w:b w:val="0"/>
                <w:bCs w:val="0"/>
                <w:color w:val="auto"/>
                <w:szCs w:val="21"/>
                <w:highlight w:val="none"/>
              </w:rPr>
            </w:pPr>
            <w:r>
              <w:rPr>
                <w:rFonts w:ascii="微软雅黑" w:hAnsi="微软雅黑" w:eastAsia="微软雅黑" w:cs="仿宋_GB2312"/>
                <w:b w:val="0"/>
                <w:bCs w:val="0"/>
                <w:color w:val="auto"/>
                <w:szCs w:val="21"/>
                <w:highlight w:val="none"/>
              </w:rPr>
              <w:t>1</w:t>
            </w:r>
          </w:p>
        </w:tc>
        <w:tc>
          <w:tcPr>
            <w:tcW w:w="2070" w:type="dxa"/>
            <w:tcBorders>
              <w:top w:val="single" w:color="auto" w:sz="4" w:space="0"/>
              <w:left w:val="single" w:color="auto" w:sz="4" w:space="0"/>
              <w:bottom w:val="single" w:color="auto" w:sz="4" w:space="0"/>
              <w:right w:val="single" w:color="auto" w:sz="4" w:space="0"/>
            </w:tcBorders>
            <w:vAlign w:val="center"/>
          </w:tcPr>
          <w:p w14:paraId="5F9C7193">
            <w:pPr>
              <w:spacing w:line="400" w:lineRule="exact"/>
              <w:jc w:val="center"/>
              <w:rPr>
                <w:rFonts w:hint="eastAsia" w:ascii="微软雅黑" w:hAnsi="微软雅黑" w:eastAsia="微软雅黑" w:cs="Times New Roman"/>
                <w:b w:val="0"/>
                <w:color w:val="auto"/>
                <w:kern w:val="2"/>
                <w:sz w:val="21"/>
                <w:szCs w:val="21"/>
                <w:highlight w:val="none"/>
                <w:lang w:val="en-US" w:eastAsia="zh-CN" w:bidi="ar-SA"/>
              </w:rPr>
            </w:pPr>
            <w:r>
              <w:rPr>
                <w:rFonts w:hint="eastAsia" w:ascii="微软雅黑" w:hAnsi="微软雅黑" w:eastAsia="微软雅黑" w:cs="Times New Roman"/>
                <w:b w:val="0"/>
                <w:color w:val="auto"/>
                <w:kern w:val="2"/>
                <w:sz w:val="21"/>
                <w:szCs w:val="21"/>
                <w:highlight w:val="none"/>
                <w:lang w:val="en-US" w:eastAsia="zh-CN" w:bidi="ar-SA"/>
              </w:rPr>
              <w:t>警用地理信息系统平台升级</w:t>
            </w:r>
          </w:p>
        </w:tc>
        <w:tc>
          <w:tcPr>
            <w:tcW w:w="1718" w:type="dxa"/>
            <w:tcBorders>
              <w:top w:val="single" w:color="auto" w:sz="4" w:space="0"/>
              <w:left w:val="single" w:color="auto" w:sz="4" w:space="0"/>
              <w:bottom w:val="single" w:color="auto" w:sz="4" w:space="0"/>
              <w:right w:val="single" w:color="auto" w:sz="4" w:space="0"/>
            </w:tcBorders>
            <w:vAlign w:val="center"/>
          </w:tcPr>
          <w:p w14:paraId="5CBF6CE1">
            <w:pPr>
              <w:spacing w:line="400" w:lineRule="exact"/>
              <w:rPr>
                <w:rFonts w:ascii="微软雅黑" w:hAnsi="微软雅黑" w:eastAsia="微软雅黑" w:cs="仿宋_GB2312"/>
                <w:b w:val="0"/>
                <w:bCs w:val="0"/>
                <w:color w:val="auto"/>
                <w:szCs w:val="21"/>
                <w:highlight w:val="none"/>
              </w:rPr>
            </w:pPr>
          </w:p>
        </w:tc>
        <w:tc>
          <w:tcPr>
            <w:tcW w:w="1271" w:type="dxa"/>
            <w:tcBorders>
              <w:top w:val="single" w:color="auto" w:sz="4" w:space="0"/>
              <w:left w:val="single" w:color="auto" w:sz="4" w:space="0"/>
              <w:bottom w:val="single" w:color="auto" w:sz="4" w:space="0"/>
              <w:right w:val="single" w:color="auto" w:sz="4" w:space="0"/>
            </w:tcBorders>
            <w:vAlign w:val="top"/>
          </w:tcPr>
          <w:p w14:paraId="0F1C85BD">
            <w:pPr>
              <w:spacing w:line="400" w:lineRule="exact"/>
              <w:rPr>
                <w:rFonts w:ascii="微软雅黑" w:hAnsi="微软雅黑" w:eastAsia="微软雅黑" w:cs="仿宋_GB2312"/>
                <w:b w:val="0"/>
                <w:bCs w:val="0"/>
                <w:color w:val="auto"/>
                <w:szCs w:val="21"/>
                <w:highlight w:val="none"/>
              </w:rPr>
            </w:pPr>
          </w:p>
        </w:tc>
        <w:tc>
          <w:tcPr>
            <w:tcW w:w="1498" w:type="dxa"/>
            <w:tcBorders>
              <w:top w:val="single" w:color="auto" w:sz="4" w:space="0"/>
              <w:left w:val="single" w:color="auto" w:sz="4" w:space="0"/>
              <w:bottom w:val="single" w:color="auto" w:sz="4" w:space="0"/>
              <w:right w:val="single" w:color="auto" w:sz="4" w:space="0"/>
            </w:tcBorders>
            <w:vAlign w:val="top"/>
          </w:tcPr>
          <w:p w14:paraId="14567BAD">
            <w:pPr>
              <w:spacing w:line="400" w:lineRule="exact"/>
              <w:rPr>
                <w:rFonts w:ascii="微软雅黑" w:hAnsi="微软雅黑" w:eastAsia="微软雅黑" w:cs="仿宋_GB2312"/>
                <w:b w:val="0"/>
                <w:bCs w:val="0"/>
                <w:color w:val="auto"/>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2F644827">
            <w:pPr>
              <w:spacing w:line="400" w:lineRule="exact"/>
              <w:rPr>
                <w:rFonts w:ascii="微软雅黑" w:hAnsi="微软雅黑" w:eastAsia="微软雅黑" w:cs="仿宋_GB2312"/>
                <w:b w:val="0"/>
                <w:bCs w:val="0"/>
                <w:color w:val="auto"/>
                <w:szCs w:val="21"/>
                <w:highlight w:val="none"/>
              </w:rPr>
            </w:pPr>
          </w:p>
        </w:tc>
      </w:tr>
      <w:tr w14:paraId="4DFD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903" w:type="dxa"/>
            <w:tcBorders>
              <w:top w:val="single" w:color="auto" w:sz="4" w:space="0"/>
              <w:left w:val="single" w:color="auto" w:sz="4" w:space="0"/>
              <w:bottom w:val="single" w:color="auto" w:sz="4" w:space="0"/>
              <w:right w:val="single" w:color="auto" w:sz="4" w:space="0"/>
            </w:tcBorders>
            <w:vAlign w:val="center"/>
          </w:tcPr>
          <w:p w14:paraId="0C2BB668">
            <w:pPr>
              <w:spacing w:line="400" w:lineRule="exact"/>
              <w:jc w:val="center"/>
              <w:rPr>
                <w:rFonts w:hint="eastAsia" w:ascii="微软雅黑" w:hAnsi="微软雅黑" w:eastAsia="微软雅黑" w:cs="仿宋_GB2312"/>
                <w:b w:val="0"/>
                <w:bCs w:val="0"/>
                <w:color w:val="auto"/>
                <w:szCs w:val="21"/>
                <w:highlight w:val="none"/>
                <w:lang w:val="en-US" w:eastAsia="zh-CN"/>
              </w:rPr>
            </w:pPr>
            <w:r>
              <w:rPr>
                <w:rFonts w:hint="eastAsia" w:ascii="微软雅黑" w:hAnsi="微软雅黑" w:eastAsia="微软雅黑" w:cs="仿宋_GB2312"/>
                <w:b w:val="0"/>
                <w:bCs w:val="0"/>
                <w:color w:val="auto"/>
                <w:szCs w:val="21"/>
                <w:highlight w:val="none"/>
                <w:lang w:val="en-US" w:eastAsia="zh-CN"/>
              </w:rPr>
              <w:t>2</w:t>
            </w:r>
          </w:p>
        </w:tc>
        <w:tc>
          <w:tcPr>
            <w:tcW w:w="2070" w:type="dxa"/>
            <w:tcBorders>
              <w:top w:val="single" w:color="auto" w:sz="4" w:space="0"/>
              <w:left w:val="single" w:color="auto" w:sz="4" w:space="0"/>
              <w:bottom w:val="single" w:color="auto" w:sz="4" w:space="0"/>
              <w:right w:val="single" w:color="auto" w:sz="4" w:space="0"/>
            </w:tcBorders>
            <w:vAlign w:val="center"/>
          </w:tcPr>
          <w:p w14:paraId="43C610D8">
            <w:pPr>
              <w:spacing w:line="400" w:lineRule="exact"/>
              <w:jc w:val="center"/>
              <w:rPr>
                <w:rFonts w:hint="eastAsia" w:ascii="微软雅黑" w:hAnsi="微软雅黑" w:eastAsia="微软雅黑" w:cs="Times New Roman"/>
                <w:b w:val="0"/>
                <w:color w:val="auto"/>
                <w:kern w:val="2"/>
                <w:sz w:val="21"/>
                <w:szCs w:val="21"/>
                <w:highlight w:val="none"/>
                <w:lang w:val="en-US" w:eastAsia="zh-CN" w:bidi="ar-SA"/>
              </w:rPr>
            </w:pPr>
            <w:r>
              <w:rPr>
                <w:rFonts w:hint="eastAsia" w:ascii="微软雅黑" w:hAnsi="微软雅黑" w:eastAsia="微软雅黑" w:cs="Times New Roman"/>
                <w:b w:val="0"/>
                <w:color w:val="auto"/>
                <w:kern w:val="2"/>
                <w:sz w:val="21"/>
                <w:szCs w:val="21"/>
                <w:highlight w:val="none"/>
                <w:lang w:val="en-US" w:eastAsia="zh-CN" w:bidi="ar-SA"/>
              </w:rPr>
              <w:t>信息共享与业务协同平台</w:t>
            </w:r>
          </w:p>
        </w:tc>
        <w:tc>
          <w:tcPr>
            <w:tcW w:w="1718" w:type="dxa"/>
            <w:tcBorders>
              <w:top w:val="single" w:color="auto" w:sz="4" w:space="0"/>
              <w:left w:val="single" w:color="auto" w:sz="4" w:space="0"/>
              <w:bottom w:val="single" w:color="auto" w:sz="4" w:space="0"/>
              <w:right w:val="single" w:color="auto" w:sz="4" w:space="0"/>
            </w:tcBorders>
            <w:vAlign w:val="center"/>
          </w:tcPr>
          <w:p w14:paraId="6430909A">
            <w:pPr>
              <w:spacing w:line="400" w:lineRule="exact"/>
              <w:rPr>
                <w:rFonts w:ascii="微软雅黑" w:hAnsi="微软雅黑" w:eastAsia="微软雅黑" w:cs="仿宋_GB2312"/>
                <w:b w:val="0"/>
                <w:bCs w:val="0"/>
                <w:color w:val="auto"/>
                <w:szCs w:val="21"/>
                <w:highlight w:val="none"/>
              </w:rPr>
            </w:pPr>
          </w:p>
        </w:tc>
        <w:tc>
          <w:tcPr>
            <w:tcW w:w="1271" w:type="dxa"/>
            <w:tcBorders>
              <w:top w:val="single" w:color="auto" w:sz="4" w:space="0"/>
              <w:left w:val="single" w:color="auto" w:sz="4" w:space="0"/>
              <w:bottom w:val="single" w:color="auto" w:sz="4" w:space="0"/>
              <w:right w:val="single" w:color="auto" w:sz="4" w:space="0"/>
            </w:tcBorders>
            <w:vAlign w:val="top"/>
          </w:tcPr>
          <w:p w14:paraId="213B43B7">
            <w:pPr>
              <w:spacing w:line="400" w:lineRule="exact"/>
              <w:rPr>
                <w:rFonts w:ascii="微软雅黑" w:hAnsi="微软雅黑" w:eastAsia="微软雅黑" w:cs="仿宋_GB2312"/>
                <w:b w:val="0"/>
                <w:bCs w:val="0"/>
                <w:color w:val="auto"/>
                <w:szCs w:val="21"/>
                <w:highlight w:val="none"/>
              </w:rPr>
            </w:pPr>
          </w:p>
        </w:tc>
        <w:tc>
          <w:tcPr>
            <w:tcW w:w="1498" w:type="dxa"/>
            <w:tcBorders>
              <w:top w:val="single" w:color="auto" w:sz="4" w:space="0"/>
              <w:left w:val="single" w:color="auto" w:sz="4" w:space="0"/>
              <w:bottom w:val="single" w:color="auto" w:sz="4" w:space="0"/>
              <w:right w:val="single" w:color="auto" w:sz="4" w:space="0"/>
            </w:tcBorders>
            <w:vAlign w:val="top"/>
          </w:tcPr>
          <w:p w14:paraId="16EE3598">
            <w:pPr>
              <w:spacing w:line="400" w:lineRule="exact"/>
              <w:rPr>
                <w:rFonts w:ascii="微软雅黑" w:hAnsi="微软雅黑" w:eastAsia="微软雅黑" w:cs="仿宋_GB2312"/>
                <w:b w:val="0"/>
                <w:bCs w:val="0"/>
                <w:color w:val="auto"/>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06CDB5CE">
            <w:pPr>
              <w:spacing w:line="400" w:lineRule="exact"/>
              <w:rPr>
                <w:rFonts w:ascii="微软雅黑" w:hAnsi="微软雅黑" w:eastAsia="微软雅黑" w:cs="仿宋_GB2312"/>
                <w:b w:val="0"/>
                <w:bCs w:val="0"/>
                <w:color w:val="auto"/>
                <w:szCs w:val="21"/>
                <w:highlight w:val="none"/>
              </w:rPr>
            </w:pPr>
          </w:p>
        </w:tc>
      </w:tr>
      <w:tr w14:paraId="08D5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right"/>
        </w:trPr>
        <w:tc>
          <w:tcPr>
            <w:tcW w:w="903" w:type="dxa"/>
            <w:tcBorders>
              <w:top w:val="single" w:color="auto" w:sz="4" w:space="0"/>
              <w:left w:val="single" w:color="auto" w:sz="4" w:space="0"/>
              <w:bottom w:val="single" w:color="auto" w:sz="4" w:space="0"/>
              <w:right w:val="single" w:color="auto" w:sz="4" w:space="0"/>
            </w:tcBorders>
            <w:vAlign w:val="center"/>
          </w:tcPr>
          <w:p w14:paraId="03F68AB0">
            <w:pPr>
              <w:spacing w:line="400" w:lineRule="exact"/>
              <w:jc w:val="center"/>
              <w:rPr>
                <w:rFonts w:hint="eastAsia" w:ascii="微软雅黑" w:hAnsi="微软雅黑" w:eastAsia="微软雅黑" w:cs="仿宋_GB2312"/>
                <w:b w:val="0"/>
                <w:bCs w:val="0"/>
                <w:color w:val="auto"/>
                <w:szCs w:val="21"/>
                <w:highlight w:val="none"/>
                <w:lang w:eastAsia="zh-CN"/>
              </w:rPr>
            </w:pPr>
            <w:r>
              <w:rPr>
                <w:rFonts w:hint="eastAsia" w:ascii="微软雅黑" w:hAnsi="微软雅黑" w:eastAsia="微软雅黑" w:cs="仿宋_GB2312"/>
                <w:b w:val="0"/>
                <w:bCs w:val="0"/>
                <w:color w:val="auto"/>
                <w:szCs w:val="21"/>
                <w:highlight w:val="none"/>
                <w:lang w:val="en-US" w:eastAsia="zh-CN"/>
              </w:rPr>
              <w:t>3</w:t>
            </w:r>
          </w:p>
        </w:tc>
        <w:tc>
          <w:tcPr>
            <w:tcW w:w="2070" w:type="dxa"/>
            <w:tcBorders>
              <w:top w:val="single" w:color="auto" w:sz="4" w:space="0"/>
              <w:left w:val="single" w:color="auto" w:sz="4" w:space="0"/>
              <w:bottom w:val="single" w:color="auto" w:sz="4" w:space="0"/>
              <w:right w:val="single" w:color="auto" w:sz="4" w:space="0"/>
            </w:tcBorders>
            <w:vAlign w:val="center"/>
          </w:tcPr>
          <w:p w14:paraId="56C57E47">
            <w:pPr>
              <w:pStyle w:val="6"/>
              <w:keepNext w:val="0"/>
              <w:keepLines w:val="0"/>
              <w:numPr>
                <w:ilvl w:val="0"/>
                <w:numId w:val="0"/>
              </w:numPr>
              <w:spacing w:before="0" w:after="0" w:line="400" w:lineRule="exact"/>
              <w:jc w:val="center"/>
              <w:outlineLvl w:val="2"/>
              <w:rPr>
                <w:rFonts w:hint="eastAsia" w:ascii="微软雅黑" w:hAnsi="微软雅黑" w:eastAsia="微软雅黑" w:cs="Times New Roman"/>
                <w:b w:val="0"/>
                <w:color w:val="auto"/>
                <w:kern w:val="2"/>
                <w:sz w:val="21"/>
                <w:szCs w:val="21"/>
                <w:highlight w:val="none"/>
                <w:lang w:val="en-US" w:eastAsia="zh-CN" w:bidi="ar-SA"/>
              </w:rPr>
            </w:pPr>
            <w:r>
              <w:rPr>
                <w:rFonts w:hint="eastAsia" w:ascii="微软雅黑" w:hAnsi="微软雅黑" w:eastAsia="微软雅黑" w:cs="Times New Roman"/>
                <w:b w:val="0"/>
                <w:color w:val="auto"/>
                <w:kern w:val="2"/>
                <w:sz w:val="21"/>
                <w:szCs w:val="21"/>
                <w:highlight w:val="none"/>
                <w:lang w:val="en-US" w:eastAsia="zh-CN" w:bidi="ar-SA"/>
              </w:rPr>
              <w:t>大数据实战平台</w:t>
            </w:r>
          </w:p>
        </w:tc>
        <w:tc>
          <w:tcPr>
            <w:tcW w:w="1718" w:type="dxa"/>
            <w:tcBorders>
              <w:top w:val="single" w:color="auto" w:sz="4" w:space="0"/>
              <w:left w:val="single" w:color="auto" w:sz="4" w:space="0"/>
              <w:bottom w:val="single" w:color="auto" w:sz="4" w:space="0"/>
              <w:right w:val="single" w:color="auto" w:sz="4" w:space="0"/>
            </w:tcBorders>
            <w:vAlign w:val="center"/>
          </w:tcPr>
          <w:p w14:paraId="3C495636">
            <w:pPr>
              <w:spacing w:line="400" w:lineRule="exact"/>
              <w:rPr>
                <w:rFonts w:ascii="微软雅黑" w:hAnsi="微软雅黑" w:eastAsia="微软雅黑" w:cs="仿宋_GB2312"/>
                <w:b w:val="0"/>
                <w:bCs w:val="0"/>
                <w:color w:val="auto"/>
                <w:szCs w:val="21"/>
                <w:highlight w:val="none"/>
              </w:rPr>
            </w:pPr>
          </w:p>
        </w:tc>
        <w:tc>
          <w:tcPr>
            <w:tcW w:w="1271" w:type="dxa"/>
            <w:tcBorders>
              <w:top w:val="single" w:color="auto" w:sz="4" w:space="0"/>
              <w:left w:val="single" w:color="auto" w:sz="4" w:space="0"/>
              <w:bottom w:val="single" w:color="auto" w:sz="4" w:space="0"/>
              <w:right w:val="single" w:color="auto" w:sz="4" w:space="0"/>
            </w:tcBorders>
            <w:vAlign w:val="top"/>
          </w:tcPr>
          <w:p w14:paraId="1B514931">
            <w:pPr>
              <w:spacing w:line="400" w:lineRule="exact"/>
              <w:rPr>
                <w:rFonts w:ascii="微软雅黑" w:hAnsi="微软雅黑" w:eastAsia="微软雅黑" w:cs="仿宋_GB2312"/>
                <w:b w:val="0"/>
                <w:bCs w:val="0"/>
                <w:color w:val="auto"/>
                <w:szCs w:val="21"/>
                <w:highlight w:val="none"/>
              </w:rPr>
            </w:pPr>
          </w:p>
        </w:tc>
        <w:tc>
          <w:tcPr>
            <w:tcW w:w="1498" w:type="dxa"/>
            <w:tcBorders>
              <w:top w:val="single" w:color="auto" w:sz="4" w:space="0"/>
              <w:left w:val="single" w:color="auto" w:sz="4" w:space="0"/>
              <w:bottom w:val="single" w:color="auto" w:sz="4" w:space="0"/>
              <w:right w:val="single" w:color="auto" w:sz="4" w:space="0"/>
            </w:tcBorders>
            <w:vAlign w:val="top"/>
          </w:tcPr>
          <w:p w14:paraId="44EED49E">
            <w:pPr>
              <w:spacing w:line="400" w:lineRule="exact"/>
              <w:rPr>
                <w:rFonts w:ascii="微软雅黑" w:hAnsi="微软雅黑" w:eastAsia="微软雅黑" w:cs="仿宋_GB2312"/>
                <w:b w:val="0"/>
                <w:bCs w:val="0"/>
                <w:color w:val="auto"/>
                <w:szCs w:val="21"/>
                <w:highlight w:val="none"/>
              </w:rPr>
            </w:pPr>
          </w:p>
        </w:tc>
        <w:tc>
          <w:tcPr>
            <w:tcW w:w="1068" w:type="dxa"/>
            <w:tcBorders>
              <w:top w:val="single" w:color="auto" w:sz="4" w:space="0"/>
              <w:left w:val="single" w:color="auto" w:sz="4" w:space="0"/>
              <w:bottom w:val="single" w:color="auto" w:sz="4" w:space="0"/>
              <w:right w:val="single" w:color="auto" w:sz="4" w:space="0"/>
            </w:tcBorders>
            <w:vAlign w:val="center"/>
          </w:tcPr>
          <w:p w14:paraId="0F0265C2">
            <w:pPr>
              <w:spacing w:line="400" w:lineRule="exact"/>
              <w:rPr>
                <w:rFonts w:ascii="微软雅黑" w:hAnsi="微软雅黑" w:eastAsia="微软雅黑" w:cs="仿宋_GB2312"/>
                <w:b w:val="0"/>
                <w:bCs w:val="0"/>
                <w:color w:val="auto"/>
                <w:szCs w:val="21"/>
                <w:highlight w:val="none"/>
              </w:rPr>
            </w:pPr>
          </w:p>
        </w:tc>
      </w:tr>
      <w:tr w14:paraId="1CE6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right"/>
        </w:trPr>
        <w:tc>
          <w:tcPr>
            <w:tcW w:w="8528" w:type="dxa"/>
            <w:gridSpan w:val="6"/>
            <w:tcBorders>
              <w:top w:val="single" w:color="auto" w:sz="4" w:space="0"/>
              <w:left w:val="single" w:color="auto" w:sz="4" w:space="0"/>
              <w:bottom w:val="single" w:color="auto" w:sz="4" w:space="0"/>
              <w:right w:val="single" w:color="auto" w:sz="4" w:space="0"/>
            </w:tcBorders>
            <w:vAlign w:val="center"/>
          </w:tcPr>
          <w:p w14:paraId="598A313D">
            <w:pPr>
              <w:snapToGrid w:val="0"/>
              <w:spacing w:before="50" w:after="50" w:line="400" w:lineRule="exact"/>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合计金额大写：人民币</w:t>
            </w:r>
            <w:r>
              <w:rPr>
                <w:rFonts w:hint="eastAsia" w:ascii="微软雅黑" w:hAnsi="微软雅黑" w:eastAsia="微软雅黑" w:cs="仿宋_GB2312"/>
                <w:b w:val="0"/>
                <w:bCs w:val="0"/>
                <w:color w:val="auto"/>
                <w:szCs w:val="21"/>
                <w:highlight w:val="none"/>
                <w:u w:val="single"/>
              </w:rPr>
              <w:t xml:space="preserve">           </w:t>
            </w:r>
            <w:r>
              <w:rPr>
                <w:rFonts w:hint="eastAsia" w:ascii="微软雅黑" w:hAnsi="微软雅黑" w:eastAsia="微软雅黑" w:cs="仿宋_GB2312"/>
                <w:b w:val="0"/>
                <w:bCs w:val="0"/>
                <w:color w:val="auto"/>
                <w:szCs w:val="21"/>
                <w:highlight w:val="none"/>
              </w:rPr>
              <w:t>（¥</w:t>
            </w:r>
            <w:r>
              <w:rPr>
                <w:rFonts w:hint="eastAsia" w:ascii="微软雅黑" w:hAnsi="微软雅黑" w:eastAsia="微软雅黑" w:cs="仿宋_GB2312"/>
                <w:b w:val="0"/>
                <w:bCs w:val="0"/>
                <w:color w:val="auto"/>
                <w:szCs w:val="21"/>
                <w:highlight w:val="none"/>
                <w:u w:val="single"/>
              </w:rPr>
              <w:t xml:space="preserve">           </w:t>
            </w:r>
            <w:r>
              <w:rPr>
                <w:rFonts w:hint="eastAsia" w:ascii="微软雅黑" w:hAnsi="微软雅黑" w:eastAsia="微软雅黑" w:cs="仿宋_GB2312"/>
                <w:b w:val="0"/>
                <w:bCs w:val="0"/>
                <w:color w:val="auto"/>
                <w:szCs w:val="21"/>
                <w:highlight w:val="none"/>
              </w:rPr>
              <w:t>）</w:t>
            </w:r>
          </w:p>
        </w:tc>
      </w:tr>
    </w:tbl>
    <w:p w14:paraId="513B148A">
      <w:pPr>
        <w:snapToGrid w:val="0"/>
        <w:spacing w:line="400" w:lineRule="exact"/>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注： </w:t>
      </w:r>
    </w:p>
    <w:p w14:paraId="76BDC7EB">
      <w:pPr>
        <w:snapToGrid w:val="0"/>
        <w:spacing w:line="400" w:lineRule="exact"/>
        <w:ind w:firstLine="420" w:firstLineChars="200"/>
        <w:jc w:val="left"/>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1.报价一经涂改，应在涂改处加盖投标人公章</w:t>
      </w:r>
      <w:r>
        <w:rPr>
          <w:rFonts w:hint="eastAsia" w:ascii="微软雅黑" w:hAnsi="微软雅黑" w:eastAsia="微软雅黑" w:cs="仿宋_GB2312"/>
          <w:color w:val="auto"/>
          <w:szCs w:val="21"/>
          <w:highlight w:val="none"/>
        </w:rPr>
        <w:t>或者加盖电子签章</w:t>
      </w:r>
      <w:r>
        <w:rPr>
          <w:rFonts w:hint="eastAsia" w:ascii="微软雅黑" w:hAnsi="微软雅黑" w:eastAsia="微软雅黑"/>
          <w:color w:val="auto"/>
          <w:szCs w:val="21"/>
          <w:highlight w:val="none"/>
        </w:rPr>
        <w:t>或者由法定代表人或者委托代理人签字（或者电子签名）</w:t>
      </w:r>
      <w:r>
        <w:rPr>
          <w:rFonts w:hint="eastAsia" w:ascii="微软雅黑" w:hAnsi="微软雅黑" w:eastAsia="微软雅黑"/>
          <w:b/>
          <w:color w:val="auto"/>
          <w:szCs w:val="21"/>
          <w:highlight w:val="none"/>
        </w:rPr>
        <w:t>，否则其投标作无效标处理。</w:t>
      </w:r>
    </w:p>
    <w:p w14:paraId="05981D13">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2.招标文件中列明采购专用耗材的，应按招标文件规定的耗材量或者按耗材的常规试用量提供报价。</w:t>
      </w:r>
    </w:p>
    <w:p w14:paraId="32C433BA">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3.如为联合体投标，“投标人名称”处必须列明联合体各方名称，并标注联合体牵头人名称，</w:t>
      </w:r>
      <w:r>
        <w:rPr>
          <w:rFonts w:hint="eastAsia" w:ascii="微软雅黑" w:hAnsi="微软雅黑" w:eastAsia="微软雅黑"/>
          <w:b/>
          <w:color w:val="auto"/>
          <w:szCs w:val="21"/>
          <w:highlight w:val="none"/>
        </w:rPr>
        <w:t>否则其投标作无效标处理。</w:t>
      </w:r>
    </w:p>
    <w:p w14:paraId="7102F49B">
      <w:pPr>
        <w:snapToGrid w:val="0"/>
        <w:spacing w:line="400" w:lineRule="exact"/>
        <w:ind w:firstLine="396" w:firstLineChars="200"/>
        <w:jc w:val="left"/>
        <w:rPr>
          <w:rFonts w:hint="eastAsia" w:ascii="微软雅黑" w:hAnsi="微软雅黑" w:eastAsia="微软雅黑"/>
          <w:color w:val="auto"/>
          <w:spacing w:val="-6"/>
          <w:szCs w:val="21"/>
          <w:highlight w:val="none"/>
        </w:rPr>
      </w:pPr>
      <w:r>
        <w:rPr>
          <w:rFonts w:hint="eastAsia" w:ascii="微软雅黑" w:hAnsi="微软雅黑" w:eastAsia="微软雅黑"/>
          <w:color w:val="auto"/>
          <w:spacing w:val="-6"/>
          <w:szCs w:val="21"/>
          <w:highlight w:val="none"/>
        </w:rPr>
        <w:t>4.如为联合体投标，盖章处须加盖联合体牵头人电子签章，</w:t>
      </w:r>
      <w:r>
        <w:rPr>
          <w:rFonts w:hint="eastAsia" w:ascii="微软雅黑" w:hAnsi="微软雅黑" w:eastAsia="微软雅黑"/>
          <w:b/>
          <w:color w:val="auto"/>
          <w:spacing w:val="-6"/>
          <w:szCs w:val="21"/>
          <w:highlight w:val="none"/>
        </w:rPr>
        <w:t>否则其投标作无效标处理。</w:t>
      </w:r>
    </w:p>
    <w:p w14:paraId="67517617">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5.如有多分标，按分标分别提供开标一览表，</w:t>
      </w:r>
      <w:r>
        <w:rPr>
          <w:rFonts w:hint="eastAsia" w:ascii="微软雅黑" w:hAnsi="微软雅黑" w:eastAsia="微软雅黑"/>
          <w:b/>
          <w:color w:val="auto"/>
          <w:szCs w:val="21"/>
          <w:highlight w:val="none"/>
        </w:rPr>
        <w:t>否则投标无效。</w:t>
      </w:r>
    </w:p>
    <w:p w14:paraId="21B90BAA">
      <w:pPr>
        <w:snapToGrid w:val="0"/>
        <w:spacing w:line="400" w:lineRule="exact"/>
        <w:ind w:firstLine="420" w:firstLineChars="200"/>
        <w:rPr>
          <w:rFonts w:hint="eastAsia" w:ascii="微软雅黑" w:hAnsi="微软雅黑" w:eastAsia="微软雅黑"/>
          <w:b/>
          <w:color w:val="auto"/>
          <w:szCs w:val="21"/>
          <w:highlight w:val="none"/>
        </w:rPr>
      </w:pPr>
    </w:p>
    <w:p w14:paraId="785B9AD2">
      <w:pPr>
        <w:snapToGrid w:val="0"/>
        <w:spacing w:line="400" w:lineRule="exact"/>
        <w:ind w:firstLine="420" w:firstLineChars="200"/>
        <w:rPr>
          <w:rFonts w:hint="eastAsia" w:ascii="微软雅黑" w:hAnsi="微软雅黑" w:eastAsia="微软雅黑"/>
          <w:b/>
          <w:color w:val="auto"/>
          <w:szCs w:val="21"/>
          <w:highlight w:val="none"/>
        </w:rPr>
      </w:pPr>
    </w:p>
    <w:p w14:paraId="202C1170">
      <w:pPr>
        <w:snapToGrid w:val="0"/>
        <w:spacing w:line="400" w:lineRule="exact"/>
        <w:ind w:firstLine="420" w:firstLineChars="200"/>
        <w:rPr>
          <w:rFonts w:hint="eastAsia" w:ascii="微软雅黑" w:hAnsi="微软雅黑" w:eastAsia="微软雅黑"/>
          <w:b/>
          <w:color w:val="auto"/>
          <w:szCs w:val="21"/>
          <w:highlight w:val="none"/>
        </w:rPr>
      </w:pPr>
    </w:p>
    <w:p w14:paraId="23F725C8">
      <w:pPr>
        <w:snapToGrid w:val="0"/>
        <w:spacing w:line="400" w:lineRule="exact"/>
        <w:ind w:left="-2" w:leftChars="-1" w:right="-817" w:rightChars="-389"/>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法定代表人或者委托代理人（签字或者电子签名）： </w:t>
      </w:r>
    </w:p>
    <w:p w14:paraId="04F31178">
      <w:pPr>
        <w:snapToGrid w:val="0"/>
        <w:spacing w:line="400" w:lineRule="exact"/>
        <w:ind w:left="-6" w:leftChars="-15" w:right="-817" w:rightChars="-389" w:hanging="25" w:hangingChars="12"/>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投标人名称（电子签章）：</w:t>
      </w:r>
    </w:p>
    <w:p w14:paraId="14A76F46">
      <w:pPr>
        <w:snapToGrid w:val="0"/>
        <w:spacing w:line="400" w:lineRule="exact"/>
        <w:ind w:left="-6" w:leftChars="-15" w:right="-817" w:rightChars="-389" w:hanging="25" w:hangingChars="12"/>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日期：    年   月   日</w:t>
      </w:r>
    </w:p>
    <w:p w14:paraId="777E4C59">
      <w:pPr>
        <w:snapToGrid w:val="0"/>
        <w:spacing w:line="400" w:lineRule="exact"/>
        <w:ind w:firstLine="420" w:firstLineChars="200"/>
        <w:rPr>
          <w:rFonts w:hint="eastAsia" w:ascii="微软雅黑" w:hAnsi="微软雅黑" w:eastAsia="微软雅黑"/>
          <w:b/>
          <w:color w:val="auto"/>
          <w:szCs w:val="21"/>
          <w:highlight w:val="none"/>
        </w:rPr>
      </w:pPr>
    </w:p>
    <w:p w14:paraId="486ED397">
      <w:pPr>
        <w:snapToGrid w:val="0"/>
        <w:spacing w:line="400" w:lineRule="exact"/>
        <w:ind w:firstLine="420" w:firstLineChars="200"/>
        <w:rPr>
          <w:rFonts w:hint="eastAsia" w:ascii="微软雅黑" w:hAnsi="微软雅黑" w:eastAsia="微软雅黑"/>
          <w:b/>
          <w:color w:val="auto"/>
          <w:szCs w:val="21"/>
          <w:highlight w:val="none"/>
        </w:rPr>
      </w:pPr>
    </w:p>
    <w:p w14:paraId="47675AA7">
      <w:pP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w:t>
      </w:r>
      <w:bookmarkStart w:id="288" w:name="_Toc19686837"/>
    </w:p>
    <w:p w14:paraId="587FB458">
      <w:pP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t>二、资格证明文件格式</w:t>
      </w:r>
      <w:bookmarkEnd w:id="286"/>
      <w:bookmarkEnd w:id="287"/>
      <w:bookmarkEnd w:id="288"/>
    </w:p>
    <w:p w14:paraId="4B1E7323">
      <w:pPr>
        <w:snapToGrid w:val="0"/>
        <w:spacing w:before="120" w:beforeLines="50" w:after="50" w:line="360" w:lineRule="auto"/>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 xml:space="preserve">1.资格证明文件封面格式： </w:t>
      </w:r>
    </w:p>
    <w:p w14:paraId="54963853">
      <w:pPr>
        <w:snapToGrid w:val="0"/>
        <w:spacing w:before="120" w:beforeLines="50" w:after="50"/>
        <w:jc w:val="center"/>
        <w:rPr>
          <w:rFonts w:hint="eastAsia" w:ascii="微软雅黑" w:hAnsi="微软雅黑" w:eastAsia="微软雅黑"/>
          <w:bCs/>
          <w:color w:val="auto"/>
          <w:sz w:val="48"/>
          <w:szCs w:val="48"/>
          <w:highlight w:val="none"/>
        </w:rPr>
      </w:pPr>
      <w:r>
        <w:rPr>
          <w:rFonts w:hint="eastAsia" w:ascii="微软雅黑" w:hAnsi="微软雅黑" w:eastAsia="微软雅黑"/>
          <w:bCs/>
          <w:color w:val="auto"/>
          <w:sz w:val="48"/>
          <w:szCs w:val="48"/>
          <w:highlight w:val="none"/>
        </w:rPr>
        <w:t>电子投标文件</w:t>
      </w:r>
    </w:p>
    <w:p w14:paraId="0FB3B1FF">
      <w:pPr>
        <w:snapToGrid w:val="0"/>
        <w:spacing w:before="120" w:beforeLines="50" w:after="50"/>
        <w:rPr>
          <w:rFonts w:hint="eastAsia" w:ascii="微软雅黑" w:hAnsi="微软雅黑" w:eastAsia="微软雅黑"/>
          <w:color w:val="auto"/>
          <w:sz w:val="24"/>
          <w:szCs w:val="20"/>
          <w:highlight w:val="none"/>
        </w:rPr>
      </w:pPr>
      <w:r>
        <w:rPr>
          <w:rFonts w:hint="eastAsia" w:ascii="微软雅黑" w:hAnsi="微软雅黑" w:eastAsia="微软雅黑"/>
          <w:color w:val="auto"/>
          <w:sz w:val="24"/>
          <w:highlight w:val="none"/>
        </w:rPr>
        <w:t xml:space="preserve">                 </w:t>
      </w:r>
    </w:p>
    <w:p w14:paraId="415AA370">
      <w:pPr>
        <w:snapToGrid w:val="0"/>
        <w:spacing w:before="120" w:beforeLines="50" w:after="50"/>
        <w:jc w:val="center"/>
        <w:rPr>
          <w:rFonts w:hint="eastAsia" w:ascii="微软雅黑" w:hAnsi="微软雅黑" w:eastAsia="微软雅黑"/>
          <w:b/>
          <w:color w:val="auto"/>
          <w:sz w:val="24"/>
          <w:szCs w:val="20"/>
          <w:highlight w:val="none"/>
        </w:rPr>
      </w:pPr>
      <w:r>
        <w:rPr>
          <w:rFonts w:hint="eastAsia" w:ascii="微软雅黑" w:hAnsi="微软雅黑" w:eastAsia="微软雅黑"/>
          <w:b/>
          <w:color w:val="auto"/>
          <w:sz w:val="32"/>
          <w:szCs w:val="32"/>
          <w:highlight w:val="none"/>
        </w:rPr>
        <w:t>资格证明文件</w:t>
      </w:r>
    </w:p>
    <w:p w14:paraId="4CD5C598">
      <w:pPr>
        <w:snapToGrid w:val="0"/>
        <w:spacing w:before="120" w:beforeLines="50" w:after="50"/>
        <w:rPr>
          <w:rFonts w:ascii="微软雅黑" w:hAnsi="微软雅黑" w:eastAsia="微软雅黑"/>
          <w:bCs/>
          <w:color w:val="auto"/>
          <w:sz w:val="24"/>
          <w:szCs w:val="20"/>
          <w:highlight w:val="none"/>
        </w:rPr>
      </w:pPr>
    </w:p>
    <w:p w14:paraId="5CC00CEB">
      <w:pPr>
        <w:snapToGrid w:val="0"/>
        <w:spacing w:before="120" w:beforeLines="50" w:after="50"/>
        <w:rPr>
          <w:rFonts w:ascii="微软雅黑" w:hAnsi="微软雅黑" w:eastAsia="微软雅黑"/>
          <w:bCs/>
          <w:color w:val="auto"/>
          <w:sz w:val="24"/>
          <w:szCs w:val="20"/>
          <w:highlight w:val="none"/>
        </w:rPr>
      </w:pPr>
    </w:p>
    <w:p w14:paraId="2ADEF791">
      <w:pPr>
        <w:snapToGrid w:val="0"/>
        <w:spacing w:before="120" w:beforeLines="50" w:after="50"/>
        <w:rPr>
          <w:rFonts w:ascii="微软雅黑" w:hAnsi="微软雅黑" w:eastAsia="微软雅黑"/>
          <w:bCs/>
          <w:color w:val="auto"/>
          <w:sz w:val="24"/>
          <w:szCs w:val="20"/>
          <w:highlight w:val="none"/>
        </w:rPr>
      </w:pPr>
    </w:p>
    <w:p w14:paraId="24EFCFAF">
      <w:pPr>
        <w:snapToGrid w:val="0"/>
        <w:spacing w:before="120" w:beforeLines="50" w:after="50"/>
        <w:rPr>
          <w:rFonts w:ascii="微软雅黑" w:hAnsi="微软雅黑" w:eastAsia="微软雅黑"/>
          <w:bCs/>
          <w:color w:val="auto"/>
          <w:sz w:val="24"/>
          <w:szCs w:val="20"/>
          <w:highlight w:val="none"/>
        </w:rPr>
      </w:pPr>
    </w:p>
    <w:p w14:paraId="7793D17F">
      <w:pPr>
        <w:snapToGrid w:val="0"/>
        <w:spacing w:before="120" w:beforeLines="50" w:after="50"/>
        <w:rPr>
          <w:rFonts w:ascii="微软雅黑" w:hAnsi="微软雅黑" w:eastAsia="微软雅黑"/>
          <w:bCs/>
          <w:color w:val="auto"/>
          <w:sz w:val="24"/>
          <w:szCs w:val="20"/>
          <w:highlight w:val="none"/>
        </w:rPr>
      </w:pPr>
    </w:p>
    <w:p w14:paraId="13C5D061">
      <w:pPr>
        <w:snapToGrid w:val="0"/>
        <w:spacing w:before="120" w:beforeLines="50" w:after="50"/>
        <w:rPr>
          <w:rFonts w:ascii="微软雅黑" w:hAnsi="微软雅黑" w:eastAsia="微软雅黑"/>
          <w:bCs/>
          <w:color w:val="auto"/>
          <w:sz w:val="24"/>
          <w:szCs w:val="20"/>
          <w:highlight w:val="none"/>
        </w:rPr>
      </w:pPr>
    </w:p>
    <w:p w14:paraId="2496EBFE">
      <w:pPr>
        <w:snapToGrid w:val="0"/>
        <w:spacing w:before="120" w:beforeLines="50" w:after="50"/>
        <w:rPr>
          <w:rFonts w:hint="eastAsia" w:ascii="微软雅黑" w:hAnsi="微软雅黑" w:eastAsia="微软雅黑"/>
          <w:bCs/>
          <w:color w:val="auto"/>
          <w:sz w:val="24"/>
          <w:szCs w:val="20"/>
          <w:highlight w:val="none"/>
        </w:rPr>
      </w:pPr>
    </w:p>
    <w:p w14:paraId="6489D534">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项目名称：</w:t>
      </w:r>
    </w:p>
    <w:p w14:paraId="2968B8BC">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2ACD1064">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项目编号：</w:t>
      </w:r>
    </w:p>
    <w:p w14:paraId="4126CA2C">
      <w:pPr>
        <w:snapToGrid w:val="0"/>
        <w:spacing w:before="120" w:beforeLines="50" w:after="50"/>
        <w:ind w:firstLine="540" w:firstLineChars="225"/>
        <w:rPr>
          <w:rFonts w:hint="eastAsia" w:ascii="微软雅黑" w:hAnsi="微软雅黑" w:eastAsia="微软雅黑"/>
          <w:bCs/>
          <w:color w:val="auto"/>
          <w:sz w:val="24"/>
          <w:szCs w:val="20"/>
          <w:highlight w:val="none"/>
        </w:rPr>
      </w:pPr>
      <w:r>
        <w:rPr>
          <w:rFonts w:hint="eastAsia" w:ascii="微软雅黑" w:hAnsi="微软雅黑" w:eastAsia="微软雅黑"/>
          <w:bCs/>
          <w:color w:val="auto"/>
          <w:sz w:val="24"/>
          <w:highlight w:val="none"/>
        </w:rPr>
        <w:t xml:space="preserve"> </w:t>
      </w:r>
    </w:p>
    <w:p w14:paraId="27D84B55">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35B2AE0A">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73512F00">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投标人名称：</w:t>
      </w:r>
    </w:p>
    <w:p w14:paraId="13C41C39">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2E6F7795">
      <w:pPr>
        <w:pStyle w:val="8"/>
        <w:snapToGrid w:val="0"/>
        <w:spacing w:before="50" w:after="50"/>
        <w:ind w:firstLine="960" w:firstLineChars="400"/>
        <w:rPr>
          <w:rFonts w:hint="eastAsia" w:ascii="微软雅黑" w:hAnsi="微软雅黑" w:eastAsia="微软雅黑"/>
          <w:bCs/>
          <w:color w:val="auto"/>
          <w:sz w:val="24"/>
          <w:szCs w:val="24"/>
          <w:highlight w:val="none"/>
        </w:rPr>
      </w:pPr>
    </w:p>
    <w:p w14:paraId="31AAA23B">
      <w:pPr>
        <w:snapToGrid w:val="0"/>
        <w:spacing w:before="120" w:beforeLines="50" w:after="50"/>
        <w:ind w:firstLine="645"/>
        <w:jc w:val="center"/>
        <w:rPr>
          <w:rFonts w:ascii="微软雅黑" w:hAnsi="微软雅黑" w:eastAsia="微软雅黑"/>
          <w:color w:val="auto"/>
          <w:sz w:val="24"/>
          <w:highlight w:val="none"/>
        </w:rPr>
      </w:pPr>
      <w:r>
        <w:rPr>
          <w:rFonts w:hint="eastAsia" w:ascii="微软雅黑" w:hAnsi="微软雅黑" w:eastAsia="微软雅黑"/>
          <w:color w:val="auto"/>
          <w:sz w:val="24"/>
          <w:highlight w:val="none"/>
        </w:rPr>
        <w:t>年  月  日</w:t>
      </w:r>
    </w:p>
    <w:p w14:paraId="70A8E39D">
      <w:pPr>
        <w:snapToGrid w:val="0"/>
        <w:spacing w:before="120" w:beforeLines="50" w:after="50"/>
        <w:rPr>
          <w:rFonts w:ascii="微软雅黑" w:hAnsi="微软雅黑" w:eastAsia="微软雅黑"/>
          <w:color w:val="auto"/>
          <w:sz w:val="24"/>
          <w:szCs w:val="20"/>
          <w:highlight w:val="none"/>
        </w:rPr>
      </w:pPr>
      <w:r>
        <w:rPr>
          <w:rFonts w:ascii="微软雅黑" w:hAnsi="微软雅黑" w:eastAsia="微软雅黑"/>
          <w:color w:val="auto"/>
          <w:sz w:val="24"/>
          <w:szCs w:val="20"/>
          <w:highlight w:val="none"/>
        </w:rPr>
        <w:t xml:space="preserve"> </w:t>
      </w:r>
    </w:p>
    <w:p w14:paraId="51535380">
      <w:pPr>
        <w:snapToGrid w:val="0"/>
        <w:spacing w:before="120" w:beforeLines="50" w:after="50"/>
        <w:rPr>
          <w:rFonts w:hint="eastAsia" w:ascii="微软雅黑" w:hAnsi="微软雅黑" w:eastAsia="微软雅黑"/>
          <w:color w:val="auto"/>
          <w:sz w:val="24"/>
          <w:szCs w:val="20"/>
          <w:highlight w:val="none"/>
        </w:rPr>
      </w:pPr>
    </w:p>
    <w:p w14:paraId="4FE19731">
      <w:pPr>
        <w:snapToGrid w:val="0"/>
        <w:spacing w:before="120" w:beforeLines="50" w:after="50" w:line="360" w:lineRule="auto"/>
        <w:jc w:val="left"/>
        <w:rPr>
          <w:rFonts w:hint="eastAsia" w:ascii="微软雅黑" w:hAnsi="微软雅黑" w:eastAsia="微软雅黑"/>
          <w:color w:val="auto"/>
          <w:sz w:val="24"/>
          <w:szCs w:val="20"/>
          <w:highlight w:val="none"/>
        </w:rPr>
      </w:pPr>
      <w:r>
        <w:rPr>
          <w:rFonts w:ascii="微软雅黑" w:hAnsi="微软雅黑" w:eastAsia="微软雅黑"/>
          <w:b/>
          <w:bCs/>
          <w:color w:val="auto"/>
          <w:sz w:val="24"/>
          <w:highlight w:val="none"/>
        </w:rPr>
        <w:br w:type="page"/>
      </w:r>
      <w:r>
        <w:rPr>
          <w:rFonts w:hint="eastAsia" w:ascii="微软雅黑" w:hAnsi="微软雅黑" w:eastAsia="微软雅黑"/>
          <w:b/>
          <w:bCs/>
          <w:color w:val="auto"/>
          <w:sz w:val="24"/>
          <w:highlight w:val="none"/>
        </w:rPr>
        <w:t>2.资格证明文件目录</w:t>
      </w:r>
    </w:p>
    <w:p w14:paraId="7E2D9944">
      <w:pPr>
        <w:snapToGrid w:val="0"/>
        <w:spacing w:line="360" w:lineRule="auto"/>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根据招标文件规定及投标人提供的材料自行编写目录。</w:t>
      </w:r>
    </w:p>
    <w:p w14:paraId="46FE38DF">
      <w:pPr>
        <w:snapToGrid w:val="0"/>
        <w:spacing w:before="50" w:after="120" w:afterLines="50"/>
        <w:jc w:val="left"/>
        <w:rPr>
          <w:rFonts w:hint="eastAsia" w:ascii="微软雅黑" w:hAnsi="微软雅黑" w:eastAsia="微软雅黑"/>
          <w:color w:val="auto"/>
          <w:sz w:val="24"/>
          <w:highlight w:val="none"/>
        </w:rPr>
      </w:pPr>
    </w:p>
    <w:p w14:paraId="4F529A0F">
      <w:pPr>
        <w:snapToGrid w:val="0"/>
        <w:spacing w:before="50" w:after="120" w:afterLines="50"/>
        <w:jc w:val="left"/>
        <w:rPr>
          <w:rFonts w:hint="eastAsia" w:ascii="微软雅黑" w:hAnsi="微软雅黑" w:eastAsia="微软雅黑"/>
          <w:color w:val="auto"/>
          <w:sz w:val="24"/>
          <w:highlight w:val="none"/>
        </w:rPr>
      </w:pPr>
    </w:p>
    <w:p w14:paraId="1B9D67F0">
      <w:pPr>
        <w:snapToGrid w:val="0"/>
        <w:spacing w:before="120" w:beforeLines="50" w:after="50"/>
        <w:jc w:val="left"/>
        <w:rPr>
          <w:rFonts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w:t>
      </w:r>
      <w:r>
        <w:rPr>
          <w:rFonts w:hint="eastAsia" w:ascii="微软雅黑" w:hAnsi="微软雅黑" w:eastAsia="微软雅黑"/>
          <w:b/>
          <w:color w:val="auto"/>
          <w:sz w:val="28"/>
          <w:szCs w:val="28"/>
          <w:highlight w:val="none"/>
        </w:rPr>
        <w:t>投标人直接控股、管理关系信息表</w:t>
      </w:r>
    </w:p>
    <w:p w14:paraId="59EAD5AC">
      <w:pPr>
        <w:snapToGrid w:val="0"/>
        <w:spacing w:before="50" w:after="120" w:afterLines="50"/>
        <w:jc w:val="center"/>
        <w:rPr>
          <w:rFonts w:hint="eastAsia" w:ascii="微软雅黑" w:hAnsi="微软雅黑" w:eastAsia="微软雅黑"/>
          <w:b/>
          <w:color w:val="auto"/>
          <w:sz w:val="28"/>
          <w:szCs w:val="28"/>
          <w:highlight w:val="none"/>
        </w:rPr>
      </w:pPr>
    </w:p>
    <w:p w14:paraId="703DC800">
      <w:pPr>
        <w:snapToGrid w:val="0"/>
        <w:spacing w:before="120" w:beforeLines="50" w:after="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供应商直接控股、管理关系信息表</w:t>
      </w:r>
    </w:p>
    <w:tbl>
      <w:tblPr>
        <w:tblStyle w:val="4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177"/>
        <w:gridCol w:w="1150"/>
        <w:gridCol w:w="1448"/>
        <w:gridCol w:w="3972"/>
      </w:tblGrid>
      <w:tr w14:paraId="435E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4556" w:type="dxa"/>
            <w:gridSpan w:val="4"/>
            <w:shd w:val="clear" w:color="auto" w:fill="F2DBDB"/>
            <w:vAlign w:val="center"/>
          </w:tcPr>
          <w:p w14:paraId="4C2DD908">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投标人直接控股股东信息表</w:t>
            </w:r>
          </w:p>
        </w:tc>
        <w:tc>
          <w:tcPr>
            <w:tcW w:w="3972" w:type="dxa"/>
            <w:shd w:val="clear" w:color="auto" w:fill="F2DBDB"/>
            <w:vAlign w:val="center"/>
          </w:tcPr>
          <w:p w14:paraId="59C7194A">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说明</w:t>
            </w:r>
          </w:p>
        </w:tc>
      </w:tr>
      <w:tr w14:paraId="6979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C717B30">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序号</w:t>
            </w:r>
          </w:p>
        </w:tc>
        <w:tc>
          <w:tcPr>
            <w:tcW w:w="1177" w:type="dxa"/>
            <w:vAlign w:val="center"/>
          </w:tcPr>
          <w:p w14:paraId="7BD97788">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直接控股股东名称</w:t>
            </w:r>
          </w:p>
        </w:tc>
        <w:tc>
          <w:tcPr>
            <w:tcW w:w="1150" w:type="dxa"/>
            <w:vAlign w:val="center"/>
          </w:tcPr>
          <w:p w14:paraId="4635CE6A">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出资比例</w:t>
            </w:r>
          </w:p>
        </w:tc>
        <w:tc>
          <w:tcPr>
            <w:tcW w:w="1448" w:type="dxa"/>
            <w:vAlign w:val="center"/>
          </w:tcPr>
          <w:p w14:paraId="558CE589">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身份证号码或者统一社会信用代码</w:t>
            </w:r>
          </w:p>
        </w:tc>
        <w:tc>
          <w:tcPr>
            <w:tcW w:w="3972" w:type="dxa"/>
            <w:vMerge w:val="restart"/>
            <w:vAlign w:val="center"/>
          </w:tcPr>
          <w:p w14:paraId="5FD76C73">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A7BEDE">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2.本表所指的控股关系仅限于直接控股关系，不包括间接的控股关系。公司实际控制人与公司之间的关系不属于本表所指的直接控股关系。</w:t>
            </w:r>
          </w:p>
          <w:p w14:paraId="1B98AFE8">
            <w:pPr>
              <w:snapToGrid w:val="0"/>
              <w:jc w:val="left"/>
              <w:rPr>
                <w:rFonts w:ascii="微软雅黑" w:hAnsi="微软雅黑" w:eastAsia="微软雅黑" w:cs="宋体"/>
                <w:b/>
                <w:bCs/>
                <w:color w:val="auto"/>
                <w:kern w:val="0"/>
                <w:szCs w:val="21"/>
                <w:highlight w:val="none"/>
              </w:rPr>
            </w:pPr>
            <w:r>
              <w:rPr>
                <w:rFonts w:ascii="微软雅黑" w:hAnsi="微软雅黑" w:eastAsia="微软雅黑" w:cs="等线"/>
                <w:color w:val="auto"/>
                <w:szCs w:val="21"/>
                <w:highlight w:val="none"/>
              </w:rPr>
              <w:t>3.供应商不存在直接控股股东的，则填“无”。</w:t>
            </w:r>
          </w:p>
        </w:tc>
      </w:tr>
      <w:tr w14:paraId="03C1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781" w:type="dxa"/>
            <w:vAlign w:val="top"/>
          </w:tcPr>
          <w:p w14:paraId="62A31322">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等线"/>
                <w:b/>
                <w:color w:val="auto"/>
                <w:szCs w:val="21"/>
                <w:highlight w:val="none"/>
              </w:rPr>
              <w:t>1</w:t>
            </w:r>
          </w:p>
        </w:tc>
        <w:tc>
          <w:tcPr>
            <w:tcW w:w="1177" w:type="dxa"/>
            <w:vAlign w:val="top"/>
          </w:tcPr>
          <w:p w14:paraId="37AFC3F9">
            <w:pPr>
              <w:snapToGrid w:val="0"/>
              <w:spacing w:before="120" w:beforeLines="50" w:after="50"/>
              <w:jc w:val="left"/>
              <w:rPr>
                <w:rFonts w:ascii="微软雅黑" w:hAnsi="微软雅黑" w:eastAsia="微软雅黑" w:cs="等线"/>
                <w:b/>
                <w:color w:val="auto"/>
                <w:szCs w:val="21"/>
                <w:highlight w:val="none"/>
              </w:rPr>
            </w:pPr>
          </w:p>
        </w:tc>
        <w:tc>
          <w:tcPr>
            <w:tcW w:w="1150" w:type="dxa"/>
            <w:vAlign w:val="top"/>
          </w:tcPr>
          <w:p w14:paraId="26758B44">
            <w:pPr>
              <w:snapToGrid w:val="0"/>
              <w:spacing w:before="120" w:beforeLines="50" w:after="50"/>
              <w:jc w:val="left"/>
              <w:rPr>
                <w:rFonts w:ascii="微软雅黑" w:hAnsi="微软雅黑" w:eastAsia="微软雅黑" w:cs="等线"/>
                <w:b/>
                <w:color w:val="auto"/>
                <w:szCs w:val="21"/>
                <w:highlight w:val="none"/>
              </w:rPr>
            </w:pPr>
          </w:p>
        </w:tc>
        <w:tc>
          <w:tcPr>
            <w:tcW w:w="1448" w:type="dxa"/>
            <w:vAlign w:val="top"/>
          </w:tcPr>
          <w:p w14:paraId="7DBF23CD">
            <w:pPr>
              <w:snapToGrid w:val="0"/>
              <w:spacing w:before="120" w:beforeLines="50" w:after="50"/>
              <w:jc w:val="left"/>
              <w:rPr>
                <w:rFonts w:ascii="微软雅黑" w:hAnsi="微软雅黑" w:eastAsia="微软雅黑" w:cs="等线"/>
                <w:b/>
                <w:color w:val="auto"/>
                <w:szCs w:val="21"/>
                <w:highlight w:val="none"/>
              </w:rPr>
            </w:pPr>
          </w:p>
        </w:tc>
        <w:tc>
          <w:tcPr>
            <w:tcW w:w="3972" w:type="dxa"/>
            <w:vMerge w:val="continue"/>
            <w:vAlign w:val="top"/>
          </w:tcPr>
          <w:p w14:paraId="3CB0E5EE">
            <w:pPr>
              <w:snapToGrid w:val="0"/>
              <w:jc w:val="left"/>
              <w:rPr>
                <w:rFonts w:ascii="微软雅黑" w:hAnsi="微软雅黑" w:eastAsia="微软雅黑" w:cs="等线"/>
                <w:color w:val="auto"/>
                <w:szCs w:val="21"/>
                <w:highlight w:val="none"/>
              </w:rPr>
            </w:pPr>
          </w:p>
        </w:tc>
      </w:tr>
      <w:tr w14:paraId="4E55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781" w:type="dxa"/>
            <w:vAlign w:val="top"/>
          </w:tcPr>
          <w:p w14:paraId="22A1A74F">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等线"/>
                <w:b/>
                <w:color w:val="auto"/>
                <w:szCs w:val="21"/>
                <w:highlight w:val="none"/>
              </w:rPr>
              <w:t>2</w:t>
            </w:r>
          </w:p>
        </w:tc>
        <w:tc>
          <w:tcPr>
            <w:tcW w:w="1177" w:type="dxa"/>
            <w:vAlign w:val="top"/>
          </w:tcPr>
          <w:p w14:paraId="627D6F7C">
            <w:pPr>
              <w:snapToGrid w:val="0"/>
              <w:spacing w:before="120" w:beforeLines="50" w:after="50"/>
              <w:jc w:val="left"/>
              <w:rPr>
                <w:rFonts w:ascii="微软雅黑" w:hAnsi="微软雅黑" w:eastAsia="微软雅黑" w:cs="等线"/>
                <w:b/>
                <w:color w:val="auto"/>
                <w:szCs w:val="21"/>
                <w:highlight w:val="none"/>
              </w:rPr>
            </w:pPr>
          </w:p>
        </w:tc>
        <w:tc>
          <w:tcPr>
            <w:tcW w:w="1150" w:type="dxa"/>
            <w:vAlign w:val="top"/>
          </w:tcPr>
          <w:p w14:paraId="08843A44">
            <w:pPr>
              <w:snapToGrid w:val="0"/>
              <w:spacing w:before="120" w:beforeLines="50" w:after="50"/>
              <w:jc w:val="left"/>
              <w:rPr>
                <w:rFonts w:ascii="微软雅黑" w:hAnsi="微软雅黑" w:eastAsia="微软雅黑" w:cs="等线"/>
                <w:b/>
                <w:color w:val="auto"/>
                <w:szCs w:val="21"/>
                <w:highlight w:val="none"/>
              </w:rPr>
            </w:pPr>
          </w:p>
        </w:tc>
        <w:tc>
          <w:tcPr>
            <w:tcW w:w="1448" w:type="dxa"/>
            <w:vAlign w:val="top"/>
          </w:tcPr>
          <w:p w14:paraId="11FFC15B">
            <w:pPr>
              <w:snapToGrid w:val="0"/>
              <w:spacing w:before="120" w:beforeLines="50" w:after="50"/>
              <w:jc w:val="left"/>
              <w:rPr>
                <w:rFonts w:ascii="微软雅黑" w:hAnsi="微软雅黑" w:eastAsia="微软雅黑" w:cs="等线"/>
                <w:b/>
                <w:color w:val="auto"/>
                <w:szCs w:val="21"/>
                <w:highlight w:val="none"/>
              </w:rPr>
            </w:pPr>
          </w:p>
        </w:tc>
        <w:tc>
          <w:tcPr>
            <w:tcW w:w="3972" w:type="dxa"/>
            <w:vMerge w:val="continue"/>
            <w:vAlign w:val="top"/>
          </w:tcPr>
          <w:p w14:paraId="63F0736B">
            <w:pPr>
              <w:snapToGrid w:val="0"/>
              <w:spacing w:before="120" w:beforeLines="50" w:after="50"/>
              <w:jc w:val="left"/>
              <w:rPr>
                <w:rFonts w:ascii="微软雅黑" w:hAnsi="微软雅黑" w:eastAsia="微软雅黑" w:cs="等线"/>
                <w:b/>
                <w:color w:val="auto"/>
                <w:szCs w:val="21"/>
                <w:highlight w:val="none"/>
              </w:rPr>
            </w:pPr>
          </w:p>
        </w:tc>
      </w:tr>
      <w:tr w14:paraId="768A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Borders>
              <w:bottom w:val="single" w:color="auto" w:sz="4" w:space="0"/>
            </w:tcBorders>
            <w:vAlign w:val="top"/>
          </w:tcPr>
          <w:p w14:paraId="16B141B4">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color w:val="auto"/>
                <w:kern w:val="0"/>
                <w:szCs w:val="21"/>
                <w:highlight w:val="none"/>
              </w:rPr>
              <w:t>……</w:t>
            </w:r>
          </w:p>
        </w:tc>
        <w:tc>
          <w:tcPr>
            <w:tcW w:w="1177" w:type="dxa"/>
            <w:tcBorders>
              <w:bottom w:val="single" w:color="auto" w:sz="4" w:space="0"/>
            </w:tcBorders>
            <w:vAlign w:val="top"/>
          </w:tcPr>
          <w:p w14:paraId="6E13F6FD">
            <w:pPr>
              <w:snapToGrid w:val="0"/>
              <w:spacing w:before="120" w:beforeLines="50" w:after="50"/>
              <w:jc w:val="left"/>
              <w:rPr>
                <w:rFonts w:ascii="微软雅黑" w:hAnsi="微软雅黑" w:eastAsia="微软雅黑" w:cs="等线"/>
                <w:b/>
                <w:color w:val="auto"/>
                <w:szCs w:val="21"/>
                <w:highlight w:val="none"/>
              </w:rPr>
            </w:pPr>
          </w:p>
        </w:tc>
        <w:tc>
          <w:tcPr>
            <w:tcW w:w="1150" w:type="dxa"/>
            <w:tcBorders>
              <w:bottom w:val="single" w:color="auto" w:sz="4" w:space="0"/>
            </w:tcBorders>
            <w:vAlign w:val="top"/>
          </w:tcPr>
          <w:p w14:paraId="3D01F28D">
            <w:pPr>
              <w:snapToGrid w:val="0"/>
              <w:spacing w:before="120" w:beforeLines="50" w:after="50"/>
              <w:jc w:val="left"/>
              <w:rPr>
                <w:rFonts w:ascii="微软雅黑" w:hAnsi="微软雅黑" w:eastAsia="微软雅黑" w:cs="等线"/>
                <w:b/>
                <w:color w:val="auto"/>
                <w:szCs w:val="21"/>
                <w:highlight w:val="none"/>
              </w:rPr>
            </w:pPr>
          </w:p>
        </w:tc>
        <w:tc>
          <w:tcPr>
            <w:tcW w:w="1448" w:type="dxa"/>
            <w:tcBorders>
              <w:bottom w:val="single" w:color="auto" w:sz="4" w:space="0"/>
            </w:tcBorders>
            <w:vAlign w:val="top"/>
          </w:tcPr>
          <w:p w14:paraId="3F8645C0">
            <w:pPr>
              <w:snapToGrid w:val="0"/>
              <w:spacing w:before="120" w:beforeLines="50" w:after="50"/>
              <w:jc w:val="left"/>
              <w:rPr>
                <w:rFonts w:ascii="微软雅黑" w:hAnsi="微软雅黑" w:eastAsia="微软雅黑" w:cs="等线"/>
                <w:b/>
                <w:color w:val="auto"/>
                <w:szCs w:val="21"/>
                <w:highlight w:val="none"/>
              </w:rPr>
            </w:pPr>
          </w:p>
        </w:tc>
        <w:tc>
          <w:tcPr>
            <w:tcW w:w="3972" w:type="dxa"/>
            <w:vMerge w:val="continue"/>
            <w:tcBorders>
              <w:bottom w:val="single" w:color="auto" w:sz="4" w:space="0"/>
            </w:tcBorders>
            <w:vAlign w:val="top"/>
          </w:tcPr>
          <w:p w14:paraId="5DB094E2">
            <w:pPr>
              <w:snapToGrid w:val="0"/>
              <w:spacing w:before="120" w:beforeLines="50" w:after="50"/>
              <w:jc w:val="left"/>
              <w:rPr>
                <w:rFonts w:ascii="微软雅黑" w:hAnsi="微软雅黑" w:eastAsia="微软雅黑" w:cs="等线"/>
                <w:b/>
                <w:color w:val="auto"/>
                <w:szCs w:val="21"/>
                <w:highlight w:val="none"/>
              </w:rPr>
            </w:pPr>
          </w:p>
        </w:tc>
      </w:tr>
      <w:tr w14:paraId="0D08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556" w:type="dxa"/>
            <w:gridSpan w:val="4"/>
            <w:shd w:val="clear" w:color="auto" w:fill="F2DBDB"/>
            <w:vAlign w:val="center"/>
          </w:tcPr>
          <w:p w14:paraId="3A9163C9">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投标人直接管理关系信息表</w:t>
            </w:r>
          </w:p>
        </w:tc>
        <w:tc>
          <w:tcPr>
            <w:tcW w:w="3972" w:type="dxa"/>
            <w:shd w:val="clear" w:color="auto" w:fill="F2DBDB"/>
            <w:vAlign w:val="center"/>
          </w:tcPr>
          <w:p w14:paraId="0763D850">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说明</w:t>
            </w:r>
          </w:p>
        </w:tc>
      </w:tr>
      <w:tr w14:paraId="05F8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AD8FE5E">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序号</w:t>
            </w:r>
          </w:p>
        </w:tc>
        <w:tc>
          <w:tcPr>
            <w:tcW w:w="2327" w:type="dxa"/>
            <w:gridSpan w:val="2"/>
            <w:vAlign w:val="center"/>
          </w:tcPr>
          <w:p w14:paraId="48476216">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直接管理关系单位名称</w:t>
            </w:r>
          </w:p>
        </w:tc>
        <w:tc>
          <w:tcPr>
            <w:tcW w:w="1448" w:type="dxa"/>
            <w:vAlign w:val="center"/>
          </w:tcPr>
          <w:p w14:paraId="3FD5518F">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统一社会信用代码</w:t>
            </w:r>
          </w:p>
        </w:tc>
        <w:tc>
          <w:tcPr>
            <w:tcW w:w="3972" w:type="dxa"/>
            <w:vMerge w:val="restart"/>
            <w:vAlign w:val="center"/>
          </w:tcPr>
          <w:p w14:paraId="6C56168E">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1.管理关系：是指不具有出资持股关系的其他单位之间存在的管理与被管理关系，如一些上下级关系的事业单位和团体组织。</w:t>
            </w:r>
          </w:p>
          <w:p w14:paraId="2218F77D">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2.本表所指的管理关系仅限于直接管理关系，不包括间接的管理关系。</w:t>
            </w:r>
          </w:p>
          <w:p w14:paraId="560FCACA">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3.供应商不存在直接管理关系的，则填“无”。</w:t>
            </w:r>
          </w:p>
        </w:tc>
      </w:tr>
      <w:tr w14:paraId="4D1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34B9D767">
            <w:pPr>
              <w:snapToGrid w:val="0"/>
              <w:spacing w:before="120" w:beforeLines="50" w:after="50"/>
              <w:jc w:val="center"/>
              <w:rPr>
                <w:rFonts w:ascii="微软雅黑" w:hAnsi="微软雅黑" w:eastAsia="微软雅黑" w:cs="宋体"/>
                <w:b/>
                <w:bCs/>
                <w:color w:val="auto"/>
                <w:kern w:val="0"/>
                <w:szCs w:val="21"/>
                <w:highlight w:val="none"/>
              </w:rPr>
            </w:pPr>
            <w:r>
              <w:rPr>
                <w:rFonts w:hint="eastAsia" w:ascii="微软雅黑" w:hAnsi="微软雅黑" w:eastAsia="微软雅黑" w:cs="宋体"/>
                <w:b/>
                <w:bCs/>
                <w:color w:val="auto"/>
                <w:kern w:val="0"/>
                <w:szCs w:val="21"/>
                <w:highlight w:val="none"/>
              </w:rPr>
              <w:t>1</w:t>
            </w:r>
          </w:p>
        </w:tc>
        <w:tc>
          <w:tcPr>
            <w:tcW w:w="2327" w:type="dxa"/>
            <w:gridSpan w:val="2"/>
            <w:vAlign w:val="center"/>
          </w:tcPr>
          <w:p w14:paraId="097FB3DD">
            <w:pPr>
              <w:snapToGrid w:val="0"/>
              <w:spacing w:before="120" w:beforeLines="50" w:after="50"/>
              <w:jc w:val="center"/>
              <w:rPr>
                <w:rFonts w:ascii="微软雅黑" w:hAnsi="微软雅黑" w:eastAsia="微软雅黑" w:cs="宋体"/>
                <w:b/>
                <w:bCs/>
                <w:color w:val="auto"/>
                <w:kern w:val="0"/>
                <w:szCs w:val="21"/>
                <w:highlight w:val="none"/>
              </w:rPr>
            </w:pPr>
          </w:p>
        </w:tc>
        <w:tc>
          <w:tcPr>
            <w:tcW w:w="1448" w:type="dxa"/>
            <w:vAlign w:val="center"/>
          </w:tcPr>
          <w:p w14:paraId="16DFB7F8">
            <w:pPr>
              <w:snapToGrid w:val="0"/>
              <w:spacing w:before="120" w:beforeLines="50" w:after="50"/>
              <w:jc w:val="center"/>
              <w:rPr>
                <w:rFonts w:ascii="微软雅黑" w:hAnsi="微软雅黑" w:eastAsia="微软雅黑" w:cs="宋体"/>
                <w:b/>
                <w:bCs/>
                <w:color w:val="auto"/>
                <w:kern w:val="0"/>
                <w:szCs w:val="21"/>
                <w:highlight w:val="none"/>
              </w:rPr>
            </w:pPr>
          </w:p>
        </w:tc>
        <w:tc>
          <w:tcPr>
            <w:tcW w:w="3972" w:type="dxa"/>
            <w:vMerge w:val="continue"/>
            <w:vAlign w:val="center"/>
          </w:tcPr>
          <w:p w14:paraId="6C8D4236">
            <w:pPr>
              <w:snapToGrid w:val="0"/>
              <w:jc w:val="left"/>
              <w:rPr>
                <w:rFonts w:ascii="微软雅黑" w:hAnsi="微软雅黑" w:eastAsia="微软雅黑" w:cs="等线"/>
                <w:color w:val="auto"/>
                <w:szCs w:val="21"/>
                <w:highlight w:val="none"/>
              </w:rPr>
            </w:pPr>
          </w:p>
        </w:tc>
      </w:tr>
      <w:tr w14:paraId="38CD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8168F88">
            <w:pPr>
              <w:snapToGrid w:val="0"/>
              <w:spacing w:before="120" w:beforeLines="50" w:after="50"/>
              <w:jc w:val="center"/>
              <w:rPr>
                <w:rFonts w:hint="eastAsia" w:ascii="微软雅黑" w:hAnsi="微软雅黑" w:eastAsia="微软雅黑" w:cs="宋体"/>
                <w:b/>
                <w:bCs/>
                <w:color w:val="auto"/>
                <w:kern w:val="0"/>
                <w:szCs w:val="21"/>
                <w:highlight w:val="none"/>
              </w:rPr>
            </w:pPr>
            <w:r>
              <w:rPr>
                <w:rFonts w:hint="eastAsia" w:ascii="微软雅黑" w:hAnsi="微软雅黑" w:eastAsia="微软雅黑" w:cs="宋体"/>
                <w:b/>
                <w:bCs/>
                <w:color w:val="auto"/>
                <w:kern w:val="0"/>
                <w:szCs w:val="21"/>
                <w:highlight w:val="none"/>
              </w:rPr>
              <w:t>2</w:t>
            </w:r>
          </w:p>
        </w:tc>
        <w:tc>
          <w:tcPr>
            <w:tcW w:w="2327" w:type="dxa"/>
            <w:gridSpan w:val="2"/>
            <w:vAlign w:val="center"/>
          </w:tcPr>
          <w:p w14:paraId="4D1A716F">
            <w:pPr>
              <w:snapToGrid w:val="0"/>
              <w:spacing w:before="120" w:beforeLines="50" w:after="50"/>
              <w:jc w:val="center"/>
              <w:rPr>
                <w:rFonts w:ascii="微软雅黑" w:hAnsi="微软雅黑" w:eastAsia="微软雅黑" w:cs="宋体"/>
                <w:b/>
                <w:bCs/>
                <w:color w:val="auto"/>
                <w:kern w:val="0"/>
                <w:szCs w:val="21"/>
                <w:highlight w:val="none"/>
              </w:rPr>
            </w:pPr>
          </w:p>
        </w:tc>
        <w:tc>
          <w:tcPr>
            <w:tcW w:w="1448" w:type="dxa"/>
            <w:vAlign w:val="center"/>
          </w:tcPr>
          <w:p w14:paraId="30B5FE27">
            <w:pPr>
              <w:snapToGrid w:val="0"/>
              <w:spacing w:before="120" w:beforeLines="50" w:after="50"/>
              <w:jc w:val="center"/>
              <w:rPr>
                <w:rFonts w:ascii="微软雅黑" w:hAnsi="微软雅黑" w:eastAsia="微软雅黑" w:cs="宋体"/>
                <w:b/>
                <w:bCs/>
                <w:color w:val="auto"/>
                <w:kern w:val="0"/>
                <w:szCs w:val="21"/>
                <w:highlight w:val="none"/>
              </w:rPr>
            </w:pPr>
          </w:p>
        </w:tc>
        <w:tc>
          <w:tcPr>
            <w:tcW w:w="3972" w:type="dxa"/>
            <w:vMerge w:val="continue"/>
            <w:vAlign w:val="center"/>
          </w:tcPr>
          <w:p w14:paraId="7DAA234D">
            <w:pPr>
              <w:snapToGrid w:val="0"/>
              <w:jc w:val="left"/>
              <w:rPr>
                <w:rFonts w:ascii="微软雅黑" w:hAnsi="微软雅黑" w:eastAsia="微软雅黑" w:cs="等线"/>
                <w:color w:val="auto"/>
                <w:szCs w:val="21"/>
                <w:highlight w:val="none"/>
              </w:rPr>
            </w:pPr>
          </w:p>
        </w:tc>
      </w:tr>
      <w:tr w14:paraId="508A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1B7ED066">
            <w:pPr>
              <w:snapToGrid w:val="0"/>
              <w:spacing w:before="120" w:beforeLines="50" w:after="50"/>
              <w:jc w:val="center"/>
              <w:rPr>
                <w:rFonts w:hint="eastAsia" w:ascii="微软雅黑" w:hAnsi="微软雅黑" w:eastAsia="微软雅黑" w:cs="宋体"/>
                <w:b/>
                <w:bCs/>
                <w:color w:val="auto"/>
                <w:kern w:val="0"/>
                <w:szCs w:val="21"/>
                <w:highlight w:val="none"/>
              </w:rPr>
            </w:pPr>
            <w:r>
              <w:rPr>
                <w:rFonts w:ascii="微软雅黑" w:hAnsi="微软雅黑" w:eastAsia="微软雅黑" w:cs="宋体"/>
                <w:color w:val="auto"/>
                <w:kern w:val="0"/>
                <w:szCs w:val="21"/>
                <w:highlight w:val="none"/>
              </w:rPr>
              <w:t>……</w:t>
            </w:r>
          </w:p>
        </w:tc>
        <w:tc>
          <w:tcPr>
            <w:tcW w:w="2327" w:type="dxa"/>
            <w:gridSpan w:val="2"/>
            <w:vAlign w:val="center"/>
          </w:tcPr>
          <w:p w14:paraId="460423A3">
            <w:pPr>
              <w:snapToGrid w:val="0"/>
              <w:spacing w:before="120" w:beforeLines="50" w:after="50"/>
              <w:jc w:val="center"/>
              <w:rPr>
                <w:rFonts w:ascii="微软雅黑" w:hAnsi="微软雅黑" w:eastAsia="微软雅黑" w:cs="宋体"/>
                <w:b/>
                <w:bCs/>
                <w:color w:val="auto"/>
                <w:kern w:val="0"/>
                <w:szCs w:val="21"/>
                <w:highlight w:val="none"/>
              </w:rPr>
            </w:pPr>
          </w:p>
        </w:tc>
        <w:tc>
          <w:tcPr>
            <w:tcW w:w="1448" w:type="dxa"/>
            <w:vAlign w:val="center"/>
          </w:tcPr>
          <w:p w14:paraId="30A948B6">
            <w:pPr>
              <w:snapToGrid w:val="0"/>
              <w:spacing w:before="120" w:beforeLines="50" w:after="50"/>
              <w:jc w:val="center"/>
              <w:rPr>
                <w:rFonts w:ascii="微软雅黑" w:hAnsi="微软雅黑" w:eastAsia="微软雅黑" w:cs="宋体"/>
                <w:b/>
                <w:bCs/>
                <w:color w:val="auto"/>
                <w:kern w:val="0"/>
                <w:szCs w:val="21"/>
                <w:highlight w:val="none"/>
              </w:rPr>
            </w:pPr>
          </w:p>
        </w:tc>
        <w:tc>
          <w:tcPr>
            <w:tcW w:w="3972" w:type="dxa"/>
            <w:vMerge w:val="continue"/>
            <w:vAlign w:val="center"/>
          </w:tcPr>
          <w:p w14:paraId="22811112">
            <w:pPr>
              <w:snapToGrid w:val="0"/>
              <w:jc w:val="left"/>
              <w:rPr>
                <w:rFonts w:ascii="微软雅黑" w:hAnsi="微软雅黑" w:eastAsia="微软雅黑" w:cs="等线"/>
                <w:color w:val="auto"/>
                <w:szCs w:val="21"/>
                <w:highlight w:val="none"/>
              </w:rPr>
            </w:pPr>
          </w:p>
        </w:tc>
      </w:tr>
    </w:tbl>
    <w:p w14:paraId="712ABAB4">
      <w:pPr>
        <w:snapToGrid w:val="0"/>
        <w:spacing w:line="400" w:lineRule="exact"/>
        <w:jc w:val="left"/>
        <w:rPr>
          <w:rFonts w:hint="eastAsia" w:ascii="微软雅黑" w:hAnsi="微软雅黑" w:eastAsia="微软雅黑"/>
          <w:color w:val="auto"/>
          <w:szCs w:val="21"/>
          <w:highlight w:val="none"/>
        </w:rPr>
      </w:pPr>
    </w:p>
    <w:p w14:paraId="65E94848">
      <w:pPr>
        <w:snapToGrid w:val="0"/>
        <w:spacing w:line="400" w:lineRule="exact"/>
        <w:ind w:left="-2" w:leftChars="-1" w:right="-817" w:rightChars="-389"/>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w:t>
      </w:r>
    </w:p>
    <w:p w14:paraId="528AAD4B">
      <w:pPr>
        <w:snapToGrid w:val="0"/>
        <w:spacing w:line="400" w:lineRule="exact"/>
        <w:ind w:left="-6" w:leftChars="-15" w:right="-817" w:rightChars="-389" w:hanging="25" w:hangingChars="12"/>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投标人名称（电子签章）：</w:t>
      </w:r>
    </w:p>
    <w:p w14:paraId="30ECA1A6">
      <w:pPr>
        <w:snapToGrid w:val="0"/>
        <w:spacing w:line="400" w:lineRule="exact"/>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日期：    年   月   日</w:t>
      </w:r>
    </w:p>
    <w:p w14:paraId="215529C2">
      <w:pPr>
        <w:snapToGrid w:val="0"/>
        <w:spacing w:line="360" w:lineRule="auto"/>
        <w:jc w:val="left"/>
        <w:rPr>
          <w:rFonts w:hint="eastAsia" w:ascii="微软雅黑" w:hAnsi="微软雅黑" w:eastAsia="微软雅黑"/>
          <w:color w:val="auto"/>
          <w:szCs w:val="21"/>
          <w:highlight w:val="none"/>
        </w:rPr>
      </w:pPr>
    </w:p>
    <w:p w14:paraId="0E409EE4">
      <w:pPr>
        <w:snapToGrid w:val="0"/>
        <w:spacing w:before="120" w:beforeLines="50" w:after="50"/>
        <w:ind w:left="142"/>
        <w:jc w:val="left"/>
        <w:rPr>
          <w:rFonts w:hint="eastAsia" w:ascii="微软雅黑" w:hAnsi="微软雅黑" w:eastAsia="微软雅黑"/>
          <w:b/>
          <w:color w:val="auto"/>
          <w:sz w:val="24"/>
          <w:szCs w:val="20"/>
          <w:highlight w:val="none"/>
        </w:rPr>
      </w:pPr>
      <w:r>
        <w:rPr>
          <w:rFonts w:hint="eastAsia" w:ascii="微软雅黑" w:hAnsi="微软雅黑" w:eastAsia="微软雅黑"/>
          <w:b/>
          <w:color w:val="auto"/>
          <w:sz w:val="24"/>
          <w:highlight w:val="none"/>
        </w:rPr>
        <w:t>5.投标声明</w:t>
      </w:r>
    </w:p>
    <w:p w14:paraId="3927FD98">
      <w:pPr>
        <w:snapToGrid w:val="0"/>
        <w:spacing w:before="50" w:after="120" w:afterLines="50"/>
        <w:jc w:val="left"/>
        <w:rPr>
          <w:rFonts w:hint="eastAsia" w:ascii="微软雅黑" w:hAnsi="微软雅黑" w:eastAsia="微软雅黑"/>
          <w:color w:val="auto"/>
          <w:highlight w:val="none"/>
        </w:rPr>
      </w:pPr>
    </w:p>
    <w:p w14:paraId="2646CC2D">
      <w:pPr>
        <w:snapToGrid w:val="0"/>
        <w:spacing w:before="50" w:after="120" w:afterLines="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投标声明</w:t>
      </w:r>
    </w:p>
    <w:p w14:paraId="7DA02C93">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（采购人名称）：</w:t>
      </w:r>
    </w:p>
    <w:p w14:paraId="28716B77">
      <w:pPr>
        <w:spacing w:line="400" w:lineRule="exact"/>
        <w:ind w:firstLine="523" w:firstLineChars="218"/>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我方参加贵单位组织</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项目（项目编号：</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）的政府采购活动。我方在此郑重声明：</w:t>
      </w:r>
    </w:p>
    <w:p w14:paraId="2CCDD956">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1.我方参加本项目的政府采购活动前</w:t>
      </w:r>
      <w:r>
        <w:rPr>
          <w:rFonts w:hint="eastAsia" w:ascii="微软雅黑" w:hAnsi="微软雅黑" w:eastAsia="微软雅黑"/>
          <w:color w:val="auto"/>
          <w:sz w:val="24"/>
          <w:highlight w:val="none"/>
          <w:lang w:eastAsia="zh-CN"/>
        </w:rPr>
        <w:t>3年</w:t>
      </w:r>
      <w:r>
        <w:rPr>
          <w:rFonts w:hint="eastAsia" w:ascii="微软雅黑" w:hAnsi="微软雅黑" w:eastAsia="微软雅黑"/>
          <w:color w:val="auto"/>
          <w:sz w:val="24"/>
          <w:highlight w:val="none"/>
        </w:rPr>
        <w:t>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058434C">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2.我方不是为本次采购项目提供整体设计、规范编制或者项目管理、监理、检测等服务的供应商。</w:t>
      </w:r>
    </w:p>
    <w:p w14:paraId="534542A1">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 我方承诺符合《中华人民共和国政府采购法》第二十二条规定：</w:t>
      </w:r>
    </w:p>
    <w:p w14:paraId="3B51A89F">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（一）具有独立承担民事责任的能力；</w:t>
      </w:r>
    </w:p>
    <w:p w14:paraId="50C3B448">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（二）具有良好的商业信誉和健全的财务会计制度；</w:t>
      </w:r>
    </w:p>
    <w:p w14:paraId="008A445C">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（三）具有履行合同所必需的设备和专业技术能力；</w:t>
      </w:r>
    </w:p>
    <w:p w14:paraId="64C0CF47">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（四）有依法缴纳税收和社会保障资金的良好记录；</w:t>
      </w:r>
    </w:p>
    <w:p w14:paraId="51804081">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（五）参加政府采购活动前</w:t>
      </w:r>
      <w:r>
        <w:rPr>
          <w:rFonts w:hint="eastAsia" w:ascii="微软雅黑" w:hAnsi="微软雅黑" w:eastAsia="微软雅黑"/>
          <w:color w:val="auto"/>
          <w:sz w:val="24"/>
          <w:highlight w:val="none"/>
          <w:lang w:eastAsia="zh-CN"/>
        </w:rPr>
        <w:t>3年</w:t>
      </w:r>
      <w:r>
        <w:rPr>
          <w:rFonts w:hint="eastAsia" w:ascii="微软雅黑" w:hAnsi="微软雅黑" w:eastAsia="微软雅黑"/>
          <w:color w:val="auto"/>
          <w:sz w:val="24"/>
          <w:highlight w:val="none"/>
        </w:rPr>
        <w:t>内，在经营活动中没有重大违法记录；</w:t>
      </w:r>
    </w:p>
    <w:p w14:paraId="0865ED0C">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（六）法律、行政法规规定的其他条件。</w:t>
      </w:r>
    </w:p>
    <w:p w14:paraId="31DB276A">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4.以上事项如有虚假或者隐瞒，我方愿意承担一切后果，并不再寻求任何旨在减轻或者免除法律责任的辩解。</w:t>
      </w:r>
    </w:p>
    <w:p w14:paraId="74BE9772">
      <w:pPr>
        <w:spacing w:line="400" w:lineRule="exact"/>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特此承诺。</w:t>
      </w:r>
    </w:p>
    <w:p w14:paraId="5B74435F">
      <w:pPr>
        <w:snapToGrid w:val="0"/>
        <w:spacing w:before="50" w:after="50"/>
        <w:ind w:firstLine="1059" w:firstLineChars="441"/>
        <w:rPr>
          <w:rFonts w:hint="eastAsia" w:ascii="微软雅黑" w:hAnsi="微软雅黑" w:eastAsia="微软雅黑"/>
          <w:b/>
          <w:color w:val="auto"/>
          <w:sz w:val="24"/>
          <w:highlight w:val="none"/>
        </w:rPr>
      </w:pPr>
    </w:p>
    <w:p w14:paraId="015F87A0">
      <w:pPr>
        <w:snapToGrid w:val="0"/>
        <w:spacing w:before="50" w:after="50"/>
        <w:ind w:firstLine="1059" w:firstLineChars="441"/>
        <w:rPr>
          <w:rFonts w:hint="eastAsia" w:ascii="微软雅黑" w:hAnsi="微软雅黑" w:eastAsia="微软雅黑"/>
          <w:color w:val="auto"/>
          <w:spacing w:val="20"/>
          <w:sz w:val="24"/>
          <w:highlight w:val="none"/>
          <w:u w:val="single"/>
        </w:rPr>
      </w:pPr>
      <w:r>
        <w:rPr>
          <w:rFonts w:hint="eastAsia" w:ascii="微软雅黑" w:hAnsi="微软雅黑" w:eastAsia="微软雅黑"/>
          <w:b/>
          <w:color w:val="auto"/>
          <w:sz w:val="24"/>
          <w:highlight w:val="none"/>
        </w:rPr>
        <w:t xml:space="preserve">                 </w:t>
      </w:r>
      <w:r>
        <w:rPr>
          <w:rFonts w:hint="eastAsia" w:ascii="微软雅黑" w:hAnsi="微软雅黑" w:eastAsia="微软雅黑"/>
          <w:color w:val="auto"/>
          <w:sz w:val="24"/>
          <w:highlight w:val="none"/>
        </w:rPr>
        <w:t>法定代表人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70C9BA3B">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投标人名称（电子签章）：</w:t>
      </w:r>
      <w:r>
        <w:rPr>
          <w:rFonts w:hint="eastAsia" w:ascii="微软雅黑" w:hAnsi="微软雅黑" w:eastAsia="微软雅黑"/>
          <w:color w:val="auto"/>
          <w:sz w:val="24"/>
          <w:highlight w:val="none"/>
          <w:u w:val="single"/>
        </w:rPr>
        <w:t xml:space="preserve">                 </w:t>
      </w:r>
    </w:p>
    <w:p w14:paraId="31B2554D">
      <w:pPr>
        <w:spacing w:line="400" w:lineRule="exact"/>
        <w:contextualSpacing/>
        <w:jc w:val="left"/>
        <w:rPr>
          <w:rFonts w:hint="eastAsia" w:ascii="微软雅黑" w:hAnsi="微软雅黑" w:eastAsia="微软雅黑"/>
          <w:color w:val="auto"/>
          <w:highlight w:val="none"/>
        </w:rPr>
      </w:pPr>
      <w:r>
        <w:rPr>
          <w:rFonts w:hint="eastAsia" w:ascii="微软雅黑" w:hAnsi="微软雅黑" w:eastAsia="微软雅黑"/>
          <w:color w:val="auto"/>
          <w:sz w:val="24"/>
          <w:highlight w:val="none"/>
        </w:rPr>
        <w:t xml:space="preserve">                                                  年    月    日</w:t>
      </w:r>
    </w:p>
    <w:p w14:paraId="2779026D">
      <w:pPr>
        <w:spacing w:line="440" w:lineRule="exact"/>
        <w:contextualSpacing/>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注：如为联合体投标，盖章处须加盖联合体牵头人电子签章并由联合体牵头人法定代表人分别签字或者盖章或者电子签名，否则投标无效。</w:t>
      </w:r>
    </w:p>
    <w:p w14:paraId="68B1895E">
      <w:pPr>
        <w:rPr>
          <w:rFonts w:hint="eastAsia" w:ascii="微软雅黑" w:hAnsi="微软雅黑" w:eastAsia="微软雅黑"/>
          <w:b/>
          <w:color w:val="auto"/>
          <w:sz w:val="28"/>
          <w:szCs w:val="28"/>
          <w:highlight w:val="none"/>
        </w:rPr>
      </w:pPr>
      <w:bookmarkStart w:id="289" w:name="_Toc19686838"/>
    </w:p>
    <w:p w14:paraId="772F3588">
      <w:pP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br w:type="page"/>
      </w:r>
      <w:r>
        <w:rPr>
          <w:rFonts w:hint="eastAsia" w:ascii="微软雅黑" w:hAnsi="微软雅黑" w:eastAsia="微软雅黑"/>
          <w:b/>
          <w:color w:val="auto"/>
          <w:sz w:val="28"/>
          <w:szCs w:val="28"/>
          <w:highlight w:val="none"/>
        </w:rPr>
        <w:t>三、商务及技术文件格式</w:t>
      </w:r>
      <w:bookmarkEnd w:id="289"/>
    </w:p>
    <w:p w14:paraId="0C004CDE">
      <w:pPr>
        <w:snapToGrid w:val="0"/>
        <w:spacing w:before="120" w:beforeLines="50" w:after="50" w:line="360" w:lineRule="auto"/>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 xml:space="preserve">1.商务及技术文件封面格式： </w:t>
      </w:r>
    </w:p>
    <w:p w14:paraId="41D6A90B">
      <w:pPr>
        <w:snapToGrid w:val="0"/>
        <w:spacing w:before="120" w:beforeLines="50" w:after="50"/>
        <w:jc w:val="center"/>
        <w:rPr>
          <w:rFonts w:hint="eastAsia" w:ascii="微软雅黑" w:hAnsi="微软雅黑" w:eastAsia="微软雅黑"/>
          <w:color w:val="auto"/>
          <w:sz w:val="24"/>
          <w:highlight w:val="none"/>
        </w:rPr>
      </w:pPr>
      <w:r>
        <w:rPr>
          <w:rFonts w:hint="eastAsia" w:ascii="微软雅黑" w:hAnsi="微软雅黑" w:eastAsia="微软雅黑"/>
          <w:bCs/>
          <w:color w:val="auto"/>
          <w:sz w:val="48"/>
          <w:szCs w:val="48"/>
          <w:highlight w:val="none"/>
        </w:rPr>
        <w:t>电子投标文件</w:t>
      </w:r>
    </w:p>
    <w:p w14:paraId="19D3211C">
      <w:pPr>
        <w:snapToGrid w:val="0"/>
        <w:spacing w:before="120" w:beforeLines="50" w:after="50"/>
        <w:rPr>
          <w:rFonts w:hint="eastAsia" w:ascii="微软雅黑" w:hAnsi="微软雅黑" w:eastAsia="微软雅黑"/>
          <w:color w:val="auto"/>
          <w:sz w:val="24"/>
          <w:szCs w:val="20"/>
          <w:highlight w:val="none"/>
        </w:rPr>
      </w:pPr>
      <w:r>
        <w:rPr>
          <w:rFonts w:hint="eastAsia" w:ascii="微软雅黑" w:hAnsi="微软雅黑" w:eastAsia="微软雅黑"/>
          <w:color w:val="auto"/>
          <w:sz w:val="24"/>
          <w:highlight w:val="none"/>
        </w:rPr>
        <w:t xml:space="preserve">                </w:t>
      </w:r>
    </w:p>
    <w:p w14:paraId="41BFCF29">
      <w:pPr>
        <w:snapToGrid w:val="0"/>
        <w:spacing w:before="120" w:beforeLines="50" w:after="50"/>
        <w:jc w:val="center"/>
        <w:rPr>
          <w:rFonts w:hint="eastAsia" w:ascii="微软雅黑" w:hAnsi="微软雅黑" w:eastAsia="微软雅黑"/>
          <w:b/>
          <w:color w:val="auto"/>
          <w:sz w:val="24"/>
          <w:szCs w:val="20"/>
          <w:highlight w:val="none"/>
        </w:rPr>
      </w:pPr>
      <w:r>
        <w:rPr>
          <w:rFonts w:hint="eastAsia" w:ascii="微软雅黑" w:hAnsi="微软雅黑" w:eastAsia="微软雅黑"/>
          <w:b/>
          <w:color w:val="auto"/>
          <w:sz w:val="32"/>
          <w:szCs w:val="32"/>
          <w:highlight w:val="none"/>
        </w:rPr>
        <w:t>商务及技术文件</w:t>
      </w:r>
    </w:p>
    <w:p w14:paraId="2F94F25F">
      <w:pPr>
        <w:snapToGrid w:val="0"/>
        <w:spacing w:before="120" w:beforeLines="50" w:after="50"/>
        <w:rPr>
          <w:rFonts w:hint="eastAsia" w:ascii="微软雅黑" w:hAnsi="微软雅黑" w:eastAsia="微软雅黑"/>
          <w:bCs/>
          <w:color w:val="auto"/>
          <w:sz w:val="24"/>
          <w:szCs w:val="20"/>
          <w:highlight w:val="none"/>
        </w:rPr>
      </w:pPr>
    </w:p>
    <w:p w14:paraId="0269D825">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项目名称：</w:t>
      </w:r>
    </w:p>
    <w:p w14:paraId="0E7AB2CE">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7E92610C">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项目编号：</w:t>
      </w:r>
    </w:p>
    <w:p w14:paraId="0A381830">
      <w:pPr>
        <w:snapToGrid w:val="0"/>
        <w:spacing w:before="120" w:beforeLines="50" w:after="50"/>
        <w:ind w:firstLine="540" w:firstLineChars="225"/>
        <w:rPr>
          <w:rFonts w:hint="eastAsia" w:ascii="微软雅黑" w:hAnsi="微软雅黑" w:eastAsia="微软雅黑"/>
          <w:bCs/>
          <w:color w:val="auto"/>
          <w:sz w:val="24"/>
          <w:szCs w:val="20"/>
          <w:highlight w:val="none"/>
        </w:rPr>
      </w:pPr>
      <w:r>
        <w:rPr>
          <w:rFonts w:hint="eastAsia" w:ascii="微软雅黑" w:hAnsi="微软雅黑" w:eastAsia="微软雅黑"/>
          <w:bCs/>
          <w:color w:val="auto"/>
          <w:sz w:val="24"/>
          <w:highlight w:val="none"/>
        </w:rPr>
        <w:t xml:space="preserve"> </w:t>
      </w:r>
    </w:p>
    <w:p w14:paraId="0C8B0694">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1DE01CFD">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56B930AC">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投标人名称：</w:t>
      </w:r>
    </w:p>
    <w:p w14:paraId="4F583A35">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5AB436F0">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投标人地址：</w:t>
      </w:r>
    </w:p>
    <w:p w14:paraId="7C517099">
      <w:pPr>
        <w:pStyle w:val="8"/>
        <w:snapToGrid w:val="0"/>
        <w:spacing w:before="50" w:after="50"/>
        <w:ind w:firstLine="960" w:firstLineChars="400"/>
        <w:rPr>
          <w:rFonts w:hint="eastAsia" w:ascii="微软雅黑" w:hAnsi="微软雅黑" w:eastAsia="微软雅黑"/>
          <w:bCs/>
          <w:color w:val="auto"/>
          <w:sz w:val="24"/>
          <w:szCs w:val="24"/>
          <w:highlight w:val="none"/>
        </w:rPr>
      </w:pPr>
    </w:p>
    <w:p w14:paraId="6818E04D">
      <w:pPr>
        <w:snapToGrid w:val="0"/>
        <w:spacing w:before="120" w:beforeLines="50" w:after="50"/>
        <w:ind w:firstLine="645"/>
        <w:rPr>
          <w:rFonts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p w14:paraId="7176DBE3">
      <w:pPr>
        <w:snapToGrid w:val="0"/>
        <w:spacing w:before="120" w:beforeLines="50" w:after="50"/>
        <w:rPr>
          <w:rFonts w:ascii="微软雅黑" w:hAnsi="微软雅黑" w:eastAsia="微软雅黑"/>
          <w:color w:val="auto"/>
          <w:sz w:val="24"/>
          <w:szCs w:val="20"/>
          <w:highlight w:val="none"/>
        </w:rPr>
      </w:pPr>
      <w:r>
        <w:rPr>
          <w:rFonts w:ascii="微软雅黑" w:hAnsi="微软雅黑" w:eastAsia="微软雅黑"/>
          <w:color w:val="auto"/>
          <w:sz w:val="24"/>
          <w:szCs w:val="20"/>
          <w:highlight w:val="none"/>
        </w:rPr>
        <w:t xml:space="preserve"> </w:t>
      </w:r>
    </w:p>
    <w:p w14:paraId="541575B1">
      <w:pPr>
        <w:snapToGrid w:val="0"/>
        <w:spacing w:line="360" w:lineRule="auto"/>
        <w:jc w:val="left"/>
        <w:rPr>
          <w:rFonts w:hint="eastAsia" w:ascii="微软雅黑" w:hAnsi="微软雅黑" w:eastAsia="微软雅黑"/>
          <w:b/>
          <w:bCs/>
          <w:color w:val="auto"/>
          <w:sz w:val="28"/>
          <w:szCs w:val="28"/>
          <w:highlight w:val="none"/>
        </w:rPr>
      </w:pPr>
      <w:r>
        <w:rPr>
          <w:rFonts w:ascii="微软雅黑" w:hAnsi="微软雅黑" w:eastAsia="微软雅黑"/>
          <w:color w:val="auto"/>
          <w:sz w:val="24"/>
          <w:szCs w:val="20"/>
          <w:highlight w:val="none"/>
        </w:rPr>
        <w:br w:type="page"/>
      </w:r>
      <w:r>
        <w:rPr>
          <w:rFonts w:hint="eastAsia" w:ascii="微软雅黑" w:hAnsi="微软雅黑" w:eastAsia="微软雅黑"/>
          <w:b/>
          <w:bCs/>
          <w:color w:val="auto"/>
          <w:sz w:val="28"/>
          <w:szCs w:val="28"/>
          <w:highlight w:val="none"/>
        </w:rPr>
        <w:t>2.商务及技术文件目录</w:t>
      </w:r>
    </w:p>
    <w:p w14:paraId="2C8FD079">
      <w:pPr>
        <w:snapToGrid w:val="0"/>
        <w:spacing w:before="50" w:after="120" w:afterLines="50" w:line="360" w:lineRule="auto"/>
        <w:jc w:val="left"/>
        <w:rPr>
          <w:rFonts w:ascii="微软雅黑" w:hAnsi="微软雅黑" w:eastAsia="微软雅黑"/>
          <w:b/>
          <w:bCs/>
          <w:color w:val="auto"/>
          <w:sz w:val="24"/>
          <w:highlight w:val="none"/>
        </w:rPr>
      </w:pPr>
      <w:r>
        <w:rPr>
          <w:rFonts w:hint="eastAsia" w:ascii="微软雅黑" w:hAnsi="微软雅黑" w:eastAsia="微软雅黑"/>
          <w:color w:val="auto"/>
          <w:szCs w:val="21"/>
          <w:highlight w:val="none"/>
        </w:rPr>
        <w:t>根据招标文件规定及投标人提供的材料自行编写目录。</w:t>
      </w:r>
    </w:p>
    <w:p w14:paraId="59A6A376">
      <w:pPr>
        <w:snapToGrid w:val="0"/>
        <w:spacing w:before="50" w:after="120" w:afterLines="50"/>
        <w:jc w:val="left"/>
        <w:rPr>
          <w:rFonts w:hint="eastAsia" w:ascii="微软雅黑" w:hAnsi="微软雅黑" w:eastAsia="微软雅黑"/>
          <w:color w:val="auto"/>
          <w:highlight w:val="none"/>
        </w:rPr>
      </w:pPr>
    </w:p>
    <w:p w14:paraId="27ACF305">
      <w:pPr>
        <w:snapToGrid w:val="0"/>
        <w:spacing w:before="120" w:beforeLines="50" w:after="50"/>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3.投标人参加本项目无围标串标行为的承诺</w:t>
      </w:r>
    </w:p>
    <w:p w14:paraId="0D82C973">
      <w:pPr>
        <w:snapToGrid w:val="0"/>
        <w:spacing w:before="120" w:beforeLines="50" w:after="50"/>
        <w:jc w:val="left"/>
        <w:rPr>
          <w:rFonts w:hint="eastAsia" w:ascii="微软雅黑" w:hAnsi="微软雅黑" w:eastAsia="微软雅黑"/>
          <w:b/>
          <w:color w:val="auto"/>
          <w:sz w:val="24"/>
          <w:highlight w:val="none"/>
        </w:rPr>
      </w:pPr>
    </w:p>
    <w:p w14:paraId="1C36566E">
      <w:pPr>
        <w:snapToGrid w:val="0"/>
        <w:spacing w:before="120" w:beforeLines="50" w:after="50"/>
        <w:ind w:left="420"/>
        <w:jc w:val="center"/>
        <w:rPr>
          <w:rFonts w:hint="eastAsia" w:ascii="微软雅黑" w:hAnsi="微软雅黑" w:eastAsia="微软雅黑"/>
          <w:b/>
          <w:color w:val="auto"/>
          <w:spacing w:val="-17"/>
          <w:sz w:val="32"/>
          <w:szCs w:val="32"/>
          <w:highlight w:val="none"/>
        </w:rPr>
      </w:pPr>
      <w:r>
        <w:rPr>
          <w:rFonts w:hint="eastAsia" w:ascii="微软雅黑" w:hAnsi="微软雅黑" w:eastAsia="微软雅黑" w:cs="方正小标宋简体"/>
          <w:bCs/>
          <w:color w:val="auto"/>
          <w:spacing w:val="-17"/>
          <w:sz w:val="44"/>
          <w:szCs w:val="44"/>
          <w:highlight w:val="none"/>
        </w:rPr>
        <w:t>投标人参加本项目无围标串标行为的承诺函</w:t>
      </w:r>
    </w:p>
    <w:p w14:paraId="0B06E7F3">
      <w:pPr>
        <w:snapToGrid w:val="0"/>
        <w:spacing w:before="120" w:beforeLines="50" w:after="50"/>
        <w:rPr>
          <w:rFonts w:ascii="微软雅黑" w:hAnsi="微软雅黑" w:eastAsia="微软雅黑"/>
          <w:b/>
          <w:color w:val="auto"/>
          <w:sz w:val="24"/>
          <w:highlight w:val="none"/>
        </w:rPr>
      </w:pPr>
    </w:p>
    <w:p w14:paraId="74AD830E">
      <w:pPr>
        <w:spacing w:line="400" w:lineRule="exact"/>
        <w:contextualSpacing/>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一、我方承诺无下列相互串通投标的情形：</w:t>
      </w:r>
    </w:p>
    <w:p w14:paraId="300B59DD">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1.不同投标人的投标文件由同一单位或者个人编制； </w:t>
      </w:r>
    </w:p>
    <w:p w14:paraId="0AB724EE">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2.不同投标人委托同一单位或者个人办理投标事宜；</w:t>
      </w:r>
    </w:p>
    <w:p w14:paraId="57174E29">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3.不同的投标人的投标文件载明的项目管理员为同一个人；</w:t>
      </w:r>
    </w:p>
    <w:p w14:paraId="2B9527E4">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4.不同投标人的投标文件异常一致或者投标报价呈规律性差异；</w:t>
      </w:r>
    </w:p>
    <w:p w14:paraId="233D4285">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5.不同投标人的投标文件相互混装；</w:t>
      </w:r>
    </w:p>
    <w:p w14:paraId="0B83AED4">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6.不同投标人的投标保证金从同一单位或者个人账户转出。</w:t>
      </w:r>
    </w:p>
    <w:p w14:paraId="5661A17A">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b/>
          <w:color w:val="auto"/>
          <w:sz w:val="24"/>
          <w:highlight w:val="none"/>
        </w:rPr>
        <w:t>二、我方承诺无下列恶意串通的情形：</w:t>
      </w:r>
    </w:p>
    <w:p w14:paraId="4FB18BE9">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1.投标人直接或者间接从采购人或者采购代理机构处获得其他投标人的相关信息并修改其投标文件或者响应文件；</w:t>
      </w:r>
    </w:p>
    <w:p w14:paraId="2859E040">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2.投标人按照采购人或者采购代理机构的授意撤换、修改投标文件或者响应文件；</w:t>
      </w:r>
    </w:p>
    <w:p w14:paraId="4E28F904">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3.投标人之间协商报价、技术方案等投标文件或者响应文件的实质性内容；</w:t>
      </w:r>
    </w:p>
    <w:p w14:paraId="2FB06617">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4.属于同一集团、协会、商会等组织成员的投标人按照该组织要求协同参加政府采购活动；</w:t>
      </w:r>
    </w:p>
    <w:p w14:paraId="03821B17">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63B21C46">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6.投标人之间商定部分投标人放弃参加政府采购活动或者放弃中标；</w:t>
      </w:r>
    </w:p>
    <w:p w14:paraId="1D7D989D">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7.投标人与采购人或者采购代理机构之间、投标人相互之间，为谋求特定投标人中标或者排斥其他投标人的其他串通行为。</w:t>
      </w:r>
    </w:p>
    <w:p w14:paraId="015137B5">
      <w:pPr>
        <w:spacing w:line="400" w:lineRule="exact"/>
        <w:ind w:firstLine="471" w:firstLineChars="196"/>
        <w:contextualSpacing/>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以上情形一经核查属实，我方愿意承担一切后果，并不再寻求任何旨在减轻或者免除法律责任的辩解。</w:t>
      </w:r>
    </w:p>
    <w:p w14:paraId="50101EF5">
      <w:pPr>
        <w:spacing w:line="400" w:lineRule="exact"/>
        <w:ind w:firstLine="471" w:firstLineChars="196"/>
        <w:contextualSpacing/>
        <w:jc w:val="left"/>
        <w:rPr>
          <w:rFonts w:hint="eastAsia" w:ascii="微软雅黑" w:hAnsi="微软雅黑" w:eastAsia="微软雅黑"/>
          <w:b/>
          <w:color w:val="auto"/>
          <w:sz w:val="24"/>
          <w:highlight w:val="none"/>
        </w:rPr>
      </w:pPr>
    </w:p>
    <w:p w14:paraId="37AA1BC8">
      <w:pPr>
        <w:pStyle w:val="23"/>
        <w:spacing w:line="440" w:lineRule="exact"/>
        <w:ind w:firstLine="960" w:firstLineChars="400"/>
        <w:rPr>
          <w:rFonts w:hint="eastAsia" w:ascii="微软雅黑" w:hAnsi="微软雅黑" w:eastAsia="微软雅黑"/>
          <w:color w:val="auto"/>
          <w:sz w:val="24"/>
          <w:szCs w:val="24"/>
          <w:highlight w:val="non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58DFBA4D">
      <w:pPr>
        <w:pStyle w:val="23"/>
        <w:spacing w:line="400" w:lineRule="exact"/>
        <w:contextualSpacing/>
        <w:jc w:val="center"/>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 xml:space="preserve"> </w:t>
      </w:r>
      <w:r>
        <w:rPr>
          <w:rFonts w:ascii="微软雅黑" w:hAnsi="微软雅黑" w:eastAsia="微软雅黑"/>
          <w:color w:val="auto"/>
          <w:sz w:val="24"/>
          <w:szCs w:val="24"/>
          <w:highlight w:val="none"/>
        </w:rPr>
        <w:t xml:space="preserve">                                   </w:t>
      </w:r>
      <w:r>
        <w:rPr>
          <w:rFonts w:hint="eastAsia" w:ascii="微软雅黑" w:hAnsi="微软雅黑" w:eastAsia="微软雅黑"/>
          <w:color w:val="auto"/>
          <w:sz w:val="24"/>
          <w:szCs w:val="24"/>
          <w:highlight w:val="none"/>
        </w:rPr>
        <w:t>投标人名称（电子签章）</w:t>
      </w:r>
    </w:p>
    <w:p w14:paraId="4E6C63DD">
      <w:pPr>
        <w:pStyle w:val="23"/>
        <w:spacing w:line="40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w:t>
      </w:r>
    </w:p>
    <w:p w14:paraId="04DAEBB0">
      <w:pPr>
        <w:snapToGrid w:val="0"/>
        <w:spacing w:before="120" w:beforeLines="50" w:after="50"/>
        <w:ind w:firstLine="471" w:firstLineChars="196"/>
        <w:jc w:val="left"/>
        <w:rPr>
          <w:rFonts w:hint="eastAsia" w:ascii="微软雅黑" w:hAnsi="微软雅黑" w:eastAsia="微软雅黑"/>
          <w:b/>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4.法定代表人身份证明</w:t>
      </w:r>
    </w:p>
    <w:p w14:paraId="39E285A8">
      <w:pPr>
        <w:spacing w:before="240" w:beforeLines="100" w:after="120" w:afterLines="50"/>
        <w:ind w:left="540"/>
        <w:jc w:val="center"/>
        <w:rPr>
          <w:rFonts w:hint="eastAsia" w:ascii="微软雅黑" w:hAnsi="微软雅黑" w:eastAsia="微软雅黑"/>
          <w:b/>
          <w:color w:val="auto"/>
          <w:sz w:val="32"/>
          <w:szCs w:val="32"/>
          <w:highlight w:val="none"/>
        </w:rPr>
      </w:pPr>
    </w:p>
    <w:p w14:paraId="153CCE15">
      <w:pPr>
        <w:spacing w:before="240" w:beforeLines="100" w:after="120" w:afterLines="50"/>
        <w:ind w:left="540"/>
        <w:jc w:val="center"/>
        <w:rPr>
          <w:rFonts w:hint="eastAsia" w:ascii="微软雅黑" w:hAnsi="微软雅黑" w:eastAsia="微软雅黑" w:cs="方正小标宋简体"/>
          <w:bCs/>
          <w:color w:val="auto"/>
          <w:sz w:val="44"/>
          <w:szCs w:val="44"/>
          <w:highlight w:val="none"/>
        </w:rPr>
      </w:pPr>
      <w:r>
        <w:rPr>
          <w:rFonts w:hint="eastAsia" w:ascii="微软雅黑" w:hAnsi="微软雅黑" w:eastAsia="微软雅黑" w:cs="方正小标宋简体"/>
          <w:bCs/>
          <w:color w:val="auto"/>
          <w:sz w:val="44"/>
          <w:szCs w:val="44"/>
          <w:highlight w:val="none"/>
        </w:rPr>
        <w:t>法定代表人身份证明</w:t>
      </w:r>
    </w:p>
    <w:p w14:paraId="02A077D7">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 标 人：</w:t>
      </w:r>
      <w:r>
        <w:rPr>
          <w:rFonts w:hint="eastAsia" w:ascii="微软雅黑" w:hAnsi="微软雅黑" w:eastAsia="微软雅黑"/>
          <w:color w:val="auto"/>
          <w:sz w:val="24"/>
          <w:highlight w:val="none"/>
          <w:u w:val="single"/>
        </w:rPr>
        <w:t xml:space="preserve">                                                        </w:t>
      </w:r>
    </w:p>
    <w:p w14:paraId="4EB86F10">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地    址：</w:t>
      </w:r>
      <w:r>
        <w:rPr>
          <w:rFonts w:hint="eastAsia" w:ascii="微软雅黑" w:hAnsi="微软雅黑" w:eastAsia="微软雅黑"/>
          <w:color w:val="auto"/>
          <w:sz w:val="24"/>
          <w:highlight w:val="none"/>
          <w:u w:val="single"/>
        </w:rPr>
        <w:t xml:space="preserve">                                                        </w:t>
      </w:r>
    </w:p>
    <w:p w14:paraId="1EC7BB61">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姓    名：</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性      别：</w:t>
      </w:r>
      <w:r>
        <w:rPr>
          <w:rFonts w:hint="eastAsia" w:ascii="微软雅黑" w:hAnsi="微软雅黑" w:eastAsia="微软雅黑"/>
          <w:color w:val="auto"/>
          <w:sz w:val="24"/>
          <w:highlight w:val="none"/>
          <w:u w:val="single"/>
        </w:rPr>
        <w:t xml:space="preserve">                </w:t>
      </w:r>
    </w:p>
    <w:p w14:paraId="75E01A59">
      <w:pPr>
        <w:spacing w:line="500" w:lineRule="exact"/>
        <w:ind w:left="540"/>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年    龄：</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职      务：</w:t>
      </w:r>
      <w:r>
        <w:rPr>
          <w:rFonts w:hint="eastAsia" w:ascii="微软雅黑" w:hAnsi="微软雅黑" w:eastAsia="微软雅黑"/>
          <w:color w:val="auto"/>
          <w:sz w:val="24"/>
          <w:highlight w:val="none"/>
          <w:u w:val="single"/>
        </w:rPr>
        <w:t xml:space="preserve">                </w:t>
      </w:r>
    </w:p>
    <w:p w14:paraId="36F31F5B">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身份证号码：</w:t>
      </w:r>
      <w:r>
        <w:rPr>
          <w:rFonts w:hint="eastAsia" w:ascii="微软雅黑" w:hAnsi="微软雅黑" w:eastAsia="微软雅黑"/>
          <w:color w:val="auto"/>
          <w:sz w:val="24"/>
          <w:highlight w:val="none"/>
          <w:u w:val="single"/>
        </w:rPr>
        <w:t xml:space="preserve">                                 </w:t>
      </w:r>
    </w:p>
    <w:p w14:paraId="128A4817">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系</w:t>
      </w:r>
      <w:r>
        <w:rPr>
          <w:rFonts w:hint="eastAsia" w:ascii="微软雅黑" w:hAnsi="微软雅黑" w:eastAsia="微软雅黑"/>
          <w:color w:val="auto"/>
          <w:sz w:val="24"/>
          <w:highlight w:val="none"/>
          <w:u w:val="single"/>
        </w:rPr>
        <w:t xml:space="preserve">            （投标人名称）              </w:t>
      </w:r>
      <w:r>
        <w:rPr>
          <w:rFonts w:hint="eastAsia" w:ascii="微软雅黑" w:hAnsi="微软雅黑" w:eastAsia="微软雅黑"/>
          <w:color w:val="auto"/>
          <w:sz w:val="24"/>
          <w:highlight w:val="none"/>
        </w:rPr>
        <w:t>的法定代表人。</w:t>
      </w:r>
    </w:p>
    <w:p w14:paraId="2B739528">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特此证明。</w:t>
      </w:r>
    </w:p>
    <w:p w14:paraId="224ED2F9">
      <w:pPr>
        <w:spacing w:line="500" w:lineRule="exact"/>
        <w:ind w:left="540"/>
        <w:rPr>
          <w:rFonts w:hint="eastAsia" w:ascii="微软雅黑" w:hAnsi="微软雅黑" w:eastAsia="微软雅黑"/>
          <w:color w:val="auto"/>
          <w:sz w:val="24"/>
          <w:highlight w:val="none"/>
        </w:rPr>
      </w:pPr>
    </w:p>
    <w:p w14:paraId="50F4AA07">
      <w:pPr>
        <w:spacing w:line="500" w:lineRule="exact"/>
        <w:ind w:left="540"/>
        <w:rPr>
          <w:rFonts w:hint="eastAsia" w:ascii="微软雅黑" w:hAnsi="微软雅黑" w:eastAsia="微软雅黑"/>
          <w:color w:val="auto"/>
          <w:sz w:val="24"/>
          <w:highlight w:val="none"/>
        </w:rPr>
      </w:pPr>
    </w:p>
    <w:p w14:paraId="58CAE723">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附件：法定代表人有效身份证正反面复印件</w:t>
      </w:r>
    </w:p>
    <w:p w14:paraId="37FA5626">
      <w:pPr>
        <w:spacing w:line="500" w:lineRule="exact"/>
        <w:ind w:left="540"/>
        <w:rPr>
          <w:rFonts w:hint="eastAsia" w:ascii="微软雅黑" w:hAnsi="微软雅黑" w:eastAsia="微软雅黑"/>
          <w:color w:val="auto"/>
          <w:sz w:val="24"/>
          <w:highlight w:val="none"/>
        </w:rPr>
      </w:pPr>
    </w:p>
    <w:p w14:paraId="1A5CA4E7">
      <w:pPr>
        <w:spacing w:line="500" w:lineRule="exact"/>
        <w:ind w:left="540"/>
        <w:jc w:val="righ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投标人名称（电子签章）</w:t>
      </w:r>
    </w:p>
    <w:p w14:paraId="64144DCB">
      <w:pPr>
        <w:snapToGrid w:val="0"/>
        <w:spacing w:before="120" w:beforeLines="50" w:after="50"/>
        <w:ind w:left="540"/>
        <w:jc w:val="righ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w:t>
      </w:r>
    </w:p>
    <w:p w14:paraId="61F9C8E7">
      <w:pPr>
        <w:snapToGrid w:val="0"/>
        <w:spacing w:before="120" w:beforeLines="50" w:after="50"/>
        <w:jc w:val="center"/>
        <w:rPr>
          <w:rFonts w:hint="eastAsia" w:ascii="微软雅黑" w:hAnsi="微软雅黑" w:eastAsia="微软雅黑"/>
          <w:b/>
          <w:color w:val="auto"/>
          <w:sz w:val="24"/>
          <w:highlight w:val="none"/>
        </w:rPr>
      </w:pPr>
    </w:p>
    <w:p w14:paraId="7E510460">
      <w:pPr>
        <w:snapToGrid w:val="0"/>
        <w:spacing w:before="120" w:beforeLines="50" w:after="50"/>
        <w:jc w:val="left"/>
        <w:rPr>
          <w:rFonts w:hint="eastAsia" w:ascii="微软雅黑" w:hAnsi="微软雅黑" w:eastAsia="微软雅黑"/>
          <w:b/>
          <w:color w:val="auto"/>
          <w:sz w:val="24"/>
          <w:szCs w:val="20"/>
          <w:highlight w:val="none"/>
        </w:rPr>
      </w:pPr>
      <w:r>
        <w:rPr>
          <w:rFonts w:hint="eastAsia" w:ascii="微软雅黑" w:hAnsi="微软雅黑" w:eastAsia="微软雅黑"/>
          <w:color w:val="auto"/>
          <w:sz w:val="24"/>
          <w:highlight w:val="none"/>
        </w:rPr>
        <w:t>注：自然人投标的无需提供</w:t>
      </w:r>
    </w:p>
    <w:p w14:paraId="5571F4A3">
      <w:pPr>
        <w:snapToGrid w:val="0"/>
        <w:spacing w:before="120" w:beforeLines="50" w:after="50"/>
        <w:jc w:val="left"/>
        <w:rPr>
          <w:rFonts w:hint="eastAsia" w:ascii="微软雅黑" w:hAnsi="微软雅黑" w:eastAsia="微软雅黑"/>
          <w:b/>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5.授权委托书格式</w:t>
      </w:r>
    </w:p>
    <w:p w14:paraId="5FD60758">
      <w:pPr>
        <w:snapToGrid w:val="0"/>
        <w:spacing w:before="120" w:beforeLines="50" w:after="50"/>
        <w:jc w:val="center"/>
        <w:rPr>
          <w:rFonts w:hint="eastAsia" w:ascii="微软雅黑" w:hAnsi="微软雅黑" w:eastAsia="微软雅黑" w:cs="方正小标宋简体"/>
          <w:bCs/>
          <w:color w:val="auto"/>
          <w:sz w:val="44"/>
          <w:szCs w:val="44"/>
          <w:highlight w:val="none"/>
        </w:rPr>
      </w:pPr>
      <w:r>
        <w:rPr>
          <w:rFonts w:hint="eastAsia" w:ascii="微软雅黑" w:hAnsi="微软雅黑" w:eastAsia="微软雅黑" w:cs="方正小标宋简体"/>
          <w:bCs/>
          <w:color w:val="auto"/>
          <w:sz w:val="44"/>
          <w:szCs w:val="44"/>
          <w:highlight w:val="none"/>
        </w:rPr>
        <w:t>授权委托书</w:t>
      </w:r>
    </w:p>
    <w:p w14:paraId="223C1817">
      <w:pPr>
        <w:snapToGrid w:val="0"/>
        <w:spacing w:before="120" w:beforeLines="50" w:after="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（非联合体投标格式）</w:t>
      </w:r>
    </w:p>
    <w:p w14:paraId="0C1AAFF7">
      <w:pPr>
        <w:snapToGrid w:val="0"/>
        <w:spacing w:before="120" w:beforeLines="50" w:after="50"/>
        <w:jc w:val="center"/>
        <w:rPr>
          <w:rFonts w:hint="eastAsia" w:ascii="微软雅黑" w:hAnsi="微软雅黑" w:eastAsia="微软雅黑"/>
          <w:b/>
          <w:color w:val="auto"/>
          <w:sz w:val="24"/>
          <w:highlight w:val="none"/>
        </w:rPr>
      </w:pPr>
      <w:r>
        <w:rPr>
          <w:rFonts w:hint="eastAsia" w:ascii="微软雅黑" w:hAnsi="微软雅黑" w:eastAsia="微软雅黑"/>
          <w:b/>
          <w:color w:val="auto"/>
          <w:sz w:val="32"/>
          <w:szCs w:val="32"/>
          <w:highlight w:val="none"/>
        </w:rPr>
        <w:t>（如有委托时）</w:t>
      </w:r>
    </w:p>
    <w:p w14:paraId="3A7DA25E">
      <w:pPr>
        <w:spacing w:line="360" w:lineRule="auto"/>
        <w:contextualSpacing/>
        <w:rPr>
          <w:rFonts w:hint="eastAsia" w:ascii="微软雅黑" w:hAnsi="微软雅黑" w:eastAsia="微软雅黑"/>
          <w:b/>
          <w:bCs/>
          <w:color w:val="auto"/>
          <w:sz w:val="24"/>
          <w:highlight w:val="none"/>
        </w:rPr>
      </w:pPr>
      <w:r>
        <w:rPr>
          <w:rFonts w:hint="eastAsia" w:ascii="微软雅黑" w:hAnsi="微软雅黑" w:eastAsia="微软雅黑"/>
          <w:bCs/>
          <w:color w:val="auto"/>
          <w:sz w:val="24"/>
          <w:highlight w:val="none"/>
        </w:rPr>
        <w:t>致：</w:t>
      </w:r>
      <w:r>
        <w:rPr>
          <w:rFonts w:hint="eastAsia" w:ascii="微软雅黑" w:hAnsi="微软雅黑" w:eastAsia="微软雅黑"/>
          <w:color w:val="auto"/>
          <w:sz w:val="24"/>
          <w:highlight w:val="none"/>
          <w:u w:val="single"/>
        </w:rPr>
        <w:t>采购人名称</w:t>
      </w:r>
      <w:r>
        <w:rPr>
          <w:rFonts w:hint="eastAsia" w:ascii="微软雅黑" w:hAnsi="微软雅黑" w:eastAsia="微软雅黑"/>
          <w:color w:val="auto"/>
          <w:sz w:val="24"/>
          <w:highlight w:val="none"/>
        </w:rPr>
        <w:t>：</w:t>
      </w:r>
    </w:p>
    <w:p w14:paraId="2FC3BB02">
      <w:pPr>
        <w:spacing w:line="360" w:lineRule="auto"/>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（姓名）系</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（投标人名称）的法定代表人，现授权委托</w:t>
      </w:r>
      <w:r>
        <w:rPr>
          <w:rFonts w:hint="eastAsia" w:ascii="微软雅黑" w:hAnsi="微软雅黑" w:eastAsia="微软雅黑"/>
          <w:color w:val="auto"/>
          <w:sz w:val="24"/>
          <w:highlight w:val="none"/>
          <w:u w:val="single"/>
        </w:rPr>
        <w:t xml:space="preserve">              （姓名）</w:t>
      </w:r>
      <w:r>
        <w:rPr>
          <w:rFonts w:hint="eastAsia" w:ascii="微软雅黑" w:hAnsi="微软雅黑" w:eastAsia="微软雅黑"/>
          <w:color w:val="auto"/>
          <w:sz w:val="24"/>
          <w:highlight w:val="none"/>
        </w:rPr>
        <w:t>以我方的名义参加</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项目的投标活动，并代表我方全权办理针对上述项目的所有采购程序和环节的具体事务和签署相关文件。</w:t>
      </w:r>
    </w:p>
    <w:p w14:paraId="5E42A0F5">
      <w:pPr>
        <w:spacing w:line="360" w:lineRule="auto"/>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我方对委托代理人的签字或者电子签名事项负全部责任。</w:t>
      </w:r>
    </w:p>
    <w:p w14:paraId="00252B4C">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u w:val="single"/>
        </w:rPr>
        <w:t>本授权书自签署之日起生效，在撤销授权的书面通知以前，本授权书一直有效。委托代理人在授权书有效期内签署的所有文件不因授权的撤销而失效。</w:t>
      </w:r>
    </w:p>
    <w:p w14:paraId="4937B7C3">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委托代理人无转委托权，特此委托。</w:t>
      </w:r>
    </w:p>
    <w:p w14:paraId="24374AFA">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附：法定代表人身份证明及委托代理人有效身份证正反面复印件</w:t>
      </w:r>
    </w:p>
    <w:p w14:paraId="72558DF7">
      <w:pPr>
        <w:spacing w:line="360" w:lineRule="auto"/>
        <w:contextualSpacing/>
        <w:rPr>
          <w:rFonts w:hint="eastAsia" w:ascii="微软雅黑" w:hAnsi="微软雅黑" w:eastAsia="微软雅黑"/>
          <w:color w:val="auto"/>
          <w:sz w:val="24"/>
          <w:highlight w:val="none"/>
        </w:rPr>
      </w:pPr>
    </w:p>
    <w:p w14:paraId="2CF7DB06">
      <w:pPr>
        <w:spacing w:line="44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委托代理人（签字或者电子签名）：</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 xml:space="preserve">            </w:t>
      </w:r>
    </w:p>
    <w:p w14:paraId="1558E67C">
      <w:pPr>
        <w:spacing w:line="440" w:lineRule="exact"/>
        <w:contextualSpacing/>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委托代理人身份证号码：</w:t>
      </w:r>
      <w:r>
        <w:rPr>
          <w:rFonts w:hint="eastAsia" w:ascii="微软雅黑" w:hAnsi="微软雅黑" w:eastAsia="微软雅黑"/>
          <w:color w:val="auto"/>
          <w:sz w:val="24"/>
          <w:highlight w:val="none"/>
          <w:u w:val="single"/>
        </w:rPr>
        <w:t xml:space="preserve">                             </w:t>
      </w:r>
    </w:p>
    <w:p w14:paraId="0D8EE2C9">
      <w:pPr>
        <w:spacing w:line="440" w:lineRule="exact"/>
        <w:contextualSpacing/>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法定代表人（签字或者盖章或者电子签名）：</w:t>
      </w:r>
      <w:r>
        <w:rPr>
          <w:rFonts w:hint="eastAsia" w:ascii="微软雅黑" w:hAnsi="微软雅黑" w:eastAsia="微软雅黑"/>
          <w:color w:val="auto"/>
          <w:sz w:val="24"/>
          <w:highlight w:val="none"/>
          <w:u w:val="single"/>
        </w:rPr>
        <w:t xml:space="preserve">              </w:t>
      </w:r>
    </w:p>
    <w:p w14:paraId="7B8C2D95">
      <w:pPr>
        <w:spacing w:line="44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w:t>
      </w:r>
    </w:p>
    <w:p w14:paraId="3D75F6D0">
      <w:pPr>
        <w:spacing w:line="440" w:lineRule="exact"/>
        <w:contextualSpacing/>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投标人名称（电子签章）：</w:t>
      </w:r>
    </w:p>
    <w:p w14:paraId="716CD444">
      <w:pPr>
        <w:spacing w:line="440" w:lineRule="exact"/>
        <w:contextualSpacing/>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p w14:paraId="5BBE3F6F">
      <w:pPr>
        <w:spacing w:line="440" w:lineRule="exact"/>
        <w:contextualSpacing/>
        <w:rPr>
          <w:rFonts w:hint="eastAsia" w:ascii="微软雅黑" w:hAnsi="微软雅黑" w:eastAsia="微软雅黑" w:cs="仿宋_GB2312"/>
          <w:color w:val="auto"/>
          <w:sz w:val="24"/>
          <w:highlight w:val="none"/>
        </w:rPr>
      </w:pPr>
      <w:r>
        <w:rPr>
          <w:rFonts w:hint="eastAsia" w:ascii="微软雅黑" w:hAnsi="微软雅黑" w:eastAsia="微软雅黑" w:cs="仿宋_GB2312"/>
          <w:color w:val="auto"/>
          <w:sz w:val="24"/>
          <w:highlight w:val="none"/>
        </w:rPr>
        <w:t>注：1.</w:t>
      </w:r>
      <w:bookmarkStart w:id="290" w:name="_Hlk65851555"/>
      <w:bookmarkStart w:id="291" w:name="_Hlk65851620"/>
      <w:r>
        <w:rPr>
          <w:rFonts w:hint="eastAsia" w:ascii="微软雅黑" w:hAnsi="微软雅黑" w:eastAsia="微软雅黑" w:cs="仿宋_GB2312"/>
          <w:color w:val="auto"/>
          <w:sz w:val="24"/>
          <w:highlight w:val="none"/>
        </w:rPr>
        <w:t>法定代表人必须在授权委托书上签字或者盖章</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bookmarkEnd w:id="290"/>
      <w:r>
        <w:rPr>
          <w:rFonts w:hint="eastAsia" w:ascii="微软雅黑" w:hAnsi="微软雅黑" w:eastAsia="微软雅黑" w:cs="仿宋_GB2312"/>
          <w:color w:val="auto"/>
          <w:sz w:val="24"/>
          <w:highlight w:val="none"/>
        </w:rPr>
        <w:t>委托代理人必须在授权委托书上签字</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r>
        <w:rPr>
          <w:rFonts w:hint="eastAsia" w:ascii="微软雅黑" w:hAnsi="微软雅黑" w:eastAsia="微软雅黑" w:cs="仿宋_GB2312"/>
          <w:b/>
          <w:bCs/>
          <w:color w:val="auto"/>
          <w:sz w:val="24"/>
          <w:highlight w:val="none"/>
        </w:rPr>
        <w:t>否则按无效投标处理</w:t>
      </w:r>
      <w:r>
        <w:rPr>
          <w:rFonts w:hint="eastAsia" w:ascii="微软雅黑" w:hAnsi="微软雅黑" w:eastAsia="微软雅黑" w:cs="仿宋_GB2312"/>
          <w:color w:val="auto"/>
          <w:sz w:val="24"/>
          <w:highlight w:val="none"/>
        </w:rPr>
        <w:t>；</w:t>
      </w:r>
      <w:bookmarkEnd w:id="291"/>
    </w:p>
    <w:p w14:paraId="7DE19475">
      <w:pPr>
        <w:spacing w:line="44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s="仿宋_GB2312"/>
          <w:color w:val="auto"/>
          <w:sz w:val="24"/>
          <w:highlight w:val="none"/>
        </w:rPr>
        <w:t>2.法人、其他组织投标时“我方”是指“我单位”，自然人投标时“我方”是指“本人”。</w:t>
      </w:r>
    </w:p>
    <w:p w14:paraId="36F37D55">
      <w:pPr>
        <w:snapToGrid w:val="0"/>
        <w:spacing w:before="120" w:beforeLines="50" w:after="50"/>
        <w:ind w:firstLine="566" w:firstLineChars="236"/>
        <w:jc w:val="center"/>
        <w:rPr>
          <w:rFonts w:hint="eastAsia" w:ascii="微软雅黑" w:hAnsi="微软雅黑" w:eastAsia="微软雅黑" w:cs="方正小标宋简体"/>
          <w:color w:val="auto"/>
          <w:sz w:val="44"/>
          <w:szCs w:val="44"/>
          <w:highlight w:val="none"/>
        </w:rPr>
      </w:pPr>
      <w:r>
        <w:rPr>
          <w:rFonts w:ascii="微软雅黑" w:hAnsi="微软雅黑" w:eastAsia="微软雅黑"/>
          <w:color w:val="auto"/>
          <w:sz w:val="24"/>
          <w:highlight w:val="none"/>
        </w:rPr>
        <w:br w:type="page"/>
      </w:r>
      <w:r>
        <w:rPr>
          <w:rFonts w:hint="eastAsia" w:ascii="微软雅黑" w:hAnsi="微软雅黑" w:eastAsia="微软雅黑" w:cs="方正小标宋简体"/>
          <w:color w:val="auto"/>
          <w:sz w:val="44"/>
          <w:szCs w:val="44"/>
          <w:highlight w:val="none"/>
        </w:rPr>
        <w:t>授权委托书</w:t>
      </w:r>
    </w:p>
    <w:p w14:paraId="6BF704FF">
      <w:pPr>
        <w:snapToGrid w:val="0"/>
        <w:spacing w:before="120" w:beforeLines="50" w:after="50"/>
        <w:ind w:firstLine="756" w:firstLineChars="236"/>
        <w:jc w:val="center"/>
        <w:rPr>
          <w:rFonts w:hint="eastAsia" w:ascii="微软雅黑" w:hAnsi="微软雅黑" w:eastAsia="微软雅黑"/>
          <w:b/>
          <w:bCs/>
          <w:color w:val="auto"/>
          <w:sz w:val="32"/>
          <w:szCs w:val="32"/>
          <w:highlight w:val="none"/>
        </w:rPr>
      </w:pPr>
      <w:r>
        <w:rPr>
          <w:rFonts w:hint="eastAsia" w:ascii="微软雅黑" w:hAnsi="微软雅黑" w:eastAsia="微软雅黑"/>
          <w:b/>
          <w:bCs/>
          <w:color w:val="auto"/>
          <w:sz w:val="32"/>
          <w:szCs w:val="32"/>
          <w:highlight w:val="none"/>
        </w:rPr>
        <w:t>（联合体投标格式）</w:t>
      </w:r>
    </w:p>
    <w:p w14:paraId="4198E9D5">
      <w:pPr>
        <w:snapToGrid w:val="0"/>
        <w:spacing w:before="120" w:beforeLines="50" w:after="50"/>
        <w:ind w:firstLine="756" w:firstLineChars="236"/>
        <w:jc w:val="center"/>
        <w:rPr>
          <w:rFonts w:ascii="微软雅黑" w:hAnsi="微软雅黑" w:eastAsia="微软雅黑"/>
          <w:color w:val="auto"/>
          <w:sz w:val="24"/>
          <w:highlight w:val="none"/>
        </w:rPr>
      </w:pPr>
      <w:r>
        <w:rPr>
          <w:rFonts w:hint="eastAsia" w:ascii="微软雅黑" w:hAnsi="微软雅黑" w:eastAsia="微软雅黑"/>
          <w:b/>
          <w:bCs/>
          <w:color w:val="auto"/>
          <w:sz w:val="32"/>
          <w:szCs w:val="32"/>
          <w:highlight w:val="none"/>
        </w:rPr>
        <w:t>（如有委托时）</w:t>
      </w:r>
    </w:p>
    <w:p w14:paraId="3A4A5D0F">
      <w:pPr>
        <w:spacing w:line="360" w:lineRule="auto"/>
        <w:contextualSpacing/>
        <w:jc w:val="left"/>
        <w:rPr>
          <w:rFonts w:hint="eastAsia" w:ascii="微软雅黑" w:hAnsi="微软雅黑" w:eastAsia="微软雅黑"/>
          <w:color w:val="auto"/>
          <w:sz w:val="24"/>
          <w:highlight w:val="none"/>
        </w:rPr>
      </w:pPr>
      <w:r>
        <w:rPr>
          <w:rFonts w:hint="eastAsia" w:ascii="微软雅黑" w:hAnsi="微软雅黑" w:eastAsia="微软雅黑"/>
          <w:bCs/>
          <w:color w:val="auto"/>
          <w:sz w:val="24"/>
          <w:highlight w:val="none"/>
        </w:rPr>
        <w:t>致：</w:t>
      </w:r>
      <w:r>
        <w:rPr>
          <w:rFonts w:hint="eastAsia" w:ascii="微软雅黑" w:hAnsi="微软雅黑" w:eastAsia="微软雅黑"/>
          <w:color w:val="auto"/>
          <w:sz w:val="24"/>
          <w:highlight w:val="none"/>
          <w:u w:val="single"/>
        </w:rPr>
        <w:t>采购人名称</w:t>
      </w:r>
      <w:r>
        <w:rPr>
          <w:rFonts w:hint="eastAsia" w:ascii="微软雅黑" w:hAnsi="微软雅黑" w:eastAsia="微软雅黑"/>
          <w:color w:val="auto"/>
          <w:sz w:val="24"/>
          <w:highlight w:val="none"/>
        </w:rPr>
        <w:t>：</w:t>
      </w:r>
    </w:p>
    <w:p w14:paraId="5A195A02">
      <w:pPr>
        <w:spacing w:line="360" w:lineRule="auto"/>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根据 </w:t>
      </w:r>
      <w:r>
        <w:rPr>
          <w:rFonts w:hint="eastAsia" w:ascii="微软雅黑" w:hAnsi="微软雅黑" w:eastAsia="微软雅黑"/>
          <w:color w:val="auto"/>
          <w:sz w:val="24"/>
          <w:highlight w:val="none"/>
          <w:u w:val="single"/>
        </w:rPr>
        <w:t xml:space="preserve"> （牵头人名称）</w:t>
      </w:r>
      <w:r>
        <w:rPr>
          <w:rFonts w:hint="eastAsia" w:ascii="微软雅黑" w:hAnsi="微软雅黑" w:eastAsia="微软雅黑"/>
          <w:color w:val="auto"/>
          <w:sz w:val="24"/>
          <w:highlight w:val="none"/>
        </w:rPr>
        <w:t>与</w:t>
      </w:r>
      <w:r>
        <w:rPr>
          <w:rFonts w:hint="eastAsia" w:ascii="微软雅黑" w:hAnsi="微软雅黑" w:eastAsia="微软雅黑"/>
          <w:color w:val="auto"/>
          <w:sz w:val="24"/>
          <w:highlight w:val="none"/>
          <w:u w:val="single"/>
        </w:rPr>
        <w:t>（联合体其他成员名称）</w:t>
      </w:r>
      <w:r>
        <w:rPr>
          <w:rFonts w:hint="eastAsia" w:ascii="微软雅黑" w:hAnsi="微软雅黑" w:eastAsia="微软雅黑"/>
          <w:color w:val="auto"/>
          <w:sz w:val="24"/>
          <w:highlight w:val="none"/>
        </w:rPr>
        <w:t>签订的《联合体投标协议书》的内容，</w:t>
      </w:r>
      <w:r>
        <w:rPr>
          <w:rFonts w:hint="eastAsia" w:ascii="微软雅黑" w:hAnsi="微软雅黑" w:eastAsia="微软雅黑"/>
          <w:color w:val="auto"/>
          <w:sz w:val="24"/>
          <w:highlight w:val="none"/>
          <w:u w:val="single"/>
        </w:rPr>
        <w:t>（牵头人名称）</w:t>
      </w:r>
      <w:r>
        <w:rPr>
          <w:rFonts w:hint="eastAsia" w:ascii="微软雅黑" w:hAnsi="微软雅黑" w:eastAsia="微软雅黑"/>
          <w:color w:val="auto"/>
          <w:sz w:val="24"/>
          <w:highlight w:val="none"/>
        </w:rPr>
        <w:t>的法定代表人</w:t>
      </w:r>
      <w:r>
        <w:rPr>
          <w:rFonts w:hint="eastAsia" w:ascii="微软雅黑" w:hAnsi="微软雅黑" w:eastAsia="微软雅黑"/>
          <w:color w:val="auto"/>
          <w:sz w:val="24"/>
          <w:highlight w:val="none"/>
          <w:u w:val="single"/>
        </w:rPr>
        <w:t>（姓名）</w:t>
      </w:r>
      <w:r>
        <w:rPr>
          <w:rFonts w:hint="eastAsia" w:ascii="微软雅黑" w:hAnsi="微软雅黑" w:eastAsia="微软雅黑"/>
          <w:color w:val="auto"/>
          <w:sz w:val="24"/>
          <w:highlight w:val="none"/>
        </w:rPr>
        <w:t>现授权委托</w:t>
      </w:r>
      <w:r>
        <w:rPr>
          <w:rFonts w:hint="eastAsia" w:ascii="微软雅黑" w:hAnsi="微软雅黑" w:eastAsia="微软雅黑"/>
          <w:color w:val="auto"/>
          <w:sz w:val="24"/>
          <w:highlight w:val="none"/>
          <w:u w:val="single"/>
        </w:rPr>
        <w:t xml:space="preserve">              （姓名）</w:t>
      </w:r>
      <w:r>
        <w:rPr>
          <w:rFonts w:hint="eastAsia" w:ascii="微软雅黑" w:hAnsi="微软雅黑" w:eastAsia="微软雅黑"/>
          <w:color w:val="auto"/>
          <w:sz w:val="24"/>
          <w:highlight w:val="none"/>
        </w:rPr>
        <w:t>以我方的名义参加</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项目的投标活动，并代表我方全权办理针对上述项目的所有采购程序和环节的具体事务和签署相关文件。</w:t>
      </w:r>
    </w:p>
    <w:p w14:paraId="02AFAAAD">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我方对委托代理人的签字或者电子签名事项负全部责任。</w:t>
      </w:r>
    </w:p>
    <w:p w14:paraId="5703389C">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本授权书自签署之日起生效，在撤销授权的书面通知以前，本授权书一直有效。委托代理人在授权书有效期内签署的所有文件不因授权的撤销而失效。</w:t>
      </w:r>
    </w:p>
    <w:p w14:paraId="084B1088">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委托代理人无转委托权，特此委托。</w:t>
      </w:r>
    </w:p>
    <w:p w14:paraId="34775F66">
      <w:pPr>
        <w:spacing w:line="440" w:lineRule="exact"/>
        <w:ind w:firstLine="566" w:firstLineChars="236"/>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附：牵头人法定代表人身份证明及委托代理人有效身份证正反面复印件</w:t>
      </w:r>
    </w:p>
    <w:p w14:paraId="2233FB14">
      <w:pPr>
        <w:spacing w:line="440" w:lineRule="exact"/>
        <w:ind w:firstLine="566" w:firstLineChars="236"/>
        <w:contextualSpacing/>
        <w:rPr>
          <w:rFonts w:hint="eastAsia" w:ascii="微软雅黑" w:hAnsi="微软雅黑" w:eastAsia="微软雅黑"/>
          <w:color w:val="auto"/>
          <w:sz w:val="24"/>
          <w:highlight w:val="none"/>
        </w:rPr>
      </w:pPr>
    </w:p>
    <w:p w14:paraId="504BE1AD">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牵头人法定代表人（签字或者盖章或者电子签名）：</w:t>
      </w:r>
    </w:p>
    <w:p w14:paraId="524D16C6">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牵头人（电子签章）：</w:t>
      </w:r>
    </w:p>
    <w:p w14:paraId="52E34EE4">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日期：    年   月   日</w:t>
      </w:r>
    </w:p>
    <w:p w14:paraId="785EE28C">
      <w:pPr>
        <w:spacing w:line="440" w:lineRule="exact"/>
        <w:ind w:firstLine="566" w:firstLineChars="236"/>
        <w:contextualSpacing/>
        <w:rPr>
          <w:rFonts w:hint="eastAsia" w:ascii="微软雅黑" w:hAnsi="微软雅黑" w:eastAsia="微软雅黑"/>
          <w:color w:val="auto"/>
          <w:sz w:val="24"/>
          <w:highlight w:val="none"/>
        </w:rPr>
      </w:pPr>
    </w:p>
    <w:p w14:paraId="439EF4DB">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被授权人（签字或者电子签名）：</w:t>
      </w:r>
    </w:p>
    <w:p w14:paraId="116C5FDF">
      <w:pPr>
        <w:spacing w:line="440" w:lineRule="exact"/>
        <w:ind w:firstLine="566" w:firstLineChars="236"/>
        <w:contextualSpacing/>
        <w:rPr>
          <w:rFonts w:hint="eastAsia" w:ascii="微软雅黑" w:hAnsi="微软雅黑" w:eastAsia="微软雅黑" w:cs="仿宋_GB2312"/>
          <w:color w:val="auto"/>
          <w:sz w:val="32"/>
          <w:szCs w:val="32"/>
          <w:highlight w:val="none"/>
        </w:rPr>
      </w:pPr>
      <w:r>
        <w:rPr>
          <w:rFonts w:hint="eastAsia" w:ascii="微软雅黑" w:hAnsi="微软雅黑" w:eastAsia="微软雅黑"/>
          <w:color w:val="auto"/>
          <w:sz w:val="24"/>
          <w:highlight w:val="none"/>
        </w:rPr>
        <w:t>日期：    年   月   日</w:t>
      </w:r>
    </w:p>
    <w:p w14:paraId="0DB3D331">
      <w:pPr>
        <w:spacing w:line="440" w:lineRule="exact"/>
        <w:contextualSpacing/>
        <w:rPr>
          <w:rFonts w:hint="eastAsia" w:ascii="微软雅黑" w:hAnsi="微软雅黑" w:eastAsia="微软雅黑" w:cs="仿宋_GB2312"/>
          <w:color w:val="auto"/>
          <w:sz w:val="24"/>
          <w:highlight w:val="none"/>
        </w:rPr>
      </w:pPr>
      <w:r>
        <w:rPr>
          <w:rFonts w:hint="eastAsia" w:ascii="微软雅黑" w:hAnsi="微软雅黑" w:eastAsia="微软雅黑" w:cs="仿宋_GB2312"/>
          <w:color w:val="auto"/>
          <w:sz w:val="24"/>
          <w:highlight w:val="none"/>
        </w:rPr>
        <w:t>注：1.法定代表人必须在授权委托书上签字或者盖章</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，委托代理人必须在授权委托书上签字</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r>
        <w:rPr>
          <w:rFonts w:hint="eastAsia" w:ascii="微软雅黑" w:hAnsi="微软雅黑" w:eastAsia="微软雅黑" w:cs="仿宋_GB2312"/>
          <w:b/>
          <w:bCs/>
          <w:color w:val="auto"/>
          <w:sz w:val="24"/>
          <w:highlight w:val="none"/>
        </w:rPr>
        <w:t>否则按无效投标处理</w:t>
      </w:r>
      <w:r>
        <w:rPr>
          <w:rFonts w:hint="eastAsia" w:ascii="微软雅黑" w:hAnsi="微软雅黑" w:eastAsia="微软雅黑" w:cs="仿宋_GB2312"/>
          <w:color w:val="auto"/>
          <w:sz w:val="24"/>
          <w:highlight w:val="none"/>
        </w:rPr>
        <w:t>；</w:t>
      </w:r>
    </w:p>
    <w:p w14:paraId="6213BB7E">
      <w:pPr>
        <w:spacing w:line="44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s="仿宋_GB2312"/>
          <w:color w:val="auto"/>
          <w:sz w:val="24"/>
          <w:highlight w:val="none"/>
        </w:rPr>
        <w:t>2.法人、其他组织投标时“我方”是指“我单位”，自然人投标时“我方”是指“本人”。</w:t>
      </w:r>
    </w:p>
    <w:p w14:paraId="0C179823">
      <w:pPr>
        <w:spacing w:line="440" w:lineRule="exact"/>
        <w:ind w:firstLine="480" w:firstLineChars="200"/>
        <w:contextualSpacing/>
        <w:jc w:val="left"/>
        <w:rPr>
          <w:rFonts w:hint="eastAsia" w:ascii="微软雅黑" w:hAnsi="微软雅黑" w:eastAsia="微软雅黑"/>
          <w:color w:val="auto"/>
          <w:sz w:val="24"/>
          <w:highlight w:val="none"/>
        </w:rPr>
      </w:pPr>
    </w:p>
    <w:p w14:paraId="319B86E0">
      <w:pPr>
        <w:rPr>
          <w:rFonts w:hint="eastAsia" w:ascii="微软雅黑" w:hAnsi="微软雅黑" w:eastAsia="微软雅黑"/>
          <w:color w:val="auto"/>
          <w:sz w:val="24"/>
          <w:highlight w:val="none"/>
        </w:rPr>
      </w:pPr>
      <w:r>
        <w:rPr>
          <w:rFonts w:ascii="微软雅黑" w:hAnsi="微软雅黑" w:eastAsia="微软雅黑"/>
          <w:color w:val="auto"/>
          <w:sz w:val="24"/>
          <w:highlight w:val="none"/>
        </w:rPr>
        <w:br w:type="page"/>
      </w:r>
    </w:p>
    <w:p w14:paraId="41A2EF8D">
      <w:pPr>
        <w:rPr>
          <w:rFonts w:hint="eastAsia" w:ascii="微软雅黑" w:hAnsi="微软雅黑" w:eastAsia="微软雅黑"/>
          <w:b/>
          <w:color w:val="auto"/>
          <w:sz w:val="24"/>
          <w:szCs w:val="20"/>
          <w:highlight w:val="none"/>
        </w:rPr>
      </w:pPr>
      <w:r>
        <w:rPr>
          <w:rFonts w:hint="eastAsia" w:ascii="微软雅黑" w:hAnsi="微软雅黑" w:eastAsia="微软雅黑"/>
          <w:b/>
          <w:color w:val="auto"/>
          <w:sz w:val="24"/>
          <w:highlight w:val="none"/>
        </w:rPr>
        <w:t>6.商务要求偏离表格式</w:t>
      </w:r>
    </w:p>
    <w:p w14:paraId="2002C3E8">
      <w:pPr>
        <w:snapToGrid w:val="0"/>
        <w:spacing w:before="50"/>
        <w:jc w:val="left"/>
        <w:rPr>
          <w:rFonts w:hint="eastAsia" w:ascii="微软雅黑" w:hAnsi="微软雅黑" w:eastAsia="微软雅黑"/>
          <w:color w:val="auto"/>
          <w:sz w:val="24"/>
          <w:highlight w:val="none"/>
        </w:rPr>
      </w:pPr>
    </w:p>
    <w:p w14:paraId="7F16BE8E">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p w14:paraId="19F19C02">
      <w:pPr>
        <w:snapToGrid w:val="0"/>
        <w:spacing w:before="50"/>
        <w:jc w:val="left"/>
        <w:rPr>
          <w:rFonts w:hint="eastAsia" w:ascii="微软雅黑" w:hAnsi="微软雅黑" w:eastAsia="微软雅黑"/>
          <w:color w:val="auto"/>
          <w:sz w:val="24"/>
          <w:highlight w:val="none"/>
          <w:u w:val="single"/>
        </w:rPr>
      </w:pPr>
    </w:p>
    <w:tbl>
      <w:tblPr>
        <w:tblStyle w:val="46"/>
        <w:tblW w:w="8641" w:type="dxa"/>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70"/>
        <w:gridCol w:w="2776"/>
        <w:gridCol w:w="1760"/>
        <w:gridCol w:w="2035"/>
      </w:tblGrid>
      <w:tr w14:paraId="3FBCD4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070" w:type="dxa"/>
            <w:tcBorders>
              <w:top w:val="single" w:color="auto" w:sz="4" w:space="0"/>
              <w:left w:val="single" w:color="auto" w:sz="4" w:space="0"/>
              <w:bottom w:val="single" w:color="auto" w:sz="4" w:space="0"/>
              <w:right w:val="single" w:color="auto" w:sz="4" w:space="0"/>
            </w:tcBorders>
            <w:vAlign w:val="top"/>
          </w:tcPr>
          <w:p w14:paraId="28115AFE">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项目</w:t>
            </w:r>
          </w:p>
        </w:tc>
        <w:tc>
          <w:tcPr>
            <w:tcW w:w="2776" w:type="dxa"/>
            <w:tcBorders>
              <w:top w:val="single" w:color="auto" w:sz="4" w:space="0"/>
              <w:left w:val="single" w:color="auto" w:sz="4" w:space="0"/>
              <w:bottom w:val="single" w:color="auto" w:sz="4" w:space="0"/>
              <w:right w:val="single" w:color="auto" w:sz="4" w:space="0"/>
            </w:tcBorders>
            <w:vAlign w:val="top"/>
          </w:tcPr>
          <w:p w14:paraId="6DBD5EEA">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vAlign w:val="top"/>
          </w:tcPr>
          <w:p w14:paraId="486745C4">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vAlign w:val="top"/>
          </w:tcPr>
          <w:p w14:paraId="155EEAB7">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偏离说明</w:t>
            </w:r>
          </w:p>
        </w:tc>
      </w:tr>
      <w:tr w14:paraId="501B9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070" w:type="dxa"/>
            <w:tcBorders>
              <w:top w:val="single" w:color="auto" w:sz="4" w:space="0"/>
              <w:left w:val="single" w:color="auto" w:sz="4" w:space="0"/>
              <w:bottom w:val="single" w:color="auto" w:sz="4" w:space="0"/>
              <w:right w:val="single" w:color="auto" w:sz="4" w:space="0"/>
            </w:tcBorders>
            <w:vAlign w:val="center"/>
          </w:tcPr>
          <w:p w14:paraId="49FD9CC8">
            <w:pPr>
              <w:jc w:val="center"/>
              <w:rPr>
                <w:rFonts w:ascii="微软雅黑" w:hAnsi="微软雅黑" w:eastAsia="微软雅黑"/>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vAlign w:val="center"/>
          </w:tcPr>
          <w:p w14:paraId="02E99EA4">
            <w:pPr>
              <w:jc w:val="left"/>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vAlign w:val="top"/>
          </w:tcPr>
          <w:p w14:paraId="17111025">
            <w:pPr>
              <w:snapToGrid w:val="0"/>
              <w:spacing w:before="120" w:beforeLines="50"/>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vAlign w:val="top"/>
          </w:tcPr>
          <w:p w14:paraId="655866C4">
            <w:pPr>
              <w:snapToGrid w:val="0"/>
              <w:spacing w:before="120" w:beforeLines="50"/>
              <w:jc w:val="center"/>
              <w:rPr>
                <w:rFonts w:hint="eastAsia" w:ascii="微软雅黑" w:hAnsi="微软雅黑" w:eastAsia="微软雅黑"/>
                <w:color w:val="auto"/>
                <w:sz w:val="24"/>
                <w:highlight w:val="none"/>
              </w:rPr>
            </w:pPr>
          </w:p>
        </w:tc>
      </w:tr>
      <w:tr w14:paraId="12A498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070" w:type="dxa"/>
            <w:tcBorders>
              <w:top w:val="single" w:color="auto" w:sz="4" w:space="0"/>
              <w:left w:val="single" w:color="auto" w:sz="4" w:space="0"/>
              <w:bottom w:val="single" w:color="auto" w:sz="4" w:space="0"/>
              <w:right w:val="single" w:color="auto" w:sz="4" w:space="0"/>
            </w:tcBorders>
            <w:vAlign w:val="center"/>
          </w:tcPr>
          <w:p w14:paraId="49248A1A">
            <w:pPr>
              <w:jc w:val="center"/>
              <w:rPr>
                <w:rFonts w:ascii="微软雅黑" w:hAnsi="微软雅黑" w:eastAsia="微软雅黑"/>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vAlign w:val="center"/>
          </w:tcPr>
          <w:p w14:paraId="09797F48">
            <w:pPr>
              <w:jc w:val="left"/>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vAlign w:val="top"/>
          </w:tcPr>
          <w:p w14:paraId="5F5C5FF0">
            <w:pPr>
              <w:snapToGrid w:val="0"/>
              <w:spacing w:before="120" w:beforeLines="50"/>
              <w:ind w:left="43"/>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vAlign w:val="top"/>
          </w:tcPr>
          <w:p w14:paraId="7B75262E">
            <w:pPr>
              <w:snapToGrid w:val="0"/>
              <w:spacing w:before="120" w:beforeLines="50"/>
              <w:ind w:left="43"/>
              <w:jc w:val="center"/>
              <w:rPr>
                <w:rFonts w:hint="eastAsia" w:ascii="微软雅黑" w:hAnsi="微软雅黑" w:eastAsia="微软雅黑"/>
                <w:color w:val="auto"/>
                <w:sz w:val="24"/>
                <w:highlight w:val="none"/>
              </w:rPr>
            </w:pPr>
          </w:p>
        </w:tc>
      </w:tr>
      <w:tr w14:paraId="23727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70" w:type="dxa"/>
            <w:tcBorders>
              <w:top w:val="single" w:color="auto" w:sz="4" w:space="0"/>
              <w:left w:val="single" w:color="auto" w:sz="4" w:space="0"/>
              <w:bottom w:val="single" w:color="auto" w:sz="4" w:space="0"/>
              <w:right w:val="single" w:color="auto" w:sz="4" w:space="0"/>
            </w:tcBorders>
            <w:vAlign w:val="top"/>
          </w:tcPr>
          <w:p w14:paraId="240C4BA7">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w:t>
            </w:r>
          </w:p>
        </w:tc>
        <w:tc>
          <w:tcPr>
            <w:tcW w:w="2776" w:type="dxa"/>
            <w:tcBorders>
              <w:top w:val="single" w:color="auto" w:sz="4" w:space="0"/>
              <w:left w:val="single" w:color="auto" w:sz="4" w:space="0"/>
              <w:bottom w:val="single" w:color="auto" w:sz="4" w:space="0"/>
              <w:right w:val="single" w:color="auto" w:sz="4" w:space="0"/>
            </w:tcBorders>
            <w:vAlign w:val="top"/>
          </w:tcPr>
          <w:p w14:paraId="2FA3F264">
            <w:pPr>
              <w:snapToGrid w:val="0"/>
              <w:spacing w:before="120" w:beforeLines="50"/>
              <w:jc w:val="center"/>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vAlign w:val="top"/>
          </w:tcPr>
          <w:p w14:paraId="79B93307">
            <w:pPr>
              <w:snapToGrid w:val="0"/>
              <w:spacing w:before="120" w:beforeLines="50"/>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vAlign w:val="top"/>
          </w:tcPr>
          <w:p w14:paraId="6FC9C073">
            <w:pPr>
              <w:snapToGrid w:val="0"/>
              <w:spacing w:before="120" w:beforeLines="50"/>
              <w:jc w:val="center"/>
              <w:rPr>
                <w:rFonts w:hint="eastAsia" w:ascii="微软雅黑" w:hAnsi="微软雅黑" w:eastAsia="微软雅黑"/>
                <w:color w:val="auto"/>
                <w:sz w:val="24"/>
                <w:highlight w:val="none"/>
              </w:rPr>
            </w:pPr>
          </w:p>
        </w:tc>
      </w:tr>
    </w:tbl>
    <w:p w14:paraId="3AC155EF">
      <w:pPr>
        <w:pStyle w:val="16"/>
        <w:rPr>
          <w:rFonts w:hint="eastAsia" w:ascii="微软雅黑" w:hAnsi="微软雅黑" w:eastAsia="微软雅黑"/>
          <w:color w:val="auto"/>
          <w:highlight w:val="none"/>
        </w:rPr>
      </w:pPr>
      <w:r>
        <w:rPr>
          <w:rFonts w:hint="eastAsia" w:ascii="微软雅黑" w:hAnsi="微软雅黑" w:eastAsia="微软雅黑"/>
          <w:color w:val="auto"/>
          <w:highlight w:val="none"/>
        </w:rPr>
        <w:t>注：</w:t>
      </w:r>
    </w:p>
    <w:p w14:paraId="663693A7">
      <w:pPr>
        <w:pStyle w:val="18"/>
        <w:spacing w:line="520" w:lineRule="exact"/>
        <w:ind w:firstLine="0" w:firstLineChars="0"/>
        <w:rPr>
          <w:rFonts w:hint="eastAsia" w:ascii="微软雅黑" w:hAnsi="微软雅黑" w:eastAsia="微软雅黑" w:cs="仿宋_GB2312"/>
          <w:color w:val="auto"/>
          <w:szCs w:val="32"/>
          <w:highlight w:val="none"/>
        </w:rPr>
      </w:pPr>
      <w:r>
        <w:rPr>
          <w:rFonts w:hint="eastAsia" w:ascii="微软雅黑" w:hAnsi="微软雅黑" w:eastAsia="微软雅黑"/>
          <w:color w:val="auto"/>
          <w:sz w:val="24"/>
          <w:szCs w:val="24"/>
          <w:highlight w:val="none"/>
        </w:rPr>
        <w:t>1. 说明：应对照招标文件“第二章 采购需求”中的商务要求逐条作明确的投标响应，并作出偏离说明。</w:t>
      </w:r>
    </w:p>
    <w:p w14:paraId="11817311">
      <w:pPr>
        <w:pStyle w:val="16"/>
        <w:rPr>
          <w:rFonts w:ascii="微软雅黑" w:hAnsi="微软雅黑" w:eastAsia="微软雅黑"/>
          <w:b w:val="0"/>
          <w:bCs w:val="0"/>
          <w:color w:val="auto"/>
          <w:highlight w:val="none"/>
        </w:rPr>
      </w:pPr>
      <w:r>
        <w:rPr>
          <w:rFonts w:ascii="微软雅黑" w:hAnsi="微软雅黑" w:eastAsia="微软雅黑"/>
          <w:b w:val="0"/>
          <w:bCs w:val="0"/>
          <w:color w:val="auto"/>
          <w:highlight w:val="none"/>
        </w:rPr>
        <w:t>2.</w:t>
      </w:r>
      <w:r>
        <w:rPr>
          <w:rFonts w:hint="eastAsia" w:ascii="微软雅黑" w:hAnsi="微软雅黑" w:eastAsia="微软雅黑"/>
          <w:b w:val="0"/>
          <w:bCs w:val="0"/>
          <w:color w:val="auto"/>
          <w:highlight w:val="none"/>
        </w:rPr>
        <w:t>投标人应根据自身的承诺，对照招标文件要求在“偏离说明”中注明“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”或者“</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”。既不属于“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”也不属于“</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”即为“</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w:t>
      </w:r>
    </w:p>
    <w:p w14:paraId="5096AA46">
      <w:pPr>
        <w:snapToGrid w:val="0"/>
        <w:spacing w:before="50" w:after="50"/>
        <w:rPr>
          <w:rFonts w:ascii="微软雅黑" w:hAnsi="微软雅黑" w:eastAsia="微软雅黑"/>
          <w:color w:val="auto"/>
          <w:sz w:val="24"/>
          <w:highlight w:val="none"/>
        </w:rPr>
      </w:pPr>
    </w:p>
    <w:p w14:paraId="058CC4EE">
      <w:pPr>
        <w:snapToGrid w:val="0"/>
        <w:spacing w:before="50" w:after="50"/>
        <w:rPr>
          <w:rFonts w:ascii="微软雅黑" w:hAnsi="微软雅黑" w:eastAsia="微软雅黑"/>
          <w:color w:val="auto"/>
          <w:sz w:val="24"/>
          <w:highlight w:val="none"/>
        </w:rPr>
      </w:pPr>
    </w:p>
    <w:p w14:paraId="53E52001">
      <w:pPr>
        <w:snapToGrid w:val="0"/>
        <w:spacing w:before="50" w:after="50"/>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2CB5AD47">
      <w:pPr>
        <w:snapToGrid w:val="0"/>
        <w:spacing w:before="120" w:beforeLines="50"/>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208F8FE8">
      <w:pPr>
        <w:snapToGrid w:val="0"/>
        <w:spacing w:before="120" w:beforeLines="50"/>
        <w:rPr>
          <w:rFonts w:hint="eastAsia" w:ascii="微软雅黑" w:hAnsi="微软雅黑" w:eastAsia="微软雅黑"/>
          <w:color w:val="auto"/>
          <w:sz w:val="24"/>
          <w:szCs w:val="20"/>
          <w:highlight w:val="non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7CA9C112">
      <w:pPr>
        <w:snapToGrid w:val="0"/>
        <w:spacing w:before="120" w:beforeLines="50"/>
        <w:rPr>
          <w:rFonts w:hint="eastAsia" w:ascii="微软雅黑" w:hAnsi="微软雅黑" w:eastAsia="微软雅黑"/>
          <w:color w:val="auto"/>
          <w:sz w:val="24"/>
          <w:szCs w:val="20"/>
          <w:highlight w:val="none"/>
        </w:rPr>
      </w:pPr>
    </w:p>
    <w:p w14:paraId="3362DB3D">
      <w:pPr>
        <w:snapToGrid w:val="0"/>
        <w:spacing w:before="120" w:beforeLines="50" w:after="50"/>
        <w:jc w:val="left"/>
        <w:rPr>
          <w:rFonts w:ascii="微软雅黑" w:hAnsi="微软雅黑" w:eastAsia="微软雅黑"/>
          <w:color w:val="auto"/>
          <w:sz w:val="24"/>
          <w:szCs w:val="20"/>
          <w:highlight w:val="none"/>
        </w:rPr>
        <w:sectPr>
          <w:headerReference r:id="rId11" w:type="default"/>
          <w:footerReference r:id="rId12"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6520097">
      <w:pPr>
        <w:snapToGrid w:val="0"/>
        <w:spacing w:before="120" w:beforeLines="50" w:after="50"/>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7.投标人业绩证明材料</w:t>
      </w:r>
    </w:p>
    <w:p w14:paraId="71AD1A18">
      <w:pPr>
        <w:pStyle w:val="33"/>
        <w:snapToGrid w:val="0"/>
        <w:ind w:left="480" w:hanging="480"/>
        <w:rPr>
          <w:rFonts w:hint="eastAsia" w:ascii="微软雅黑" w:hAnsi="微软雅黑" w:eastAsia="微软雅黑"/>
          <w:color w:val="auto"/>
          <w:sz w:val="24"/>
          <w:highlight w:val="none"/>
        </w:rPr>
      </w:pPr>
    </w:p>
    <w:p w14:paraId="39233603">
      <w:pPr>
        <w:pStyle w:val="33"/>
        <w:snapToGrid w:val="0"/>
        <w:ind w:left="480" w:hanging="48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投标人业绩情况一览表格式： </w:t>
      </w:r>
    </w:p>
    <w:tbl>
      <w:tblPr>
        <w:tblStyle w:val="46"/>
        <w:tblW w:w="852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2"/>
        <w:gridCol w:w="1770"/>
        <w:gridCol w:w="1770"/>
        <w:gridCol w:w="2856"/>
      </w:tblGrid>
      <w:tr w14:paraId="1C07B1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132" w:type="dxa"/>
            <w:vMerge w:val="restart"/>
            <w:tcBorders>
              <w:top w:val="single" w:color="auto" w:sz="4" w:space="0"/>
              <w:left w:val="single" w:color="auto" w:sz="4" w:space="0"/>
              <w:bottom w:val="single" w:color="auto" w:sz="4" w:space="0"/>
              <w:right w:val="single" w:color="auto" w:sz="4" w:space="0"/>
            </w:tcBorders>
            <w:vAlign w:val="center"/>
          </w:tcPr>
          <w:p w14:paraId="26A23399">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032CC24A">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项目名称</w:t>
            </w:r>
          </w:p>
        </w:tc>
        <w:tc>
          <w:tcPr>
            <w:tcW w:w="1770" w:type="dxa"/>
            <w:vMerge w:val="restart"/>
            <w:tcBorders>
              <w:top w:val="single" w:color="auto" w:sz="4" w:space="0"/>
              <w:left w:val="single" w:color="auto" w:sz="4" w:space="0"/>
              <w:bottom w:val="single" w:color="auto" w:sz="4" w:space="0"/>
              <w:right w:val="single" w:color="auto" w:sz="4" w:space="0"/>
            </w:tcBorders>
            <w:vAlign w:val="center"/>
          </w:tcPr>
          <w:p w14:paraId="27AF1035">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合同金额</w:t>
            </w:r>
          </w:p>
          <w:p w14:paraId="212F58FD">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（万元）</w:t>
            </w:r>
          </w:p>
        </w:tc>
        <w:tc>
          <w:tcPr>
            <w:tcW w:w="2856" w:type="dxa"/>
            <w:vMerge w:val="restart"/>
            <w:tcBorders>
              <w:top w:val="single" w:color="auto" w:sz="4" w:space="0"/>
              <w:left w:val="single" w:color="auto" w:sz="4" w:space="0"/>
              <w:bottom w:val="single" w:color="auto" w:sz="4" w:space="0"/>
              <w:right w:val="single" w:color="auto" w:sz="4" w:space="0"/>
            </w:tcBorders>
            <w:vAlign w:val="center"/>
          </w:tcPr>
          <w:p w14:paraId="2055E293">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采购人联系人及</w:t>
            </w:r>
          </w:p>
          <w:p w14:paraId="1FD067A6">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联系电话</w:t>
            </w:r>
          </w:p>
        </w:tc>
      </w:tr>
      <w:tr w14:paraId="1472B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132" w:type="dxa"/>
            <w:vMerge w:val="continue"/>
            <w:tcBorders>
              <w:top w:val="single" w:color="auto" w:sz="4" w:space="0"/>
              <w:left w:val="single" w:color="auto" w:sz="4" w:space="0"/>
              <w:bottom w:val="single" w:color="auto" w:sz="4" w:space="0"/>
              <w:right w:val="single" w:color="auto" w:sz="4" w:space="0"/>
            </w:tcBorders>
            <w:vAlign w:val="center"/>
          </w:tcPr>
          <w:p w14:paraId="314C34BF">
            <w:pPr>
              <w:jc w:val="left"/>
              <w:rPr>
                <w:rFonts w:hint="eastAsia" w:ascii="微软雅黑" w:hAnsi="微软雅黑" w:eastAsia="微软雅黑"/>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72BCC59B">
            <w:pPr>
              <w:jc w:val="left"/>
              <w:rPr>
                <w:rFonts w:hint="eastAsia" w:ascii="微软雅黑" w:hAnsi="微软雅黑" w:eastAsia="微软雅黑"/>
                <w:color w:val="auto"/>
                <w:sz w:val="24"/>
                <w:highlight w:val="none"/>
              </w:rPr>
            </w:pPr>
          </w:p>
        </w:tc>
        <w:tc>
          <w:tcPr>
            <w:tcW w:w="1770" w:type="dxa"/>
            <w:vMerge w:val="continue"/>
            <w:tcBorders>
              <w:top w:val="single" w:color="auto" w:sz="4" w:space="0"/>
              <w:left w:val="single" w:color="auto" w:sz="4" w:space="0"/>
              <w:bottom w:val="single" w:color="auto" w:sz="4" w:space="0"/>
              <w:right w:val="single" w:color="auto" w:sz="4" w:space="0"/>
            </w:tcBorders>
            <w:vAlign w:val="center"/>
          </w:tcPr>
          <w:p w14:paraId="713A862F">
            <w:pPr>
              <w:jc w:val="left"/>
              <w:rPr>
                <w:rFonts w:hint="eastAsia" w:ascii="微软雅黑" w:hAnsi="微软雅黑" w:eastAsia="微软雅黑"/>
                <w:color w:val="auto"/>
                <w:sz w:val="24"/>
                <w:highlight w:val="none"/>
              </w:rPr>
            </w:pPr>
          </w:p>
        </w:tc>
        <w:tc>
          <w:tcPr>
            <w:tcW w:w="2856" w:type="dxa"/>
            <w:vMerge w:val="continue"/>
            <w:tcBorders>
              <w:top w:val="single" w:color="auto" w:sz="4" w:space="0"/>
              <w:left w:val="single" w:color="auto" w:sz="4" w:space="0"/>
              <w:bottom w:val="single" w:color="auto" w:sz="4" w:space="0"/>
              <w:right w:val="single" w:color="auto" w:sz="4" w:space="0"/>
            </w:tcBorders>
            <w:vAlign w:val="center"/>
          </w:tcPr>
          <w:p w14:paraId="4EFB9F63">
            <w:pPr>
              <w:jc w:val="left"/>
              <w:rPr>
                <w:rFonts w:hint="eastAsia" w:ascii="微软雅黑" w:hAnsi="微软雅黑" w:eastAsia="微软雅黑"/>
                <w:color w:val="auto"/>
                <w:sz w:val="24"/>
                <w:highlight w:val="none"/>
              </w:rPr>
            </w:pPr>
          </w:p>
        </w:tc>
      </w:tr>
      <w:tr w14:paraId="61A9B8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132" w:type="dxa"/>
            <w:tcBorders>
              <w:top w:val="single" w:color="auto" w:sz="4" w:space="0"/>
              <w:left w:val="single" w:color="auto" w:sz="4" w:space="0"/>
              <w:bottom w:val="single" w:color="auto" w:sz="4" w:space="0"/>
              <w:right w:val="single" w:color="auto" w:sz="4" w:space="0"/>
            </w:tcBorders>
            <w:vAlign w:val="top"/>
          </w:tcPr>
          <w:p w14:paraId="20C343AA">
            <w:pPr>
              <w:snapToGrid w:val="0"/>
              <w:spacing w:line="24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7CE7AABF">
            <w:pPr>
              <w:snapToGrid w:val="0"/>
              <w:spacing w:line="24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26528307">
            <w:pPr>
              <w:snapToGrid w:val="0"/>
              <w:spacing w:line="240" w:lineRule="exact"/>
              <w:jc w:val="left"/>
              <w:rPr>
                <w:rFonts w:hint="eastAsia" w:ascii="微软雅黑" w:hAnsi="微软雅黑" w:eastAsia="微软雅黑"/>
                <w:color w:val="auto"/>
                <w:sz w:val="24"/>
                <w:highlight w:val="none"/>
              </w:rPr>
            </w:pPr>
          </w:p>
        </w:tc>
        <w:tc>
          <w:tcPr>
            <w:tcW w:w="2856" w:type="dxa"/>
            <w:tcBorders>
              <w:top w:val="single" w:color="auto" w:sz="4" w:space="0"/>
              <w:left w:val="single" w:color="auto" w:sz="4" w:space="0"/>
              <w:bottom w:val="single" w:color="auto" w:sz="4" w:space="0"/>
              <w:right w:val="single" w:color="auto" w:sz="4" w:space="0"/>
            </w:tcBorders>
            <w:vAlign w:val="top"/>
          </w:tcPr>
          <w:p w14:paraId="7D8E7C0C">
            <w:pPr>
              <w:snapToGrid w:val="0"/>
              <w:spacing w:line="240" w:lineRule="exact"/>
              <w:jc w:val="left"/>
              <w:rPr>
                <w:rFonts w:hint="eastAsia" w:ascii="微软雅黑" w:hAnsi="微软雅黑" w:eastAsia="微软雅黑"/>
                <w:color w:val="auto"/>
                <w:sz w:val="24"/>
                <w:highlight w:val="none"/>
              </w:rPr>
            </w:pPr>
          </w:p>
        </w:tc>
      </w:tr>
      <w:tr w14:paraId="191B3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vAlign w:val="top"/>
          </w:tcPr>
          <w:p w14:paraId="0A48D438">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04327EF3">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0A859F3C">
            <w:pPr>
              <w:snapToGrid w:val="0"/>
              <w:spacing w:before="50" w:after="120" w:afterLines="50" w:line="400" w:lineRule="exact"/>
              <w:jc w:val="left"/>
              <w:rPr>
                <w:rFonts w:hint="eastAsia" w:ascii="微软雅黑" w:hAnsi="微软雅黑" w:eastAsia="微软雅黑"/>
                <w:color w:val="auto"/>
                <w:sz w:val="24"/>
                <w:highlight w:val="none"/>
              </w:rPr>
            </w:pPr>
          </w:p>
        </w:tc>
        <w:tc>
          <w:tcPr>
            <w:tcW w:w="2856" w:type="dxa"/>
            <w:tcBorders>
              <w:top w:val="single" w:color="auto" w:sz="4" w:space="0"/>
              <w:left w:val="single" w:color="auto" w:sz="4" w:space="0"/>
              <w:bottom w:val="single" w:color="auto" w:sz="4" w:space="0"/>
              <w:right w:val="single" w:color="auto" w:sz="4" w:space="0"/>
            </w:tcBorders>
            <w:vAlign w:val="top"/>
          </w:tcPr>
          <w:p w14:paraId="6D025D13">
            <w:pPr>
              <w:snapToGrid w:val="0"/>
              <w:spacing w:before="50" w:after="120" w:afterLines="50" w:line="400" w:lineRule="exact"/>
              <w:jc w:val="left"/>
              <w:rPr>
                <w:rFonts w:hint="eastAsia" w:ascii="微软雅黑" w:hAnsi="微软雅黑" w:eastAsia="微软雅黑"/>
                <w:color w:val="auto"/>
                <w:sz w:val="24"/>
                <w:highlight w:val="none"/>
              </w:rPr>
            </w:pPr>
          </w:p>
        </w:tc>
      </w:tr>
      <w:tr w14:paraId="4832D4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132" w:type="dxa"/>
            <w:tcBorders>
              <w:top w:val="single" w:color="auto" w:sz="4" w:space="0"/>
              <w:left w:val="single" w:color="auto" w:sz="4" w:space="0"/>
              <w:bottom w:val="single" w:color="auto" w:sz="4" w:space="0"/>
              <w:right w:val="single" w:color="auto" w:sz="4" w:space="0"/>
            </w:tcBorders>
            <w:vAlign w:val="top"/>
          </w:tcPr>
          <w:p w14:paraId="2005993A">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0E71AD16">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3174788E">
            <w:pPr>
              <w:snapToGrid w:val="0"/>
              <w:spacing w:before="50" w:after="120" w:afterLines="50" w:line="400" w:lineRule="exact"/>
              <w:jc w:val="left"/>
              <w:rPr>
                <w:rFonts w:hint="eastAsia" w:ascii="微软雅黑" w:hAnsi="微软雅黑" w:eastAsia="微软雅黑"/>
                <w:color w:val="auto"/>
                <w:sz w:val="24"/>
                <w:highlight w:val="none"/>
              </w:rPr>
            </w:pPr>
          </w:p>
        </w:tc>
        <w:tc>
          <w:tcPr>
            <w:tcW w:w="2856" w:type="dxa"/>
            <w:tcBorders>
              <w:top w:val="single" w:color="auto" w:sz="4" w:space="0"/>
              <w:left w:val="single" w:color="auto" w:sz="4" w:space="0"/>
              <w:bottom w:val="single" w:color="auto" w:sz="4" w:space="0"/>
              <w:right w:val="single" w:color="auto" w:sz="4" w:space="0"/>
            </w:tcBorders>
            <w:vAlign w:val="top"/>
          </w:tcPr>
          <w:p w14:paraId="6453D416">
            <w:pPr>
              <w:snapToGrid w:val="0"/>
              <w:spacing w:before="50" w:after="120" w:afterLines="50" w:line="400" w:lineRule="exact"/>
              <w:jc w:val="left"/>
              <w:rPr>
                <w:rFonts w:hint="eastAsia" w:ascii="微软雅黑" w:hAnsi="微软雅黑" w:eastAsia="微软雅黑"/>
                <w:color w:val="auto"/>
                <w:sz w:val="24"/>
                <w:highlight w:val="none"/>
              </w:rPr>
            </w:pPr>
          </w:p>
        </w:tc>
      </w:tr>
      <w:tr w14:paraId="78836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vAlign w:val="top"/>
          </w:tcPr>
          <w:p w14:paraId="5BDB4D69">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05895EC7">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6C321765">
            <w:pPr>
              <w:snapToGrid w:val="0"/>
              <w:spacing w:before="50" w:after="120" w:afterLines="50" w:line="400" w:lineRule="exact"/>
              <w:jc w:val="left"/>
              <w:rPr>
                <w:rFonts w:hint="eastAsia" w:ascii="微软雅黑" w:hAnsi="微软雅黑" w:eastAsia="微软雅黑"/>
                <w:color w:val="auto"/>
                <w:sz w:val="24"/>
                <w:highlight w:val="none"/>
              </w:rPr>
            </w:pPr>
          </w:p>
        </w:tc>
        <w:tc>
          <w:tcPr>
            <w:tcW w:w="2856" w:type="dxa"/>
            <w:tcBorders>
              <w:top w:val="single" w:color="auto" w:sz="4" w:space="0"/>
              <w:left w:val="single" w:color="auto" w:sz="4" w:space="0"/>
              <w:bottom w:val="single" w:color="auto" w:sz="4" w:space="0"/>
              <w:right w:val="single" w:color="auto" w:sz="4" w:space="0"/>
            </w:tcBorders>
            <w:vAlign w:val="top"/>
          </w:tcPr>
          <w:p w14:paraId="7399C187">
            <w:pPr>
              <w:snapToGrid w:val="0"/>
              <w:spacing w:before="50" w:after="120" w:afterLines="50" w:line="400" w:lineRule="exact"/>
              <w:jc w:val="left"/>
              <w:rPr>
                <w:rFonts w:hint="eastAsia" w:ascii="微软雅黑" w:hAnsi="微软雅黑" w:eastAsia="微软雅黑"/>
                <w:color w:val="auto"/>
                <w:sz w:val="24"/>
                <w:highlight w:val="none"/>
              </w:rPr>
            </w:pPr>
          </w:p>
        </w:tc>
      </w:tr>
      <w:tr w14:paraId="67AAE1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32" w:type="dxa"/>
            <w:tcBorders>
              <w:top w:val="single" w:color="auto" w:sz="4" w:space="0"/>
              <w:left w:val="single" w:color="auto" w:sz="4" w:space="0"/>
              <w:bottom w:val="single" w:color="auto" w:sz="4" w:space="0"/>
              <w:right w:val="single" w:color="auto" w:sz="4" w:space="0"/>
            </w:tcBorders>
            <w:vAlign w:val="top"/>
          </w:tcPr>
          <w:p w14:paraId="33E4CE6A">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21DFBA70">
            <w:pPr>
              <w:snapToGrid w:val="0"/>
              <w:spacing w:before="50" w:after="120" w:afterLines="50" w:line="400" w:lineRule="exact"/>
              <w:jc w:val="left"/>
              <w:rPr>
                <w:rFonts w:hint="eastAsia" w:ascii="微软雅黑" w:hAnsi="微软雅黑" w:eastAsia="微软雅黑"/>
                <w:color w:val="auto"/>
                <w:sz w:val="24"/>
                <w:highlight w:val="none"/>
              </w:rPr>
            </w:pPr>
          </w:p>
        </w:tc>
        <w:tc>
          <w:tcPr>
            <w:tcW w:w="1770" w:type="dxa"/>
            <w:tcBorders>
              <w:top w:val="single" w:color="auto" w:sz="4" w:space="0"/>
              <w:left w:val="single" w:color="auto" w:sz="4" w:space="0"/>
              <w:bottom w:val="single" w:color="auto" w:sz="4" w:space="0"/>
              <w:right w:val="single" w:color="auto" w:sz="4" w:space="0"/>
            </w:tcBorders>
            <w:vAlign w:val="top"/>
          </w:tcPr>
          <w:p w14:paraId="0C03FCC7">
            <w:pPr>
              <w:snapToGrid w:val="0"/>
              <w:spacing w:before="50" w:after="120" w:afterLines="50" w:line="400" w:lineRule="exact"/>
              <w:jc w:val="left"/>
              <w:rPr>
                <w:rFonts w:hint="eastAsia" w:ascii="微软雅黑" w:hAnsi="微软雅黑" w:eastAsia="微软雅黑"/>
                <w:color w:val="auto"/>
                <w:sz w:val="24"/>
                <w:highlight w:val="none"/>
              </w:rPr>
            </w:pPr>
          </w:p>
        </w:tc>
        <w:tc>
          <w:tcPr>
            <w:tcW w:w="2856" w:type="dxa"/>
            <w:tcBorders>
              <w:top w:val="single" w:color="auto" w:sz="4" w:space="0"/>
              <w:left w:val="single" w:color="auto" w:sz="4" w:space="0"/>
              <w:bottom w:val="single" w:color="auto" w:sz="4" w:space="0"/>
              <w:right w:val="single" w:color="auto" w:sz="4" w:space="0"/>
            </w:tcBorders>
            <w:vAlign w:val="top"/>
          </w:tcPr>
          <w:p w14:paraId="02A245AC">
            <w:pPr>
              <w:snapToGrid w:val="0"/>
              <w:spacing w:before="50" w:after="120" w:afterLines="50" w:line="400" w:lineRule="exact"/>
              <w:jc w:val="left"/>
              <w:rPr>
                <w:rFonts w:hint="eastAsia" w:ascii="微软雅黑" w:hAnsi="微软雅黑" w:eastAsia="微软雅黑"/>
                <w:color w:val="auto"/>
                <w:sz w:val="24"/>
                <w:highlight w:val="none"/>
              </w:rPr>
            </w:pPr>
          </w:p>
        </w:tc>
      </w:tr>
    </w:tbl>
    <w:p w14:paraId="49331CBF">
      <w:pPr>
        <w:pStyle w:val="14"/>
        <w:spacing w:before="0" w:after="0" w:line="360" w:lineRule="auto"/>
        <w:contextualSpacing/>
        <w:rPr>
          <w:rFonts w:hint="eastAsia" w:ascii="微软雅黑" w:hAnsi="微软雅黑" w:eastAsia="微软雅黑"/>
          <w:color w:val="auto"/>
          <w:sz w:val="24"/>
          <w:szCs w:val="24"/>
          <w:highlight w:val="none"/>
        </w:rPr>
      </w:pPr>
    </w:p>
    <w:p w14:paraId="5518E999">
      <w:pPr>
        <w:pStyle w:val="14"/>
        <w:spacing w:before="0" w:after="0" w:line="360" w:lineRule="auto"/>
        <w:contextualSpacing/>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注：</w:t>
      </w:r>
      <w:r>
        <w:rPr>
          <w:rFonts w:hint="eastAsia" w:ascii="微软雅黑" w:hAnsi="微软雅黑" w:eastAsia="微软雅黑"/>
          <w:color w:val="auto"/>
          <w:sz w:val="24"/>
          <w:highlight w:val="none"/>
        </w:rPr>
        <w:t>投标人根据评标标准具体要求附业绩证明材料。</w:t>
      </w:r>
    </w:p>
    <w:p w14:paraId="70526A4A">
      <w:pPr>
        <w:pStyle w:val="14"/>
        <w:spacing w:before="0" w:after="0" w:line="360" w:lineRule="auto"/>
        <w:contextualSpacing/>
        <w:jc w:val="left"/>
        <w:rPr>
          <w:rFonts w:hint="eastAsia" w:ascii="微软雅黑" w:hAnsi="微软雅黑" w:eastAsia="微软雅黑"/>
          <w:color w:val="auto"/>
          <w:sz w:val="24"/>
          <w:szCs w:val="24"/>
          <w:highlight w:val="none"/>
          <w:u w:val="single"/>
        </w:rPr>
      </w:pPr>
      <w:r>
        <w:rPr>
          <w:rFonts w:hint="eastAsia" w:ascii="微软雅黑" w:hAnsi="微软雅黑" w:eastAsia="微软雅黑"/>
          <w:color w:val="auto"/>
          <w:sz w:val="24"/>
          <w:szCs w:val="24"/>
          <w:highlight w:val="none"/>
        </w:rPr>
        <w:t>法定代表人或者委托代理人（签字或者电子签名）：</w:t>
      </w:r>
      <w:r>
        <w:rPr>
          <w:rFonts w:hint="eastAsia" w:ascii="微软雅黑" w:hAnsi="微软雅黑" w:eastAsia="微软雅黑"/>
          <w:color w:val="auto"/>
          <w:sz w:val="24"/>
          <w:szCs w:val="24"/>
          <w:highlight w:val="none"/>
          <w:u w:val="single"/>
        </w:rPr>
        <w:t>　　　　　</w:t>
      </w:r>
    </w:p>
    <w:p w14:paraId="58CF1B8A">
      <w:pPr>
        <w:spacing w:line="360" w:lineRule="auto"/>
        <w:ind w:right="480"/>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s="Arial"/>
          <w:color w:val="auto"/>
          <w:sz w:val="24"/>
          <w:highlight w:val="none"/>
        </w:rPr>
        <w:t xml:space="preserve">投标人名称（电子签章）： </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 xml:space="preserve">                                                               年    月    日</w:t>
      </w:r>
    </w:p>
    <w:p w14:paraId="6FBB32B8">
      <w:pPr>
        <w:snapToGrid w:val="0"/>
        <w:spacing w:line="360" w:lineRule="auto"/>
        <w:ind w:right="480"/>
        <w:jc w:val="left"/>
        <w:rPr>
          <w:rFonts w:ascii="微软雅黑" w:hAnsi="微软雅黑" w:eastAsia="微软雅黑"/>
          <w:color w:val="auto"/>
          <w:szCs w:val="21"/>
          <w:highlight w:val="none"/>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sectPr>
      </w:pPr>
    </w:p>
    <w:p w14:paraId="09157274">
      <w:pPr>
        <w:snapToGrid w:val="0"/>
        <w:spacing w:before="120" w:beforeLines="50" w:after="50"/>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lang w:val="en-US" w:eastAsia="zh-CN"/>
        </w:rPr>
        <w:t>8.</w:t>
      </w:r>
      <w:r>
        <w:rPr>
          <w:rFonts w:hint="eastAsia" w:ascii="微软雅黑" w:hAnsi="微软雅黑" w:eastAsia="微软雅黑"/>
          <w:b/>
          <w:color w:val="auto"/>
          <w:sz w:val="24"/>
          <w:highlight w:val="none"/>
        </w:rPr>
        <w:t>技术要求偏离表格式</w:t>
      </w:r>
    </w:p>
    <w:p w14:paraId="0DE6E33F">
      <w:pPr>
        <w:snapToGrid w:val="0"/>
        <w:spacing w:before="120" w:beforeLines="50" w:after="50"/>
        <w:ind w:left="142"/>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技术要求偏离表</w:t>
      </w:r>
    </w:p>
    <w:p w14:paraId="2813CAB6">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tbl>
      <w:tblPr>
        <w:tblStyle w:val="4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1E54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68B1E591">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项号</w:t>
            </w:r>
          </w:p>
        </w:tc>
        <w:tc>
          <w:tcPr>
            <w:tcW w:w="2143" w:type="dxa"/>
            <w:vAlign w:val="center"/>
          </w:tcPr>
          <w:p w14:paraId="39D23819">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标的的名称</w:t>
            </w:r>
          </w:p>
        </w:tc>
        <w:tc>
          <w:tcPr>
            <w:tcW w:w="1834" w:type="dxa"/>
            <w:vAlign w:val="center"/>
          </w:tcPr>
          <w:p w14:paraId="02ADF30D">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技术要求</w:t>
            </w:r>
          </w:p>
        </w:tc>
        <w:tc>
          <w:tcPr>
            <w:tcW w:w="2181" w:type="dxa"/>
            <w:vAlign w:val="center"/>
          </w:tcPr>
          <w:p w14:paraId="79896645">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投标响应</w:t>
            </w:r>
          </w:p>
        </w:tc>
        <w:tc>
          <w:tcPr>
            <w:tcW w:w="1934" w:type="dxa"/>
            <w:vAlign w:val="center"/>
          </w:tcPr>
          <w:p w14:paraId="3BA84380">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偏离说明</w:t>
            </w:r>
          </w:p>
        </w:tc>
      </w:tr>
      <w:tr w14:paraId="5362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11E0EF85">
            <w:pPr>
              <w:pStyle w:val="23"/>
              <w:spacing w:line="600" w:lineRule="exact"/>
              <w:jc w:val="center"/>
              <w:rPr>
                <w:rFonts w:hint="eastAsia" w:ascii="微软雅黑" w:hAnsi="微软雅黑" w:eastAsia="微软雅黑" w:cs="Courier New"/>
                <w:color w:val="auto"/>
                <w:kern w:val="2"/>
                <w:sz w:val="24"/>
                <w:szCs w:val="24"/>
                <w:highlight w:val="none"/>
              </w:rPr>
            </w:pPr>
          </w:p>
        </w:tc>
        <w:tc>
          <w:tcPr>
            <w:tcW w:w="2143" w:type="dxa"/>
            <w:vAlign w:val="center"/>
          </w:tcPr>
          <w:p w14:paraId="2E3D4DC4">
            <w:pPr>
              <w:pStyle w:val="23"/>
              <w:spacing w:line="600" w:lineRule="exact"/>
              <w:jc w:val="center"/>
              <w:rPr>
                <w:rFonts w:hint="eastAsia" w:ascii="微软雅黑" w:hAnsi="微软雅黑" w:eastAsia="微软雅黑" w:cs="Courier New"/>
                <w:color w:val="auto"/>
                <w:kern w:val="2"/>
                <w:sz w:val="24"/>
                <w:szCs w:val="24"/>
                <w:highlight w:val="none"/>
              </w:rPr>
            </w:pPr>
          </w:p>
        </w:tc>
        <w:tc>
          <w:tcPr>
            <w:tcW w:w="1834" w:type="dxa"/>
            <w:vAlign w:val="center"/>
          </w:tcPr>
          <w:p w14:paraId="1CDDEFE3">
            <w:pPr>
              <w:pStyle w:val="23"/>
              <w:spacing w:line="600" w:lineRule="exact"/>
              <w:jc w:val="center"/>
              <w:rPr>
                <w:rFonts w:hint="eastAsia" w:ascii="微软雅黑" w:hAnsi="微软雅黑" w:eastAsia="微软雅黑" w:cs="Courier New"/>
                <w:color w:val="auto"/>
                <w:kern w:val="2"/>
                <w:sz w:val="24"/>
                <w:szCs w:val="24"/>
                <w:highlight w:val="none"/>
              </w:rPr>
            </w:pPr>
          </w:p>
        </w:tc>
        <w:tc>
          <w:tcPr>
            <w:tcW w:w="2181" w:type="dxa"/>
            <w:vAlign w:val="center"/>
          </w:tcPr>
          <w:p w14:paraId="4158F98B">
            <w:pPr>
              <w:pStyle w:val="23"/>
              <w:spacing w:line="600" w:lineRule="exact"/>
              <w:jc w:val="center"/>
              <w:rPr>
                <w:rFonts w:hint="eastAsia" w:ascii="微软雅黑" w:hAnsi="微软雅黑" w:eastAsia="微软雅黑" w:cs="Courier New"/>
                <w:color w:val="auto"/>
                <w:kern w:val="2"/>
                <w:sz w:val="24"/>
                <w:szCs w:val="24"/>
                <w:highlight w:val="none"/>
              </w:rPr>
            </w:pPr>
          </w:p>
        </w:tc>
        <w:tc>
          <w:tcPr>
            <w:tcW w:w="1934" w:type="dxa"/>
            <w:vAlign w:val="center"/>
          </w:tcPr>
          <w:p w14:paraId="63A56DAE">
            <w:pPr>
              <w:pStyle w:val="23"/>
              <w:spacing w:line="600" w:lineRule="exact"/>
              <w:jc w:val="center"/>
              <w:rPr>
                <w:rFonts w:hint="eastAsia" w:ascii="微软雅黑" w:hAnsi="微软雅黑" w:eastAsia="微软雅黑" w:cs="Courier New"/>
                <w:color w:val="auto"/>
                <w:kern w:val="2"/>
                <w:sz w:val="24"/>
                <w:szCs w:val="24"/>
                <w:highlight w:val="none"/>
              </w:rPr>
            </w:pPr>
          </w:p>
        </w:tc>
      </w:tr>
      <w:tr w14:paraId="19F6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45A5DAFC">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227EE7AF">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7EC2DE9B">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779AC394">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6A87338B">
            <w:pPr>
              <w:pStyle w:val="23"/>
              <w:spacing w:line="600" w:lineRule="exact"/>
              <w:rPr>
                <w:rFonts w:hint="eastAsia" w:ascii="微软雅黑" w:hAnsi="微软雅黑" w:eastAsia="微软雅黑" w:cs="Courier New"/>
                <w:color w:val="auto"/>
                <w:kern w:val="2"/>
                <w:sz w:val="24"/>
                <w:szCs w:val="24"/>
                <w:highlight w:val="none"/>
              </w:rPr>
            </w:pPr>
          </w:p>
        </w:tc>
      </w:tr>
      <w:tr w14:paraId="0B94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31BA9617">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3131F7AF">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4B2560C9">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04DE33F9">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53528160">
            <w:pPr>
              <w:pStyle w:val="23"/>
              <w:spacing w:line="600" w:lineRule="exact"/>
              <w:rPr>
                <w:rFonts w:hint="eastAsia" w:ascii="微软雅黑" w:hAnsi="微软雅黑" w:eastAsia="微软雅黑" w:cs="Courier New"/>
                <w:color w:val="auto"/>
                <w:kern w:val="2"/>
                <w:sz w:val="24"/>
                <w:szCs w:val="24"/>
                <w:highlight w:val="none"/>
              </w:rPr>
            </w:pPr>
          </w:p>
        </w:tc>
      </w:tr>
      <w:tr w14:paraId="4EBF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28FDB870">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1193347C">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522A476C">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3557D92D">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125AE789">
            <w:pPr>
              <w:pStyle w:val="23"/>
              <w:spacing w:line="600" w:lineRule="exact"/>
              <w:rPr>
                <w:rFonts w:hint="eastAsia" w:ascii="微软雅黑" w:hAnsi="微软雅黑" w:eastAsia="微软雅黑" w:cs="Courier New"/>
                <w:color w:val="auto"/>
                <w:kern w:val="2"/>
                <w:sz w:val="24"/>
                <w:szCs w:val="24"/>
                <w:highlight w:val="none"/>
              </w:rPr>
            </w:pPr>
          </w:p>
        </w:tc>
      </w:tr>
      <w:tr w14:paraId="5401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7494F3F5">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2A674340">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3A20ED38">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65D63B5E">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1368874A">
            <w:pPr>
              <w:pStyle w:val="23"/>
              <w:spacing w:line="600" w:lineRule="exact"/>
              <w:rPr>
                <w:rFonts w:hint="eastAsia" w:ascii="微软雅黑" w:hAnsi="微软雅黑" w:eastAsia="微软雅黑" w:cs="Courier New"/>
                <w:color w:val="auto"/>
                <w:kern w:val="2"/>
                <w:sz w:val="24"/>
                <w:szCs w:val="24"/>
                <w:highlight w:val="none"/>
              </w:rPr>
            </w:pPr>
          </w:p>
        </w:tc>
      </w:tr>
      <w:tr w14:paraId="48FD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32B3474B">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4A219B36">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421DEC5A">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67B13F7F">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74BE293C">
            <w:pPr>
              <w:pStyle w:val="23"/>
              <w:spacing w:line="600" w:lineRule="exact"/>
              <w:rPr>
                <w:rFonts w:hint="eastAsia" w:ascii="微软雅黑" w:hAnsi="微软雅黑" w:eastAsia="微软雅黑" w:cs="Courier New"/>
                <w:color w:val="auto"/>
                <w:kern w:val="2"/>
                <w:sz w:val="24"/>
                <w:szCs w:val="24"/>
                <w:highlight w:val="none"/>
              </w:rPr>
            </w:pPr>
          </w:p>
        </w:tc>
      </w:tr>
      <w:tr w14:paraId="731D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top"/>
          </w:tcPr>
          <w:p w14:paraId="33FDA06F">
            <w:pPr>
              <w:pStyle w:val="23"/>
              <w:spacing w:line="600" w:lineRule="exact"/>
              <w:rPr>
                <w:rFonts w:hint="eastAsia" w:ascii="微软雅黑" w:hAnsi="微软雅黑" w:eastAsia="微软雅黑" w:cs="Courier New"/>
                <w:color w:val="auto"/>
                <w:kern w:val="2"/>
                <w:sz w:val="24"/>
                <w:szCs w:val="24"/>
                <w:highlight w:val="none"/>
              </w:rPr>
            </w:pPr>
          </w:p>
        </w:tc>
        <w:tc>
          <w:tcPr>
            <w:tcW w:w="2143" w:type="dxa"/>
            <w:vAlign w:val="top"/>
          </w:tcPr>
          <w:p w14:paraId="7694129E">
            <w:pPr>
              <w:pStyle w:val="23"/>
              <w:spacing w:line="600" w:lineRule="exact"/>
              <w:rPr>
                <w:rFonts w:hint="eastAsia" w:ascii="微软雅黑" w:hAnsi="微软雅黑" w:eastAsia="微软雅黑" w:cs="Courier New"/>
                <w:color w:val="auto"/>
                <w:kern w:val="2"/>
                <w:sz w:val="24"/>
                <w:szCs w:val="24"/>
                <w:highlight w:val="none"/>
              </w:rPr>
            </w:pPr>
          </w:p>
        </w:tc>
        <w:tc>
          <w:tcPr>
            <w:tcW w:w="1834" w:type="dxa"/>
            <w:vAlign w:val="top"/>
          </w:tcPr>
          <w:p w14:paraId="1DB2F6BF">
            <w:pPr>
              <w:pStyle w:val="23"/>
              <w:spacing w:line="600" w:lineRule="exact"/>
              <w:rPr>
                <w:rFonts w:hint="eastAsia" w:ascii="微软雅黑" w:hAnsi="微软雅黑" w:eastAsia="微软雅黑" w:cs="Courier New"/>
                <w:color w:val="auto"/>
                <w:kern w:val="2"/>
                <w:sz w:val="24"/>
                <w:szCs w:val="24"/>
                <w:highlight w:val="none"/>
              </w:rPr>
            </w:pPr>
          </w:p>
        </w:tc>
        <w:tc>
          <w:tcPr>
            <w:tcW w:w="2181" w:type="dxa"/>
            <w:vAlign w:val="top"/>
          </w:tcPr>
          <w:p w14:paraId="05C83023">
            <w:pPr>
              <w:pStyle w:val="23"/>
              <w:spacing w:line="600" w:lineRule="exact"/>
              <w:rPr>
                <w:rFonts w:hint="eastAsia" w:ascii="微软雅黑" w:hAnsi="微软雅黑" w:eastAsia="微软雅黑" w:cs="Courier New"/>
                <w:color w:val="auto"/>
                <w:kern w:val="2"/>
                <w:sz w:val="24"/>
                <w:szCs w:val="24"/>
                <w:highlight w:val="none"/>
              </w:rPr>
            </w:pPr>
          </w:p>
        </w:tc>
        <w:tc>
          <w:tcPr>
            <w:tcW w:w="1934" w:type="dxa"/>
            <w:vAlign w:val="top"/>
          </w:tcPr>
          <w:p w14:paraId="27095AD1">
            <w:pPr>
              <w:pStyle w:val="23"/>
              <w:spacing w:line="600" w:lineRule="exact"/>
              <w:rPr>
                <w:rFonts w:hint="eastAsia" w:ascii="微软雅黑" w:hAnsi="微软雅黑" w:eastAsia="微软雅黑" w:cs="Courier New"/>
                <w:color w:val="auto"/>
                <w:kern w:val="2"/>
                <w:sz w:val="24"/>
                <w:szCs w:val="24"/>
                <w:highlight w:val="none"/>
              </w:rPr>
            </w:pPr>
          </w:p>
        </w:tc>
      </w:tr>
    </w:tbl>
    <w:p w14:paraId="016D2987">
      <w:pPr>
        <w:pStyle w:val="16"/>
        <w:spacing w:line="360" w:lineRule="auto"/>
        <w:contextualSpacing/>
        <w:rPr>
          <w:rFonts w:hint="eastAsia" w:ascii="微软雅黑" w:hAnsi="微软雅黑" w:eastAsia="微软雅黑"/>
          <w:color w:val="auto"/>
          <w:highlight w:val="none"/>
        </w:rPr>
      </w:pPr>
      <w:r>
        <w:rPr>
          <w:rFonts w:hint="eastAsia" w:ascii="微软雅黑" w:hAnsi="微软雅黑" w:eastAsia="微软雅黑"/>
          <w:color w:val="auto"/>
          <w:highlight w:val="none"/>
        </w:rPr>
        <w:t>注：</w:t>
      </w:r>
    </w:p>
    <w:p w14:paraId="2AF1B8F2">
      <w:pPr>
        <w:pStyle w:val="18"/>
        <w:spacing w:line="360" w:lineRule="auto"/>
        <w:ind w:firstLine="0" w:firstLineChars="0"/>
        <w:contextualSpacing/>
        <w:rPr>
          <w:rFonts w:hint="eastAsia" w:ascii="微软雅黑" w:hAnsi="微软雅黑" w:eastAsia="微软雅黑" w:cs="仿宋_GB2312"/>
          <w:color w:val="auto"/>
          <w:szCs w:val="32"/>
          <w:highlight w:val="none"/>
        </w:rPr>
      </w:pPr>
      <w:r>
        <w:rPr>
          <w:rFonts w:hint="eastAsia" w:ascii="微软雅黑" w:hAnsi="微软雅黑" w:eastAsia="微软雅黑"/>
          <w:color w:val="auto"/>
          <w:sz w:val="24"/>
          <w:szCs w:val="24"/>
          <w:highlight w:val="none"/>
        </w:rPr>
        <w:t>1. 说明：应对照招标文件“第二章 采购需求”中的技术要求逐条作明确的投标响应，并作出偏离说明。</w:t>
      </w:r>
    </w:p>
    <w:p w14:paraId="7D537977">
      <w:pPr>
        <w:pStyle w:val="16"/>
        <w:spacing w:line="360" w:lineRule="auto"/>
        <w:contextualSpacing/>
        <w:rPr>
          <w:rFonts w:hint="eastAsia" w:ascii="微软雅黑" w:hAnsi="微软雅黑" w:eastAsia="微软雅黑"/>
          <w:color w:val="auto"/>
          <w:highlight w:val="none"/>
        </w:rPr>
      </w:pPr>
      <w:r>
        <w:rPr>
          <w:rFonts w:ascii="微软雅黑" w:hAnsi="微软雅黑" w:eastAsia="微软雅黑"/>
          <w:b w:val="0"/>
          <w:bCs w:val="0"/>
          <w:color w:val="auto"/>
          <w:highlight w:val="none"/>
        </w:rPr>
        <w:t>2.</w:t>
      </w:r>
      <w:r>
        <w:rPr>
          <w:rFonts w:hint="eastAsia" w:ascii="微软雅黑" w:hAnsi="微软雅黑" w:eastAsia="微软雅黑"/>
          <w:b w:val="0"/>
          <w:bCs w:val="0"/>
          <w:color w:val="auto"/>
          <w:highlight w:val="none"/>
        </w:rPr>
        <w:t>投标人应根据自身的承诺，对照招标文件要求，在“偏离说明”中注明“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”或者“</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”。既不属于“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”也不属于“</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”即为“</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w:t>
      </w:r>
    </w:p>
    <w:p w14:paraId="749F59E2">
      <w:pPr>
        <w:pStyle w:val="16"/>
        <w:spacing w:line="360" w:lineRule="auto"/>
        <w:contextualSpacing/>
        <w:rPr>
          <w:rFonts w:hint="eastAsia" w:ascii="微软雅黑" w:hAnsi="微软雅黑" w:eastAsia="微软雅黑"/>
          <w:color w:val="auto"/>
          <w:spacing w:val="20"/>
          <w:highlight w:val="none"/>
        </w:rPr>
      </w:pPr>
    </w:p>
    <w:p w14:paraId="7D3E4B19">
      <w:pPr>
        <w:spacing w:line="360" w:lineRule="auto"/>
        <w:contextualSpacing/>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3EBB9D06">
      <w:pPr>
        <w:spacing w:line="360" w:lineRule="auto"/>
        <w:contextualSpacing/>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1552A09D">
      <w:pPr>
        <w:spacing w:line="360" w:lineRule="auto"/>
        <w:contextualSpacing/>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47E7BAEF">
      <w:pPr>
        <w:spacing w:line="360" w:lineRule="auto"/>
        <w:contextualSpacing/>
        <w:rPr>
          <w:rFonts w:hint="eastAsia" w:ascii="微软雅黑" w:hAnsi="微软雅黑" w:eastAsia="微软雅黑"/>
          <w:color w:val="auto"/>
          <w:sz w:val="24"/>
          <w:szCs w:val="20"/>
          <w:highlight w:val="none"/>
        </w:rPr>
      </w:pPr>
    </w:p>
    <w:p w14:paraId="0F17F5A9">
      <w:pPr>
        <w:snapToGrid w:val="0"/>
        <w:spacing w:before="120" w:beforeLines="50" w:after="50"/>
        <w:ind w:left="142"/>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lang w:val="en-US" w:eastAsia="zh-CN"/>
        </w:rPr>
        <w:t>9.</w:t>
      </w:r>
      <w:r>
        <w:rPr>
          <w:rFonts w:hint="eastAsia" w:ascii="微软雅黑" w:hAnsi="微软雅黑" w:eastAsia="微软雅黑"/>
          <w:b/>
          <w:color w:val="auto"/>
          <w:sz w:val="24"/>
          <w:highlight w:val="none"/>
        </w:rPr>
        <w:t>项目实施人员一览表格式</w:t>
      </w:r>
    </w:p>
    <w:p w14:paraId="2C515CFF">
      <w:pPr>
        <w:snapToGrid w:val="0"/>
        <w:spacing w:before="120" w:beforeLines="50" w:after="50"/>
        <w:ind w:left="142"/>
        <w:jc w:val="left"/>
        <w:rPr>
          <w:rFonts w:hint="eastAsia" w:ascii="微软雅黑" w:hAnsi="微软雅黑" w:eastAsia="微软雅黑"/>
          <w:b/>
          <w:color w:val="auto"/>
          <w:sz w:val="24"/>
          <w:highlight w:val="none"/>
        </w:rPr>
      </w:pPr>
    </w:p>
    <w:p w14:paraId="149AC990">
      <w:pPr>
        <w:snapToGrid w:val="0"/>
        <w:spacing w:before="120" w:beforeLines="50" w:after="50"/>
        <w:ind w:left="142"/>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项目实施人员一览表</w:t>
      </w:r>
    </w:p>
    <w:p w14:paraId="0B0545CD">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tbl>
      <w:tblPr>
        <w:tblStyle w:val="46"/>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534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4A42AB">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姓名</w:t>
            </w:r>
          </w:p>
        </w:tc>
        <w:tc>
          <w:tcPr>
            <w:tcW w:w="709" w:type="dxa"/>
            <w:vAlign w:val="center"/>
          </w:tcPr>
          <w:p w14:paraId="0805DBA6">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职务</w:t>
            </w:r>
          </w:p>
        </w:tc>
        <w:tc>
          <w:tcPr>
            <w:tcW w:w="1701" w:type="dxa"/>
            <w:vAlign w:val="center"/>
          </w:tcPr>
          <w:p w14:paraId="1F9DCF80">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专业技术资格（职称）或者职业资格或者执业资格证或者其他证书</w:t>
            </w:r>
          </w:p>
        </w:tc>
        <w:tc>
          <w:tcPr>
            <w:tcW w:w="1420" w:type="dxa"/>
            <w:vAlign w:val="center"/>
          </w:tcPr>
          <w:p w14:paraId="61889AB3">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证书编号</w:t>
            </w:r>
          </w:p>
        </w:tc>
        <w:tc>
          <w:tcPr>
            <w:tcW w:w="1698" w:type="dxa"/>
            <w:vAlign w:val="center"/>
          </w:tcPr>
          <w:p w14:paraId="6EB7B8E9">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参加本单位</w:t>
            </w:r>
          </w:p>
          <w:p w14:paraId="4968FEEC">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工作时间</w:t>
            </w:r>
          </w:p>
        </w:tc>
        <w:tc>
          <w:tcPr>
            <w:tcW w:w="1843" w:type="dxa"/>
            <w:vAlign w:val="center"/>
          </w:tcPr>
          <w:p w14:paraId="6E7FFB5D">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劳动合同编号</w:t>
            </w:r>
          </w:p>
        </w:tc>
      </w:tr>
      <w:tr w14:paraId="48C4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6911">
            <w:pPr>
              <w:snapToGrid w:val="0"/>
              <w:spacing w:before="50" w:after="120" w:afterLines="50"/>
              <w:jc w:val="center"/>
              <w:rPr>
                <w:rFonts w:hint="eastAsia" w:ascii="微软雅黑" w:hAnsi="微软雅黑" w:eastAsia="微软雅黑"/>
                <w:color w:val="auto"/>
                <w:sz w:val="24"/>
                <w:szCs w:val="20"/>
                <w:highlight w:val="none"/>
              </w:rPr>
            </w:pPr>
          </w:p>
        </w:tc>
        <w:tc>
          <w:tcPr>
            <w:tcW w:w="709" w:type="dxa"/>
            <w:vAlign w:val="center"/>
          </w:tcPr>
          <w:p w14:paraId="57622562">
            <w:pPr>
              <w:snapToGrid w:val="0"/>
              <w:spacing w:before="50" w:after="120" w:afterLines="50"/>
              <w:jc w:val="center"/>
              <w:rPr>
                <w:rFonts w:hint="eastAsia" w:ascii="微软雅黑" w:hAnsi="微软雅黑" w:eastAsia="微软雅黑"/>
                <w:color w:val="auto"/>
                <w:sz w:val="24"/>
                <w:szCs w:val="20"/>
                <w:highlight w:val="none"/>
              </w:rPr>
            </w:pPr>
          </w:p>
        </w:tc>
        <w:tc>
          <w:tcPr>
            <w:tcW w:w="1701" w:type="dxa"/>
            <w:vAlign w:val="center"/>
          </w:tcPr>
          <w:p w14:paraId="27551518">
            <w:pPr>
              <w:snapToGrid w:val="0"/>
              <w:spacing w:before="50" w:after="120" w:afterLines="50"/>
              <w:jc w:val="center"/>
              <w:rPr>
                <w:rFonts w:hint="eastAsia" w:ascii="微软雅黑" w:hAnsi="微软雅黑" w:eastAsia="微软雅黑"/>
                <w:color w:val="auto"/>
                <w:sz w:val="24"/>
                <w:szCs w:val="20"/>
                <w:highlight w:val="none"/>
              </w:rPr>
            </w:pPr>
          </w:p>
        </w:tc>
        <w:tc>
          <w:tcPr>
            <w:tcW w:w="1420" w:type="dxa"/>
            <w:vAlign w:val="center"/>
          </w:tcPr>
          <w:p w14:paraId="4E5F39A4">
            <w:pPr>
              <w:snapToGrid w:val="0"/>
              <w:spacing w:before="50" w:after="120" w:afterLines="50"/>
              <w:jc w:val="center"/>
              <w:rPr>
                <w:rFonts w:hint="eastAsia" w:ascii="微软雅黑" w:hAnsi="微软雅黑" w:eastAsia="微软雅黑"/>
                <w:color w:val="auto"/>
                <w:sz w:val="24"/>
                <w:szCs w:val="20"/>
                <w:highlight w:val="none"/>
              </w:rPr>
            </w:pPr>
          </w:p>
        </w:tc>
        <w:tc>
          <w:tcPr>
            <w:tcW w:w="1698" w:type="dxa"/>
            <w:vAlign w:val="center"/>
          </w:tcPr>
          <w:p w14:paraId="57511B2B">
            <w:pPr>
              <w:snapToGrid w:val="0"/>
              <w:spacing w:before="50" w:after="120" w:afterLines="50"/>
              <w:jc w:val="center"/>
              <w:rPr>
                <w:rFonts w:hint="eastAsia" w:ascii="微软雅黑" w:hAnsi="微软雅黑" w:eastAsia="微软雅黑"/>
                <w:color w:val="auto"/>
                <w:sz w:val="24"/>
                <w:szCs w:val="20"/>
                <w:highlight w:val="none"/>
              </w:rPr>
            </w:pPr>
          </w:p>
        </w:tc>
        <w:tc>
          <w:tcPr>
            <w:tcW w:w="1843" w:type="dxa"/>
            <w:vAlign w:val="center"/>
          </w:tcPr>
          <w:p w14:paraId="56CF1718">
            <w:pPr>
              <w:snapToGrid w:val="0"/>
              <w:spacing w:before="50" w:after="120" w:afterLines="50"/>
              <w:jc w:val="center"/>
              <w:rPr>
                <w:rFonts w:hint="eastAsia" w:ascii="微软雅黑" w:hAnsi="微软雅黑" w:eastAsia="微软雅黑"/>
                <w:color w:val="auto"/>
                <w:sz w:val="24"/>
                <w:szCs w:val="20"/>
                <w:highlight w:val="none"/>
              </w:rPr>
            </w:pPr>
          </w:p>
        </w:tc>
      </w:tr>
      <w:tr w14:paraId="176D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926E64">
            <w:pPr>
              <w:snapToGrid w:val="0"/>
              <w:spacing w:before="50" w:after="120" w:afterLines="50"/>
              <w:jc w:val="center"/>
              <w:rPr>
                <w:rFonts w:hint="eastAsia" w:ascii="微软雅黑" w:hAnsi="微软雅黑" w:eastAsia="微软雅黑"/>
                <w:color w:val="auto"/>
                <w:sz w:val="24"/>
                <w:szCs w:val="20"/>
                <w:highlight w:val="none"/>
              </w:rPr>
            </w:pPr>
          </w:p>
        </w:tc>
        <w:tc>
          <w:tcPr>
            <w:tcW w:w="709" w:type="dxa"/>
            <w:vAlign w:val="center"/>
          </w:tcPr>
          <w:p w14:paraId="0C0E29D2">
            <w:pPr>
              <w:snapToGrid w:val="0"/>
              <w:spacing w:before="50" w:after="120" w:afterLines="50"/>
              <w:jc w:val="center"/>
              <w:rPr>
                <w:rFonts w:hint="eastAsia" w:ascii="微软雅黑" w:hAnsi="微软雅黑" w:eastAsia="微软雅黑"/>
                <w:color w:val="auto"/>
                <w:sz w:val="24"/>
                <w:szCs w:val="20"/>
                <w:highlight w:val="none"/>
              </w:rPr>
            </w:pPr>
          </w:p>
        </w:tc>
        <w:tc>
          <w:tcPr>
            <w:tcW w:w="1701" w:type="dxa"/>
            <w:vAlign w:val="center"/>
          </w:tcPr>
          <w:p w14:paraId="67258601">
            <w:pPr>
              <w:snapToGrid w:val="0"/>
              <w:spacing w:before="50" w:after="120" w:afterLines="50"/>
              <w:jc w:val="center"/>
              <w:rPr>
                <w:rFonts w:hint="eastAsia" w:ascii="微软雅黑" w:hAnsi="微软雅黑" w:eastAsia="微软雅黑"/>
                <w:color w:val="auto"/>
                <w:sz w:val="24"/>
                <w:szCs w:val="20"/>
                <w:highlight w:val="none"/>
              </w:rPr>
            </w:pPr>
          </w:p>
        </w:tc>
        <w:tc>
          <w:tcPr>
            <w:tcW w:w="1420" w:type="dxa"/>
            <w:vAlign w:val="center"/>
          </w:tcPr>
          <w:p w14:paraId="76643DA1">
            <w:pPr>
              <w:snapToGrid w:val="0"/>
              <w:spacing w:before="50" w:after="120" w:afterLines="50"/>
              <w:jc w:val="center"/>
              <w:rPr>
                <w:rFonts w:hint="eastAsia" w:ascii="微软雅黑" w:hAnsi="微软雅黑" w:eastAsia="微软雅黑"/>
                <w:color w:val="auto"/>
                <w:sz w:val="24"/>
                <w:szCs w:val="20"/>
                <w:highlight w:val="none"/>
              </w:rPr>
            </w:pPr>
          </w:p>
        </w:tc>
        <w:tc>
          <w:tcPr>
            <w:tcW w:w="1698" w:type="dxa"/>
            <w:vAlign w:val="center"/>
          </w:tcPr>
          <w:p w14:paraId="5AC06558">
            <w:pPr>
              <w:snapToGrid w:val="0"/>
              <w:spacing w:before="50" w:after="120" w:afterLines="50"/>
              <w:jc w:val="center"/>
              <w:rPr>
                <w:rFonts w:hint="eastAsia" w:ascii="微软雅黑" w:hAnsi="微软雅黑" w:eastAsia="微软雅黑"/>
                <w:color w:val="auto"/>
                <w:sz w:val="24"/>
                <w:szCs w:val="20"/>
                <w:highlight w:val="none"/>
              </w:rPr>
            </w:pPr>
          </w:p>
        </w:tc>
        <w:tc>
          <w:tcPr>
            <w:tcW w:w="1843" w:type="dxa"/>
            <w:vAlign w:val="center"/>
          </w:tcPr>
          <w:p w14:paraId="711494C3">
            <w:pPr>
              <w:snapToGrid w:val="0"/>
              <w:spacing w:before="50" w:after="120" w:afterLines="50"/>
              <w:jc w:val="center"/>
              <w:rPr>
                <w:rFonts w:hint="eastAsia" w:ascii="微软雅黑" w:hAnsi="微软雅黑" w:eastAsia="微软雅黑"/>
                <w:color w:val="auto"/>
                <w:sz w:val="24"/>
                <w:szCs w:val="20"/>
                <w:highlight w:val="none"/>
              </w:rPr>
            </w:pPr>
          </w:p>
        </w:tc>
      </w:tr>
      <w:tr w14:paraId="4D79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95E621E">
            <w:pPr>
              <w:snapToGrid w:val="0"/>
              <w:spacing w:before="50" w:after="120" w:afterLines="50"/>
              <w:jc w:val="center"/>
              <w:rPr>
                <w:rFonts w:hint="eastAsia" w:ascii="微软雅黑" w:hAnsi="微软雅黑" w:eastAsia="微软雅黑"/>
                <w:color w:val="auto"/>
                <w:sz w:val="24"/>
                <w:szCs w:val="20"/>
                <w:highlight w:val="none"/>
              </w:rPr>
            </w:pPr>
          </w:p>
        </w:tc>
        <w:tc>
          <w:tcPr>
            <w:tcW w:w="709" w:type="dxa"/>
            <w:vAlign w:val="center"/>
          </w:tcPr>
          <w:p w14:paraId="285E127C">
            <w:pPr>
              <w:snapToGrid w:val="0"/>
              <w:spacing w:before="50" w:after="120" w:afterLines="50"/>
              <w:jc w:val="center"/>
              <w:rPr>
                <w:rFonts w:hint="eastAsia" w:ascii="微软雅黑" w:hAnsi="微软雅黑" w:eastAsia="微软雅黑"/>
                <w:color w:val="auto"/>
                <w:sz w:val="24"/>
                <w:szCs w:val="20"/>
                <w:highlight w:val="none"/>
              </w:rPr>
            </w:pPr>
          </w:p>
        </w:tc>
        <w:tc>
          <w:tcPr>
            <w:tcW w:w="1701" w:type="dxa"/>
            <w:vAlign w:val="center"/>
          </w:tcPr>
          <w:p w14:paraId="5553BD5B">
            <w:pPr>
              <w:snapToGrid w:val="0"/>
              <w:spacing w:before="50" w:after="120" w:afterLines="50"/>
              <w:jc w:val="center"/>
              <w:rPr>
                <w:rFonts w:hint="eastAsia" w:ascii="微软雅黑" w:hAnsi="微软雅黑" w:eastAsia="微软雅黑"/>
                <w:color w:val="auto"/>
                <w:sz w:val="24"/>
                <w:szCs w:val="20"/>
                <w:highlight w:val="none"/>
              </w:rPr>
            </w:pPr>
          </w:p>
        </w:tc>
        <w:tc>
          <w:tcPr>
            <w:tcW w:w="1420" w:type="dxa"/>
            <w:vAlign w:val="center"/>
          </w:tcPr>
          <w:p w14:paraId="1C7D2694">
            <w:pPr>
              <w:snapToGrid w:val="0"/>
              <w:spacing w:before="50" w:after="120" w:afterLines="50"/>
              <w:jc w:val="center"/>
              <w:rPr>
                <w:rFonts w:hint="eastAsia" w:ascii="微软雅黑" w:hAnsi="微软雅黑" w:eastAsia="微软雅黑"/>
                <w:color w:val="auto"/>
                <w:sz w:val="24"/>
                <w:szCs w:val="20"/>
                <w:highlight w:val="none"/>
              </w:rPr>
            </w:pPr>
          </w:p>
        </w:tc>
        <w:tc>
          <w:tcPr>
            <w:tcW w:w="1698" w:type="dxa"/>
            <w:vAlign w:val="center"/>
          </w:tcPr>
          <w:p w14:paraId="5C190408">
            <w:pPr>
              <w:snapToGrid w:val="0"/>
              <w:spacing w:before="50" w:after="120" w:afterLines="50"/>
              <w:jc w:val="center"/>
              <w:rPr>
                <w:rFonts w:hint="eastAsia" w:ascii="微软雅黑" w:hAnsi="微软雅黑" w:eastAsia="微软雅黑"/>
                <w:color w:val="auto"/>
                <w:sz w:val="24"/>
                <w:szCs w:val="20"/>
                <w:highlight w:val="none"/>
              </w:rPr>
            </w:pPr>
          </w:p>
        </w:tc>
        <w:tc>
          <w:tcPr>
            <w:tcW w:w="1843" w:type="dxa"/>
            <w:vAlign w:val="center"/>
          </w:tcPr>
          <w:p w14:paraId="5DA17FE9">
            <w:pPr>
              <w:snapToGrid w:val="0"/>
              <w:spacing w:before="50" w:after="120" w:afterLines="50"/>
              <w:jc w:val="center"/>
              <w:rPr>
                <w:rFonts w:hint="eastAsia" w:ascii="微软雅黑" w:hAnsi="微软雅黑" w:eastAsia="微软雅黑"/>
                <w:color w:val="auto"/>
                <w:sz w:val="24"/>
                <w:szCs w:val="20"/>
                <w:highlight w:val="none"/>
              </w:rPr>
            </w:pPr>
          </w:p>
        </w:tc>
      </w:tr>
    </w:tbl>
    <w:p w14:paraId="1F84F0C6">
      <w:pPr>
        <w:snapToGrid w:val="0"/>
        <w:spacing w:before="50" w:after="120" w:afterLines="50"/>
        <w:jc w:val="left"/>
        <w:rPr>
          <w:rFonts w:hint="eastAsia" w:ascii="微软雅黑" w:hAnsi="微软雅黑" w:eastAsia="微软雅黑"/>
          <w:color w:val="auto"/>
          <w:sz w:val="24"/>
          <w:szCs w:val="20"/>
          <w:highlight w:val="none"/>
        </w:rPr>
      </w:pPr>
    </w:p>
    <w:p w14:paraId="497D4DDB">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注：</w:t>
      </w:r>
    </w:p>
    <w:p w14:paraId="028173A6">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1.在填写时，如本表格不适合投标单位的实际情况，可根据本表格式自行制表填写。</w:t>
      </w:r>
    </w:p>
    <w:p w14:paraId="3602888E">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2.投标人应当附本表所列证书的复印件并加盖投标人电子签章。</w:t>
      </w:r>
    </w:p>
    <w:p w14:paraId="27B5FB35">
      <w:pPr>
        <w:spacing w:line="360" w:lineRule="auto"/>
        <w:contextualSpacing/>
        <w:jc w:val="left"/>
        <w:rPr>
          <w:rFonts w:hint="eastAsia" w:ascii="微软雅黑" w:hAnsi="微软雅黑" w:eastAsia="微软雅黑"/>
          <w:color w:val="auto"/>
          <w:sz w:val="24"/>
          <w:szCs w:val="20"/>
          <w:highlight w:val="none"/>
        </w:rPr>
      </w:pPr>
    </w:p>
    <w:p w14:paraId="3337EE13">
      <w:pPr>
        <w:spacing w:line="360" w:lineRule="auto"/>
        <w:contextualSpacing/>
        <w:rPr>
          <w:rFonts w:hint="eastAsia" w:ascii="微软雅黑" w:hAnsi="微软雅黑" w:eastAsia="微软雅黑"/>
          <w:color w:val="auto"/>
          <w:spacing w:val="20"/>
          <w:sz w:val="24"/>
          <w:szCs w:val="20"/>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33F65364">
      <w:pPr>
        <w:spacing w:line="360" w:lineRule="auto"/>
        <w:contextualSpacing/>
        <w:jc w:val="left"/>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4A29387C">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161031DD">
      <w:pPr>
        <w:spacing w:line="360" w:lineRule="auto"/>
        <w:contextualSpacing/>
        <w:jc w:val="left"/>
        <w:rPr>
          <w:rFonts w:hint="eastAsia" w:ascii="微软雅黑" w:hAnsi="微软雅黑" w:eastAsia="微软雅黑"/>
          <w:color w:val="auto"/>
          <w:sz w:val="24"/>
          <w:szCs w:val="20"/>
          <w:highlight w:val="none"/>
        </w:rPr>
      </w:pPr>
    </w:p>
    <w:p w14:paraId="5EFB446A">
      <w:pPr>
        <w:snapToGrid w:val="0"/>
        <w:spacing w:before="50" w:after="120" w:afterLines="50"/>
        <w:jc w:val="left"/>
        <w:rPr>
          <w:rFonts w:hint="eastAsia" w:ascii="微软雅黑" w:hAnsi="微软雅黑" w:eastAsia="微软雅黑"/>
          <w:color w:val="auto"/>
          <w:sz w:val="24"/>
          <w:szCs w:val="20"/>
          <w:highlight w:val="none"/>
        </w:rPr>
      </w:pPr>
    </w:p>
    <w:p w14:paraId="0E39EA53">
      <w:pPr>
        <w:snapToGrid w:val="0"/>
        <w:spacing w:before="120" w:beforeLines="50" w:after="50"/>
        <w:jc w:val="left"/>
        <w:rPr>
          <w:rFonts w:hint="eastAsia" w:ascii="微软雅黑" w:hAnsi="微软雅黑" w:eastAsia="微软雅黑"/>
          <w:color w:val="auto"/>
          <w:sz w:val="24"/>
          <w:szCs w:val="20"/>
          <w:highlight w:val="none"/>
        </w:rPr>
      </w:pPr>
    </w:p>
    <w:p w14:paraId="1CDA3785">
      <w:pPr>
        <w:snapToGrid w:val="0"/>
        <w:spacing w:before="50" w:after="120" w:afterLines="50"/>
        <w:jc w:val="left"/>
        <w:rPr>
          <w:rFonts w:hint="eastAsia" w:ascii="微软雅黑" w:hAnsi="微软雅黑" w:eastAsia="微软雅黑"/>
          <w:color w:val="auto"/>
          <w:sz w:val="24"/>
          <w:szCs w:val="20"/>
          <w:highlight w:val="none"/>
        </w:rPr>
      </w:pPr>
    </w:p>
    <w:p w14:paraId="48B49862">
      <w:pPr>
        <w:rPr>
          <w:rFonts w:hint="eastAsia" w:ascii="微软雅黑" w:hAnsi="微软雅黑" w:eastAsia="微软雅黑"/>
          <w:color w:val="auto"/>
          <w:sz w:val="24"/>
          <w:highlight w:val="none"/>
        </w:rPr>
      </w:pPr>
      <w:r>
        <w:rPr>
          <w:rFonts w:ascii="微软雅黑" w:hAnsi="微软雅黑" w:eastAsia="微软雅黑"/>
          <w:b/>
          <w:bCs/>
          <w:color w:val="auto"/>
          <w:sz w:val="24"/>
          <w:highlight w:val="none"/>
        </w:rPr>
        <w:br w:type="page"/>
      </w:r>
      <w:bookmarkStart w:id="292" w:name="_Toc19686840"/>
      <w:r>
        <w:rPr>
          <w:rFonts w:hint="eastAsia" w:ascii="微软雅黑" w:hAnsi="微软雅黑" w:eastAsia="微软雅黑"/>
          <w:b/>
          <w:color w:val="auto"/>
          <w:sz w:val="28"/>
          <w:szCs w:val="28"/>
          <w:highlight w:val="none"/>
        </w:rPr>
        <w:t>四、其他文书、文件格式</w:t>
      </w:r>
      <w:bookmarkEnd w:id="292"/>
    </w:p>
    <w:p w14:paraId="7E6BE99F">
      <w:pPr>
        <w:snapToGrid w:val="0"/>
        <w:spacing w:before="120" w:beforeLines="50" w:after="50" w:line="400" w:lineRule="exact"/>
        <w:ind w:left="142"/>
        <w:jc w:val="left"/>
        <w:rPr>
          <w:rFonts w:hint="eastAsia" w:ascii="微软雅黑" w:hAnsi="微软雅黑" w:eastAsia="微软雅黑"/>
          <w:b/>
          <w:color w:val="auto"/>
          <w:spacing w:val="20"/>
          <w:sz w:val="24"/>
          <w:highlight w:val="none"/>
        </w:rPr>
      </w:pPr>
    </w:p>
    <w:p w14:paraId="343794F6">
      <w:pPr>
        <w:snapToGrid w:val="0"/>
        <w:spacing w:before="120" w:beforeLines="50" w:after="50" w:line="400" w:lineRule="exact"/>
        <w:ind w:left="142"/>
        <w:jc w:val="left"/>
        <w:rPr>
          <w:rFonts w:hint="eastAsia" w:ascii="微软雅黑" w:hAnsi="微软雅黑" w:eastAsia="微软雅黑"/>
          <w:b/>
          <w:color w:val="auto"/>
          <w:spacing w:val="20"/>
          <w:sz w:val="24"/>
          <w:highlight w:val="none"/>
        </w:rPr>
      </w:pPr>
      <w:r>
        <w:rPr>
          <w:rFonts w:hint="eastAsia" w:ascii="微软雅黑" w:hAnsi="微软雅黑" w:eastAsia="微软雅黑"/>
          <w:b/>
          <w:color w:val="auto"/>
          <w:spacing w:val="20"/>
          <w:sz w:val="24"/>
          <w:highlight w:val="none"/>
        </w:rPr>
        <w:t>1.联合投标协议书格式</w:t>
      </w:r>
    </w:p>
    <w:p w14:paraId="023A4E38">
      <w:pPr>
        <w:pStyle w:val="8"/>
        <w:overflowPunct w:val="0"/>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联合体协议书</w:t>
      </w:r>
    </w:p>
    <w:p w14:paraId="07B266F5">
      <w:pPr>
        <w:pStyle w:val="8"/>
        <w:overflowPunct w:val="0"/>
        <w:spacing w:line="400" w:lineRule="exact"/>
        <w:contextualSpacing/>
        <w:rPr>
          <w:rFonts w:ascii="微软雅黑" w:hAnsi="微软雅黑" w:eastAsia="微软雅黑"/>
          <w:color w:val="auto"/>
          <w:sz w:val="24"/>
          <w:highlight w:val="none"/>
        </w:rPr>
      </w:pP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（所有成员单位名称）自愿组成</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（联合体名称）联合体，共同参加</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（项</w:t>
      </w:r>
      <w:r>
        <w:rPr>
          <w:rFonts w:hint="eastAsia" w:ascii="微软雅黑" w:hAnsi="微软雅黑" w:eastAsia="微软雅黑"/>
          <w:color w:val="auto"/>
          <w:sz w:val="24"/>
          <w:highlight w:val="none"/>
        </w:rPr>
        <w:t>目名称）采购招标项目投标。现就联合体投标事宜订立如下协议。</w:t>
      </w:r>
    </w:p>
    <w:p w14:paraId="2783E950">
      <w:pPr>
        <w:pStyle w:val="8"/>
        <w:overflowPunct w:val="0"/>
        <w:spacing w:line="400" w:lineRule="exact"/>
        <w:contextualSpacing/>
        <w:rPr>
          <w:rFonts w:ascii="微软雅黑" w:hAnsi="微软雅黑" w:eastAsia="微软雅黑"/>
          <w:color w:val="auto"/>
          <w:sz w:val="24"/>
          <w:highlight w:val="none"/>
        </w:rPr>
      </w:pPr>
    </w:p>
    <w:p w14:paraId="6787D841">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 xml:space="preserve">1.  </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（某成员单位名称）为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（联合体名称）牵头人。</w:t>
      </w:r>
    </w:p>
    <w:p w14:paraId="7D276138">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2.</w:t>
      </w:r>
      <w:r>
        <w:rPr>
          <w:rFonts w:hint="eastAsia" w:ascii="微软雅黑" w:hAnsi="微软雅黑" w:eastAsia="微软雅黑"/>
          <w:color w:val="auto"/>
          <w:sz w:val="24"/>
          <w:highlight w:val="none"/>
        </w:rPr>
        <w:t>联合体各成员授权牵头人代表联合体参加投标活动，签署文件及对文件的盖章，提交和接收相关的资料、</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信息及指示，进行合同谈判活动，负责合同实施阶段的组织和协调工作，以及处理与本招标项</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目有关的一切事宜。</w:t>
      </w:r>
    </w:p>
    <w:p w14:paraId="7BE4456C">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3.</w:t>
      </w:r>
      <w:r>
        <w:rPr>
          <w:rFonts w:hint="eastAsia" w:ascii="微软雅黑" w:hAnsi="微软雅黑" w:eastAsia="微软雅黑"/>
          <w:color w:val="auto"/>
          <w:sz w:val="24"/>
          <w:highlight w:val="none"/>
        </w:rPr>
        <w:t>联合体牵头人在本项目中签署和盖章的一切文件和处理的一切事宜，联合体各成员均予以承认。</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联合体各成员将严格按照招标文件、投标文件和合同的要求全面履行义务，并向招标人承担连带责任。</w:t>
      </w:r>
    </w:p>
    <w:p w14:paraId="4B4F7498">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4.</w:t>
      </w:r>
      <w:r>
        <w:rPr>
          <w:rFonts w:hint="eastAsia" w:ascii="微软雅黑" w:hAnsi="微软雅黑" w:eastAsia="微软雅黑"/>
          <w:color w:val="auto"/>
          <w:sz w:val="24"/>
          <w:highlight w:val="none"/>
        </w:rPr>
        <w:t>联合体各成员单位内部的职责分工如下：</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w:t>
      </w:r>
    </w:p>
    <w:p w14:paraId="3901F0DE">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5.</w:t>
      </w:r>
      <w:r>
        <w:rPr>
          <w:rFonts w:hint="eastAsia" w:ascii="微软雅黑" w:hAnsi="微软雅黑" w:eastAsia="微软雅黑"/>
          <w:color w:val="auto"/>
          <w:sz w:val="24"/>
          <w:highlight w:val="none"/>
        </w:rPr>
        <w:t>本协议书自所有成员单位法定代表人或者其委托代理人签字（或者电子签名）或者盖公章之日起生效，合同履行完毕后自动失效。</w:t>
      </w:r>
    </w:p>
    <w:p w14:paraId="63996A36">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6.</w:t>
      </w:r>
      <w:r>
        <w:rPr>
          <w:rFonts w:hint="eastAsia" w:ascii="微软雅黑" w:hAnsi="微软雅黑" w:eastAsia="微软雅黑"/>
          <w:color w:val="auto"/>
          <w:sz w:val="24"/>
          <w:highlight w:val="none"/>
        </w:rPr>
        <w:t>本协议书一式</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份，联合体成员和招标人各执一份。</w:t>
      </w:r>
    </w:p>
    <w:p w14:paraId="5ED574DB">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注：本协议书应附法定代表人身份证明；有委托代理的，应附授权委托书</w:t>
      </w:r>
      <w:r>
        <w:rPr>
          <w:rFonts w:hint="eastAsia" w:ascii="微软雅黑" w:hAnsi="微软雅黑" w:eastAsia="微软雅黑" w:cs="仿宋_GB2312"/>
          <w:color w:val="auto"/>
          <w:sz w:val="24"/>
          <w:highlight w:val="none"/>
        </w:rPr>
        <w:t>（格式自拟）</w:t>
      </w:r>
      <w:r>
        <w:rPr>
          <w:rFonts w:hint="eastAsia" w:ascii="微软雅黑" w:hAnsi="微软雅黑" w:eastAsia="微软雅黑"/>
          <w:color w:val="auto"/>
          <w:sz w:val="24"/>
          <w:highlight w:val="none"/>
        </w:rPr>
        <w:t>。</w:t>
      </w:r>
    </w:p>
    <w:p w14:paraId="51954D6D">
      <w:pPr>
        <w:pStyle w:val="8"/>
        <w:overflowPunct w:val="0"/>
        <w:spacing w:line="400" w:lineRule="exact"/>
        <w:ind w:firstLineChars="175"/>
        <w:contextualSpacing/>
        <w:rPr>
          <w:rFonts w:ascii="微软雅黑" w:hAnsi="微软雅黑" w:eastAsia="微软雅黑"/>
          <w:color w:val="auto"/>
          <w:sz w:val="24"/>
          <w:highlight w:val="none"/>
        </w:rPr>
      </w:pPr>
    </w:p>
    <w:p w14:paraId="6D56E6D3">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联合体牵头人名称（电子签章）：</w:t>
      </w:r>
    </w:p>
    <w:p w14:paraId="5B445033">
      <w:pPr>
        <w:pStyle w:val="8"/>
        <w:overflowPunct w:val="0"/>
        <w:spacing w:line="400" w:lineRule="exact"/>
        <w:ind w:firstLineChars="175"/>
        <w:contextualSpacing/>
        <w:rPr>
          <w:rFonts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法定代表人或者其委托代理人：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（签字或者电子签名）</w:t>
      </w:r>
    </w:p>
    <w:p w14:paraId="2DD6C0E8">
      <w:pPr>
        <w:pStyle w:val="8"/>
        <w:overflowPunct w:val="0"/>
        <w:spacing w:line="400" w:lineRule="exact"/>
        <w:ind w:firstLineChars="175"/>
        <w:contextualSpacing/>
        <w:rPr>
          <w:rFonts w:ascii="微软雅黑" w:hAnsi="微软雅黑" w:eastAsia="微软雅黑"/>
          <w:color w:val="auto"/>
          <w:sz w:val="24"/>
          <w:highlight w:val="none"/>
        </w:rPr>
      </w:pPr>
    </w:p>
    <w:p w14:paraId="63072D64">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联合体成员名称（</w:t>
      </w:r>
      <w:r>
        <w:rPr>
          <w:rFonts w:hint="eastAsia" w:ascii="微软雅黑" w:hAnsi="微软雅黑" w:eastAsia="微软雅黑" w:cs="仿宋_GB2312"/>
          <w:color w:val="auto"/>
          <w:sz w:val="24"/>
          <w:highlight w:val="none"/>
        </w:rPr>
        <w:t>盖公章或者电子签章</w:t>
      </w:r>
      <w:r>
        <w:rPr>
          <w:rFonts w:hint="eastAsia" w:ascii="微软雅黑" w:hAnsi="微软雅黑" w:eastAsia="微软雅黑"/>
          <w:color w:val="auto"/>
          <w:sz w:val="24"/>
          <w:highlight w:val="none"/>
        </w:rPr>
        <w:t>）：</w:t>
      </w:r>
    </w:p>
    <w:p w14:paraId="7FB1E5CD">
      <w:pPr>
        <w:pStyle w:val="8"/>
        <w:overflowPunct w:val="0"/>
        <w:spacing w:line="400" w:lineRule="exact"/>
        <w:ind w:firstLineChars="175"/>
        <w:contextualSpacing/>
        <w:rPr>
          <w:rFonts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法定代表人或者其委托代理人：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（签字或者电子签名）</w:t>
      </w:r>
    </w:p>
    <w:p w14:paraId="6DDD464C">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w:t>
      </w:r>
    </w:p>
    <w:p w14:paraId="5BC9D62D">
      <w:pPr>
        <w:pStyle w:val="8"/>
        <w:overflowPunct w:val="0"/>
        <w:spacing w:line="400" w:lineRule="exact"/>
        <w:ind w:firstLineChars="175"/>
        <w:contextualSpacing/>
        <w:rPr>
          <w:rFonts w:ascii="微软雅黑" w:hAnsi="微软雅黑" w:eastAsia="微软雅黑"/>
          <w:color w:val="auto"/>
          <w:sz w:val="24"/>
          <w:highlight w:val="none"/>
        </w:rPr>
      </w:pPr>
    </w:p>
    <w:p w14:paraId="24701329">
      <w:pPr>
        <w:pStyle w:val="8"/>
        <w:overflowPunct w:val="0"/>
        <w:spacing w:line="400" w:lineRule="exact"/>
        <w:ind w:firstLineChars="175"/>
        <w:contextualSpacing/>
        <w:jc w:val="right"/>
        <w:rPr>
          <w:rFonts w:hint="eastAsia" w:ascii="微软雅黑" w:hAnsi="微软雅黑" w:eastAsia="微软雅黑"/>
          <w:color w:val="auto"/>
          <w:sz w:val="24"/>
          <w:highlight w:val="none"/>
        </w:rPr>
      </w:pP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年</w:t>
      </w: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月</w:t>
      </w: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日</w:t>
      </w:r>
    </w:p>
    <w:p w14:paraId="564606D0">
      <w:pPr>
        <w:pStyle w:val="8"/>
        <w:overflowPunct w:val="0"/>
        <w:spacing w:line="400" w:lineRule="exact"/>
        <w:ind w:firstLineChars="175"/>
        <w:contextualSpacing/>
        <w:jc w:val="right"/>
        <w:rPr>
          <w:rFonts w:hint="eastAsia" w:ascii="微软雅黑" w:hAnsi="微软雅黑" w:eastAsia="微软雅黑"/>
          <w:color w:val="auto"/>
          <w:sz w:val="24"/>
          <w:highlight w:val="none"/>
        </w:rPr>
      </w:pPr>
    </w:p>
    <w:p w14:paraId="26579B08">
      <w:pPr>
        <w:pStyle w:val="8"/>
        <w:overflowPunct w:val="0"/>
        <w:spacing w:line="400" w:lineRule="exact"/>
        <w:ind w:firstLineChars="175"/>
        <w:contextualSpacing/>
        <w:jc w:val="right"/>
        <w:rPr>
          <w:rFonts w:hint="eastAsia" w:ascii="微软雅黑" w:hAnsi="微软雅黑" w:eastAsia="微软雅黑"/>
          <w:color w:val="auto"/>
          <w:sz w:val="24"/>
          <w:highlight w:val="none"/>
        </w:rPr>
      </w:pPr>
    </w:p>
    <w:p w14:paraId="10D803A3">
      <w:pPr>
        <w:pStyle w:val="8"/>
        <w:overflowPunct w:val="0"/>
        <w:spacing w:line="400" w:lineRule="exact"/>
        <w:ind w:firstLineChars="175"/>
        <w:contextualSpacing/>
        <w:jc w:val="right"/>
        <w:rPr>
          <w:rFonts w:ascii="微软雅黑" w:hAnsi="微软雅黑" w:eastAsia="微软雅黑"/>
          <w:b/>
          <w:color w:val="auto"/>
          <w:sz w:val="24"/>
          <w:highlight w:val="none"/>
        </w:rPr>
      </w:pPr>
    </w:p>
    <w:p w14:paraId="45A829D7">
      <w:pPr>
        <w:snapToGrid w:val="0"/>
        <w:spacing w:before="120" w:beforeLines="50" w:after="50"/>
        <w:jc w:val="left"/>
        <w:rPr>
          <w:rFonts w:hint="eastAsia" w:ascii="微软雅黑" w:hAnsi="微软雅黑" w:eastAsia="微软雅黑"/>
          <w:color w:val="auto"/>
          <w:highlight w:val="none"/>
        </w:rPr>
      </w:pPr>
      <w:r>
        <w:rPr>
          <w:rFonts w:hint="eastAsia" w:ascii="微软雅黑" w:hAnsi="微软雅黑" w:eastAsia="微软雅黑"/>
          <w:b/>
          <w:color w:val="auto"/>
          <w:sz w:val="24"/>
          <w:highlight w:val="none"/>
        </w:rPr>
        <w:t xml:space="preserve"> 2.中小企业声明函格式</w:t>
      </w:r>
    </w:p>
    <w:p w14:paraId="4277EF2F">
      <w:pPr>
        <w:rPr>
          <w:rFonts w:hint="eastAsia" w:ascii="微软雅黑" w:hAnsi="微软雅黑" w:eastAsia="微软雅黑"/>
          <w:color w:val="auto"/>
          <w:highlight w:val="none"/>
        </w:rPr>
      </w:pPr>
    </w:p>
    <w:p w14:paraId="7A3DEC7F">
      <w:pPr>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中小企业声明函（服务）</w:t>
      </w:r>
    </w:p>
    <w:p w14:paraId="57C095CC">
      <w:pPr>
        <w:spacing w:before="2" w:line="500" w:lineRule="exact"/>
        <w:rPr>
          <w:rFonts w:ascii="微软雅黑" w:hAnsi="微软雅黑" w:eastAsia="微软雅黑" w:cs="宋体"/>
          <w:b/>
          <w:bCs/>
          <w:color w:val="auto"/>
          <w:sz w:val="24"/>
          <w:highlight w:val="none"/>
        </w:rPr>
      </w:pPr>
    </w:p>
    <w:p w14:paraId="6F1C354A">
      <w:pPr>
        <w:pStyle w:val="17"/>
        <w:spacing w:line="500" w:lineRule="exact"/>
        <w:ind w:right="142" w:firstLine="480" w:firstLineChars="200"/>
        <w:rPr>
          <w:rFonts w:ascii="微软雅黑" w:hAnsi="微软雅黑" w:eastAsia="微软雅黑"/>
          <w:color w:val="auto"/>
          <w:highlight w:val="none"/>
        </w:rPr>
      </w:pPr>
      <w:r>
        <w:rPr>
          <w:rFonts w:ascii="微软雅黑" w:hAnsi="微软雅黑" w:eastAsia="微软雅黑"/>
          <w:color w:val="auto"/>
          <w:highlight w:val="none"/>
        </w:rPr>
        <w:t>本公司（联合体）郑重声明，根据《政府采购促进中小企业发展管理办法》（财库﹝2020﹞46号）的规定，本公司（联合体）参加</w:t>
      </w:r>
      <w:r>
        <w:rPr>
          <w:rFonts w:ascii="微软雅黑" w:hAnsi="微软雅黑" w:eastAsia="微软雅黑"/>
          <w:color w:val="auto"/>
          <w:highlight w:val="none"/>
          <w:u w:val="single"/>
        </w:rPr>
        <w:t>（单位名称）</w:t>
      </w:r>
      <w:r>
        <w:rPr>
          <w:rFonts w:ascii="微软雅黑" w:hAnsi="微软雅黑" w:eastAsia="微软雅黑"/>
          <w:color w:val="auto"/>
          <w:highlight w:val="none"/>
        </w:rPr>
        <w:t>的</w:t>
      </w:r>
      <w:r>
        <w:rPr>
          <w:rFonts w:ascii="微软雅黑" w:hAnsi="微软雅黑" w:eastAsia="微软雅黑"/>
          <w:color w:val="auto"/>
          <w:highlight w:val="none"/>
          <w:u w:val="single"/>
        </w:rPr>
        <w:t>（项目名称）</w:t>
      </w:r>
      <w:r>
        <w:rPr>
          <w:rFonts w:ascii="微软雅黑" w:hAnsi="微软雅黑" w:eastAsia="微软雅黑"/>
          <w:color w:val="auto"/>
          <w:highlight w:val="none"/>
        </w:rPr>
        <w:t>采购活动，</w:t>
      </w:r>
      <w:r>
        <w:rPr>
          <w:rFonts w:hint="eastAsia" w:ascii="微软雅黑" w:hAnsi="微软雅黑" w:eastAsia="微软雅黑"/>
          <w:color w:val="auto"/>
          <w:highlight w:val="none"/>
        </w:rPr>
        <w:t>服务全部由符合政策要求的中小企业承接。相关企业（含联合体中的中小企业、签订分包意向协议的中小企业）的具体情况如下：</w:t>
      </w:r>
    </w:p>
    <w:p w14:paraId="74E373A3">
      <w:pPr>
        <w:tabs>
          <w:tab w:val="left" w:pos="1384"/>
          <w:tab w:val="left" w:pos="4562"/>
          <w:tab w:val="left" w:pos="6803"/>
        </w:tabs>
        <w:spacing w:before="13" w:line="500" w:lineRule="exact"/>
        <w:ind w:right="142" w:firstLine="686" w:firstLineChars="286"/>
        <w:rPr>
          <w:rFonts w:ascii="微软雅黑" w:hAnsi="微软雅黑" w:eastAsia="微软雅黑"/>
          <w:color w:val="auto"/>
          <w:sz w:val="24"/>
          <w:highlight w:val="none"/>
        </w:rPr>
      </w:pPr>
      <w:r>
        <w:rPr>
          <w:rFonts w:ascii="微软雅黑" w:hAnsi="微软雅黑" w:eastAsia="微软雅黑"/>
          <w:color w:val="auto"/>
          <w:sz w:val="24"/>
          <w:highlight w:val="none"/>
        </w:rPr>
        <w:t>1.</w:t>
      </w:r>
      <w:r>
        <w:rPr>
          <w:rFonts w:ascii="微软雅黑" w:hAnsi="微软雅黑" w:eastAsia="微软雅黑"/>
          <w:color w:val="auto"/>
          <w:sz w:val="24"/>
          <w:highlight w:val="none"/>
          <w:u w:val="single"/>
        </w:rPr>
        <w:t>（标的名称）</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（采购文件中明确的所属</w:t>
      </w:r>
      <w:r>
        <w:rPr>
          <w:rFonts w:hint="eastAsia" w:ascii="微软雅黑" w:hAnsi="微软雅黑" w:eastAsia="微软雅黑"/>
          <w:color w:val="auto"/>
          <w:sz w:val="24"/>
          <w:highlight w:val="none"/>
          <w:u w:val="single"/>
        </w:rPr>
        <w:t>行</w:t>
      </w:r>
      <w:r>
        <w:rPr>
          <w:rFonts w:ascii="微软雅黑" w:hAnsi="微软雅黑" w:eastAsia="微软雅黑"/>
          <w:color w:val="auto"/>
          <w:sz w:val="24"/>
          <w:highlight w:val="none"/>
          <w:u w:val="single"/>
        </w:rPr>
        <w:t>业）</w:t>
      </w:r>
      <w:r>
        <w:rPr>
          <w:rFonts w:ascii="微软雅黑" w:hAnsi="微软雅黑" w:eastAsia="微软雅黑"/>
          <w:color w:val="auto"/>
          <w:sz w:val="24"/>
          <w:highlight w:val="none"/>
        </w:rPr>
        <w:t>；</w:t>
      </w:r>
      <w:r>
        <w:rPr>
          <w:rFonts w:hint="eastAsia" w:ascii="微软雅黑" w:hAnsi="微软雅黑" w:eastAsia="微软雅黑"/>
          <w:color w:val="auto"/>
          <w:sz w:val="24"/>
          <w:highlight w:val="none"/>
        </w:rPr>
        <w:t>承接企业为</w:t>
      </w:r>
      <w:r>
        <w:rPr>
          <w:rFonts w:hint="eastAsia" w:ascii="微软雅黑" w:hAnsi="微软雅黑" w:eastAsia="微软雅黑"/>
          <w:color w:val="auto"/>
          <w:sz w:val="24"/>
          <w:highlight w:val="none"/>
          <w:u w:val="single"/>
        </w:rPr>
        <w:t>（企业名称）</w:t>
      </w:r>
      <w:r>
        <w:rPr>
          <w:rFonts w:hint="eastAsia" w:ascii="微软雅黑" w:hAnsi="微软雅黑" w:eastAsia="微软雅黑"/>
          <w:color w:val="auto"/>
          <w:sz w:val="24"/>
          <w:highlight w:val="none"/>
        </w:rPr>
        <w:t>，从业人员</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人，营业收入为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万元，资产总额为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（中型企业、</w:t>
      </w:r>
      <w:r>
        <w:rPr>
          <w:rFonts w:hint="eastAsia" w:ascii="微软雅黑" w:hAnsi="微软雅黑" w:eastAsia="微软雅黑"/>
          <w:color w:val="auto"/>
          <w:sz w:val="24"/>
          <w:highlight w:val="none"/>
          <w:u w:val="single"/>
        </w:rPr>
        <w:t>小型企业、微型企业）</w:t>
      </w:r>
      <w:r>
        <w:rPr>
          <w:rFonts w:hint="eastAsia" w:ascii="微软雅黑" w:hAnsi="微软雅黑" w:eastAsia="微软雅黑"/>
          <w:color w:val="auto"/>
          <w:sz w:val="24"/>
          <w:highlight w:val="none"/>
        </w:rPr>
        <w:t>；</w:t>
      </w:r>
    </w:p>
    <w:p w14:paraId="1983FDF0">
      <w:pPr>
        <w:tabs>
          <w:tab w:val="left" w:pos="1065"/>
          <w:tab w:val="left" w:pos="4262"/>
          <w:tab w:val="left" w:pos="6477"/>
        </w:tabs>
        <w:spacing w:before="20" w:line="500" w:lineRule="exact"/>
        <w:ind w:right="84" w:firstLine="686" w:firstLineChars="286"/>
        <w:rPr>
          <w:rFonts w:ascii="微软雅黑" w:hAnsi="微软雅黑" w:eastAsia="微软雅黑"/>
          <w:color w:val="auto"/>
          <w:sz w:val="24"/>
          <w:highlight w:val="none"/>
          <w:u w:val="single"/>
        </w:rPr>
      </w:pPr>
      <w:r>
        <w:rPr>
          <w:rFonts w:ascii="微软雅黑" w:hAnsi="微软雅黑" w:eastAsia="微软雅黑"/>
          <w:color w:val="auto"/>
          <w:sz w:val="24"/>
          <w:highlight w:val="none"/>
        </w:rPr>
        <w:t>2.</w:t>
      </w:r>
      <w:r>
        <w:rPr>
          <w:rFonts w:ascii="微软雅黑" w:hAnsi="微软雅黑" w:eastAsia="微软雅黑"/>
          <w:color w:val="auto"/>
          <w:sz w:val="24"/>
          <w:highlight w:val="none"/>
          <w:u w:val="single"/>
        </w:rPr>
        <w:t>（标的名称）</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（采购文件中明确的所属</w:t>
      </w:r>
      <w:r>
        <w:rPr>
          <w:rFonts w:hint="eastAsia" w:ascii="微软雅黑" w:hAnsi="微软雅黑" w:eastAsia="微软雅黑"/>
          <w:color w:val="auto"/>
          <w:sz w:val="24"/>
          <w:highlight w:val="none"/>
          <w:u w:val="single"/>
        </w:rPr>
        <w:t>行业</w:t>
      </w:r>
      <w:r>
        <w:rPr>
          <w:rFonts w:ascii="微软雅黑" w:hAnsi="微软雅黑" w:eastAsia="微软雅黑"/>
          <w:color w:val="auto"/>
          <w:sz w:val="24"/>
          <w:highlight w:val="none"/>
          <w:u w:val="single"/>
        </w:rPr>
        <w:t>）</w:t>
      </w:r>
      <w:r>
        <w:rPr>
          <w:rFonts w:ascii="微软雅黑" w:hAnsi="微软雅黑" w:eastAsia="微软雅黑"/>
          <w:color w:val="auto"/>
          <w:sz w:val="24"/>
          <w:highlight w:val="none"/>
        </w:rPr>
        <w:t>；</w:t>
      </w:r>
      <w:r>
        <w:rPr>
          <w:rFonts w:hint="eastAsia" w:ascii="微软雅黑" w:hAnsi="微软雅黑" w:eastAsia="微软雅黑"/>
          <w:color w:val="auto"/>
          <w:sz w:val="24"/>
          <w:highlight w:val="none"/>
        </w:rPr>
        <w:t>承接企业为</w:t>
      </w:r>
      <w:r>
        <w:rPr>
          <w:rFonts w:hint="eastAsia" w:ascii="微软雅黑" w:hAnsi="微软雅黑" w:eastAsia="微软雅黑"/>
          <w:color w:val="auto"/>
          <w:sz w:val="24"/>
          <w:highlight w:val="none"/>
          <w:u w:val="single"/>
        </w:rPr>
        <w:t>（企业名称）</w:t>
      </w:r>
      <w:r>
        <w:rPr>
          <w:rFonts w:hint="eastAsia" w:ascii="微软雅黑" w:hAnsi="微软雅黑" w:eastAsia="微软雅黑"/>
          <w:color w:val="auto"/>
          <w:sz w:val="24"/>
          <w:highlight w:val="none"/>
        </w:rPr>
        <w:t>，从业人员</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人，营业收入为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万元，资产总额为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（中型企业、</w:t>
      </w:r>
      <w:r>
        <w:rPr>
          <w:rFonts w:hint="eastAsia" w:ascii="微软雅黑" w:hAnsi="微软雅黑" w:eastAsia="微软雅黑"/>
          <w:color w:val="auto"/>
          <w:sz w:val="24"/>
          <w:highlight w:val="none"/>
          <w:u w:val="single"/>
        </w:rPr>
        <w:t>小型企业、微型企业）</w:t>
      </w:r>
      <w:r>
        <w:rPr>
          <w:rFonts w:hint="eastAsia" w:ascii="微软雅黑" w:hAnsi="微软雅黑" w:eastAsia="微软雅黑"/>
          <w:color w:val="auto"/>
          <w:sz w:val="24"/>
          <w:highlight w:val="none"/>
        </w:rPr>
        <w:t>；</w:t>
      </w:r>
    </w:p>
    <w:p w14:paraId="43DF878E">
      <w:pPr>
        <w:pStyle w:val="17"/>
        <w:spacing w:before="34" w:line="500" w:lineRule="exact"/>
        <w:ind w:left="765" w:right="142" w:hanging="5"/>
        <w:rPr>
          <w:rFonts w:ascii="微软雅黑" w:hAnsi="微软雅黑" w:eastAsia="微软雅黑"/>
          <w:color w:val="auto"/>
          <w:highlight w:val="none"/>
        </w:rPr>
      </w:pPr>
      <w:r>
        <w:rPr>
          <w:rFonts w:ascii="微软雅黑" w:hAnsi="微软雅黑" w:eastAsia="微软雅黑"/>
          <w:color w:val="auto"/>
          <w:highlight w:val="none"/>
        </w:rPr>
        <w:t xml:space="preserve">…… </w:t>
      </w:r>
    </w:p>
    <w:p w14:paraId="1A01AD0B">
      <w:pPr>
        <w:pStyle w:val="17"/>
        <w:spacing w:before="34" w:line="500" w:lineRule="exact"/>
        <w:ind w:right="142" w:firstLine="480" w:firstLineChars="200"/>
        <w:rPr>
          <w:rFonts w:hint="eastAsia" w:ascii="微软雅黑" w:hAnsi="微软雅黑" w:eastAsia="微软雅黑"/>
          <w:color w:val="auto"/>
          <w:highlight w:val="none"/>
        </w:rPr>
      </w:pPr>
      <w:r>
        <w:rPr>
          <w:rFonts w:ascii="微软雅黑" w:hAnsi="微软雅黑" w:eastAsia="微软雅黑"/>
          <w:color w:val="auto"/>
          <w:highlight w:val="none"/>
        </w:rPr>
        <w:t>以上企业，不属于大企业的分支机构，不存在控股股东为大企业的情形，也不存在与大企业的负责人为同一人的情形。</w:t>
      </w:r>
    </w:p>
    <w:p w14:paraId="468A6249">
      <w:pPr>
        <w:pStyle w:val="17"/>
        <w:spacing w:before="34" w:line="500" w:lineRule="exact"/>
        <w:ind w:right="142" w:firstLine="480" w:firstLineChars="200"/>
        <w:rPr>
          <w:rFonts w:ascii="微软雅黑" w:hAnsi="微软雅黑" w:eastAsia="微软雅黑"/>
          <w:color w:val="auto"/>
          <w:highlight w:val="none"/>
        </w:rPr>
      </w:pPr>
      <w:r>
        <w:rPr>
          <w:rFonts w:ascii="微软雅黑" w:hAnsi="微软雅黑" w:eastAsia="微软雅黑"/>
          <w:color w:val="auto"/>
          <w:highlight w:val="none"/>
        </w:rPr>
        <w:t>本企业对上述声明内容的真实性负责。如有虚假，将依法承担相应责任。</w:t>
      </w:r>
    </w:p>
    <w:p w14:paraId="6978E917">
      <w:pPr>
        <w:pStyle w:val="17"/>
        <w:spacing w:before="56" w:line="500" w:lineRule="exact"/>
        <w:ind w:left="3960" w:right="1808"/>
        <w:rPr>
          <w:rFonts w:ascii="微软雅黑" w:hAnsi="微软雅黑" w:eastAsia="微软雅黑"/>
          <w:color w:val="auto"/>
          <w:highlight w:val="none"/>
        </w:rPr>
      </w:pPr>
      <w:r>
        <w:rPr>
          <w:rFonts w:ascii="微软雅黑" w:hAnsi="微软雅黑" w:eastAsia="微软雅黑"/>
          <w:color w:val="auto"/>
          <w:kern w:val="24"/>
          <w:highlight w:val="none"/>
        </w:rPr>
        <w:t>企业名称（</w:t>
      </w:r>
      <w:r>
        <w:rPr>
          <w:rFonts w:hint="eastAsia" w:ascii="微软雅黑" w:hAnsi="微软雅黑" w:eastAsia="微软雅黑"/>
          <w:color w:val="auto"/>
          <w:kern w:val="24"/>
          <w:highlight w:val="none"/>
        </w:rPr>
        <w:t>电子签章</w:t>
      </w:r>
      <w:r>
        <w:rPr>
          <w:rFonts w:ascii="微软雅黑" w:hAnsi="微软雅黑" w:eastAsia="微软雅黑"/>
          <w:color w:val="auto"/>
          <w:kern w:val="24"/>
          <w:highlight w:val="none"/>
        </w:rPr>
        <w:t>）：</w:t>
      </w:r>
      <w:r>
        <w:rPr>
          <w:rFonts w:ascii="微软雅黑" w:hAnsi="微软雅黑" w:eastAsia="微软雅黑"/>
          <w:color w:val="auto"/>
          <w:highlight w:val="none"/>
        </w:rPr>
        <w:t xml:space="preserve"> </w:t>
      </w:r>
    </w:p>
    <w:p w14:paraId="7DC75A0F">
      <w:pPr>
        <w:pStyle w:val="17"/>
        <w:spacing w:before="56" w:line="500" w:lineRule="exact"/>
        <w:ind w:left="3960" w:right="1808"/>
        <w:rPr>
          <w:rFonts w:hint="eastAsia" w:ascii="微软雅黑" w:hAnsi="微软雅黑" w:eastAsia="微软雅黑"/>
          <w:color w:val="auto"/>
          <w:highlight w:val="none"/>
        </w:rPr>
      </w:pPr>
      <w:r>
        <w:rPr>
          <w:rFonts w:ascii="微软雅黑" w:hAnsi="微软雅黑" w:eastAsia="微软雅黑"/>
          <w:color w:val="auto"/>
          <w:highlight w:val="none"/>
        </w:rPr>
        <w:t>日 期：</w:t>
      </w:r>
    </w:p>
    <w:p w14:paraId="6D7203BE">
      <w:pPr>
        <w:rPr>
          <w:rFonts w:hint="eastAsia" w:ascii="微软雅黑" w:hAnsi="微软雅黑" w:eastAsia="微软雅黑"/>
          <w:color w:val="auto"/>
          <w:sz w:val="24"/>
          <w:highlight w:val="none"/>
        </w:rPr>
      </w:pPr>
      <w:r>
        <w:rPr>
          <w:rFonts w:hint="eastAsia" w:ascii="微软雅黑" w:hAnsi="微软雅黑" w:eastAsia="微软雅黑"/>
          <w:color w:val="auto"/>
          <w:spacing w:val="6"/>
          <w:sz w:val="24"/>
          <w:highlight w:val="none"/>
        </w:rPr>
        <w:t xml:space="preserve"> </w:t>
      </w:r>
    </w:p>
    <w:p w14:paraId="4DFFA50E">
      <w:pPr>
        <w:ind w:firstLine="480" w:firstLineChars="200"/>
        <w:rPr>
          <w:rFonts w:hint="eastAsia" w:ascii="微软雅黑" w:hAnsi="微软雅黑" w:eastAsia="微软雅黑"/>
          <w:b/>
          <w:color w:val="auto"/>
          <w:sz w:val="24"/>
          <w:highlight w:val="none"/>
        </w:rPr>
      </w:pPr>
      <w:r>
        <w:rPr>
          <w:rFonts w:hint="eastAsia" w:ascii="微软雅黑" w:hAnsi="微软雅黑" w:eastAsia="微软雅黑"/>
          <w:color w:val="auto"/>
          <w:kern w:val="0"/>
          <w:sz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ascii="微软雅黑" w:hAnsi="微软雅黑" w:eastAsia="微软雅黑"/>
          <w:color w:val="auto"/>
          <w:highlight w:val="none"/>
        </w:rPr>
        <w:br w:type="page"/>
      </w:r>
      <w:r>
        <w:rPr>
          <w:rFonts w:hint="eastAsia" w:ascii="微软雅黑" w:hAnsi="微软雅黑" w:eastAsia="微软雅黑"/>
          <w:b/>
          <w:color w:val="auto"/>
          <w:sz w:val="24"/>
          <w:highlight w:val="none"/>
        </w:rPr>
        <w:t>3.残疾人福利性单位声明函格式</w:t>
      </w:r>
    </w:p>
    <w:p w14:paraId="26A525A7">
      <w:pPr>
        <w:spacing w:line="588" w:lineRule="exact"/>
        <w:jc w:val="center"/>
        <w:rPr>
          <w:rFonts w:hint="eastAsia" w:ascii="微软雅黑" w:hAnsi="微软雅黑" w:eastAsia="微软雅黑"/>
          <w:b/>
          <w:color w:val="auto"/>
          <w:spacing w:val="6"/>
          <w:sz w:val="32"/>
          <w:szCs w:val="32"/>
          <w:highlight w:val="none"/>
        </w:rPr>
      </w:pPr>
      <w:bookmarkStart w:id="293" w:name="OLE_LINK13"/>
      <w:bookmarkStart w:id="294" w:name="OLE_LINK14"/>
    </w:p>
    <w:p w14:paraId="03145A17">
      <w:pPr>
        <w:spacing w:line="588" w:lineRule="exact"/>
        <w:jc w:val="center"/>
        <w:rPr>
          <w:rFonts w:hint="eastAsia" w:ascii="微软雅黑" w:hAnsi="微软雅黑" w:eastAsia="微软雅黑" w:cs="方正小标宋简体"/>
          <w:bCs/>
          <w:color w:val="auto"/>
          <w:spacing w:val="6"/>
          <w:sz w:val="44"/>
          <w:szCs w:val="44"/>
          <w:highlight w:val="none"/>
        </w:rPr>
      </w:pPr>
      <w:r>
        <w:rPr>
          <w:rFonts w:hint="eastAsia" w:ascii="微软雅黑" w:hAnsi="微软雅黑" w:eastAsia="微软雅黑" w:cs="方正小标宋简体"/>
          <w:bCs/>
          <w:color w:val="auto"/>
          <w:spacing w:val="6"/>
          <w:sz w:val="44"/>
          <w:szCs w:val="44"/>
          <w:highlight w:val="none"/>
        </w:rPr>
        <w:t>残疾人福利性单位声明函</w:t>
      </w:r>
    </w:p>
    <w:bookmarkEnd w:id="293"/>
    <w:bookmarkEnd w:id="294"/>
    <w:p w14:paraId="218D5DAC">
      <w:pPr>
        <w:spacing w:line="588" w:lineRule="exact"/>
        <w:rPr>
          <w:rFonts w:ascii="微软雅黑" w:hAnsi="微软雅黑" w:eastAsia="微软雅黑"/>
          <w:b/>
          <w:color w:val="auto"/>
          <w:spacing w:val="6"/>
          <w:sz w:val="30"/>
          <w:szCs w:val="30"/>
          <w:highlight w:val="none"/>
        </w:rPr>
      </w:pPr>
    </w:p>
    <w:p w14:paraId="0814891D">
      <w:pPr>
        <w:spacing w:line="360" w:lineRule="auto"/>
        <w:ind w:firstLine="504" w:firstLineChars="200"/>
        <w:contextualSpacing/>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本单位郑重声明，根据《财政部 民政部 中国残疾人联合会关于促进残疾人就业政府采购政策的通知》（财库</w:t>
      </w:r>
      <w:r>
        <w:rPr>
          <w:rFonts w:hint="eastAsia" w:ascii="微软雅黑" w:hAnsi="微软雅黑" w:eastAsia="微软雅黑"/>
          <w:color w:val="auto"/>
          <w:sz w:val="24"/>
          <w:highlight w:val="none"/>
        </w:rPr>
        <w:t>〔2017〕 141</w:t>
      </w:r>
      <w:r>
        <w:rPr>
          <w:rFonts w:hint="eastAsia" w:ascii="微软雅黑" w:hAnsi="微软雅黑" w:eastAsia="微软雅黑"/>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微软雅黑" w:hAnsi="微软雅黑" w:eastAsia="微软雅黑"/>
          <w:color w:val="auto"/>
          <w:spacing w:val="-6"/>
          <w:sz w:val="24"/>
          <w:highlight w:val="none"/>
        </w:rPr>
        <w:t>疾人福利性单位制造的货物（不包括使用非残疾人福利性单位注册商标的货物）。</w:t>
      </w:r>
    </w:p>
    <w:p w14:paraId="5DEC6C83">
      <w:pPr>
        <w:spacing w:line="360" w:lineRule="auto"/>
        <w:ind w:firstLine="504" w:firstLineChars="200"/>
        <w:contextualSpacing/>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本单位对上述声明的真实性负责。如有虚假，将依法承担相应责任。</w:t>
      </w:r>
    </w:p>
    <w:p w14:paraId="5EB66220">
      <w:pPr>
        <w:spacing w:line="360" w:lineRule="auto"/>
        <w:ind w:firstLine="504" w:firstLineChars="200"/>
        <w:contextualSpacing/>
        <w:rPr>
          <w:rFonts w:ascii="微软雅黑" w:hAnsi="微软雅黑" w:eastAsia="微软雅黑"/>
          <w:color w:val="auto"/>
          <w:spacing w:val="6"/>
          <w:sz w:val="24"/>
          <w:highlight w:val="none"/>
        </w:rPr>
      </w:pPr>
    </w:p>
    <w:p w14:paraId="207CCC51">
      <w:pPr>
        <w:spacing w:line="360" w:lineRule="auto"/>
        <w:ind w:firstLine="504" w:firstLineChars="200"/>
        <w:contextualSpacing/>
        <w:rPr>
          <w:rFonts w:ascii="微软雅黑" w:hAnsi="微软雅黑" w:eastAsia="微软雅黑"/>
          <w:color w:val="auto"/>
          <w:spacing w:val="6"/>
          <w:sz w:val="24"/>
          <w:highlight w:val="none"/>
        </w:rPr>
      </w:pPr>
    </w:p>
    <w:p w14:paraId="3771DB7D">
      <w:pPr>
        <w:tabs>
          <w:tab w:val="left" w:pos="4860"/>
        </w:tabs>
        <w:spacing w:line="360" w:lineRule="auto"/>
        <w:ind w:right="1560" w:firstLine="504" w:firstLineChars="200"/>
        <w:contextualSpacing/>
        <w:jc w:val="center"/>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单位名称（电子签章）：</w:t>
      </w:r>
    </w:p>
    <w:p w14:paraId="0D39AD10">
      <w:pPr>
        <w:tabs>
          <w:tab w:val="left" w:pos="4860"/>
        </w:tabs>
        <w:spacing w:line="360" w:lineRule="auto"/>
        <w:ind w:right="1560" w:firstLine="504" w:firstLineChars="200"/>
        <w:contextualSpacing/>
        <w:jc w:val="center"/>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日  期：</w:t>
      </w:r>
    </w:p>
    <w:p w14:paraId="34063273">
      <w:pPr>
        <w:spacing w:line="360" w:lineRule="auto"/>
        <w:contextualSpacing/>
        <w:rPr>
          <w:rFonts w:ascii="微软雅黑" w:hAnsi="微软雅黑" w:eastAsia="微软雅黑"/>
          <w:color w:val="auto"/>
          <w:sz w:val="24"/>
          <w:highlight w:val="none"/>
        </w:rPr>
      </w:pPr>
    </w:p>
    <w:p w14:paraId="5D9F5B44">
      <w:pPr>
        <w:spacing w:line="360" w:lineRule="auto"/>
        <w:contextualSpacing/>
        <w:rPr>
          <w:rFonts w:hint="eastAsia" w:ascii="微软雅黑" w:hAnsi="微软雅黑" w:eastAsia="微软雅黑"/>
          <w:color w:val="auto"/>
          <w:sz w:val="24"/>
          <w:highlight w:val="none"/>
        </w:rPr>
      </w:pPr>
    </w:p>
    <w:p w14:paraId="7B792AB1">
      <w:pPr>
        <w:spacing w:line="360" w:lineRule="auto"/>
        <w:contextualSpacing/>
        <w:rPr>
          <w:rFonts w:ascii="微软雅黑" w:hAnsi="微软雅黑" w:eastAsia="微软雅黑"/>
          <w:color w:val="auto"/>
          <w:sz w:val="24"/>
          <w:highlight w:val="none"/>
        </w:rPr>
      </w:pPr>
    </w:p>
    <w:p w14:paraId="5F728605">
      <w:pPr>
        <w:spacing w:line="360" w:lineRule="auto"/>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F16BBBB">
      <w:pPr>
        <w:spacing w:line="360" w:lineRule="auto"/>
        <w:jc w:val="left"/>
        <w:rPr>
          <w:rFonts w:hint="eastAsia" w:ascii="微软雅黑" w:hAnsi="微软雅黑" w:eastAsia="微软雅黑"/>
          <w:b/>
          <w:bCs/>
          <w:color w:val="auto"/>
          <w:sz w:val="32"/>
          <w:szCs w:val="32"/>
          <w:highlight w:val="none"/>
        </w:rPr>
      </w:pPr>
      <w:r>
        <w:rPr>
          <w:rFonts w:ascii="微软雅黑" w:hAnsi="微软雅黑" w:eastAsia="微软雅黑"/>
          <w:color w:val="auto"/>
          <w:sz w:val="24"/>
          <w:highlight w:val="none"/>
        </w:rPr>
        <w:br w:type="page"/>
      </w:r>
      <w:r>
        <w:rPr>
          <w:rFonts w:hint="eastAsia" w:ascii="微软雅黑" w:hAnsi="微软雅黑" w:eastAsia="微软雅黑"/>
          <w:b/>
          <w:color w:val="auto"/>
          <w:sz w:val="24"/>
          <w:highlight w:val="none"/>
        </w:rPr>
        <w:t>4.质疑函（格式）</w:t>
      </w:r>
    </w:p>
    <w:p w14:paraId="166E094B">
      <w:pPr>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质疑函（格式）</w:t>
      </w:r>
    </w:p>
    <w:p w14:paraId="45C4AA04">
      <w:pPr>
        <w:pStyle w:val="23"/>
        <w:snapToGrid w:val="0"/>
        <w:spacing w:line="400" w:lineRule="exact"/>
        <w:ind w:firstLine="480" w:firstLineChars="200"/>
        <w:rPr>
          <w:rFonts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一、质疑供应商基本信息：</w:t>
      </w:r>
    </w:p>
    <w:p w14:paraId="56445E37">
      <w:pPr>
        <w:pStyle w:val="23"/>
        <w:snapToGrid w:val="0"/>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质疑供应商：</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27B8CEB5">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4AF6FEAE">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联系电话</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20CCDF9D">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授权代表：</w:t>
      </w:r>
      <w:r>
        <w:rPr>
          <w:rFonts w:hint="eastAsia" w:ascii="微软雅黑" w:hAnsi="微软雅黑" w:eastAsia="微软雅黑"/>
          <w:bCs/>
          <w:color w:val="auto"/>
          <w:sz w:val="24"/>
          <w:szCs w:val="24"/>
          <w:highlight w:val="none"/>
          <w:u w:val="single"/>
        </w:rPr>
        <w:t xml:space="preserve">                      </w:t>
      </w:r>
    </w:p>
    <w:p w14:paraId="25D0B478">
      <w:pPr>
        <w:pStyle w:val="23"/>
        <w:snapToGrid w:val="0"/>
        <w:spacing w:line="400" w:lineRule="exact"/>
        <w:ind w:firstLine="480" w:firstLineChars="200"/>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7FC3B7EF">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5D7E7C33">
      <w:pPr>
        <w:pStyle w:val="23"/>
        <w:snapToGrid w:val="0"/>
        <w:spacing w:line="400" w:lineRule="exact"/>
        <w:ind w:firstLine="480" w:firstLineChars="200"/>
        <w:rPr>
          <w:rFonts w:hint="eastAsia"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二、质疑项目基本情况：</w:t>
      </w:r>
    </w:p>
    <w:p w14:paraId="7BB9E48A">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rPr>
        <w:t>质疑</w:t>
      </w:r>
      <w:r>
        <w:rPr>
          <w:rFonts w:hint="eastAsia" w:ascii="微软雅黑" w:hAnsi="微软雅黑" w:eastAsia="微软雅黑"/>
          <w:color w:val="auto"/>
          <w:sz w:val="24"/>
          <w:szCs w:val="24"/>
          <w:highlight w:val="none"/>
        </w:rPr>
        <w:t>项目的名称：</w:t>
      </w:r>
      <w:r>
        <w:rPr>
          <w:rFonts w:hint="eastAsia" w:ascii="微软雅黑" w:hAnsi="微软雅黑" w:eastAsia="微软雅黑"/>
          <w:bCs/>
          <w:color w:val="auto"/>
          <w:sz w:val="24"/>
          <w:szCs w:val="24"/>
          <w:highlight w:val="none"/>
          <w:u w:val="single"/>
        </w:rPr>
        <w:t xml:space="preserve">                                     </w:t>
      </w:r>
    </w:p>
    <w:p w14:paraId="004453B9">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rPr>
        <w:t>质疑</w:t>
      </w:r>
      <w:r>
        <w:rPr>
          <w:rFonts w:hint="eastAsia" w:ascii="微软雅黑" w:hAnsi="微软雅黑" w:eastAsia="微软雅黑"/>
          <w:color w:val="auto"/>
          <w:sz w:val="24"/>
          <w:szCs w:val="24"/>
          <w:highlight w:val="none"/>
        </w:rPr>
        <w:t>项目的编号：</w:t>
      </w:r>
      <w:r>
        <w:rPr>
          <w:rFonts w:hint="eastAsia" w:ascii="微软雅黑" w:hAnsi="微软雅黑" w:eastAsia="微软雅黑"/>
          <w:bCs/>
          <w:color w:val="auto"/>
          <w:sz w:val="24"/>
          <w:szCs w:val="24"/>
          <w:highlight w:val="none"/>
          <w:u w:val="single"/>
        </w:rPr>
        <w:t xml:space="preserve">                                     </w:t>
      </w:r>
    </w:p>
    <w:p w14:paraId="792D2C5F">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采购人名称：</w:t>
      </w:r>
      <w:r>
        <w:rPr>
          <w:rFonts w:hint="eastAsia" w:ascii="微软雅黑" w:hAnsi="微软雅黑" w:eastAsia="微软雅黑"/>
          <w:bCs/>
          <w:color w:val="auto"/>
          <w:sz w:val="24"/>
          <w:szCs w:val="24"/>
          <w:highlight w:val="none"/>
          <w:u w:val="single"/>
        </w:rPr>
        <w:t xml:space="preserve">                                         </w:t>
      </w:r>
    </w:p>
    <w:p w14:paraId="23D5F018">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w:t>
      </w:r>
    </w:p>
    <w:p w14:paraId="5141185C">
      <w:pPr>
        <w:pStyle w:val="23"/>
        <w:spacing w:line="400" w:lineRule="exact"/>
        <w:ind w:left="25" w:leftChars="12" w:firstLine="352" w:firstLineChars="147"/>
        <w:rPr>
          <w:rFonts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□招标文件   招标文件获取日期：</w:t>
      </w:r>
      <w:r>
        <w:rPr>
          <w:rFonts w:hint="eastAsia" w:ascii="微软雅黑" w:hAnsi="微软雅黑" w:eastAsia="微软雅黑"/>
          <w:bCs/>
          <w:color w:val="auto"/>
          <w:sz w:val="24"/>
          <w:szCs w:val="24"/>
          <w:highlight w:val="none"/>
          <w:u w:val="single"/>
        </w:rPr>
        <w:t xml:space="preserve">                                   </w:t>
      </w:r>
    </w:p>
    <w:p w14:paraId="5A191E82">
      <w:pPr>
        <w:pStyle w:val="23"/>
        <w:spacing w:line="400" w:lineRule="exact"/>
        <w:ind w:left="25" w:leftChars="12" w:firstLine="352" w:firstLineChars="14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 xml:space="preserve">□招标过程   </w:t>
      </w:r>
    </w:p>
    <w:p w14:paraId="4A4FAC0E">
      <w:pPr>
        <w:pStyle w:val="23"/>
        <w:spacing w:line="400" w:lineRule="exact"/>
        <w:ind w:left="25" w:leftChars="12" w:firstLine="352" w:firstLineChars="14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 xml:space="preserve">□招标结果   </w:t>
      </w:r>
    </w:p>
    <w:p w14:paraId="5449A62A">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三、质疑事项具体内容</w:t>
      </w:r>
    </w:p>
    <w:p w14:paraId="7F9A2A7A">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质疑事项1：</w:t>
      </w:r>
      <w:r>
        <w:rPr>
          <w:rFonts w:hint="eastAsia" w:ascii="微软雅黑" w:hAnsi="微软雅黑" w:eastAsia="微软雅黑"/>
          <w:bCs/>
          <w:color w:val="auto"/>
          <w:sz w:val="24"/>
          <w:szCs w:val="24"/>
          <w:highlight w:val="none"/>
          <w:u w:val="single"/>
        </w:rPr>
        <w:t xml:space="preserve">                                                                    </w:t>
      </w:r>
    </w:p>
    <w:p w14:paraId="57B896FE">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事实依据：</w:t>
      </w:r>
      <w:r>
        <w:rPr>
          <w:rFonts w:hint="eastAsia" w:ascii="微软雅黑" w:hAnsi="微软雅黑" w:eastAsia="微软雅黑"/>
          <w:bCs/>
          <w:color w:val="auto"/>
          <w:sz w:val="24"/>
          <w:szCs w:val="24"/>
          <w:highlight w:val="none"/>
          <w:u w:val="single"/>
        </w:rPr>
        <w:t xml:space="preserve">                                                                      </w:t>
      </w:r>
    </w:p>
    <w:p w14:paraId="7D648707">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法律依据：</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bCs/>
          <w:color w:val="auto"/>
          <w:sz w:val="24"/>
          <w:szCs w:val="24"/>
          <w:highlight w:val="none"/>
          <w:u w:val="single"/>
        </w:rPr>
        <w:t xml:space="preserve">               </w:t>
      </w:r>
    </w:p>
    <w:p w14:paraId="6A8FD0BC">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质疑事项2</w:t>
      </w:r>
    </w:p>
    <w:p w14:paraId="31F657B2">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ascii="微软雅黑" w:hAnsi="微软雅黑" w:eastAsia="微软雅黑"/>
          <w:color w:val="auto"/>
          <w:sz w:val="24"/>
          <w:szCs w:val="24"/>
          <w:highlight w:val="none"/>
        </w:rPr>
        <w:t>……</w:t>
      </w:r>
    </w:p>
    <w:p w14:paraId="3F17CAE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四、与质疑事项相关的质疑请求：</w:t>
      </w:r>
    </w:p>
    <w:p w14:paraId="0393E015">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请求：</w:t>
      </w:r>
      <w:r>
        <w:rPr>
          <w:rFonts w:hint="eastAsia" w:ascii="微软雅黑" w:hAnsi="微软雅黑" w:eastAsia="微软雅黑"/>
          <w:bCs/>
          <w:color w:val="auto"/>
          <w:sz w:val="24"/>
          <w:szCs w:val="24"/>
          <w:highlight w:val="none"/>
          <w:u w:val="single"/>
        </w:rPr>
        <w:t xml:space="preserve">                                                                </w:t>
      </w:r>
    </w:p>
    <w:p w14:paraId="3CBC2DA0">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624CE4E6">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签字（签章）：                                       公章：</w:t>
      </w:r>
    </w:p>
    <w:p w14:paraId="689EC131">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日期：</w:t>
      </w:r>
    </w:p>
    <w:p w14:paraId="54DDA8E6">
      <w:pPr>
        <w:pStyle w:val="23"/>
        <w:snapToGrid w:val="0"/>
        <w:spacing w:line="400" w:lineRule="exact"/>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说明：</w:t>
      </w:r>
    </w:p>
    <w:p w14:paraId="78666748">
      <w:pPr>
        <w:pStyle w:val="23"/>
        <w:spacing w:line="400" w:lineRule="exact"/>
        <w:ind w:left="25" w:leftChars="12" w:firstLine="353" w:firstLineChars="147"/>
        <w:rPr>
          <w:rFonts w:hint="eastAsia" w:ascii="微软雅黑" w:hAnsi="微软雅黑" w:eastAsia="微软雅黑"/>
          <w:b/>
          <w:bCs/>
          <w:color w:val="auto"/>
          <w:sz w:val="24"/>
          <w:szCs w:val="24"/>
          <w:highlight w:val="none"/>
        </w:rPr>
      </w:pPr>
      <w:r>
        <w:rPr>
          <w:rFonts w:hint="eastAsia" w:ascii="微软雅黑" w:hAnsi="微软雅黑" w:eastAsia="微软雅黑"/>
          <w:b/>
          <w:color w:val="auto"/>
          <w:sz w:val="24"/>
          <w:szCs w:val="24"/>
          <w:highlight w:val="none"/>
        </w:rPr>
        <w:t>1.供应商提出质疑时，应提交质疑函和必要的证明材料</w:t>
      </w:r>
      <w:r>
        <w:rPr>
          <w:rFonts w:hint="eastAsia" w:ascii="微软雅黑" w:hAnsi="微软雅黑" w:eastAsia="微软雅黑"/>
          <w:b/>
          <w:bCs/>
          <w:color w:val="auto"/>
          <w:sz w:val="24"/>
          <w:szCs w:val="24"/>
          <w:highlight w:val="none"/>
        </w:rPr>
        <w:t>。</w:t>
      </w:r>
    </w:p>
    <w:p w14:paraId="4C4C6B88">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0AC8301">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3.质疑函的质疑事项应具体、明确，并有必要的事实依据和法律依据。</w:t>
      </w:r>
    </w:p>
    <w:p w14:paraId="0D28EE61">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4.质疑函的质疑请求应与质疑事项相关。</w:t>
      </w:r>
    </w:p>
    <w:p w14:paraId="53EA4999">
      <w:pPr>
        <w:pStyle w:val="23"/>
        <w:spacing w:line="400" w:lineRule="exact"/>
        <w:ind w:left="25" w:leftChars="12" w:firstLine="353" w:firstLineChars="147"/>
        <w:rPr>
          <w:rFonts w:hint="eastAsia" w:ascii="微软雅黑" w:hAnsi="微软雅黑" w:eastAsia="微软雅黑"/>
          <w:b/>
          <w:color w:val="auto"/>
          <w:highlight w:val="none"/>
        </w:rPr>
      </w:pPr>
      <w:r>
        <w:rPr>
          <w:rFonts w:hint="eastAsia" w:ascii="微软雅黑" w:hAnsi="微软雅黑" w:eastAsia="微软雅黑"/>
          <w:b/>
          <w:color w:val="auto"/>
          <w:sz w:val="24"/>
          <w:szCs w:val="24"/>
          <w:highlight w:val="none"/>
        </w:rPr>
        <w:t>5.质疑供应商为法人或者其他组织的，质疑函应由法定代表人、主要负责人，或者其授权代表签字或者盖章，并加盖公章。</w:t>
      </w:r>
    </w:p>
    <w:p w14:paraId="271972B4">
      <w:pPr>
        <w:spacing w:line="460" w:lineRule="exact"/>
        <w:rPr>
          <w:rFonts w:hint="eastAsia" w:ascii="微软雅黑" w:hAnsi="微软雅黑" w:eastAsia="微软雅黑"/>
          <w:color w:val="auto"/>
          <w:sz w:val="44"/>
          <w:highlight w:val="none"/>
        </w:rPr>
      </w:pPr>
    </w:p>
    <w:p w14:paraId="27035217">
      <w:pPr>
        <w:spacing w:line="360" w:lineRule="auto"/>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5.投诉书（格式）</w:t>
      </w:r>
    </w:p>
    <w:p w14:paraId="75CEE9D2">
      <w:pPr>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投诉书（格式）</w:t>
      </w:r>
    </w:p>
    <w:p w14:paraId="04044EC5">
      <w:pPr>
        <w:pStyle w:val="23"/>
        <w:snapToGrid w:val="0"/>
        <w:spacing w:line="400" w:lineRule="exact"/>
        <w:ind w:firstLine="480" w:firstLineChars="200"/>
        <w:rPr>
          <w:rFonts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一、投诉相关主体基本情况：</w:t>
      </w:r>
    </w:p>
    <w:p w14:paraId="1D5F5928">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投标人：</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45B7D3AE">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4389DE27">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法定代表人/主要负责人：</w:t>
      </w:r>
      <w:r>
        <w:rPr>
          <w:rFonts w:hint="eastAsia" w:ascii="微软雅黑" w:hAnsi="微软雅黑" w:eastAsia="微软雅黑"/>
          <w:bCs/>
          <w:color w:val="auto"/>
          <w:sz w:val="24"/>
          <w:szCs w:val="24"/>
          <w:highlight w:val="none"/>
          <w:u w:val="single"/>
        </w:rPr>
        <w:t xml:space="preserve">                                                         </w:t>
      </w:r>
    </w:p>
    <w:p w14:paraId="4D832D20">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联系电话</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56E8CF73">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授权代表：</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3A4921FB">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7A5B69E5">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19AAD8B6">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被投诉人1：</w:t>
      </w:r>
    </w:p>
    <w:p w14:paraId="5A16A154">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u w:val="single"/>
        </w:rPr>
        <w:t xml:space="preserve">                                                            </w:t>
      </w:r>
    </w:p>
    <w:p w14:paraId="371DF49B">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23FD09DC">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6DDA7496">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被投诉人2：</w:t>
      </w:r>
    </w:p>
    <w:p w14:paraId="4A3086E3">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w:t>
      </w:r>
    </w:p>
    <w:p w14:paraId="7375F701">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相关供应商：</w:t>
      </w:r>
      <w:r>
        <w:rPr>
          <w:rFonts w:hint="eastAsia" w:ascii="微软雅黑" w:hAnsi="微软雅黑" w:eastAsia="微软雅黑"/>
          <w:bCs/>
          <w:color w:val="auto"/>
          <w:sz w:val="24"/>
          <w:szCs w:val="24"/>
          <w:highlight w:val="none"/>
          <w:u w:val="single"/>
        </w:rPr>
        <w:t xml:space="preserve">                                                                       </w:t>
      </w:r>
    </w:p>
    <w:p w14:paraId="60342750">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132BF87C">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5EAF910D">
      <w:pPr>
        <w:pStyle w:val="23"/>
        <w:snapToGrid w:val="0"/>
        <w:spacing w:line="400" w:lineRule="exact"/>
        <w:ind w:firstLine="480" w:firstLineChars="200"/>
        <w:rPr>
          <w:rFonts w:hint="eastAsia"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二、投诉项目基本情况：</w:t>
      </w:r>
    </w:p>
    <w:p w14:paraId="5520FC67">
      <w:pPr>
        <w:pStyle w:val="23"/>
        <w:spacing w:line="400" w:lineRule="exact"/>
        <w:ind w:left="25" w:leftChars="12" w:firstLine="472" w:firstLineChars="197"/>
        <w:rPr>
          <w:rFonts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招标项目的名称：</w:t>
      </w:r>
      <w:r>
        <w:rPr>
          <w:rFonts w:hint="eastAsia" w:ascii="微软雅黑" w:hAnsi="微软雅黑" w:eastAsia="微软雅黑"/>
          <w:bCs/>
          <w:color w:val="auto"/>
          <w:sz w:val="24"/>
          <w:szCs w:val="24"/>
          <w:highlight w:val="none"/>
          <w:u w:val="single"/>
        </w:rPr>
        <w:t xml:space="preserve">                                                                   </w:t>
      </w:r>
    </w:p>
    <w:p w14:paraId="32280D9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招标项目的编号：</w:t>
      </w:r>
      <w:r>
        <w:rPr>
          <w:rFonts w:hint="eastAsia" w:ascii="微软雅黑" w:hAnsi="微软雅黑" w:eastAsia="微软雅黑"/>
          <w:bCs/>
          <w:color w:val="auto"/>
          <w:sz w:val="24"/>
          <w:szCs w:val="24"/>
          <w:highlight w:val="none"/>
          <w:u w:val="single"/>
        </w:rPr>
        <w:t xml:space="preserve">                                          </w:t>
      </w:r>
    </w:p>
    <w:p w14:paraId="4B735E7E">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采购人名称：</w:t>
      </w:r>
      <w:r>
        <w:rPr>
          <w:rFonts w:hint="eastAsia" w:ascii="微软雅黑" w:hAnsi="微软雅黑" w:eastAsia="微软雅黑"/>
          <w:bCs/>
          <w:color w:val="auto"/>
          <w:sz w:val="24"/>
          <w:szCs w:val="24"/>
          <w:highlight w:val="none"/>
          <w:u w:val="single"/>
        </w:rPr>
        <w:t xml:space="preserve">                                                                        </w:t>
      </w:r>
    </w:p>
    <w:p w14:paraId="66F17418">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代理机构名称：</w:t>
      </w:r>
      <w:r>
        <w:rPr>
          <w:rFonts w:hint="eastAsia" w:ascii="微软雅黑" w:hAnsi="微软雅黑" w:eastAsia="微软雅黑"/>
          <w:bCs/>
          <w:color w:val="auto"/>
          <w:sz w:val="24"/>
          <w:szCs w:val="24"/>
          <w:highlight w:val="none"/>
          <w:u w:val="single"/>
        </w:rPr>
        <w:t xml:space="preserve">                                                                      </w:t>
      </w:r>
    </w:p>
    <w:p w14:paraId="7D4C509B">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招标</w:t>
      </w:r>
      <w:r>
        <w:rPr>
          <w:rFonts w:hint="eastAsia" w:ascii="微软雅黑" w:hAnsi="微软雅黑" w:eastAsia="微软雅黑"/>
          <w:bCs/>
          <w:color w:val="auto"/>
          <w:sz w:val="24"/>
          <w:szCs w:val="24"/>
          <w:highlight w:val="none"/>
        </w:rPr>
        <w:t>文件公告：</w:t>
      </w:r>
      <w:r>
        <w:rPr>
          <w:rFonts w:hint="eastAsia" w:ascii="微软雅黑" w:hAnsi="微软雅黑" w:eastAsia="微软雅黑"/>
          <w:bCs/>
          <w:color w:val="auto"/>
          <w:sz w:val="24"/>
          <w:szCs w:val="24"/>
          <w:highlight w:val="none"/>
          <w:u w:val="single"/>
        </w:rPr>
        <w:t>是/否</w:t>
      </w:r>
      <w:r>
        <w:rPr>
          <w:rFonts w:hint="eastAsia" w:ascii="微软雅黑" w:hAnsi="微软雅黑" w:eastAsia="微软雅黑"/>
          <w:bCs/>
          <w:color w:val="auto"/>
          <w:sz w:val="24"/>
          <w:szCs w:val="24"/>
          <w:highlight w:val="none"/>
        </w:rPr>
        <w:t>公告期限：</w:t>
      </w:r>
      <w:r>
        <w:rPr>
          <w:rFonts w:hint="eastAsia" w:ascii="微软雅黑" w:hAnsi="微软雅黑" w:eastAsia="微软雅黑"/>
          <w:bCs/>
          <w:color w:val="auto"/>
          <w:sz w:val="24"/>
          <w:szCs w:val="24"/>
          <w:highlight w:val="none"/>
          <w:u w:val="single"/>
        </w:rPr>
        <w:t xml:space="preserve">                                                       </w:t>
      </w:r>
    </w:p>
    <w:p w14:paraId="60268D46">
      <w:pPr>
        <w:pStyle w:val="23"/>
        <w:spacing w:line="400" w:lineRule="exact"/>
        <w:ind w:left="25" w:leftChars="12" w:firstLine="472" w:firstLineChars="197"/>
        <w:rPr>
          <w:rFonts w:hint="eastAsia" w:ascii="微软雅黑" w:hAnsi="微软雅黑" w:eastAsia="微软雅黑"/>
          <w:b/>
          <w:color w:val="auto"/>
          <w:sz w:val="24"/>
          <w:szCs w:val="24"/>
          <w:highlight w:val="none"/>
        </w:rPr>
      </w:pPr>
      <w:r>
        <w:rPr>
          <w:rFonts w:hint="eastAsia" w:ascii="微软雅黑" w:hAnsi="微软雅黑" w:eastAsia="微软雅黑"/>
          <w:color w:val="auto"/>
          <w:sz w:val="24"/>
          <w:highlight w:val="none"/>
        </w:rPr>
        <w:t>招标</w:t>
      </w:r>
      <w:r>
        <w:rPr>
          <w:rFonts w:hint="eastAsia" w:ascii="微软雅黑" w:hAnsi="微软雅黑" w:eastAsia="微软雅黑"/>
          <w:bCs/>
          <w:color w:val="auto"/>
          <w:sz w:val="24"/>
          <w:highlight w:val="none"/>
        </w:rPr>
        <w:t>结果公告：</w:t>
      </w:r>
      <w:r>
        <w:rPr>
          <w:rFonts w:hint="eastAsia" w:ascii="微软雅黑" w:hAnsi="微软雅黑" w:eastAsia="微软雅黑"/>
          <w:bCs/>
          <w:color w:val="auto"/>
          <w:sz w:val="24"/>
          <w:highlight w:val="none"/>
          <w:u w:val="single"/>
        </w:rPr>
        <w:t>是</w:t>
      </w:r>
      <w:r>
        <w:rPr>
          <w:rFonts w:ascii="微软雅黑" w:hAnsi="微软雅黑" w:eastAsia="微软雅黑"/>
          <w:bCs/>
          <w:color w:val="auto"/>
          <w:sz w:val="24"/>
          <w:highlight w:val="none"/>
          <w:u w:val="single"/>
        </w:rPr>
        <w:t>/</w:t>
      </w:r>
      <w:r>
        <w:rPr>
          <w:rFonts w:hint="eastAsia" w:ascii="微软雅黑" w:hAnsi="微软雅黑" w:eastAsia="微软雅黑"/>
          <w:bCs/>
          <w:color w:val="auto"/>
          <w:sz w:val="24"/>
          <w:highlight w:val="none"/>
          <w:u w:val="single"/>
        </w:rPr>
        <w:t>否</w:t>
      </w:r>
      <w:r>
        <w:rPr>
          <w:rFonts w:hint="eastAsia" w:ascii="微软雅黑" w:hAnsi="微软雅黑" w:eastAsia="微软雅黑"/>
          <w:bCs/>
          <w:color w:val="auto"/>
          <w:sz w:val="24"/>
          <w:highlight w:val="none"/>
        </w:rPr>
        <w:t>公告期限：</w:t>
      </w:r>
      <w:r>
        <w:rPr>
          <w:rFonts w:ascii="微软雅黑" w:hAnsi="微软雅黑" w:eastAsia="微软雅黑"/>
          <w:bCs/>
          <w:color w:val="auto"/>
          <w:sz w:val="24"/>
          <w:highlight w:val="none"/>
          <w:u w:val="single"/>
        </w:rPr>
        <w:t xml:space="preserve">                                      </w:t>
      </w:r>
      <w:r>
        <w:rPr>
          <w:rFonts w:hint="eastAsia" w:ascii="微软雅黑" w:hAnsi="微软雅黑" w:eastAsia="微软雅黑"/>
          <w:bCs/>
          <w:color w:val="auto"/>
          <w:sz w:val="24"/>
          <w:szCs w:val="24"/>
          <w:highlight w:val="none"/>
          <w:u w:val="single"/>
        </w:rPr>
        <w:t xml:space="preserve">              </w:t>
      </w:r>
    </w:p>
    <w:p w14:paraId="6762182B">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三、质疑基本情况</w:t>
      </w:r>
    </w:p>
    <w:p w14:paraId="20E865A1">
      <w:pPr>
        <w:pStyle w:val="23"/>
        <w:spacing w:line="400" w:lineRule="exact"/>
        <w:ind w:left="25" w:leftChars="12" w:firstLine="480" w:firstLineChars="200"/>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投诉人于</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年</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月</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日，向</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提出质疑，质疑事项为：</w:t>
      </w:r>
    </w:p>
    <w:p w14:paraId="2AF888B0">
      <w:pPr>
        <w:pStyle w:val="23"/>
        <w:spacing w:line="400" w:lineRule="exact"/>
        <w:ind w:firstLine="241"/>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610967AF">
      <w:pPr>
        <w:pStyle w:val="23"/>
        <w:spacing w:line="400" w:lineRule="exact"/>
        <w:ind w:firstLine="241"/>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32F9A34C">
      <w:pPr>
        <w:pStyle w:val="23"/>
        <w:spacing w:line="400" w:lineRule="exact"/>
        <w:ind w:firstLine="480" w:firstLineChars="200"/>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u w:val="single"/>
        </w:rPr>
        <w:t>采购人/代理机构</w:t>
      </w:r>
      <w:r>
        <w:rPr>
          <w:rFonts w:hint="eastAsia" w:ascii="微软雅黑" w:hAnsi="微软雅黑" w:eastAsia="微软雅黑"/>
          <w:bCs/>
          <w:color w:val="auto"/>
          <w:sz w:val="24"/>
          <w:szCs w:val="24"/>
          <w:highlight w:val="none"/>
        </w:rPr>
        <w:t>于</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年</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月</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日，</w:t>
      </w:r>
      <w:r>
        <w:rPr>
          <w:rFonts w:hint="eastAsia" w:ascii="微软雅黑" w:hAnsi="微软雅黑" w:eastAsia="微软雅黑"/>
          <w:bCs/>
          <w:color w:val="auto"/>
          <w:sz w:val="24"/>
          <w:szCs w:val="24"/>
          <w:highlight w:val="none"/>
        </w:rPr>
        <w:t xml:space="preserve">就质疑事项作出了答复/没有在法定期限内作出答复。                                                                                             </w:t>
      </w:r>
    </w:p>
    <w:p w14:paraId="2B2C2EAC">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四、投诉事项具体内容</w:t>
      </w:r>
    </w:p>
    <w:p w14:paraId="23557615">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投诉事项1：</w:t>
      </w:r>
      <w:r>
        <w:rPr>
          <w:rFonts w:hint="eastAsia" w:ascii="微软雅黑" w:hAnsi="微软雅黑" w:eastAsia="微软雅黑"/>
          <w:bCs/>
          <w:color w:val="auto"/>
          <w:sz w:val="24"/>
          <w:szCs w:val="24"/>
          <w:highlight w:val="none"/>
          <w:u w:val="single"/>
        </w:rPr>
        <w:t xml:space="preserve">                                                                           </w:t>
      </w:r>
    </w:p>
    <w:p w14:paraId="1C39D047">
      <w:pPr>
        <w:pStyle w:val="23"/>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事实依据：</w:t>
      </w: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6021265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u w:val="single"/>
        </w:rPr>
        <w:t xml:space="preserve">                                                                                        </w:t>
      </w:r>
    </w:p>
    <w:p w14:paraId="4DD0C2EF">
      <w:pPr>
        <w:pStyle w:val="23"/>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法律依据：</w:t>
      </w: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24CE384D">
      <w:pPr>
        <w:pStyle w:val="23"/>
        <w:spacing w:line="400" w:lineRule="exact"/>
        <w:ind w:left="25" w:leftChars="12" w:firstLine="352" w:firstLineChars="147"/>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771B8033">
      <w:pPr>
        <w:pStyle w:val="23"/>
        <w:spacing w:line="400" w:lineRule="exact"/>
        <w:ind w:left="25" w:leftChars="12" w:firstLine="472" w:firstLineChars="197"/>
        <w:rPr>
          <w:rFonts w:hint="eastAsia" w:ascii="微软雅黑" w:hAnsi="微软雅黑" w:eastAsia="微软雅黑"/>
          <w:bCs/>
          <w:color w:val="auto"/>
          <w:sz w:val="24"/>
          <w:szCs w:val="24"/>
          <w:highlight w:val="none"/>
        </w:rPr>
      </w:pPr>
      <w:r>
        <w:rPr>
          <w:rFonts w:hint="eastAsia" w:ascii="微软雅黑" w:hAnsi="微软雅黑" w:eastAsia="微软雅黑"/>
          <w:color w:val="auto"/>
          <w:sz w:val="24"/>
          <w:szCs w:val="24"/>
          <w:highlight w:val="none"/>
        </w:rPr>
        <w:t xml:space="preserve">投诉事项2  </w:t>
      </w:r>
      <w:r>
        <w:rPr>
          <w:rFonts w:hint="eastAsia" w:ascii="微软雅黑" w:hAnsi="微软雅黑" w:eastAsia="微软雅黑"/>
          <w:bCs/>
          <w:color w:val="auto"/>
          <w:sz w:val="24"/>
          <w:szCs w:val="24"/>
          <w:highlight w:val="none"/>
        </w:rPr>
        <w:t xml:space="preserve">   </w:t>
      </w:r>
    </w:p>
    <w:p w14:paraId="4CBA4548">
      <w:pPr>
        <w:pStyle w:val="23"/>
        <w:spacing w:line="400" w:lineRule="exact"/>
        <w:ind w:left="25" w:leftChars="12" w:firstLine="472" w:firstLineChars="197"/>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w:t>
      </w:r>
    </w:p>
    <w:p w14:paraId="3DB96FB2">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五、与投诉事项相关的投诉请求：</w:t>
      </w:r>
    </w:p>
    <w:p w14:paraId="011FB01E">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请求：</w:t>
      </w:r>
      <w:r>
        <w:rPr>
          <w:rFonts w:hint="eastAsia" w:ascii="微软雅黑" w:hAnsi="微软雅黑" w:eastAsia="微软雅黑"/>
          <w:bCs/>
          <w:color w:val="auto"/>
          <w:sz w:val="24"/>
          <w:szCs w:val="24"/>
          <w:highlight w:val="none"/>
          <w:u w:val="single"/>
        </w:rPr>
        <w:t xml:space="preserve">                                                                                 </w:t>
      </w:r>
    </w:p>
    <w:p w14:paraId="1B5C8342">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465946A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签字（签章）：                                       公章：</w:t>
      </w:r>
    </w:p>
    <w:p w14:paraId="3E3D5CC7">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77705C9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日期：</w:t>
      </w:r>
    </w:p>
    <w:p w14:paraId="7C3E2BCF">
      <w:pPr>
        <w:pStyle w:val="23"/>
        <w:spacing w:line="400" w:lineRule="exact"/>
        <w:ind w:left="25" w:leftChars="12" w:firstLine="472" w:firstLineChars="197"/>
        <w:rPr>
          <w:rFonts w:hint="eastAsia" w:ascii="微软雅黑" w:hAnsi="微软雅黑" w:eastAsia="微软雅黑"/>
          <w:b/>
          <w:color w:val="auto"/>
          <w:sz w:val="24"/>
          <w:szCs w:val="24"/>
          <w:highlight w:val="non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
          <w:color w:val="auto"/>
          <w:sz w:val="24"/>
          <w:szCs w:val="24"/>
          <w:highlight w:val="none"/>
        </w:rPr>
        <w:t>说明：</w:t>
      </w:r>
    </w:p>
    <w:p w14:paraId="32D193C6">
      <w:pPr>
        <w:pStyle w:val="23"/>
        <w:spacing w:line="400" w:lineRule="exact"/>
        <w:ind w:left="25" w:leftChars="12" w:firstLine="353" w:firstLineChars="147"/>
        <w:rPr>
          <w:rFonts w:hint="eastAsia" w:ascii="微软雅黑" w:hAnsi="微软雅黑" w:eastAsia="微软雅黑"/>
          <w:b/>
          <w:bCs/>
          <w:color w:val="auto"/>
          <w:sz w:val="24"/>
          <w:szCs w:val="24"/>
          <w:highlight w:val="none"/>
        </w:rPr>
      </w:pPr>
      <w:r>
        <w:rPr>
          <w:rFonts w:hint="eastAsia" w:ascii="微软雅黑" w:hAnsi="微软雅黑" w:eastAsia="微软雅黑"/>
          <w:b/>
          <w:color w:val="auto"/>
          <w:sz w:val="24"/>
          <w:szCs w:val="24"/>
          <w:highlight w:val="none"/>
        </w:rPr>
        <w:t>1.投诉人提起投诉时，应当提交投诉书和必要的证明材料，并按照被投诉人和与投诉事项有关的供应商数量提供投诉书副本</w:t>
      </w:r>
      <w:r>
        <w:rPr>
          <w:rFonts w:hint="eastAsia" w:ascii="微软雅黑" w:hAnsi="微软雅黑" w:eastAsia="微软雅黑"/>
          <w:b/>
          <w:bCs/>
          <w:color w:val="auto"/>
          <w:sz w:val="24"/>
          <w:szCs w:val="24"/>
          <w:highlight w:val="none"/>
        </w:rPr>
        <w:t>。</w:t>
      </w:r>
    </w:p>
    <w:p w14:paraId="5007A917">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7F1E149">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3.投诉书应简要列明质疑事项，质疑函、质疑答复等作为附件材料提供。</w:t>
      </w:r>
    </w:p>
    <w:p w14:paraId="4C72344A">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4.投诉书的投诉事项应具体、明确，并有必要的事实依据和法律依据。</w:t>
      </w:r>
    </w:p>
    <w:p w14:paraId="2696348E">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5.投诉书的投诉请求应与投诉事项相关。</w:t>
      </w:r>
    </w:p>
    <w:p w14:paraId="4360D662">
      <w:pPr>
        <w:pStyle w:val="23"/>
        <w:spacing w:line="400" w:lineRule="exact"/>
        <w:ind w:left="25" w:leftChars="12" w:firstLine="353" w:firstLineChars="147"/>
        <w:rPr>
          <w:rFonts w:hint="eastAsia" w:ascii="微软雅黑" w:hAnsi="微软雅黑" w:eastAsia="微软雅黑"/>
          <w:b/>
          <w:color w:val="auto"/>
          <w:highlight w:val="none"/>
        </w:rPr>
      </w:pPr>
      <w:r>
        <w:rPr>
          <w:rFonts w:hint="eastAsia" w:ascii="微软雅黑" w:hAnsi="微软雅黑" w:eastAsia="微软雅黑"/>
          <w:b/>
          <w:color w:val="auto"/>
          <w:sz w:val="24"/>
          <w:szCs w:val="24"/>
          <w:highlight w:val="none"/>
        </w:rPr>
        <w:t>6.投诉人为法人或者其他组织的，投诉书应由法定代表人、主要负责人，或者其授权代表签字或者盖章，并加盖公章。</w:t>
      </w:r>
    </w:p>
    <w:p w14:paraId="3A4EAE22">
      <w:pPr>
        <w:snapToGrid w:val="0"/>
        <w:spacing w:before="120" w:beforeLines="50" w:after="50"/>
        <w:jc w:val="left"/>
        <w:rPr>
          <w:rFonts w:hint="eastAsia" w:ascii="微软雅黑" w:hAnsi="微软雅黑" w:eastAsia="微软雅黑"/>
          <w:b/>
          <w:color w:val="auto"/>
          <w:highlight w:val="none"/>
        </w:rPr>
      </w:pPr>
    </w:p>
    <w:p w14:paraId="131DC4DD">
      <w:pPr>
        <w:snapToGrid w:val="0"/>
        <w:spacing w:before="120" w:beforeLines="50" w:after="50"/>
        <w:jc w:val="left"/>
        <w:rPr>
          <w:rFonts w:hint="eastAsia" w:ascii="微软雅黑" w:hAnsi="微软雅黑" w:eastAsia="微软雅黑"/>
          <w:b/>
          <w:color w:val="auto"/>
          <w:highlight w:val="none"/>
        </w:rPr>
      </w:pPr>
    </w:p>
    <w:sectPr>
      <w:footerReference r:id="rId16" w:type="first"/>
      <w:headerReference r:id="rId13" w:type="default"/>
      <w:footerReference r:id="rId14" w:type="default"/>
      <w:footerReference r:id="rId15" w:type="even"/>
      <w:pgSz w:w="11906" w:h="16838"/>
      <w:pgMar w:top="1134" w:right="1503" w:bottom="1559" w:left="1678" w:header="851" w:footer="992" w:gutter="0"/>
      <w:pgBorders w:offsetFrom="page">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27549C-92BC-429A-8373-28D78C7D00CE}"/>
  </w:font>
  <w:font w:name="黑体">
    <w:panose1 w:val="02010609060101010101"/>
    <w:charset w:val="86"/>
    <w:family w:val="auto"/>
    <w:pitch w:val="default"/>
    <w:sig w:usb0="800002BF" w:usb1="38CF7CFA" w:usb2="00000016" w:usb3="00000000" w:csb0="00040001" w:csb1="00000000"/>
    <w:embedRegular r:id="rId2" w:fontKey="{910F3E5E-BDD8-4296-A081-AC814135C760}"/>
  </w:font>
  <w:font w:name="Courier New">
    <w:panose1 w:val="02070309020205020404"/>
    <w:charset w:val="01"/>
    <w:family w:val="modern"/>
    <w:pitch w:val="default"/>
    <w:sig w:usb0="E0002EFF" w:usb1="C0007843" w:usb2="00000009" w:usb3="00000000" w:csb0="400001FF" w:csb1="FFFF0000"/>
    <w:embedRegular r:id="rId3" w:fontKey="{1D637ECF-B99A-4878-A76A-4BF89CC89CF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10A0D39-3DE6-4D41-A832-5C5B234B8A50}"/>
  </w:font>
  <w:font w:name="仿宋_GB2312">
    <w:panose1 w:val="02010609030101010101"/>
    <w:charset w:val="86"/>
    <w:family w:val="auto"/>
    <w:pitch w:val="default"/>
    <w:sig w:usb0="00000001" w:usb1="080E0000" w:usb2="00000000" w:usb3="00000000" w:csb0="00040000" w:csb1="00000000"/>
    <w:embedRegular r:id="rId5" w:fontKey="{D9C9707C-095E-40A7-AB77-E105AB1F047F}"/>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embedRegular r:id="rId6" w:fontKey="{85EA9CFE-3777-4A33-9293-FD356BF78BED}"/>
  </w:font>
  <w:font w:name="微软雅黑">
    <w:panose1 w:val="020B0503020204020204"/>
    <w:charset w:val="86"/>
    <w:family w:val="swiss"/>
    <w:pitch w:val="default"/>
    <w:sig w:usb0="80000287" w:usb1="2ACF3C50" w:usb2="00000016" w:usb3="00000000" w:csb0="0004001F" w:csb1="00000000"/>
    <w:embedRegular r:id="rId7" w:fontKey="{F55E5836-52D4-4A54-A4C8-C860DBE1389B}"/>
  </w:font>
  <w:font w:name="Segoe UI Emoji">
    <w:panose1 w:val="020B0502040204020203"/>
    <w:charset w:val="00"/>
    <w:family w:val="swiss"/>
    <w:pitch w:val="default"/>
    <w:sig w:usb0="00000001" w:usb1="02000000" w:usb2="00000000" w:usb3="00000000" w:csb0="00000001" w:csb1="00000000"/>
    <w:embedRegular r:id="rId8" w:fontKey="{17572128-7E74-49DC-B57E-ACE45E85BDE1}"/>
  </w:font>
  <w:font w:name="Wingdings 2">
    <w:panose1 w:val="05020102010507070707"/>
    <w:charset w:val="02"/>
    <w:family w:val="auto"/>
    <w:pitch w:val="default"/>
    <w:sig w:usb0="00000000" w:usb1="00000000" w:usb2="00000000" w:usb3="00000000" w:csb0="80000000" w:csb1="00000000"/>
    <w:embedRegular r:id="rId9" w:fontKey="{A2835BF6-669D-4455-A452-0018B2E6A5AC}"/>
  </w:font>
  <w:font w:name="Helvetica">
    <w:panose1 w:val="020B0504020202030204"/>
    <w:charset w:val="00"/>
    <w:family w:val="swiss"/>
    <w:pitch w:val="default"/>
    <w:sig w:usb0="00000007" w:usb1="00000000" w:usb2="00000000" w:usb3="00000000" w:csb0="00000093" w:csb1="00000000"/>
    <w:embedRegular r:id="rId10" w:fontKey="{27AEA3F7-EBA8-4220-A4DA-0609224AFE9B}"/>
  </w:font>
  <w:font w:name="等线">
    <w:panose1 w:val="02010600030101010101"/>
    <w:charset w:val="86"/>
    <w:family w:val="auto"/>
    <w:pitch w:val="default"/>
    <w:sig w:usb0="A00002BF" w:usb1="38CF7CFA" w:usb2="00000016" w:usb3="00000000" w:csb0="0004000F" w:csb1="00000000"/>
    <w:embedRegular r:id="rId11" w:fontKey="{62E4086B-6AB9-4F44-9155-ACA633B572A8}"/>
  </w:font>
  <w:font w:name="方正小标宋简体">
    <w:panose1 w:val="02000000000000000000"/>
    <w:charset w:val="86"/>
    <w:family w:val="script"/>
    <w:pitch w:val="default"/>
    <w:sig w:usb0="00000001" w:usb1="08000000" w:usb2="00000000" w:usb3="00000000" w:csb0="00040000" w:csb1="00000000"/>
    <w:embedRegular r:id="rId12" w:fontKey="{3FFCBBF5-C8A3-427B-8F0D-CB57BCD80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C3AD1">
    <w:pPr>
      <w:pStyle w:val="29"/>
      <w:jc w:val="center"/>
    </w:pPr>
  </w:p>
  <w:p w14:paraId="67148946">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7069C">
    <w:pPr>
      <w:pStyle w:val="29"/>
      <w:jc w:val="center"/>
    </w:pPr>
  </w:p>
  <w:p w14:paraId="321EBFF5">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A0E14">
    <w:pPr>
      <w:pStyle w:val="2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486A46">
                          <w:pPr>
                            <w:pStyle w:val="29"/>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EII1uEBAADBAwAADgAAAGRycy9lMm9Eb2MueG1srVPNjtMwEL4j8Q6W&#10;7zRpk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xVfcOaEpYGff3w///x9/vWN&#10;zcvXV0mhLsCKEu8CpWL/xve0N5MfyJmI90206U+UGMVJ39NFX9Ujk+nScrFclhSSFJsOhF88XA8R&#10;8J3yliWj4pEGmHUVxw+AQ+qUkqo5f6uNyUM07h8HYSZPkXofekwW9rt+JLTz9Yn40EugOq2PXznr&#10;aA8q7mjtOTPvHcmcVmYy4mTsJkM4SRcrjpwN5lscVusQot63edlSUxB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YQgjW4QEAAMEDAAAOAAAA&#10;AAAAAAEAIAAAAB4BAABkcnMvZTJvRG9jLnhtbFBLBQYAAAAABgAGAFkBAABxBQAAAAA=&#10;">
              <v:fill on="f" focussize="0,0"/>
              <v:stroke on="f"/>
              <v:imagedata o:title=""/>
              <o:lock v:ext="edit" aspectratio="f"/>
              <v:textbox inset="0mm,0mm,0mm,0mm" style="mso-fit-shape-to-text:t;">
                <w:txbxContent>
                  <w:p w14:paraId="47486A46">
                    <w:pPr>
                      <w:pStyle w:val="29"/>
                    </w:pPr>
                    <w:r>
                      <w:fldChar w:fldCharType="begin"/>
                    </w:r>
                    <w:r>
                      <w:instrText xml:space="preserve"> PAGE  \* MERGEFORMAT </w:instrText>
                    </w:r>
                    <w:r>
                      <w:fldChar w:fldCharType="separate"/>
                    </w:r>
                    <w:r>
                      <w:t>2</w:t>
                    </w:r>
                    <w:r>
                      <w:fldChar w:fldCharType="end"/>
                    </w:r>
                  </w:p>
                </w:txbxContent>
              </v:textbox>
            </v:shape>
          </w:pict>
        </mc:Fallback>
      </mc:AlternateContent>
    </w:r>
  </w:p>
  <w:p w14:paraId="52EE817E">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66B7">
    <w:pPr>
      <w:pStyle w:val="29"/>
      <w:jc w:val="center"/>
      <w:rPr>
        <w:sz w:val="22"/>
        <w:szCs w:val="22"/>
      </w:rPr>
    </w:pPr>
    <w:r>
      <w:rPr>
        <w:sz w:val="22"/>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BA62DA">
                          <w:pPr>
                            <w:pStyle w:val="2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ukwSm4QEAAMEDAAAOAAAA&#10;AAAAAAEAIAAAAB4BAABkcnMvZTJvRG9jLnhtbFBLBQYAAAAABgAGAFkBAABxBQAAAAA=&#10;">
              <v:fill on="f" focussize="0,0"/>
              <v:stroke on="f"/>
              <v:imagedata o:title=""/>
              <o:lock v:ext="edit" aspectratio="f"/>
              <v:textbox inset="0mm,0mm,0mm,0mm" style="mso-fit-shape-to-text:t;">
                <w:txbxContent>
                  <w:p w14:paraId="1ABA62DA">
                    <w:pPr>
                      <w:pStyle w:val="29"/>
                    </w:pPr>
                    <w:r>
                      <w:fldChar w:fldCharType="begin"/>
                    </w:r>
                    <w:r>
                      <w:instrText xml:space="preserve"> PAGE  \* MERGEFORMAT </w:instrText>
                    </w:r>
                    <w:r>
                      <w:fldChar w:fldCharType="separate"/>
                    </w:r>
                    <w:r>
                      <w:t>1</w:t>
                    </w:r>
                    <w:r>
                      <w:fldChar w:fldCharType="end"/>
                    </w:r>
                  </w:p>
                </w:txbxContent>
              </v:textbox>
            </v:shape>
          </w:pict>
        </mc:Fallback>
      </mc:AlternateContent>
    </w:r>
  </w:p>
  <w:p w14:paraId="5904E696">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FE16">
    <w:pPr>
      <w:pStyle w:val="2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3A10DC">
                          <w:pPr>
                            <w:pStyle w:val="2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文本框 104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Tlrc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lW&#10;L5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uTlrcoBAACcAwAADgAAAAAAAAABACAAAAAeAQAAZHJzL2Uyb0Rv&#10;Yy54bWxQSwUGAAAAAAYABgBZAQAAWgUAAAAA&#10;">
              <v:fill on="f" focussize="0,0"/>
              <v:stroke on="f"/>
              <v:imagedata o:title=""/>
              <o:lock v:ext="edit" aspectratio="f"/>
              <v:textbox inset="0mm,0mm,0mm,0mm" style="mso-fit-shape-to-text:t;">
                <w:txbxContent>
                  <w:p w14:paraId="4B3A10DC">
                    <w:pPr>
                      <w:pStyle w:val="29"/>
                    </w:pPr>
                    <w:r>
                      <w:fldChar w:fldCharType="begin"/>
                    </w:r>
                    <w:r>
                      <w:instrText xml:space="preserve"> PAGE  \* MERGEFORMAT </w:instrText>
                    </w:r>
                    <w:r>
                      <w:fldChar w:fldCharType="separate"/>
                    </w:r>
                    <w:r>
                      <w:t>83</w:t>
                    </w:r>
                    <w:r>
                      <w:fldChar w:fldCharType="end"/>
                    </w:r>
                  </w:p>
                </w:txbxContent>
              </v:textbox>
            </v:shape>
          </w:pict>
        </mc:Fallback>
      </mc:AlternateContent>
    </w:r>
  </w:p>
  <w:p w14:paraId="0D0140EF">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41422">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7AACA6">
                          <w:pPr>
                            <w:pStyle w:val="29"/>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sB3bjgAQAAwQMAAA4AAAAA&#10;AAAAAQAgAAAAHgEAAGRycy9lMm9Eb2MueG1sUEsFBgAAAAAGAAYAWQEAAHAFAAAAAA==&#10;">
              <v:fill on="f" focussize="0,0"/>
              <v:stroke on="f"/>
              <v:imagedata o:title=""/>
              <o:lock v:ext="edit" aspectratio="f"/>
              <v:textbox inset="0mm,0mm,0mm,0mm" style="mso-fit-shape-to-text:t;">
                <w:txbxContent>
                  <w:p w14:paraId="687AACA6">
                    <w:pPr>
                      <w:pStyle w:val="29"/>
                    </w:pPr>
                    <w:r>
                      <w:fldChar w:fldCharType="begin"/>
                    </w:r>
                    <w:r>
                      <w:instrText xml:space="preserve"> PAGE  \* MERGEFORMAT </w:instrText>
                    </w:r>
                    <w:r>
                      <w:fldChar w:fldCharType="separate"/>
                    </w:r>
                    <w:r>
                      <w:t>83</w:t>
                    </w:r>
                    <w:r>
                      <w:fldChar w:fldCharType="end"/>
                    </w:r>
                  </w:p>
                </w:txbxContent>
              </v:textbox>
            </v:shape>
          </w:pict>
        </mc:Fallback>
      </mc:AlternateContent>
    </w:r>
  </w:p>
  <w:p w14:paraId="64831A7E">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9CA34">
    <w:pPr>
      <w:pStyle w:val="2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C04F20">
                          <w:pPr>
                            <w:pStyle w:val="29"/>
                          </w:pPr>
                          <w:r>
                            <w:fldChar w:fldCharType="begin"/>
                          </w:r>
                          <w:r>
                            <w:instrText xml:space="preserve"> PAGE  \* MERGEFORMAT </w:instrText>
                          </w:r>
                          <w:r>
                            <w:fldChar w:fldCharType="separate"/>
                          </w:r>
                          <w:r>
                            <w:t>158</w:t>
                          </w:r>
                          <w:r>
                            <w:fldChar w:fldCharType="end"/>
                          </w:r>
                        </w:p>
                      </w:txbxContent>
                    </wps:txbx>
                    <wps:bodyPr vert="horz" wrap="none" lIns="0" tIns="0" rIns="0" bIns="0" anchor="t" anchorCtr="0" upright="0">
                      <a:spAutoFit/>
                    </wps:bodyPr>
                  </wps:wsp>
                </a:graphicData>
              </a:graphic>
            </wp:anchor>
          </w:drawing>
        </mc:Choice>
        <mc:Fallback>
          <w:pict>
            <v:shape id="文本框 103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unsoZ4QEAAMEDAAAOAAAA&#10;AAAAAAEAIAAAAB4BAABkcnMvZTJvRG9jLnhtbFBLBQYAAAAABgAGAFkBAABxBQAAAAA=&#10;">
              <v:fill on="f" focussize="0,0"/>
              <v:stroke on="f"/>
              <v:imagedata o:title=""/>
              <o:lock v:ext="edit" aspectratio="f"/>
              <v:textbox inset="0mm,0mm,0mm,0mm" style="mso-fit-shape-to-text:t;">
                <w:txbxContent>
                  <w:p w14:paraId="5AC04F20">
                    <w:pPr>
                      <w:pStyle w:val="29"/>
                    </w:pPr>
                    <w:r>
                      <w:fldChar w:fldCharType="begin"/>
                    </w:r>
                    <w:r>
                      <w:instrText xml:space="preserve"> PAGE  \* MERGEFORMAT </w:instrText>
                    </w:r>
                    <w:r>
                      <w:fldChar w:fldCharType="separate"/>
                    </w:r>
                    <w:r>
                      <w:t>158</w:t>
                    </w:r>
                    <w:r>
                      <w:fldChar w:fldCharType="end"/>
                    </w:r>
                  </w:p>
                </w:txbxContent>
              </v:textbox>
            </v:shape>
          </w:pict>
        </mc:Fallback>
      </mc:AlternateContent>
    </w:r>
  </w:p>
  <w:p w14:paraId="1DF9BBD3">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BA0AF">
    <w:pPr>
      <w:pStyle w:val="29"/>
      <w:framePr w:wrap="around" w:vAnchor="text" w:hAnchor="margin" w:xAlign="center" w:y="1"/>
      <w:rPr>
        <w:rStyle w:val="50"/>
      </w:rPr>
    </w:pPr>
    <w:r>
      <w:fldChar w:fldCharType="begin"/>
    </w:r>
    <w:r>
      <w:rPr>
        <w:rStyle w:val="50"/>
      </w:rPr>
      <w:instrText xml:space="preserve">PAGE  </w:instrText>
    </w:r>
    <w:r>
      <w:fldChar w:fldCharType="end"/>
    </w:r>
  </w:p>
  <w:p w14:paraId="68117DB2">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4D28E">
    <w:pPr>
      <w:pStyle w:val="29"/>
      <w:ind w:right="360"/>
      <w:jc w:val="both"/>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634DD4">
                          <w:pPr>
                            <w:pStyle w:val="29"/>
                          </w:pPr>
                          <w:r>
                            <w:fldChar w:fldCharType="begin"/>
                          </w:r>
                          <w:r>
                            <w:instrText xml:space="preserve"> PAGE  \* MERGEFORMAT </w:instrText>
                          </w:r>
                          <w:r>
                            <w:fldChar w:fldCharType="separate"/>
                          </w:r>
                          <w:r>
                            <w:t>157</w:t>
                          </w:r>
                          <w: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E8u8d8BAADBAwAADgAAAAAA&#10;AAABACAAAAAeAQAAZHJzL2Uyb0RvYy54bWxQSwUGAAAAAAYABgBZAQAAbwUAAAAA&#10;">
              <v:fill on="f" focussize="0,0"/>
              <v:stroke on="f"/>
              <v:imagedata o:title=""/>
              <o:lock v:ext="edit" aspectratio="f"/>
              <v:textbox inset="0mm,0mm,0mm,0mm" style="mso-fit-shape-to-text:t;">
                <w:txbxContent>
                  <w:p w14:paraId="04634DD4">
                    <w:pPr>
                      <w:pStyle w:val="29"/>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F8B2">
    <w:pPr>
      <w:pStyle w:val="30"/>
      <w:pBdr>
        <w:bottom w:val="single" w:color="auto" w:sz="4" w:space="1"/>
      </w:pBdr>
    </w:pPr>
    <w:r>
      <w:rPr>
        <w:rFonts w:hint="eastAsia" w:ascii="宋体" w:hAnsi="宋体" w:eastAsia="宋体" w:cs="宋体"/>
        <w:sz w:val="18"/>
        <w:szCs w:val="18"/>
        <w:highlight w:val="none"/>
        <w:u w:val="none"/>
      </w:rPr>
      <w:t>广西公安数字化改革之</w:t>
    </w:r>
    <w:r>
      <w:rPr>
        <w:rFonts w:hint="eastAsia" w:ascii="宋体" w:hAnsi="宋体" w:cs="宋体"/>
        <w:sz w:val="18"/>
        <w:szCs w:val="18"/>
        <w:highlight w:val="none"/>
        <w:u w:val="none"/>
        <w:lang w:eastAsia="zh-CN"/>
      </w:rPr>
      <w:t>技术支撑体系项目（三）</w:t>
    </w:r>
    <w:r>
      <w:rPr>
        <w:rFonts w:hint="eastAsia" w:ascii="宋体" w:hAnsi="宋体" w:cs="宋体"/>
        <w:sz w:val="18"/>
        <w:szCs w:val="18"/>
        <w:highlight w:val="none"/>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GXZC2024-G3-005615-HXXM</w:t>
    </w:r>
    <w:r>
      <w:rPr>
        <w:rFonts w:hint="eastAsia" w:ascii="宋体" w:hAnsi="宋体" w:eastAsia="宋体" w:cs="宋体"/>
        <w:color w:val="000000"/>
        <w:sz w:val="18"/>
        <w:szCs w:val="18"/>
        <w:u w:val="none"/>
      </w:rPr>
      <w:fldChar w:fldCharType="end"/>
    </w:r>
    <w:r>
      <w:rPr>
        <w:rFonts w:hint="eastAsia" w:ascii="宋体" w:hAnsi="宋体" w:cs="宋体"/>
        <w:sz w:val="18"/>
        <w:szCs w:val="18"/>
        <w:highlight w:val="none"/>
        <w:u w:val="none"/>
        <w:lang w:val="en-US"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0E9E6">
    <w:pPr>
      <w:pStyle w:val="30"/>
      <w:pBdr>
        <w:bottom w:val="single" w:color="auto" w:sz="4" w:space="1"/>
      </w:pBdr>
      <w:rPr>
        <w:rFonts w:hint="eastAsia" w:ascii="宋体" w:hAnsi="宋体" w:eastAsia="宋体" w:cs="宋体"/>
        <w:sz w:val="18"/>
        <w:szCs w:val="18"/>
        <w:u w:val="none"/>
      </w:rPr>
    </w:pPr>
    <w:r>
      <w:rPr>
        <w:rFonts w:hint="eastAsia" w:ascii="宋体" w:hAnsi="宋体" w:eastAsia="宋体" w:cs="宋体"/>
        <w:sz w:val="18"/>
        <w:szCs w:val="18"/>
        <w:highlight w:val="none"/>
        <w:u w:val="none"/>
      </w:rPr>
      <w:t>广西公安数字化改革之</w:t>
    </w:r>
    <w:r>
      <w:rPr>
        <w:rFonts w:hint="eastAsia" w:ascii="宋体" w:hAnsi="宋体" w:cs="宋体"/>
        <w:sz w:val="18"/>
        <w:szCs w:val="18"/>
        <w:highlight w:val="none"/>
        <w:u w:val="none"/>
        <w:lang w:eastAsia="zh-CN"/>
      </w:rPr>
      <w:t>技术支撑体系项目（三）</w:t>
    </w:r>
    <w:r>
      <w:rPr>
        <w:rFonts w:hint="eastAsia" w:ascii="宋体" w:hAnsi="宋体" w:cs="宋体"/>
        <w:sz w:val="18"/>
        <w:szCs w:val="18"/>
        <w:highlight w:val="none"/>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GXZC2024-G3-005615-HXXM</w:t>
    </w:r>
    <w:r>
      <w:rPr>
        <w:rFonts w:hint="eastAsia" w:ascii="宋体" w:hAnsi="宋体" w:eastAsia="宋体" w:cs="宋体"/>
        <w:color w:val="000000"/>
        <w:sz w:val="18"/>
        <w:szCs w:val="18"/>
        <w:u w:val="none"/>
      </w:rPr>
      <w:fldChar w:fldCharType="end"/>
    </w:r>
    <w:r>
      <w:rPr>
        <w:rFonts w:hint="eastAsia" w:ascii="宋体" w:hAnsi="宋体" w:cs="宋体"/>
        <w:sz w:val="18"/>
        <w:szCs w:val="18"/>
        <w:highlight w:val="none"/>
        <w:u w:val="none"/>
        <w:lang w:val="en-US" w:eastAsia="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A2DE2">
    <w:pPr>
      <w:pStyle w:val="30"/>
      <w:pBdr>
        <w:bottom w:val="single" w:color="auto" w:sz="4" w:space="1"/>
      </w:pBdr>
    </w:pPr>
    <w:r>
      <w:rPr>
        <w:rFonts w:hint="eastAsia" w:ascii="宋体" w:hAnsi="宋体" w:eastAsia="宋体" w:cs="宋体"/>
        <w:sz w:val="18"/>
        <w:szCs w:val="18"/>
        <w:highlight w:val="none"/>
        <w:u w:val="none"/>
      </w:rPr>
      <w:t>广西公安数字化改革之</w:t>
    </w:r>
    <w:r>
      <w:rPr>
        <w:rFonts w:hint="eastAsia" w:ascii="宋体" w:hAnsi="宋体" w:cs="宋体"/>
        <w:sz w:val="18"/>
        <w:szCs w:val="18"/>
        <w:highlight w:val="none"/>
        <w:u w:val="none"/>
        <w:lang w:eastAsia="zh-CN"/>
      </w:rPr>
      <w:t>技术支撑体系项目（三）</w:t>
    </w:r>
    <w:r>
      <w:rPr>
        <w:rFonts w:hint="eastAsia" w:ascii="宋体" w:hAnsi="宋体" w:cs="宋体"/>
        <w:sz w:val="18"/>
        <w:szCs w:val="18"/>
        <w:highlight w:val="none"/>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GXZC2024-G3-005615-HXXM</w:t>
    </w:r>
    <w:r>
      <w:rPr>
        <w:rFonts w:hint="eastAsia" w:ascii="宋体" w:hAnsi="宋体" w:eastAsia="宋体" w:cs="宋体"/>
        <w:color w:val="000000"/>
        <w:sz w:val="18"/>
        <w:szCs w:val="18"/>
        <w:u w:val="none"/>
      </w:rPr>
      <w:fldChar w:fldCharType="end"/>
    </w:r>
    <w:r>
      <w:rPr>
        <w:rFonts w:hint="eastAsia" w:ascii="宋体" w:hAnsi="宋体" w:cs="宋体"/>
        <w:sz w:val="18"/>
        <w:szCs w:val="18"/>
        <w:highlight w:val="none"/>
        <w:u w:val="none"/>
        <w:lang w:val="en-US" w:eastAsia="zh-CN"/>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9E73B">
    <w:pPr>
      <w:pStyle w:val="30"/>
      <w:pBdr>
        <w:bottom w:val="single" w:color="auto" w:sz="4" w:space="1"/>
      </w:pBdr>
    </w:pPr>
    <w:r>
      <w:rPr>
        <w:rFonts w:hint="eastAsia" w:ascii="宋体" w:hAnsi="宋体" w:eastAsia="宋体" w:cs="宋体"/>
        <w:sz w:val="18"/>
        <w:szCs w:val="18"/>
        <w:highlight w:val="none"/>
        <w:u w:val="none"/>
      </w:rPr>
      <w:t>广西公安数字化改革之</w:t>
    </w:r>
    <w:r>
      <w:rPr>
        <w:rFonts w:hint="eastAsia" w:ascii="宋体" w:hAnsi="宋体" w:cs="宋体"/>
        <w:sz w:val="18"/>
        <w:szCs w:val="18"/>
        <w:highlight w:val="none"/>
        <w:u w:val="none"/>
        <w:lang w:eastAsia="zh-CN"/>
      </w:rPr>
      <w:t>技术支撑体系项目（三）</w:t>
    </w:r>
    <w:r>
      <w:rPr>
        <w:rFonts w:hint="eastAsia" w:ascii="宋体" w:hAnsi="宋体" w:cs="宋体"/>
        <w:sz w:val="18"/>
        <w:szCs w:val="18"/>
        <w:highlight w:val="none"/>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GXZC2024-G3-005615-HXXM</w:t>
    </w:r>
    <w:r>
      <w:rPr>
        <w:rFonts w:hint="eastAsia" w:ascii="宋体" w:hAnsi="宋体" w:eastAsia="宋体" w:cs="宋体"/>
        <w:color w:val="000000"/>
        <w:sz w:val="18"/>
        <w:szCs w:val="18"/>
        <w:u w:val="none"/>
      </w:rPr>
      <w:fldChar w:fldCharType="end"/>
    </w:r>
    <w:r>
      <w:rPr>
        <w:rFonts w:hint="eastAsia" w:ascii="宋体" w:hAnsi="宋体" w:cs="宋体"/>
        <w:sz w:val="18"/>
        <w:szCs w:val="18"/>
        <w:highlight w:val="none"/>
        <w:u w:val="none"/>
        <w:lang w:val="en-US" w:eastAsia="zh-CN"/>
      </w:rPr>
      <w:t>）</w:t>
    </w:r>
  </w:p>
  <w:p w14:paraId="3F6038D2">
    <w:pPr>
      <w:pStyle w:val="30"/>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1107">
    <w:pPr>
      <w:pStyle w:val="30"/>
      <w:pBdr>
        <w:bottom w:val="single" w:color="auto" w:sz="4" w:space="1"/>
      </w:pBdr>
    </w:pPr>
    <w:r>
      <w:rPr>
        <w:rFonts w:hint="eastAsia" w:ascii="宋体" w:hAnsi="宋体" w:eastAsia="宋体" w:cs="宋体"/>
        <w:sz w:val="18"/>
        <w:szCs w:val="18"/>
        <w:highlight w:val="none"/>
        <w:u w:val="none"/>
      </w:rPr>
      <w:t>广西公安数字化改革之</w:t>
    </w:r>
    <w:r>
      <w:rPr>
        <w:rFonts w:hint="eastAsia" w:ascii="宋体" w:hAnsi="宋体" w:cs="宋体"/>
        <w:sz w:val="18"/>
        <w:szCs w:val="18"/>
        <w:highlight w:val="none"/>
        <w:u w:val="none"/>
        <w:lang w:eastAsia="zh-CN"/>
      </w:rPr>
      <w:t>技术支撑体系项目（三）</w:t>
    </w:r>
    <w:r>
      <w:rPr>
        <w:rFonts w:hint="eastAsia" w:ascii="宋体" w:hAnsi="宋体" w:cs="宋体"/>
        <w:sz w:val="18"/>
        <w:szCs w:val="18"/>
        <w:highlight w:val="none"/>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7192441115704295429&amp;newUrl=https://www.gcy.zfcg.gxzf.gov.cn/flow-project-center/_procurement_/blank/project-flow?_flow_type_=agency&amp;_flow_projectId_=7192441115704295429&amp;oldUrl=https://www.gcy.zfcg.gxzf.gov.cn/project-center/_procurement_/project-result-detail/7192441115704295429"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GXZC2024-G3-005615-HXXM</w:t>
    </w:r>
    <w:r>
      <w:rPr>
        <w:rFonts w:hint="eastAsia" w:ascii="宋体" w:hAnsi="宋体" w:eastAsia="宋体" w:cs="宋体"/>
        <w:color w:val="000000"/>
        <w:sz w:val="18"/>
        <w:szCs w:val="18"/>
        <w:u w:val="none"/>
      </w:rPr>
      <w:fldChar w:fldCharType="end"/>
    </w:r>
    <w:r>
      <w:rPr>
        <w:rFonts w:hint="eastAsia" w:ascii="宋体" w:hAnsi="宋体" w:cs="宋体"/>
        <w:sz w:val="18"/>
        <w:szCs w:val="18"/>
        <w:highlight w:val="none"/>
        <w:u w:val="none"/>
        <w:lang w:val="en-US"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5AE33"/>
    <w:multiLevelType w:val="multilevel"/>
    <w:tmpl w:val="ECB5AE33"/>
    <w:lvl w:ilvl="0" w:tentative="0">
      <w:start w:val="5"/>
      <w:numFmt w:val="chineseCounting"/>
      <w:suff w:val="nothing"/>
      <w:lvlText w:val="第%1章 "/>
      <w:lvlJc w:val="left"/>
      <w:pPr>
        <w:tabs>
          <w:tab w:val="left" w:pos="0"/>
        </w:tabs>
        <w:ind w:left="142" w:hanging="142"/>
      </w:pPr>
      <w:rPr>
        <w:rFonts w:hint="eastAsia" w:ascii="宋体" w:hAnsi="宋体" w:eastAsia="宋体"/>
        <w:b/>
        <w:i w:val="0"/>
        <w:sz w:val="44"/>
      </w:rPr>
    </w:lvl>
    <w:lvl w:ilvl="1" w:tentative="0">
      <w:start w:val="10"/>
      <w:numFmt w:val="decimal"/>
      <w:isLgl/>
      <w:suff w:val="nothing"/>
      <w:lvlText w:val="%1.%2 "/>
      <w:lvlJc w:val="left"/>
      <w:pPr>
        <w:tabs>
          <w:tab w:val="left" w:pos="0"/>
        </w:tabs>
        <w:ind w:left="142" w:hanging="142"/>
      </w:pPr>
      <w:rPr>
        <w:rFonts w:hint="eastAsia"/>
        <w:b w:val="0"/>
        <w:i w:val="0"/>
        <w:sz w:val="32"/>
      </w:rPr>
    </w:lvl>
    <w:lvl w:ilvl="2" w:tentative="0">
      <w:start w:val="1"/>
      <w:numFmt w:val="decimal"/>
      <w:isLgl/>
      <w:suff w:val="nothing"/>
      <w:lvlText w:val="%1.%2.%3 "/>
      <w:lvlJc w:val="left"/>
      <w:pPr>
        <w:ind w:left="142" w:hanging="142"/>
      </w:pPr>
      <w:rPr>
        <w:rFonts w:hint="eastAsia"/>
        <w:b w:val="0"/>
        <w:i w:val="0"/>
        <w:sz w:val="30"/>
      </w:rPr>
    </w:lvl>
    <w:lvl w:ilvl="3" w:tentative="0">
      <w:start w:val="1"/>
      <w:numFmt w:val="decimal"/>
      <w:pStyle w:val="2"/>
      <w:isLgl/>
      <w:suff w:val="nothing"/>
      <w:lvlText w:val="%1.%2.%3.%4 "/>
      <w:lvlJc w:val="left"/>
      <w:pPr>
        <w:ind w:left="142" w:hanging="142"/>
      </w:pPr>
      <w:rPr>
        <w:rFonts w:hint="eastAsia"/>
        <w:b w:val="0"/>
        <w:i w:val="0"/>
        <w:sz w:val="28"/>
      </w:rPr>
    </w:lvl>
    <w:lvl w:ilvl="4" w:tentative="0">
      <w:start w:val="1"/>
      <w:numFmt w:val="decimal"/>
      <w:isLgl/>
      <w:suff w:val="nothing"/>
      <w:lvlText w:val="%1.%2.%3.%4.%5 "/>
      <w:lvlJc w:val="left"/>
      <w:pPr>
        <w:ind w:left="142" w:hanging="142"/>
      </w:pPr>
      <w:rPr>
        <w:rFonts w:hint="eastAsia"/>
        <w:b w:val="0"/>
        <w:bCs/>
      </w:rPr>
    </w:lvl>
    <w:lvl w:ilvl="5" w:tentative="0">
      <w:start w:val="1"/>
      <w:numFmt w:val="decimal"/>
      <w:isLgl/>
      <w:suff w:val="nothing"/>
      <w:lvlText w:val="%1.%2.%3.%4.%5.%6 "/>
      <w:lvlJc w:val="left"/>
      <w:pPr>
        <w:ind w:left="3403" w:hanging="142"/>
      </w:pPr>
      <w:rPr>
        <w:rFonts w:hint="eastAsia" w:ascii="Times New Roman" w:hAnsi="Times New Roman" w:eastAsia="仿宋_GB2312" w:cs="Times New Roman"/>
        <w:b w:val="0"/>
        <w:i w:val="0"/>
        <w:sz w:val="28"/>
        <w:szCs w:val="28"/>
      </w:rPr>
    </w:lvl>
    <w:lvl w:ilvl="6" w:tentative="0">
      <w:start w:val="1"/>
      <w:numFmt w:val="decimal"/>
      <w:isLgl/>
      <w:suff w:val="nothing"/>
      <w:lvlText w:val="%1.%2.%3.%4.%5.%6.%7 "/>
      <w:lvlJc w:val="left"/>
      <w:pPr>
        <w:ind w:left="142" w:hanging="142"/>
      </w:pPr>
      <w:rPr>
        <w:rFonts w:hint="eastAsia" w:ascii="仿宋_GB2312" w:eastAsia="仿宋_GB2312"/>
        <w:b w:val="0"/>
        <w:i w:val="0"/>
        <w:sz w:val="24"/>
      </w:rPr>
    </w:lvl>
    <w:lvl w:ilvl="7" w:tentative="0">
      <w:start w:val="1"/>
      <w:numFmt w:val="decimal"/>
      <w:isLgl/>
      <w:suff w:val="nothing"/>
      <w:lvlText w:val="%1.%2.%3.%4.%5.%6.%7.%8 "/>
      <w:lvlJc w:val="left"/>
      <w:pPr>
        <w:ind w:left="142" w:hanging="142"/>
      </w:pPr>
      <w:rPr>
        <w:rFonts w:hint="eastAsia" w:ascii="Times New Roman" w:hAnsi="Times New Roman" w:cs="Times New Roman"/>
        <w:b w:val="0"/>
        <w:i w:val="0"/>
        <w:sz w:val="24"/>
      </w:rPr>
    </w:lvl>
    <w:lvl w:ilvl="8" w:tentative="0">
      <w:start w:val="1"/>
      <w:numFmt w:val="decimal"/>
      <w:isLgl/>
      <w:suff w:val="nothing"/>
      <w:lvlText w:val="%1.%2.%3.%4.%5.%6.%7.%8.%9 "/>
      <w:lvlJc w:val="left"/>
      <w:pPr>
        <w:ind w:left="142" w:hanging="142"/>
      </w:pPr>
      <w:rPr>
        <w:rFonts w:hint="eastAsia"/>
        <w:b w:val="0"/>
        <w:i w:val="0"/>
        <w:sz w:val="24"/>
      </w:rPr>
    </w:lvl>
  </w:abstractNum>
  <w:abstractNum w:abstractNumId="1">
    <w:nsid w:val="FFFFFF7E"/>
    <w:multiLevelType w:val="singleLevel"/>
    <w:tmpl w:val="FFFFFF7E"/>
    <w:lvl w:ilvl="0" w:tentative="0">
      <w:start w:val="1"/>
      <w:numFmt w:val="decimal"/>
      <w:pStyle w:val="19"/>
      <w:lvlText w:val="%1."/>
      <w:lvlJc w:val="left"/>
      <w:pPr>
        <w:tabs>
          <w:tab w:val="left" w:pos="1200"/>
        </w:tabs>
        <w:ind w:left="1200" w:hanging="360"/>
      </w:pPr>
    </w:lvl>
  </w:abstractNum>
  <w:abstractNum w:abstractNumId="2">
    <w:nsid w:val="102CFDA7"/>
    <w:multiLevelType w:val="singleLevel"/>
    <w:tmpl w:val="102CFDA7"/>
    <w:lvl w:ilvl="0" w:tentative="0">
      <w:start w:val="3"/>
      <w:numFmt w:val="decimal"/>
      <w:lvlText w:val="%1."/>
      <w:lvlJc w:val="left"/>
      <w:pPr>
        <w:tabs>
          <w:tab w:val="left" w:pos="312"/>
        </w:tabs>
      </w:pPr>
    </w:lvl>
  </w:abstractNum>
  <w:abstractNum w:abstractNumId="3">
    <w:nsid w:val="2B7676BD"/>
    <w:multiLevelType w:val="multilevel"/>
    <w:tmpl w:val="2B7676BD"/>
    <w:lvl w:ilvl="0" w:tentative="0">
      <w:start w:val="1"/>
      <w:numFmt w:val="decimal"/>
      <w:pStyle w:val="119"/>
      <w:suff w:val="nothing"/>
      <w:lvlText w:val="图%1："/>
      <w:lvlJc w:val="left"/>
      <w:pPr>
        <w:ind w:left="4161" w:hanging="90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5">
    <w:nsid w:val="4C601917"/>
    <w:multiLevelType w:val="singleLevel"/>
    <w:tmpl w:val="4C601917"/>
    <w:lvl w:ilvl="0" w:tentative="0">
      <w:start w:val="1"/>
      <w:numFmt w:val="decimal"/>
      <w:suff w:val="nothing"/>
      <w:lvlText w:val="（%1）"/>
      <w:lvlJc w:val="left"/>
    </w:lvl>
  </w:abstractNum>
  <w:abstractNum w:abstractNumId="6">
    <w:nsid w:val="5FABD14B"/>
    <w:multiLevelType w:val="singleLevel"/>
    <w:tmpl w:val="5FABD14B"/>
    <w:lvl w:ilvl="0" w:tentative="0">
      <w:start w:val="1"/>
      <w:numFmt w:val="decimal"/>
      <w:suff w:val="nothing"/>
      <w:lvlText w:val="（%1）"/>
      <w:lvlJc w:val="left"/>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12640">
    <w15:presenceInfo w15:providerId="None" w15:userId="12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jOWZhYjU4ZDQ1MWUzOTI1NmM1NzM1MzdlM2Y2YjMifQ=="/>
  </w:docVars>
  <w:rsids>
    <w:rsidRoot w:val="00F9008B"/>
    <w:rsid w:val="0000010C"/>
    <w:rsid w:val="00000D21"/>
    <w:rsid w:val="00000FE0"/>
    <w:rsid w:val="00001068"/>
    <w:rsid w:val="0000114A"/>
    <w:rsid w:val="00001731"/>
    <w:rsid w:val="0000173B"/>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4EC2"/>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61E7"/>
    <w:rsid w:val="00036466"/>
    <w:rsid w:val="0003675E"/>
    <w:rsid w:val="00037633"/>
    <w:rsid w:val="00037E9E"/>
    <w:rsid w:val="00037F87"/>
    <w:rsid w:val="00037FA2"/>
    <w:rsid w:val="000400D0"/>
    <w:rsid w:val="0004044E"/>
    <w:rsid w:val="000425AC"/>
    <w:rsid w:val="000428F8"/>
    <w:rsid w:val="00042F4A"/>
    <w:rsid w:val="00043BE5"/>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7254"/>
    <w:rsid w:val="000472FD"/>
    <w:rsid w:val="0005022B"/>
    <w:rsid w:val="00050771"/>
    <w:rsid w:val="000513F3"/>
    <w:rsid w:val="00052287"/>
    <w:rsid w:val="000522E0"/>
    <w:rsid w:val="00052609"/>
    <w:rsid w:val="000532F4"/>
    <w:rsid w:val="000536AE"/>
    <w:rsid w:val="00054CD5"/>
    <w:rsid w:val="00054D03"/>
    <w:rsid w:val="000550AC"/>
    <w:rsid w:val="0005580E"/>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C12"/>
    <w:rsid w:val="00085DA0"/>
    <w:rsid w:val="00085F82"/>
    <w:rsid w:val="00086506"/>
    <w:rsid w:val="00086B6E"/>
    <w:rsid w:val="00086C64"/>
    <w:rsid w:val="00086D19"/>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8AF"/>
    <w:rsid w:val="000969D9"/>
    <w:rsid w:val="00096F37"/>
    <w:rsid w:val="000977AD"/>
    <w:rsid w:val="00097A79"/>
    <w:rsid w:val="00097FE5"/>
    <w:rsid w:val="000A0354"/>
    <w:rsid w:val="000A091F"/>
    <w:rsid w:val="000A0958"/>
    <w:rsid w:val="000A0FCC"/>
    <w:rsid w:val="000A1033"/>
    <w:rsid w:val="000A2712"/>
    <w:rsid w:val="000A2877"/>
    <w:rsid w:val="000A2D31"/>
    <w:rsid w:val="000A355D"/>
    <w:rsid w:val="000A35DA"/>
    <w:rsid w:val="000A371E"/>
    <w:rsid w:val="000A3DE5"/>
    <w:rsid w:val="000A4011"/>
    <w:rsid w:val="000A4397"/>
    <w:rsid w:val="000A45D5"/>
    <w:rsid w:val="000A490E"/>
    <w:rsid w:val="000A5B49"/>
    <w:rsid w:val="000A5FE5"/>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2B"/>
    <w:rsid w:val="000B395E"/>
    <w:rsid w:val="000B39C3"/>
    <w:rsid w:val="000B3A00"/>
    <w:rsid w:val="000B3BFD"/>
    <w:rsid w:val="000B4840"/>
    <w:rsid w:val="000B4D79"/>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3EA"/>
    <w:rsid w:val="00125B99"/>
    <w:rsid w:val="00126160"/>
    <w:rsid w:val="00126DB5"/>
    <w:rsid w:val="00127178"/>
    <w:rsid w:val="00127D2B"/>
    <w:rsid w:val="00127F09"/>
    <w:rsid w:val="0013002A"/>
    <w:rsid w:val="0013085D"/>
    <w:rsid w:val="0013089C"/>
    <w:rsid w:val="00130A2D"/>
    <w:rsid w:val="00130F54"/>
    <w:rsid w:val="00131888"/>
    <w:rsid w:val="00131F17"/>
    <w:rsid w:val="001322ED"/>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8D4"/>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6DB"/>
    <w:rsid w:val="00147884"/>
    <w:rsid w:val="00150669"/>
    <w:rsid w:val="00150827"/>
    <w:rsid w:val="00150B0D"/>
    <w:rsid w:val="00151E31"/>
    <w:rsid w:val="00151F9B"/>
    <w:rsid w:val="00152095"/>
    <w:rsid w:val="00152289"/>
    <w:rsid w:val="00152425"/>
    <w:rsid w:val="00152BAD"/>
    <w:rsid w:val="00152CE3"/>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0F"/>
    <w:rsid w:val="001652D7"/>
    <w:rsid w:val="0016546F"/>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21A2"/>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A06"/>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2FBE"/>
    <w:rsid w:val="001C3308"/>
    <w:rsid w:val="001C3BBB"/>
    <w:rsid w:val="001C40B7"/>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D06"/>
    <w:rsid w:val="00201E9F"/>
    <w:rsid w:val="00202790"/>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11470"/>
    <w:rsid w:val="00211922"/>
    <w:rsid w:val="0021213A"/>
    <w:rsid w:val="0021265F"/>
    <w:rsid w:val="00213817"/>
    <w:rsid w:val="00214428"/>
    <w:rsid w:val="002145EB"/>
    <w:rsid w:val="00214681"/>
    <w:rsid w:val="00215834"/>
    <w:rsid w:val="00215CC2"/>
    <w:rsid w:val="00215ED8"/>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378"/>
    <w:rsid w:val="002255BC"/>
    <w:rsid w:val="002256C2"/>
    <w:rsid w:val="002256D0"/>
    <w:rsid w:val="00225C8E"/>
    <w:rsid w:val="00226428"/>
    <w:rsid w:val="002265A9"/>
    <w:rsid w:val="002266CB"/>
    <w:rsid w:val="00226777"/>
    <w:rsid w:val="0022701E"/>
    <w:rsid w:val="00227052"/>
    <w:rsid w:val="002272D5"/>
    <w:rsid w:val="0022738E"/>
    <w:rsid w:val="00227906"/>
    <w:rsid w:val="00227934"/>
    <w:rsid w:val="00227955"/>
    <w:rsid w:val="00227E21"/>
    <w:rsid w:val="00230178"/>
    <w:rsid w:val="00231D05"/>
    <w:rsid w:val="0023365F"/>
    <w:rsid w:val="002336E2"/>
    <w:rsid w:val="00233AC2"/>
    <w:rsid w:val="00233BAF"/>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2AE8"/>
    <w:rsid w:val="00263AE7"/>
    <w:rsid w:val="00263EC7"/>
    <w:rsid w:val="00264441"/>
    <w:rsid w:val="0026491B"/>
    <w:rsid w:val="00264A36"/>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BF2"/>
    <w:rsid w:val="00285C78"/>
    <w:rsid w:val="002863CE"/>
    <w:rsid w:val="002868CF"/>
    <w:rsid w:val="0028702A"/>
    <w:rsid w:val="0028732A"/>
    <w:rsid w:val="002902B3"/>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617"/>
    <w:rsid w:val="002B194B"/>
    <w:rsid w:val="002B1D11"/>
    <w:rsid w:val="002B273B"/>
    <w:rsid w:val="002B29AA"/>
    <w:rsid w:val="002B2A7E"/>
    <w:rsid w:val="002B2F1B"/>
    <w:rsid w:val="002B4A32"/>
    <w:rsid w:val="002B4C6B"/>
    <w:rsid w:val="002B5AFB"/>
    <w:rsid w:val="002B6320"/>
    <w:rsid w:val="002B66AC"/>
    <w:rsid w:val="002B6852"/>
    <w:rsid w:val="002B77E1"/>
    <w:rsid w:val="002C0005"/>
    <w:rsid w:val="002C0714"/>
    <w:rsid w:val="002C0A96"/>
    <w:rsid w:val="002C10A8"/>
    <w:rsid w:val="002C1156"/>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380"/>
    <w:rsid w:val="00301E89"/>
    <w:rsid w:val="00302052"/>
    <w:rsid w:val="00302142"/>
    <w:rsid w:val="00302169"/>
    <w:rsid w:val="00302612"/>
    <w:rsid w:val="00303254"/>
    <w:rsid w:val="00303B08"/>
    <w:rsid w:val="0030408D"/>
    <w:rsid w:val="003044D9"/>
    <w:rsid w:val="00304D8A"/>
    <w:rsid w:val="00305216"/>
    <w:rsid w:val="0030555B"/>
    <w:rsid w:val="00305BFD"/>
    <w:rsid w:val="003061F5"/>
    <w:rsid w:val="00306D27"/>
    <w:rsid w:val="0030739C"/>
    <w:rsid w:val="00307794"/>
    <w:rsid w:val="00310D51"/>
    <w:rsid w:val="00311B36"/>
    <w:rsid w:val="00311C92"/>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8F3"/>
    <w:rsid w:val="00326B59"/>
    <w:rsid w:val="003272C6"/>
    <w:rsid w:val="0032746C"/>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1CC"/>
    <w:rsid w:val="003350E9"/>
    <w:rsid w:val="003351BA"/>
    <w:rsid w:val="0033520F"/>
    <w:rsid w:val="00335519"/>
    <w:rsid w:val="0033596B"/>
    <w:rsid w:val="00335A93"/>
    <w:rsid w:val="0033650E"/>
    <w:rsid w:val="003366EF"/>
    <w:rsid w:val="00336907"/>
    <w:rsid w:val="003369DF"/>
    <w:rsid w:val="00336C71"/>
    <w:rsid w:val="00336D96"/>
    <w:rsid w:val="00336DFC"/>
    <w:rsid w:val="00337230"/>
    <w:rsid w:val="00337588"/>
    <w:rsid w:val="003377D0"/>
    <w:rsid w:val="00337D75"/>
    <w:rsid w:val="00340020"/>
    <w:rsid w:val="0034081A"/>
    <w:rsid w:val="00341162"/>
    <w:rsid w:val="00341866"/>
    <w:rsid w:val="00341DAF"/>
    <w:rsid w:val="00342181"/>
    <w:rsid w:val="0034339B"/>
    <w:rsid w:val="00343560"/>
    <w:rsid w:val="00343A20"/>
    <w:rsid w:val="0034402B"/>
    <w:rsid w:val="0034449E"/>
    <w:rsid w:val="00344D46"/>
    <w:rsid w:val="0034621B"/>
    <w:rsid w:val="003465A5"/>
    <w:rsid w:val="00346817"/>
    <w:rsid w:val="00347440"/>
    <w:rsid w:val="003475EA"/>
    <w:rsid w:val="0034792D"/>
    <w:rsid w:val="00347A27"/>
    <w:rsid w:val="00347CD4"/>
    <w:rsid w:val="00350A55"/>
    <w:rsid w:val="00350DF8"/>
    <w:rsid w:val="00351A8A"/>
    <w:rsid w:val="00352541"/>
    <w:rsid w:val="0035266A"/>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7424"/>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DDC"/>
    <w:rsid w:val="00363E41"/>
    <w:rsid w:val="00363ED8"/>
    <w:rsid w:val="00363FD2"/>
    <w:rsid w:val="003644D0"/>
    <w:rsid w:val="003651F5"/>
    <w:rsid w:val="0036572E"/>
    <w:rsid w:val="003663D9"/>
    <w:rsid w:val="003666BF"/>
    <w:rsid w:val="00366707"/>
    <w:rsid w:val="00366FA9"/>
    <w:rsid w:val="00367807"/>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709E"/>
    <w:rsid w:val="00387D30"/>
    <w:rsid w:val="00390A4D"/>
    <w:rsid w:val="00391753"/>
    <w:rsid w:val="00391C7F"/>
    <w:rsid w:val="00392454"/>
    <w:rsid w:val="00392A6C"/>
    <w:rsid w:val="00392C85"/>
    <w:rsid w:val="00392FD8"/>
    <w:rsid w:val="00393E11"/>
    <w:rsid w:val="00394475"/>
    <w:rsid w:val="00394C48"/>
    <w:rsid w:val="0039517A"/>
    <w:rsid w:val="00395A9D"/>
    <w:rsid w:val="00395B51"/>
    <w:rsid w:val="00396796"/>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595F"/>
    <w:rsid w:val="003A5EEC"/>
    <w:rsid w:val="003A79AE"/>
    <w:rsid w:val="003A7CA3"/>
    <w:rsid w:val="003B00B6"/>
    <w:rsid w:val="003B01C4"/>
    <w:rsid w:val="003B0BB0"/>
    <w:rsid w:val="003B11EE"/>
    <w:rsid w:val="003B1332"/>
    <w:rsid w:val="003B15F8"/>
    <w:rsid w:val="003B18EB"/>
    <w:rsid w:val="003B230B"/>
    <w:rsid w:val="003B23BC"/>
    <w:rsid w:val="003B2DB5"/>
    <w:rsid w:val="003B2F05"/>
    <w:rsid w:val="003B3966"/>
    <w:rsid w:val="003B39B7"/>
    <w:rsid w:val="003B4EB0"/>
    <w:rsid w:val="003B5F6A"/>
    <w:rsid w:val="003B6B7F"/>
    <w:rsid w:val="003B7820"/>
    <w:rsid w:val="003C01A4"/>
    <w:rsid w:val="003C0219"/>
    <w:rsid w:val="003C07FE"/>
    <w:rsid w:val="003C0C12"/>
    <w:rsid w:val="003C16EE"/>
    <w:rsid w:val="003C1C87"/>
    <w:rsid w:val="003C2C85"/>
    <w:rsid w:val="003C2F61"/>
    <w:rsid w:val="003C345E"/>
    <w:rsid w:val="003C4409"/>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663C"/>
    <w:rsid w:val="003D6722"/>
    <w:rsid w:val="003D7428"/>
    <w:rsid w:val="003D77F2"/>
    <w:rsid w:val="003D78CC"/>
    <w:rsid w:val="003D7901"/>
    <w:rsid w:val="003D7B4F"/>
    <w:rsid w:val="003D7D01"/>
    <w:rsid w:val="003D7ED8"/>
    <w:rsid w:val="003E0003"/>
    <w:rsid w:val="003E0099"/>
    <w:rsid w:val="003E08C7"/>
    <w:rsid w:val="003E0992"/>
    <w:rsid w:val="003E1A72"/>
    <w:rsid w:val="003E2880"/>
    <w:rsid w:val="003E28FB"/>
    <w:rsid w:val="003E2A00"/>
    <w:rsid w:val="003E382C"/>
    <w:rsid w:val="003E3D00"/>
    <w:rsid w:val="003E3FD6"/>
    <w:rsid w:val="003E4531"/>
    <w:rsid w:val="003E4771"/>
    <w:rsid w:val="003E48C8"/>
    <w:rsid w:val="003E54A8"/>
    <w:rsid w:val="003E5833"/>
    <w:rsid w:val="003E5DA8"/>
    <w:rsid w:val="003E7109"/>
    <w:rsid w:val="003E77DC"/>
    <w:rsid w:val="003E7BC1"/>
    <w:rsid w:val="003F0453"/>
    <w:rsid w:val="003F097D"/>
    <w:rsid w:val="003F0C9F"/>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73EA"/>
    <w:rsid w:val="003F7E15"/>
    <w:rsid w:val="003F7FDA"/>
    <w:rsid w:val="00400DE4"/>
    <w:rsid w:val="004013AD"/>
    <w:rsid w:val="004021C0"/>
    <w:rsid w:val="004028CE"/>
    <w:rsid w:val="0040313D"/>
    <w:rsid w:val="00403142"/>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1C6"/>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6D5"/>
    <w:rsid w:val="00427FEB"/>
    <w:rsid w:val="00427FF2"/>
    <w:rsid w:val="004305C0"/>
    <w:rsid w:val="00430B20"/>
    <w:rsid w:val="00430B6C"/>
    <w:rsid w:val="0043135D"/>
    <w:rsid w:val="00431EB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5CBA"/>
    <w:rsid w:val="004463CB"/>
    <w:rsid w:val="004466F7"/>
    <w:rsid w:val="00446858"/>
    <w:rsid w:val="00447304"/>
    <w:rsid w:val="00450127"/>
    <w:rsid w:val="0045075F"/>
    <w:rsid w:val="004516AD"/>
    <w:rsid w:val="00451E84"/>
    <w:rsid w:val="00451EA3"/>
    <w:rsid w:val="00451F01"/>
    <w:rsid w:val="00453349"/>
    <w:rsid w:val="004546A7"/>
    <w:rsid w:val="00454831"/>
    <w:rsid w:val="004548DF"/>
    <w:rsid w:val="00455B98"/>
    <w:rsid w:val="00455E25"/>
    <w:rsid w:val="00456CC0"/>
    <w:rsid w:val="0045755C"/>
    <w:rsid w:val="00457933"/>
    <w:rsid w:val="00457C78"/>
    <w:rsid w:val="00460136"/>
    <w:rsid w:val="00460735"/>
    <w:rsid w:val="00460AD5"/>
    <w:rsid w:val="00460EB8"/>
    <w:rsid w:val="00461090"/>
    <w:rsid w:val="004611D5"/>
    <w:rsid w:val="004612B6"/>
    <w:rsid w:val="004617D8"/>
    <w:rsid w:val="00461991"/>
    <w:rsid w:val="00461A6B"/>
    <w:rsid w:val="00461C43"/>
    <w:rsid w:val="00461DD7"/>
    <w:rsid w:val="00462125"/>
    <w:rsid w:val="00462D22"/>
    <w:rsid w:val="00463216"/>
    <w:rsid w:val="0046334D"/>
    <w:rsid w:val="00463848"/>
    <w:rsid w:val="00463BBF"/>
    <w:rsid w:val="00463C95"/>
    <w:rsid w:val="00463E1C"/>
    <w:rsid w:val="00464052"/>
    <w:rsid w:val="00464C9C"/>
    <w:rsid w:val="00465153"/>
    <w:rsid w:val="00465602"/>
    <w:rsid w:val="004669A6"/>
    <w:rsid w:val="00466AFD"/>
    <w:rsid w:val="00466E99"/>
    <w:rsid w:val="00470563"/>
    <w:rsid w:val="00470696"/>
    <w:rsid w:val="004724C9"/>
    <w:rsid w:val="00472585"/>
    <w:rsid w:val="00473045"/>
    <w:rsid w:val="00474130"/>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40F"/>
    <w:rsid w:val="0048384A"/>
    <w:rsid w:val="0048423C"/>
    <w:rsid w:val="00484449"/>
    <w:rsid w:val="004845A6"/>
    <w:rsid w:val="00484C71"/>
    <w:rsid w:val="004852CE"/>
    <w:rsid w:val="0048540C"/>
    <w:rsid w:val="0048561D"/>
    <w:rsid w:val="00485EDD"/>
    <w:rsid w:val="00485F92"/>
    <w:rsid w:val="004860BD"/>
    <w:rsid w:val="004866E1"/>
    <w:rsid w:val="00486C72"/>
    <w:rsid w:val="0049030D"/>
    <w:rsid w:val="00490954"/>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81D"/>
    <w:rsid w:val="004C6D39"/>
    <w:rsid w:val="004C6D98"/>
    <w:rsid w:val="004C7217"/>
    <w:rsid w:val="004C75B5"/>
    <w:rsid w:val="004C7743"/>
    <w:rsid w:val="004C77A7"/>
    <w:rsid w:val="004C7DBE"/>
    <w:rsid w:val="004C7F57"/>
    <w:rsid w:val="004D032B"/>
    <w:rsid w:val="004D039E"/>
    <w:rsid w:val="004D04A3"/>
    <w:rsid w:val="004D0C9F"/>
    <w:rsid w:val="004D15FD"/>
    <w:rsid w:val="004D2369"/>
    <w:rsid w:val="004D2485"/>
    <w:rsid w:val="004D2998"/>
    <w:rsid w:val="004D319F"/>
    <w:rsid w:val="004D3A57"/>
    <w:rsid w:val="004D3B2A"/>
    <w:rsid w:val="004D47FF"/>
    <w:rsid w:val="004D4D35"/>
    <w:rsid w:val="004D518F"/>
    <w:rsid w:val="004D54D7"/>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551E"/>
    <w:rsid w:val="004E58F6"/>
    <w:rsid w:val="004E5D27"/>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2A3"/>
    <w:rsid w:val="0053265B"/>
    <w:rsid w:val="00533169"/>
    <w:rsid w:val="00533194"/>
    <w:rsid w:val="005332C8"/>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828"/>
    <w:rsid w:val="00555DE6"/>
    <w:rsid w:val="00555EB3"/>
    <w:rsid w:val="005567F6"/>
    <w:rsid w:val="00556E29"/>
    <w:rsid w:val="00557474"/>
    <w:rsid w:val="005575C9"/>
    <w:rsid w:val="00557DAA"/>
    <w:rsid w:val="00557DAD"/>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6A18"/>
    <w:rsid w:val="0056725A"/>
    <w:rsid w:val="0056741F"/>
    <w:rsid w:val="00567647"/>
    <w:rsid w:val="0056781B"/>
    <w:rsid w:val="00567BE2"/>
    <w:rsid w:val="00570102"/>
    <w:rsid w:val="005701C1"/>
    <w:rsid w:val="00570505"/>
    <w:rsid w:val="005712E6"/>
    <w:rsid w:val="00572942"/>
    <w:rsid w:val="005730DB"/>
    <w:rsid w:val="00573251"/>
    <w:rsid w:val="005733A8"/>
    <w:rsid w:val="00573B5B"/>
    <w:rsid w:val="00573F55"/>
    <w:rsid w:val="0057540E"/>
    <w:rsid w:val="005757B6"/>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EBD"/>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1F7"/>
    <w:rsid w:val="005D1732"/>
    <w:rsid w:val="005D1BAC"/>
    <w:rsid w:val="005D2D9A"/>
    <w:rsid w:val="005D3A6E"/>
    <w:rsid w:val="005D3B21"/>
    <w:rsid w:val="005D4019"/>
    <w:rsid w:val="005D41DC"/>
    <w:rsid w:val="005D43C3"/>
    <w:rsid w:val="005D460F"/>
    <w:rsid w:val="005D4638"/>
    <w:rsid w:val="005D4D7D"/>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427"/>
    <w:rsid w:val="005E5428"/>
    <w:rsid w:val="005E5A7C"/>
    <w:rsid w:val="005E5C33"/>
    <w:rsid w:val="005E5F53"/>
    <w:rsid w:val="005E6976"/>
    <w:rsid w:val="005E6E12"/>
    <w:rsid w:val="005E70CD"/>
    <w:rsid w:val="005E74B3"/>
    <w:rsid w:val="005E74EC"/>
    <w:rsid w:val="005E7AB6"/>
    <w:rsid w:val="005E7B1E"/>
    <w:rsid w:val="005E7CBC"/>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41"/>
    <w:rsid w:val="005F6E58"/>
    <w:rsid w:val="005F704C"/>
    <w:rsid w:val="005F7A22"/>
    <w:rsid w:val="005F7B9D"/>
    <w:rsid w:val="00600501"/>
    <w:rsid w:val="006006CD"/>
    <w:rsid w:val="00600B0C"/>
    <w:rsid w:val="00601078"/>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33CD"/>
    <w:rsid w:val="0061401C"/>
    <w:rsid w:val="0061420B"/>
    <w:rsid w:val="00614931"/>
    <w:rsid w:val="00614D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9C"/>
    <w:rsid w:val="00632F18"/>
    <w:rsid w:val="006332D7"/>
    <w:rsid w:val="0063333D"/>
    <w:rsid w:val="00634225"/>
    <w:rsid w:val="00635003"/>
    <w:rsid w:val="006351CE"/>
    <w:rsid w:val="006352B4"/>
    <w:rsid w:val="006352FD"/>
    <w:rsid w:val="00635B15"/>
    <w:rsid w:val="006362E1"/>
    <w:rsid w:val="006367DA"/>
    <w:rsid w:val="006369AE"/>
    <w:rsid w:val="00636FAD"/>
    <w:rsid w:val="006370E1"/>
    <w:rsid w:val="006375B2"/>
    <w:rsid w:val="006375BB"/>
    <w:rsid w:val="006379DE"/>
    <w:rsid w:val="006407FE"/>
    <w:rsid w:val="006409EE"/>
    <w:rsid w:val="00640BF7"/>
    <w:rsid w:val="00640C7D"/>
    <w:rsid w:val="00640E7E"/>
    <w:rsid w:val="00640FFF"/>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1EA"/>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CCB"/>
    <w:rsid w:val="00667EFD"/>
    <w:rsid w:val="00670475"/>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3E23"/>
    <w:rsid w:val="00684079"/>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B26"/>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5C13"/>
    <w:rsid w:val="006A608E"/>
    <w:rsid w:val="006A6B7B"/>
    <w:rsid w:val="006A6CE2"/>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EE5"/>
    <w:rsid w:val="006D4F86"/>
    <w:rsid w:val="006D5F98"/>
    <w:rsid w:val="006D6665"/>
    <w:rsid w:val="006D7098"/>
    <w:rsid w:val="006D740E"/>
    <w:rsid w:val="006D7C8A"/>
    <w:rsid w:val="006D7F72"/>
    <w:rsid w:val="006E00B7"/>
    <w:rsid w:val="006E0CB5"/>
    <w:rsid w:val="006E0E5B"/>
    <w:rsid w:val="006E132F"/>
    <w:rsid w:val="006E2701"/>
    <w:rsid w:val="006E2E98"/>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0FD"/>
    <w:rsid w:val="00747117"/>
    <w:rsid w:val="007479C2"/>
    <w:rsid w:val="00747B0D"/>
    <w:rsid w:val="00750712"/>
    <w:rsid w:val="007511BA"/>
    <w:rsid w:val="00751452"/>
    <w:rsid w:val="00751D06"/>
    <w:rsid w:val="00751D74"/>
    <w:rsid w:val="007521A5"/>
    <w:rsid w:val="00752243"/>
    <w:rsid w:val="007531BA"/>
    <w:rsid w:val="00753959"/>
    <w:rsid w:val="00753DD6"/>
    <w:rsid w:val="00754A4A"/>
    <w:rsid w:val="007567A8"/>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63AE"/>
    <w:rsid w:val="00767A28"/>
    <w:rsid w:val="00767DD2"/>
    <w:rsid w:val="0077082B"/>
    <w:rsid w:val="00770B12"/>
    <w:rsid w:val="00770E60"/>
    <w:rsid w:val="00771C8F"/>
    <w:rsid w:val="00772019"/>
    <w:rsid w:val="0077266E"/>
    <w:rsid w:val="0077292E"/>
    <w:rsid w:val="007737D8"/>
    <w:rsid w:val="0077391C"/>
    <w:rsid w:val="00773D24"/>
    <w:rsid w:val="00774576"/>
    <w:rsid w:val="0077508A"/>
    <w:rsid w:val="00775567"/>
    <w:rsid w:val="00775E0D"/>
    <w:rsid w:val="00776343"/>
    <w:rsid w:val="00776416"/>
    <w:rsid w:val="00776A8D"/>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3FDB"/>
    <w:rsid w:val="00794252"/>
    <w:rsid w:val="007944D2"/>
    <w:rsid w:val="00794B19"/>
    <w:rsid w:val="00795B8D"/>
    <w:rsid w:val="00795EB9"/>
    <w:rsid w:val="00795F0E"/>
    <w:rsid w:val="007960A9"/>
    <w:rsid w:val="00797D8F"/>
    <w:rsid w:val="007A0C00"/>
    <w:rsid w:val="007A0E15"/>
    <w:rsid w:val="007A1564"/>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62"/>
    <w:rsid w:val="007D0FFC"/>
    <w:rsid w:val="007D1013"/>
    <w:rsid w:val="007D19EC"/>
    <w:rsid w:val="007D1CB2"/>
    <w:rsid w:val="007D2180"/>
    <w:rsid w:val="007D2608"/>
    <w:rsid w:val="007D30C3"/>
    <w:rsid w:val="007D35AC"/>
    <w:rsid w:val="007D36B1"/>
    <w:rsid w:val="007D36D7"/>
    <w:rsid w:val="007D3BA1"/>
    <w:rsid w:val="007D3BDB"/>
    <w:rsid w:val="007D3EC8"/>
    <w:rsid w:val="007D40AC"/>
    <w:rsid w:val="007D4317"/>
    <w:rsid w:val="007D4C12"/>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BC2"/>
    <w:rsid w:val="00811683"/>
    <w:rsid w:val="00811AFF"/>
    <w:rsid w:val="00812102"/>
    <w:rsid w:val="00812373"/>
    <w:rsid w:val="00813F3A"/>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13E0"/>
    <w:rsid w:val="00831742"/>
    <w:rsid w:val="008317EC"/>
    <w:rsid w:val="0083195D"/>
    <w:rsid w:val="00831B7B"/>
    <w:rsid w:val="00831D90"/>
    <w:rsid w:val="008324F3"/>
    <w:rsid w:val="00832691"/>
    <w:rsid w:val="0083296B"/>
    <w:rsid w:val="00833547"/>
    <w:rsid w:val="00833852"/>
    <w:rsid w:val="00833AB9"/>
    <w:rsid w:val="008344EC"/>
    <w:rsid w:val="00834820"/>
    <w:rsid w:val="00834C82"/>
    <w:rsid w:val="00834DB6"/>
    <w:rsid w:val="00834F93"/>
    <w:rsid w:val="008354DB"/>
    <w:rsid w:val="008355DD"/>
    <w:rsid w:val="008368BC"/>
    <w:rsid w:val="00840C4A"/>
    <w:rsid w:val="008411B9"/>
    <w:rsid w:val="0084122F"/>
    <w:rsid w:val="00841573"/>
    <w:rsid w:val="00841D08"/>
    <w:rsid w:val="00842D43"/>
    <w:rsid w:val="0084323E"/>
    <w:rsid w:val="0084375D"/>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B8"/>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97E63"/>
    <w:rsid w:val="008A02FA"/>
    <w:rsid w:val="008A06A8"/>
    <w:rsid w:val="008A1AAC"/>
    <w:rsid w:val="008A1D3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2FF5"/>
    <w:rsid w:val="008B3AB6"/>
    <w:rsid w:val="008B3C2B"/>
    <w:rsid w:val="008B4679"/>
    <w:rsid w:val="008B4D00"/>
    <w:rsid w:val="008B4D13"/>
    <w:rsid w:val="008B4E78"/>
    <w:rsid w:val="008B4FE2"/>
    <w:rsid w:val="008B5E6A"/>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6D16"/>
    <w:rsid w:val="008C742A"/>
    <w:rsid w:val="008C74C7"/>
    <w:rsid w:val="008C7714"/>
    <w:rsid w:val="008C7F4F"/>
    <w:rsid w:val="008D00F3"/>
    <w:rsid w:val="008D0F27"/>
    <w:rsid w:val="008D15A2"/>
    <w:rsid w:val="008D18CD"/>
    <w:rsid w:val="008D1F86"/>
    <w:rsid w:val="008D20E0"/>
    <w:rsid w:val="008D2796"/>
    <w:rsid w:val="008D2B6E"/>
    <w:rsid w:val="008D335C"/>
    <w:rsid w:val="008D35B7"/>
    <w:rsid w:val="008D4007"/>
    <w:rsid w:val="008D436A"/>
    <w:rsid w:val="008D4C72"/>
    <w:rsid w:val="008D50BA"/>
    <w:rsid w:val="008D561B"/>
    <w:rsid w:val="008D5643"/>
    <w:rsid w:val="008D582B"/>
    <w:rsid w:val="008D5CF9"/>
    <w:rsid w:val="008D5D0A"/>
    <w:rsid w:val="008D6794"/>
    <w:rsid w:val="008D7F65"/>
    <w:rsid w:val="008E0178"/>
    <w:rsid w:val="008E02F8"/>
    <w:rsid w:val="008E1189"/>
    <w:rsid w:val="008E12AF"/>
    <w:rsid w:val="008E14B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65"/>
    <w:rsid w:val="008E6C57"/>
    <w:rsid w:val="008E6E66"/>
    <w:rsid w:val="008E7082"/>
    <w:rsid w:val="008E72AF"/>
    <w:rsid w:val="008E7F95"/>
    <w:rsid w:val="008F0952"/>
    <w:rsid w:val="008F1154"/>
    <w:rsid w:val="008F1B84"/>
    <w:rsid w:val="008F1B9D"/>
    <w:rsid w:val="008F1DB6"/>
    <w:rsid w:val="008F1DDC"/>
    <w:rsid w:val="008F30E1"/>
    <w:rsid w:val="008F39C0"/>
    <w:rsid w:val="008F3CC0"/>
    <w:rsid w:val="008F57CD"/>
    <w:rsid w:val="008F5960"/>
    <w:rsid w:val="008F5CD0"/>
    <w:rsid w:val="008F6100"/>
    <w:rsid w:val="008F629A"/>
    <w:rsid w:val="008F6A9B"/>
    <w:rsid w:val="008F6F03"/>
    <w:rsid w:val="008F6F9D"/>
    <w:rsid w:val="008F7603"/>
    <w:rsid w:val="008F769D"/>
    <w:rsid w:val="008F76DC"/>
    <w:rsid w:val="008F7A06"/>
    <w:rsid w:val="008F7D2F"/>
    <w:rsid w:val="00900B70"/>
    <w:rsid w:val="009013C5"/>
    <w:rsid w:val="0090147B"/>
    <w:rsid w:val="00901649"/>
    <w:rsid w:val="00901CBA"/>
    <w:rsid w:val="00901DC6"/>
    <w:rsid w:val="009021DC"/>
    <w:rsid w:val="00903026"/>
    <w:rsid w:val="0090357B"/>
    <w:rsid w:val="00903832"/>
    <w:rsid w:val="009044BE"/>
    <w:rsid w:val="009048EB"/>
    <w:rsid w:val="00904913"/>
    <w:rsid w:val="00904D4B"/>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7D0"/>
    <w:rsid w:val="00911C77"/>
    <w:rsid w:val="00911D1C"/>
    <w:rsid w:val="0091206D"/>
    <w:rsid w:val="00912DD9"/>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9D2"/>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4510"/>
    <w:rsid w:val="0093476C"/>
    <w:rsid w:val="00935A1E"/>
    <w:rsid w:val="00935B7C"/>
    <w:rsid w:val="00935BDC"/>
    <w:rsid w:val="00935E3A"/>
    <w:rsid w:val="00936005"/>
    <w:rsid w:val="0093607C"/>
    <w:rsid w:val="00937929"/>
    <w:rsid w:val="00937A83"/>
    <w:rsid w:val="00937B51"/>
    <w:rsid w:val="00940008"/>
    <w:rsid w:val="00940FFA"/>
    <w:rsid w:val="00941503"/>
    <w:rsid w:val="00941543"/>
    <w:rsid w:val="0094187D"/>
    <w:rsid w:val="009420D2"/>
    <w:rsid w:val="00942C90"/>
    <w:rsid w:val="00942F29"/>
    <w:rsid w:val="00942FB6"/>
    <w:rsid w:val="009434EB"/>
    <w:rsid w:val="00943EA6"/>
    <w:rsid w:val="00944400"/>
    <w:rsid w:val="009448F2"/>
    <w:rsid w:val="009448F3"/>
    <w:rsid w:val="0094524B"/>
    <w:rsid w:val="009456E3"/>
    <w:rsid w:val="00945759"/>
    <w:rsid w:val="009466E9"/>
    <w:rsid w:val="00946CB3"/>
    <w:rsid w:val="00946D20"/>
    <w:rsid w:val="00946E51"/>
    <w:rsid w:val="009473F4"/>
    <w:rsid w:val="0094767D"/>
    <w:rsid w:val="00950231"/>
    <w:rsid w:val="00950794"/>
    <w:rsid w:val="009507AA"/>
    <w:rsid w:val="009509EF"/>
    <w:rsid w:val="00950A9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BA1"/>
    <w:rsid w:val="00956D42"/>
    <w:rsid w:val="00956F0F"/>
    <w:rsid w:val="00957065"/>
    <w:rsid w:val="00957230"/>
    <w:rsid w:val="0095727F"/>
    <w:rsid w:val="009572AF"/>
    <w:rsid w:val="00957E41"/>
    <w:rsid w:val="0096023A"/>
    <w:rsid w:val="009607AB"/>
    <w:rsid w:val="00960A9A"/>
    <w:rsid w:val="009615DB"/>
    <w:rsid w:val="00961C53"/>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57CA"/>
    <w:rsid w:val="00975C9D"/>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1202"/>
    <w:rsid w:val="0099177B"/>
    <w:rsid w:val="009917E0"/>
    <w:rsid w:val="0099367E"/>
    <w:rsid w:val="00993FE4"/>
    <w:rsid w:val="0099425E"/>
    <w:rsid w:val="0099482F"/>
    <w:rsid w:val="00994CDC"/>
    <w:rsid w:val="009969CD"/>
    <w:rsid w:val="00996CFC"/>
    <w:rsid w:val="0099770A"/>
    <w:rsid w:val="00997769"/>
    <w:rsid w:val="00997A2E"/>
    <w:rsid w:val="009A048E"/>
    <w:rsid w:val="009A119F"/>
    <w:rsid w:val="009A1609"/>
    <w:rsid w:val="009A1A7E"/>
    <w:rsid w:val="009A3480"/>
    <w:rsid w:val="009A34D3"/>
    <w:rsid w:val="009A3DB8"/>
    <w:rsid w:val="009A4356"/>
    <w:rsid w:val="009A43B3"/>
    <w:rsid w:val="009A464D"/>
    <w:rsid w:val="009A496F"/>
    <w:rsid w:val="009A4B78"/>
    <w:rsid w:val="009A4D73"/>
    <w:rsid w:val="009A4E41"/>
    <w:rsid w:val="009A5297"/>
    <w:rsid w:val="009A5326"/>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7C4"/>
    <w:rsid w:val="009B2D92"/>
    <w:rsid w:val="009B3250"/>
    <w:rsid w:val="009B3344"/>
    <w:rsid w:val="009B42D2"/>
    <w:rsid w:val="009B4A06"/>
    <w:rsid w:val="009B543A"/>
    <w:rsid w:val="009B5E9C"/>
    <w:rsid w:val="009B609E"/>
    <w:rsid w:val="009B70C8"/>
    <w:rsid w:val="009B722F"/>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71A6"/>
    <w:rsid w:val="009F71AA"/>
    <w:rsid w:val="009F7326"/>
    <w:rsid w:val="009F754A"/>
    <w:rsid w:val="009F791F"/>
    <w:rsid w:val="009F7F86"/>
    <w:rsid w:val="00A0034D"/>
    <w:rsid w:val="00A00BFB"/>
    <w:rsid w:val="00A00DCF"/>
    <w:rsid w:val="00A0126C"/>
    <w:rsid w:val="00A012DA"/>
    <w:rsid w:val="00A0187E"/>
    <w:rsid w:val="00A02450"/>
    <w:rsid w:val="00A026F0"/>
    <w:rsid w:val="00A02F2D"/>
    <w:rsid w:val="00A02F61"/>
    <w:rsid w:val="00A03E0E"/>
    <w:rsid w:val="00A040D1"/>
    <w:rsid w:val="00A04424"/>
    <w:rsid w:val="00A04A0A"/>
    <w:rsid w:val="00A050A8"/>
    <w:rsid w:val="00A056A3"/>
    <w:rsid w:val="00A056AA"/>
    <w:rsid w:val="00A05B51"/>
    <w:rsid w:val="00A06286"/>
    <w:rsid w:val="00A06318"/>
    <w:rsid w:val="00A063BC"/>
    <w:rsid w:val="00A06635"/>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44B7"/>
    <w:rsid w:val="00A149B4"/>
    <w:rsid w:val="00A15F4F"/>
    <w:rsid w:val="00A160AB"/>
    <w:rsid w:val="00A160F0"/>
    <w:rsid w:val="00A16745"/>
    <w:rsid w:val="00A16747"/>
    <w:rsid w:val="00A17C1D"/>
    <w:rsid w:val="00A20013"/>
    <w:rsid w:val="00A20582"/>
    <w:rsid w:val="00A20C65"/>
    <w:rsid w:val="00A214B2"/>
    <w:rsid w:val="00A21767"/>
    <w:rsid w:val="00A21E7C"/>
    <w:rsid w:val="00A21FD5"/>
    <w:rsid w:val="00A22751"/>
    <w:rsid w:val="00A22940"/>
    <w:rsid w:val="00A23102"/>
    <w:rsid w:val="00A23284"/>
    <w:rsid w:val="00A2343F"/>
    <w:rsid w:val="00A23505"/>
    <w:rsid w:val="00A23598"/>
    <w:rsid w:val="00A2428B"/>
    <w:rsid w:val="00A2476B"/>
    <w:rsid w:val="00A247E5"/>
    <w:rsid w:val="00A24D81"/>
    <w:rsid w:val="00A24EA5"/>
    <w:rsid w:val="00A25173"/>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5E3"/>
    <w:rsid w:val="00A41638"/>
    <w:rsid w:val="00A41B15"/>
    <w:rsid w:val="00A4224E"/>
    <w:rsid w:val="00A4229F"/>
    <w:rsid w:val="00A428A9"/>
    <w:rsid w:val="00A42ACA"/>
    <w:rsid w:val="00A43AAB"/>
    <w:rsid w:val="00A43AFE"/>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54"/>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8CC"/>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3984"/>
    <w:rsid w:val="00A83A1E"/>
    <w:rsid w:val="00A84198"/>
    <w:rsid w:val="00A841AB"/>
    <w:rsid w:val="00A844BF"/>
    <w:rsid w:val="00A84FFD"/>
    <w:rsid w:val="00A86104"/>
    <w:rsid w:val="00A8655A"/>
    <w:rsid w:val="00A87203"/>
    <w:rsid w:val="00A87744"/>
    <w:rsid w:val="00A87AE6"/>
    <w:rsid w:val="00A87B09"/>
    <w:rsid w:val="00A87C22"/>
    <w:rsid w:val="00A902AC"/>
    <w:rsid w:val="00A90590"/>
    <w:rsid w:val="00A90A97"/>
    <w:rsid w:val="00A90CB4"/>
    <w:rsid w:val="00A910DA"/>
    <w:rsid w:val="00A920E1"/>
    <w:rsid w:val="00A921BD"/>
    <w:rsid w:val="00A923D6"/>
    <w:rsid w:val="00A92B42"/>
    <w:rsid w:val="00A933AE"/>
    <w:rsid w:val="00A93863"/>
    <w:rsid w:val="00A9415E"/>
    <w:rsid w:val="00A9423F"/>
    <w:rsid w:val="00A94EBD"/>
    <w:rsid w:val="00A9510D"/>
    <w:rsid w:val="00A956AC"/>
    <w:rsid w:val="00A95D2A"/>
    <w:rsid w:val="00A96214"/>
    <w:rsid w:val="00A967E8"/>
    <w:rsid w:val="00A97AF8"/>
    <w:rsid w:val="00A97D38"/>
    <w:rsid w:val="00A97F4B"/>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51A3"/>
    <w:rsid w:val="00AD598B"/>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16D2"/>
    <w:rsid w:val="00B01E41"/>
    <w:rsid w:val="00B02091"/>
    <w:rsid w:val="00B02B3F"/>
    <w:rsid w:val="00B02B43"/>
    <w:rsid w:val="00B02BCB"/>
    <w:rsid w:val="00B03D36"/>
    <w:rsid w:val="00B03F3D"/>
    <w:rsid w:val="00B04384"/>
    <w:rsid w:val="00B04540"/>
    <w:rsid w:val="00B05115"/>
    <w:rsid w:val="00B05116"/>
    <w:rsid w:val="00B051A7"/>
    <w:rsid w:val="00B05574"/>
    <w:rsid w:val="00B05DBF"/>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30"/>
    <w:rsid w:val="00B17C2F"/>
    <w:rsid w:val="00B21175"/>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EB9"/>
    <w:rsid w:val="00B434E9"/>
    <w:rsid w:val="00B441FE"/>
    <w:rsid w:val="00B44821"/>
    <w:rsid w:val="00B44AD3"/>
    <w:rsid w:val="00B44BDC"/>
    <w:rsid w:val="00B45152"/>
    <w:rsid w:val="00B45E54"/>
    <w:rsid w:val="00B461E5"/>
    <w:rsid w:val="00B46325"/>
    <w:rsid w:val="00B464E4"/>
    <w:rsid w:val="00B4689A"/>
    <w:rsid w:val="00B46D5F"/>
    <w:rsid w:val="00B46E7B"/>
    <w:rsid w:val="00B47DC5"/>
    <w:rsid w:val="00B505B3"/>
    <w:rsid w:val="00B50A74"/>
    <w:rsid w:val="00B520A0"/>
    <w:rsid w:val="00B5257E"/>
    <w:rsid w:val="00B525CE"/>
    <w:rsid w:val="00B52CFD"/>
    <w:rsid w:val="00B545A8"/>
    <w:rsid w:val="00B548E8"/>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B23"/>
    <w:rsid w:val="00B86D6C"/>
    <w:rsid w:val="00B86F47"/>
    <w:rsid w:val="00B874B4"/>
    <w:rsid w:val="00B875E9"/>
    <w:rsid w:val="00B8787A"/>
    <w:rsid w:val="00B87887"/>
    <w:rsid w:val="00B90123"/>
    <w:rsid w:val="00B90196"/>
    <w:rsid w:val="00B90FBE"/>
    <w:rsid w:val="00B911C1"/>
    <w:rsid w:val="00B92008"/>
    <w:rsid w:val="00B922C3"/>
    <w:rsid w:val="00B9272E"/>
    <w:rsid w:val="00B927A7"/>
    <w:rsid w:val="00B92B9E"/>
    <w:rsid w:val="00B93315"/>
    <w:rsid w:val="00B93519"/>
    <w:rsid w:val="00B9372A"/>
    <w:rsid w:val="00B93FD0"/>
    <w:rsid w:val="00B9425C"/>
    <w:rsid w:val="00B94AAF"/>
    <w:rsid w:val="00B94DB1"/>
    <w:rsid w:val="00B953FF"/>
    <w:rsid w:val="00B9622D"/>
    <w:rsid w:val="00B96263"/>
    <w:rsid w:val="00B968A5"/>
    <w:rsid w:val="00B972CD"/>
    <w:rsid w:val="00B9769B"/>
    <w:rsid w:val="00B97D02"/>
    <w:rsid w:val="00BA0304"/>
    <w:rsid w:val="00BA0557"/>
    <w:rsid w:val="00BA2A34"/>
    <w:rsid w:val="00BA3038"/>
    <w:rsid w:val="00BA3319"/>
    <w:rsid w:val="00BA370A"/>
    <w:rsid w:val="00BA3826"/>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B0D"/>
    <w:rsid w:val="00BB524C"/>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DA4"/>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4CE"/>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473E"/>
    <w:rsid w:val="00BE5135"/>
    <w:rsid w:val="00BE5964"/>
    <w:rsid w:val="00BE5F2B"/>
    <w:rsid w:val="00BE623F"/>
    <w:rsid w:val="00BE660B"/>
    <w:rsid w:val="00BE69D1"/>
    <w:rsid w:val="00BE6AFE"/>
    <w:rsid w:val="00BE6BBE"/>
    <w:rsid w:val="00BE6FDA"/>
    <w:rsid w:val="00BE7021"/>
    <w:rsid w:val="00BE7300"/>
    <w:rsid w:val="00BE784F"/>
    <w:rsid w:val="00BE78CE"/>
    <w:rsid w:val="00BF0238"/>
    <w:rsid w:val="00BF0717"/>
    <w:rsid w:val="00BF071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2F7"/>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001D"/>
    <w:rsid w:val="00C10B5A"/>
    <w:rsid w:val="00C11113"/>
    <w:rsid w:val="00C11687"/>
    <w:rsid w:val="00C117BE"/>
    <w:rsid w:val="00C11C12"/>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D52"/>
    <w:rsid w:val="00C26F21"/>
    <w:rsid w:val="00C277DA"/>
    <w:rsid w:val="00C303E4"/>
    <w:rsid w:val="00C30775"/>
    <w:rsid w:val="00C30B8D"/>
    <w:rsid w:val="00C310BA"/>
    <w:rsid w:val="00C3134E"/>
    <w:rsid w:val="00C315D8"/>
    <w:rsid w:val="00C31C4A"/>
    <w:rsid w:val="00C31D2D"/>
    <w:rsid w:val="00C32639"/>
    <w:rsid w:val="00C32A1C"/>
    <w:rsid w:val="00C32AD2"/>
    <w:rsid w:val="00C34193"/>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E2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6976"/>
    <w:rsid w:val="00C66C7B"/>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0E5E"/>
    <w:rsid w:val="00C921C4"/>
    <w:rsid w:val="00C9235F"/>
    <w:rsid w:val="00C9257F"/>
    <w:rsid w:val="00C9319C"/>
    <w:rsid w:val="00C931C4"/>
    <w:rsid w:val="00C934F6"/>
    <w:rsid w:val="00C93874"/>
    <w:rsid w:val="00C93A4C"/>
    <w:rsid w:val="00C9448D"/>
    <w:rsid w:val="00C94FD2"/>
    <w:rsid w:val="00C9514C"/>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413F"/>
    <w:rsid w:val="00CA5098"/>
    <w:rsid w:val="00CA5503"/>
    <w:rsid w:val="00CA55C3"/>
    <w:rsid w:val="00CA65B3"/>
    <w:rsid w:val="00CA66C3"/>
    <w:rsid w:val="00CA6CAD"/>
    <w:rsid w:val="00CA70A8"/>
    <w:rsid w:val="00CA70D0"/>
    <w:rsid w:val="00CA74A4"/>
    <w:rsid w:val="00CA7683"/>
    <w:rsid w:val="00CA7EA1"/>
    <w:rsid w:val="00CA7EEB"/>
    <w:rsid w:val="00CB009B"/>
    <w:rsid w:val="00CB0231"/>
    <w:rsid w:val="00CB0838"/>
    <w:rsid w:val="00CB0CA9"/>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9E7"/>
    <w:rsid w:val="00CB5E4A"/>
    <w:rsid w:val="00CB668A"/>
    <w:rsid w:val="00CB6976"/>
    <w:rsid w:val="00CB6FCA"/>
    <w:rsid w:val="00CB724D"/>
    <w:rsid w:val="00CB73EA"/>
    <w:rsid w:val="00CB7D4E"/>
    <w:rsid w:val="00CC002B"/>
    <w:rsid w:val="00CC07E5"/>
    <w:rsid w:val="00CC09F0"/>
    <w:rsid w:val="00CC0C11"/>
    <w:rsid w:val="00CC15B5"/>
    <w:rsid w:val="00CC1671"/>
    <w:rsid w:val="00CC1F52"/>
    <w:rsid w:val="00CC233F"/>
    <w:rsid w:val="00CC27FD"/>
    <w:rsid w:val="00CC31E8"/>
    <w:rsid w:val="00CC33C6"/>
    <w:rsid w:val="00CC3AB9"/>
    <w:rsid w:val="00CC3C9E"/>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7381"/>
    <w:rsid w:val="00CE7447"/>
    <w:rsid w:val="00CE74CE"/>
    <w:rsid w:val="00CE7F36"/>
    <w:rsid w:val="00CF0829"/>
    <w:rsid w:val="00CF0E74"/>
    <w:rsid w:val="00CF1833"/>
    <w:rsid w:val="00CF1AEA"/>
    <w:rsid w:val="00CF1B4F"/>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744"/>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0C0"/>
    <w:rsid w:val="00D06861"/>
    <w:rsid w:val="00D0688A"/>
    <w:rsid w:val="00D06F22"/>
    <w:rsid w:val="00D07A9C"/>
    <w:rsid w:val="00D07F09"/>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225E"/>
    <w:rsid w:val="00D324BC"/>
    <w:rsid w:val="00D331AE"/>
    <w:rsid w:val="00D33565"/>
    <w:rsid w:val="00D33762"/>
    <w:rsid w:val="00D34025"/>
    <w:rsid w:val="00D3413A"/>
    <w:rsid w:val="00D34BD1"/>
    <w:rsid w:val="00D35177"/>
    <w:rsid w:val="00D356E1"/>
    <w:rsid w:val="00D35D14"/>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5F5"/>
    <w:rsid w:val="00D47842"/>
    <w:rsid w:val="00D478A8"/>
    <w:rsid w:val="00D47BEF"/>
    <w:rsid w:val="00D50826"/>
    <w:rsid w:val="00D51675"/>
    <w:rsid w:val="00D51A75"/>
    <w:rsid w:val="00D51F73"/>
    <w:rsid w:val="00D52827"/>
    <w:rsid w:val="00D529BE"/>
    <w:rsid w:val="00D52CF6"/>
    <w:rsid w:val="00D53198"/>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BD2"/>
    <w:rsid w:val="00D713F2"/>
    <w:rsid w:val="00D721AA"/>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6D93"/>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2DB5"/>
    <w:rsid w:val="00D83A5A"/>
    <w:rsid w:val="00D84157"/>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5DD"/>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1A5F"/>
    <w:rsid w:val="00E020D1"/>
    <w:rsid w:val="00E0250C"/>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031"/>
    <w:rsid w:val="00E30700"/>
    <w:rsid w:val="00E30D87"/>
    <w:rsid w:val="00E30E57"/>
    <w:rsid w:val="00E31360"/>
    <w:rsid w:val="00E31D28"/>
    <w:rsid w:val="00E325FF"/>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3C6"/>
    <w:rsid w:val="00E41C4E"/>
    <w:rsid w:val="00E41CFD"/>
    <w:rsid w:val="00E420D5"/>
    <w:rsid w:val="00E42517"/>
    <w:rsid w:val="00E42D55"/>
    <w:rsid w:val="00E42FFE"/>
    <w:rsid w:val="00E4316E"/>
    <w:rsid w:val="00E435AB"/>
    <w:rsid w:val="00E44275"/>
    <w:rsid w:val="00E44777"/>
    <w:rsid w:val="00E4535F"/>
    <w:rsid w:val="00E466BC"/>
    <w:rsid w:val="00E4686A"/>
    <w:rsid w:val="00E47538"/>
    <w:rsid w:val="00E479FD"/>
    <w:rsid w:val="00E47EC6"/>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592"/>
    <w:rsid w:val="00E6589D"/>
    <w:rsid w:val="00E65E8C"/>
    <w:rsid w:val="00E665E7"/>
    <w:rsid w:val="00E66C96"/>
    <w:rsid w:val="00E6703C"/>
    <w:rsid w:val="00E6703E"/>
    <w:rsid w:val="00E70130"/>
    <w:rsid w:val="00E7063F"/>
    <w:rsid w:val="00E715FC"/>
    <w:rsid w:val="00E71A45"/>
    <w:rsid w:val="00E71C21"/>
    <w:rsid w:val="00E72D84"/>
    <w:rsid w:val="00E730FC"/>
    <w:rsid w:val="00E7318D"/>
    <w:rsid w:val="00E7385A"/>
    <w:rsid w:val="00E73CE6"/>
    <w:rsid w:val="00E74780"/>
    <w:rsid w:val="00E7487D"/>
    <w:rsid w:val="00E74956"/>
    <w:rsid w:val="00E752F7"/>
    <w:rsid w:val="00E75848"/>
    <w:rsid w:val="00E75898"/>
    <w:rsid w:val="00E759D4"/>
    <w:rsid w:val="00E76A3C"/>
    <w:rsid w:val="00E76F9B"/>
    <w:rsid w:val="00E771FC"/>
    <w:rsid w:val="00E773E5"/>
    <w:rsid w:val="00E77511"/>
    <w:rsid w:val="00E77BDD"/>
    <w:rsid w:val="00E806D3"/>
    <w:rsid w:val="00E81C34"/>
    <w:rsid w:val="00E81D83"/>
    <w:rsid w:val="00E8219F"/>
    <w:rsid w:val="00E821BB"/>
    <w:rsid w:val="00E822E9"/>
    <w:rsid w:val="00E826FE"/>
    <w:rsid w:val="00E8275E"/>
    <w:rsid w:val="00E827AF"/>
    <w:rsid w:val="00E82DE9"/>
    <w:rsid w:val="00E83253"/>
    <w:rsid w:val="00E844AB"/>
    <w:rsid w:val="00E84C97"/>
    <w:rsid w:val="00E85005"/>
    <w:rsid w:val="00E850DA"/>
    <w:rsid w:val="00E85296"/>
    <w:rsid w:val="00E8533B"/>
    <w:rsid w:val="00E8575B"/>
    <w:rsid w:val="00E85931"/>
    <w:rsid w:val="00E85E4E"/>
    <w:rsid w:val="00E862BB"/>
    <w:rsid w:val="00E86327"/>
    <w:rsid w:val="00E868C7"/>
    <w:rsid w:val="00E86DF0"/>
    <w:rsid w:val="00E87BD2"/>
    <w:rsid w:val="00E87CDC"/>
    <w:rsid w:val="00E906E0"/>
    <w:rsid w:val="00E90B33"/>
    <w:rsid w:val="00E911E0"/>
    <w:rsid w:val="00E93407"/>
    <w:rsid w:val="00E940A8"/>
    <w:rsid w:val="00E94759"/>
    <w:rsid w:val="00E947E8"/>
    <w:rsid w:val="00E94B0F"/>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4E75"/>
    <w:rsid w:val="00EA554F"/>
    <w:rsid w:val="00EA6250"/>
    <w:rsid w:val="00EA66A4"/>
    <w:rsid w:val="00EA6819"/>
    <w:rsid w:val="00EA69E4"/>
    <w:rsid w:val="00EA6A1E"/>
    <w:rsid w:val="00EA75BD"/>
    <w:rsid w:val="00EA760C"/>
    <w:rsid w:val="00EA7C4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5CD"/>
    <w:rsid w:val="00EC2716"/>
    <w:rsid w:val="00EC2DBB"/>
    <w:rsid w:val="00EC3107"/>
    <w:rsid w:val="00EC358E"/>
    <w:rsid w:val="00EC3F3F"/>
    <w:rsid w:val="00EC3FD2"/>
    <w:rsid w:val="00EC4095"/>
    <w:rsid w:val="00EC43B5"/>
    <w:rsid w:val="00EC4537"/>
    <w:rsid w:val="00EC4960"/>
    <w:rsid w:val="00EC4AE3"/>
    <w:rsid w:val="00EC522B"/>
    <w:rsid w:val="00EC54EE"/>
    <w:rsid w:val="00EC59B2"/>
    <w:rsid w:val="00EC5A3B"/>
    <w:rsid w:val="00EC66EB"/>
    <w:rsid w:val="00EC6BCB"/>
    <w:rsid w:val="00EC774E"/>
    <w:rsid w:val="00EC786C"/>
    <w:rsid w:val="00EC7ADD"/>
    <w:rsid w:val="00ED04FE"/>
    <w:rsid w:val="00ED0DD0"/>
    <w:rsid w:val="00ED1989"/>
    <w:rsid w:val="00ED28F2"/>
    <w:rsid w:val="00ED3145"/>
    <w:rsid w:val="00ED3309"/>
    <w:rsid w:val="00ED356E"/>
    <w:rsid w:val="00ED3BDA"/>
    <w:rsid w:val="00ED3DA4"/>
    <w:rsid w:val="00ED4B67"/>
    <w:rsid w:val="00ED4B69"/>
    <w:rsid w:val="00ED4E40"/>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B88"/>
    <w:rsid w:val="00EE4B75"/>
    <w:rsid w:val="00EE4DBD"/>
    <w:rsid w:val="00EE57D6"/>
    <w:rsid w:val="00EE6025"/>
    <w:rsid w:val="00EE6AC6"/>
    <w:rsid w:val="00EE6E26"/>
    <w:rsid w:val="00EE784F"/>
    <w:rsid w:val="00EE7A1D"/>
    <w:rsid w:val="00EF0500"/>
    <w:rsid w:val="00EF0B66"/>
    <w:rsid w:val="00EF1002"/>
    <w:rsid w:val="00EF143F"/>
    <w:rsid w:val="00EF1DA9"/>
    <w:rsid w:val="00EF23D8"/>
    <w:rsid w:val="00EF2A5A"/>
    <w:rsid w:val="00EF2A87"/>
    <w:rsid w:val="00EF3A74"/>
    <w:rsid w:val="00EF3AE9"/>
    <w:rsid w:val="00EF3EA5"/>
    <w:rsid w:val="00EF40DC"/>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5F68"/>
    <w:rsid w:val="00F06239"/>
    <w:rsid w:val="00F064EF"/>
    <w:rsid w:val="00F06558"/>
    <w:rsid w:val="00F06F42"/>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50511"/>
    <w:rsid w:val="00F50781"/>
    <w:rsid w:val="00F50CA3"/>
    <w:rsid w:val="00F517ED"/>
    <w:rsid w:val="00F51F3F"/>
    <w:rsid w:val="00F528B5"/>
    <w:rsid w:val="00F528E7"/>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57F18"/>
    <w:rsid w:val="00F602F0"/>
    <w:rsid w:val="00F6098E"/>
    <w:rsid w:val="00F60C90"/>
    <w:rsid w:val="00F619EE"/>
    <w:rsid w:val="00F61CF5"/>
    <w:rsid w:val="00F61FF9"/>
    <w:rsid w:val="00F62069"/>
    <w:rsid w:val="00F62159"/>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7074A"/>
    <w:rsid w:val="00F711A0"/>
    <w:rsid w:val="00F71687"/>
    <w:rsid w:val="00F71708"/>
    <w:rsid w:val="00F717C1"/>
    <w:rsid w:val="00F71AB3"/>
    <w:rsid w:val="00F725D3"/>
    <w:rsid w:val="00F7281E"/>
    <w:rsid w:val="00F72C1A"/>
    <w:rsid w:val="00F72C3D"/>
    <w:rsid w:val="00F7326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268"/>
    <w:rsid w:val="00F868B6"/>
    <w:rsid w:val="00F86968"/>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F86"/>
    <w:rsid w:val="00F97711"/>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29C"/>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149"/>
    <w:rsid w:val="00FB227E"/>
    <w:rsid w:val="00FB267D"/>
    <w:rsid w:val="00FB2A18"/>
    <w:rsid w:val="00FB2BF4"/>
    <w:rsid w:val="00FB2C8D"/>
    <w:rsid w:val="00FB2DC6"/>
    <w:rsid w:val="00FB4FDE"/>
    <w:rsid w:val="00FB5E81"/>
    <w:rsid w:val="00FB6E6C"/>
    <w:rsid w:val="00FB71B0"/>
    <w:rsid w:val="00FB7404"/>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2ED4"/>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420B2A"/>
    <w:rsid w:val="0147153B"/>
    <w:rsid w:val="015C48BA"/>
    <w:rsid w:val="01885910"/>
    <w:rsid w:val="01AA2C10"/>
    <w:rsid w:val="01DB7ED5"/>
    <w:rsid w:val="01ED6133"/>
    <w:rsid w:val="021E306D"/>
    <w:rsid w:val="02C04BED"/>
    <w:rsid w:val="02CB76A6"/>
    <w:rsid w:val="02D7201B"/>
    <w:rsid w:val="02DC20C2"/>
    <w:rsid w:val="02E4358B"/>
    <w:rsid w:val="03250E34"/>
    <w:rsid w:val="032B09E8"/>
    <w:rsid w:val="037738D8"/>
    <w:rsid w:val="039667A9"/>
    <w:rsid w:val="039E565E"/>
    <w:rsid w:val="03A63A0A"/>
    <w:rsid w:val="03CD5EB1"/>
    <w:rsid w:val="03E36F26"/>
    <w:rsid w:val="03EE579D"/>
    <w:rsid w:val="04106A3B"/>
    <w:rsid w:val="04126341"/>
    <w:rsid w:val="04481C2D"/>
    <w:rsid w:val="04510922"/>
    <w:rsid w:val="04551AAB"/>
    <w:rsid w:val="047C774D"/>
    <w:rsid w:val="04915ECB"/>
    <w:rsid w:val="04B862AB"/>
    <w:rsid w:val="04BF3ADE"/>
    <w:rsid w:val="04D76720"/>
    <w:rsid w:val="04E212E5"/>
    <w:rsid w:val="051A5F65"/>
    <w:rsid w:val="05502988"/>
    <w:rsid w:val="05A96137"/>
    <w:rsid w:val="05B53FF0"/>
    <w:rsid w:val="05C23FD6"/>
    <w:rsid w:val="06085010"/>
    <w:rsid w:val="061F61EF"/>
    <w:rsid w:val="062260D2"/>
    <w:rsid w:val="06494D3A"/>
    <w:rsid w:val="06B50CF4"/>
    <w:rsid w:val="06EF155D"/>
    <w:rsid w:val="075F0692"/>
    <w:rsid w:val="07727993"/>
    <w:rsid w:val="079C3466"/>
    <w:rsid w:val="07B80054"/>
    <w:rsid w:val="080752F8"/>
    <w:rsid w:val="081C6568"/>
    <w:rsid w:val="085B58CB"/>
    <w:rsid w:val="0880434F"/>
    <w:rsid w:val="089808CE"/>
    <w:rsid w:val="08B02111"/>
    <w:rsid w:val="08F53B23"/>
    <w:rsid w:val="090E35B9"/>
    <w:rsid w:val="091E15C5"/>
    <w:rsid w:val="093B40C4"/>
    <w:rsid w:val="09433BE3"/>
    <w:rsid w:val="095228A5"/>
    <w:rsid w:val="0975632A"/>
    <w:rsid w:val="098C5C7A"/>
    <w:rsid w:val="0A070656"/>
    <w:rsid w:val="0A913ED8"/>
    <w:rsid w:val="0AA33120"/>
    <w:rsid w:val="0B0900BC"/>
    <w:rsid w:val="0B24171E"/>
    <w:rsid w:val="0B36617C"/>
    <w:rsid w:val="0B512FB6"/>
    <w:rsid w:val="0BA31A63"/>
    <w:rsid w:val="0BB33687"/>
    <w:rsid w:val="0BD83A88"/>
    <w:rsid w:val="0BDF31ED"/>
    <w:rsid w:val="0BE91440"/>
    <w:rsid w:val="0C2C0750"/>
    <w:rsid w:val="0C42783D"/>
    <w:rsid w:val="0C6953AC"/>
    <w:rsid w:val="0C88030B"/>
    <w:rsid w:val="0C91064F"/>
    <w:rsid w:val="0CC3447E"/>
    <w:rsid w:val="0CCA3020"/>
    <w:rsid w:val="0CFC684F"/>
    <w:rsid w:val="0D081F34"/>
    <w:rsid w:val="0D1F15BD"/>
    <w:rsid w:val="0D584403"/>
    <w:rsid w:val="0D8D34F0"/>
    <w:rsid w:val="0D95362E"/>
    <w:rsid w:val="0DDA523F"/>
    <w:rsid w:val="0DFF4F4B"/>
    <w:rsid w:val="0E036A67"/>
    <w:rsid w:val="0E106210"/>
    <w:rsid w:val="0E2D7D0A"/>
    <w:rsid w:val="0E613FCD"/>
    <w:rsid w:val="0E6B25E0"/>
    <w:rsid w:val="0E96411B"/>
    <w:rsid w:val="0E9C33D4"/>
    <w:rsid w:val="0F2D032F"/>
    <w:rsid w:val="0F333B7C"/>
    <w:rsid w:val="0F44355D"/>
    <w:rsid w:val="0F4E0B15"/>
    <w:rsid w:val="0F6E4775"/>
    <w:rsid w:val="0F824086"/>
    <w:rsid w:val="0FC6166D"/>
    <w:rsid w:val="0FE43796"/>
    <w:rsid w:val="101C0A97"/>
    <w:rsid w:val="10206668"/>
    <w:rsid w:val="1021261E"/>
    <w:rsid w:val="10B565DC"/>
    <w:rsid w:val="10DD5A17"/>
    <w:rsid w:val="10E16B8A"/>
    <w:rsid w:val="10EC7D07"/>
    <w:rsid w:val="10F67974"/>
    <w:rsid w:val="10FB5E9E"/>
    <w:rsid w:val="11444849"/>
    <w:rsid w:val="11457AE0"/>
    <w:rsid w:val="11553800"/>
    <w:rsid w:val="116353E3"/>
    <w:rsid w:val="11656EA8"/>
    <w:rsid w:val="11674D27"/>
    <w:rsid w:val="1172072C"/>
    <w:rsid w:val="117C7228"/>
    <w:rsid w:val="11870D2E"/>
    <w:rsid w:val="119A56B6"/>
    <w:rsid w:val="11AA1F6F"/>
    <w:rsid w:val="11B84A2E"/>
    <w:rsid w:val="11C0320C"/>
    <w:rsid w:val="11C7264D"/>
    <w:rsid w:val="11E44F7D"/>
    <w:rsid w:val="120D2D9A"/>
    <w:rsid w:val="121874D4"/>
    <w:rsid w:val="121C75C3"/>
    <w:rsid w:val="121D73CF"/>
    <w:rsid w:val="123A29F6"/>
    <w:rsid w:val="123F3D07"/>
    <w:rsid w:val="12421279"/>
    <w:rsid w:val="128527A5"/>
    <w:rsid w:val="128F2D41"/>
    <w:rsid w:val="129465AA"/>
    <w:rsid w:val="12A12A75"/>
    <w:rsid w:val="12D61881"/>
    <w:rsid w:val="12D6790A"/>
    <w:rsid w:val="12F438A7"/>
    <w:rsid w:val="12FC3742"/>
    <w:rsid w:val="130003A3"/>
    <w:rsid w:val="13254187"/>
    <w:rsid w:val="133B3DE4"/>
    <w:rsid w:val="133F6D99"/>
    <w:rsid w:val="13743CE5"/>
    <w:rsid w:val="13977E74"/>
    <w:rsid w:val="13A0488B"/>
    <w:rsid w:val="13DC05B5"/>
    <w:rsid w:val="14057487"/>
    <w:rsid w:val="14164D9C"/>
    <w:rsid w:val="141B7F51"/>
    <w:rsid w:val="142B50C2"/>
    <w:rsid w:val="142E4D14"/>
    <w:rsid w:val="14366F07"/>
    <w:rsid w:val="146F2C7A"/>
    <w:rsid w:val="147321EF"/>
    <w:rsid w:val="14773E14"/>
    <w:rsid w:val="1484613A"/>
    <w:rsid w:val="149E4992"/>
    <w:rsid w:val="14C02644"/>
    <w:rsid w:val="14DA401C"/>
    <w:rsid w:val="150D619F"/>
    <w:rsid w:val="15201385"/>
    <w:rsid w:val="15436C90"/>
    <w:rsid w:val="159D7049"/>
    <w:rsid w:val="15A217AD"/>
    <w:rsid w:val="15A271B9"/>
    <w:rsid w:val="15A4326F"/>
    <w:rsid w:val="15BA35A2"/>
    <w:rsid w:val="15C026F1"/>
    <w:rsid w:val="15DA014D"/>
    <w:rsid w:val="15E02896"/>
    <w:rsid w:val="164D7FBA"/>
    <w:rsid w:val="16511699"/>
    <w:rsid w:val="166F5EC8"/>
    <w:rsid w:val="16944E09"/>
    <w:rsid w:val="16B12ED2"/>
    <w:rsid w:val="16EB4F89"/>
    <w:rsid w:val="17064457"/>
    <w:rsid w:val="17296001"/>
    <w:rsid w:val="17351D64"/>
    <w:rsid w:val="17884E38"/>
    <w:rsid w:val="178D7531"/>
    <w:rsid w:val="17FF00F4"/>
    <w:rsid w:val="183D6D9C"/>
    <w:rsid w:val="18880B6F"/>
    <w:rsid w:val="189439F5"/>
    <w:rsid w:val="18963C08"/>
    <w:rsid w:val="18AB63FB"/>
    <w:rsid w:val="18AF159D"/>
    <w:rsid w:val="18BD7B4F"/>
    <w:rsid w:val="18C643E3"/>
    <w:rsid w:val="18D83A1F"/>
    <w:rsid w:val="18F65B74"/>
    <w:rsid w:val="19040623"/>
    <w:rsid w:val="19046B55"/>
    <w:rsid w:val="191D29AB"/>
    <w:rsid w:val="192166BD"/>
    <w:rsid w:val="1926716D"/>
    <w:rsid w:val="19427C18"/>
    <w:rsid w:val="1990438D"/>
    <w:rsid w:val="19B77907"/>
    <w:rsid w:val="19B92B5F"/>
    <w:rsid w:val="19D47DBF"/>
    <w:rsid w:val="19EB6441"/>
    <w:rsid w:val="1A442DE9"/>
    <w:rsid w:val="1A60612F"/>
    <w:rsid w:val="1A8F2E86"/>
    <w:rsid w:val="1A900541"/>
    <w:rsid w:val="1AB23A71"/>
    <w:rsid w:val="1AFA2B27"/>
    <w:rsid w:val="1B311BC4"/>
    <w:rsid w:val="1B414DF5"/>
    <w:rsid w:val="1B6801DE"/>
    <w:rsid w:val="1B8D0FC7"/>
    <w:rsid w:val="1B954DCA"/>
    <w:rsid w:val="1BC806C4"/>
    <w:rsid w:val="1BE22134"/>
    <w:rsid w:val="1CE935AE"/>
    <w:rsid w:val="1D043968"/>
    <w:rsid w:val="1D2641DD"/>
    <w:rsid w:val="1D281EAC"/>
    <w:rsid w:val="1D321E13"/>
    <w:rsid w:val="1D5E1C8E"/>
    <w:rsid w:val="1D927B8A"/>
    <w:rsid w:val="1D9456B0"/>
    <w:rsid w:val="1DC26A99"/>
    <w:rsid w:val="1DDD5D96"/>
    <w:rsid w:val="1DE859FC"/>
    <w:rsid w:val="1DEE4E5C"/>
    <w:rsid w:val="1DFB74DD"/>
    <w:rsid w:val="1DFD4E6A"/>
    <w:rsid w:val="1DFF3568"/>
    <w:rsid w:val="1E002D45"/>
    <w:rsid w:val="1E2101B0"/>
    <w:rsid w:val="1E2210EC"/>
    <w:rsid w:val="1E512C40"/>
    <w:rsid w:val="1E761259"/>
    <w:rsid w:val="1E93102A"/>
    <w:rsid w:val="1EA5569B"/>
    <w:rsid w:val="1EFA3E56"/>
    <w:rsid w:val="1EFB350D"/>
    <w:rsid w:val="1EFC1559"/>
    <w:rsid w:val="1F462152"/>
    <w:rsid w:val="1F687D89"/>
    <w:rsid w:val="1F6B6784"/>
    <w:rsid w:val="1F7E03C6"/>
    <w:rsid w:val="1F9C6A9E"/>
    <w:rsid w:val="1FD12943"/>
    <w:rsid w:val="1FF42436"/>
    <w:rsid w:val="203211B0"/>
    <w:rsid w:val="203E7B55"/>
    <w:rsid w:val="203F0355"/>
    <w:rsid w:val="204A02A8"/>
    <w:rsid w:val="204F58BE"/>
    <w:rsid w:val="205F3390"/>
    <w:rsid w:val="20780ECB"/>
    <w:rsid w:val="209F323C"/>
    <w:rsid w:val="20A71560"/>
    <w:rsid w:val="20AD534D"/>
    <w:rsid w:val="20F13B6C"/>
    <w:rsid w:val="21042B4C"/>
    <w:rsid w:val="210B70F7"/>
    <w:rsid w:val="210F504D"/>
    <w:rsid w:val="211508B6"/>
    <w:rsid w:val="213C01C0"/>
    <w:rsid w:val="21455F84"/>
    <w:rsid w:val="21866993"/>
    <w:rsid w:val="218B0B78"/>
    <w:rsid w:val="219B6050"/>
    <w:rsid w:val="21AC3DF0"/>
    <w:rsid w:val="21F1773C"/>
    <w:rsid w:val="21F607EE"/>
    <w:rsid w:val="22094EF8"/>
    <w:rsid w:val="224176AA"/>
    <w:rsid w:val="225C3F21"/>
    <w:rsid w:val="2265761B"/>
    <w:rsid w:val="228C1199"/>
    <w:rsid w:val="229C4263"/>
    <w:rsid w:val="229F3FF7"/>
    <w:rsid w:val="22AE5E45"/>
    <w:rsid w:val="22CB445B"/>
    <w:rsid w:val="22E345B4"/>
    <w:rsid w:val="231E1672"/>
    <w:rsid w:val="23437046"/>
    <w:rsid w:val="234B4A63"/>
    <w:rsid w:val="235634BB"/>
    <w:rsid w:val="23702BB7"/>
    <w:rsid w:val="237F14FF"/>
    <w:rsid w:val="23CB5BA3"/>
    <w:rsid w:val="23D6155B"/>
    <w:rsid w:val="23DF164F"/>
    <w:rsid w:val="23ED1676"/>
    <w:rsid w:val="240B30B6"/>
    <w:rsid w:val="242D24F6"/>
    <w:rsid w:val="243601AA"/>
    <w:rsid w:val="244105CB"/>
    <w:rsid w:val="244D0366"/>
    <w:rsid w:val="24630789"/>
    <w:rsid w:val="24801EBF"/>
    <w:rsid w:val="24977600"/>
    <w:rsid w:val="249F63FA"/>
    <w:rsid w:val="24CD14A7"/>
    <w:rsid w:val="250C4E34"/>
    <w:rsid w:val="252C08C4"/>
    <w:rsid w:val="25566A31"/>
    <w:rsid w:val="2572277A"/>
    <w:rsid w:val="25B16B07"/>
    <w:rsid w:val="25C26B32"/>
    <w:rsid w:val="25F72C80"/>
    <w:rsid w:val="265B6D1C"/>
    <w:rsid w:val="265F5ADC"/>
    <w:rsid w:val="2665511D"/>
    <w:rsid w:val="26782FD5"/>
    <w:rsid w:val="26A5448A"/>
    <w:rsid w:val="26AA0F6E"/>
    <w:rsid w:val="26AD6772"/>
    <w:rsid w:val="26C612C1"/>
    <w:rsid w:val="2724694F"/>
    <w:rsid w:val="27247AA4"/>
    <w:rsid w:val="272A48C3"/>
    <w:rsid w:val="272F1A96"/>
    <w:rsid w:val="273262A3"/>
    <w:rsid w:val="27416C07"/>
    <w:rsid w:val="27802801"/>
    <w:rsid w:val="2781009F"/>
    <w:rsid w:val="27AC0841"/>
    <w:rsid w:val="27B5080D"/>
    <w:rsid w:val="27D36867"/>
    <w:rsid w:val="27E26596"/>
    <w:rsid w:val="2812219C"/>
    <w:rsid w:val="2848646B"/>
    <w:rsid w:val="28605094"/>
    <w:rsid w:val="286C2C44"/>
    <w:rsid w:val="28F7602F"/>
    <w:rsid w:val="291074AF"/>
    <w:rsid w:val="291E7960"/>
    <w:rsid w:val="29283150"/>
    <w:rsid w:val="295472DE"/>
    <w:rsid w:val="295F4EE6"/>
    <w:rsid w:val="297B0CF7"/>
    <w:rsid w:val="297F1BC9"/>
    <w:rsid w:val="29947356"/>
    <w:rsid w:val="299D769A"/>
    <w:rsid w:val="29BE3F8B"/>
    <w:rsid w:val="29C15A7E"/>
    <w:rsid w:val="29C90257"/>
    <w:rsid w:val="2A2C0A1E"/>
    <w:rsid w:val="2A51423E"/>
    <w:rsid w:val="2A55529B"/>
    <w:rsid w:val="2A5A558B"/>
    <w:rsid w:val="2A7778D7"/>
    <w:rsid w:val="2AA65C38"/>
    <w:rsid w:val="2AC46D23"/>
    <w:rsid w:val="2B0C2E4A"/>
    <w:rsid w:val="2B1E0D76"/>
    <w:rsid w:val="2B4C4087"/>
    <w:rsid w:val="2BA518D9"/>
    <w:rsid w:val="2BB16B54"/>
    <w:rsid w:val="2BF967C7"/>
    <w:rsid w:val="2BFC0FF0"/>
    <w:rsid w:val="2C2362F6"/>
    <w:rsid w:val="2C2F02F7"/>
    <w:rsid w:val="2C8B2374"/>
    <w:rsid w:val="2CCF44D9"/>
    <w:rsid w:val="2D104627"/>
    <w:rsid w:val="2D4B661C"/>
    <w:rsid w:val="2D7921CC"/>
    <w:rsid w:val="2D8244AA"/>
    <w:rsid w:val="2DC72F38"/>
    <w:rsid w:val="2E020414"/>
    <w:rsid w:val="2E2C1C42"/>
    <w:rsid w:val="2E644576"/>
    <w:rsid w:val="2E8B683B"/>
    <w:rsid w:val="2EDD2DD9"/>
    <w:rsid w:val="2EFA61AC"/>
    <w:rsid w:val="2F065CE2"/>
    <w:rsid w:val="2F5F5A27"/>
    <w:rsid w:val="2F6B1FE9"/>
    <w:rsid w:val="2F723467"/>
    <w:rsid w:val="2F9A7BA6"/>
    <w:rsid w:val="2FB566D8"/>
    <w:rsid w:val="30044719"/>
    <w:rsid w:val="30087837"/>
    <w:rsid w:val="30187840"/>
    <w:rsid w:val="30417940"/>
    <w:rsid w:val="30530CF0"/>
    <w:rsid w:val="305D5DD5"/>
    <w:rsid w:val="309474E6"/>
    <w:rsid w:val="314C4494"/>
    <w:rsid w:val="315E0057"/>
    <w:rsid w:val="31676E9C"/>
    <w:rsid w:val="31D11750"/>
    <w:rsid w:val="31F42FA6"/>
    <w:rsid w:val="31F81407"/>
    <w:rsid w:val="32176F4C"/>
    <w:rsid w:val="32285F6F"/>
    <w:rsid w:val="3246728F"/>
    <w:rsid w:val="325D5DC6"/>
    <w:rsid w:val="32713DBA"/>
    <w:rsid w:val="328815DF"/>
    <w:rsid w:val="32A02B99"/>
    <w:rsid w:val="32C51A10"/>
    <w:rsid w:val="32E225C2"/>
    <w:rsid w:val="330E785B"/>
    <w:rsid w:val="332609DF"/>
    <w:rsid w:val="333D47DE"/>
    <w:rsid w:val="3341378C"/>
    <w:rsid w:val="334D3EDF"/>
    <w:rsid w:val="33590AD6"/>
    <w:rsid w:val="335C441D"/>
    <w:rsid w:val="33615BDC"/>
    <w:rsid w:val="33965439"/>
    <w:rsid w:val="33993175"/>
    <w:rsid w:val="33A0688C"/>
    <w:rsid w:val="33A429B6"/>
    <w:rsid w:val="33D414D0"/>
    <w:rsid w:val="33DD7FB9"/>
    <w:rsid w:val="33F03EB5"/>
    <w:rsid w:val="34071070"/>
    <w:rsid w:val="34075851"/>
    <w:rsid w:val="34111E2D"/>
    <w:rsid w:val="343D3C00"/>
    <w:rsid w:val="34A57FC6"/>
    <w:rsid w:val="34C44675"/>
    <w:rsid w:val="34CC177B"/>
    <w:rsid w:val="35106610"/>
    <w:rsid w:val="35290B35"/>
    <w:rsid w:val="353A0CCE"/>
    <w:rsid w:val="3569521C"/>
    <w:rsid w:val="35700592"/>
    <w:rsid w:val="358362DE"/>
    <w:rsid w:val="35CD358A"/>
    <w:rsid w:val="35E328D9"/>
    <w:rsid w:val="362A09EF"/>
    <w:rsid w:val="36323860"/>
    <w:rsid w:val="36455341"/>
    <w:rsid w:val="36601776"/>
    <w:rsid w:val="366C4968"/>
    <w:rsid w:val="36892B95"/>
    <w:rsid w:val="369C1105"/>
    <w:rsid w:val="36B74B5C"/>
    <w:rsid w:val="36E0506A"/>
    <w:rsid w:val="36E85468"/>
    <w:rsid w:val="36E9620E"/>
    <w:rsid w:val="36F34D9D"/>
    <w:rsid w:val="3724764D"/>
    <w:rsid w:val="37257C7B"/>
    <w:rsid w:val="37405B09"/>
    <w:rsid w:val="37467D39"/>
    <w:rsid w:val="376E53F4"/>
    <w:rsid w:val="37737C8C"/>
    <w:rsid w:val="37B5019D"/>
    <w:rsid w:val="37D7783A"/>
    <w:rsid w:val="37FF7772"/>
    <w:rsid w:val="38211DDE"/>
    <w:rsid w:val="383A637E"/>
    <w:rsid w:val="384F06F9"/>
    <w:rsid w:val="38523E9D"/>
    <w:rsid w:val="385F359C"/>
    <w:rsid w:val="389076B5"/>
    <w:rsid w:val="38B73364"/>
    <w:rsid w:val="38EE7F12"/>
    <w:rsid w:val="393D2C48"/>
    <w:rsid w:val="394630D5"/>
    <w:rsid w:val="3954171E"/>
    <w:rsid w:val="395D54AF"/>
    <w:rsid w:val="39761CB6"/>
    <w:rsid w:val="39796E82"/>
    <w:rsid w:val="39AF6B99"/>
    <w:rsid w:val="39C42A21"/>
    <w:rsid w:val="39C46EC5"/>
    <w:rsid w:val="3A2230E9"/>
    <w:rsid w:val="3A277440"/>
    <w:rsid w:val="3A4678DA"/>
    <w:rsid w:val="3A836D8F"/>
    <w:rsid w:val="3AF11C2B"/>
    <w:rsid w:val="3B0D496D"/>
    <w:rsid w:val="3B81651C"/>
    <w:rsid w:val="3BA80B19"/>
    <w:rsid w:val="3C092149"/>
    <w:rsid w:val="3C213279"/>
    <w:rsid w:val="3C4240EC"/>
    <w:rsid w:val="3C4D5F17"/>
    <w:rsid w:val="3C4F0986"/>
    <w:rsid w:val="3C621827"/>
    <w:rsid w:val="3C7D469E"/>
    <w:rsid w:val="3C85235D"/>
    <w:rsid w:val="3CA17780"/>
    <w:rsid w:val="3CBE5E4E"/>
    <w:rsid w:val="3CC9030B"/>
    <w:rsid w:val="3CF67712"/>
    <w:rsid w:val="3D0F078B"/>
    <w:rsid w:val="3D44555B"/>
    <w:rsid w:val="3D7D3613"/>
    <w:rsid w:val="3DCB0A51"/>
    <w:rsid w:val="3DD441F1"/>
    <w:rsid w:val="3DEB4A20"/>
    <w:rsid w:val="3DFC112C"/>
    <w:rsid w:val="3E117C51"/>
    <w:rsid w:val="3E7B70C5"/>
    <w:rsid w:val="3E814CF7"/>
    <w:rsid w:val="3E8D610A"/>
    <w:rsid w:val="3E997760"/>
    <w:rsid w:val="3EB70DA6"/>
    <w:rsid w:val="3ECE6E20"/>
    <w:rsid w:val="3ED22C31"/>
    <w:rsid w:val="3F09103F"/>
    <w:rsid w:val="3F3A1FEB"/>
    <w:rsid w:val="3F3D2810"/>
    <w:rsid w:val="3F696545"/>
    <w:rsid w:val="3F6B6AFB"/>
    <w:rsid w:val="3F7662A5"/>
    <w:rsid w:val="3FBA31D8"/>
    <w:rsid w:val="3FBD419A"/>
    <w:rsid w:val="3FDD2A8F"/>
    <w:rsid w:val="404B3E9C"/>
    <w:rsid w:val="40534AFF"/>
    <w:rsid w:val="405948CC"/>
    <w:rsid w:val="405F6B9A"/>
    <w:rsid w:val="407E7DCE"/>
    <w:rsid w:val="40885740"/>
    <w:rsid w:val="40952C78"/>
    <w:rsid w:val="40F03650"/>
    <w:rsid w:val="40F92287"/>
    <w:rsid w:val="4103438C"/>
    <w:rsid w:val="414D59F2"/>
    <w:rsid w:val="4151103E"/>
    <w:rsid w:val="415D68E1"/>
    <w:rsid w:val="41790595"/>
    <w:rsid w:val="4183268E"/>
    <w:rsid w:val="41A166A0"/>
    <w:rsid w:val="41CB5019"/>
    <w:rsid w:val="41EF277F"/>
    <w:rsid w:val="420C4C5C"/>
    <w:rsid w:val="42253D73"/>
    <w:rsid w:val="422606C5"/>
    <w:rsid w:val="423F34ED"/>
    <w:rsid w:val="425D7EB7"/>
    <w:rsid w:val="427D5E63"/>
    <w:rsid w:val="42DC0426"/>
    <w:rsid w:val="42E34DC3"/>
    <w:rsid w:val="42E67EAC"/>
    <w:rsid w:val="42EE0B0F"/>
    <w:rsid w:val="43075D4F"/>
    <w:rsid w:val="43676AB4"/>
    <w:rsid w:val="436D4129"/>
    <w:rsid w:val="438728D1"/>
    <w:rsid w:val="43BC2C7F"/>
    <w:rsid w:val="43BE0E42"/>
    <w:rsid w:val="43BF32E9"/>
    <w:rsid w:val="43C76649"/>
    <w:rsid w:val="43FE0A9A"/>
    <w:rsid w:val="44022AC4"/>
    <w:rsid w:val="440417E9"/>
    <w:rsid w:val="44414B8E"/>
    <w:rsid w:val="44B91A5D"/>
    <w:rsid w:val="44D0671E"/>
    <w:rsid w:val="44DC2CAE"/>
    <w:rsid w:val="44F23EE8"/>
    <w:rsid w:val="44FD7FB0"/>
    <w:rsid w:val="452111F6"/>
    <w:rsid w:val="452F03D4"/>
    <w:rsid w:val="453E3FCF"/>
    <w:rsid w:val="4553085F"/>
    <w:rsid w:val="45561319"/>
    <w:rsid w:val="45725AD6"/>
    <w:rsid w:val="459A3BBF"/>
    <w:rsid w:val="459C4852"/>
    <w:rsid w:val="45AB0DE1"/>
    <w:rsid w:val="45C51FFB"/>
    <w:rsid w:val="45D1633F"/>
    <w:rsid w:val="45DB1F8C"/>
    <w:rsid w:val="46236C79"/>
    <w:rsid w:val="467250CA"/>
    <w:rsid w:val="468A0299"/>
    <w:rsid w:val="4690085B"/>
    <w:rsid w:val="4695798A"/>
    <w:rsid w:val="469F45FA"/>
    <w:rsid w:val="46AC5E6E"/>
    <w:rsid w:val="46D162AC"/>
    <w:rsid w:val="46DA1AD6"/>
    <w:rsid w:val="46DB13AA"/>
    <w:rsid w:val="4708111E"/>
    <w:rsid w:val="47843179"/>
    <w:rsid w:val="47953BCE"/>
    <w:rsid w:val="47981D4A"/>
    <w:rsid w:val="47A905F9"/>
    <w:rsid w:val="47E553F2"/>
    <w:rsid w:val="481651A8"/>
    <w:rsid w:val="4828270C"/>
    <w:rsid w:val="4829030F"/>
    <w:rsid w:val="485432FA"/>
    <w:rsid w:val="48621D83"/>
    <w:rsid w:val="48A703A1"/>
    <w:rsid w:val="48C30021"/>
    <w:rsid w:val="48CB08BF"/>
    <w:rsid w:val="48E40097"/>
    <w:rsid w:val="49284D7B"/>
    <w:rsid w:val="492C7F6A"/>
    <w:rsid w:val="49406A07"/>
    <w:rsid w:val="49601FA0"/>
    <w:rsid w:val="496438D9"/>
    <w:rsid w:val="49785F7B"/>
    <w:rsid w:val="499917D4"/>
    <w:rsid w:val="49EC10BA"/>
    <w:rsid w:val="4A037596"/>
    <w:rsid w:val="4A2D63C1"/>
    <w:rsid w:val="4A6A13C3"/>
    <w:rsid w:val="4A873D23"/>
    <w:rsid w:val="4A914BA1"/>
    <w:rsid w:val="4AF875FC"/>
    <w:rsid w:val="4B517E8D"/>
    <w:rsid w:val="4B8A5BFC"/>
    <w:rsid w:val="4B8E6103"/>
    <w:rsid w:val="4BB91955"/>
    <w:rsid w:val="4BBB108D"/>
    <w:rsid w:val="4BD25472"/>
    <w:rsid w:val="4BED11D8"/>
    <w:rsid w:val="4C1C049B"/>
    <w:rsid w:val="4C4D1C73"/>
    <w:rsid w:val="4C602A7D"/>
    <w:rsid w:val="4C885B30"/>
    <w:rsid w:val="4CC34DBA"/>
    <w:rsid w:val="4CF53854"/>
    <w:rsid w:val="4D1C1598"/>
    <w:rsid w:val="4D241CFD"/>
    <w:rsid w:val="4D2770F7"/>
    <w:rsid w:val="4D2E2B7B"/>
    <w:rsid w:val="4D5A315D"/>
    <w:rsid w:val="4D8207D1"/>
    <w:rsid w:val="4DAE6501"/>
    <w:rsid w:val="4DBA532D"/>
    <w:rsid w:val="4DC31516"/>
    <w:rsid w:val="4E0E7429"/>
    <w:rsid w:val="4E6268C7"/>
    <w:rsid w:val="4E682863"/>
    <w:rsid w:val="4E712D20"/>
    <w:rsid w:val="4E8D38D2"/>
    <w:rsid w:val="4EAC5711"/>
    <w:rsid w:val="4EDA0D8F"/>
    <w:rsid w:val="4F133DD7"/>
    <w:rsid w:val="4F7266E5"/>
    <w:rsid w:val="4F7E1886"/>
    <w:rsid w:val="4F865966"/>
    <w:rsid w:val="4F9A0054"/>
    <w:rsid w:val="4FAD2E76"/>
    <w:rsid w:val="50145D3E"/>
    <w:rsid w:val="501C2FB0"/>
    <w:rsid w:val="50331EDB"/>
    <w:rsid w:val="505C7478"/>
    <w:rsid w:val="505E5526"/>
    <w:rsid w:val="507C212D"/>
    <w:rsid w:val="50854DD4"/>
    <w:rsid w:val="50856C55"/>
    <w:rsid w:val="50A0169A"/>
    <w:rsid w:val="50F26038"/>
    <w:rsid w:val="510F080C"/>
    <w:rsid w:val="512978E2"/>
    <w:rsid w:val="51716F11"/>
    <w:rsid w:val="517C4FCB"/>
    <w:rsid w:val="51B2004B"/>
    <w:rsid w:val="51D04201"/>
    <w:rsid w:val="51E101BC"/>
    <w:rsid w:val="51EE6435"/>
    <w:rsid w:val="521D7D54"/>
    <w:rsid w:val="5241701E"/>
    <w:rsid w:val="525C5A95"/>
    <w:rsid w:val="526E44AC"/>
    <w:rsid w:val="527C2D46"/>
    <w:rsid w:val="52B3173E"/>
    <w:rsid w:val="52D90E94"/>
    <w:rsid w:val="52ED0DE3"/>
    <w:rsid w:val="532868C2"/>
    <w:rsid w:val="533E2E0D"/>
    <w:rsid w:val="542919A7"/>
    <w:rsid w:val="54476B84"/>
    <w:rsid w:val="54482775"/>
    <w:rsid w:val="546E385E"/>
    <w:rsid w:val="54CB544F"/>
    <w:rsid w:val="54CF5D45"/>
    <w:rsid w:val="54DD1CC8"/>
    <w:rsid w:val="54DF6509"/>
    <w:rsid w:val="54F507E9"/>
    <w:rsid w:val="551E445B"/>
    <w:rsid w:val="55622629"/>
    <w:rsid w:val="557701D2"/>
    <w:rsid w:val="558275C0"/>
    <w:rsid w:val="558D41B7"/>
    <w:rsid w:val="55A12186"/>
    <w:rsid w:val="55C435A1"/>
    <w:rsid w:val="55DF025B"/>
    <w:rsid w:val="55F3226C"/>
    <w:rsid w:val="56244B1C"/>
    <w:rsid w:val="563665FD"/>
    <w:rsid w:val="5666266C"/>
    <w:rsid w:val="5680786A"/>
    <w:rsid w:val="569972B8"/>
    <w:rsid w:val="569C036B"/>
    <w:rsid w:val="56A04853"/>
    <w:rsid w:val="56B70369"/>
    <w:rsid w:val="57092BDB"/>
    <w:rsid w:val="57094DA1"/>
    <w:rsid w:val="5734318D"/>
    <w:rsid w:val="57D55503"/>
    <w:rsid w:val="5814471C"/>
    <w:rsid w:val="58156E12"/>
    <w:rsid w:val="581E2406"/>
    <w:rsid w:val="58290D5E"/>
    <w:rsid w:val="587A4EC7"/>
    <w:rsid w:val="58900373"/>
    <w:rsid w:val="58AB6F4D"/>
    <w:rsid w:val="58D72319"/>
    <w:rsid w:val="58E20965"/>
    <w:rsid w:val="58FA5167"/>
    <w:rsid w:val="58FE099E"/>
    <w:rsid w:val="591C6EAB"/>
    <w:rsid w:val="591E1FD1"/>
    <w:rsid w:val="591F1D47"/>
    <w:rsid w:val="593D5E09"/>
    <w:rsid w:val="5958305D"/>
    <w:rsid w:val="598D29D8"/>
    <w:rsid w:val="599B10B2"/>
    <w:rsid w:val="59E54303"/>
    <w:rsid w:val="59EE5014"/>
    <w:rsid w:val="5A0F185C"/>
    <w:rsid w:val="5A1124DF"/>
    <w:rsid w:val="5A250E62"/>
    <w:rsid w:val="5A3A2DDD"/>
    <w:rsid w:val="5A751DEA"/>
    <w:rsid w:val="5A7D3202"/>
    <w:rsid w:val="5A957D96"/>
    <w:rsid w:val="5AA91A93"/>
    <w:rsid w:val="5ADB45C0"/>
    <w:rsid w:val="5B287E8A"/>
    <w:rsid w:val="5B394C07"/>
    <w:rsid w:val="5B4F43E9"/>
    <w:rsid w:val="5B60272C"/>
    <w:rsid w:val="5B631BF4"/>
    <w:rsid w:val="5B6C56C6"/>
    <w:rsid w:val="5B732B64"/>
    <w:rsid w:val="5B743E4F"/>
    <w:rsid w:val="5B7E077C"/>
    <w:rsid w:val="5B871819"/>
    <w:rsid w:val="5BAF08B3"/>
    <w:rsid w:val="5C0013B7"/>
    <w:rsid w:val="5C406A1B"/>
    <w:rsid w:val="5C485AAC"/>
    <w:rsid w:val="5C866B49"/>
    <w:rsid w:val="5CA00C74"/>
    <w:rsid w:val="5CB64BBF"/>
    <w:rsid w:val="5CC03860"/>
    <w:rsid w:val="5CE70651"/>
    <w:rsid w:val="5CEE19DF"/>
    <w:rsid w:val="5CF12EAD"/>
    <w:rsid w:val="5D064F7B"/>
    <w:rsid w:val="5D201747"/>
    <w:rsid w:val="5D343E86"/>
    <w:rsid w:val="5D567AB4"/>
    <w:rsid w:val="5D8877D2"/>
    <w:rsid w:val="5DA31D4F"/>
    <w:rsid w:val="5DB449D7"/>
    <w:rsid w:val="5DCD0574"/>
    <w:rsid w:val="5DF6101E"/>
    <w:rsid w:val="5DF76D59"/>
    <w:rsid w:val="5DFD2098"/>
    <w:rsid w:val="5ED21D1B"/>
    <w:rsid w:val="5EF9568B"/>
    <w:rsid w:val="5EFE1B75"/>
    <w:rsid w:val="5F225135"/>
    <w:rsid w:val="5F6D12E1"/>
    <w:rsid w:val="5F736A48"/>
    <w:rsid w:val="5F8A0FE5"/>
    <w:rsid w:val="5FA76F6D"/>
    <w:rsid w:val="5FBF7663"/>
    <w:rsid w:val="5FC67A13"/>
    <w:rsid w:val="5FE82274"/>
    <w:rsid w:val="601944B3"/>
    <w:rsid w:val="602B4C07"/>
    <w:rsid w:val="603B13E0"/>
    <w:rsid w:val="60447752"/>
    <w:rsid w:val="60496271"/>
    <w:rsid w:val="606F2632"/>
    <w:rsid w:val="60BD3BA3"/>
    <w:rsid w:val="60D62EB6"/>
    <w:rsid w:val="60DE4567"/>
    <w:rsid w:val="60E6759D"/>
    <w:rsid w:val="60E7238C"/>
    <w:rsid w:val="6129748A"/>
    <w:rsid w:val="613100ED"/>
    <w:rsid w:val="613528A4"/>
    <w:rsid w:val="613D1187"/>
    <w:rsid w:val="61443937"/>
    <w:rsid w:val="61501C31"/>
    <w:rsid w:val="616C7377"/>
    <w:rsid w:val="61781357"/>
    <w:rsid w:val="61880654"/>
    <w:rsid w:val="61A44D62"/>
    <w:rsid w:val="61B63755"/>
    <w:rsid w:val="61E84C4F"/>
    <w:rsid w:val="62330D8C"/>
    <w:rsid w:val="625D388F"/>
    <w:rsid w:val="62742987"/>
    <w:rsid w:val="62886432"/>
    <w:rsid w:val="62A50FBD"/>
    <w:rsid w:val="62DD677E"/>
    <w:rsid w:val="632851E9"/>
    <w:rsid w:val="632945F8"/>
    <w:rsid w:val="635F3637"/>
    <w:rsid w:val="636D5D54"/>
    <w:rsid w:val="63762512"/>
    <w:rsid w:val="63965425"/>
    <w:rsid w:val="63A14D89"/>
    <w:rsid w:val="63A212E4"/>
    <w:rsid w:val="63CA587D"/>
    <w:rsid w:val="63CC2DBF"/>
    <w:rsid w:val="63E11E2F"/>
    <w:rsid w:val="6431668F"/>
    <w:rsid w:val="643406BE"/>
    <w:rsid w:val="64441196"/>
    <w:rsid w:val="645C2C14"/>
    <w:rsid w:val="646978EA"/>
    <w:rsid w:val="647A3F6A"/>
    <w:rsid w:val="64850E7B"/>
    <w:rsid w:val="64A26117"/>
    <w:rsid w:val="64CB67A7"/>
    <w:rsid w:val="64CF20F6"/>
    <w:rsid w:val="64D21BE7"/>
    <w:rsid w:val="64D94D23"/>
    <w:rsid w:val="65442AE4"/>
    <w:rsid w:val="65513041"/>
    <w:rsid w:val="65E41BD1"/>
    <w:rsid w:val="662B15AE"/>
    <w:rsid w:val="66577643"/>
    <w:rsid w:val="665F33CC"/>
    <w:rsid w:val="667637BB"/>
    <w:rsid w:val="667B2536"/>
    <w:rsid w:val="66A4555F"/>
    <w:rsid w:val="66DF3517"/>
    <w:rsid w:val="66E6465C"/>
    <w:rsid w:val="66FD3879"/>
    <w:rsid w:val="672901E4"/>
    <w:rsid w:val="67CA09C9"/>
    <w:rsid w:val="68115A04"/>
    <w:rsid w:val="681E6ABB"/>
    <w:rsid w:val="682A5FAE"/>
    <w:rsid w:val="6841330B"/>
    <w:rsid w:val="6850354E"/>
    <w:rsid w:val="686A21E8"/>
    <w:rsid w:val="68C70FC8"/>
    <w:rsid w:val="68D915F9"/>
    <w:rsid w:val="690A7BA1"/>
    <w:rsid w:val="69216C99"/>
    <w:rsid w:val="693B7D5A"/>
    <w:rsid w:val="69596497"/>
    <w:rsid w:val="69635D82"/>
    <w:rsid w:val="69C0627C"/>
    <w:rsid w:val="69C2353C"/>
    <w:rsid w:val="6A633814"/>
    <w:rsid w:val="6A7B723E"/>
    <w:rsid w:val="6A9260A0"/>
    <w:rsid w:val="6AB449DD"/>
    <w:rsid w:val="6AC07E10"/>
    <w:rsid w:val="6AC93B5E"/>
    <w:rsid w:val="6ADB79AC"/>
    <w:rsid w:val="6AF9611F"/>
    <w:rsid w:val="6B1E2C4D"/>
    <w:rsid w:val="6B2111D2"/>
    <w:rsid w:val="6B241A17"/>
    <w:rsid w:val="6B28556D"/>
    <w:rsid w:val="6B6E7D9C"/>
    <w:rsid w:val="6B767770"/>
    <w:rsid w:val="6B7A2359"/>
    <w:rsid w:val="6B7B0FE9"/>
    <w:rsid w:val="6BAA7419"/>
    <w:rsid w:val="6BB43DF4"/>
    <w:rsid w:val="6BE7241B"/>
    <w:rsid w:val="6C9D2DE5"/>
    <w:rsid w:val="6CBD054B"/>
    <w:rsid w:val="6D1B40CB"/>
    <w:rsid w:val="6D1C7EA3"/>
    <w:rsid w:val="6D29266E"/>
    <w:rsid w:val="6D577D52"/>
    <w:rsid w:val="6D741A8D"/>
    <w:rsid w:val="6DA1592D"/>
    <w:rsid w:val="6DA31C40"/>
    <w:rsid w:val="6DCC18C9"/>
    <w:rsid w:val="6DCE44D6"/>
    <w:rsid w:val="6E16219E"/>
    <w:rsid w:val="6E1C58DA"/>
    <w:rsid w:val="6E2E6CD1"/>
    <w:rsid w:val="6E3F209B"/>
    <w:rsid w:val="6E5D0773"/>
    <w:rsid w:val="6E9857F2"/>
    <w:rsid w:val="6E9C0F6F"/>
    <w:rsid w:val="6EBC7B8F"/>
    <w:rsid w:val="6EFA4214"/>
    <w:rsid w:val="6F1B2B08"/>
    <w:rsid w:val="6F3E2352"/>
    <w:rsid w:val="6F472BFF"/>
    <w:rsid w:val="6F533464"/>
    <w:rsid w:val="6F7E4F41"/>
    <w:rsid w:val="6F7F4719"/>
    <w:rsid w:val="6F983C7A"/>
    <w:rsid w:val="6F9B2E5B"/>
    <w:rsid w:val="6FB0652A"/>
    <w:rsid w:val="6FBD2A33"/>
    <w:rsid w:val="6FC13B19"/>
    <w:rsid w:val="6FD24F90"/>
    <w:rsid w:val="6FE64DDD"/>
    <w:rsid w:val="7011663B"/>
    <w:rsid w:val="7030791C"/>
    <w:rsid w:val="70441BEA"/>
    <w:rsid w:val="70726E22"/>
    <w:rsid w:val="70875F7B"/>
    <w:rsid w:val="70971E04"/>
    <w:rsid w:val="70EE7DA8"/>
    <w:rsid w:val="71023A32"/>
    <w:rsid w:val="7103031A"/>
    <w:rsid w:val="71047C38"/>
    <w:rsid w:val="710864C2"/>
    <w:rsid w:val="710E21F8"/>
    <w:rsid w:val="71121F70"/>
    <w:rsid w:val="711A294B"/>
    <w:rsid w:val="714E0947"/>
    <w:rsid w:val="71867FCF"/>
    <w:rsid w:val="7197548E"/>
    <w:rsid w:val="71AD7318"/>
    <w:rsid w:val="71B26AD5"/>
    <w:rsid w:val="71B5598B"/>
    <w:rsid w:val="71C650B7"/>
    <w:rsid w:val="71FD4747"/>
    <w:rsid w:val="726D70E7"/>
    <w:rsid w:val="727442DD"/>
    <w:rsid w:val="72CA72B4"/>
    <w:rsid w:val="730A09AF"/>
    <w:rsid w:val="73167362"/>
    <w:rsid w:val="73221F8B"/>
    <w:rsid w:val="732A3D34"/>
    <w:rsid w:val="732F2C80"/>
    <w:rsid w:val="73547090"/>
    <w:rsid w:val="735555BB"/>
    <w:rsid w:val="736600CA"/>
    <w:rsid w:val="736856FA"/>
    <w:rsid w:val="73722F12"/>
    <w:rsid w:val="73B10D33"/>
    <w:rsid w:val="73D15476"/>
    <w:rsid w:val="742A474E"/>
    <w:rsid w:val="74324450"/>
    <w:rsid w:val="744D5EC9"/>
    <w:rsid w:val="745148D6"/>
    <w:rsid w:val="74693051"/>
    <w:rsid w:val="746D305C"/>
    <w:rsid w:val="747B2F53"/>
    <w:rsid w:val="748A603A"/>
    <w:rsid w:val="74993AF8"/>
    <w:rsid w:val="74B10BDE"/>
    <w:rsid w:val="74C01A4B"/>
    <w:rsid w:val="74E4399C"/>
    <w:rsid w:val="75320336"/>
    <w:rsid w:val="759E6181"/>
    <w:rsid w:val="75AE516C"/>
    <w:rsid w:val="75D118A4"/>
    <w:rsid w:val="761B5373"/>
    <w:rsid w:val="76275962"/>
    <w:rsid w:val="76636B42"/>
    <w:rsid w:val="767A721D"/>
    <w:rsid w:val="769E5108"/>
    <w:rsid w:val="76AF64B5"/>
    <w:rsid w:val="76B178AE"/>
    <w:rsid w:val="77075720"/>
    <w:rsid w:val="77082C34"/>
    <w:rsid w:val="775D2D01"/>
    <w:rsid w:val="779A016D"/>
    <w:rsid w:val="77B43AFA"/>
    <w:rsid w:val="77B502D0"/>
    <w:rsid w:val="77C61113"/>
    <w:rsid w:val="77CC74DE"/>
    <w:rsid w:val="77DD76B2"/>
    <w:rsid w:val="781B0DFA"/>
    <w:rsid w:val="78370329"/>
    <w:rsid w:val="786D2338"/>
    <w:rsid w:val="78762E4F"/>
    <w:rsid w:val="78A27A20"/>
    <w:rsid w:val="78A50AC0"/>
    <w:rsid w:val="78C81D19"/>
    <w:rsid w:val="78D411D8"/>
    <w:rsid w:val="796C4D35"/>
    <w:rsid w:val="79860D39"/>
    <w:rsid w:val="7999506D"/>
    <w:rsid w:val="79B75811"/>
    <w:rsid w:val="79CC2C7B"/>
    <w:rsid w:val="79E65A52"/>
    <w:rsid w:val="79E93803"/>
    <w:rsid w:val="7A1E0C55"/>
    <w:rsid w:val="7A3538A9"/>
    <w:rsid w:val="7A7C4102"/>
    <w:rsid w:val="7A861051"/>
    <w:rsid w:val="7A910122"/>
    <w:rsid w:val="7AA339B1"/>
    <w:rsid w:val="7AA5772A"/>
    <w:rsid w:val="7AC074DD"/>
    <w:rsid w:val="7AD86ED1"/>
    <w:rsid w:val="7B072192"/>
    <w:rsid w:val="7B1403CC"/>
    <w:rsid w:val="7B160627"/>
    <w:rsid w:val="7B2A40D3"/>
    <w:rsid w:val="7B3378B2"/>
    <w:rsid w:val="7B474C85"/>
    <w:rsid w:val="7B5A49B8"/>
    <w:rsid w:val="7B8657AD"/>
    <w:rsid w:val="7B9448CF"/>
    <w:rsid w:val="7B9852BE"/>
    <w:rsid w:val="7BC772A4"/>
    <w:rsid w:val="7BDF310F"/>
    <w:rsid w:val="7BE42D26"/>
    <w:rsid w:val="7C11491A"/>
    <w:rsid w:val="7C1903CF"/>
    <w:rsid w:val="7C6E41E3"/>
    <w:rsid w:val="7C744EE5"/>
    <w:rsid w:val="7C9C4E59"/>
    <w:rsid w:val="7CE1646B"/>
    <w:rsid w:val="7CE32E91"/>
    <w:rsid w:val="7D684524"/>
    <w:rsid w:val="7D7B0C2A"/>
    <w:rsid w:val="7DA07687"/>
    <w:rsid w:val="7E1700E3"/>
    <w:rsid w:val="7E477448"/>
    <w:rsid w:val="7E8C4569"/>
    <w:rsid w:val="7ED2669B"/>
    <w:rsid w:val="7F051F8D"/>
    <w:rsid w:val="7F0A2117"/>
    <w:rsid w:val="7F351C05"/>
    <w:rsid w:val="7F385010"/>
    <w:rsid w:val="7F3B240A"/>
    <w:rsid w:val="7F710522"/>
    <w:rsid w:val="7F78365F"/>
    <w:rsid w:val="7FA5245A"/>
    <w:rsid w:val="7FC543CA"/>
    <w:rsid w:val="7FE42D96"/>
    <w:rsid w:val="7FFA1A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1"/>
    <w:qFormat/>
    <w:uiPriority w:val="0"/>
    <w:pPr>
      <w:keepNext/>
      <w:keepLines/>
      <w:spacing w:before="260" w:after="260" w:line="416" w:lineRule="auto"/>
      <w:outlineLvl w:val="2"/>
    </w:pPr>
    <w:rPr>
      <w:b/>
      <w:bCs/>
      <w:kern w:val="0"/>
      <w:sz w:val="32"/>
      <w:szCs w:val="32"/>
    </w:rPr>
  </w:style>
  <w:style w:type="paragraph" w:styleId="2">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142" w:hanging="142"/>
      <w:outlineLvl w:val="3"/>
    </w:pPr>
    <w:rPr>
      <w:rFonts w:ascii="Arial" w:hAnsi="Arial" w:eastAsia="黑体"/>
      <w:b/>
      <w:sz w:val="28"/>
    </w:rPr>
  </w:style>
  <w:style w:type="paragraph" w:styleId="6">
    <w:name w:val="heading 5"/>
    <w:basedOn w:val="1"/>
    <w:next w:val="1"/>
    <w:link w:val="88"/>
    <w:qFormat/>
    <w:uiPriority w:val="0"/>
    <w:pPr>
      <w:keepNext/>
      <w:keepLines/>
      <w:numPr>
        <w:ilvl w:val="4"/>
        <w:numId w:val="2"/>
      </w:numPr>
      <w:spacing w:before="280" w:after="290" w:line="376" w:lineRule="auto"/>
      <w:outlineLvl w:val="4"/>
    </w:pPr>
    <w:rPr>
      <w:b/>
      <w:sz w:val="28"/>
    </w:rPr>
  </w:style>
  <w:style w:type="paragraph" w:styleId="7">
    <w:name w:val="heading 6"/>
    <w:basedOn w:val="1"/>
    <w:next w:val="8"/>
    <w:link w:val="76"/>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8"/>
    <w:link w:val="74"/>
    <w:qFormat/>
    <w:uiPriority w:val="0"/>
    <w:pPr>
      <w:keepNext/>
      <w:keepLines/>
      <w:numPr>
        <w:ilvl w:val="6"/>
        <w:numId w:val="2"/>
      </w:numPr>
      <w:spacing w:before="240" w:after="64" w:line="320" w:lineRule="auto"/>
      <w:outlineLvl w:val="6"/>
    </w:pPr>
    <w:rPr>
      <w:b/>
      <w:sz w:val="24"/>
    </w:rPr>
  </w:style>
  <w:style w:type="paragraph" w:styleId="10">
    <w:name w:val="heading 8"/>
    <w:basedOn w:val="1"/>
    <w:next w:val="8"/>
    <w:link w:val="77"/>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8"/>
    <w:link w:val="68"/>
    <w:qFormat/>
    <w:uiPriority w:val="0"/>
    <w:pPr>
      <w:keepNext/>
      <w:keepLines/>
      <w:numPr>
        <w:ilvl w:val="8"/>
        <w:numId w:val="2"/>
      </w:numPr>
      <w:spacing w:before="240" w:after="64" w:line="320" w:lineRule="auto"/>
      <w:outlineLvl w:val="8"/>
    </w:pPr>
    <w:rPr>
      <w:rFonts w:ascii="Arial" w:hAnsi="Arial" w:eastAsia="黑体"/>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8">
    <w:name w:val="Normal Indent"/>
    <w:basedOn w:val="1"/>
    <w:next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annotation text"/>
    <w:basedOn w:val="1"/>
    <w:link w:val="83"/>
    <w:unhideWhenUsed/>
    <w:qFormat/>
    <w:uiPriority w:val="0"/>
    <w:pPr>
      <w:jc w:val="left"/>
    </w:pPr>
  </w:style>
  <w:style w:type="paragraph" w:styleId="16">
    <w:name w:val="Body Text 3"/>
    <w:basedOn w:val="1"/>
    <w:link w:val="90"/>
    <w:qFormat/>
    <w:uiPriority w:val="0"/>
    <w:pPr>
      <w:spacing w:line="500" w:lineRule="exact"/>
    </w:pPr>
    <w:rPr>
      <w:b/>
      <w:bCs/>
      <w:kern w:val="0"/>
      <w:sz w:val="24"/>
    </w:rPr>
  </w:style>
  <w:style w:type="paragraph" w:styleId="17">
    <w:name w:val="Body Text"/>
    <w:basedOn w:val="1"/>
    <w:link w:val="75"/>
    <w:qFormat/>
    <w:uiPriority w:val="99"/>
    <w:pPr>
      <w:spacing w:line="380" w:lineRule="exact"/>
    </w:pPr>
    <w:rPr>
      <w:kern w:val="0"/>
      <w:sz w:val="24"/>
    </w:rPr>
  </w:style>
  <w:style w:type="paragraph" w:styleId="18">
    <w:name w:val="Body Text Indent"/>
    <w:basedOn w:val="1"/>
    <w:link w:val="95"/>
    <w:qFormat/>
    <w:uiPriority w:val="0"/>
    <w:pPr>
      <w:ind w:firstLine="830" w:firstLineChars="352"/>
    </w:pPr>
    <w:rPr>
      <w:rFonts w:ascii="仿宋_GB2312" w:eastAsia="仿宋_GB2312"/>
      <w:kern w:val="0"/>
      <w:sz w:val="32"/>
      <w:szCs w:val="20"/>
    </w:rPr>
  </w:style>
  <w:style w:type="paragraph" w:styleId="19">
    <w:name w:val="List Number 3"/>
    <w:basedOn w:val="1"/>
    <w:qFormat/>
    <w:uiPriority w:val="0"/>
    <w:pPr>
      <w:numPr>
        <w:ilvl w:val="0"/>
        <w:numId w:val="3"/>
      </w:numPr>
    </w:pPr>
  </w:style>
  <w:style w:type="paragraph" w:styleId="20">
    <w:name w:val="List 2"/>
    <w:basedOn w:val="1"/>
    <w:qFormat/>
    <w:uiPriority w:val="0"/>
    <w:pPr>
      <w:ind w:left="100" w:leftChars="200" w:hanging="200" w:hangingChars="200"/>
    </w:pPr>
    <w:rPr>
      <w:sz w:val="28"/>
    </w:rPr>
  </w:style>
  <w:style w:type="paragraph" w:styleId="21">
    <w:name w:val="toc 5"/>
    <w:basedOn w:val="1"/>
    <w:next w:val="1"/>
    <w:unhideWhenUsed/>
    <w:qFormat/>
    <w:uiPriority w:val="39"/>
    <w:pPr>
      <w:ind w:left="1680" w:leftChars="800"/>
    </w:pPr>
    <w:rPr>
      <w:rFonts w:ascii="Calibri" w:hAnsi="Calibri" w:eastAsia="宋体" w:cs="Times New Roman"/>
      <w:szCs w:val="22"/>
    </w:rPr>
  </w:style>
  <w:style w:type="paragraph" w:styleId="22">
    <w:name w:val="toc 3"/>
    <w:basedOn w:val="1"/>
    <w:next w:val="1"/>
    <w:unhideWhenUsed/>
    <w:qFormat/>
    <w:uiPriority w:val="39"/>
    <w:pPr>
      <w:ind w:left="840" w:leftChars="400"/>
    </w:pPr>
    <w:rPr>
      <w:rFonts w:ascii="Calibri" w:hAnsi="Calibri" w:eastAsia="宋体" w:cs="Times New Roman"/>
      <w:szCs w:val="22"/>
    </w:rPr>
  </w:style>
  <w:style w:type="paragraph" w:styleId="23">
    <w:name w:val="Plain Text"/>
    <w:basedOn w:val="1"/>
    <w:link w:val="86"/>
    <w:qFormat/>
    <w:uiPriority w:val="0"/>
    <w:rPr>
      <w:rFonts w:ascii="宋体" w:hAnsi="Courier New"/>
      <w:kern w:val="0"/>
      <w:sz w:val="20"/>
      <w:szCs w:val="21"/>
    </w:rPr>
  </w:style>
  <w:style w:type="paragraph" w:styleId="24">
    <w:name w:val="toc 8"/>
    <w:basedOn w:val="1"/>
    <w:next w:val="1"/>
    <w:unhideWhenUsed/>
    <w:qFormat/>
    <w:uiPriority w:val="39"/>
    <w:pPr>
      <w:ind w:left="2940" w:leftChars="1400"/>
    </w:pPr>
    <w:rPr>
      <w:rFonts w:ascii="Calibri" w:hAnsi="Calibri" w:eastAsia="宋体" w:cs="Times New Roman"/>
      <w:szCs w:val="22"/>
    </w:rPr>
  </w:style>
  <w:style w:type="paragraph" w:styleId="25">
    <w:name w:val="Date"/>
    <w:basedOn w:val="1"/>
    <w:next w:val="1"/>
    <w:link w:val="63"/>
    <w:qFormat/>
    <w:uiPriority w:val="0"/>
    <w:pPr>
      <w:ind w:left="100" w:leftChars="2500"/>
    </w:pPr>
    <w:rPr>
      <w:rFonts w:ascii="宋体" w:hAnsi="Courier New"/>
      <w:kern w:val="0"/>
      <w:sz w:val="20"/>
      <w:szCs w:val="21"/>
    </w:rPr>
  </w:style>
  <w:style w:type="paragraph" w:styleId="26">
    <w:name w:val="Body Text Indent 2"/>
    <w:basedOn w:val="1"/>
    <w:link w:val="56"/>
    <w:qFormat/>
    <w:uiPriority w:val="0"/>
    <w:pPr>
      <w:ind w:firstLine="630"/>
    </w:pPr>
    <w:rPr>
      <w:kern w:val="0"/>
      <w:sz w:val="32"/>
      <w:szCs w:val="20"/>
    </w:rPr>
  </w:style>
  <w:style w:type="paragraph" w:styleId="27">
    <w:name w:val="endnote text"/>
    <w:basedOn w:val="1"/>
    <w:link w:val="67"/>
    <w:unhideWhenUsed/>
    <w:qFormat/>
    <w:uiPriority w:val="99"/>
    <w:pPr>
      <w:snapToGrid w:val="0"/>
      <w:jc w:val="left"/>
    </w:pPr>
  </w:style>
  <w:style w:type="paragraph" w:styleId="28">
    <w:name w:val="Balloon Text"/>
    <w:basedOn w:val="1"/>
    <w:link w:val="57"/>
    <w:semiHidden/>
    <w:qFormat/>
    <w:uiPriority w:val="0"/>
    <w:rPr>
      <w:kern w:val="0"/>
      <w:sz w:val="18"/>
      <w:szCs w:val="18"/>
    </w:rPr>
  </w:style>
  <w:style w:type="paragraph" w:styleId="29">
    <w:name w:val="footer"/>
    <w:basedOn w:val="1"/>
    <w:link w:val="94"/>
    <w:unhideWhenUsed/>
    <w:qFormat/>
    <w:uiPriority w:val="99"/>
    <w:pPr>
      <w:tabs>
        <w:tab w:val="center" w:pos="4153"/>
        <w:tab w:val="right" w:pos="8306"/>
      </w:tabs>
      <w:snapToGrid w:val="0"/>
      <w:jc w:val="left"/>
    </w:pPr>
    <w:rPr>
      <w:kern w:val="0"/>
      <w:sz w:val="18"/>
      <w:szCs w:val="18"/>
    </w:rPr>
  </w:style>
  <w:style w:type="paragraph" w:styleId="30">
    <w:name w:val="header"/>
    <w:basedOn w:val="1"/>
    <w:link w:val="96"/>
    <w:unhideWhenUsed/>
    <w:qFormat/>
    <w:uiPriority w:val="99"/>
    <w:pPr>
      <w:pBdr>
        <w:bottom w:val="single" w:color="auto" w:sz="6" w:space="1"/>
      </w:pBdr>
      <w:tabs>
        <w:tab w:val="center" w:pos="0"/>
        <w:tab w:val="left" w:pos="8306"/>
      </w:tabs>
      <w:snapToGrid w:val="0"/>
      <w:jc w:val="center"/>
    </w:pPr>
    <w:rPr>
      <w:sz w:val="18"/>
      <w:szCs w:val="18"/>
    </w:rPr>
  </w:style>
  <w:style w:type="paragraph" w:styleId="3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2">
    <w:name w:val="toc 4"/>
    <w:basedOn w:val="1"/>
    <w:next w:val="1"/>
    <w:unhideWhenUsed/>
    <w:qFormat/>
    <w:uiPriority w:val="39"/>
    <w:pPr>
      <w:ind w:left="1260" w:leftChars="600"/>
    </w:pPr>
    <w:rPr>
      <w:rFonts w:ascii="Calibri" w:hAnsi="Calibri" w:eastAsia="宋体" w:cs="Times New Roman"/>
      <w:szCs w:val="22"/>
    </w:rPr>
  </w:style>
  <w:style w:type="paragraph" w:styleId="33">
    <w:name w:val="List"/>
    <w:basedOn w:val="1"/>
    <w:qFormat/>
    <w:uiPriority w:val="0"/>
    <w:pPr>
      <w:ind w:left="200" w:hanging="200" w:hangingChars="200"/>
    </w:pPr>
    <w:rPr>
      <w:sz w:val="28"/>
    </w:rPr>
  </w:style>
  <w:style w:type="paragraph" w:styleId="34">
    <w:name w:val="footnote text"/>
    <w:basedOn w:val="1"/>
    <w:link w:val="73"/>
    <w:unhideWhenUsed/>
    <w:qFormat/>
    <w:uiPriority w:val="99"/>
    <w:pPr>
      <w:snapToGrid w:val="0"/>
      <w:jc w:val="left"/>
    </w:pPr>
    <w:rPr>
      <w:sz w:val="18"/>
      <w:szCs w:val="18"/>
    </w:rPr>
  </w:style>
  <w:style w:type="paragraph" w:styleId="35">
    <w:name w:val="toc 6"/>
    <w:basedOn w:val="1"/>
    <w:next w:val="1"/>
    <w:unhideWhenUsed/>
    <w:qFormat/>
    <w:uiPriority w:val="39"/>
    <w:pPr>
      <w:ind w:left="2100" w:leftChars="1000"/>
    </w:pPr>
    <w:rPr>
      <w:rFonts w:ascii="Calibri" w:hAnsi="Calibri" w:eastAsia="宋体" w:cs="Times New Roman"/>
      <w:szCs w:val="22"/>
    </w:rPr>
  </w:style>
  <w:style w:type="paragraph" w:styleId="36">
    <w:name w:val="Body Text Indent 3"/>
    <w:basedOn w:val="1"/>
    <w:link w:val="89"/>
    <w:qFormat/>
    <w:uiPriority w:val="0"/>
    <w:pPr>
      <w:spacing w:after="120"/>
      <w:ind w:left="420" w:leftChars="200"/>
    </w:pPr>
    <w:rPr>
      <w:kern w:val="0"/>
      <w:sz w:val="16"/>
      <w:szCs w:val="16"/>
    </w:rPr>
  </w:style>
  <w:style w:type="paragraph" w:styleId="37">
    <w:name w:val="toc 2"/>
    <w:basedOn w:val="1"/>
    <w:next w:val="1"/>
    <w:unhideWhenUsed/>
    <w:qFormat/>
    <w:uiPriority w:val="39"/>
    <w:pPr>
      <w:ind w:left="420" w:leftChars="200"/>
    </w:pPr>
  </w:style>
  <w:style w:type="paragraph" w:styleId="38">
    <w:name w:val="toc 9"/>
    <w:basedOn w:val="1"/>
    <w:next w:val="1"/>
    <w:unhideWhenUsed/>
    <w:qFormat/>
    <w:uiPriority w:val="39"/>
    <w:pPr>
      <w:ind w:left="3360" w:leftChars="1600"/>
    </w:pPr>
    <w:rPr>
      <w:rFonts w:ascii="Calibri" w:hAnsi="Calibri" w:eastAsia="宋体" w:cs="Times New Roman"/>
      <w:szCs w:val="22"/>
    </w:rPr>
  </w:style>
  <w:style w:type="paragraph" w:styleId="39">
    <w:name w:val="Body Text 2"/>
    <w:basedOn w:val="1"/>
    <w:link w:val="93"/>
    <w:qFormat/>
    <w:uiPriority w:val="0"/>
    <w:pPr>
      <w:spacing w:after="120" w:line="480" w:lineRule="auto"/>
    </w:pPr>
    <w:rPr>
      <w:kern w:val="0"/>
      <w:sz w:val="20"/>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0"/>
    <w:pPr>
      <w:spacing w:line="400" w:lineRule="exact"/>
      <w:ind w:firstLine="420" w:firstLineChars="200"/>
    </w:pPr>
    <w:rPr>
      <w:rFonts w:ascii="宋体" w:hAnsi="Courier New"/>
      <w:b/>
      <w:szCs w:val="20"/>
    </w:rPr>
  </w:style>
  <w:style w:type="paragraph" w:styleId="42">
    <w:name w:val="Title"/>
    <w:basedOn w:val="1"/>
    <w:next w:val="1"/>
    <w:link w:val="98"/>
    <w:qFormat/>
    <w:uiPriority w:val="10"/>
    <w:pPr>
      <w:spacing w:before="240" w:after="60"/>
      <w:jc w:val="center"/>
      <w:outlineLvl w:val="0"/>
    </w:pPr>
    <w:rPr>
      <w:rFonts w:ascii="Cambria" w:hAnsi="Cambria"/>
      <w:b/>
      <w:bCs/>
      <w:sz w:val="32"/>
      <w:szCs w:val="32"/>
    </w:rPr>
  </w:style>
  <w:style w:type="paragraph" w:styleId="43">
    <w:name w:val="annotation subject"/>
    <w:basedOn w:val="15"/>
    <w:next w:val="15"/>
    <w:link w:val="91"/>
    <w:unhideWhenUsed/>
    <w:qFormat/>
    <w:uiPriority w:val="99"/>
    <w:rPr>
      <w:b/>
      <w:bCs/>
    </w:rPr>
  </w:style>
  <w:style w:type="paragraph" w:styleId="44">
    <w:name w:val="Body Text First Indent"/>
    <w:basedOn w:val="17"/>
    <w:unhideWhenUsed/>
    <w:qFormat/>
    <w:uiPriority w:val="99"/>
    <w:pPr>
      <w:spacing w:after="0" w:line="380" w:lineRule="exact"/>
      <w:ind w:firstLine="420" w:firstLineChars="100"/>
    </w:pPr>
    <w:rPr>
      <w:rFonts w:ascii="Times New Roman" w:hAnsi="Times New Roman" w:eastAsia="宋体" w:cs="Times New Roman"/>
      <w:kern w:val="0"/>
      <w:sz w:val="24"/>
    </w:rPr>
  </w:style>
  <w:style w:type="paragraph" w:styleId="45">
    <w:name w:val="Body Text First Indent 2"/>
    <w:basedOn w:val="18"/>
    <w:unhideWhenUsed/>
    <w:qFormat/>
    <w:uiPriority w:val="0"/>
    <w:pPr>
      <w:ind w:firstLine="420" w:firstLineChars="200"/>
    </w:pPr>
  </w:style>
  <w:style w:type="table" w:styleId="47">
    <w:name w:val="Table Grid"/>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endnote reference"/>
    <w:unhideWhenUsed/>
    <w:qFormat/>
    <w:uiPriority w:val="99"/>
    <w:rPr>
      <w:vertAlign w:val="superscript"/>
    </w:rPr>
  </w:style>
  <w:style w:type="character" w:styleId="50">
    <w:name w:val="page number"/>
    <w:qFormat/>
    <w:uiPriority w:val="0"/>
  </w:style>
  <w:style w:type="character" w:styleId="51">
    <w:name w:val="FollowedHyperlink"/>
    <w:qFormat/>
    <w:uiPriority w:val="0"/>
    <w:rPr>
      <w:color w:val="800080"/>
      <w:u w:val="single"/>
    </w:rPr>
  </w:style>
  <w:style w:type="character" w:styleId="52">
    <w:name w:val="Hyperlink"/>
    <w:qFormat/>
    <w:uiPriority w:val="99"/>
    <w:rPr>
      <w:color w:val="0000FF"/>
      <w:u w:val="single"/>
    </w:rPr>
  </w:style>
  <w:style w:type="character" w:styleId="53">
    <w:name w:val="annotation reference"/>
    <w:basedOn w:val="48"/>
    <w:unhideWhenUsed/>
    <w:qFormat/>
    <w:uiPriority w:val="99"/>
    <w:rPr>
      <w:sz w:val="21"/>
      <w:szCs w:val="21"/>
    </w:rPr>
  </w:style>
  <w:style w:type="character" w:styleId="54">
    <w:name w:val="footnote reference"/>
    <w:unhideWhenUsed/>
    <w:qFormat/>
    <w:uiPriority w:val="99"/>
    <w:rPr>
      <w:vertAlign w:val="superscript"/>
    </w:rPr>
  </w:style>
  <w:style w:type="character" w:customStyle="1" w:styleId="55">
    <w:name w:val="普通文字 Char Char2"/>
    <w:qFormat/>
    <w:uiPriority w:val="0"/>
    <w:rPr>
      <w:rFonts w:ascii="宋体" w:hAnsi="Courier New" w:eastAsia="宋体"/>
      <w:kern w:val="2"/>
      <w:sz w:val="21"/>
      <w:lang w:val="en-US" w:eastAsia="zh-CN" w:bidi="ar-SA"/>
    </w:rPr>
  </w:style>
  <w:style w:type="character" w:customStyle="1" w:styleId="56">
    <w:name w:val="正文文本缩进 2 字符"/>
    <w:link w:val="26"/>
    <w:qFormat/>
    <w:uiPriority w:val="0"/>
    <w:rPr>
      <w:rFonts w:ascii="Times New Roman" w:hAnsi="Times New Roman" w:eastAsia="宋体" w:cs="Times New Roman"/>
      <w:sz w:val="32"/>
      <w:szCs w:val="20"/>
    </w:rPr>
  </w:style>
  <w:style w:type="character" w:customStyle="1" w:styleId="57">
    <w:name w:val="批注框文本 字符"/>
    <w:link w:val="28"/>
    <w:semiHidden/>
    <w:qFormat/>
    <w:uiPriority w:val="0"/>
    <w:rPr>
      <w:rFonts w:ascii="Times New Roman" w:hAnsi="Times New Roman" w:eastAsia="宋体" w:cs="Times New Roman"/>
      <w:sz w:val="18"/>
      <w:szCs w:val="18"/>
    </w:rPr>
  </w:style>
  <w:style w:type="character" w:customStyle="1" w:styleId="58">
    <w:name w:val="font01"/>
    <w:basedOn w:val="48"/>
    <w:qFormat/>
    <w:uiPriority w:val="0"/>
    <w:rPr>
      <w:rFonts w:hint="eastAsia" w:ascii="宋体" w:hAnsi="宋体" w:eastAsia="宋体" w:cs="宋体"/>
      <w:color w:val="000000"/>
      <w:sz w:val="24"/>
      <w:szCs w:val="24"/>
      <w:u w:val="none"/>
    </w:rPr>
  </w:style>
  <w:style w:type="character" w:customStyle="1" w:styleId="59">
    <w:name w:val="纯文本 字符1"/>
    <w:qFormat/>
    <w:uiPriority w:val="0"/>
    <w:rPr>
      <w:rFonts w:ascii="宋体" w:hAnsi="Courier New"/>
    </w:rPr>
  </w:style>
  <w:style w:type="character" w:customStyle="1" w:styleId="60">
    <w:name w:val="批注文字 Char1"/>
    <w:semiHidden/>
    <w:qFormat/>
    <w:locked/>
    <w:uiPriority w:val="0"/>
    <w:rPr>
      <w:rFonts w:ascii="Times New Roman" w:hAnsi="Times New Roman"/>
      <w:kern w:val="2"/>
      <w:sz w:val="21"/>
      <w:szCs w:val="24"/>
    </w:rPr>
  </w:style>
  <w:style w:type="character" w:customStyle="1" w:styleId="61">
    <w:name w:val="标题 3 字符"/>
    <w:link w:val="5"/>
    <w:qFormat/>
    <w:uiPriority w:val="0"/>
    <w:rPr>
      <w:rFonts w:ascii="Times New Roman" w:hAnsi="Times New Roman" w:eastAsia="宋体" w:cs="Times New Roman"/>
      <w:b/>
      <w:bCs/>
      <w:sz w:val="32"/>
      <w:szCs w:val="32"/>
    </w:rPr>
  </w:style>
  <w:style w:type="character" w:customStyle="1" w:styleId="62">
    <w:name w:val="headline-content4"/>
    <w:qFormat/>
    <w:uiPriority w:val="0"/>
  </w:style>
  <w:style w:type="character" w:customStyle="1" w:styleId="63">
    <w:name w:val="日期 字符"/>
    <w:link w:val="25"/>
    <w:qFormat/>
    <w:uiPriority w:val="0"/>
    <w:rPr>
      <w:rFonts w:ascii="宋体" w:hAnsi="Courier New" w:eastAsia="宋体" w:cs="Courier New"/>
      <w:szCs w:val="21"/>
    </w:rPr>
  </w:style>
  <w:style w:type="character" w:customStyle="1" w:styleId="64">
    <w:name w:val="apple-style-span"/>
    <w:qFormat/>
    <w:uiPriority w:val="0"/>
  </w:style>
  <w:style w:type="character" w:customStyle="1" w:styleId="65">
    <w:name w:val="批注文字 字符2"/>
    <w:qFormat/>
    <w:uiPriority w:val="0"/>
    <w:rPr>
      <w:rFonts w:ascii="Times New Roman" w:hAnsi="Times New Roman"/>
      <w:kern w:val="2"/>
      <w:sz w:val="21"/>
      <w:szCs w:val="24"/>
    </w:rPr>
  </w:style>
  <w:style w:type="character" w:customStyle="1" w:styleId="66">
    <w:name w:val="纯文本 Char1"/>
    <w:qFormat/>
    <w:uiPriority w:val="0"/>
    <w:rPr>
      <w:rFonts w:ascii="宋体" w:hAnsi="Courier New" w:eastAsia="宋体" w:cs="Courier New"/>
      <w:szCs w:val="21"/>
    </w:rPr>
  </w:style>
  <w:style w:type="character" w:customStyle="1" w:styleId="67">
    <w:name w:val="尾注文本 字符"/>
    <w:link w:val="27"/>
    <w:semiHidden/>
    <w:qFormat/>
    <w:uiPriority w:val="99"/>
    <w:rPr>
      <w:rFonts w:ascii="Times New Roman" w:hAnsi="Times New Roman"/>
      <w:kern w:val="2"/>
      <w:sz w:val="21"/>
      <w:szCs w:val="24"/>
    </w:rPr>
  </w:style>
  <w:style w:type="character" w:customStyle="1" w:styleId="68">
    <w:name w:val="标题 9 字符"/>
    <w:link w:val="11"/>
    <w:qFormat/>
    <w:uiPriority w:val="0"/>
    <w:rPr>
      <w:rFonts w:ascii="Arial" w:hAnsi="Arial" w:eastAsia="黑体"/>
      <w:kern w:val="2"/>
      <w:sz w:val="21"/>
      <w:szCs w:val="24"/>
    </w:rPr>
  </w:style>
  <w:style w:type="character" w:customStyle="1" w:styleId="69">
    <w:name w:val="批注文字 字符"/>
    <w:qFormat/>
    <w:uiPriority w:val="0"/>
    <w:rPr>
      <w:rFonts w:ascii="Times New Roman" w:hAnsi="Times New Roman"/>
      <w:kern w:val="2"/>
      <w:sz w:val="21"/>
      <w:szCs w:val="24"/>
    </w:rPr>
  </w:style>
  <w:style w:type="character" w:customStyle="1" w:styleId="70">
    <w:name w:val="正文文本缩进 字符"/>
    <w:qFormat/>
    <w:uiPriority w:val="0"/>
    <w:rPr>
      <w:rFonts w:ascii="仿宋_GB2312" w:hAnsi="Times New Roman" w:eastAsia="仿宋_GB2312" w:cs="Times New Roman"/>
      <w:sz w:val="32"/>
      <w:szCs w:val="20"/>
    </w:rPr>
  </w:style>
  <w:style w:type="character" w:customStyle="1" w:styleId="71">
    <w:name w:val="纯文本 字符"/>
    <w:qFormat/>
    <w:uiPriority w:val="0"/>
    <w:rPr>
      <w:rFonts w:ascii="宋体" w:hAnsi="Courier New" w:eastAsia="宋体" w:cs="Courier New"/>
      <w:szCs w:val="21"/>
    </w:rPr>
  </w:style>
  <w:style w:type="character" w:customStyle="1" w:styleId="72">
    <w:name w:val="标题 2 字符"/>
    <w:link w:val="4"/>
    <w:qFormat/>
    <w:uiPriority w:val="0"/>
    <w:rPr>
      <w:rFonts w:ascii="Arial" w:hAnsi="Arial" w:eastAsia="黑体" w:cs="Times New Roman"/>
      <w:b/>
      <w:bCs/>
      <w:sz w:val="32"/>
      <w:szCs w:val="32"/>
    </w:rPr>
  </w:style>
  <w:style w:type="character" w:customStyle="1" w:styleId="73">
    <w:name w:val="脚注文本 字符"/>
    <w:link w:val="34"/>
    <w:semiHidden/>
    <w:qFormat/>
    <w:uiPriority w:val="99"/>
    <w:rPr>
      <w:rFonts w:ascii="Times New Roman" w:hAnsi="Times New Roman"/>
      <w:kern w:val="2"/>
      <w:sz w:val="18"/>
      <w:szCs w:val="18"/>
    </w:rPr>
  </w:style>
  <w:style w:type="character" w:customStyle="1" w:styleId="74">
    <w:name w:val="标题 7 字符"/>
    <w:link w:val="9"/>
    <w:qFormat/>
    <w:uiPriority w:val="0"/>
    <w:rPr>
      <w:rFonts w:ascii="Times New Roman" w:hAnsi="Times New Roman"/>
      <w:b/>
      <w:kern w:val="2"/>
      <w:sz w:val="24"/>
      <w:szCs w:val="24"/>
    </w:rPr>
  </w:style>
  <w:style w:type="character" w:customStyle="1" w:styleId="75">
    <w:name w:val="正文文本 字符"/>
    <w:link w:val="17"/>
    <w:qFormat/>
    <w:uiPriority w:val="99"/>
    <w:rPr>
      <w:rFonts w:ascii="Times New Roman" w:hAnsi="Times New Roman" w:eastAsia="宋体" w:cs="Times New Roman"/>
      <w:sz w:val="24"/>
      <w:szCs w:val="24"/>
    </w:rPr>
  </w:style>
  <w:style w:type="character" w:customStyle="1" w:styleId="76">
    <w:name w:val="标题 6 字符"/>
    <w:link w:val="7"/>
    <w:qFormat/>
    <w:uiPriority w:val="0"/>
    <w:rPr>
      <w:rFonts w:ascii="Arial" w:hAnsi="Arial" w:eastAsia="黑体"/>
      <w:b/>
      <w:kern w:val="2"/>
      <w:sz w:val="24"/>
      <w:szCs w:val="24"/>
    </w:rPr>
  </w:style>
  <w:style w:type="character" w:customStyle="1" w:styleId="77">
    <w:name w:val="标题 8 字符"/>
    <w:link w:val="10"/>
    <w:qFormat/>
    <w:uiPriority w:val="0"/>
    <w:rPr>
      <w:rFonts w:ascii="Arial" w:hAnsi="Arial" w:eastAsia="黑体"/>
      <w:kern w:val="2"/>
      <w:sz w:val="24"/>
      <w:szCs w:val="24"/>
    </w:rPr>
  </w:style>
  <w:style w:type="character" w:customStyle="1" w:styleId="78">
    <w:name w:val="font21"/>
    <w:basedOn w:val="48"/>
    <w:qFormat/>
    <w:uiPriority w:val="0"/>
    <w:rPr>
      <w:rFonts w:hint="default" w:ascii="Times New Roman" w:hAnsi="Times New Roman" w:cs="Times New Roman"/>
      <w:color w:val="000000"/>
      <w:sz w:val="24"/>
      <w:szCs w:val="24"/>
      <w:u w:val="none"/>
    </w:rPr>
  </w:style>
  <w:style w:type="character" w:customStyle="1" w:styleId="79">
    <w:name w:val="标题 1 字符"/>
    <w:qFormat/>
    <w:uiPriority w:val="9"/>
    <w:rPr>
      <w:rFonts w:ascii="Times New Roman" w:hAnsi="Times New Roman" w:eastAsia="宋体" w:cs="Times New Roman"/>
      <w:b/>
      <w:bCs/>
      <w:kern w:val="44"/>
      <w:sz w:val="44"/>
      <w:szCs w:val="44"/>
    </w:rPr>
  </w:style>
  <w:style w:type="character" w:customStyle="1" w:styleId="80">
    <w:name w:val="纯文本 Char"/>
    <w:qFormat/>
    <w:uiPriority w:val="0"/>
    <w:rPr>
      <w:rFonts w:ascii="宋体" w:hAnsi="Courier New" w:eastAsia="宋体" w:cs="Courier New"/>
      <w:szCs w:val="21"/>
    </w:rPr>
  </w:style>
  <w:style w:type="character" w:customStyle="1" w:styleId="81">
    <w:name w:val="case31"/>
    <w:qFormat/>
    <w:uiPriority w:val="0"/>
    <w:rPr>
      <w:rFonts w:hint="default" w:ascii="_x000B__x000C_" w:hAnsi="_x000B__x000C_"/>
      <w:sz w:val="21"/>
      <w:szCs w:val="21"/>
    </w:rPr>
  </w:style>
  <w:style w:type="character" w:customStyle="1" w:styleId="82">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3">
    <w:name w:val="批注文字 字符1"/>
    <w:link w:val="15"/>
    <w:qFormat/>
    <w:uiPriority w:val="0"/>
    <w:rPr>
      <w:rFonts w:ascii="Times New Roman" w:hAnsi="Times New Roman"/>
      <w:kern w:val="2"/>
      <w:sz w:val="21"/>
      <w:szCs w:val="24"/>
    </w:rPr>
  </w:style>
  <w:style w:type="character" w:customStyle="1" w:styleId="84">
    <w:name w:val="批注文字 Char"/>
    <w:qFormat/>
    <w:uiPriority w:val="0"/>
    <w:rPr>
      <w:rFonts w:ascii="Times New Roman" w:hAnsi="Times New Roman"/>
      <w:kern w:val="2"/>
      <w:sz w:val="21"/>
      <w:szCs w:val="24"/>
    </w:rPr>
  </w:style>
  <w:style w:type="character" w:customStyle="1" w:styleId="85">
    <w:name w:val="textcontents"/>
    <w:qFormat/>
    <w:uiPriority w:val="0"/>
  </w:style>
  <w:style w:type="character" w:customStyle="1" w:styleId="86">
    <w:name w:val="纯文本 字符2"/>
    <w:link w:val="23"/>
    <w:qFormat/>
    <w:uiPriority w:val="0"/>
    <w:rPr>
      <w:rFonts w:ascii="宋体" w:hAnsi="Courier New" w:eastAsia="宋体" w:cs="Courier New"/>
      <w:szCs w:val="21"/>
    </w:rPr>
  </w:style>
  <w:style w:type="character" w:customStyle="1" w:styleId="87">
    <w:name w:val="标题 1 字符1"/>
    <w:link w:val="3"/>
    <w:qFormat/>
    <w:uiPriority w:val="0"/>
    <w:rPr>
      <w:rFonts w:ascii="Times New Roman" w:hAnsi="Times New Roman" w:eastAsia="宋体" w:cs="Times New Roman"/>
      <w:b/>
      <w:bCs/>
      <w:kern w:val="44"/>
      <w:sz w:val="44"/>
      <w:szCs w:val="44"/>
    </w:rPr>
  </w:style>
  <w:style w:type="character" w:customStyle="1" w:styleId="88">
    <w:name w:val="标题 5 字符"/>
    <w:link w:val="6"/>
    <w:qFormat/>
    <w:uiPriority w:val="0"/>
    <w:rPr>
      <w:b/>
      <w:kern w:val="2"/>
      <w:sz w:val="28"/>
      <w:szCs w:val="24"/>
    </w:rPr>
  </w:style>
  <w:style w:type="character" w:customStyle="1" w:styleId="89">
    <w:name w:val="正文文本缩进 3 字符"/>
    <w:link w:val="36"/>
    <w:qFormat/>
    <w:uiPriority w:val="0"/>
    <w:rPr>
      <w:rFonts w:ascii="Times New Roman" w:hAnsi="Times New Roman" w:eastAsia="宋体" w:cs="Times New Roman"/>
      <w:sz w:val="16"/>
      <w:szCs w:val="16"/>
    </w:rPr>
  </w:style>
  <w:style w:type="character" w:customStyle="1" w:styleId="90">
    <w:name w:val="正文文本 3 字符"/>
    <w:link w:val="16"/>
    <w:qFormat/>
    <w:uiPriority w:val="0"/>
    <w:rPr>
      <w:rFonts w:ascii="Times New Roman" w:hAnsi="Times New Roman" w:eastAsia="宋体" w:cs="Times New Roman"/>
      <w:b/>
      <w:bCs/>
      <w:sz w:val="24"/>
      <w:szCs w:val="24"/>
    </w:rPr>
  </w:style>
  <w:style w:type="character" w:customStyle="1" w:styleId="91">
    <w:name w:val="批注主题 字符"/>
    <w:link w:val="43"/>
    <w:semiHidden/>
    <w:qFormat/>
    <w:uiPriority w:val="99"/>
    <w:rPr>
      <w:rFonts w:ascii="Times New Roman" w:hAnsi="Times New Roman"/>
      <w:b/>
      <w:bCs/>
      <w:kern w:val="2"/>
      <w:sz w:val="21"/>
      <w:szCs w:val="24"/>
    </w:rPr>
  </w:style>
  <w:style w:type="character" w:customStyle="1" w:styleId="92">
    <w:name w:val="标题 5 Char1"/>
    <w:qFormat/>
    <w:uiPriority w:val="0"/>
    <w:rPr>
      <w:b/>
      <w:kern w:val="2"/>
      <w:sz w:val="28"/>
      <w:szCs w:val="24"/>
    </w:rPr>
  </w:style>
  <w:style w:type="character" w:customStyle="1" w:styleId="93">
    <w:name w:val="正文文本 2 字符"/>
    <w:link w:val="39"/>
    <w:qFormat/>
    <w:uiPriority w:val="0"/>
    <w:rPr>
      <w:rFonts w:ascii="Times New Roman" w:hAnsi="Times New Roman" w:eastAsia="宋体" w:cs="Times New Roman"/>
      <w:szCs w:val="24"/>
    </w:rPr>
  </w:style>
  <w:style w:type="character" w:customStyle="1" w:styleId="94">
    <w:name w:val="页脚 字符"/>
    <w:link w:val="29"/>
    <w:qFormat/>
    <w:uiPriority w:val="99"/>
    <w:rPr>
      <w:sz w:val="18"/>
      <w:szCs w:val="18"/>
    </w:rPr>
  </w:style>
  <w:style w:type="character" w:customStyle="1" w:styleId="95">
    <w:name w:val="正文文本缩进 字符1"/>
    <w:link w:val="18"/>
    <w:qFormat/>
    <w:uiPriority w:val="0"/>
    <w:rPr>
      <w:rFonts w:ascii="仿宋_GB2312" w:hAnsi="Times New Roman" w:eastAsia="仿宋_GB2312" w:cs="Times New Roman"/>
      <w:sz w:val="32"/>
      <w:szCs w:val="20"/>
    </w:rPr>
  </w:style>
  <w:style w:type="character" w:customStyle="1" w:styleId="96">
    <w:name w:val="页眉 字符"/>
    <w:link w:val="30"/>
    <w:qFormat/>
    <w:uiPriority w:val="99"/>
    <w:rPr>
      <w:rFonts w:ascii="Times New Roman" w:hAnsi="Times New Roman"/>
      <w:kern w:val="2"/>
      <w:sz w:val="18"/>
      <w:szCs w:val="18"/>
    </w:rPr>
  </w:style>
  <w:style w:type="character" w:customStyle="1" w:styleId="97">
    <w:name w:val="标题 5 Char"/>
    <w:qFormat/>
    <w:uiPriority w:val="0"/>
    <w:rPr>
      <w:b/>
      <w:kern w:val="2"/>
      <w:sz w:val="28"/>
      <w:szCs w:val="24"/>
    </w:rPr>
  </w:style>
  <w:style w:type="character" w:customStyle="1" w:styleId="98">
    <w:name w:val="标题 字符"/>
    <w:link w:val="42"/>
    <w:qFormat/>
    <w:uiPriority w:val="10"/>
    <w:rPr>
      <w:rFonts w:ascii="Cambria" w:hAnsi="Cambria" w:cs="Times New Roman"/>
      <w:b/>
      <w:bCs/>
      <w:kern w:val="2"/>
      <w:sz w:val="32"/>
      <w:szCs w:val="32"/>
    </w:rPr>
  </w:style>
  <w:style w:type="paragraph" w:customStyle="1" w:styleId="99">
    <w:name w:val="方案 正文"/>
    <w:basedOn w:val="1"/>
    <w:qFormat/>
    <w:uiPriority w:val="0"/>
    <w:pPr>
      <w:widowControl/>
      <w:tabs>
        <w:tab w:val="left" w:pos="420"/>
      </w:tabs>
      <w:adjustRightInd w:val="0"/>
      <w:snapToGrid w:val="0"/>
      <w:spacing w:after="72" w:afterLines="30" w:line="360" w:lineRule="auto"/>
      <w:ind w:firstLine="480" w:firstLineChars="200"/>
    </w:pPr>
    <w:rPr>
      <w:rFonts w:ascii="Times New Roman" w:hAnsi="Times New Roman" w:eastAsia="仿宋_GB2312" w:cs="Times New Roman"/>
      <w:sz w:val="28"/>
      <w:szCs w:val="21"/>
    </w:rPr>
  </w:style>
  <w:style w:type="paragraph" w:customStyle="1" w:styleId="100">
    <w:name w:val="Char1"/>
    <w:basedOn w:val="1"/>
    <w:qFormat/>
    <w:uiPriority w:val="0"/>
    <w:rPr>
      <w:szCs w:val="21"/>
    </w:rPr>
  </w:style>
  <w:style w:type="paragraph" w:customStyle="1" w:styleId="101">
    <w:name w:val="正文首行缩进两字符"/>
    <w:basedOn w:val="1"/>
    <w:qFormat/>
    <w:uiPriority w:val="0"/>
    <w:pPr>
      <w:spacing w:line="360" w:lineRule="auto"/>
      <w:ind w:firstLine="200" w:firstLineChars="200"/>
    </w:pPr>
  </w:style>
  <w:style w:type="paragraph" w:customStyle="1" w:styleId="102">
    <w:name w:val="Plain Text"/>
    <w:basedOn w:val="1"/>
    <w:qFormat/>
    <w:uiPriority w:val="0"/>
    <w:rPr>
      <w:rFonts w:ascii="宋体" w:hAnsi="Courier New" w:cs="Century"/>
      <w:szCs w:val="21"/>
    </w:rPr>
  </w:style>
  <w:style w:type="paragraph" w:customStyle="1" w:styleId="103">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4">
    <w:name w:val="_Style 2"/>
    <w:basedOn w:val="1"/>
    <w:qFormat/>
    <w:uiPriority w:val="34"/>
    <w:pPr>
      <w:adjustRightInd w:val="0"/>
      <w:snapToGrid w:val="0"/>
      <w:spacing w:before="120" w:after="120" w:line="360" w:lineRule="auto"/>
      <w:ind w:left="578" w:firstLine="420"/>
    </w:pPr>
    <w:rPr>
      <w:lang w:eastAsia="zh-TW"/>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6">
    <w:name w:val="表格"/>
    <w:basedOn w:val="1"/>
    <w:qFormat/>
    <w:uiPriority w:val="0"/>
    <w:pPr>
      <w:spacing w:line="400" w:lineRule="exact"/>
    </w:pPr>
    <w:rPr>
      <w:sz w:val="24"/>
    </w:rPr>
  </w:style>
  <w:style w:type="paragraph" w:customStyle="1" w:styleId="107">
    <w:name w:val="正_文"/>
    <w:basedOn w:val="1"/>
    <w:qFormat/>
    <w:uiPriority w:val="0"/>
    <w:pPr>
      <w:widowControl/>
      <w:spacing w:before="0" w:beforeLines="0" w:after="0" w:afterLines="0"/>
      <w:ind w:firstLine="200"/>
    </w:pPr>
    <w:rPr>
      <w:rFonts w:ascii="Times New Roman" w:hAnsi="Times New Roman"/>
      <w:bCs/>
      <w:kern w:val="2"/>
      <w:szCs w:val="28"/>
    </w:rPr>
  </w:style>
  <w:style w:type="paragraph" w:customStyle="1" w:styleId="108">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09">
    <w:name w:val="图片"/>
    <w:basedOn w:val="110"/>
    <w:qFormat/>
    <w:uiPriority w:val="0"/>
    <w:pPr>
      <w:ind w:firstLine="0" w:firstLineChars="0"/>
      <w:jc w:val="center"/>
    </w:pPr>
  </w:style>
  <w:style w:type="paragraph" w:customStyle="1" w:styleId="110">
    <w:name w:val="可研报告正文"/>
    <w:basedOn w:val="1"/>
    <w:qFormat/>
    <w:uiPriority w:val="0"/>
    <w:pPr>
      <w:spacing w:line="360" w:lineRule="auto"/>
      <w:ind w:firstLine="200" w:firstLineChars="200"/>
    </w:pPr>
    <w:rPr>
      <w:rFonts w:ascii="Times New Roman" w:hAnsi="Times New Roman" w:eastAsia="仿宋_GB2312"/>
      <w:sz w:val="28"/>
      <w:szCs w:val="22"/>
    </w:rPr>
  </w:style>
  <w:style w:type="paragraph" w:customStyle="1" w:styleId="111">
    <w:name w:val="正文2"/>
    <w:basedOn w:val="1"/>
    <w:qFormat/>
    <w:uiPriority w:val="0"/>
    <w:pPr>
      <w:adjustRightInd w:val="0"/>
      <w:spacing w:before="156" w:line="360" w:lineRule="auto"/>
      <w:ind w:firstLine="510" w:firstLineChars="200"/>
    </w:pPr>
    <w:rPr>
      <w:sz w:val="24"/>
      <w:szCs w:val="20"/>
    </w:rPr>
  </w:style>
  <w:style w:type="paragraph" w:customStyle="1" w:styleId="112">
    <w:name w:val="_Style 111"/>
    <w:unhideWhenUsed/>
    <w:qFormat/>
    <w:uiPriority w:val="99"/>
    <w:rPr>
      <w:rFonts w:ascii="Times New Roman" w:hAnsi="Times New Roman" w:eastAsia="宋体" w:cs="Times New Roman"/>
      <w:kern w:val="2"/>
      <w:sz w:val="21"/>
      <w:szCs w:val="24"/>
      <w:lang w:val="en-US" w:eastAsia="zh-CN" w:bidi="ar-SA"/>
    </w:rPr>
  </w:style>
  <w:style w:type="paragraph" w:customStyle="1" w:styleId="113">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14">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5">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6">
    <w:name w:val="样式 首行缩进:  2 字符"/>
    <w:basedOn w:val="1"/>
    <w:qFormat/>
    <w:uiPriority w:val="0"/>
    <w:pPr>
      <w:spacing w:line="400" w:lineRule="exact"/>
      <w:ind w:firstLine="200" w:firstLineChars="200"/>
    </w:pPr>
    <w:rPr>
      <w:rFonts w:cs="宋体"/>
      <w:sz w:val="24"/>
    </w:rPr>
  </w:style>
  <w:style w:type="paragraph" w:customStyle="1" w:styleId="117">
    <w:name w:val="默认段落字体 Para Char Char Char Char Char Char Char Char Char1 Char Char Char Char"/>
    <w:basedOn w:val="1"/>
    <w:qFormat/>
    <w:uiPriority w:val="0"/>
    <w:rPr>
      <w:rFonts w:ascii="Tahoma" w:hAnsi="Tahoma"/>
      <w:sz w:val="24"/>
      <w:szCs w:val="20"/>
    </w:rPr>
  </w:style>
  <w:style w:type="paragraph" w:styleId="118">
    <w:name w:val="List Paragraph"/>
    <w:basedOn w:val="1"/>
    <w:qFormat/>
    <w:uiPriority w:val="34"/>
    <w:pPr>
      <w:ind w:firstLine="420" w:firstLineChars="200"/>
    </w:pPr>
  </w:style>
  <w:style w:type="paragraph" w:customStyle="1" w:styleId="119">
    <w:name w:val="T图形题注"/>
    <w:basedOn w:val="1"/>
    <w:next w:val="1"/>
    <w:qFormat/>
    <w:uiPriority w:val="0"/>
    <w:pPr>
      <w:numPr>
        <w:ilvl w:val="0"/>
        <w:numId w:val="4"/>
      </w:numPr>
      <w:spacing w:line="360" w:lineRule="auto"/>
      <w:ind w:left="0" w:firstLine="0"/>
      <w:jc w:val="center"/>
    </w:pPr>
    <w:rPr>
      <w:rFonts w:ascii="Times New Roman" w:hAnsi="Times New Roman" w:eastAsia="黑体"/>
      <w:b/>
      <w:szCs w:val="21"/>
    </w:rPr>
  </w:style>
  <w:style w:type="paragraph" w:customStyle="1" w:styleId="120">
    <w:name w:val="正文段"/>
    <w:basedOn w:val="1"/>
    <w:qFormat/>
    <w:uiPriority w:val="0"/>
    <w:pPr>
      <w:widowControl/>
      <w:snapToGrid w:val="0"/>
      <w:spacing w:after="50" w:afterLines="50"/>
      <w:ind w:firstLine="200" w:firstLineChars="200"/>
    </w:pPr>
    <w:rPr>
      <w:kern w:val="0"/>
      <w:sz w:val="24"/>
      <w:szCs w:val="20"/>
    </w:rPr>
  </w:style>
  <w:style w:type="table" w:customStyle="1" w:styleId="121">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125</Pages>
  <Words>80920</Words>
  <Characters>85781</Characters>
  <Lines>375</Lines>
  <Paragraphs>105</Paragraphs>
  <TotalTime>19</TotalTime>
  <ScaleCrop>false</ScaleCrop>
  <LinksUpToDate>false</LinksUpToDate>
  <CharactersWithSpaces>91566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2024-04-30T07:10:00Z</dcterms:created>
  <dc:creator>番茄花园</dc:creator>
  <cp:lastModifiedBy>iiiiiii</cp:lastModifiedBy>
  <cp:lastPrinted>2024-09-05T07:22:00Z</cp:lastPrinted>
  <dcterms:modified xsi:type="dcterms:W3CDTF">2024-10-15T10:32:34Z</dcterms:modified>
  <dc:title>公开招标采购文件范本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0DE085CCFD7D4530BCFF47129EF66FC7_13</vt:lpwstr>
  </property>
</Properties>
</file>