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“政采贷”政策告知函</w:t>
      </w:r>
    </w:p>
    <w:p>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各供应商:</w:t>
      </w:r>
    </w:p>
    <w:p>
      <w:pPr>
        <w:keepNext w:val="0"/>
        <w:keepLines w:val="0"/>
        <w:pageBreakBefore w:val="0"/>
        <w:kinsoku/>
        <w:wordWrap/>
        <w:overflowPunct/>
        <w:topLinePunct w:val="0"/>
        <w:autoSpaceDE/>
        <w:autoSpaceDN/>
        <w:bidi w:val="0"/>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欢迎贵公司参与贺州市平桂区政府采购活动!</w:t>
      </w: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政府采购合同融资是支持中小微企业发展，针对参与政</w:t>
      </w:r>
      <w:bookmarkStart w:id="0" w:name="_GoBack"/>
      <w:bookmarkEnd w:id="0"/>
      <w:r>
        <w:rPr>
          <w:rFonts w:hint="eastAsia" w:ascii="仿宋_GB2312" w:hAnsi="仿宋_GB2312" w:eastAsia="仿宋_GB2312" w:cs="仿宋_GB2312"/>
          <w:sz w:val="32"/>
          <w:szCs w:val="32"/>
        </w:rPr>
        <w:t>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sz w:val="32"/>
          <w:szCs w:val="32"/>
          <w:lang w:eastAsia="zh-CN"/>
        </w:rPr>
        <w:t>等相关材料</w:t>
      </w:r>
      <w:r>
        <w:rPr>
          <w:rFonts w:hint="eastAsia" w:ascii="仿宋_GB2312" w:hAnsi="仿宋_GB2312" w:eastAsia="仿宋_GB2312" w:cs="仿宋_GB2312"/>
          <w:sz w:val="32"/>
          <w:szCs w:val="32"/>
        </w:rPr>
        <w:t>向金融机构申请贷款，金融机构核实信息，按照双方自愿的原则提供便捷、优惠的贷款服务。</w:t>
      </w: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一、“政采贷”操作流程</w:t>
      </w:r>
    </w:p>
    <w:p>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进入“广西政府采购网”（</w:t>
      </w:r>
      <w:r>
        <w:rPr>
          <w:rFonts w:hint="eastAsia" w:ascii="Times New Roman" w:hAnsi="Times New Roman" w:eastAsia="仿宋_GB2312" w:cs="仿宋_GB2312"/>
          <w:color w:val="auto"/>
          <w:sz w:val="32"/>
          <w:szCs w:val="32"/>
          <w:highlight w:val="none"/>
          <w:lang w:eastAsia="zh-CN"/>
        </w:rPr>
        <w:fldChar w:fldCharType="begin"/>
      </w:r>
      <w:r>
        <w:rPr>
          <w:rFonts w:hint="eastAsia" w:ascii="Times New Roman" w:hAnsi="Times New Roman" w:eastAsia="仿宋_GB2312" w:cs="仿宋_GB2312"/>
          <w:color w:val="auto"/>
          <w:sz w:val="32"/>
          <w:szCs w:val="32"/>
          <w:highlight w:val="none"/>
          <w:lang w:eastAsia="zh-CN"/>
        </w:rPr>
        <w:instrText xml:space="preserve"> HYPERLINK "http://zfcg.gxzf.gov.cn/" </w:instrText>
      </w:r>
      <w:r>
        <w:rPr>
          <w:rFonts w:hint="eastAsia" w:ascii="Times New Roman" w:hAnsi="Times New Roman" w:eastAsia="仿宋_GB2312" w:cs="仿宋_GB2312"/>
          <w:color w:val="auto"/>
          <w:sz w:val="32"/>
          <w:szCs w:val="32"/>
          <w:highlight w:val="none"/>
          <w:lang w:eastAsia="zh-CN"/>
        </w:rPr>
        <w:fldChar w:fldCharType="separate"/>
      </w:r>
      <w:r>
        <w:rPr>
          <w:rStyle w:val="5"/>
          <w:rFonts w:hint="eastAsia" w:ascii="Times New Roman" w:hAnsi="Times New Roman" w:eastAsia="仿宋_GB2312" w:cs="仿宋_GB2312"/>
          <w:color w:val="auto"/>
          <w:sz w:val="32"/>
          <w:szCs w:val="32"/>
          <w:highlight w:val="none"/>
          <w:lang w:eastAsia="zh-CN"/>
        </w:rPr>
        <w:t>http</w:t>
      </w:r>
      <w:r>
        <w:rPr>
          <w:rStyle w:val="5"/>
          <w:rFonts w:hint="eastAsia" w:ascii="仿宋_GB2312" w:hAnsi="仿宋_GB2312" w:eastAsia="仿宋_GB2312" w:cs="仿宋_GB2312"/>
          <w:color w:val="auto"/>
          <w:sz w:val="32"/>
          <w:szCs w:val="32"/>
          <w:highlight w:val="none"/>
          <w:lang w:eastAsia="zh-CN"/>
        </w:rPr>
        <w:t>://</w:t>
      </w:r>
      <w:r>
        <w:rPr>
          <w:rStyle w:val="5"/>
          <w:rFonts w:hint="eastAsia" w:ascii="Times New Roman" w:hAnsi="Times New Roman" w:eastAsia="仿宋_GB2312" w:cs="仿宋_GB2312"/>
          <w:color w:val="auto"/>
          <w:sz w:val="32"/>
          <w:szCs w:val="32"/>
          <w:highlight w:val="none"/>
          <w:lang w:eastAsia="zh-CN"/>
        </w:rPr>
        <w:t>zfcg</w:t>
      </w:r>
      <w:r>
        <w:rPr>
          <w:rStyle w:val="5"/>
          <w:rFonts w:hint="eastAsia" w:ascii="仿宋_GB2312" w:hAnsi="仿宋_GB2312" w:eastAsia="仿宋_GB2312" w:cs="仿宋_GB2312"/>
          <w:color w:val="auto"/>
          <w:sz w:val="32"/>
          <w:szCs w:val="32"/>
          <w:highlight w:val="none"/>
          <w:lang w:eastAsia="zh-CN"/>
        </w:rPr>
        <w:t>.</w:t>
      </w:r>
      <w:r>
        <w:rPr>
          <w:rStyle w:val="5"/>
          <w:rFonts w:hint="eastAsia" w:ascii="Times New Roman" w:hAnsi="Times New Roman" w:eastAsia="仿宋_GB2312" w:cs="仿宋_GB2312"/>
          <w:color w:val="auto"/>
          <w:sz w:val="32"/>
          <w:szCs w:val="32"/>
          <w:highlight w:val="none"/>
          <w:lang w:eastAsia="zh-CN"/>
        </w:rPr>
        <w:t>gxzf</w:t>
      </w:r>
      <w:r>
        <w:rPr>
          <w:rStyle w:val="5"/>
          <w:rFonts w:hint="eastAsia" w:ascii="仿宋_GB2312" w:hAnsi="仿宋_GB2312" w:eastAsia="仿宋_GB2312" w:cs="仿宋_GB2312"/>
          <w:color w:val="auto"/>
          <w:sz w:val="32"/>
          <w:szCs w:val="32"/>
          <w:highlight w:val="none"/>
          <w:lang w:eastAsia="zh-CN"/>
        </w:rPr>
        <w:t>.</w:t>
      </w:r>
      <w:r>
        <w:rPr>
          <w:rStyle w:val="5"/>
          <w:rFonts w:hint="eastAsia" w:ascii="Times New Roman" w:hAnsi="Times New Roman" w:eastAsia="仿宋_GB2312" w:cs="仿宋_GB2312"/>
          <w:color w:val="auto"/>
          <w:sz w:val="32"/>
          <w:szCs w:val="32"/>
          <w:highlight w:val="none"/>
          <w:lang w:eastAsia="zh-CN"/>
        </w:rPr>
        <w:t>gov</w:t>
      </w:r>
      <w:r>
        <w:rPr>
          <w:rStyle w:val="5"/>
          <w:rFonts w:hint="eastAsia" w:ascii="仿宋_GB2312" w:hAnsi="仿宋_GB2312" w:eastAsia="仿宋_GB2312" w:cs="仿宋_GB2312"/>
          <w:color w:val="auto"/>
          <w:sz w:val="32"/>
          <w:szCs w:val="32"/>
          <w:highlight w:val="none"/>
          <w:lang w:eastAsia="zh-CN"/>
        </w:rPr>
        <w:t>.</w:t>
      </w:r>
      <w:r>
        <w:rPr>
          <w:rStyle w:val="5"/>
          <w:rFonts w:hint="eastAsia" w:ascii="Times New Roman" w:hAnsi="Times New Roman" w:eastAsia="仿宋_GB2312" w:cs="仿宋_GB2312"/>
          <w:color w:val="auto"/>
          <w:sz w:val="32"/>
          <w:szCs w:val="32"/>
          <w:highlight w:val="none"/>
          <w:lang w:eastAsia="zh-CN"/>
        </w:rPr>
        <w:t>cn</w:t>
      </w:r>
      <w:r>
        <w:rPr>
          <w:rStyle w:val="5"/>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）“办事指南”专栏找到“金融融资”板块，进入“广西政府采购金融服务平台”登录，选择试点银行机构进行合同融资预申请。</w:t>
      </w:r>
    </w:p>
    <w:p>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承接银行联系方式</w:t>
      </w:r>
    </w:p>
    <w:p>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1.中国建设银行贺州分行</w:t>
      </w:r>
      <w:r>
        <w:rPr>
          <w:rFonts w:hint="eastAsia" w:ascii="仿宋_GB2312" w:hAnsi="仿宋_GB2312" w:eastAsia="仿宋_GB2312" w:cs="仿宋_GB2312"/>
          <w:sz w:val="32"/>
          <w:szCs w:val="32"/>
          <w:lang w:val="en-US" w:eastAsia="zh-CN"/>
        </w:rPr>
        <w:tab/>
      </w:r>
    </w:p>
    <w:tbl>
      <w:tblPr>
        <w:tblStyle w:val="3"/>
        <w:tblpPr w:leftFromText="180" w:rightFromText="180" w:vertAnchor="text" w:horzAnchor="page" w:tblpX="1551"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288"/>
        <w:gridCol w:w="1195"/>
        <w:gridCol w:w="225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14083" w:type="dxa"/>
            <w:gridSpan w:val="5"/>
            <w:vAlign w:val="bottom"/>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中国建设银行贺州分行   总协调人：杨宏毅    职务：公司业务部副总经理  手机号码：18077397188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6" w:type="dxa"/>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2054" w:type="dxa"/>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2115" w:type="dxa"/>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625" w:type="dxa"/>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4473" w:type="dxa"/>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816"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中国建设银行贺州平桂支行</w:t>
            </w:r>
          </w:p>
        </w:tc>
        <w:tc>
          <w:tcPr>
            <w:tcW w:w="2054" w:type="dxa"/>
            <w:vAlign w:val="center"/>
          </w:tcPr>
          <w:p>
            <w:pPr>
              <w:keepNext w:val="0"/>
              <w:keepLines w:val="0"/>
              <w:pageBreakBefore w:val="0"/>
              <w:widowControl/>
              <w:suppressLineNumbers w:val="0"/>
              <w:kinsoku/>
              <w:wordWrap/>
              <w:overflowPunct/>
              <w:topLinePunct w:val="0"/>
              <w:autoSpaceDE/>
              <w:autoSpaceDN/>
              <w:bidi w:val="0"/>
              <w:spacing w:line="460" w:lineRule="exact"/>
              <w:ind w:firstLine="280" w:firstLineChars="100"/>
              <w:jc w:val="both"/>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邱 伟</w:t>
            </w:r>
          </w:p>
        </w:tc>
        <w:tc>
          <w:tcPr>
            <w:tcW w:w="2115" w:type="dxa"/>
            <w:vAlign w:val="center"/>
          </w:tcPr>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客户</w:t>
            </w:r>
          </w:p>
          <w:p>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经理</w:t>
            </w:r>
          </w:p>
        </w:tc>
        <w:tc>
          <w:tcPr>
            <w:tcW w:w="2625" w:type="dxa"/>
            <w:vAlign w:val="center"/>
          </w:tcPr>
          <w:p>
            <w:pPr>
              <w:keepNext w:val="0"/>
              <w:keepLines w:val="0"/>
              <w:pageBreakBefore w:val="0"/>
              <w:widowControl/>
              <w:suppressLineNumbers w:val="0"/>
              <w:kinsoku/>
              <w:wordWrap/>
              <w:overflowPunct/>
              <w:topLinePunct w:val="0"/>
              <w:autoSpaceDE/>
              <w:autoSpaceDN/>
              <w:bidi w:val="0"/>
              <w:spacing w:line="460" w:lineRule="exact"/>
              <w:ind w:firstLine="280" w:firstLineChars="10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18007840720</w:t>
            </w:r>
          </w:p>
        </w:tc>
        <w:tc>
          <w:tcPr>
            <w:tcW w:w="4473" w:type="dxa"/>
            <w:vAlign w:val="bottom"/>
          </w:tcPr>
          <w:p>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贺州市平桂区平桂大道15号富旺小区1号楼105号商铺</w:t>
            </w:r>
          </w:p>
        </w:tc>
      </w:tr>
    </w:tbl>
    <w:p>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2.广西北部湾银行</w:t>
      </w:r>
    </w:p>
    <w:tbl>
      <w:tblPr>
        <w:tblStyle w:val="3"/>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广西北部湾银行贺州分行    总协调人：杨政     职务：普惠金融部总经理  手机号码：18978413000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515"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290"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15"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30"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88"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广西北部湾银行贺州市平桂支行</w:t>
            </w:r>
          </w:p>
        </w:tc>
        <w:tc>
          <w:tcPr>
            <w:tcW w:w="1290"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80" w:firstLine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刘 乐</w:t>
            </w:r>
          </w:p>
        </w:tc>
        <w:tc>
          <w:tcPr>
            <w:tcW w:w="1215"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公司客户经理</w:t>
            </w:r>
          </w:p>
        </w:tc>
        <w:tc>
          <w:tcPr>
            <w:tcW w:w="2130"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84" w:leftChars="145" w:hanging="280" w:hangingChars="1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13036871008</w:t>
            </w:r>
          </w:p>
        </w:tc>
        <w:tc>
          <w:tcPr>
            <w:tcW w:w="2588"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贺州市平桂区平桂大道4号3号楼103号商铺</w:t>
            </w:r>
          </w:p>
        </w:tc>
      </w:tr>
    </w:tbl>
    <w:p>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3.广西贺州桂东农村合作银行</w:t>
      </w:r>
    </w:p>
    <w:tbl>
      <w:tblPr>
        <w:tblStyle w:val="3"/>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   总协调人：卢士强    职务：授信审批部总经理  手机号码：18077409115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金融机构</w:t>
            </w:r>
          </w:p>
        </w:tc>
        <w:tc>
          <w:tcPr>
            <w:tcW w:w="1154"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230"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2160"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558" w:type="dxa"/>
            <w:vAlign w:val="top"/>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广西贺州桂东农村合作银行平桂支行</w:t>
            </w:r>
          </w:p>
        </w:tc>
        <w:tc>
          <w:tcPr>
            <w:tcW w:w="1154"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古 睿</w:t>
            </w:r>
          </w:p>
        </w:tc>
        <w:tc>
          <w:tcPr>
            <w:tcW w:w="1230"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信贷副</w:t>
            </w:r>
          </w:p>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行长</w:t>
            </w:r>
          </w:p>
        </w:tc>
        <w:tc>
          <w:tcPr>
            <w:tcW w:w="2160"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18007840375</w:t>
            </w:r>
          </w:p>
        </w:tc>
        <w:tc>
          <w:tcPr>
            <w:tcW w:w="2558" w:type="dxa"/>
            <w:vAlign w:val="center"/>
          </w:tcPr>
          <w:p>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贺州市平桂区平桂大道财政局一楼</w:t>
            </w:r>
          </w:p>
        </w:tc>
      </w:tr>
    </w:tbl>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
      <w:pPr>
        <w:ind w:firstLine="381"/>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D2"/>
    <w:rsid w:val="006C53D2"/>
    <w:rsid w:val="006D2CD0"/>
    <w:rsid w:val="083F1198"/>
    <w:rsid w:val="0F1F3EE0"/>
    <w:rsid w:val="12F40D9C"/>
    <w:rsid w:val="145E0EC6"/>
    <w:rsid w:val="19BF6B63"/>
    <w:rsid w:val="1D860521"/>
    <w:rsid w:val="381D16CF"/>
    <w:rsid w:val="42A15B30"/>
    <w:rsid w:val="44400AA1"/>
    <w:rsid w:val="48465465"/>
    <w:rsid w:val="4B436588"/>
    <w:rsid w:val="524D70A3"/>
    <w:rsid w:val="52B61FD7"/>
    <w:rsid w:val="52EB51C2"/>
    <w:rsid w:val="532C5A2B"/>
    <w:rsid w:val="57A73933"/>
    <w:rsid w:val="6580756E"/>
    <w:rsid w:val="68EB19D7"/>
    <w:rsid w:val="69342634"/>
    <w:rsid w:val="705D1A26"/>
    <w:rsid w:val="75BE3F7B"/>
    <w:rsid w:val="76756C85"/>
    <w:rsid w:val="7A0115F6"/>
    <w:rsid w:val="EFEEC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56</Words>
  <Characters>320</Characters>
  <Lines>2</Lines>
  <Paragraphs>1</Paragraphs>
  <TotalTime>8</TotalTime>
  <ScaleCrop>false</ScaleCrop>
  <LinksUpToDate>false</LinksUpToDate>
  <CharactersWithSpaces>375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2023-08-11T15:15:00Z</dcterms:created>
  <dc:creator>Administrator</dc:creator>
  <cp:lastModifiedBy>huawei</cp:lastModifiedBy>
  <dcterms:modified xsi:type="dcterms:W3CDTF">2024-03-08T08:35:06Z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7980C9DF73F9465988F4C862832CD161</vt:lpwstr>
  </property>
</Properties>
</file>