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C28F9">
      <w:pPr>
        <w:ind w:firstLine="964"/>
        <w:jc w:val="center"/>
        <w:rPr>
          <w:b/>
          <w:sz w:val="48"/>
        </w:rPr>
      </w:pPr>
    </w:p>
    <w:p w14:paraId="492F0D85">
      <w:pPr>
        <w:ind w:firstLine="964"/>
        <w:jc w:val="center"/>
        <w:rPr>
          <w:b/>
          <w:sz w:val="48"/>
        </w:rPr>
      </w:pPr>
    </w:p>
    <w:p w14:paraId="6F936D70">
      <w:pPr>
        <w:spacing w:before="97" w:beforeLines="30" w:after="97" w:afterLines="30"/>
        <w:ind w:firstLine="1205"/>
        <w:jc w:val="center"/>
        <w:rPr>
          <w:rFonts w:ascii="黑体" w:hAnsi="黑体" w:eastAsia="黑体"/>
          <w:b/>
          <w:sz w:val="60"/>
          <w:szCs w:val="60"/>
          <w:u w:val="single"/>
        </w:rPr>
      </w:pPr>
      <w:r>
        <w:rPr>
          <w:rFonts w:hint="eastAsia" w:ascii="黑体" w:hAnsi="黑体" w:eastAsia="黑体"/>
          <w:b/>
          <w:sz w:val="60"/>
          <w:szCs w:val="60"/>
        </w:rPr>
        <w:t>恭城瑶族自治县嘉会镇吉山农村基础设施建设项目</w:t>
      </w:r>
    </w:p>
    <w:p w14:paraId="09BFB665">
      <w:pPr>
        <w:spacing w:before="97" w:beforeLines="30" w:after="97" w:afterLines="30"/>
        <w:ind w:firstLine="1446"/>
        <w:jc w:val="center"/>
        <w:rPr>
          <w:rFonts w:ascii="黑体" w:hAnsi="黑体" w:eastAsia="黑体"/>
          <w:b/>
          <w:sz w:val="72"/>
        </w:rPr>
      </w:pPr>
      <w:r>
        <w:rPr>
          <w:rFonts w:hint="eastAsia" w:ascii="黑体" w:hAnsi="黑体" w:eastAsia="黑体"/>
          <w:b/>
          <w:sz w:val="72"/>
        </w:rPr>
        <w:t>施工图设计</w:t>
      </w:r>
    </w:p>
    <w:p w14:paraId="1EF54A4C">
      <w:pPr>
        <w:spacing w:before="97" w:beforeLines="30" w:after="97" w:afterLines="30"/>
        <w:ind w:firstLine="1446"/>
        <w:jc w:val="center"/>
        <w:rPr>
          <w:rFonts w:ascii="黑体" w:hAnsi="黑体" w:eastAsia="黑体"/>
          <w:b/>
          <w:sz w:val="72"/>
        </w:rPr>
      </w:pPr>
    </w:p>
    <w:p w14:paraId="08AFB58F">
      <w:pPr>
        <w:spacing w:before="97" w:beforeLines="30" w:after="97" w:afterLines="30"/>
        <w:ind w:firstLine="1446"/>
        <w:jc w:val="center"/>
        <w:rPr>
          <w:rFonts w:ascii="黑体" w:hAnsi="黑体" w:eastAsia="黑体"/>
          <w:b/>
          <w:sz w:val="72"/>
        </w:rPr>
      </w:pPr>
    </w:p>
    <w:p w14:paraId="71B1804E">
      <w:pPr>
        <w:spacing w:before="97" w:beforeLines="30" w:after="97" w:afterLines="30"/>
        <w:ind w:firstLine="1205"/>
        <w:jc w:val="center"/>
        <w:rPr>
          <w:rFonts w:ascii="黑体" w:hAnsi="黑体" w:eastAsia="黑体"/>
          <w:b/>
          <w:sz w:val="60"/>
          <w:szCs w:val="60"/>
        </w:rPr>
      </w:pPr>
    </w:p>
    <w:p w14:paraId="6C4532EE">
      <w:pPr>
        <w:spacing w:before="97" w:beforeLines="30" w:after="97" w:afterLines="30"/>
        <w:ind w:firstLine="1205"/>
        <w:jc w:val="center"/>
        <w:rPr>
          <w:rFonts w:ascii="黑体" w:hAnsi="黑体" w:eastAsia="黑体"/>
          <w:b/>
          <w:sz w:val="60"/>
          <w:szCs w:val="60"/>
        </w:rPr>
      </w:pPr>
    </w:p>
    <w:p w14:paraId="2ED50CAA">
      <w:pPr>
        <w:ind w:firstLine="883"/>
        <w:jc w:val="center"/>
        <w:rPr>
          <w:rFonts w:ascii="黑体" w:hAnsi="黑体" w:eastAsia="黑体"/>
          <w:b/>
          <w:sz w:val="44"/>
          <w:szCs w:val="60"/>
        </w:rPr>
      </w:pPr>
      <w:r>
        <w:rPr>
          <w:rFonts w:hint="eastAsia" w:ascii="黑体" w:hAnsi="黑体" w:eastAsia="黑体"/>
          <w:b/>
          <w:sz w:val="44"/>
          <w:szCs w:val="60"/>
        </w:rPr>
        <w:t>中物联规划设计研究院有限公司</w:t>
      </w:r>
    </w:p>
    <w:p w14:paraId="3A0A8B5D">
      <w:pPr>
        <w:ind w:firstLine="883"/>
        <w:jc w:val="center"/>
        <w:rPr>
          <w:rFonts w:ascii="黑体" w:hAnsi="黑体" w:eastAsia="黑体"/>
          <w:b/>
          <w:sz w:val="44"/>
          <w:szCs w:val="60"/>
        </w:rPr>
      </w:pPr>
      <w:r>
        <w:rPr>
          <w:rFonts w:hint="eastAsia" w:ascii="黑体" w:hAnsi="黑体" w:eastAsia="黑体"/>
          <w:b/>
          <w:sz w:val="44"/>
          <w:szCs w:val="60"/>
        </w:rPr>
        <w:t>202</w:t>
      </w:r>
      <w:r>
        <w:rPr>
          <w:rFonts w:hint="eastAsia" w:ascii="黑体" w:hAnsi="黑体" w:eastAsia="黑体"/>
          <w:b/>
          <w:sz w:val="44"/>
          <w:szCs w:val="60"/>
          <w:lang w:val="en-US" w:eastAsia="zh-CN"/>
        </w:rPr>
        <w:t>4</w:t>
      </w:r>
      <w:r>
        <w:rPr>
          <w:rFonts w:hint="eastAsia" w:ascii="黑体" w:hAnsi="黑体" w:eastAsia="黑体"/>
          <w:b/>
          <w:sz w:val="44"/>
          <w:szCs w:val="60"/>
        </w:rPr>
        <w:t>年</w:t>
      </w:r>
      <w:r>
        <w:rPr>
          <w:rFonts w:hint="eastAsia" w:ascii="黑体" w:hAnsi="黑体" w:eastAsia="黑体"/>
          <w:b/>
          <w:sz w:val="44"/>
          <w:szCs w:val="60"/>
          <w:lang w:val="en-US" w:eastAsia="zh-CN"/>
        </w:rPr>
        <w:t>12</w:t>
      </w:r>
      <w:r>
        <w:rPr>
          <w:rFonts w:hint="eastAsia" w:ascii="黑体" w:hAnsi="黑体" w:eastAsia="黑体"/>
          <w:b/>
          <w:sz w:val="44"/>
          <w:szCs w:val="60"/>
        </w:rPr>
        <w:t>月</w:t>
      </w:r>
    </w:p>
    <w:p w14:paraId="148997E0">
      <w:pPr>
        <w:spacing w:before="97" w:beforeLines="30" w:after="97" w:afterLines="30"/>
        <w:ind w:firstLine="883"/>
        <w:jc w:val="center"/>
        <w:rPr>
          <w:rFonts w:ascii="黑体" w:hAnsi="黑体" w:eastAsia="黑体"/>
          <w:b/>
          <w:sz w:val="44"/>
          <w:szCs w:val="60"/>
        </w:rPr>
        <w:sectPr>
          <w:headerReference r:id="rId7" w:type="first"/>
          <w:footerReference r:id="rId10" w:type="first"/>
          <w:headerReference r:id="rId5" w:type="default"/>
          <w:footerReference r:id="rId8" w:type="default"/>
          <w:headerReference r:id="rId6" w:type="even"/>
          <w:footerReference r:id="rId9" w:type="even"/>
          <w:pgSz w:w="23814" w:h="16839" w:orient="landscape"/>
          <w:pgMar w:top="1134" w:right="1134" w:bottom="1134" w:left="1134" w:header="851" w:footer="992" w:gutter="0"/>
          <w:cols w:space="425" w:num="1"/>
          <w:docGrid w:type="lines" w:linePitch="326" w:charSpace="0"/>
        </w:sectPr>
      </w:pPr>
    </w:p>
    <w:p w14:paraId="10CD4235">
      <w:pPr>
        <w:spacing w:before="97" w:beforeLines="30" w:after="97" w:afterLines="30"/>
        <w:ind w:firstLine="883"/>
        <w:jc w:val="left"/>
        <w:rPr>
          <w:rFonts w:ascii="黑体" w:hAnsi="黑体" w:eastAsia="黑体"/>
          <w:b/>
          <w:sz w:val="44"/>
          <w:szCs w:val="60"/>
        </w:rPr>
      </w:pPr>
    </w:p>
    <w:p w14:paraId="1D45669C">
      <w:pPr>
        <w:spacing w:before="97" w:beforeLines="30" w:after="97" w:afterLines="30"/>
        <w:jc w:val="left"/>
        <w:rPr>
          <w:rFonts w:hint="eastAsia" w:ascii="黑体" w:hAnsi="黑体" w:eastAsia="黑体"/>
          <w:sz w:val="36"/>
          <w:szCs w:val="60"/>
          <w:u w:val="single"/>
        </w:rPr>
      </w:pPr>
      <w:r>
        <w:rPr>
          <w:rFonts w:hint="eastAsia" w:ascii="黑体" w:hAnsi="黑体" w:eastAsia="黑体"/>
          <w:sz w:val="36"/>
          <w:szCs w:val="60"/>
        </w:rPr>
        <w:t>项目名称：恭城瑶族自治县嘉会镇吉山农村基础设施建设项目</w:t>
      </w:r>
    </w:p>
    <w:p w14:paraId="472CBD1C">
      <w:pPr>
        <w:keepNext w:val="0"/>
        <w:keepLines w:val="0"/>
        <w:widowControl/>
        <w:suppressLineNumbers w:val="0"/>
        <w:jc w:val="left"/>
        <w:rPr>
          <w:rFonts w:ascii="黑体" w:hAnsi="黑体" w:eastAsia="黑体"/>
          <w:sz w:val="36"/>
          <w:szCs w:val="60"/>
        </w:rPr>
      </w:pPr>
      <w:r>
        <w:rPr>
          <w:rFonts w:hint="eastAsia" w:ascii="黑体" w:hAnsi="黑体" w:eastAsia="黑体"/>
          <w:sz w:val="36"/>
          <w:szCs w:val="60"/>
        </w:rPr>
        <w:t>设计编号：</w:t>
      </w:r>
      <w:r>
        <w:rPr>
          <w:rFonts w:hint="eastAsia" w:ascii="黑体" w:hAnsi="黑体" w:eastAsia="黑体"/>
          <w:sz w:val="36"/>
          <w:szCs w:val="60"/>
          <w:lang w:val="en-US" w:eastAsia="zh-CN"/>
        </w:rPr>
        <w:t>GL-DL-24-K03-2024</w:t>
      </w:r>
    </w:p>
    <w:p w14:paraId="108A3D5A">
      <w:pPr>
        <w:spacing w:before="97" w:beforeLines="30" w:after="97" w:afterLines="30"/>
        <w:ind w:firstLine="720"/>
        <w:jc w:val="left"/>
        <w:rPr>
          <w:rFonts w:ascii="黑体" w:hAnsi="黑体" w:eastAsia="黑体"/>
          <w:sz w:val="36"/>
          <w:szCs w:val="60"/>
        </w:rPr>
      </w:pPr>
      <w:r>
        <w:rPr>
          <w:rFonts w:hint="eastAsia" w:ascii="黑体" w:hAnsi="黑体" w:eastAsia="黑体"/>
          <w:sz w:val="36"/>
          <w:szCs w:val="60"/>
        </w:rPr>
        <w:t>设计单位：中物联规划设计研究院有限公司</w:t>
      </w:r>
    </w:p>
    <w:p w14:paraId="02F1073E">
      <w:pPr>
        <w:spacing w:before="97" w:beforeLines="30" w:after="97" w:afterLines="30"/>
        <w:ind w:firstLine="720"/>
        <w:jc w:val="left"/>
        <w:rPr>
          <w:rFonts w:ascii="黑体" w:hAnsi="黑体" w:eastAsia="黑体"/>
          <w:sz w:val="36"/>
          <w:szCs w:val="60"/>
        </w:rPr>
      </w:pPr>
      <w:r>
        <w:rPr>
          <w:rFonts w:hint="eastAsia" w:ascii="黑体" w:hAnsi="黑体" w:eastAsia="黑体"/>
          <w:sz w:val="36"/>
          <w:szCs w:val="60"/>
        </w:rPr>
        <w:t>设计阶段：施工图设计</w:t>
      </w:r>
    </w:p>
    <w:p w14:paraId="32C945E3">
      <w:pPr>
        <w:spacing w:before="97" w:beforeLines="30" w:after="97" w:afterLines="30" w:line="240" w:lineRule="auto"/>
        <w:ind w:firstLine="803"/>
        <w:jc w:val="center"/>
        <w:rPr>
          <w:rFonts w:ascii="黑体" w:hAnsi="黑体" w:eastAsia="黑体"/>
          <w:b/>
          <w:sz w:val="40"/>
          <w:szCs w:val="60"/>
        </w:rPr>
      </w:pPr>
      <w:r>
        <w:rPr>
          <w:rFonts w:hint="eastAsia" w:ascii="黑体" w:hAnsi="黑体" w:eastAsia="黑体"/>
          <w:b/>
          <w:sz w:val="40"/>
          <w:szCs w:val="60"/>
        </w:rPr>
        <w:t>主要设计人员名单。</w:t>
      </w:r>
    </w:p>
    <w:tbl>
      <w:tblPr>
        <w:tblStyle w:val="20"/>
        <w:tblW w:w="3549"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1" w:type="dxa"/>
          <w:bottom w:w="0" w:type="dxa"/>
          <w:right w:w="11" w:type="dxa"/>
        </w:tblCellMar>
      </w:tblPr>
      <w:tblGrid>
        <w:gridCol w:w="3827"/>
        <w:gridCol w:w="3827"/>
        <w:gridCol w:w="3827"/>
        <w:gridCol w:w="3828"/>
      </w:tblGrid>
      <w:tr w14:paraId="478F22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6B30A7DF">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工作内容</w:t>
            </w:r>
          </w:p>
        </w:tc>
        <w:tc>
          <w:tcPr>
            <w:tcW w:w="1250" w:type="pct"/>
            <w:vAlign w:val="center"/>
          </w:tcPr>
          <w:p w14:paraId="2326D3C9">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职称</w:t>
            </w:r>
          </w:p>
        </w:tc>
        <w:tc>
          <w:tcPr>
            <w:tcW w:w="1250" w:type="pct"/>
            <w:vAlign w:val="center"/>
          </w:tcPr>
          <w:p w14:paraId="571BB8A2">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人员姓名</w:t>
            </w:r>
          </w:p>
        </w:tc>
        <w:tc>
          <w:tcPr>
            <w:tcW w:w="1250" w:type="pct"/>
            <w:vAlign w:val="center"/>
          </w:tcPr>
          <w:p w14:paraId="23FAD903">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签名</w:t>
            </w:r>
          </w:p>
        </w:tc>
      </w:tr>
      <w:tr w14:paraId="7721B0F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0576C241">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审定/审核</w:t>
            </w:r>
          </w:p>
        </w:tc>
        <w:tc>
          <w:tcPr>
            <w:tcW w:w="1250" w:type="pct"/>
            <w:vAlign w:val="center"/>
          </w:tcPr>
          <w:p w14:paraId="2878234A">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高级工程师</w:t>
            </w:r>
          </w:p>
        </w:tc>
        <w:tc>
          <w:tcPr>
            <w:tcW w:w="1250" w:type="pct"/>
            <w:vAlign w:val="center"/>
          </w:tcPr>
          <w:p w14:paraId="6A1DAFDC">
            <w:pPr>
              <w:spacing w:line="240" w:lineRule="auto"/>
              <w:ind w:firstLine="0" w:firstLineChars="0"/>
              <w:jc w:val="center"/>
              <w:rPr>
                <w:rFonts w:hint="default" w:ascii="黑体" w:hAnsi="黑体" w:eastAsia="黑体"/>
                <w:kern w:val="0"/>
                <w:sz w:val="32"/>
                <w:szCs w:val="60"/>
                <w:lang w:val="en-US" w:eastAsia="zh-CN"/>
              </w:rPr>
            </w:pPr>
            <w:r>
              <w:rPr>
                <w:rFonts w:hint="eastAsia" w:ascii="黑体" w:hAnsi="黑体" w:eastAsia="黑体"/>
                <w:kern w:val="0"/>
                <w:sz w:val="32"/>
                <w:szCs w:val="60"/>
                <w:lang w:val="en-US" w:eastAsia="zh-CN"/>
              </w:rPr>
              <w:t>覃克猛</w:t>
            </w:r>
          </w:p>
        </w:tc>
        <w:tc>
          <w:tcPr>
            <w:tcW w:w="1250" w:type="pct"/>
            <w:vAlign w:val="center"/>
          </w:tcPr>
          <w:p w14:paraId="54DFE020">
            <w:pPr>
              <w:spacing w:line="240" w:lineRule="auto"/>
              <w:ind w:firstLine="1120" w:firstLineChars="400"/>
              <w:jc w:val="left"/>
              <w:rPr>
                <w:rFonts w:ascii="黑体" w:hAnsi="黑体" w:eastAsia="黑体"/>
                <w:kern w:val="0"/>
                <w:sz w:val="32"/>
                <w:szCs w:val="60"/>
              </w:rPr>
            </w:pPr>
            <w:r>
              <w:drawing>
                <wp:inline distT="0" distB="0" distL="114300" distR="114300">
                  <wp:extent cx="1357630" cy="576580"/>
                  <wp:effectExtent l="0" t="0" r="4445" b="444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9"/>
                          <a:stretch>
                            <a:fillRect/>
                          </a:stretch>
                        </pic:blipFill>
                        <pic:spPr>
                          <a:xfrm>
                            <a:off x="0" y="0"/>
                            <a:ext cx="1357630" cy="576580"/>
                          </a:xfrm>
                          <a:prstGeom prst="rect">
                            <a:avLst/>
                          </a:prstGeom>
                          <a:noFill/>
                          <a:ln>
                            <a:noFill/>
                          </a:ln>
                        </pic:spPr>
                      </pic:pic>
                    </a:graphicData>
                  </a:graphic>
                </wp:inline>
              </w:drawing>
            </w:r>
          </w:p>
        </w:tc>
      </w:tr>
      <w:tr w14:paraId="018550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0D0559DD">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项目负责人</w:t>
            </w:r>
          </w:p>
        </w:tc>
        <w:tc>
          <w:tcPr>
            <w:tcW w:w="1250" w:type="pct"/>
            <w:vAlign w:val="center"/>
          </w:tcPr>
          <w:p w14:paraId="0A3E1720">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工程师</w:t>
            </w:r>
          </w:p>
        </w:tc>
        <w:tc>
          <w:tcPr>
            <w:tcW w:w="1250" w:type="pct"/>
            <w:vAlign w:val="center"/>
          </w:tcPr>
          <w:p w14:paraId="545E476C">
            <w:pPr>
              <w:spacing w:line="240" w:lineRule="auto"/>
              <w:ind w:firstLine="0" w:firstLineChars="0"/>
              <w:jc w:val="center"/>
              <w:rPr>
                <w:rFonts w:hint="default" w:ascii="黑体" w:hAnsi="黑体" w:eastAsia="黑体"/>
                <w:kern w:val="0"/>
                <w:sz w:val="32"/>
                <w:szCs w:val="60"/>
                <w:lang w:val="en-US" w:eastAsia="zh-CN"/>
              </w:rPr>
            </w:pPr>
            <w:r>
              <w:rPr>
                <w:rFonts w:hint="eastAsia" w:ascii="黑体" w:hAnsi="黑体" w:eastAsia="黑体"/>
                <w:kern w:val="0"/>
                <w:sz w:val="32"/>
                <w:szCs w:val="60"/>
                <w:lang w:val="en-US" w:eastAsia="zh-CN"/>
              </w:rPr>
              <w:t>王金龙</w:t>
            </w:r>
          </w:p>
        </w:tc>
        <w:tc>
          <w:tcPr>
            <w:tcW w:w="1250" w:type="pct"/>
            <w:vAlign w:val="center"/>
          </w:tcPr>
          <w:p w14:paraId="54463C39">
            <w:pPr>
              <w:spacing w:line="240" w:lineRule="auto"/>
              <w:ind w:firstLine="1120" w:firstLineChars="400"/>
              <w:jc w:val="left"/>
              <w:rPr>
                <w:rFonts w:ascii="黑体" w:hAnsi="黑体" w:eastAsia="黑体"/>
                <w:kern w:val="0"/>
                <w:sz w:val="32"/>
                <w:szCs w:val="60"/>
              </w:rPr>
            </w:pPr>
            <w:r>
              <w:drawing>
                <wp:inline distT="0" distB="0" distL="114300" distR="114300">
                  <wp:extent cx="1176655" cy="652780"/>
                  <wp:effectExtent l="0" t="0" r="4445" b="444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20"/>
                          <a:stretch>
                            <a:fillRect/>
                          </a:stretch>
                        </pic:blipFill>
                        <pic:spPr>
                          <a:xfrm>
                            <a:off x="0" y="0"/>
                            <a:ext cx="1176655" cy="652780"/>
                          </a:xfrm>
                          <a:prstGeom prst="rect">
                            <a:avLst/>
                          </a:prstGeom>
                          <a:noFill/>
                          <a:ln>
                            <a:noFill/>
                          </a:ln>
                        </pic:spPr>
                      </pic:pic>
                    </a:graphicData>
                  </a:graphic>
                </wp:inline>
              </w:drawing>
            </w:r>
          </w:p>
        </w:tc>
      </w:tr>
      <w:tr w14:paraId="0FB69B2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7ADF0D8A">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专业负责人</w:t>
            </w:r>
          </w:p>
        </w:tc>
        <w:tc>
          <w:tcPr>
            <w:tcW w:w="1250" w:type="pct"/>
            <w:vAlign w:val="center"/>
          </w:tcPr>
          <w:p w14:paraId="79CF7A31">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工程师</w:t>
            </w:r>
          </w:p>
        </w:tc>
        <w:tc>
          <w:tcPr>
            <w:tcW w:w="1250" w:type="pct"/>
            <w:vAlign w:val="center"/>
          </w:tcPr>
          <w:p w14:paraId="4D7D609F">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方文星</w:t>
            </w:r>
          </w:p>
        </w:tc>
        <w:tc>
          <w:tcPr>
            <w:tcW w:w="1250" w:type="pct"/>
            <w:vAlign w:val="center"/>
          </w:tcPr>
          <w:p w14:paraId="6FB18E9F">
            <w:pPr>
              <w:spacing w:line="240" w:lineRule="auto"/>
              <w:ind w:firstLine="1120" w:firstLineChars="400"/>
              <w:jc w:val="left"/>
              <w:rPr>
                <w:rFonts w:ascii="黑体" w:hAnsi="黑体" w:eastAsia="黑体"/>
                <w:kern w:val="0"/>
                <w:sz w:val="32"/>
                <w:szCs w:val="60"/>
              </w:rPr>
            </w:pPr>
            <w:r>
              <w:drawing>
                <wp:inline distT="0" distB="0" distL="114300" distR="114300">
                  <wp:extent cx="1052830" cy="481330"/>
                  <wp:effectExtent l="0" t="0" r="4445" b="444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21"/>
                          <a:stretch>
                            <a:fillRect/>
                          </a:stretch>
                        </pic:blipFill>
                        <pic:spPr>
                          <a:xfrm>
                            <a:off x="0" y="0"/>
                            <a:ext cx="1052830" cy="481330"/>
                          </a:xfrm>
                          <a:prstGeom prst="rect">
                            <a:avLst/>
                          </a:prstGeom>
                          <a:noFill/>
                          <a:ln>
                            <a:noFill/>
                          </a:ln>
                        </pic:spPr>
                      </pic:pic>
                    </a:graphicData>
                  </a:graphic>
                </wp:inline>
              </w:drawing>
            </w:r>
          </w:p>
        </w:tc>
      </w:tr>
      <w:tr w14:paraId="2170EE0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727F2D1B">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校对</w:t>
            </w:r>
          </w:p>
        </w:tc>
        <w:tc>
          <w:tcPr>
            <w:tcW w:w="1250" w:type="pct"/>
            <w:vAlign w:val="center"/>
          </w:tcPr>
          <w:p w14:paraId="7BC4954C">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工程师</w:t>
            </w:r>
          </w:p>
        </w:tc>
        <w:tc>
          <w:tcPr>
            <w:tcW w:w="1250" w:type="pct"/>
            <w:vAlign w:val="center"/>
          </w:tcPr>
          <w:p w14:paraId="0FA4EA19">
            <w:pPr>
              <w:spacing w:line="240" w:lineRule="auto"/>
              <w:ind w:firstLine="0" w:firstLineChars="0"/>
              <w:jc w:val="center"/>
              <w:rPr>
                <w:rFonts w:hint="default" w:ascii="黑体" w:hAnsi="黑体" w:eastAsia="黑体"/>
                <w:kern w:val="0"/>
                <w:sz w:val="32"/>
                <w:szCs w:val="60"/>
                <w:lang w:val="en-US" w:eastAsia="zh-CN"/>
              </w:rPr>
            </w:pPr>
            <w:r>
              <w:rPr>
                <w:rFonts w:hint="eastAsia" w:ascii="黑体" w:hAnsi="黑体" w:eastAsia="黑体"/>
                <w:kern w:val="0"/>
                <w:sz w:val="32"/>
                <w:szCs w:val="60"/>
                <w:lang w:val="en-US" w:eastAsia="zh-CN"/>
              </w:rPr>
              <w:t>巫继胜</w:t>
            </w:r>
          </w:p>
        </w:tc>
        <w:tc>
          <w:tcPr>
            <w:tcW w:w="1250" w:type="pct"/>
            <w:vAlign w:val="center"/>
          </w:tcPr>
          <w:p w14:paraId="30933091">
            <w:pPr>
              <w:spacing w:line="240" w:lineRule="auto"/>
              <w:ind w:firstLine="1120" w:firstLineChars="400"/>
              <w:jc w:val="left"/>
              <w:rPr>
                <w:rFonts w:ascii="黑体" w:hAnsi="黑体" w:eastAsia="黑体"/>
                <w:kern w:val="0"/>
                <w:sz w:val="32"/>
                <w:szCs w:val="60"/>
              </w:rPr>
            </w:pPr>
            <w:r>
              <w:drawing>
                <wp:inline distT="0" distB="0" distL="114300" distR="114300">
                  <wp:extent cx="1357630" cy="528955"/>
                  <wp:effectExtent l="0" t="0" r="4445" b="444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22"/>
                          <a:stretch>
                            <a:fillRect/>
                          </a:stretch>
                        </pic:blipFill>
                        <pic:spPr>
                          <a:xfrm>
                            <a:off x="0" y="0"/>
                            <a:ext cx="1357630" cy="528955"/>
                          </a:xfrm>
                          <a:prstGeom prst="rect">
                            <a:avLst/>
                          </a:prstGeom>
                          <a:noFill/>
                          <a:ln>
                            <a:noFill/>
                          </a:ln>
                        </pic:spPr>
                      </pic:pic>
                    </a:graphicData>
                  </a:graphic>
                </wp:inline>
              </w:drawing>
            </w:r>
          </w:p>
        </w:tc>
      </w:tr>
      <w:tr w14:paraId="430BF1F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Ex>
        <w:trPr>
          <w:trHeight w:val="1134" w:hRule="atLeast"/>
          <w:jc w:val="center"/>
        </w:trPr>
        <w:tc>
          <w:tcPr>
            <w:tcW w:w="1250" w:type="pct"/>
            <w:vAlign w:val="center"/>
          </w:tcPr>
          <w:p w14:paraId="7AB748BA">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设计</w:t>
            </w:r>
          </w:p>
        </w:tc>
        <w:tc>
          <w:tcPr>
            <w:tcW w:w="1250" w:type="pct"/>
            <w:vAlign w:val="center"/>
          </w:tcPr>
          <w:p w14:paraId="4590C6E6">
            <w:pPr>
              <w:spacing w:line="240" w:lineRule="auto"/>
              <w:ind w:firstLine="0" w:firstLineChars="0"/>
              <w:jc w:val="center"/>
              <w:rPr>
                <w:rFonts w:ascii="黑体" w:hAnsi="黑体" w:eastAsia="黑体"/>
                <w:kern w:val="0"/>
                <w:sz w:val="32"/>
                <w:szCs w:val="60"/>
              </w:rPr>
            </w:pPr>
            <w:r>
              <w:rPr>
                <w:rFonts w:hint="eastAsia" w:ascii="黑体" w:hAnsi="黑体" w:eastAsia="黑体"/>
                <w:kern w:val="0"/>
                <w:sz w:val="32"/>
                <w:szCs w:val="60"/>
              </w:rPr>
              <w:t>工程师</w:t>
            </w:r>
          </w:p>
        </w:tc>
        <w:tc>
          <w:tcPr>
            <w:tcW w:w="1250" w:type="pct"/>
            <w:vAlign w:val="center"/>
          </w:tcPr>
          <w:p w14:paraId="5222865B">
            <w:pPr>
              <w:spacing w:line="240" w:lineRule="auto"/>
              <w:ind w:firstLine="0" w:firstLineChars="0"/>
              <w:jc w:val="center"/>
              <w:rPr>
                <w:rFonts w:hint="default" w:ascii="黑体" w:hAnsi="黑体" w:eastAsia="黑体"/>
                <w:kern w:val="0"/>
                <w:sz w:val="32"/>
                <w:szCs w:val="60"/>
                <w:lang w:val="en-US" w:eastAsia="zh-CN"/>
              </w:rPr>
            </w:pPr>
            <w:r>
              <w:rPr>
                <w:rFonts w:hint="eastAsia" w:ascii="黑体" w:hAnsi="黑体" w:eastAsia="黑体"/>
                <w:kern w:val="0"/>
                <w:sz w:val="32"/>
                <w:szCs w:val="60"/>
                <w:lang w:val="en-US" w:eastAsia="zh-CN"/>
              </w:rPr>
              <w:t>黄智丰</w:t>
            </w:r>
          </w:p>
        </w:tc>
        <w:tc>
          <w:tcPr>
            <w:tcW w:w="1250" w:type="pct"/>
            <w:vAlign w:val="center"/>
          </w:tcPr>
          <w:p w14:paraId="7868DC02">
            <w:pPr>
              <w:spacing w:line="240" w:lineRule="auto"/>
              <w:ind w:firstLine="1120" w:firstLineChars="400"/>
              <w:jc w:val="left"/>
              <w:rPr>
                <w:rFonts w:ascii="黑体" w:hAnsi="黑体" w:eastAsia="黑体"/>
                <w:kern w:val="0"/>
                <w:sz w:val="32"/>
                <w:szCs w:val="60"/>
              </w:rPr>
            </w:pPr>
            <w:r>
              <w:drawing>
                <wp:inline distT="0" distB="0" distL="114300" distR="114300">
                  <wp:extent cx="1614805" cy="576580"/>
                  <wp:effectExtent l="0" t="0" r="4445" b="444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23"/>
                          <a:stretch>
                            <a:fillRect/>
                          </a:stretch>
                        </pic:blipFill>
                        <pic:spPr>
                          <a:xfrm>
                            <a:off x="0" y="0"/>
                            <a:ext cx="1614805" cy="576580"/>
                          </a:xfrm>
                          <a:prstGeom prst="rect">
                            <a:avLst/>
                          </a:prstGeom>
                          <a:noFill/>
                          <a:ln>
                            <a:noFill/>
                          </a:ln>
                        </pic:spPr>
                      </pic:pic>
                    </a:graphicData>
                  </a:graphic>
                </wp:inline>
              </w:drawing>
            </w:r>
          </w:p>
        </w:tc>
      </w:tr>
    </w:tbl>
    <w:p w14:paraId="783C8C33">
      <w:pPr>
        <w:spacing w:before="97" w:beforeLines="30" w:after="97" w:afterLines="30"/>
        <w:ind w:firstLine="883"/>
        <w:jc w:val="left"/>
        <w:rPr>
          <w:rFonts w:ascii="黑体" w:hAnsi="黑体" w:eastAsia="黑体"/>
          <w:b/>
          <w:sz w:val="44"/>
          <w:szCs w:val="60"/>
        </w:rPr>
        <w:sectPr>
          <w:pgSz w:w="23814" w:h="16839" w:orient="landscape"/>
          <w:pgMar w:top="1134" w:right="1134" w:bottom="1134" w:left="1134" w:header="851" w:footer="992" w:gutter="0"/>
          <w:cols w:space="425" w:num="1"/>
          <w:docGrid w:type="lines" w:linePitch="326" w:charSpace="0"/>
        </w:sectPr>
      </w:pPr>
    </w:p>
    <w:p w14:paraId="7538E88F">
      <w:pPr>
        <w:spacing w:before="97" w:beforeLines="30" w:after="97" w:afterLines="30"/>
        <w:ind w:firstLine="0" w:firstLineChars="0"/>
        <w:jc w:val="center"/>
        <w:rPr>
          <w:rFonts w:ascii="黑体" w:hAnsi="黑体" w:eastAsia="黑体"/>
          <w:b/>
          <w:sz w:val="44"/>
          <w:szCs w:val="60"/>
        </w:rPr>
      </w:pPr>
    </w:p>
    <w:p w14:paraId="07955AE4">
      <w:pPr>
        <w:spacing w:before="97" w:beforeLines="30" w:after="97" w:afterLines="30"/>
        <w:ind w:firstLine="0" w:firstLineChars="0"/>
        <w:jc w:val="center"/>
        <w:rPr>
          <w:rFonts w:ascii="黑体" w:hAnsi="黑体" w:eastAsia="黑体"/>
          <w:b/>
          <w:sz w:val="44"/>
          <w:szCs w:val="60"/>
        </w:rPr>
      </w:pPr>
    </w:p>
    <w:p w14:paraId="40A9EB0E">
      <w:pPr>
        <w:spacing w:before="97" w:beforeLines="30" w:after="97" w:afterLines="30"/>
        <w:ind w:firstLine="0" w:firstLineChars="0"/>
        <w:jc w:val="center"/>
        <w:rPr>
          <w:rFonts w:ascii="黑体" w:hAnsi="黑体" w:eastAsia="黑体"/>
          <w:b/>
          <w:sz w:val="44"/>
          <w:szCs w:val="60"/>
        </w:rPr>
      </w:pPr>
    </w:p>
    <w:p w14:paraId="4003140D">
      <w:pPr>
        <w:spacing w:before="97" w:beforeLines="30" w:after="97" w:afterLines="30"/>
        <w:ind w:firstLine="0" w:firstLineChars="0"/>
        <w:jc w:val="center"/>
        <w:rPr>
          <w:rFonts w:ascii="黑体" w:hAnsi="黑体" w:eastAsia="黑体"/>
          <w:b/>
          <w:sz w:val="44"/>
          <w:szCs w:val="60"/>
        </w:rPr>
        <w:sectPr>
          <w:pgSz w:w="23814" w:h="16839" w:orient="landscape"/>
          <w:pgMar w:top="1134" w:right="1134" w:bottom="1134" w:left="1134" w:header="851" w:footer="992" w:gutter="0"/>
          <w:cols w:space="425" w:num="2"/>
          <w:docGrid w:type="lines" w:linePitch="326" w:charSpace="0"/>
        </w:sectPr>
      </w:pPr>
      <w:r>
        <w:rPr>
          <w:rFonts w:ascii="黑体" w:hAnsi="黑体" w:eastAsia="黑体"/>
          <w:b/>
          <w:sz w:val="44"/>
          <w:szCs w:val="60"/>
        </w:rPr>
        <w:drawing>
          <wp:inline distT="0" distB="0" distL="0" distR="0">
            <wp:extent cx="6529705" cy="4616450"/>
            <wp:effectExtent l="0" t="0" r="4445" b="0"/>
            <wp:docPr id="1" name="图片 1" descr="C:\Users\ADMINI~1\AppData\Local\Temp\WeChat Files\29eb8a7caf68c806116af21fd2a4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9eb8a7caf68c806116af21fd2a401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6530196" cy="4616762"/>
                    </a:xfrm>
                    <a:prstGeom prst="rect">
                      <a:avLst/>
                    </a:prstGeom>
                    <a:noFill/>
                    <a:ln>
                      <a:noFill/>
                    </a:ln>
                  </pic:spPr>
                </pic:pic>
              </a:graphicData>
            </a:graphic>
          </wp:inline>
        </w:drawing>
      </w:r>
      <w:r>
        <w:drawing>
          <wp:inline distT="0" distB="0" distL="0" distR="0">
            <wp:extent cx="5565140" cy="8103235"/>
            <wp:effectExtent l="0" t="0" r="0" b="0"/>
            <wp:docPr id="2" name="图片 2" descr="C:\Users\ADMINI~1\AppData\Local\Temp\WeChat Files\ce645b7b0ec3756f988e5b7079ed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ce645b7b0ec3756f988e5b7079ed09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5574574" cy="8116389"/>
                    </a:xfrm>
                    <a:prstGeom prst="rect">
                      <a:avLst/>
                    </a:prstGeom>
                    <a:noFill/>
                    <a:ln>
                      <a:noFill/>
                    </a:ln>
                  </pic:spPr>
                </pic:pic>
              </a:graphicData>
            </a:graphic>
          </wp:inline>
        </w:drawing>
      </w:r>
    </w:p>
    <w:p w14:paraId="5FC6C9E0">
      <w:pPr>
        <w:pStyle w:val="15"/>
        <w:ind w:firstLine="964"/>
        <w:rPr>
          <w:sz w:val="52"/>
        </w:rPr>
      </w:pPr>
      <w:bookmarkStart w:id="5" w:name="_GoBack"/>
      <w:bookmarkEnd w:id="5"/>
      <w:r>
        <w:rPr>
          <w:rFonts w:hint="eastAsia"/>
        </w:rPr>
        <w:t>施工</w:t>
      </w:r>
      <w:r>
        <w:rPr>
          <w:rFonts w:hint="eastAsia"/>
          <w:sz w:val="52"/>
        </w:rPr>
        <w:t>设计说明</w:t>
      </w:r>
    </w:p>
    <w:p w14:paraId="213ECE8E">
      <w:pPr>
        <w:pStyle w:val="2"/>
        <w:spacing w:before="72" w:after="72"/>
        <w:rPr>
          <w:szCs w:val="32"/>
        </w:rPr>
      </w:pPr>
      <w:bookmarkStart w:id="0" w:name="_Toc167696979"/>
      <w:r>
        <w:rPr>
          <w:rFonts w:hint="eastAsia"/>
        </w:rPr>
        <w:t>概述</w:t>
      </w:r>
      <w:bookmarkEnd w:id="0"/>
    </w:p>
    <w:p w14:paraId="7ABA7C7A">
      <w:pPr>
        <w:ind w:firstLine="560"/>
        <w:rPr>
          <w:rFonts w:hint="eastAsia"/>
        </w:rPr>
      </w:pPr>
      <w:r>
        <w:rPr>
          <w:rFonts w:hint="eastAsia"/>
        </w:rPr>
        <w:t>恭城瑶族自治县嘉会镇吉山农村基础设施建设项目，经现场实际调查，根据现场调查，项目区灌溉渠道均有较为稳定的水源，水量充足，可满足灌溉用水需要，但渠道现状为土渠，未经衬砌，且年久失修，渠道坍塌、渗漏、淤积严重，渠系水利用系数较低，灌溉渠道存在渠首有水、渠尾无水的情况，现状实际灌溉面积无法达到渠道设计灌溉面积，部分农田难以灌溉而出现荒芜的现象；排洪渠道排洪不畅，每逢暴雨，洪水无法及时排出，两侧耕地、房屋存在洪涝威胁。</w:t>
      </w:r>
    </w:p>
    <w:p w14:paraId="1AEB5492">
      <w:pPr>
        <w:pStyle w:val="2"/>
        <w:spacing w:before="72" w:after="72"/>
      </w:pPr>
      <w:r>
        <w:rPr>
          <w:rFonts w:hint="eastAsia"/>
        </w:rPr>
        <w:t>设计依据：</w:t>
      </w:r>
    </w:p>
    <w:p w14:paraId="6742156C">
      <w:pPr>
        <w:pStyle w:val="31"/>
        <w:numPr>
          <w:ilvl w:val="0"/>
          <w:numId w:val="2"/>
        </w:numPr>
        <w:ind w:left="0" w:firstLine="560"/>
      </w:pPr>
      <w:r>
        <w:rPr>
          <w:rFonts w:hint="eastAsia"/>
        </w:rPr>
        <w:t>《乡村道路工程技术规范》</w:t>
      </w:r>
      <w:r>
        <w:t>GB/T51224-2017；</w:t>
      </w:r>
    </w:p>
    <w:p w14:paraId="251A6BE1">
      <w:pPr>
        <w:pStyle w:val="31"/>
        <w:numPr>
          <w:ilvl w:val="0"/>
          <w:numId w:val="2"/>
        </w:numPr>
        <w:ind w:firstLineChars="0"/>
      </w:pPr>
      <w:r>
        <w:rPr>
          <w:rFonts w:hint="eastAsia"/>
        </w:rPr>
        <w:t>《广西壮族自治区人民政府办公厅关于进一步调整完善脱贫攻坚有关政策的通知》桂政办发〔2018〕75号；</w:t>
      </w:r>
    </w:p>
    <w:p w14:paraId="3F831148">
      <w:pPr>
        <w:pStyle w:val="31"/>
        <w:numPr>
          <w:ilvl w:val="0"/>
          <w:numId w:val="2"/>
        </w:numPr>
        <w:ind w:left="0" w:firstLine="560"/>
      </w:pPr>
      <w:r>
        <w:rPr>
          <w:rFonts w:hint="eastAsia"/>
        </w:rPr>
        <w:t>《小型农田水利工程规划设计导则》（DB45/T 952-2013）；</w:t>
      </w:r>
    </w:p>
    <w:p w14:paraId="0E031367">
      <w:pPr>
        <w:pStyle w:val="31"/>
        <w:numPr>
          <w:ilvl w:val="0"/>
          <w:numId w:val="2"/>
        </w:numPr>
        <w:ind w:left="0" w:firstLine="560"/>
      </w:pPr>
      <w:r>
        <w:rPr>
          <w:rFonts w:hint="eastAsia"/>
        </w:rPr>
        <w:t>《灌溉与排水工程设计规范》（GB50288-2018）；</w:t>
      </w:r>
    </w:p>
    <w:p w14:paraId="157E346B">
      <w:pPr>
        <w:pStyle w:val="31"/>
        <w:numPr>
          <w:ilvl w:val="0"/>
          <w:numId w:val="2"/>
        </w:numPr>
        <w:ind w:left="0" w:firstLine="560"/>
      </w:pPr>
      <w:r>
        <w:rPr>
          <w:rFonts w:hint="eastAsia"/>
        </w:rPr>
        <w:t>《水工混凝土结构设计规范》（SL/T 191-2008）；</w:t>
      </w:r>
    </w:p>
    <w:p w14:paraId="5EE3D47B">
      <w:pPr>
        <w:pStyle w:val="31"/>
        <w:numPr>
          <w:ilvl w:val="0"/>
          <w:numId w:val="2"/>
        </w:numPr>
        <w:ind w:left="0" w:firstLine="560"/>
      </w:pPr>
      <w:r>
        <w:rPr>
          <w:rFonts w:hint="eastAsia"/>
        </w:rPr>
        <w:t>《给水排水工程构筑物设计规范》（GB 50069-2002）；</w:t>
      </w:r>
    </w:p>
    <w:p w14:paraId="5759A4B5">
      <w:pPr>
        <w:pStyle w:val="31"/>
        <w:numPr>
          <w:ilvl w:val="0"/>
          <w:numId w:val="2"/>
        </w:numPr>
        <w:ind w:left="0" w:firstLine="560"/>
      </w:pPr>
      <w:r>
        <w:rPr>
          <w:rFonts w:hint="eastAsia"/>
        </w:rPr>
        <w:t>《渠道防渗工程技术规范》（SL 18-2004）；</w:t>
      </w:r>
    </w:p>
    <w:p w14:paraId="36767E75">
      <w:pPr>
        <w:pStyle w:val="31"/>
        <w:numPr>
          <w:ilvl w:val="0"/>
          <w:numId w:val="2"/>
        </w:numPr>
        <w:ind w:left="0" w:firstLine="560"/>
      </w:pPr>
      <w:r>
        <w:rPr>
          <w:rFonts w:hint="eastAsia"/>
        </w:rPr>
        <w:t>《混凝土结构工程施工及验收规范》（GB 50204-2002）；</w:t>
      </w:r>
    </w:p>
    <w:p w14:paraId="5EE6C7AB">
      <w:pPr>
        <w:pStyle w:val="31"/>
        <w:numPr>
          <w:ilvl w:val="0"/>
          <w:numId w:val="2"/>
        </w:numPr>
        <w:ind w:left="0" w:firstLine="560"/>
        <w:rPr>
          <w:color w:val="auto"/>
        </w:rPr>
      </w:pPr>
      <w:r>
        <w:rPr>
          <w:rFonts w:hint="eastAsia"/>
          <w:color w:val="auto"/>
        </w:rPr>
        <w:t>《乡村道路工程技术规范》</w:t>
      </w:r>
      <w:r>
        <w:rPr>
          <w:color w:val="auto"/>
        </w:rPr>
        <w:t>GB/T51224-2017；</w:t>
      </w:r>
    </w:p>
    <w:p w14:paraId="4FA9EFE2">
      <w:pPr>
        <w:pStyle w:val="31"/>
        <w:numPr>
          <w:ilvl w:val="0"/>
          <w:numId w:val="2"/>
        </w:numPr>
        <w:ind w:firstLineChars="0"/>
        <w:rPr>
          <w:color w:val="auto"/>
        </w:rPr>
      </w:pPr>
      <w:r>
        <w:rPr>
          <w:rFonts w:hint="eastAsia"/>
          <w:color w:val="auto"/>
        </w:rPr>
        <w:t>《广西壮族自治区人民政府办公厅关于进一步调整完善脱贫攻坚有关政策的通知》桂政办发〔2018〕75号；</w:t>
      </w:r>
    </w:p>
    <w:p w14:paraId="59B134C4">
      <w:pPr>
        <w:pStyle w:val="31"/>
        <w:numPr>
          <w:ilvl w:val="0"/>
          <w:numId w:val="2"/>
        </w:numPr>
        <w:ind w:left="0" w:firstLine="560"/>
        <w:rPr>
          <w:color w:val="auto"/>
        </w:rPr>
      </w:pPr>
      <w:r>
        <w:rPr>
          <w:rFonts w:hint="eastAsia"/>
          <w:color w:val="auto"/>
        </w:rPr>
        <w:t>《公路桥涵设计通用规范》（JTGD60-2015)；</w:t>
      </w:r>
    </w:p>
    <w:p w14:paraId="2BE079D8">
      <w:pPr>
        <w:pStyle w:val="31"/>
        <w:numPr>
          <w:ilvl w:val="0"/>
          <w:numId w:val="2"/>
        </w:numPr>
        <w:ind w:left="0" w:firstLine="560"/>
        <w:rPr>
          <w:color w:val="auto"/>
        </w:rPr>
      </w:pPr>
      <w:r>
        <w:rPr>
          <w:rFonts w:hint="eastAsia"/>
          <w:color w:val="auto"/>
        </w:rPr>
        <w:t>《公路挡土墙设计与施工技术细则》(人民交通出版社)(2007.10)；</w:t>
      </w:r>
    </w:p>
    <w:p w14:paraId="29137AB9">
      <w:pPr>
        <w:pStyle w:val="31"/>
        <w:numPr>
          <w:ilvl w:val="0"/>
          <w:numId w:val="2"/>
        </w:numPr>
        <w:ind w:left="0" w:firstLine="560"/>
        <w:rPr>
          <w:color w:val="auto"/>
        </w:rPr>
      </w:pPr>
      <w:r>
        <w:rPr>
          <w:rFonts w:hint="eastAsia"/>
          <w:color w:val="auto"/>
        </w:rPr>
        <w:t>《公路桥涵地基与基础设计规范》(JTG3363—2019)；</w:t>
      </w:r>
    </w:p>
    <w:p w14:paraId="09DD3E03">
      <w:pPr>
        <w:pStyle w:val="31"/>
        <w:numPr>
          <w:ilvl w:val="0"/>
          <w:numId w:val="2"/>
        </w:numPr>
        <w:ind w:left="0" w:firstLine="560"/>
        <w:rPr>
          <w:color w:val="auto"/>
        </w:rPr>
      </w:pPr>
      <w:r>
        <w:rPr>
          <w:rFonts w:hint="eastAsia"/>
          <w:color w:val="auto"/>
        </w:rPr>
        <w:t>《公路工程基本建设项目概算预算编制办法》</w:t>
      </w:r>
      <w:r>
        <w:rPr>
          <w:rFonts w:hint="eastAsia"/>
          <w:b/>
          <w:bCs/>
          <w:color w:val="auto"/>
        </w:rPr>
        <w:t>(</w:t>
      </w:r>
      <w:r>
        <w:rPr>
          <w:rStyle w:val="18"/>
          <w:rFonts w:hint="eastAsia" w:ascii="瀹嬩綋" w:eastAsia="瀹嬩綋"/>
          <w:b w:val="0"/>
          <w:bCs w:val="0"/>
          <w:color w:val="auto"/>
          <w:sz w:val="27"/>
          <w:szCs w:val="27"/>
          <w:shd w:val="clear" w:color="auto" w:fill="FFFFFF"/>
        </w:rPr>
        <w:t>JTG 3830-2018</w:t>
      </w:r>
      <w:r>
        <w:rPr>
          <w:rFonts w:hint="eastAsia"/>
          <w:b/>
          <w:bCs/>
          <w:color w:val="auto"/>
        </w:rPr>
        <w:t>)；</w:t>
      </w:r>
    </w:p>
    <w:p w14:paraId="5F42DB23">
      <w:pPr>
        <w:pStyle w:val="31"/>
        <w:numPr>
          <w:ilvl w:val="0"/>
          <w:numId w:val="2"/>
        </w:numPr>
        <w:ind w:left="0" w:firstLine="560"/>
        <w:rPr>
          <w:color w:val="auto"/>
        </w:rPr>
      </w:pPr>
      <w:r>
        <w:rPr>
          <w:rFonts w:hint="eastAsia"/>
          <w:color w:val="auto"/>
        </w:rPr>
        <w:t>《公路工程预算定额》（JTG/T3832-2018）；</w:t>
      </w:r>
    </w:p>
    <w:p w14:paraId="6BE5A3FD">
      <w:pPr>
        <w:pStyle w:val="31"/>
        <w:numPr>
          <w:ilvl w:val="0"/>
          <w:numId w:val="2"/>
        </w:numPr>
        <w:ind w:left="0" w:firstLine="560"/>
        <w:rPr>
          <w:color w:val="auto"/>
        </w:rPr>
      </w:pPr>
      <w:r>
        <w:rPr>
          <w:rFonts w:hint="eastAsia"/>
          <w:color w:val="auto"/>
        </w:rPr>
        <w:t>《公路工程机械台班费用定额》(JTG/T3833-2018)；</w:t>
      </w:r>
    </w:p>
    <w:p w14:paraId="0B21A3A2">
      <w:pPr>
        <w:pStyle w:val="31"/>
        <w:numPr>
          <w:ilvl w:val="0"/>
          <w:numId w:val="2"/>
        </w:numPr>
        <w:ind w:left="0" w:firstLine="560"/>
        <w:rPr>
          <w:color w:val="auto"/>
        </w:rPr>
      </w:pPr>
      <w:r>
        <w:rPr>
          <w:rFonts w:hint="eastAsia"/>
          <w:color w:val="auto"/>
        </w:rPr>
        <w:t>《公路基本建设工程概算、预算编制办法》（</w:t>
      </w:r>
      <w:r>
        <w:rPr>
          <w:color w:val="auto"/>
        </w:rPr>
        <w:t>JTG3830-2018</w:t>
      </w:r>
      <w:r>
        <w:rPr>
          <w:rFonts w:hint="eastAsia"/>
          <w:color w:val="auto"/>
        </w:rPr>
        <w:t>)；</w:t>
      </w:r>
    </w:p>
    <w:p w14:paraId="1C09F17A">
      <w:pPr>
        <w:pStyle w:val="31"/>
        <w:numPr>
          <w:ilvl w:val="0"/>
          <w:numId w:val="2"/>
        </w:numPr>
        <w:ind w:left="0" w:firstLine="560"/>
        <w:rPr>
          <w:color w:val="auto"/>
        </w:rPr>
      </w:pPr>
      <w:r>
        <w:rPr>
          <w:rFonts w:hint="eastAsia"/>
          <w:color w:val="auto"/>
        </w:rPr>
        <w:t>广西壮族自治区交通厅基建局《关于对广西农村公路建设概预算编制补充规定的通知》〔桂交基建发[2007]52号)；</w:t>
      </w:r>
    </w:p>
    <w:p w14:paraId="023D845C">
      <w:pPr>
        <w:pStyle w:val="31"/>
        <w:numPr>
          <w:ilvl w:val="0"/>
          <w:numId w:val="2"/>
        </w:numPr>
        <w:ind w:left="0" w:firstLine="560"/>
        <w:rPr>
          <w:color w:val="auto"/>
        </w:rPr>
      </w:pPr>
      <w:r>
        <w:rPr>
          <w:rFonts w:hint="eastAsia"/>
          <w:color w:val="auto"/>
        </w:rPr>
        <w:t>《关于印发公路基本建设工程概算预算编制办法广西补充规定的通知》〔桂交基建发[2008]62号)；</w:t>
      </w:r>
    </w:p>
    <w:p w14:paraId="0330FFCC">
      <w:pPr>
        <w:pStyle w:val="31"/>
        <w:numPr>
          <w:ilvl w:val="0"/>
          <w:numId w:val="2"/>
        </w:numPr>
        <w:ind w:left="0" w:firstLine="560"/>
      </w:pPr>
      <w:r>
        <w:rPr>
          <w:rFonts w:hint="eastAsia"/>
          <w:color w:val="auto"/>
        </w:rPr>
        <w:t>广西壮族自治区交通厅基建局《关于印发广西公路工程机械台班车船使用税标准的通知》（桂交基建发[2009]11号)；</w:t>
      </w:r>
    </w:p>
    <w:p w14:paraId="1A6F1B94">
      <w:pPr>
        <w:pStyle w:val="31"/>
        <w:numPr>
          <w:ilvl w:val="0"/>
          <w:numId w:val="2"/>
        </w:numPr>
        <w:ind w:left="0" w:firstLine="560"/>
      </w:pPr>
      <w:r>
        <w:rPr>
          <w:rFonts w:hint="eastAsia"/>
        </w:rPr>
        <w:t>建设部、水利部颁发的其它现行有关规范。</w:t>
      </w:r>
    </w:p>
    <w:p w14:paraId="1D1243F7">
      <w:pPr>
        <w:pStyle w:val="2"/>
        <w:spacing w:before="72" w:after="72"/>
      </w:pPr>
      <w:r>
        <w:rPr>
          <w:rFonts w:hint="eastAsia"/>
        </w:rPr>
        <w:t>场地岩土工程条件</w:t>
      </w:r>
    </w:p>
    <w:p w14:paraId="6D797960">
      <w:pPr>
        <w:pStyle w:val="3"/>
        <w:spacing w:before="72" w:after="72"/>
      </w:pPr>
      <w:r>
        <w:rPr>
          <w:rFonts w:hint="eastAsia"/>
        </w:rPr>
        <w:t>水文气象</w:t>
      </w:r>
    </w:p>
    <w:p w14:paraId="781428E2">
      <w:pPr>
        <w:ind w:firstLine="560"/>
      </w:pPr>
      <w:r>
        <w:rPr>
          <w:rFonts w:hint="eastAsia"/>
        </w:rPr>
        <w:t>（1）水文</w:t>
      </w:r>
    </w:p>
    <w:p w14:paraId="1C69F5CC">
      <w:pPr>
        <w:ind w:firstLine="560"/>
      </w:pPr>
      <w:r>
        <w:rPr>
          <w:rFonts w:hint="eastAsia"/>
        </w:rPr>
        <w:t>项目区东面约1.5公里有恭城河流过。</w:t>
      </w:r>
    </w:p>
    <w:p w14:paraId="55C332A0">
      <w:pPr>
        <w:ind w:firstLine="560"/>
      </w:pPr>
      <w:r>
        <w:rPr>
          <w:rFonts w:hint="eastAsia"/>
        </w:rPr>
        <w:t>恭城河，古名乐川水，又名茶江，在平乐县旧时称平乐溪、乐水。属珠江水系西江支流桂江一级支流。发源于广西壮族自治区恭城县境东部三江乡黄坪村的古木源北卡山(一说广西与湖南交界的都庞岭 )，流经广西恭城县、平乐县及湖南省，从平乐县附城(城上关之令公庙 )注入桂江。长167.14公里，集水面积3208平方公里。 主要支流有:支流有马林源河，栗木河、苏陂河、龟山河、上蕉河、路口河等。</w:t>
      </w:r>
    </w:p>
    <w:p w14:paraId="67004CDB">
      <w:pPr>
        <w:ind w:firstLine="560"/>
      </w:pPr>
      <w:r>
        <w:rPr>
          <w:rFonts w:hint="eastAsia"/>
        </w:rPr>
        <w:t>项目区属峻山水库灌区，水资源丰富。峻山水渠由南向北流过，通过9号放水闸放水至渠道。</w:t>
      </w:r>
    </w:p>
    <w:p w14:paraId="06D8DDF5">
      <w:pPr>
        <w:ind w:firstLine="560"/>
      </w:pPr>
      <w:r>
        <w:rPr>
          <w:rFonts w:hint="eastAsia"/>
        </w:rPr>
        <w:t>（2）气候</w:t>
      </w:r>
    </w:p>
    <w:p w14:paraId="38C11E39">
      <w:pPr>
        <w:ind w:firstLine="560"/>
      </w:pPr>
      <w:r>
        <w:rPr>
          <w:rFonts w:hint="eastAsia"/>
        </w:rPr>
        <w:t>项目区属亚热带季风气候区，特点是夏湿冬干，夏长东短，四季分明，光照充足，辐射较强，太阳辐射量，历年平均为100.8千卡/cm²。年平均日照时数1590.6小时，年日照百分率为36%，其中7～9月日照高值期大于50％，3月最少，占17％，最多是9月，占56％。多年平均气温19.7℃，大于等于15℃的有效积温5599.5℃，年极端气温最高40℃，最低—3.1℃，项目区年降水量平均为1437.7mm。（摘自《恭城县志》）</w:t>
      </w:r>
    </w:p>
    <w:p w14:paraId="7A75CCAC">
      <w:pPr>
        <w:pStyle w:val="3"/>
        <w:spacing w:before="72" w:after="72"/>
      </w:pPr>
      <w:r>
        <w:rPr>
          <w:rFonts w:hint="eastAsia"/>
        </w:rPr>
        <w:t>区域地质概况</w:t>
      </w:r>
    </w:p>
    <w:p w14:paraId="5DB8901B">
      <w:pPr>
        <w:ind w:firstLine="560"/>
      </w:pPr>
      <w:r>
        <w:rPr>
          <w:rFonts w:hint="eastAsia"/>
        </w:rPr>
        <w:t>恭城处于中国大地构造位置江南古陆南缘，次一级构造海洋山隆起、都庞岭——银殿山隆起、灌阳——恭城地槽的南端。由于地壳多次构造运动的影响，地层时代较多，褶皱、断裂构造发育，火成活动强烈，矿产资源十分丰富。县境西北为海洋山隆起的南端，东北和东部为都庞岭—花山山系隆起，中部为灌恭地槽的南端。局部地方，形成更次一级的构造，为矿床的形成起了容矿的作用。境内较大的断裂有两组，一组走向为北东，一组走向为北西。</w:t>
      </w:r>
    </w:p>
    <w:p w14:paraId="21B891CB">
      <w:pPr>
        <w:ind w:firstLine="560"/>
      </w:pPr>
      <w:r>
        <w:rPr>
          <w:rFonts w:hint="eastAsia"/>
        </w:rPr>
        <w:t>项目区内没有膨胀土、湿陷性黄土、等软弱土层。原渠道经清淤后，土质特性能满足渠道设施对基础的要求。</w:t>
      </w:r>
    </w:p>
    <w:p w14:paraId="6038D9FF">
      <w:pPr>
        <w:pStyle w:val="2"/>
        <w:spacing w:before="72" w:after="72"/>
      </w:pPr>
      <w:r>
        <w:rPr>
          <w:rFonts w:hint="eastAsia"/>
        </w:rPr>
        <w:t>工程设计</w:t>
      </w:r>
    </w:p>
    <w:p w14:paraId="713693E6">
      <w:pPr>
        <w:ind w:firstLine="562"/>
        <w:rPr>
          <w:b/>
        </w:rPr>
      </w:pPr>
      <w:r>
        <w:rPr>
          <w:rFonts w:hint="eastAsia"/>
          <w:b/>
        </w:rPr>
        <w:t>1、</w:t>
      </w:r>
      <w:r>
        <w:rPr>
          <w:b/>
        </w:rPr>
        <w:t>设计流量</w:t>
      </w:r>
    </w:p>
    <w:p w14:paraId="41BD61E8">
      <w:pPr>
        <w:ind w:firstLine="560"/>
      </w:pPr>
      <w:r>
        <w:t>Q=q·A/η</w:t>
      </w:r>
    </w:p>
    <w:p w14:paraId="773A02F7">
      <w:pPr>
        <w:ind w:firstLine="560"/>
      </w:pPr>
      <w:r>
        <w:t>式中：Q—设计流量</w:t>
      </w:r>
      <w:r>
        <w:rPr>
          <w:rFonts w:hint="eastAsia"/>
        </w:rPr>
        <w:t>;</w:t>
      </w:r>
    </w:p>
    <w:p w14:paraId="7C8E882D">
      <w:pPr>
        <w:ind w:firstLine="560"/>
      </w:pPr>
      <w:r>
        <w:t>q—明渠设计灌溉模数，m³/s·万亩，</w:t>
      </w:r>
    </w:p>
    <w:p w14:paraId="62FF7F9B">
      <w:pPr>
        <w:ind w:firstLine="560"/>
      </w:pPr>
      <w:r>
        <w:t>A—渠道控制面积，亩，根据</w:t>
      </w:r>
      <w:r>
        <w:rPr>
          <w:rFonts w:hint="eastAsia"/>
        </w:rPr>
        <w:t>调查，设计渠道灌溉面积350亩</w:t>
      </w:r>
      <w:r>
        <w:t>。</w:t>
      </w:r>
    </w:p>
    <w:p w14:paraId="0457308E">
      <w:pPr>
        <w:ind w:firstLine="560"/>
      </w:pPr>
      <w:r>
        <w:t>灌溉模数根据《灌溉与排水工程设计规范》</w:t>
      </w:r>
      <w:r>
        <w:rPr>
          <w:rFonts w:hint="eastAsia"/>
        </w:rPr>
        <w:t>（GB50288-2018）</w:t>
      </w:r>
      <w:r>
        <w:t>进行计算。</w:t>
      </w:r>
    </w:p>
    <w:p w14:paraId="004B544D">
      <w:pPr>
        <w:ind w:firstLine="562"/>
        <w:rPr>
          <w:b/>
        </w:rPr>
      </w:pPr>
      <w:r>
        <w:rPr>
          <w:rFonts w:hint="eastAsia"/>
          <w:b/>
        </w:rPr>
        <w:t>2、</w:t>
      </w:r>
      <w:r>
        <w:rPr>
          <w:b/>
        </w:rPr>
        <w:t>断面设计采用公式</w:t>
      </w:r>
      <w:r>
        <w:rPr>
          <w:b/>
        </w:rPr>
        <w:tab/>
      </w:r>
    </w:p>
    <w:p w14:paraId="73424BD1">
      <w:pPr>
        <w:ind w:firstLine="560"/>
      </w:pPr>
      <w:r>
        <w:t>渠道断面设计计算公式采用《灌溉与排水工程设计规范》中的“梯形渠道实用经济断面的计算方法”进行列表计算。采用公式如下：</w:t>
      </w:r>
    </w:p>
    <w:p w14:paraId="1A2E44E3">
      <w:pPr>
        <w:ind w:firstLine="560"/>
      </w:pPr>
      <w:r>
        <w:object>
          <v:shape id="_x0000_i1025" o:spt="75" type="#_x0000_t75" style="height:79.5pt;width:193.55pt;" o:ole="t" filled="f" o:preferrelative="t" stroked="f" coordsize="21600,21600">
            <v:path/>
            <v:fill on="f" focussize="0,0"/>
            <v:stroke on="f" joinstyle="miter"/>
            <v:imagedata r:id="rId27" o:title=""/>
            <o:lock v:ext="edit" aspectratio="t"/>
            <w10:wrap type="none"/>
            <w10:anchorlock/>
          </v:shape>
          <o:OLEObject Type="Embed" ProgID="Equation.3" ShapeID="_x0000_i1025" DrawAspect="Content" ObjectID="_1468075725" r:id="rId26">
            <o:LockedField>false</o:LockedField>
          </o:OLEObject>
        </w:object>
      </w:r>
    </w:p>
    <w:p w14:paraId="761B476E">
      <w:pPr>
        <w:ind w:firstLine="560"/>
      </w:pPr>
      <w:r>
        <w:t>其中：</w:t>
      </w:r>
    </w:p>
    <w:p w14:paraId="0305DE63">
      <w:pPr>
        <w:ind w:firstLine="560"/>
      </w:pPr>
      <w:r>
        <w:t>h</w:t>
      </w:r>
      <w:r>
        <w:rPr>
          <w:vertAlign w:val="subscript"/>
        </w:rPr>
        <w:t>0</w:t>
      </w:r>
      <w:r>
        <w:t>—水利最佳断面水深，m；</w:t>
      </w:r>
    </w:p>
    <w:p w14:paraId="237BD163">
      <w:pPr>
        <w:ind w:firstLine="560"/>
      </w:pPr>
      <w:r>
        <w:t>Q—渠道设计过水流量，m³/s；</w:t>
      </w:r>
    </w:p>
    <w:p w14:paraId="08286658">
      <w:pPr>
        <w:ind w:firstLine="560"/>
      </w:pPr>
      <w:r>
        <w:t>n—糙率，糙率参照《灌溉与排水工程设计规范》（GB50288-2018）附录表E</w:t>
      </w:r>
      <w:r>
        <w:rPr>
          <w:rFonts w:hint="eastAsia"/>
        </w:rPr>
        <w:t>；</w:t>
      </w:r>
      <w:r>
        <w:t>本项目渠肩采用C</w:t>
      </w:r>
      <w:r>
        <w:rPr>
          <w:rFonts w:hint="eastAsia"/>
        </w:rPr>
        <w:t>20</w:t>
      </w:r>
      <w:r>
        <w:t>砼现浇砌筑，糙率取0.017；</w:t>
      </w:r>
    </w:p>
    <w:p w14:paraId="31E51A64">
      <w:pPr>
        <w:ind w:firstLine="560"/>
      </w:pPr>
      <w:r>
        <w:t>m—渠道边坡系数，矩形渠道为0；</w:t>
      </w:r>
    </w:p>
    <w:p w14:paraId="2E232BDA">
      <w:pPr>
        <w:ind w:firstLine="560"/>
      </w:pPr>
      <w:r>
        <w:t>i—渠底比降；</w:t>
      </w:r>
    </w:p>
    <w:p w14:paraId="3EFBA06D">
      <w:pPr>
        <w:ind w:firstLine="560"/>
      </w:pPr>
      <w:r>
        <w:t>渠道渠底比降应根据项目区内地形条件及渠道纵断面设计选择合适的比降，并应使渠道满足临界不淤流速不小于0.34m/s，最大流速不大于允许不冲流速而定。根据《灌溉与排水工程设计规范》（GB50288-2018）规范附录表E-4中有关规定，允许不冲流速可达2.5m/s以上。渠道纵断面设计还要满足前后段衔接水位高程控制。</w:t>
      </w:r>
    </w:p>
    <w:p w14:paraId="45A4127C">
      <w:pPr>
        <w:ind w:firstLine="562"/>
        <w:rPr>
          <w:b/>
        </w:rPr>
      </w:pPr>
      <w:r>
        <w:rPr>
          <w:b/>
        </w:rPr>
        <w:t>3、纵断面设计</w:t>
      </w:r>
    </w:p>
    <w:p w14:paraId="78D3EFF0">
      <w:pPr>
        <w:ind w:firstLine="560"/>
      </w:pPr>
      <w:r>
        <w:t>根据上式，按照《灌溉与排水工程设计规范》中的“梯形渠道实用经济断面的计算方法”，列表计算h</w:t>
      </w:r>
      <w:r>
        <w:rPr>
          <w:vertAlign w:val="subscript"/>
        </w:rPr>
        <w:t>0</w:t>
      </w:r>
      <w:r>
        <w:t>值及其相应的各组实用经济断面，选用合适断面，再加0.1m安全超高，取整后即为渠道选定的断面。上述列表计算中，如流速计算结果不在不淤流速与不冲流速之间，则调整规划布局线路及纵断面设计，重新选用合适的纵向坡降i进行计算。</w:t>
      </w:r>
    </w:p>
    <w:p w14:paraId="416CB7F6">
      <w:pPr>
        <w:ind w:firstLine="562"/>
        <w:rPr>
          <w:b/>
        </w:rPr>
      </w:pPr>
      <w:r>
        <w:rPr>
          <w:b/>
        </w:rPr>
        <w:t>6、渠道结构（横</w:t>
      </w:r>
      <w:r>
        <w:rPr>
          <w:rFonts w:hint="eastAsia"/>
          <w:b/>
        </w:rPr>
        <w:t>断面</w:t>
      </w:r>
      <w:r>
        <w:rPr>
          <w:b/>
        </w:rPr>
        <w:t>）设计</w:t>
      </w:r>
    </w:p>
    <w:p w14:paraId="244FD90B">
      <w:pPr>
        <w:ind w:firstLine="560"/>
      </w:pPr>
      <w:r>
        <w:t>田间灌溉渠道均为矩形结构。渠道渠肩方案通过综合考虑当地建材及工程经济等因素，本项目设计选定灌溉渠道渠肩均采用C</w:t>
      </w:r>
      <w:r>
        <w:rPr>
          <w:rFonts w:hint="eastAsia"/>
        </w:rPr>
        <w:t>20</w:t>
      </w:r>
      <w:r>
        <w:t>砼现浇结构，渠道渠底经</w:t>
      </w:r>
      <w:r>
        <w:rPr>
          <w:rFonts w:hint="eastAsia"/>
        </w:rPr>
        <w:t>清</w:t>
      </w:r>
      <w:r>
        <w:t>淤或开挖后，须先进行原土夯实后，铺</w:t>
      </w:r>
      <w:r>
        <w:rPr>
          <w:rFonts w:hint="eastAsia"/>
        </w:rPr>
        <w:t>100mm厚碎石垫层，现浇100mm厚</w:t>
      </w:r>
      <w:r>
        <w:t>C</w:t>
      </w:r>
      <w:r>
        <w:rPr>
          <w:rFonts w:hint="eastAsia"/>
        </w:rPr>
        <w:t>20</w:t>
      </w:r>
      <w:r>
        <w:t>砼底</w:t>
      </w:r>
      <w:r>
        <w:rPr>
          <w:rFonts w:hint="eastAsia"/>
        </w:rPr>
        <w:t>板，再</w:t>
      </w:r>
      <w:r>
        <w:t>砌筑C</w:t>
      </w:r>
      <w:r>
        <w:rPr>
          <w:rFonts w:hint="eastAsia"/>
        </w:rPr>
        <w:t>20</w:t>
      </w:r>
      <w:r>
        <w:t>素砼边墙。各渠道边墙厚度根据抗滑、抗倾覆稳定验算要求并结合材料尺寸、施工便利等因素进行选定，边墙厚度具体大小详见渠道特性表；为适应温度变化、基础不均匀沉陷等原因引起的变形，渠底砼每间隔5m设置一道横向伸缩缝，渠肩每间隔15m设置一道沉降缝，伸缩缝、沉降缝缝宽2cm，沉降缝与伸缩缝结合布置并以沥青水泥砂浆填缝止水（沥青、水泥、砂重量比为1：1：4）。</w:t>
      </w:r>
    </w:p>
    <w:p w14:paraId="1C6AF365">
      <w:pPr>
        <w:ind w:firstLine="560"/>
      </w:pPr>
      <w:r>
        <w:t>渠</w:t>
      </w:r>
      <w:r>
        <w:rPr>
          <w:rFonts w:hint="eastAsia"/>
        </w:rPr>
        <w:t>道设计具体详见表三“</w:t>
      </w:r>
      <w:r>
        <w:t>渠</w:t>
      </w:r>
      <w:r>
        <w:rPr>
          <w:rFonts w:hint="eastAsia"/>
        </w:rPr>
        <w:t>道工程量表”</w:t>
      </w:r>
      <w:r>
        <w:t>。</w:t>
      </w:r>
    </w:p>
    <w:p w14:paraId="76108FB2">
      <w:pPr>
        <w:rPr>
          <w:b/>
        </w:rPr>
      </w:pPr>
      <w:r>
        <w:rPr>
          <w:rFonts w:hint="eastAsia"/>
          <w:b/>
        </w:rPr>
        <w:t>道路工程：主要为硬化水泥路面。</w:t>
      </w:r>
    </w:p>
    <w:p w14:paraId="755AC36F">
      <w:pPr>
        <w:pStyle w:val="31"/>
        <w:numPr>
          <w:ilvl w:val="0"/>
          <w:numId w:val="3"/>
        </w:numPr>
        <w:ind w:left="0" w:firstLine="560"/>
        <w:rPr>
          <w:color w:val="auto"/>
        </w:rPr>
      </w:pPr>
      <w:r>
        <w:rPr>
          <w:rFonts w:hint="eastAsia"/>
          <w:color w:val="auto"/>
        </w:rPr>
        <w:t>本项目设计道路为《乡村道路工程技术规范》中的支路，设计速度15~20km/h，设计路面宽度3.5m，两路路肩宽度0.5m，路基4.5m。</w:t>
      </w:r>
    </w:p>
    <w:p w14:paraId="60942402">
      <w:pPr>
        <w:pStyle w:val="31"/>
        <w:numPr>
          <w:ilvl w:val="0"/>
          <w:numId w:val="3"/>
        </w:numPr>
        <w:ind w:left="0" w:firstLine="560"/>
        <w:rPr>
          <w:color w:val="auto"/>
        </w:rPr>
      </w:pPr>
      <w:r>
        <w:rPr>
          <w:rFonts w:hint="eastAsia"/>
          <w:color w:val="auto"/>
        </w:rPr>
        <w:t>路面：采用C</w:t>
      </w:r>
      <w:r>
        <w:rPr>
          <w:color w:val="auto"/>
        </w:rPr>
        <w:t>25</w:t>
      </w:r>
      <w:r>
        <w:rPr>
          <w:rFonts w:hint="eastAsia"/>
          <w:color w:val="auto"/>
        </w:rPr>
        <w:t>水泥混凝土，水泥混凝土面板的28d设计弯拉强度标准值不得低千4.0MPa。</w:t>
      </w:r>
    </w:p>
    <w:p w14:paraId="13AF0169">
      <w:pPr>
        <w:pStyle w:val="31"/>
        <w:numPr>
          <w:ilvl w:val="0"/>
          <w:numId w:val="3"/>
        </w:numPr>
        <w:ind w:left="0" w:firstLine="560"/>
        <w:rPr>
          <w:color w:val="auto"/>
        </w:rPr>
      </w:pPr>
      <w:r>
        <w:rPr>
          <w:rFonts w:hint="eastAsia"/>
          <w:color w:val="auto"/>
        </w:rPr>
        <w:t>基层：采用级配碎石，基层压实度≥98%，级配碎石的原材料技术要求及混合料组成设计、施工与质量验收应符合现行行业标准《城镇道路工程施工与质量验收规范》CJJ-1的规定。</w:t>
      </w:r>
    </w:p>
    <w:p w14:paraId="1C97F934">
      <w:pPr>
        <w:pStyle w:val="31"/>
        <w:numPr>
          <w:ilvl w:val="0"/>
          <w:numId w:val="3"/>
        </w:numPr>
        <w:ind w:left="0" w:firstLine="560"/>
        <w:rPr>
          <w:color w:val="auto"/>
        </w:rPr>
      </w:pPr>
      <w:r>
        <w:rPr>
          <w:rFonts w:hint="eastAsia"/>
          <w:color w:val="auto"/>
        </w:rPr>
        <w:t>路基：路床压实度≥91%；</w:t>
      </w:r>
    </w:p>
    <w:p w14:paraId="35ABA67E">
      <w:pPr>
        <w:pStyle w:val="31"/>
        <w:numPr>
          <w:ilvl w:val="0"/>
          <w:numId w:val="3"/>
        </w:numPr>
        <w:ind w:left="0" w:firstLine="560"/>
      </w:pPr>
      <w:r>
        <w:rPr>
          <w:rFonts w:hint="eastAsia"/>
          <w:color w:val="auto"/>
        </w:rPr>
        <w:t>线路布置的主要技术指标为：一般最小圆曲线半径20m，极限最小圆曲线半径10m。停车视距15m，会车视距30m，最大纵坡10%，最小纵坡不应小于0.3%。交叉口路缘石转弯半径控制5~15m，场地条件困难的，除陡坡处外，以上路面内边缘最小转弯半径可相应减少</w:t>
      </w:r>
      <w:r>
        <w:rPr>
          <w:rFonts w:hint="eastAsia"/>
          <w:color w:val="auto"/>
          <w:lang w:eastAsia="zh-CN"/>
        </w:rPr>
        <w:t>。</w:t>
      </w:r>
    </w:p>
    <w:p w14:paraId="428567A7">
      <w:pPr>
        <w:pStyle w:val="4"/>
        <w:spacing w:before="36" w:after="36"/>
      </w:pPr>
      <w:r>
        <w:rPr>
          <w:rFonts w:hint="eastAsia"/>
        </w:rPr>
        <w:t>地基处理</w:t>
      </w:r>
    </w:p>
    <w:p w14:paraId="5E8CC5B5">
      <w:pPr>
        <w:ind w:firstLine="560"/>
      </w:pPr>
      <w:r>
        <w:rPr>
          <w:rFonts w:hint="eastAsia"/>
        </w:rPr>
        <w:t>本段渠道施工在软基处理完成后，再开挖形成。软基处理必须满足渠道开挖后渠道堤岸稳定要求。渠底回填土夯实，压实度需达90%以上。</w:t>
      </w:r>
    </w:p>
    <w:p w14:paraId="2E5D927D">
      <w:pPr>
        <w:pStyle w:val="4"/>
        <w:spacing w:before="36" w:after="36"/>
      </w:pPr>
      <w:r>
        <w:rPr>
          <w:rFonts w:hint="eastAsia"/>
        </w:rPr>
        <w:t>主要材料</w:t>
      </w:r>
    </w:p>
    <w:p w14:paraId="097A17CB">
      <w:pPr>
        <w:ind w:left="0" w:leftChars="0" w:firstLine="0" w:firstLineChars="0"/>
        <w:rPr>
          <w:rFonts w:hint="eastAsia" w:ascii="Times New Roman" w:hAnsi="Times New Roman" w:cs="Times New Roman" w:eastAsiaTheme="minorEastAsia"/>
          <w:b/>
          <w:bCs/>
          <w:kern w:val="2"/>
          <w:sz w:val="30"/>
          <w:szCs w:val="32"/>
          <w:lang w:val="en-US" w:eastAsia="zh-CN" w:bidi="ar-SA"/>
        </w:rPr>
      </w:pPr>
      <w:r>
        <w:rPr>
          <w:rFonts w:hint="eastAsia" w:ascii="Times New Roman" w:hAnsi="Times New Roman" w:cs="Times New Roman" w:eastAsiaTheme="minorEastAsia"/>
          <w:b/>
          <w:bCs/>
          <w:kern w:val="2"/>
          <w:sz w:val="30"/>
          <w:szCs w:val="32"/>
          <w:lang w:val="en-US" w:eastAsia="zh-CN" w:bidi="ar-SA"/>
        </w:rPr>
        <w:t>渠道</w:t>
      </w:r>
    </w:p>
    <w:p w14:paraId="6141FC2D">
      <w:pPr>
        <w:ind w:firstLine="560"/>
      </w:pPr>
      <w:r>
        <w:rPr>
          <w:rFonts w:hint="eastAsia"/>
        </w:rPr>
        <w:t>1.水泥：采用正规厂家出产的水泥，标号42.5，有产品检验合格证。</w:t>
      </w:r>
    </w:p>
    <w:p w14:paraId="12F62E7B">
      <w:pPr>
        <w:ind w:firstLine="560"/>
      </w:pPr>
      <w:r>
        <w:rPr>
          <w:rFonts w:hint="eastAsia"/>
        </w:rPr>
        <w:t>2.碎石：经级配碎石直径宜采用20-40mm，</w:t>
      </w:r>
    </w:p>
    <w:p w14:paraId="1604FD47">
      <w:pPr>
        <w:ind w:firstLine="560"/>
      </w:pPr>
      <w:r>
        <w:rPr>
          <w:rFonts w:hint="eastAsia"/>
        </w:rPr>
        <w:t>3.块石：一般上下面平行，修除尖角、薄边。最小边尺寸不小于20cm，最大边尺寸不超过最小边尺寸的3倍，单块重量不超过150kg，码方空隙率不大于35%，强度不小于MU30。</w:t>
      </w:r>
    </w:p>
    <w:p w14:paraId="1279CDB3">
      <w:pPr>
        <w:ind w:firstLine="560"/>
      </w:pPr>
      <w:r>
        <w:rPr>
          <w:rFonts w:hint="eastAsia"/>
        </w:rPr>
        <w:t>4.砂：抹面砂浆应采用中砂或细砂拌制，垫层采用粗砂、砂粒径及杂质含量要求应符合要求。</w:t>
      </w:r>
    </w:p>
    <w:p w14:paraId="2166D4C3">
      <w:pPr>
        <w:ind w:firstLine="560"/>
      </w:pPr>
      <w:r>
        <w:rPr>
          <w:rFonts w:hint="eastAsia"/>
        </w:rPr>
        <w:t>5.道路夯填土料：不能采用耕植土、腐植土、淤泥土、膨胀土等。</w:t>
      </w:r>
    </w:p>
    <w:p w14:paraId="14A5BE09">
      <w:pPr>
        <w:ind w:firstLine="560"/>
      </w:pPr>
      <w:r>
        <w:rPr>
          <w:rFonts w:hint="eastAsia"/>
        </w:rPr>
        <w:t>6.伸缩缝：采用沥青水泥砂浆，其重量配合比为沥青：水泥：砂=1：1：4。</w:t>
      </w:r>
    </w:p>
    <w:p w14:paraId="0D8655D8">
      <w:pPr>
        <w:ind w:firstLine="560"/>
        <w:rPr>
          <w:rFonts w:hint="eastAsia"/>
        </w:rPr>
      </w:pPr>
      <w:r>
        <w:rPr>
          <w:rFonts w:hint="eastAsia"/>
        </w:rPr>
        <w:t>7.土石混合料：土石混填路堤上略倾倒前应重点做好石料岩质和粒径的鉴别选用，以满足设计规范要求，石块含量在50%-70%之间。</w:t>
      </w:r>
    </w:p>
    <w:p w14:paraId="68850055">
      <w:pPr>
        <w:ind w:left="0" w:leftChars="0" w:firstLine="0" w:firstLineChars="0"/>
        <w:rPr>
          <w:rFonts w:hint="eastAsia" w:ascii="Times New Roman" w:hAnsi="Times New Roman" w:cs="Times New Roman" w:eastAsiaTheme="minorEastAsia"/>
          <w:b/>
          <w:bCs/>
          <w:kern w:val="2"/>
          <w:sz w:val="30"/>
          <w:szCs w:val="32"/>
          <w:lang w:val="en-US" w:eastAsia="zh-CN" w:bidi="ar-SA"/>
        </w:rPr>
      </w:pPr>
      <w:r>
        <w:rPr>
          <w:rFonts w:hint="eastAsia" w:ascii="Times New Roman" w:hAnsi="Times New Roman" w:cs="Times New Roman" w:eastAsiaTheme="minorEastAsia"/>
          <w:b/>
          <w:bCs/>
          <w:kern w:val="2"/>
          <w:sz w:val="30"/>
          <w:szCs w:val="32"/>
          <w:lang w:val="en-US" w:eastAsia="zh-CN" w:bidi="ar-SA"/>
        </w:rPr>
        <w:t>道路</w:t>
      </w:r>
    </w:p>
    <w:p w14:paraId="18CA28DD">
      <w:pPr>
        <w:ind w:firstLine="560"/>
        <w:rPr>
          <w:color w:val="auto"/>
        </w:rPr>
      </w:pPr>
      <w:r>
        <w:rPr>
          <w:rFonts w:hint="eastAsia"/>
          <w:color w:val="auto"/>
        </w:rPr>
        <w:t>1.水泥：采用正规厂家出产的水泥，标号42.5，有产品检验合格证。</w:t>
      </w:r>
    </w:p>
    <w:p w14:paraId="3D6D9E55">
      <w:pPr>
        <w:ind w:firstLine="560"/>
        <w:rPr>
          <w:color w:val="auto"/>
        </w:rPr>
      </w:pPr>
      <w:r>
        <w:rPr>
          <w:rFonts w:hint="eastAsia"/>
          <w:color w:val="auto"/>
        </w:rPr>
        <w:t>2.碎石：经级配碎石直径宜采用20-40mm，</w:t>
      </w:r>
    </w:p>
    <w:p w14:paraId="430D2B1D">
      <w:pPr>
        <w:ind w:firstLine="560"/>
        <w:rPr>
          <w:color w:val="auto"/>
        </w:rPr>
      </w:pPr>
      <w:r>
        <w:rPr>
          <w:rFonts w:hint="eastAsia"/>
          <w:color w:val="auto"/>
        </w:rPr>
        <w:t>3.块石：一般上下面平行，修除尖角、薄边。最小边尺寸不小于20cm，最大边尺寸不超过最小边尺寸的3倍，单块重量不超过150kg，码方空隙率不大于35%，强度不小于MU30。</w:t>
      </w:r>
    </w:p>
    <w:p w14:paraId="0DA74445">
      <w:pPr>
        <w:ind w:firstLine="560"/>
        <w:rPr>
          <w:color w:val="auto"/>
        </w:rPr>
      </w:pPr>
      <w:r>
        <w:rPr>
          <w:rFonts w:hint="eastAsia"/>
          <w:color w:val="auto"/>
        </w:rPr>
        <w:t>4.砂：抹面砂浆应采用中砂或细砂拌制，垫层采用粗砂、砂粒径及杂质含量要求应符合要求。</w:t>
      </w:r>
    </w:p>
    <w:p w14:paraId="2099A0E1">
      <w:pPr>
        <w:ind w:firstLine="560"/>
        <w:rPr>
          <w:color w:val="auto"/>
        </w:rPr>
      </w:pPr>
      <w:r>
        <w:rPr>
          <w:rFonts w:hint="eastAsia"/>
          <w:color w:val="auto"/>
        </w:rPr>
        <w:t>5.道路夯填土料：不能采用耕植土、腐植土、淤泥土、膨胀土等。</w:t>
      </w:r>
    </w:p>
    <w:p w14:paraId="5C148F30">
      <w:pPr>
        <w:ind w:firstLine="560"/>
        <w:rPr>
          <w:color w:val="auto"/>
        </w:rPr>
      </w:pPr>
      <w:r>
        <w:rPr>
          <w:rFonts w:hint="eastAsia"/>
          <w:color w:val="auto"/>
        </w:rPr>
        <w:t>6.伸缩缝：采用沥青水泥砂浆，其重量配合比为沥青：水泥：砂=1：1：4。</w:t>
      </w:r>
    </w:p>
    <w:p w14:paraId="30F5630B">
      <w:pPr>
        <w:ind w:firstLine="560"/>
        <w:rPr>
          <w:color w:val="auto"/>
        </w:rPr>
      </w:pPr>
      <w:r>
        <w:rPr>
          <w:rFonts w:hint="eastAsia"/>
          <w:color w:val="auto"/>
        </w:rPr>
        <w:t>7.土石混合料：土石混填路堤上略倾倒前应重点做好石料岩质和粒径的鉴别选用，以满足设计规范要求，石块含量在50%-70%之间。</w:t>
      </w:r>
    </w:p>
    <w:p w14:paraId="58941450">
      <w:pPr>
        <w:ind w:firstLine="560"/>
        <w:rPr>
          <w:rFonts w:hint="eastAsia"/>
        </w:rPr>
      </w:pPr>
    </w:p>
    <w:p w14:paraId="718E598C">
      <w:pPr>
        <w:pStyle w:val="4"/>
        <w:spacing w:before="36" w:after="36"/>
      </w:pPr>
      <w:r>
        <w:rPr>
          <w:rFonts w:hint="eastAsia"/>
        </w:rPr>
        <w:t>其他说明</w:t>
      </w:r>
    </w:p>
    <w:p w14:paraId="1BF5BFE6">
      <w:pPr>
        <w:ind w:firstLine="560"/>
      </w:pPr>
      <w:r>
        <w:rPr>
          <w:rFonts w:hint="eastAsia"/>
        </w:rPr>
        <w:t>本项目道路狭窄，大型车辆无法进入，水泥，钢材，碎石，砂等建筑材料需二次运输，运距按0.3公里计；渠道淤泥弃运按1公里计；因项目道路狭窄，周边已经种植农作物，挖掘机无法进入施工现场，渠道需采用人工开挖；开挖以后的土方用于回填，剩余土方需运1km，现浇渠道采用普通钢模版四面支模。</w:t>
      </w:r>
    </w:p>
    <w:p w14:paraId="3AFE2F20">
      <w:pPr>
        <w:pStyle w:val="2"/>
        <w:spacing w:before="72" w:after="72"/>
      </w:pPr>
      <w:r>
        <w:rPr>
          <w:rFonts w:hint="eastAsia"/>
        </w:rPr>
        <w:t>施工组织设计</w:t>
      </w:r>
    </w:p>
    <w:p w14:paraId="0BC5A2F3">
      <w:pPr>
        <w:pStyle w:val="3"/>
        <w:spacing w:before="72" w:after="72"/>
      </w:pPr>
      <w:r>
        <w:rPr>
          <w:rFonts w:hint="eastAsia"/>
        </w:rPr>
        <w:t>施工注意事项</w:t>
      </w:r>
    </w:p>
    <w:p w14:paraId="52E1A4D3">
      <w:pPr>
        <w:ind w:firstLine="560"/>
      </w:pPr>
      <w:r>
        <w:rPr>
          <w:rFonts w:hint="eastAsia"/>
        </w:rPr>
        <w:t>在施工时应该注意以下几点：</w:t>
      </w:r>
    </w:p>
    <w:p w14:paraId="30BDAA74">
      <w:pPr>
        <w:ind w:firstLine="560"/>
      </w:pPr>
      <w:r>
        <w:rPr>
          <w:rFonts w:hint="eastAsia"/>
        </w:rPr>
        <w:t>（1）严格控制开挖断面尺寸和标高，不得出现超挖、欠挖等情况。开挖渠道注意地下水抽排，沟槽不得被水淹泡。</w:t>
      </w:r>
    </w:p>
    <w:p w14:paraId="693979D3">
      <w:pPr>
        <w:ind w:firstLine="560"/>
      </w:pPr>
      <w:r>
        <w:rPr>
          <w:rFonts w:hint="eastAsia"/>
        </w:rPr>
        <w:t>（2）按照相关施工和验收规范，严格控制尺寸、质量等要求。</w:t>
      </w:r>
    </w:p>
    <w:p w14:paraId="510A9DC7">
      <w:pPr>
        <w:ind w:firstLine="560"/>
      </w:pPr>
      <w:r>
        <w:rPr>
          <w:rFonts w:hint="eastAsia"/>
        </w:rPr>
        <w:t>（3）砌体应严格控制标号和施工质量。</w:t>
      </w:r>
    </w:p>
    <w:p w14:paraId="28732926">
      <w:pPr>
        <w:pStyle w:val="3"/>
        <w:spacing w:before="72" w:after="72"/>
      </w:pPr>
      <w:r>
        <w:rPr>
          <w:rFonts w:hint="eastAsia"/>
        </w:rPr>
        <w:t>施工部署</w:t>
      </w:r>
    </w:p>
    <w:p w14:paraId="4DFB8F03">
      <w:pPr>
        <w:ind w:firstLine="560"/>
        <w:jc w:val="center"/>
      </w:pPr>
      <w:r>
        <w:rPr>
          <w:rFonts w:hint="eastAsia"/>
        </w:rPr>
        <w:drawing>
          <wp:inline distT="0" distB="0" distL="0" distR="0">
            <wp:extent cx="6175375" cy="3408045"/>
            <wp:effectExtent l="0" t="0" r="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6175375" cy="3408045"/>
                    </a:xfrm>
                    <a:prstGeom prst="rect">
                      <a:avLst/>
                    </a:prstGeom>
                    <a:noFill/>
                    <a:ln>
                      <a:noFill/>
                    </a:ln>
                  </pic:spPr>
                </pic:pic>
              </a:graphicData>
            </a:graphic>
          </wp:inline>
        </w:drawing>
      </w:r>
    </w:p>
    <w:p w14:paraId="7CCC0923">
      <w:pPr>
        <w:pStyle w:val="3"/>
        <w:spacing w:before="72" w:after="72"/>
      </w:pPr>
      <w:r>
        <w:rPr>
          <w:rFonts w:hint="eastAsia"/>
        </w:rPr>
        <w:t>主要分项施工技术措施</w:t>
      </w:r>
    </w:p>
    <w:p w14:paraId="15B9A66B">
      <w:pPr>
        <w:pStyle w:val="4"/>
        <w:spacing w:before="36" w:after="36"/>
      </w:pPr>
      <w:r>
        <w:rPr>
          <w:rFonts w:hint="eastAsia"/>
        </w:rPr>
        <w:t>土方开挖</w:t>
      </w:r>
    </w:p>
    <w:p w14:paraId="16A58362">
      <w:pPr>
        <w:ind w:firstLine="560"/>
      </w:pPr>
      <w:r>
        <w:rPr>
          <w:rFonts w:hint="eastAsia"/>
        </w:rPr>
        <w:t>测量放线→确定开挖顺序→分段分层均匀开挖→排降水→清底→验槽→垫层。</w:t>
      </w:r>
    </w:p>
    <w:p w14:paraId="2F269FF4">
      <w:pPr>
        <w:pStyle w:val="4"/>
        <w:spacing w:before="36" w:after="36"/>
      </w:pPr>
      <w:r>
        <w:rPr>
          <w:rFonts w:hint="eastAsia"/>
        </w:rPr>
        <w:t>施工方法</w:t>
      </w:r>
    </w:p>
    <w:p w14:paraId="76E8A139">
      <w:pPr>
        <w:ind w:firstLine="560"/>
      </w:pPr>
      <w:r>
        <w:rPr>
          <w:rFonts w:hint="eastAsia"/>
        </w:rPr>
        <w:t>（1）开挖前，成分了解地质、地下水等情况，编制切实可行的技术方案；</w:t>
      </w:r>
    </w:p>
    <w:p w14:paraId="328E7D0B">
      <w:pPr>
        <w:ind w:firstLine="560"/>
      </w:pPr>
      <w:r>
        <w:rPr>
          <w:rFonts w:hint="eastAsia"/>
        </w:rPr>
        <w:t>（2）向施工人员进行施工作业及安全技术交底；</w:t>
      </w:r>
    </w:p>
    <w:p w14:paraId="5A3E00E1">
      <w:pPr>
        <w:ind w:firstLine="560"/>
      </w:pPr>
      <w:r>
        <w:rPr>
          <w:rFonts w:hint="eastAsia"/>
        </w:rPr>
        <w:t>（3）严格按照已审批的施工方案进行实施，施工过程中案值人员必须进行监控；</w:t>
      </w:r>
    </w:p>
    <w:p w14:paraId="04D19022">
      <w:pPr>
        <w:ind w:firstLine="560"/>
      </w:pPr>
      <w:r>
        <w:rPr>
          <w:rFonts w:hint="eastAsia"/>
        </w:rPr>
        <w:t>（4）施工的机械设备必须在检定期内，操作人员必须持证上岗；</w:t>
      </w:r>
    </w:p>
    <w:p w14:paraId="40EFC040">
      <w:pPr>
        <w:ind w:firstLine="560"/>
      </w:pPr>
      <w:r>
        <w:rPr>
          <w:rFonts w:hint="eastAsia"/>
        </w:rPr>
        <w:t>（5）开挖沟槽边需设置警示标示；</w:t>
      </w:r>
    </w:p>
    <w:p w14:paraId="54354283">
      <w:pPr>
        <w:ind w:firstLine="560"/>
      </w:pPr>
      <w:r>
        <w:rPr>
          <w:rFonts w:hint="eastAsia"/>
        </w:rPr>
        <w:t>（6）沟槽边0.5m内区域严禁堆放，堆放的土堆高度不得超过1.0m；</w:t>
      </w:r>
    </w:p>
    <w:p w14:paraId="70535401">
      <w:pPr>
        <w:tabs>
          <w:tab w:val="left" w:pos="420"/>
        </w:tabs>
        <w:adjustRightInd/>
        <w:snapToGrid/>
        <w:spacing w:before="240" w:beforeLines="100" w:after="120" w:afterLines="50" w:line="480" w:lineRule="auto"/>
        <w:ind w:firstLine="0" w:firstLineChars="0"/>
        <w:contextualSpacing/>
        <w:jc w:val="left"/>
        <w:outlineLvl w:val="0"/>
        <w:rPr>
          <w:rFonts w:ascii="仿宋" w:hAnsi="仿宋" w:eastAsia="仿宋" w:cs="仿宋"/>
          <w:b/>
          <w:bCs/>
          <w:sz w:val="30"/>
          <w:szCs w:val="20"/>
        </w:rPr>
      </w:pPr>
      <w:r>
        <w:rPr>
          <w:rFonts w:hint="eastAsia" w:ascii="仿宋" w:hAnsi="仿宋" w:eastAsia="仿宋" w:cs="仿宋"/>
          <w:b/>
          <w:bCs/>
          <w:sz w:val="30"/>
          <w:szCs w:val="20"/>
        </w:rPr>
        <w:t>5.3.3.基础开挖流程图</w:t>
      </w:r>
    </w:p>
    <w:p w14:paraId="067EF2BC">
      <w:pPr>
        <w:ind w:firstLine="560"/>
        <w:jc w:val="center"/>
      </w:pPr>
      <w:r>
        <w:rPr>
          <w:rFonts w:hint="eastAsia"/>
        </w:rPr>
        <w:drawing>
          <wp:inline distT="0" distB="0" distL="0" distR="0">
            <wp:extent cx="5082540" cy="6417310"/>
            <wp:effectExtent l="0" t="0" r="381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5082954" cy="6417441"/>
                    </a:xfrm>
                    <a:prstGeom prst="rect">
                      <a:avLst/>
                    </a:prstGeom>
                    <a:noFill/>
                    <a:ln>
                      <a:noFill/>
                    </a:ln>
                    <a:effectLst/>
                  </pic:spPr>
                </pic:pic>
              </a:graphicData>
            </a:graphic>
          </wp:inline>
        </w:drawing>
      </w:r>
    </w:p>
    <w:p w14:paraId="67331E55">
      <w:pPr>
        <w:pStyle w:val="3"/>
        <w:spacing w:before="72" w:after="72"/>
      </w:pPr>
      <w:bookmarkStart w:id="1" w:name="_Toc84996448"/>
      <w:r>
        <w:rPr>
          <w:rFonts w:hint="eastAsia"/>
        </w:rPr>
        <w:t>砌体工程</w:t>
      </w:r>
      <w:bookmarkEnd w:id="1"/>
    </w:p>
    <w:p w14:paraId="769608AC">
      <w:pPr>
        <w:ind w:firstLine="560"/>
      </w:pPr>
      <w:r>
        <w:rPr>
          <w:rFonts w:hint="eastAsia"/>
        </w:rPr>
        <w:t>本工程的砌体工程为基础垫层采用片石回填。</w:t>
      </w:r>
    </w:p>
    <w:p w14:paraId="251B96BA">
      <w:pPr>
        <w:pStyle w:val="4"/>
        <w:spacing w:before="36" w:after="36"/>
      </w:pPr>
      <w:r>
        <w:rPr>
          <w:rFonts w:hint="eastAsia"/>
        </w:rPr>
        <w:t>材料要求</w:t>
      </w:r>
    </w:p>
    <w:p w14:paraId="44F9DFCC">
      <w:pPr>
        <w:ind w:firstLine="560"/>
      </w:pPr>
      <w:r>
        <w:rPr>
          <w:rFonts w:hint="eastAsia"/>
        </w:rPr>
        <w:t>（1）片石砌体所用的水泥、砂、水等材料符合设计标准。</w:t>
      </w:r>
    </w:p>
    <w:p w14:paraId="5BCD6B38">
      <w:pPr>
        <w:ind w:firstLine="560"/>
      </w:pPr>
      <w:r>
        <w:rPr>
          <w:rFonts w:hint="eastAsia"/>
        </w:rPr>
        <w:t>（2）石料</w:t>
      </w:r>
    </w:p>
    <w:p w14:paraId="6CB8FAA8">
      <w:pPr>
        <w:ind w:firstLine="560"/>
      </w:pPr>
      <w:r>
        <w:rPr>
          <w:rFonts w:hint="eastAsia"/>
        </w:rPr>
        <w:t>石料符合设计的类别和标号，石质均匀、不易风化、无裂纹，石料强度不低于MU40，形状大致方形，厚度不低于20CM，宽度约为厚度的1～1.5倍，长度约为厚度1.5～3倍，每层石料高度大致一律，并错缝砌筑。</w:t>
      </w:r>
    </w:p>
    <w:p w14:paraId="27529764">
      <w:pPr>
        <w:ind w:firstLine="560"/>
      </w:pPr>
      <w:r>
        <w:rPr>
          <w:rFonts w:hint="eastAsia"/>
        </w:rPr>
        <w:t>（3）砂浆</w:t>
      </w:r>
    </w:p>
    <w:p w14:paraId="037D07E5">
      <w:pPr>
        <w:ind w:firstLine="560"/>
      </w:pPr>
      <w:r>
        <w:rPr>
          <w:rFonts w:hint="eastAsia"/>
        </w:rPr>
        <w:t>砂浆中所用水泥、砂、水等材料质量标准符合混凝土工程相应材料的质量标准。砂浆中所用砂采用中砂或粗砂。</w:t>
      </w:r>
    </w:p>
    <w:p w14:paraId="5BCD53F7">
      <w:pPr>
        <w:pStyle w:val="3"/>
        <w:spacing w:before="72" w:after="72"/>
      </w:pPr>
      <w:bookmarkStart w:id="2" w:name="_Toc76977277"/>
      <w:bookmarkStart w:id="3" w:name="_Toc76977427"/>
      <w:bookmarkStart w:id="4" w:name="_Toc84996451"/>
      <w:r>
        <w:rPr>
          <w:rFonts w:hint="eastAsia"/>
        </w:rPr>
        <w:t>砼工程</w:t>
      </w:r>
      <w:bookmarkEnd w:id="2"/>
      <w:bookmarkEnd w:id="3"/>
      <w:bookmarkEnd w:id="4"/>
    </w:p>
    <w:p w14:paraId="3E258D4E">
      <w:pPr>
        <w:pStyle w:val="4"/>
        <w:spacing w:before="36" w:after="36"/>
      </w:pPr>
      <w:r>
        <w:rPr>
          <w:rFonts w:hint="eastAsia"/>
        </w:rPr>
        <w:t>基本要求</w:t>
      </w:r>
    </w:p>
    <w:p w14:paraId="7D7258E4">
      <w:pPr>
        <w:ind w:firstLine="560"/>
      </w:pPr>
      <w:r>
        <w:rPr>
          <w:rFonts w:hint="eastAsia"/>
        </w:rPr>
        <w:t>（1）水泥进场必须有出厂合格证或进场实验报告，并应对其品种、标号、出厂日期等检查验收；</w:t>
      </w:r>
    </w:p>
    <w:p w14:paraId="06A7F0A0">
      <w:pPr>
        <w:ind w:firstLine="560"/>
      </w:pPr>
      <w:r>
        <w:rPr>
          <w:rFonts w:hint="eastAsia"/>
        </w:rPr>
        <w:t>（2）粗细骨料应符合国家现行有关标准的规定；</w:t>
      </w:r>
    </w:p>
    <w:p w14:paraId="6AB9FD0D">
      <w:pPr>
        <w:ind w:firstLine="560"/>
      </w:pPr>
      <w:r>
        <w:rPr>
          <w:rFonts w:hint="eastAsia"/>
        </w:rPr>
        <w:t>（3）粗骨料的最大颗粒粒径不得超过结构截面最小尺寸的1/4，且不得超过钢筋间最小净距的3/4，泵送砼的碎石的最大粒径与输送管内径之比不宜大于1:3；骨料应按品种、规格分别堆放，不得混杂，骨料中严禁混入煅烧过的白云石或石灰块；</w:t>
      </w:r>
    </w:p>
    <w:p w14:paraId="70826183">
      <w:pPr>
        <w:ind w:firstLine="560"/>
      </w:pPr>
      <w:r>
        <w:rPr>
          <w:rFonts w:hint="eastAsia"/>
        </w:rPr>
        <w:t>（4）拌制砼采用饮用水；</w:t>
      </w:r>
    </w:p>
    <w:p w14:paraId="6F20D686">
      <w:pPr>
        <w:ind w:firstLine="560"/>
      </w:pPr>
      <w:r>
        <w:rPr>
          <w:rFonts w:hint="eastAsia"/>
        </w:rPr>
        <w:t>（5）外加剂的质量应符合现行国家标准的要求；</w:t>
      </w:r>
    </w:p>
    <w:p w14:paraId="330B2CBB">
      <w:pPr>
        <w:ind w:firstLine="560"/>
      </w:pPr>
      <w:r>
        <w:rPr>
          <w:rFonts w:hint="eastAsia"/>
        </w:rPr>
        <w:t>（6）外加剂的品种及掺量应结合实际经试验确定；</w:t>
      </w:r>
    </w:p>
    <w:p w14:paraId="7D404C9D">
      <w:pPr>
        <w:ind w:firstLine="560"/>
      </w:pPr>
      <w:r>
        <w:rPr>
          <w:rFonts w:hint="eastAsia"/>
        </w:rPr>
        <w:t>（7）砼的取样及试验应符合国家现行标准的要求；</w:t>
      </w:r>
    </w:p>
    <w:p w14:paraId="2A9514A3">
      <w:pPr>
        <w:ind w:firstLine="560"/>
      </w:pPr>
      <w:r>
        <w:rPr>
          <w:rFonts w:hint="eastAsia"/>
        </w:rPr>
        <w:t>（8）浇筑竖向结构前应先在底部填以50～100mm厚的与砼内砂浆成分相同的水泥砂浆；</w:t>
      </w:r>
    </w:p>
    <w:p w14:paraId="1941E789">
      <w:pPr>
        <w:pStyle w:val="4"/>
        <w:spacing w:before="36" w:after="36"/>
      </w:pPr>
      <w:r>
        <w:rPr>
          <w:rFonts w:hint="eastAsia"/>
        </w:rPr>
        <w:t>操作工艺</w:t>
      </w:r>
    </w:p>
    <w:p w14:paraId="5F12B3AD">
      <w:pPr>
        <w:ind w:firstLine="560"/>
      </w:pPr>
      <w:r>
        <w:rPr>
          <w:rFonts w:hint="eastAsia"/>
        </w:rPr>
        <w:t>浇筑前应对模板浇水湿润，柱模的清扫口应在清除杂物及积水后再封闭。</w:t>
      </w:r>
    </w:p>
    <w:p w14:paraId="1F3BC08B">
      <w:pPr>
        <w:ind w:firstLine="560"/>
      </w:pPr>
      <w:r>
        <w:rPr>
          <w:rFonts w:hint="eastAsia"/>
        </w:rPr>
        <w:t>（1）混凝土运输：</w:t>
      </w:r>
    </w:p>
    <w:p w14:paraId="5CB2DB0B">
      <w:pPr>
        <w:ind w:firstLine="560"/>
      </w:pPr>
      <w:r>
        <w:rPr>
          <w:rFonts w:hint="eastAsia"/>
        </w:rPr>
        <w:t>混凝土自搅拌机中卸出后，应及时运到浇筑地点。在运输过程中，要防止混凝土离析、水泥浆流失、坍落度变化以及产生初凝现象。如混凝土运到浇筑地点有离析现象时必须在浇灌前进行二次拌合。混凝土运输道路应平整顺畅，若有凹凸不平，应铺垫桥枋。在楼板施工时，应铺设专用桥道，严禁手推车和人员踩踏钢筋。混凝土从搅拌机中卸出后到浇筑完毕的延续时间，不宜超过下表规定。</w:t>
      </w:r>
    </w:p>
    <w:p w14:paraId="0E4F9307">
      <w:pPr>
        <w:ind w:firstLine="560"/>
      </w:pPr>
      <w:r>
        <w:rPr>
          <w:rFonts w:hint="eastAsia"/>
        </w:rPr>
        <w:t>混凝土从搅拌机卸出至浇筑完毕的延续时间（min）</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97"/>
        <w:gridCol w:w="3570"/>
        <w:gridCol w:w="3176"/>
      </w:tblGrid>
      <w:tr w14:paraId="0B592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538" w:type="pct"/>
            <w:vMerge w:val="restart"/>
            <w:vAlign w:val="center"/>
          </w:tcPr>
          <w:p w14:paraId="5362C4C1">
            <w:pPr>
              <w:pStyle w:val="38"/>
              <w:rPr>
                <w:color w:val="auto"/>
              </w:rPr>
            </w:pPr>
            <w:r>
              <w:rPr>
                <w:rFonts w:hint="eastAsia"/>
                <w:color w:val="auto"/>
              </w:rPr>
              <w:t>混凝土强度等级</w:t>
            </w:r>
          </w:p>
        </w:tc>
        <w:tc>
          <w:tcPr>
            <w:tcW w:w="3462" w:type="pct"/>
            <w:gridSpan w:val="2"/>
            <w:vAlign w:val="center"/>
          </w:tcPr>
          <w:p w14:paraId="0E338030">
            <w:pPr>
              <w:pStyle w:val="38"/>
              <w:rPr>
                <w:color w:val="auto"/>
              </w:rPr>
            </w:pPr>
            <w:r>
              <w:rPr>
                <w:rFonts w:hint="eastAsia"/>
                <w:color w:val="auto"/>
              </w:rPr>
              <w:t>气  温（℃）</w:t>
            </w:r>
          </w:p>
        </w:tc>
      </w:tr>
      <w:tr w14:paraId="7C2D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538" w:type="pct"/>
            <w:vMerge w:val="continue"/>
            <w:vAlign w:val="center"/>
          </w:tcPr>
          <w:p w14:paraId="4276EC90">
            <w:pPr>
              <w:pStyle w:val="38"/>
              <w:rPr>
                <w:color w:val="auto"/>
              </w:rPr>
            </w:pPr>
          </w:p>
        </w:tc>
        <w:tc>
          <w:tcPr>
            <w:tcW w:w="1832" w:type="pct"/>
            <w:vAlign w:val="center"/>
          </w:tcPr>
          <w:p w14:paraId="16FD4ACF">
            <w:pPr>
              <w:pStyle w:val="38"/>
              <w:rPr>
                <w:color w:val="auto"/>
              </w:rPr>
            </w:pPr>
            <w:r>
              <w:rPr>
                <w:rFonts w:hint="eastAsia"/>
                <w:color w:val="auto"/>
              </w:rPr>
              <w:t>&lt;25</w:t>
            </w:r>
          </w:p>
        </w:tc>
        <w:tc>
          <w:tcPr>
            <w:tcW w:w="1630" w:type="pct"/>
            <w:vAlign w:val="center"/>
          </w:tcPr>
          <w:p w14:paraId="769A8116">
            <w:pPr>
              <w:pStyle w:val="38"/>
              <w:rPr>
                <w:color w:val="auto"/>
              </w:rPr>
            </w:pPr>
            <w:r>
              <w:rPr>
                <w:rFonts w:hint="eastAsia"/>
                <w:color w:val="auto"/>
              </w:rPr>
              <w:t>25&gt;</w:t>
            </w:r>
          </w:p>
        </w:tc>
      </w:tr>
      <w:tr w14:paraId="48015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538" w:type="pct"/>
            <w:vAlign w:val="center"/>
          </w:tcPr>
          <w:p w14:paraId="51C09064">
            <w:pPr>
              <w:pStyle w:val="38"/>
              <w:rPr>
                <w:color w:val="auto"/>
              </w:rPr>
            </w:pPr>
            <w:r>
              <w:rPr>
                <w:rFonts w:hint="eastAsia"/>
                <w:color w:val="auto"/>
              </w:rPr>
              <w:t>&lt;C30</w:t>
            </w:r>
          </w:p>
        </w:tc>
        <w:tc>
          <w:tcPr>
            <w:tcW w:w="1832" w:type="pct"/>
            <w:vAlign w:val="center"/>
          </w:tcPr>
          <w:p w14:paraId="55248FBD">
            <w:pPr>
              <w:pStyle w:val="38"/>
              <w:rPr>
                <w:color w:val="auto"/>
              </w:rPr>
            </w:pPr>
            <w:r>
              <w:rPr>
                <w:rFonts w:hint="eastAsia"/>
                <w:color w:val="auto"/>
              </w:rPr>
              <w:t>120</w:t>
            </w:r>
          </w:p>
        </w:tc>
        <w:tc>
          <w:tcPr>
            <w:tcW w:w="1630" w:type="pct"/>
            <w:vAlign w:val="center"/>
          </w:tcPr>
          <w:p w14:paraId="3292DB20">
            <w:pPr>
              <w:pStyle w:val="38"/>
              <w:rPr>
                <w:color w:val="auto"/>
              </w:rPr>
            </w:pPr>
            <w:r>
              <w:rPr>
                <w:rFonts w:hint="eastAsia"/>
                <w:color w:val="auto"/>
              </w:rPr>
              <w:t>90</w:t>
            </w:r>
          </w:p>
        </w:tc>
      </w:tr>
    </w:tbl>
    <w:p w14:paraId="33E7E634">
      <w:pPr>
        <w:ind w:firstLine="560"/>
      </w:pPr>
      <w:r>
        <w:rPr>
          <w:rFonts w:hint="eastAsia"/>
        </w:rPr>
        <w:t>（2）混浇筑的一般要求：</w:t>
      </w:r>
    </w:p>
    <w:p w14:paraId="17FA0954">
      <w:pPr>
        <w:ind w:firstLine="560"/>
      </w:pPr>
      <w:r>
        <w:rPr>
          <w:rFonts w:hint="eastAsia"/>
        </w:rPr>
        <w:t>混凝土自吊斗口下落的自由倾落高度不得超过2m，如超过2m时必须采取措施。浇筑竖向结构混凝土时，如浇筑高度超过3m时，应采用模板机侧面开门子洞。浇筑混凝土时应分段分层进行，每层浇筑高度应根据结构特点、钢筋疏密决定。分层高度为插入式振动器作用部分长度的1.25倍，是最大超过500mm。平板振动器的分层厚度为200mm。</w:t>
      </w:r>
    </w:p>
    <w:p w14:paraId="2804EC50">
      <w:pPr>
        <w:ind w:firstLine="560"/>
      </w:pPr>
      <w:r>
        <w:rPr>
          <w:rFonts w:hint="eastAsia"/>
        </w:rPr>
        <w:t>使用插入式振动器应快插慢拔，插点要均匀排列，逐点移动，按顺序进行，不得遗漏，做到均匀振实。移动间距不大于振动棒作用半径的1.5倍（一般为300～400mm）。振捣上一层时应插入下层混凝土面50mm，以消除两层间的接缝。平板振动器的移动间距应能保证振动器的平板覆盖已振实部分边缘。浇筑混凝土应连续进行。如必须间歇其间歇时间应尽量缩短，并应在前层混凝土初凝之前，将次层混凝土浇筑完毕。间歇的最长时间按所用水泥品种及混凝土初凝条件确定一般超过2小时应按施工缝处理。浇筑混凝土时应派人经常观察模板钢筋、预留孔洞、预埋件、插筋等有无位移变形或堵塞情况，发现问题应立即停止浇筑并应在已浇筑的混凝土初凝前修整完毕。</w:t>
      </w:r>
    </w:p>
    <w:p w14:paraId="084DF505">
      <w:pPr>
        <w:ind w:firstLine="560"/>
      </w:pPr>
      <w:r>
        <w:rPr>
          <w:rFonts w:hint="eastAsia"/>
        </w:rPr>
        <w:t>（3）混凝土的养护</w:t>
      </w:r>
    </w:p>
    <w:p w14:paraId="5FD204D3">
      <w:pPr>
        <w:ind w:firstLine="560"/>
      </w:pPr>
      <w:r>
        <w:rPr>
          <w:rFonts w:hint="eastAsia"/>
        </w:rPr>
        <w:t>混凝土浇筑完毕后，应在12小时以内加以覆盖，并浇水养护。混凝土浇水养护日期一般不少于7天，掺用缓凝型外加剂或有抗渗要求的混凝土不得少于14天。每日浇水次数应能保持混凝土处于足够的湿润状态。常温下每日浇水两次。养护用水与拌制混凝土相同。</w:t>
      </w:r>
    </w:p>
    <w:p w14:paraId="7E08F5F4">
      <w:pPr>
        <w:pStyle w:val="4"/>
        <w:spacing w:before="36" w:after="36"/>
      </w:pPr>
      <w:r>
        <w:rPr>
          <w:rFonts w:hint="eastAsia"/>
        </w:rPr>
        <w:t>操作工艺现浇混凝土结构件的允许偏差和检验方法</w:t>
      </w:r>
    </w:p>
    <w:p w14:paraId="102512E9">
      <w:pPr>
        <w:ind w:firstLine="560"/>
      </w:pPr>
      <w:r>
        <w:rPr>
          <w:rFonts w:hint="eastAsia"/>
        </w:rPr>
        <w:t>操作工艺现浇混凝土结构件的允许偏差和检验方法详见操作工艺现浇混凝土结构件的允许偏差表。</w:t>
      </w:r>
    </w:p>
    <w:p w14:paraId="0A46273F">
      <w:pPr>
        <w:pStyle w:val="4"/>
        <w:spacing w:before="36" w:after="36"/>
      </w:pPr>
      <w:r>
        <w:rPr>
          <w:rFonts w:hint="eastAsia"/>
        </w:rPr>
        <w:t>操作工艺施工注意事项</w:t>
      </w:r>
    </w:p>
    <w:p w14:paraId="0C5CD984">
      <w:pPr>
        <w:ind w:firstLine="560"/>
      </w:pPr>
      <w:r>
        <w:rPr>
          <w:rFonts w:hint="eastAsia"/>
        </w:rPr>
        <w:t>（1）避免工程质量通病：</w:t>
      </w:r>
    </w:p>
    <w:p w14:paraId="65461B80">
      <w:pPr>
        <w:ind w:firstLine="560"/>
      </w:pPr>
      <w:r>
        <w:rPr>
          <w:rFonts w:hint="eastAsia"/>
        </w:rPr>
        <w:t>蜂窝：产生原因“振捣不实或漏振；模板缝隙过大导致水泥浆流失，钢筋较密或石子相应过大。预防措施：按规定使用和移动振动器。中途停歇后再浇捣时，新旧接缝范围要小心振捣。模板安装应清理模板表面及模板拼缝处的黏浆，才能使接缝严密。若接缝宽度超过2.5mm，应予填封，梁筋过密时应选择相应的石子粒径。</w:t>
      </w:r>
    </w:p>
    <w:p w14:paraId="6F70ED91">
      <w:pPr>
        <w:ind w:firstLine="560"/>
      </w:pPr>
      <w:r>
        <w:rPr>
          <w:rFonts w:hint="eastAsia"/>
        </w:rPr>
        <w:t>露筋：产生原因为主筋保护层垫块不足，导致钢筋紧贴模板；振捣不实。预防措施，钢筋垫块厚度要符合设计规定的保护层厚度；垫块放置间距适当，钢筋直径较小时，垫块间距宜密些，使钢筋下垂挠度减少；使用振动器必须待混凝土中气泡安全排除后才移动。</w:t>
      </w:r>
    </w:p>
    <w:p w14:paraId="2504CCA9">
      <w:pPr>
        <w:ind w:firstLine="560"/>
      </w:pPr>
      <w:r>
        <w:rPr>
          <w:rFonts w:hint="eastAsia"/>
        </w:rPr>
        <w:t>麻面：产生原因为模板表面不光滑；模板湿润不够；漏涂隔离剂。预防措施；模板应平整光滑，安装前要把粘浆清除干净，并满涂隔离剂，浇捣前对模板要浇水湿润。</w:t>
      </w:r>
    </w:p>
    <w:p w14:paraId="503B0691">
      <w:pPr>
        <w:ind w:firstLine="560"/>
      </w:pPr>
      <w:r>
        <w:rPr>
          <w:rFonts w:hint="eastAsia"/>
        </w:rPr>
        <w:t>孔洞：产生原因为在钢筋较密的部位，混凝土被卡住或漏振。预防措施：对钢筋较密的部位应分次下料，缩小分层振捣的厚度；按照规程使用振动器。</w:t>
      </w:r>
    </w:p>
    <w:p w14:paraId="5D6D706D">
      <w:pPr>
        <w:ind w:firstLine="560"/>
      </w:pPr>
      <w:r>
        <w:rPr>
          <w:rFonts w:hint="eastAsia"/>
        </w:rPr>
        <w:t>缝隙及夹渣：产生原因为施工缝没有按规定进行清理和浇浆，特别是柱头和模板脚。预防措施：浇注前对柱头、施工缝、梯板脚等部位重新检查，清理杂物、泥沙、屑。</w:t>
      </w:r>
    </w:p>
    <w:p w14:paraId="40C5A51F">
      <w:pPr>
        <w:ind w:firstLine="560"/>
      </w:pPr>
      <w:r>
        <w:rPr>
          <w:rFonts w:hint="eastAsia"/>
        </w:rPr>
        <w:t>钢筋模板表面平整度差：产生原因为振捣后没有用拖板、刮尺抹平；跌级和斜水部位没有符合尺寸的模具定位混凝土未达终凝就在上面行人和操作。预防措施：浇捣楼面应提倡使用拖板或者刮尺抹平，跌级要使用平直、厚度符合要求的模具定位；混凝土达到1.2Mpa后才允许在混凝土面上操作。</w:t>
      </w:r>
    </w:p>
    <w:p w14:paraId="3B41DEDB">
      <w:pPr>
        <w:ind w:firstLine="560"/>
      </w:pPr>
      <w:r>
        <w:rPr>
          <w:rFonts w:hint="eastAsia"/>
        </w:rPr>
        <w:t>轴线位移，螺孔、埋件位移：产生原因为模板支撑不牢，埋件固定措施不当，浇筑时受到碰撞引起。预防措施：基础混凝土是属厚大构件，模板支撑系统要予以充分考虑：当混凝土捣至螺孔底时，要进行复线检查，及时纠正。浇柱混凝土时应螺孔周协定均匀下料，对重要的预埋螺栓尚应采用钢架固定，必要时二次浇筑。</w:t>
      </w:r>
    </w:p>
    <w:p w14:paraId="45D37764">
      <w:pPr>
        <w:ind w:firstLine="560"/>
      </w:pPr>
      <w:r>
        <w:rPr>
          <w:rFonts w:hint="eastAsia"/>
        </w:rPr>
        <w:t>混凝土表面不规则裂缝：产生原因为一般是淋水保养不及时，湿润不足，水分蒸发过快或厚大构件温差收缩，没有执行有关规定。预防措施：混凝土终凝后立即进行淋水保养；高温或干燥天气要加麻袋等覆盖，保持构件有较久的湿润时间。厚大构件参照大体积混凝土施工的有关规定。</w:t>
      </w:r>
    </w:p>
    <w:p w14:paraId="75D3F187">
      <w:pPr>
        <w:ind w:firstLine="560"/>
      </w:pPr>
      <w:r>
        <w:rPr>
          <w:rFonts w:hint="eastAsia"/>
        </w:rPr>
        <w:t>缺棱缺欠：产生原因为投料不准确，搅拌不均匀，出现局部强度低，或拆模板过早，拆模方法不当。预防措施：指定专人监控投料，投料计量准确，搅拌时间要足够；拆模板应在混凝土强能保证其表面及棱角不应在拆除模板而受损坏时方能拆除。拆除时对构件棱角应予以保护。</w:t>
      </w:r>
    </w:p>
    <w:p w14:paraId="61788F1B">
      <w:pPr>
        <w:ind w:firstLine="560"/>
      </w:pPr>
      <w:r>
        <w:rPr>
          <w:rFonts w:hint="eastAsia"/>
        </w:rPr>
        <w:t>钢筋保护层垫块脆裂：产生原因为垫块强度低于构件强度；沉置钢筋笼时冲力过大。预防措施：垫块的强度不得低于构件强度，并能抵御钢筋放置时的冲击力；当承托较大的钢筋时，垫导体中应加钢筋或铁丝增加；垫块制作完毕应浇水养护。</w:t>
      </w:r>
    </w:p>
    <w:p w14:paraId="763549E6">
      <w:pPr>
        <w:ind w:firstLine="560"/>
      </w:pPr>
      <w:r>
        <w:rPr>
          <w:rFonts w:hint="eastAsia"/>
        </w:rPr>
        <w:t>计量不准确：砂、石、水泥（包括散装水泥和水）未经计量或计量不准；外加剂没有按程序操作，而导致混凝土质量下降。</w:t>
      </w:r>
    </w:p>
    <w:p w14:paraId="6F11E1A8">
      <w:pPr>
        <w:ind w:firstLine="560"/>
      </w:pPr>
      <w:r>
        <w:rPr>
          <w:rFonts w:hint="eastAsia"/>
        </w:rPr>
        <w:t>（2）主要安全技术措施：</w:t>
      </w:r>
    </w:p>
    <w:p w14:paraId="7FB6F741">
      <w:pPr>
        <w:ind w:firstLine="560"/>
      </w:pPr>
      <w:r>
        <w:rPr>
          <w:rFonts w:hint="eastAsia"/>
        </w:rPr>
        <w:t>搅拌机应该设置在平坦的位置上，用木枋垫起轮轴，将轮胎架空，防止开机时发生移动。作业完毕，随即将拌筒清洗干净，筒内不得有积水。搅拌机上料半提升后，斗下不准人员通行。如必须在斗下作业，须将上料斗用保险链长挂牢，并停机。搅拌机应有专用开关箱，并应装有漏电保护器。停机后应拉断电闸，锁好开关箱。</w:t>
      </w:r>
    </w:p>
    <w:p w14:paraId="7DF5CC4F">
      <w:pPr>
        <w:ind w:firstLine="560"/>
      </w:pPr>
      <w:r>
        <w:rPr>
          <w:rFonts w:hint="eastAsia"/>
        </w:rPr>
        <w:t>使用振动器的作业人员，应穿胶鞋，戴绝缘手套，使用带有漏电保护的开关箱。使用手推车倾倒混凝土时，应有挡车措施，不得用力过猛或撒把。垂直运输采用井架时，手推车放置要平稳，车把不得伸出笼外，车轮前后应挡牢。使用溜槽时，严禁操作人员直接站在溜槽邦上操作。宜提倡预埋间距200mm X 200mm钢筋网作可靠性防护。夜间作业，应有足够照明设备，并防止眩光。</w:t>
      </w:r>
    </w:p>
    <w:p w14:paraId="60557C4A">
      <w:pPr>
        <w:ind w:firstLine="560"/>
      </w:pPr>
      <w:r>
        <w:rPr>
          <w:rFonts w:hint="eastAsia"/>
        </w:rPr>
        <w:t>3）产品保护：</w:t>
      </w:r>
    </w:p>
    <w:p w14:paraId="7EB16AB4">
      <w:pPr>
        <w:ind w:firstLine="560"/>
        <w:rPr>
          <w:rFonts w:hint="eastAsia"/>
        </w:rPr>
      </w:pPr>
      <w:r>
        <w:rPr>
          <w:rFonts w:hint="eastAsia"/>
        </w:rPr>
        <w:t>混凝土浇筑期间，及时校对预留伸出钢筋或埋件位置。已浇的混凝土强度达到1.2Mpa后才准在上面进行操作。侧面模板应在混凝土强度能保证其棱角不因拆模而受到损坏时，方可拆模。不能用重物冲击模板，不准在梁侧或吊板上蹬踩。使用振动棒时，注意不触碰钢筋与埋件、预埋螺栓、暗管等，如发现变异应及时校正。雨期施工应备有足够的防御措施，及时对已浇筑的部位进行遮盖。下雨期间，避免露天作业。日平均气温低于5℃时，不得浇水养护，宜用塑料薄膜或麻袋，草袋覆盖保温。</w:t>
      </w:r>
    </w:p>
    <w:p w14:paraId="4DC067D5">
      <w:pPr>
        <w:ind w:firstLine="560"/>
        <w:rPr>
          <w:rFonts w:hint="eastAsia" w:ascii="Times New Roman" w:hAnsi="Times New Roman" w:cs="Times New Roman" w:eastAsiaTheme="minorEastAsia"/>
          <w:b/>
          <w:bCs/>
          <w:kern w:val="2"/>
          <w:sz w:val="30"/>
          <w:szCs w:val="32"/>
          <w:lang w:val="en-US" w:eastAsia="zh-CN" w:bidi="ar-SA"/>
        </w:rPr>
      </w:pPr>
      <w:r>
        <w:rPr>
          <w:rFonts w:hint="eastAsia" w:ascii="Times New Roman" w:hAnsi="Times New Roman" w:cs="Times New Roman" w:eastAsiaTheme="minorEastAsia"/>
          <w:b/>
          <w:bCs/>
          <w:kern w:val="2"/>
          <w:sz w:val="30"/>
          <w:szCs w:val="32"/>
          <w:lang w:val="en-US" w:eastAsia="zh-CN" w:bidi="ar-SA"/>
        </w:rPr>
        <w:t>道路</w:t>
      </w:r>
    </w:p>
    <w:p w14:paraId="56B330B2">
      <w:pPr>
        <w:ind w:firstLine="560"/>
        <w:rPr>
          <w:color w:val="auto"/>
        </w:rPr>
      </w:pPr>
      <w:r>
        <w:rPr>
          <w:rFonts w:hint="eastAsia"/>
          <w:color w:val="auto"/>
        </w:rPr>
        <w:t>（一）施工工艺。</w:t>
      </w:r>
    </w:p>
    <w:p w14:paraId="60785BAD">
      <w:pPr>
        <w:ind w:firstLine="560"/>
        <w:rPr>
          <w:color w:val="auto"/>
        </w:rPr>
      </w:pPr>
      <w:r>
        <w:rPr>
          <w:rFonts w:hint="eastAsia"/>
          <w:color w:val="auto"/>
        </w:rPr>
        <w:t>施工准备→测量放样→土方开挖-路床验槽+路床压实→回填土压实度检验→碎石路基铺垫-砼路面浇筑+路肩夯填土→交工验收。</w:t>
      </w:r>
    </w:p>
    <w:p w14:paraId="51A18231">
      <w:pPr>
        <w:ind w:firstLine="560"/>
        <w:rPr>
          <w:color w:val="auto"/>
        </w:rPr>
      </w:pPr>
      <w:r>
        <w:rPr>
          <w:rFonts w:hint="eastAsia"/>
          <w:color w:val="auto"/>
        </w:rPr>
        <w:t>（二）施工方法</w:t>
      </w:r>
    </w:p>
    <w:p w14:paraId="10F16944">
      <w:pPr>
        <w:ind w:firstLine="560"/>
        <w:rPr>
          <w:color w:val="auto"/>
        </w:rPr>
      </w:pPr>
      <w:r>
        <w:rPr>
          <w:rFonts w:hint="eastAsia"/>
          <w:color w:val="auto"/>
        </w:rPr>
        <w:t>1、土方开挖施工</w:t>
      </w:r>
    </w:p>
    <w:p w14:paraId="1E5FAC1B">
      <w:pPr>
        <w:ind w:firstLine="560"/>
        <w:rPr>
          <w:color w:val="auto"/>
        </w:rPr>
      </w:pPr>
      <w:r>
        <w:rPr>
          <w:rFonts w:hint="eastAsia"/>
          <w:color w:val="auto"/>
        </w:rPr>
        <w:t>由于开挖深度较浅，可安排反铲挖掘机、自卸汽车配合挖装运土，在接近基底20cm范围内，由人工辅助开挖修坡、修底。</w:t>
      </w:r>
    </w:p>
    <w:p w14:paraId="581DEDC9">
      <w:pPr>
        <w:ind w:firstLine="560"/>
        <w:rPr>
          <w:color w:val="auto"/>
        </w:rPr>
      </w:pPr>
      <w:r>
        <w:rPr>
          <w:rFonts w:hint="eastAsia"/>
          <w:color w:val="auto"/>
        </w:rPr>
        <w:t>2、原土夯实</w:t>
      </w:r>
    </w:p>
    <w:p w14:paraId="13666BEB">
      <w:pPr>
        <w:ind w:firstLine="560"/>
        <w:rPr>
          <w:color w:val="auto"/>
        </w:rPr>
      </w:pPr>
      <w:r>
        <w:rPr>
          <w:rFonts w:hint="eastAsia"/>
          <w:color w:val="auto"/>
        </w:rPr>
        <w:t>采用压路机碾压4~6遍，压实度不小于0.91。在构筑物边角碾压机械不易压实及靠近构筑物1m范围内不宜采用压路机压实的部位，辅以小型打夯机夯实。</w:t>
      </w:r>
    </w:p>
    <w:p w14:paraId="2857F5D9">
      <w:pPr>
        <w:ind w:firstLine="560"/>
        <w:rPr>
          <w:color w:val="auto"/>
        </w:rPr>
      </w:pPr>
      <w:r>
        <w:rPr>
          <w:rFonts w:hint="eastAsia"/>
          <w:color w:val="auto"/>
        </w:rPr>
        <w:t>3、碎石基层施工</w:t>
      </w:r>
    </w:p>
    <w:p w14:paraId="0A3CB26A">
      <w:pPr>
        <w:ind w:firstLine="560"/>
        <w:rPr>
          <w:color w:val="auto"/>
        </w:rPr>
      </w:pPr>
      <w:r>
        <w:rPr>
          <w:rFonts w:hint="eastAsia"/>
          <w:color w:val="auto"/>
        </w:rPr>
        <w:t>路基填筑压实作业：路基填料在铺料、平整、洒水润湿，并要求洒水后进行碾压压实。拟选用YZ-12T振动碾，采用进退错距法，进行施工碾迹搭压宽度不应小于0.1m，碾压时行驶速度为2Km/h。搭接位置不小于平行路轴线方向0.5m，顺道路轴线方向行驶，机械碾压不到的边角部位，采用12马力蛙式打夯机夯实，局部人工木夯夯实。碎石的质量应符合规范要求，且级配良好、不得有超粒径的现象发生，不得含有石粉、碎石里不得含有风化石或软石。</w:t>
      </w:r>
    </w:p>
    <w:p w14:paraId="56256D10">
      <w:pPr>
        <w:ind w:firstLine="560"/>
        <w:rPr>
          <w:color w:val="auto"/>
        </w:rPr>
      </w:pPr>
      <w:r>
        <w:rPr>
          <w:rFonts w:hint="eastAsia"/>
          <w:color w:val="auto"/>
        </w:rPr>
        <w:t>4、混凝土路面施工</w:t>
      </w:r>
    </w:p>
    <w:p w14:paraId="3D3205C8">
      <w:pPr>
        <w:ind w:firstLine="560"/>
        <w:rPr>
          <w:color w:val="auto"/>
        </w:rPr>
      </w:pPr>
      <w:r>
        <w:rPr>
          <w:rFonts w:hint="eastAsia"/>
          <w:color w:val="auto"/>
        </w:rPr>
        <w:t>浇制混凝土路面前，首先铺设碎石垫层，垫层的材料应根据规范要求进行选料，按设计的宽度及厚度进行摊铺。然后用12t压路机进行碾压，碾压4~6遍，直至碾压到无明显轮迹及在碾轮下材料完全稳定为止。碎石垫层压实碾平后，在其上浇筑混凝土路面。</w:t>
      </w:r>
    </w:p>
    <w:p w14:paraId="313ECDD5">
      <w:pPr>
        <w:ind w:firstLine="560"/>
        <w:rPr>
          <w:color w:val="auto"/>
        </w:rPr>
      </w:pPr>
      <w:r>
        <w:rPr>
          <w:rFonts w:hint="eastAsia"/>
          <w:color w:val="auto"/>
        </w:rPr>
        <w:t>混凝土路面的施工工序及要求如下：</w:t>
      </w:r>
    </w:p>
    <w:p w14:paraId="6C2E1ADC">
      <w:pPr>
        <w:ind w:firstLine="560"/>
        <w:rPr>
          <w:color w:val="auto"/>
        </w:rPr>
      </w:pPr>
      <w:r>
        <w:rPr>
          <w:rFonts w:hint="eastAsia"/>
          <w:color w:val="auto"/>
        </w:rPr>
        <w:t>(1)板安装：模板采用钢模，长度3~4m，模板两侧用铁钎打入基层固定。模板的顶面与混凝土板顶面齐平，并应与设计高程一致，模板底面与基层顶面紧贴，局部低洼处(空隙)用水泥浆铺平并充分捣实(2)混凝土拌和与运输：混凝土的拌和与运输符合规范要求；混凝土混合料从拌和机出料后至浇注完毕的允许最长时间，由试验室根据水泥初凝时间及施工气温确定，并报监理工程师认可。(3)混凝土摊铺：混凝土混合料摊铺前，对模板的间距、高度、润滑、支撑稳固情况，以及钢筋、传力杆、拉杆安装位置进行全面检查混凝土采用批准的摊铺机具进行摊铺，摊铺连续进行，如因任何原因发生中途停工，应按监理工程师指示设置施工缝。</w:t>
      </w:r>
    </w:p>
    <w:p w14:paraId="78080B86">
      <w:pPr>
        <w:ind w:firstLine="560"/>
        <w:rPr>
          <w:color w:val="auto"/>
        </w:rPr>
      </w:pPr>
      <w:r>
        <w:rPr>
          <w:rFonts w:hint="eastAsia"/>
          <w:color w:val="auto"/>
        </w:rPr>
        <w:t>拌好后的混凝土，用插入式振捣器沿模板各表面在模板整个长度内及所有胀缝装置两边加以充分振捣。振捣器不许接触接缝装置及边模，并不得触及钢筋网、传力杆和拉杆，在任-位置上，振捣时间不宜小于规范要求，再用平板振捣器振搗。然后用振动整平梁振动整平，振动梁应平行移动，往返振平2-3遍。</w:t>
      </w:r>
    </w:p>
    <w:p w14:paraId="4694847E">
      <w:pPr>
        <w:ind w:firstLine="560"/>
        <w:rPr>
          <w:color w:val="auto"/>
        </w:rPr>
      </w:pPr>
      <w:r>
        <w:rPr>
          <w:rFonts w:hint="eastAsia"/>
          <w:color w:val="auto"/>
        </w:rPr>
        <w:t>(4)表面修整：混凝土摊铺、捣实、刮平作业完成后，用批准的修整设备进一步整平，使混凝土表面达到要求的横坡度和平整度。修整作业时，不得在混凝土表面酒水。接缝和混凝土表面不规则处的人工修整作业，在监理工程师认可的工作桥上进行，工作桥不得支承在尚未达到要求强度的混凝土上。修整作业在混凝士仍保持塑性和具有和易性的时候进行，以确保从混凝土表面上清除水分和浮浆。在表面低洼处，严禁洒水、撒干水泥，必须以新拌制的混凝土填补与修整。</w:t>
      </w:r>
    </w:p>
    <w:p w14:paraId="6C22B332">
      <w:pPr>
        <w:ind w:firstLine="560"/>
        <w:rPr>
          <w:color w:val="auto"/>
        </w:rPr>
      </w:pPr>
      <w:r>
        <w:rPr>
          <w:rFonts w:hint="eastAsia"/>
          <w:color w:val="auto"/>
        </w:rPr>
        <w:t>(5)接缝</w:t>
      </w:r>
    </w:p>
    <w:p w14:paraId="1D147148">
      <w:pPr>
        <w:ind w:firstLine="560"/>
        <w:rPr>
          <w:color w:val="auto"/>
        </w:rPr>
      </w:pPr>
      <w:r>
        <w:rPr>
          <w:rFonts w:hint="eastAsia"/>
          <w:color w:val="auto"/>
        </w:rPr>
        <w:t>纵缝：本项目设计路面宽为3.5米，不设纵缝。</w:t>
      </w:r>
    </w:p>
    <w:p w14:paraId="67A6A52E">
      <w:pPr>
        <w:ind w:firstLine="560"/>
        <w:rPr>
          <w:color w:val="auto"/>
        </w:rPr>
      </w:pPr>
      <w:r>
        <w:rPr>
          <w:rFonts w:hint="eastAsia"/>
          <w:color w:val="auto"/>
        </w:rPr>
        <w:t>横胀缝：路面横向胀缝每隔200m设一条宽20mm，嵌沥青砂桨，胀缝与路面中心线垂直，缝壁必须垂直，相邻车道的胀缝设在同一横断面上，缝隙宽度应一致。胀缝下部设置胀缝板，上部浇灌填缝料。缝隙内任何处均不准塞有混凝土和其他杂物。</w:t>
      </w:r>
    </w:p>
    <w:p w14:paraId="5D4FFB63">
      <w:pPr>
        <w:ind w:firstLine="560"/>
        <w:rPr>
          <w:color w:val="auto"/>
        </w:rPr>
      </w:pPr>
      <w:r>
        <w:rPr>
          <w:rFonts w:hint="eastAsia"/>
          <w:color w:val="auto"/>
        </w:rPr>
        <w:t>横缩缝：路面横向伸缩缝每隔5m设一条机切缝，切入深度6mm，嵌沥青砂桨。锯缝用混凝土锯缝机切割，锯缝时间根据使用水泥类型、气候条件来决定，一般在混凝土强度达到1~1.5MPa时锯缝为宜，每条的锯缝作业必须一次完成。缝内的粉料和杂物彻底清除。当缘石与混凝土路面整体施工时，接缝应延伸到缘石上面5cm。横向施工缝：每天工作结束或当浇注工序中断超过30分钟时，则应设置垂直于路中线的平接施工缝。</w:t>
      </w:r>
    </w:p>
    <w:p w14:paraId="20C215DF">
      <w:pPr>
        <w:ind w:firstLine="560"/>
        <w:rPr>
          <w:color w:val="auto"/>
        </w:rPr>
      </w:pPr>
      <w:r>
        <w:rPr>
          <w:rFonts w:hint="eastAsia"/>
          <w:color w:val="auto"/>
        </w:rPr>
        <w:t>道路路肩若采用浆砌石，沿纵方向每20m设置一伸缩缝，填20宽1: 2沥青砂浆。</w:t>
      </w:r>
    </w:p>
    <w:p w14:paraId="73CE1C89">
      <w:pPr>
        <w:ind w:firstLine="560"/>
        <w:rPr>
          <w:color w:val="auto"/>
        </w:rPr>
      </w:pPr>
      <w:r>
        <w:rPr>
          <w:rFonts w:hint="eastAsia"/>
          <w:color w:val="auto"/>
        </w:rPr>
        <w:t xml:space="preserve"> (6)拆模、养护和封缝：</w:t>
      </w:r>
    </w:p>
    <w:p w14:paraId="2059868C">
      <w:pPr>
        <w:ind w:firstLine="560"/>
        <w:rPr>
          <w:color w:val="auto"/>
        </w:rPr>
      </w:pPr>
      <w:r>
        <w:rPr>
          <w:rFonts w:hint="eastAsia"/>
          <w:color w:val="auto"/>
        </w:rPr>
        <w:t>拆模：在混凝土强度达到设计强度的有关规范要求时进行拆模，并取得监理工程师同意。拆模后，任何蜂窝、麻面及板边的损坏应予整修，并及时将横向胀缝沿混凝土面板边缘通开至全部深度。</w:t>
      </w:r>
    </w:p>
    <w:p w14:paraId="5969A043">
      <w:pPr>
        <w:ind w:firstLine="560"/>
        <w:rPr>
          <w:color w:val="auto"/>
        </w:rPr>
      </w:pPr>
      <w:r>
        <w:rPr>
          <w:rFonts w:hint="eastAsia"/>
          <w:color w:val="auto"/>
        </w:rPr>
        <w:t>养护：水泥砼路面割缝完成后即可进行保溢养护，采用土工布漫湿后覆盖浇水养护(或喷洒塑料薄膜毛毡布覆盖洒水等养护方法)，每天洒水次数根据气候而定，水泥砼面层一般养护期为14~21天，气温低时适当延长。养护期间禁止车辆运行，在达到设计强度后方可开放交通。</w:t>
      </w:r>
    </w:p>
    <w:p w14:paraId="2D16A290">
      <w:pPr>
        <w:ind w:firstLine="560"/>
        <w:rPr>
          <w:color w:val="auto"/>
        </w:rPr>
      </w:pPr>
      <w:r>
        <w:rPr>
          <w:rFonts w:hint="eastAsia"/>
          <w:color w:val="auto"/>
        </w:rPr>
        <w:t>封缝：混凝土面板中所有接缝缝槽均按设计图纸的要求和部位用填缝料封缝。接缝缝槽要求干燥、无尘土、无混凝土碎屑或其他杂物。填缝料要按照生产厂推荐的方法加热和灌缝；填缝料与混凝土缝壁粘附紧密不渗水。填缝料应由槽底部灌填至路表面，深度大于2.5cm的缝槽最少分二层填缝，每层厚度大致相等。灌缝作业在高温季节使填缝料灌至路表面齐平，在低温季节则稍低于路表面。填缝随工程的进度，使在开放交通前，填缝料要有充分时间的硬结。</w:t>
      </w:r>
    </w:p>
    <w:p w14:paraId="60C794D8">
      <w:pPr>
        <w:ind w:firstLine="560"/>
        <w:rPr>
          <w:color w:val="auto"/>
        </w:rPr>
      </w:pPr>
      <w:r>
        <w:rPr>
          <w:rFonts w:hint="eastAsia"/>
          <w:color w:val="auto"/>
        </w:rPr>
        <w:t>(7)质量控制：施工过程中混凝土混合料按规范要求检验混凝土的抗压与弯拉强度，以及混合料中各种组成材料用量的允许偏差。并按规范中有关规定，评定混凝土合格强度。外观上路面侧石直顺、曲线圆滑，接缝填筑饱满密实。</w:t>
      </w:r>
    </w:p>
    <w:p w14:paraId="4BE3C346">
      <w:pPr>
        <w:ind w:firstLine="560"/>
        <w:rPr>
          <w:rFonts w:hint="eastAsia"/>
        </w:rPr>
        <w:sectPr>
          <w:headerReference r:id="rId13" w:type="first"/>
          <w:footerReference r:id="rId16" w:type="first"/>
          <w:headerReference r:id="rId11" w:type="default"/>
          <w:footerReference r:id="rId14" w:type="default"/>
          <w:headerReference r:id="rId12" w:type="even"/>
          <w:footerReference r:id="rId15" w:type="even"/>
          <w:pgSz w:w="23814" w:h="16840" w:orient="landscape"/>
          <w:pgMar w:top="1797" w:right="1134" w:bottom="1418" w:left="1701" w:header="851" w:footer="992" w:gutter="0"/>
          <w:pgNumType w:start="1"/>
          <w:cols w:space="1513" w:num="2"/>
          <w:docGrid w:linePitch="312" w:charSpace="0"/>
        </w:sectPr>
      </w:pPr>
      <w:r>
        <w:rPr>
          <w:rFonts w:hint="eastAsia"/>
          <w:color w:val="auto"/>
        </w:rPr>
        <w:t>混凝土路面应机械刻纹防滑。</w:t>
      </w:r>
    </w:p>
    <w:p w14:paraId="5572EE23">
      <w:pPr>
        <w:ind w:left="0" w:leftChars="0" w:firstLine="0" w:firstLineChars="0"/>
      </w:pPr>
    </w:p>
    <w:sectPr>
      <w:footerReference r:id="rId17" w:type="default"/>
      <w:pgSz w:w="23814" w:h="16840" w:orient="landscape"/>
      <w:pgMar w:top="1797" w:right="1134" w:bottom="1418" w:left="1701" w:header="851" w:footer="992" w:gutter="0"/>
      <w:cols w:space="1513"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瀹嬩綋">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7AA01">
    <w:pPr>
      <w:pStyle w:val="13"/>
      <w:ind w:firstLine="560"/>
      <w:jc w:val="center"/>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47F4A">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6D5C9">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2746001"/>
      <w:docPartObj>
        <w:docPartGallery w:val="autotext"/>
      </w:docPartObj>
    </w:sdtPr>
    <w:sdtContent>
      <w:p w14:paraId="7E856139">
        <w:pPr>
          <w:pStyle w:val="13"/>
          <w:ind w:firstLine="360"/>
          <w:jc w:val="center"/>
        </w:pPr>
        <w:r>
          <w:rPr>
            <w:sz w:val="24"/>
          </w:rPr>
          <w:fldChar w:fldCharType="begin"/>
        </w:r>
        <w:r>
          <w:rPr>
            <w:sz w:val="24"/>
          </w:rPr>
          <w:instrText xml:space="preserve">PAGE   \* MERGEFORMAT</w:instrText>
        </w:r>
        <w:r>
          <w:rPr>
            <w:sz w:val="24"/>
          </w:rPr>
          <w:fldChar w:fldCharType="separate"/>
        </w:r>
        <w:r>
          <w:rPr>
            <w:sz w:val="24"/>
            <w:lang w:val="zh-CN"/>
          </w:rPr>
          <w:t>3</w:t>
        </w:r>
        <w:r>
          <w:rPr>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5759D">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E1CF">
    <w:pPr>
      <w:pStyle w:val="1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1983">
    <w:pPr>
      <w:pStyle w:val="13"/>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2AD14">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74F5">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DD320">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7EA9D">
    <w:pPr>
      <w:ind w:firstLine="5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A118E">
    <w:pPr>
      <w:pStyle w:val="14"/>
      <w:tabs>
        <w:tab w:val="right" w:pos="9356"/>
      </w:tabs>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B455D">
    <w:pPr>
      <w:pStyle w:val="14"/>
      <w:tabs>
        <w:tab w:val="right" w:pos="9356"/>
      </w:tabs>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59069E"/>
    <w:multiLevelType w:val="multilevel"/>
    <w:tmpl w:val="2559069E"/>
    <w:lvl w:ilvl="0" w:tentative="0">
      <w:start w:val="1"/>
      <w:numFmt w:val="decimal"/>
      <w:suff w:val="space"/>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4B5000BC"/>
    <w:multiLevelType w:val="multilevel"/>
    <w:tmpl w:val="4B5000BC"/>
    <w:lvl w:ilvl="0" w:tentative="0">
      <w:start w:val="1"/>
      <w:numFmt w:val="decimal"/>
      <w:suff w:val="space"/>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69070C2E"/>
    <w:multiLevelType w:val="multilevel"/>
    <w:tmpl w:val="69070C2E"/>
    <w:lvl w:ilvl="0" w:tentative="0">
      <w:start w:val="1"/>
      <w:numFmt w:val="chineseCountingThousand"/>
      <w:pStyle w:val="2"/>
      <w:suff w:val="space"/>
      <w:lvlText w:val="%1、"/>
      <w:lvlJc w:val="left"/>
      <w:pPr>
        <w:ind w:left="0" w:firstLine="0"/>
      </w:pPr>
      <w:rPr>
        <w:rFonts w:hint="eastAsia"/>
      </w:rPr>
    </w:lvl>
    <w:lvl w:ilvl="1" w:tentative="0">
      <w:start w:val="1"/>
      <w:numFmt w:val="decimal"/>
      <w:pStyle w:val="3"/>
      <w:isLgl/>
      <w:suff w:val="space"/>
      <w:lvlText w:val="%1.%2"/>
      <w:lvlJc w:val="left"/>
      <w:pPr>
        <w:ind w:left="0" w:firstLine="0"/>
      </w:pPr>
      <w:rPr>
        <w:rFonts w:hint="eastAsia"/>
      </w:rPr>
    </w:lvl>
    <w:lvl w:ilvl="2" w:tentative="0">
      <w:start w:val="1"/>
      <w:numFmt w:val="decimal"/>
      <w:pStyle w:val="4"/>
      <w:isLgl/>
      <w:suff w:val="space"/>
      <w:lvlText w:val="%1.%2.%3"/>
      <w:lvlJc w:val="left"/>
      <w:pPr>
        <w:ind w:left="0" w:firstLine="0"/>
      </w:pPr>
      <w:rPr>
        <w:rFonts w:hint="eastAsia"/>
      </w:rPr>
    </w:lvl>
    <w:lvl w:ilvl="3" w:tentative="0">
      <w:start w:val="1"/>
      <w:numFmt w:val="decimal"/>
      <w:pStyle w:val="5"/>
      <w:isLgl/>
      <w:suff w:val="space"/>
      <w:lvlText w:val="%1.%2.%3.%4"/>
      <w:lvlJc w:val="left"/>
      <w:pPr>
        <w:ind w:left="0" w:firstLine="0"/>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isLgl/>
      <w:lvlText w:val="%1.%2.%3.%4.%5.%6"/>
      <w:lvlJc w:val="left"/>
      <w:pPr>
        <w:ind w:left="1152" w:hanging="1152"/>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GMxNWFmOTIxNDhhYTg0Y2JjMDM2YmRlZWFiOWMifQ=="/>
  </w:docVars>
  <w:rsids>
    <w:rsidRoot w:val="008C4C01"/>
    <w:rsid w:val="000008C0"/>
    <w:rsid w:val="00044191"/>
    <w:rsid w:val="00081A3E"/>
    <w:rsid w:val="0009695F"/>
    <w:rsid w:val="000C0E8D"/>
    <w:rsid w:val="000D19C9"/>
    <w:rsid w:val="000D3C2C"/>
    <w:rsid w:val="000E5DA9"/>
    <w:rsid w:val="000E6264"/>
    <w:rsid w:val="000F0F78"/>
    <w:rsid w:val="00106F22"/>
    <w:rsid w:val="00120161"/>
    <w:rsid w:val="00147F55"/>
    <w:rsid w:val="00160CED"/>
    <w:rsid w:val="00186515"/>
    <w:rsid w:val="001B49F3"/>
    <w:rsid w:val="001C4794"/>
    <w:rsid w:val="001C6965"/>
    <w:rsid w:val="001F5DF9"/>
    <w:rsid w:val="00224383"/>
    <w:rsid w:val="002264A2"/>
    <w:rsid w:val="002D759B"/>
    <w:rsid w:val="00313365"/>
    <w:rsid w:val="0036706D"/>
    <w:rsid w:val="00371554"/>
    <w:rsid w:val="00376E89"/>
    <w:rsid w:val="00393C2F"/>
    <w:rsid w:val="003A1DE8"/>
    <w:rsid w:val="003E3584"/>
    <w:rsid w:val="00407FAF"/>
    <w:rsid w:val="0043009E"/>
    <w:rsid w:val="00436AA3"/>
    <w:rsid w:val="00446AFA"/>
    <w:rsid w:val="00463193"/>
    <w:rsid w:val="00492C95"/>
    <w:rsid w:val="004A0EAC"/>
    <w:rsid w:val="004D1EB4"/>
    <w:rsid w:val="0054207A"/>
    <w:rsid w:val="0055145F"/>
    <w:rsid w:val="00560446"/>
    <w:rsid w:val="005621E8"/>
    <w:rsid w:val="00563F5B"/>
    <w:rsid w:val="005762FB"/>
    <w:rsid w:val="0059274E"/>
    <w:rsid w:val="00596456"/>
    <w:rsid w:val="005B4444"/>
    <w:rsid w:val="005B6A67"/>
    <w:rsid w:val="005C0CF4"/>
    <w:rsid w:val="005D58BE"/>
    <w:rsid w:val="005E5377"/>
    <w:rsid w:val="005E6E6B"/>
    <w:rsid w:val="005F31F2"/>
    <w:rsid w:val="006079FD"/>
    <w:rsid w:val="00627117"/>
    <w:rsid w:val="00635147"/>
    <w:rsid w:val="006354C9"/>
    <w:rsid w:val="006472B0"/>
    <w:rsid w:val="006552C6"/>
    <w:rsid w:val="00677977"/>
    <w:rsid w:val="00680E7F"/>
    <w:rsid w:val="00683AD7"/>
    <w:rsid w:val="00684939"/>
    <w:rsid w:val="006A1ED4"/>
    <w:rsid w:val="006A25F3"/>
    <w:rsid w:val="006A489D"/>
    <w:rsid w:val="006C50B0"/>
    <w:rsid w:val="006C649F"/>
    <w:rsid w:val="00710A83"/>
    <w:rsid w:val="00717DD5"/>
    <w:rsid w:val="00740C5D"/>
    <w:rsid w:val="00751C52"/>
    <w:rsid w:val="007575A7"/>
    <w:rsid w:val="00766365"/>
    <w:rsid w:val="0078262A"/>
    <w:rsid w:val="00796583"/>
    <w:rsid w:val="007A2521"/>
    <w:rsid w:val="007A3D08"/>
    <w:rsid w:val="007C08A6"/>
    <w:rsid w:val="007E0B7F"/>
    <w:rsid w:val="008057A2"/>
    <w:rsid w:val="00847FA3"/>
    <w:rsid w:val="00853A79"/>
    <w:rsid w:val="00861F61"/>
    <w:rsid w:val="00866F76"/>
    <w:rsid w:val="008673D4"/>
    <w:rsid w:val="00872095"/>
    <w:rsid w:val="0087456A"/>
    <w:rsid w:val="00877C6F"/>
    <w:rsid w:val="00884E5C"/>
    <w:rsid w:val="008C4C01"/>
    <w:rsid w:val="008D3509"/>
    <w:rsid w:val="008E6C30"/>
    <w:rsid w:val="008F309C"/>
    <w:rsid w:val="00915ADC"/>
    <w:rsid w:val="00916887"/>
    <w:rsid w:val="00916E7F"/>
    <w:rsid w:val="00933BAF"/>
    <w:rsid w:val="009501EF"/>
    <w:rsid w:val="0098366D"/>
    <w:rsid w:val="009B3B6E"/>
    <w:rsid w:val="009D1DEF"/>
    <w:rsid w:val="009E1D3C"/>
    <w:rsid w:val="009E38E5"/>
    <w:rsid w:val="00A17909"/>
    <w:rsid w:val="00A35683"/>
    <w:rsid w:val="00A459D9"/>
    <w:rsid w:val="00A6198A"/>
    <w:rsid w:val="00A76889"/>
    <w:rsid w:val="00A96923"/>
    <w:rsid w:val="00A977B0"/>
    <w:rsid w:val="00AB1D5B"/>
    <w:rsid w:val="00AE0875"/>
    <w:rsid w:val="00AE7150"/>
    <w:rsid w:val="00B0590B"/>
    <w:rsid w:val="00B06277"/>
    <w:rsid w:val="00B11E9F"/>
    <w:rsid w:val="00B13AB2"/>
    <w:rsid w:val="00B16881"/>
    <w:rsid w:val="00B237AE"/>
    <w:rsid w:val="00B3439A"/>
    <w:rsid w:val="00B419FD"/>
    <w:rsid w:val="00B423CA"/>
    <w:rsid w:val="00B50013"/>
    <w:rsid w:val="00B64429"/>
    <w:rsid w:val="00B72A2D"/>
    <w:rsid w:val="00BA4A7C"/>
    <w:rsid w:val="00BB31BF"/>
    <w:rsid w:val="00BF3AA6"/>
    <w:rsid w:val="00BF7D5C"/>
    <w:rsid w:val="00C1426F"/>
    <w:rsid w:val="00C22DB6"/>
    <w:rsid w:val="00C516D9"/>
    <w:rsid w:val="00C74E86"/>
    <w:rsid w:val="00C74ECC"/>
    <w:rsid w:val="00CE3A89"/>
    <w:rsid w:val="00CE770E"/>
    <w:rsid w:val="00CF03D5"/>
    <w:rsid w:val="00D306A0"/>
    <w:rsid w:val="00D505FA"/>
    <w:rsid w:val="00D50E1F"/>
    <w:rsid w:val="00D751E7"/>
    <w:rsid w:val="00D76A55"/>
    <w:rsid w:val="00D853E6"/>
    <w:rsid w:val="00D904EB"/>
    <w:rsid w:val="00DA6DD2"/>
    <w:rsid w:val="00DC5A4D"/>
    <w:rsid w:val="00DD041C"/>
    <w:rsid w:val="00DD7482"/>
    <w:rsid w:val="00DE5F4E"/>
    <w:rsid w:val="00DE7739"/>
    <w:rsid w:val="00E02672"/>
    <w:rsid w:val="00E07799"/>
    <w:rsid w:val="00E15A51"/>
    <w:rsid w:val="00E21E02"/>
    <w:rsid w:val="00E40382"/>
    <w:rsid w:val="00E53AF8"/>
    <w:rsid w:val="00E66BFA"/>
    <w:rsid w:val="00E97997"/>
    <w:rsid w:val="00EF44F2"/>
    <w:rsid w:val="00EF4786"/>
    <w:rsid w:val="00F125D2"/>
    <w:rsid w:val="00F215C4"/>
    <w:rsid w:val="00F25A93"/>
    <w:rsid w:val="00F30DC6"/>
    <w:rsid w:val="00F324A6"/>
    <w:rsid w:val="00F50419"/>
    <w:rsid w:val="00F539FF"/>
    <w:rsid w:val="00F664AE"/>
    <w:rsid w:val="00F82438"/>
    <w:rsid w:val="00FA7C80"/>
    <w:rsid w:val="00FB6A5F"/>
    <w:rsid w:val="00FE5EEA"/>
    <w:rsid w:val="01505F15"/>
    <w:rsid w:val="01B17CE4"/>
    <w:rsid w:val="0305268B"/>
    <w:rsid w:val="0A92134D"/>
    <w:rsid w:val="0B1C3A38"/>
    <w:rsid w:val="118C521F"/>
    <w:rsid w:val="159624B7"/>
    <w:rsid w:val="18B914CF"/>
    <w:rsid w:val="1A2521DD"/>
    <w:rsid w:val="1AFE0351"/>
    <w:rsid w:val="1B1B722A"/>
    <w:rsid w:val="1D300C7D"/>
    <w:rsid w:val="1F29007A"/>
    <w:rsid w:val="20032679"/>
    <w:rsid w:val="202F346E"/>
    <w:rsid w:val="23E956E6"/>
    <w:rsid w:val="290254AA"/>
    <w:rsid w:val="2A1F09F7"/>
    <w:rsid w:val="2B5244B4"/>
    <w:rsid w:val="2C510C88"/>
    <w:rsid w:val="2D5044F9"/>
    <w:rsid w:val="2FD94FD4"/>
    <w:rsid w:val="30182170"/>
    <w:rsid w:val="31670579"/>
    <w:rsid w:val="34DF21B5"/>
    <w:rsid w:val="36462E68"/>
    <w:rsid w:val="36A71B58"/>
    <w:rsid w:val="36E7289C"/>
    <w:rsid w:val="385033F2"/>
    <w:rsid w:val="39DF5AAD"/>
    <w:rsid w:val="3B3616FD"/>
    <w:rsid w:val="3B541D8E"/>
    <w:rsid w:val="3BE63123"/>
    <w:rsid w:val="3D4346CC"/>
    <w:rsid w:val="403C77B5"/>
    <w:rsid w:val="40925627"/>
    <w:rsid w:val="41123C58"/>
    <w:rsid w:val="41AA2E44"/>
    <w:rsid w:val="41E33C60"/>
    <w:rsid w:val="449E4EFE"/>
    <w:rsid w:val="4B971D44"/>
    <w:rsid w:val="4BAD6BC2"/>
    <w:rsid w:val="4BD05255"/>
    <w:rsid w:val="4C286E40"/>
    <w:rsid w:val="4D4001B9"/>
    <w:rsid w:val="4D92310A"/>
    <w:rsid w:val="4DAF699B"/>
    <w:rsid w:val="4E457502"/>
    <w:rsid w:val="50A82C45"/>
    <w:rsid w:val="51823496"/>
    <w:rsid w:val="53487DC7"/>
    <w:rsid w:val="56DB78D0"/>
    <w:rsid w:val="57F64296"/>
    <w:rsid w:val="62EF200D"/>
    <w:rsid w:val="636C640A"/>
    <w:rsid w:val="63FA35CA"/>
    <w:rsid w:val="648844C8"/>
    <w:rsid w:val="652B7140"/>
    <w:rsid w:val="65382B1B"/>
    <w:rsid w:val="66886AF7"/>
    <w:rsid w:val="67A7735B"/>
    <w:rsid w:val="695309B3"/>
    <w:rsid w:val="6A8671F8"/>
    <w:rsid w:val="6ED749C9"/>
    <w:rsid w:val="71C32FE3"/>
    <w:rsid w:val="727E6F0A"/>
    <w:rsid w:val="738C2AC6"/>
    <w:rsid w:val="77A31369"/>
    <w:rsid w:val="7BEC1388"/>
    <w:rsid w:val="7C7150ED"/>
    <w:rsid w:val="7D6101C3"/>
    <w:rsid w:val="7E0725BF"/>
    <w:rsid w:val="7E5356EF"/>
    <w:rsid w:val="7F6F0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cs="Times New Roman" w:eastAsiaTheme="minorEastAsia"/>
      <w:kern w:val="2"/>
      <w:sz w:val="28"/>
      <w:szCs w:val="22"/>
      <w:lang w:val="en-US" w:eastAsia="zh-CN" w:bidi="ar-SA"/>
    </w:rPr>
  </w:style>
  <w:style w:type="paragraph" w:styleId="2">
    <w:name w:val="heading 1"/>
    <w:basedOn w:val="1"/>
    <w:next w:val="1"/>
    <w:link w:val="23"/>
    <w:qFormat/>
    <w:uiPriority w:val="9"/>
    <w:pPr>
      <w:keepNext/>
      <w:keepLines/>
      <w:numPr>
        <w:ilvl w:val="0"/>
        <w:numId w:val="1"/>
      </w:numPr>
      <w:spacing w:before="30" w:beforeLines="30" w:after="30" w:afterLines="30"/>
      <w:ind w:firstLineChars="0"/>
      <w:outlineLvl w:val="0"/>
    </w:pPr>
    <w:rPr>
      <w:b/>
      <w:bCs/>
      <w:kern w:val="44"/>
      <w:sz w:val="36"/>
      <w:szCs w:val="44"/>
    </w:rPr>
  </w:style>
  <w:style w:type="paragraph" w:styleId="3">
    <w:name w:val="heading 2"/>
    <w:basedOn w:val="1"/>
    <w:next w:val="1"/>
    <w:link w:val="21"/>
    <w:unhideWhenUsed/>
    <w:qFormat/>
    <w:uiPriority w:val="9"/>
    <w:pPr>
      <w:keepNext/>
      <w:keepLines/>
      <w:numPr>
        <w:ilvl w:val="1"/>
        <w:numId w:val="1"/>
      </w:numPr>
      <w:spacing w:before="30" w:beforeLines="30" w:after="30" w:afterLines="30"/>
      <w:ind w:firstLineChars="0"/>
      <w:outlineLvl w:val="1"/>
    </w:pPr>
    <w:rPr>
      <w:rFonts w:eastAsiaTheme="majorEastAsia" w:cstheme="majorBidi"/>
      <w:b/>
      <w:bCs/>
      <w:sz w:val="36"/>
      <w:szCs w:val="32"/>
    </w:rPr>
  </w:style>
  <w:style w:type="paragraph" w:styleId="4">
    <w:name w:val="heading 3"/>
    <w:basedOn w:val="1"/>
    <w:next w:val="1"/>
    <w:link w:val="24"/>
    <w:unhideWhenUsed/>
    <w:qFormat/>
    <w:uiPriority w:val="9"/>
    <w:pPr>
      <w:keepNext/>
      <w:keepLines/>
      <w:numPr>
        <w:ilvl w:val="2"/>
        <w:numId w:val="1"/>
      </w:numPr>
      <w:spacing w:before="15" w:beforeLines="15" w:after="15" w:afterLines="15"/>
      <w:ind w:firstLineChars="0"/>
      <w:outlineLvl w:val="2"/>
    </w:pPr>
    <w:rPr>
      <w:b/>
      <w:bCs/>
      <w:sz w:val="30"/>
      <w:szCs w:val="32"/>
    </w:rPr>
  </w:style>
  <w:style w:type="paragraph" w:styleId="5">
    <w:name w:val="heading 4"/>
    <w:basedOn w:val="1"/>
    <w:next w:val="1"/>
    <w:link w:val="25"/>
    <w:unhideWhenUsed/>
    <w:qFormat/>
    <w:uiPriority w:val="9"/>
    <w:pPr>
      <w:keepNext/>
      <w:keepLines/>
      <w:numPr>
        <w:ilvl w:val="3"/>
        <w:numId w:val="1"/>
      </w:numPr>
      <w:ind w:firstLineChars="0"/>
      <w:outlineLvl w:val="3"/>
    </w:pPr>
    <w:rPr>
      <w:rFonts w:eastAsiaTheme="majorEastAsia" w:cstheme="majorBidi"/>
      <w:b/>
      <w:bCs/>
      <w:szCs w:val="28"/>
    </w:rPr>
  </w:style>
  <w:style w:type="paragraph" w:styleId="6">
    <w:name w:val="heading 5"/>
    <w:basedOn w:val="1"/>
    <w:next w:val="1"/>
    <w:link w:val="26"/>
    <w:semiHidden/>
    <w:unhideWhenUsed/>
    <w:qFormat/>
    <w:uiPriority w:val="9"/>
    <w:pPr>
      <w:keepNext/>
      <w:keepLines/>
      <w:numPr>
        <w:ilvl w:val="4"/>
        <w:numId w:val="1"/>
      </w:numPr>
      <w:spacing w:before="280" w:after="290" w:line="376" w:lineRule="auto"/>
      <w:ind w:firstLine="0" w:firstLineChars="0"/>
      <w:outlineLvl w:val="4"/>
    </w:pPr>
    <w:rPr>
      <w:b/>
      <w:bCs/>
      <w:szCs w:val="28"/>
    </w:rPr>
  </w:style>
  <w:style w:type="paragraph" w:styleId="7">
    <w:name w:val="heading 6"/>
    <w:basedOn w:val="1"/>
    <w:next w:val="1"/>
    <w:link w:val="27"/>
    <w:semiHidden/>
    <w:unhideWhenUsed/>
    <w:qFormat/>
    <w:uiPriority w:val="9"/>
    <w:pPr>
      <w:keepNext/>
      <w:keepLines/>
      <w:numPr>
        <w:ilvl w:val="5"/>
        <w:numId w:val="1"/>
      </w:numPr>
      <w:spacing w:before="240" w:after="64" w:line="320" w:lineRule="auto"/>
      <w:ind w:firstLine="0" w:firstLineChars="0"/>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numPr>
        <w:ilvl w:val="6"/>
        <w:numId w:val="1"/>
      </w:numPr>
      <w:spacing w:before="240" w:after="64" w:line="320" w:lineRule="auto"/>
      <w:ind w:firstLine="0" w:firstLineChars="0"/>
      <w:outlineLvl w:val="6"/>
    </w:pPr>
    <w:rPr>
      <w:b/>
      <w:bCs/>
      <w:sz w:val="24"/>
      <w:szCs w:val="24"/>
    </w:rPr>
  </w:style>
  <w:style w:type="paragraph" w:styleId="9">
    <w:name w:val="heading 8"/>
    <w:basedOn w:val="1"/>
    <w:next w:val="1"/>
    <w:link w:val="29"/>
    <w:semiHidden/>
    <w:unhideWhenUsed/>
    <w:qFormat/>
    <w:uiPriority w:val="9"/>
    <w:pPr>
      <w:keepNext/>
      <w:keepLines/>
      <w:numPr>
        <w:ilvl w:val="7"/>
        <w:numId w:val="1"/>
      </w:numPr>
      <w:spacing w:before="240" w:after="64" w:line="320" w:lineRule="auto"/>
      <w:ind w:firstLine="0" w:firstLineChars="0"/>
      <w:outlineLvl w:val="7"/>
    </w:pPr>
    <w:rPr>
      <w:rFonts w:asciiTheme="majorHAnsi" w:hAnsiTheme="majorHAnsi" w:eastAsiaTheme="majorEastAsia" w:cstheme="majorBidi"/>
      <w:sz w:val="24"/>
      <w:szCs w:val="24"/>
    </w:rPr>
  </w:style>
  <w:style w:type="paragraph" w:styleId="10">
    <w:name w:val="heading 9"/>
    <w:basedOn w:val="1"/>
    <w:next w:val="1"/>
    <w:link w:val="30"/>
    <w:semiHidden/>
    <w:unhideWhenUsed/>
    <w:qFormat/>
    <w:uiPriority w:val="9"/>
    <w:pPr>
      <w:keepNext/>
      <w:keepLines/>
      <w:numPr>
        <w:ilvl w:val="8"/>
        <w:numId w:val="1"/>
      </w:numPr>
      <w:spacing w:before="240" w:after="64" w:line="320" w:lineRule="auto"/>
      <w:ind w:firstLine="0" w:firstLineChars="0"/>
      <w:outlineLvl w:val="8"/>
    </w:pPr>
    <w:rPr>
      <w:rFonts w:asciiTheme="majorHAnsi" w:hAnsiTheme="majorHAnsi" w:eastAsiaTheme="majorEastAsia" w:cstheme="majorBidi"/>
      <w:sz w:val="21"/>
      <w:szCs w:val="21"/>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7"/>
    <w:semiHidden/>
    <w:unhideWhenUsed/>
    <w:qFormat/>
    <w:uiPriority w:val="99"/>
    <w:pPr>
      <w:spacing w:after="120"/>
    </w:pPr>
  </w:style>
  <w:style w:type="paragraph" w:styleId="12">
    <w:name w:val="Balloon Text"/>
    <w:basedOn w:val="1"/>
    <w:link w:val="32"/>
    <w:semiHidden/>
    <w:unhideWhenUsed/>
    <w:qFormat/>
    <w:uiPriority w:val="99"/>
    <w:pPr>
      <w:spacing w:line="240" w:lineRule="auto"/>
    </w:pPr>
    <w:rPr>
      <w:sz w:val="18"/>
      <w:szCs w:val="18"/>
    </w:rPr>
  </w:style>
  <w:style w:type="paragraph" w:styleId="13">
    <w:name w:val="footer"/>
    <w:basedOn w:val="1"/>
    <w:link w:val="34"/>
    <w:unhideWhenUsed/>
    <w:qFormat/>
    <w:uiPriority w:val="99"/>
    <w:pPr>
      <w:tabs>
        <w:tab w:val="center" w:pos="4153"/>
        <w:tab w:val="right" w:pos="8306"/>
      </w:tabs>
      <w:spacing w:line="240" w:lineRule="auto"/>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15">
    <w:name w:val="Title"/>
    <w:basedOn w:val="1"/>
    <w:next w:val="1"/>
    <w:link w:val="22"/>
    <w:qFormat/>
    <w:uiPriority w:val="10"/>
    <w:pPr>
      <w:spacing w:before="240" w:after="60"/>
      <w:jc w:val="center"/>
      <w:outlineLvl w:val="0"/>
    </w:pPr>
    <w:rPr>
      <w:rFonts w:eastAsia="宋体" w:asciiTheme="majorHAnsi" w:hAnsiTheme="majorHAnsi" w:cstheme="majorBidi"/>
      <w:b/>
      <w:bCs/>
      <w:sz w:val="48"/>
      <w:szCs w:val="32"/>
    </w:rPr>
  </w:style>
  <w:style w:type="character" w:styleId="18">
    <w:name w:val="Strong"/>
    <w:basedOn w:val="17"/>
    <w:qFormat/>
    <w:uiPriority w:val="22"/>
    <w:rPr>
      <w:b/>
      <w:bCs/>
    </w:rPr>
  </w:style>
  <w:style w:type="character" w:styleId="19">
    <w:name w:val="page number"/>
    <w:qFormat/>
    <w:uiPriority w:val="0"/>
    <w:rPr>
      <w:sz w:val="18"/>
    </w:rPr>
  </w:style>
  <w:style w:type="table" w:customStyle="1" w:styleId="20">
    <w:name w:val="0表格"/>
    <w:basedOn w:val="16"/>
    <w:qFormat/>
    <w:uiPriority w:val="99"/>
    <w:pPr>
      <w:jc w:val="center"/>
    </w:pPr>
    <w:rPr>
      <w:kern w:val="0"/>
      <w:sz w:val="21"/>
      <w:szCs w:val="20"/>
    </w:rPr>
    <w:tblP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1" w:type="dxa"/>
        <w:bottom w:w="0" w:type="dxa"/>
        <w:right w:w="11" w:type="dxa"/>
      </w:tblCellMar>
    </w:tblPr>
    <w:tcPr>
      <w:vAlign w:val="center"/>
    </w:tcPr>
  </w:style>
  <w:style w:type="character" w:customStyle="1" w:styleId="21">
    <w:name w:val="标题 2 Char"/>
    <w:basedOn w:val="17"/>
    <w:link w:val="3"/>
    <w:qFormat/>
    <w:uiPriority w:val="9"/>
    <w:rPr>
      <w:rFonts w:eastAsiaTheme="majorEastAsia" w:cstheme="majorBidi"/>
      <w:b/>
      <w:bCs/>
      <w:sz w:val="36"/>
      <w:szCs w:val="32"/>
    </w:rPr>
  </w:style>
  <w:style w:type="character" w:customStyle="1" w:styleId="22">
    <w:name w:val="标题 Char"/>
    <w:basedOn w:val="17"/>
    <w:link w:val="15"/>
    <w:qFormat/>
    <w:uiPriority w:val="10"/>
    <w:rPr>
      <w:rFonts w:eastAsia="宋体" w:asciiTheme="majorHAnsi" w:hAnsiTheme="majorHAnsi" w:cstheme="majorBidi"/>
      <w:b/>
      <w:bCs/>
      <w:sz w:val="48"/>
      <w:szCs w:val="32"/>
    </w:rPr>
  </w:style>
  <w:style w:type="character" w:customStyle="1" w:styleId="23">
    <w:name w:val="标题 1 Char"/>
    <w:basedOn w:val="17"/>
    <w:link w:val="2"/>
    <w:qFormat/>
    <w:uiPriority w:val="9"/>
    <w:rPr>
      <w:rFonts w:eastAsiaTheme="minorEastAsia"/>
      <w:b/>
      <w:bCs/>
      <w:kern w:val="44"/>
      <w:sz w:val="36"/>
      <w:szCs w:val="44"/>
    </w:rPr>
  </w:style>
  <w:style w:type="character" w:customStyle="1" w:styleId="24">
    <w:name w:val="标题 3 Char"/>
    <w:basedOn w:val="17"/>
    <w:link w:val="4"/>
    <w:qFormat/>
    <w:uiPriority w:val="9"/>
    <w:rPr>
      <w:rFonts w:eastAsiaTheme="minorEastAsia"/>
      <w:b/>
      <w:bCs/>
      <w:sz w:val="30"/>
      <w:szCs w:val="32"/>
    </w:rPr>
  </w:style>
  <w:style w:type="character" w:customStyle="1" w:styleId="25">
    <w:name w:val="标题 4 Char"/>
    <w:basedOn w:val="17"/>
    <w:link w:val="5"/>
    <w:qFormat/>
    <w:uiPriority w:val="9"/>
    <w:rPr>
      <w:rFonts w:eastAsiaTheme="majorEastAsia" w:cstheme="majorBidi"/>
      <w:b/>
      <w:bCs/>
      <w:sz w:val="28"/>
      <w:szCs w:val="28"/>
    </w:rPr>
  </w:style>
  <w:style w:type="character" w:customStyle="1" w:styleId="26">
    <w:name w:val="标题 5 Char"/>
    <w:basedOn w:val="17"/>
    <w:link w:val="6"/>
    <w:semiHidden/>
    <w:qFormat/>
    <w:uiPriority w:val="9"/>
    <w:rPr>
      <w:rFonts w:eastAsiaTheme="minorEastAsia"/>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Cs w:val="24"/>
    </w:rPr>
  </w:style>
  <w:style w:type="character" w:customStyle="1" w:styleId="28">
    <w:name w:val="标题 7 Char"/>
    <w:basedOn w:val="17"/>
    <w:link w:val="8"/>
    <w:semiHidden/>
    <w:qFormat/>
    <w:uiPriority w:val="9"/>
    <w:rPr>
      <w:rFonts w:eastAsiaTheme="minorEastAsia"/>
      <w:b/>
      <w:bCs/>
      <w:szCs w:val="24"/>
    </w:rPr>
  </w:style>
  <w:style w:type="character" w:customStyle="1" w:styleId="29">
    <w:name w:val="标题 8 Char"/>
    <w:basedOn w:val="17"/>
    <w:link w:val="9"/>
    <w:semiHidden/>
    <w:qFormat/>
    <w:uiPriority w:val="9"/>
    <w:rPr>
      <w:rFonts w:asciiTheme="majorHAnsi" w:hAnsiTheme="majorHAnsi" w:eastAsiaTheme="majorEastAsia" w:cstheme="majorBidi"/>
      <w:szCs w:val="24"/>
    </w:rPr>
  </w:style>
  <w:style w:type="character" w:customStyle="1" w:styleId="30">
    <w:name w:val="标题 9 Char"/>
    <w:basedOn w:val="17"/>
    <w:link w:val="10"/>
    <w:semiHidden/>
    <w:qFormat/>
    <w:uiPriority w:val="9"/>
    <w:rPr>
      <w:rFonts w:asciiTheme="majorHAnsi" w:hAnsiTheme="majorHAnsi" w:eastAsiaTheme="majorEastAsia" w:cstheme="majorBidi"/>
      <w:sz w:val="21"/>
      <w:szCs w:val="21"/>
    </w:rPr>
  </w:style>
  <w:style w:type="paragraph" w:styleId="31">
    <w:name w:val="List Paragraph"/>
    <w:basedOn w:val="1"/>
    <w:qFormat/>
    <w:uiPriority w:val="34"/>
    <w:pPr>
      <w:ind w:firstLine="420"/>
    </w:pPr>
  </w:style>
  <w:style w:type="character" w:customStyle="1" w:styleId="32">
    <w:name w:val="批注框文本 Char"/>
    <w:basedOn w:val="17"/>
    <w:link w:val="12"/>
    <w:semiHidden/>
    <w:qFormat/>
    <w:uiPriority w:val="99"/>
    <w:rPr>
      <w:rFonts w:eastAsiaTheme="minorEastAsia"/>
      <w:sz w:val="18"/>
      <w:szCs w:val="18"/>
    </w:rPr>
  </w:style>
  <w:style w:type="character" w:customStyle="1" w:styleId="33">
    <w:name w:val="页眉 Char"/>
    <w:basedOn w:val="17"/>
    <w:link w:val="14"/>
    <w:qFormat/>
    <w:uiPriority w:val="99"/>
    <w:rPr>
      <w:rFonts w:eastAsiaTheme="minorEastAsia"/>
      <w:sz w:val="18"/>
      <w:szCs w:val="18"/>
    </w:rPr>
  </w:style>
  <w:style w:type="character" w:customStyle="1" w:styleId="34">
    <w:name w:val="页脚 Char"/>
    <w:basedOn w:val="17"/>
    <w:link w:val="13"/>
    <w:qFormat/>
    <w:uiPriority w:val="99"/>
    <w:rPr>
      <w:rFonts w:eastAsiaTheme="minorEastAsia"/>
      <w:sz w:val="18"/>
      <w:szCs w:val="18"/>
    </w:rPr>
  </w:style>
  <w:style w:type="paragraph" w:customStyle="1" w:styleId="35">
    <w:name w:val="5正文文本"/>
    <w:basedOn w:val="11"/>
    <w:link w:val="36"/>
    <w:qFormat/>
    <w:uiPriority w:val="0"/>
    <w:pPr>
      <w:widowControl/>
      <w:spacing w:after="0"/>
    </w:pPr>
    <w:rPr>
      <w:rFonts w:eastAsia="仿宋_GB2312" w:cs="宋体"/>
      <w:kern w:val="0"/>
      <w:szCs w:val="24"/>
    </w:rPr>
  </w:style>
  <w:style w:type="character" w:customStyle="1" w:styleId="36">
    <w:name w:val="5正文文本 Char Char"/>
    <w:link w:val="35"/>
    <w:qFormat/>
    <w:locked/>
    <w:uiPriority w:val="0"/>
    <w:rPr>
      <w:rFonts w:cs="宋体"/>
      <w:kern w:val="0"/>
      <w:sz w:val="28"/>
      <w:szCs w:val="24"/>
    </w:rPr>
  </w:style>
  <w:style w:type="character" w:customStyle="1" w:styleId="37">
    <w:name w:val="正文文本 Char"/>
    <w:basedOn w:val="17"/>
    <w:link w:val="11"/>
    <w:semiHidden/>
    <w:qFormat/>
    <w:uiPriority w:val="99"/>
    <w:rPr>
      <w:rFonts w:eastAsiaTheme="minorEastAsia"/>
      <w:sz w:val="28"/>
    </w:rPr>
  </w:style>
  <w:style w:type="paragraph" w:customStyle="1" w:styleId="38">
    <w:name w:val="1表格"/>
    <w:basedOn w:val="1"/>
    <w:link w:val="39"/>
    <w:qFormat/>
    <w:uiPriority w:val="0"/>
    <w:pPr>
      <w:widowControl/>
      <w:spacing w:line="240" w:lineRule="auto"/>
      <w:ind w:firstLine="0" w:firstLineChars="0"/>
      <w:jc w:val="center"/>
    </w:pPr>
    <w:rPr>
      <w:rFonts w:eastAsia="宋体" w:cs="宋体"/>
      <w:color w:val="000000"/>
      <w:kern w:val="0"/>
      <w:szCs w:val="24"/>
    </w:rPr>
  </w:style>
  <w:style w:type="character" w:customStyle="1" w:styleId="39">
    <w:name w:val="1表格 Char"/>
    <w:link w:val="38"/>
    <w:qFormat/>
    <w:uiPriority w:val="0"/>
    <w:rPr>
      <w:rFonts w:eastAsia="宋体" w:cs="宋体"/>
      <w:color w:val="000000"/>
      <w:kern w:val="0"/>
      <w:sz w:val="28"/>
      <w:szCs w:val="24"/>
    </w:rPr>
  </w:style>
  <w:style w:type="table" w:customStyle="1" w:styleId="40">
    <w:name w:val="LFS表格"/>
    <w:basedOn w:val="16"/>
    <w:qFormat/>
    <w:uiPriority w:val="99"/>
    <w:pPr>
      <w:jc w:val="center"/>
    </w:pPr>
    <w:rPr>
      <w:kern w:val="0"/>
      <w:sz w:val="21"/>
      <w:szCs w:val="20"/>
    </w:rPr>
    <w:tblP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 w:type="dxa"/>
        <w:bottom w:w="0" w:type="dxa"/>
        <w:right w:w="11" w:type="dxa"/>
      </w:tblCellMar>
    </w:tblPr>
    <w:tcPr>
      <w:vAlign w:val="center"/>
    </w:tcPr>
  </w:style>
  <w:style w:type="paragraph" w:customStyle="1" w:styleId="41">
    <w:name w:val="1表头"/>
    <w:basedOn w:val="1"/>
    <w:next w:val="1"/>
    <w:link w:val="42"/>
    <w:autoRedefine/>
    <w:qFormat/>
    <w:uiPriority w:val="0"/>
    <w:pPr>
      <w:widowControl/>
      <w:spacing w:before="72" w:beforeLines="30" w:line="240" w:lineRule="auto"/>
      <w:ind w:firstLine="640"/>
      <w:jc w:val="left"/>
    </w:pPr>
    <w:rPr>
      <w:rFonts w:eastAsia="黑体"/>
      <w:kern w:val="0"/>
      <w:sz w:val="32"/>
      <w:szCs w:val="24"/>
      <w:lang w:val="zh-CN"/>
    </w:rPr>
  </w:style>
  <w:style w:type="character" w:customStyle="1" w:styleId="42">
    <w:name w:val="1表头 Char"/>
    <w:basedOn w:val="17"/>
    <w:link w:val="41"/>
    <w:qFormat/>
    <w:uiPriority w:val="0"/>
    <w:rPr>
      <w:rFonts w:eastAsia="黑体"/>
      <w:kern w:val="0"/>
      <w:sz w:val="32"/>
      <w:szCs w:val="24"/>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image" Target="media/image10.jpeg"/><Relationship Id="rId28" Type="http://schemas.openxmlformats.org/officeDocument/2006/relationships/image" Target="media/image9.png"/><Relationship Id="rId27" Type="http://schemas.openxmlformats.org/officeDocument/2006/relationships/image" Target="media/image8.wmf"/><Relationship Id="rId26" Type="http://schemas.openxmlformats.org/officeDocument/2006/relationships/oleObject" Target="embeddings/oleObject1.bin"/><Relationship Id="rId25" Type="http://schemas.openxmlformats.org/officeDocument/2006/relationships/image" Target="media/image7.jpeg"/><Relationship Id="rId24" Type="http://schemas.openxmlformats.org/officeDocument/2006/relationships/image" Target="media/image6.jpeg"/><Relationship Id="rId23" Type="http://schemas.openxmlformats.org/officeDocument/2006/relationships/image" Target="media/image5.png"/><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6231</Words>
  <Characters>6661</Characters>
  <Lines>58</Lines>
  <Paragraphs>16</Paragraphs>
  <TotalTime>39</TotalTime>
  <ScaleCrop>false</ScaleCrop>
  <LinksUpToDate>false</LinksUpToDate>
  <CharactersWithSpaces>6675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2022-02-23T09:21:00Z</dcterms:created>
  <dc:creator>PC</dc:creator>
  <cp:lastModifiedBy>1</cp:lastModifiedBy>
  <cp:lastPrinted>2022-05-03T12:37:00Z</cp:lastPrinted>
  <dcterms:modified xsi:type="dcterms:W3CDTF">2024-12-26T19:28:04Z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0E9F28D925D140039EDB14C6DB48D27F_12</vt:lpwstr>
  </property>
</Properties>
</file>